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C07391" w14:textId="77777777" w:rsidR="00C86248" w:rsidRDefault="00633C48" w:rsidP="00926083">
      <w:pPr>
        <w:pStyle w:val="Title"/>
      </w:pPr>
      <w:r>
        <w:t>Models of Care in Forensic Mental Health Services</w:t>
      </w:r>
    </w:p>
    <w:p w14:paraId="081E4A49" w14:textId="77777777" w:rsidR="00D27922" w:rsidRDefault="00633C48" w:rsidP="00D27922">
      <w:pPr>
        <w:pStyle w:val="Subhead"/>
      </w:pPr>
      <w:r>
        <w:t>A review of the international and national literature</w:t>
      </w:r>
    </w:p>
    <w:p w14:paraId="0D148660" w14:textId="77777777" w:rsidR="00D27922" w:rsidRPr="00D27922" w:rsidRDefault="00633C48" w:rsidP="00D27922">
      <w:pPr>
        <w:pStyle w:val="Year"/>
      </w:pPr>
      <w:r>
        <w:t>2021</w:t>
      </w:r>
    </w:p>
    <w:p w14:paraId="6773B8A9" w14:textId="77777777" w:rsidR="00C05132" w:rsidRDefault="00C05132" w:rsidP="00A06BE4"/>
    <w:p w14:paraId="5D80168A" w14:textId="77777777" w:rsidR="00142954" w:rsidRPr="00142954" w:rsidRDefault="00142954" w:rsidP="00142954">
      <w:pPr>
        <w:sectPr w:rsidR="00142954" w:rsidRPr="00142954" w:rsidSect="00925892">
          <w:headerReference w:type="default" r:id="rId8"/>
          <w:footerReference w:type="default" r:id="rId9"/>
          <w:pgSz w:w="11907" w:h="16834" w:code="9"/>
          <w:pgMar w:top="5670" w:right="1134" w:bottom="1134" w:left="1134" w:header="567" w:footer="851" w:gutter="0"/>
          <w:pgNumType w:start="1"/>
          <w:cols w:space="720"/>
        </w:sectPr>
      </w:pPr>
    </w:p>
    <w:p w14:paraId="15EDA299" w14:textId="77777777"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M</w:t>
      </w:r>
      <w:r w:rsidR="00633C48">
        <w:rPr>
          <w:rFonts w:cs="Segoe UI"/>
        </w:rPr>
        <w:t>cKenna B, Sweetman LE</w:t>
      </w:r>
      <w:r w:rsidR="00442C1C" w:rsidRPr="00C05132">
        <w:rPr>
          <w:rFonts w:cs="Segoe UI"/>
        </w:rPr>
        <w:t xml:space="preserve">. </w:t>
      </w:r>
      <w:r w:rsidR="00633C48">
        <w:rPr>
          <w:rFonts w:cs="Segoe UI"/>
        </w:rPr>
        <w:t>2020</w:t>
      </w:r>
      <w:r w:rsidR="00442C1C" w:rsidRPr="00C05132">
        <w:rPr>
          <w:rFonts w:cs="Segoe UI"/>
        </w:rPr>
        <w:t xml:space="preserve">. </w:t>
      </w:r>
      <w:r w:rsidR="00633C48">
        <w:rPr>
          <w:rFonts w:cs="Segoe UI"/>
          <w:i/>
        </w:rPr>
        <w:t>Models of Care in Forensic Mental Health Services: A review of the international and national literature</w:t>
      </w:r>
      <w:r w:rsidR="00442C1C" w:rsidRPr="00C05132">
        <w:rPr>
          <w:rFonts w:cs="Segoe UI"/>
        </w:rPr>
        <w:t>. Wellington: Ministry of Health.</w:t>
      </w:r>
    </w:p>
    <w:p w14:paraId="588381BA" w14:textId="77777777" w:rsidR="00C86248" w:rsidRDefault="00C86248">
      <w:pPr>
        <w:pStyle w:val="Imprint"/>
      </w:pPr>
      <w:r>
        <w:t xml:space="preserve">Published </w:t>
      </w:r>
      <w:r w:rsidRPr="00C172EE">
        <w:t xml:space="preserve">in </w:t>
      </w:r>
      <w:r w:rsidR="00633C48" w:rsidRPr="00E23D61">
        <w:t xml:space="preserve">December </w:t>
      </w:r>
      <w:r w:rsidR="003235C6" w:rsidRPr="00E23D61">
        <w:t>20</w:t>
      </w:r>
      <w:r w:rsidR="008017B4" w:rsidRPr="00E23D61">
        <w:t>21</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4814949C" w14:textId="17750930" w:rsidR="00082CD6" w:rsidRPr="009C0F2D" w:rsidRDefault="00D863D0" w:rsidP="00082CD6">
      <w:pPr>
        <w:pStyle w:val="Imprint"/>
      </w:pPr>
      <w:r>
        <w:t>ISBN</w:t>
      </w:r>
      <w:r w:rsidR="00442C1C">
        <w:t xml:space="preserve"> </w:t>
      </w:r>
      <w:r w:rsidR="00DD7D2E" w:rsidRPr="00DD7D2E">
        <w:t>978-1-99-110009-2</w:t>
      </w:r>
      <w:r w:rsidR="00DD7D2E">
        <w:t xml:space="preserve"> </w:t>
      </w:r>
      <w:r>
        <w:t>(</w:t>
      </w:r>
      <w:r w:rsidR="00442C1C">
        <w:t>online</w:t>
      </w:r>
      <w:r>
        <w:t>)</w:t>
      </w:r>
      <w:r w:rsidR="00082CD6">
        <w:br/>
      </w:r>
      <w:r w:rsidR="00082CD6" w:rsidRPr="009C0F2D">
        <w:t xml:space="preserve">HP </w:t>
      </w:r>
      <w:r w:rsidR="00DD7D2E">
        <w:t>8011</w:t>
      </w:r>
    </w:p>
    <w:p w14:paraId="58960EEB" w14:textId="77777777" w:rsidR="00C86248" w:rsidRDefault="008C64C4" w:rsidP="00D27922">
      <w:pPr>
        <w:spacing w:before="360"/>
      </w:pPr>
      <w:r>
        <w:rPr>
          <w:noProof/>
          <w:lang w:eastAsia="en-NZ"/>
        </w:rPr>
        <w:drawing>
          <wp:inline distT="0" distB="0" distL="0" distR="0" wp14:anchorId="24EA5C8B" wp14:editId="5CEDC07A">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0FC73CF1" w14:textId="77777777" w:rsidR="00A63DFF" w:rsidRDefault="00A63DFF" w:rsidP="00A63DFF">
      <w:pPr>
        <w:pStyle w:val="Imprint"/>
        <w:spacing w:before="240" w:after="480"/>
      </w:pPr>
      <w:r>
        <w:t xml:space="preserve">This document is available at </w:t>
      </w:r>
      <w:hyperlink r:id="rId11" w:history="1">
        <w:r w:rsidR="00476B21" w:rsidRPr="0013096C">
          <w:rPr>
            <w:rStyle w:val="Hyperlink"/>
          </w:rPr>
          <w:t>health.govt.nz</w:t>
        </w:r>
      </w:hyperlink>
    </w:p>
    <w:tbl>
      <w:tblPr>
        <w:tblW w:w="0" w:type="auto"/>
        <w:tblLayout w:type="fixed"/>
        <w:tblLook w:val="04A0" w:firstRow="1" w:lastRow="0" w:firstColumn="1" w:lastColumn="0" w:noHBand="0" w:noVBand="1"/>
      </w:tblPr>
      <w:tblGrid>
        <w:gridCol w:w="1526"/>
        <w:gridCol w:w="6061"/>
      </w:tblGrid>
      <w:tr w:rsidR="00A63DFF" w:rsidRPr="00A63DFF" w14:paraId="51A80A75" w14:textId="77777777" w:rsidTr="00A63DFF">
        <w:trPr>
          <w:cantSplit/>
        </w:trPr>
        <w:tc>
          <w:tcPr>
            <w:tcW w:w="1526" w:type="dxa"/>
          </w:tcPr>
          <w:p w14:paraId="6979AEC8" w14:textId="77777777" w:rsidR="00A63DFF" w:rsidRPr="00A63DFF" w:rsidRDefault="00A63DFF" w:rsidP="00F103BE">
            <w:pPr>
              <w:spacing w:before="240"/>
              <w:rPr>
                <w:rFonts w:cs="Segoe UI"/>
                <w:sz w:val="15"/>
                <w:szCs w:val="15"/>
              </w:rPr>
            </w:pPr>
            <w:r w:rsidRPr="00A63DFF">
              <w:rPr>
                <w:rFonts w:cs="Segoe UI"/>
                <w:b/>
                <w:noProof/>
                <w:sz w:val="15"/>
                <w:szCs w:val="15"/>
                <w:lang w:eastAsia="en-NZ"/>
              </w:rPr>
              <w:drawing>
                <wp:inline distT="0" distB="0" distL="0" distR="0" wp14:anchorId="18F62B00" wp14:editId="36DC50E7">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7C332890"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36A604F1" w14:textId="77777777" w:rsidR="007E74F1" w:rsidRPr="001F45A7" w:rsidRDefault="007E74F1" w:rsidP="006E2886">
      <w:pPr>
        <w:pStyle w:val="Imprint"/>
      </w:pPr>
    </w:p>
    <w:p w14:paraId="1A18749C" w14:textId="77777777" w:rsidR="00C86248" w:rsidRDefault="00C86248">
      <w:pPr>
        <w:jc w:val="center"/>
        <w:sectPr w:rsidR="00C86248" w:rsidSect="00925892">
          <w:footerReference w:type="even" r:id="rId13"/>
          <w:footerReference w:type="default" r:id="rId14"/>
          <w:pgSz w:w="11907" w:h="16834" w:code="9"/>
          <w:pgMar w:top="1701" w:right="2268" w:bottom="1134" w:left="2268" w:header="0" w:footer="0" w:gutter="0"/>
          <w:cols w:space="720"/>
          <w:vAlign w:val="bottom"/>
        </w:sectPr>
      </w:pPr>
    </w:p>
    <w:p w14:paraId="373E3D18" w14:textId="77777777" w:rsidR="00414C35" w:rsidRDefault="00414C35" w:rsidP="00F54E74">
      <w:pPr>
        <w:pStyle w:val="Heading1"/>
      </w:pPr>
      <w:bookmarkStart w:id="0" w:name="_Toc519278551"/>
      <w:bookmarkStart w:id="1" w:name="_Toc90025987"/>
      <w:bookmarkStart w:id="2" w:name="_Hlk90039294"/>
      <w:bookmarkStart w:id="3" w:name="_Toc405792991"/>
      <w:bookmarkStart w:id="4" w:name="_Toc405793224"/>
      <w:r>
        <w:lastRenderedPageBreak/>
        <w:t>Foreword</w:t>
      </w:r>
      <w:bookmarkEnd w:id="0"/>
      <w:bookmarkEnd w:id="1"/>
    </w:p>
    <w:p w14:paraId="568FD819" w14:textId="77777777" w:rsidR="00C172EE" w:rsidRDefault="00C172EE" w:rsidP="00C172EE">
      <w:pPr>
        <w:rPr>
          <w:rFonts w:ascii="Calibri" w:hAnsi="Calibri"/>
          <w:sz w:val="22"/>
          <w:lang w:eastAsia="en-US"/>
        </w:rPr>
      </w:pPr>
      <w:bookmarkStart w:id="5" w:name="_Hlk72506085"/>
      <w:r>
        <w:rPr>
          <w:i/>
          <w:iCs/>
        </w:rPr>
        <w:t>He Ara Oranga: Report of the Government Inquiry into Mental Health and Addiction</w:t>
      </w:r>
      <w:r>
        <w:t xml:space="preserve"> (Paterson et al 2018) provides us with a blueprint to develop future service delivery. We are challenged to develop models of care which are co-produced, recovery-oriented and evidence-based and which place tāngata whai ora and their whānau at the centre of all that we do. Our shared goal is to make our forensic mental health services </w:t>
      </w:r>
      <w:r w:rsidRPr="00E23D61">
        <w:t xml:space="preserve">(FMHS) centres </w:t>
      </w:r>
      <w:r>
        <w:t>of excellence that are trauma informed and culturally responsive in addressing mental health and offending needs.</w:t>
      </w:r>
    </w:p>
    <w:p w14:paraId="67622073" w14:textId="77777777" w:rsidR="00C172EE" w:rsidRDefault="00C172EE" w:rsidP="00C172EE"/>
    <w:p w14:paraId="3A83BC96" w14:textId="77777777" w:rsidR="00C172EE" w:rsidRDefault="00C172EE" w:rsidP="00C172EE">
      <w:r>
        <w:t>The number of tāngata whaiora requiring access for treatment in FMHSs has significantly increased over time; however, the size of our services has not. We recognise that now is the time to reflect and review all aspects of our FMHSs, to plan for future developments that better place tāngata whai ora and their whānau at the centre.</w:t>
      </w:r>
    </w:p>
    <w:p w14:paraId="6AE6940A" w14:textId="77777777" w:rsidR="00C172EE" w:rsidRDefault="00C172EE" w:rsidP="00C172EE"/>
    <w:p w14:paraId="2ACA43C3" w14:textId="77777777" w:rsidR="00C172EE" w:rsidRPr="00E23D61" w:rsidRDefault="00C172EE" w:rsidP="00C172EE">
      <w:r>
        <w:t xml:space="preserve">Forensic mental health services very often provide support and services for tāngata whaiora who are especially vulnerable, including those with very high and complex social needs, and those with multiple mental health and addiction needs. Tāngata whai </w:t>
      </w:r>
      <w:r w:rsidRPr="00E23D61">
        <w:t>ora who are Māori are alarmingly overrepresented, and the number of women accessing services is also on the rise. In addition, there has been a reduction in the prison population, and the increased demand for mental health and addiction services among this population results in even more pressure for our FMHS.</w:t>
      </w:r>
    </w:p>
    <w:p w14:paraId="2C965AB2" w14:textId="77777777" w:rsidR="00C172EE" w:rsidRPr="00E23D61" w:rsidRDefault="00C172EE" w:rsidP="00C172EE"/>
    <w:p w14:paraId="1F2223C0" w14:textId="77777777" w:rsidR="00C172EE" w:rsidRPr="00E23D61" w:rsidRDefault="00C172EE" w:rsidP="00C172EE">
      <w:r w:rsidRPr="00E23D61">
        <w:t>The Ministry of Health has commissioned this literature review as part of a two stage process to support future development in the Aotearoa New Zealand Forensic Mental Health Services. The other part of this work was to test the key findings from this document with tāngata whaiora, their whānau, the people who work in all parts of these services and those people who intersect with FMHS.</w:t>
      </w:r>
    </w:p>
    <w:p w14:paraId="7BC2425B" w14:textId="77777777" w:rsidR="00C172EE" w:rsidRPr="00E23D61" w:rsidRDefault="00C172EE" w:rsidP="00C172EE"/>
    <w:p w14:paraId="66789371" w14:textId="77777777" w:rsidR="00C172EE" w:rsidRPr="00E23D61" w:rsidRDefault="00C172EE" w:rsidP="00C172EE">
      <w:r w:rsidRPr="00E23D61">
        <w:t>These two stages will then be woven into an implementation guidance document including being part of the System and Service Framework. This aspirational document will describe the current and future needs for service development, workforce development and models of care to support tāngata whaiora on their journey to achieve greater wellbeing.</w:t>
      </w:r>
    </w:p>
    <w:p w14:paraId="3ABD55F4" w14:textId="77777777" w:rsidR="00C172EE" w:rsidRPr="00E23D61" w:rsidRDefault="00C172EE" w:rsidP="00C172EE"/>
    <w:p w14:paraId="0C974DCE" w14:textId="28B8834A" w:rsidR="00C172EE" w:rsidRDefault="00C172EE" w:rsidP="00C172EE">
      <w:r w:rsidRPr="00E23D61">
        <w:t>We would like to acknowledge all those that contributed to this document including those psychiatrists and staff in the Aotearoa New Zealand mental health and corrections settings</w:t>
      </w:r>
      <w:r>
        <w:t>.</w:t>
      </w:r>
    </w:p>
    <w:bookmarkEnd w:id="5"/>
    <w:p w14:paraId="78A799BB" w14:textId="77777777" w:rsidR="00633C48" w:rsidRPr="000329FE" w:rsidRDefault="00633C48" w:rsidP="00633C48"/>
    <w:p w14:paraId="50C199F0" w14:textId="77777777" w:rsidR="00633C48" w:rsidRPr="00633C48" w:rsidRDefault="00633C48" w:rsidP="00633C48">
      <w:pPr>
        <w:rPr>
          <w:b/>
          <w:i/>
          <w:lang w:eastAsia="en-NZ"/>
        </w:rPr>
      </w:pPr>
      <w:r w:rsidRPr="00633C48">
        <w:rPr>
          <w:b/>
          <w:i/>
          <w:lang w:eastAsia="en-NZ"/>
        </w:rPr>
        <w:t>Me whakakotahi tatou ki te rapuhia i te huarahi pai mo te oranga pūmau.</w:t>
      </w:r>
    </w:p>
    <w:p w14:paraId="2E3B6188" w14:textId="77777777" w:rsidR="00633C48" w:rsidRPr="00633C48" w:rsidRDefault="00633C48" w:rsidP="00633C48">
      <w:pPr>
        <w:rPr>
          <w:rFonts w:ascii="Arial" w:hAnsi="Arial" w:cs="Arial"/>
          <w:b/>
          <w:i/>
          <w:sz w:val="20"/>
        </w:rPr>
      </w:pPr>
      <w:r w:rsidRPr="00633C48">
        <w:rPr>
          <w:b/>
          <w:i/>
          <w:lang w:eastAsia="en-NZ"/>
        </w:rPr>
        <w:t>We must unite in the pursuit of a better way of life</w:t>
      </w:r>
      <w:r w:rsidRPr="00633C48">
        <w:rPr>
          <w:rFonts w:ascii="Arial" w:hAnsi="Arial" w:cs="Arial"/>
          <w:b/>
          <w:i/>
          <w:lang w:eastAsia="en-NZ"/>
        </w:rPr>
        <w:t>.</w:t>
      </w:r>
    </w:p>
    <w:p w14:paraId="371973FA" w14:textId="77777777" w:rsidR="00633C48" w:rsidRPr="000329FE" w:rsidRDefault="00633C48" w:rsidP="00633C48"/>
    <w:p w14:paraId="668301EE" w14:textId="77777777" w:rsidR="00633C48" w:rsidRPr="000329FE" w:rsidRDefault="00633C48" w:rsidP="00633C48">
      <w:r>
        <w:t>Philip Grady</w:t>
      </w:r>
    </w:p>
    <w:p w14:paraId="4AEDE592" w14:textId="77777777" w:rsidR="00FB0A5B" w:rsidRDefault="00633C48" w:rsidP="00633C48">
      <w:r w:rsidRPr="000329FE">
        <w:t>Acting Deputy Director-General, Mental Health and Addiction</w:t>
      </w:r>
    </w:p>
    <w:bookmarkEnd w:id="2"/>
    <w:p w14:paraId="238CF146" w14:textId="77777777" w:rsidR="00FB0A5B" w:rsidRDefault="00FB0A5B" w:rsidP="00414C35"/>
    <w:p w14:paraId="7110DF19" w14:textId="77777777" w:rsidR="00414C35" w:rsidRDefault="00414C35" w:rsidP="00414C35">
      <w:pPr>
        <w:sectPr w:rsidR="00414C35" w:rsidSect="001D3E4E">
          <w:headerReference w:type="even" r:id="rId15"/>
          <w:headerReference w:type="default" r:id="rId16"/>
          <w:footerReference w:type="even" r:id="rId17"/>
          <w:footerReference w:type="default" r:id="rId18"/>
          <w:pgSz w:w="11907" w:h="16840" w:code="9"/>
          <w:pgMar w:top="1418" w:right="1701" w:bottom="1134" w:left="1843" w:header="284" w:footer="425" w:gutter="284"/>
          <w:pgNumType w:fmt="lowerRoman"/>
          <w:cols w:space="720"/>
        </w:sectPr>
      </w:pPr>
    </w:p>
    <w:p w14:paraId="2F4BA5AA" w14:textId="77777777" w:rsidR="00414C35" w:rsidRDefault="00414C35" w:rsidP="00414C35"/>
    <w:p w14:paraId="041F2DAC" w14:textId="77777777" w:rsidR="00414C35" w:rsidRDefault="00414C35" w:rsidP="00414C35">
      <w:pPr>
        <w:sectPr w:rsidR="00414C35" w:rsidSect="0078658E">
          <w:footerReference w:type="even" r:id="rId19"/>
          <w:footerReference w:type="default" r:id="rId20"/>
          <w:pgSz w:w="11907" w:h="16840" w:code="9"/>
          <w:pgMar w:top="1418" w:right="1701" w:bottom="1134" w:left="1843" w:header="284" w:footer="425" w:gutter="284"/>
          <w:pgNumType w:fmt="lowerRoman"/>
          <w:cols w:space="720"/>
        </w:sectPr>
      </w:pPr>
    </w:p>
    <w:p w14:paraId="3B27DAD4" w14:textId="77777777" w:rsidR="00C86248" w:rsidRDefault="00C86248" w:rsidP="00025A6F">
      <w:pPr>
        <w:pStyle w:val="IntroHead"/>
      </w:pPr>
      <w:r>
        <w:lastRenderedPageBreak/>
        <w:t>Contents</w:t>
      </w:r>
      <w:bookmarkEnd w:id="3"/>
      <w:bookmarkEnd w:id="4"/>
    </w:p>
    <w:p w14:paraId="0302CB77" w14:textId="77777777" w:rsidR="00B02D1E" w:rsidRDefault="00C86248">
      <w:pPr>
        <w:pStyle w:val="TOC1"/>
        <w:rPr>
          <w:rFonts w:asciiTheme="minorHAnsi" w:eastAsiaTheme="minorEastAsia" w:hAnsiTheme="minorHAnsi" w:cstheme="minorBidi"/>
          <w:noProof/>
          <w:sz w:val="22"/>
          <w:szCs w:val="22"/>
          <w:lang w:eastAsia="en-NZ"/>
        </w:rPr>
      </w:pPr>
      <w:r>
        <w:rPr>
          <w:b/>
        </w:rPr>
        <w:fldChar w:fldCharType="begin"/>
      </w:r>
      <w:r>
        <w:instrText xml:space="preserve"> TOC \o "1-2" </w:instrText>
      </w:r>
      <w:r>
        <w:rPr>
          <w:b/>
        </w:rPr>
        <w:fldChar w:fldCharType="separate"/>
      </w:r>
      <w:r w:rsidR="00B02D1E">
        <w:rPr>
          <w:noProof/>
        </w:rPr>
        <w:t>Foreword</w:t>
      </w:r>
      <w:r w:rsidR="00B02D1E">
        <w:rPr>
          <w:noProof/>
        </w:rPr>
        <w:tab/>
      </w:r>
      <w:r w:rsidR="00B02D1E">
        <w:rPr>
          <w:noProof/>
        </w:rPr>
        <w:fldChar w:fldCharType="begin"/>
      </w:r>
      <w:r w:rsidR="00B02D1E">
        <w:rPr>
          <w:noProof/>
        </w:rPr>
        <w:instrText xml:space="preserve"> PAGEREF _Toc90025987 \h </w:instrText>
      </w:r>
      <w:r w:rsidR="00B02D1E">
        <w:rPr>
          <w:noProof/>
        </w:rPr>
      </w:r>
      <w:r w:rsidR="00B02D1E">
        <w:rPr>
          <w:noProof/>
        </w:rPr>
        <w:fldChar w:fldCharType="separate"/>
      </w:r>
      <w:r w:rsidR="00F73238">
        <w:rPr>
          <w:noProof/>
        </w:rPr>
        <w:t>iii</w:t>
      </w:r>
      <w:r w:rsidR="00B02D1E">
        <w:rPr>
          <w:noProof/>
        </w:rPr>
        <w:fldChar w:fldCharType="end"/>
      </w:r>
    </w:p>
    <w:p w14:paraId="1D443C8B" w14:textId="77777777" w:rsidR="00B02D1E" w:rsidRDefault="00B02D1E">
      <w:pPr>
        <w:pStyle w:val="TOC1"/>
        <w:rPr>
          <w:rFonts w:asciiTheme="minorHAnsi" w:eastAsiaTheme="minorEastAsia" w:hAnsiTheme="minorHAnsi" w:cstheme="minorBidi"/>
          <w:noProof/>
          <w:sz w:val="22"/>
          <w:szCs w:val="22"/>
          <w:lang w:eastAsia="en-NZ"/>
        </w:rPr>
      </w:pPr>
      <w:r>
        <w:rPr>
          <w:noProof/>
        </w:rPr>
        <w:t>Executive summary</w:t>
      </w:r>
      <w:r>
        <w:rPr>
          <w:noProof/>
        </w:rPr>
        <w:tab/>
      </w:r>
      <w:r>
        <w:rPr>
          <w:noProof/>
        </w:rPr>
        <w:fldChar w:fldCharType="begin"/>
      </w:r>
      <w:r>
        <w:rPr>
          <w:noProof/>
        </w:rPr>
        <w:instrText xml:space="preserve"> PAGEREF _Toc90025988 \h </w:instrText>
      </w:r>
      <w:r>
        <w:rPr>
          <w:noProof/>
        </w:rPr>
      </w:r>
      <w:r>
        <w:rPr>
          <w:noProof/>
        </w:rPr>
        <w:fldChar w:fldCharType="separate"/>
      </w:r>
      <w:r w:rsidR="00F73238">
        <w:rPr>
          <w:noProof/>
        </w:rPr>
        <w:t>vii</w:t>
      </w:r>
      <w:r>
        <w:rPr>
          <w:noProof/>
        </w:rPr>
        <w:fldChar w:fldCharType="end"/>
      </w:r>
    </w:p>
    <w:p w14:paraId="5DD36FB2" w14:textId="77777777" w:rsidR="00B02D1E" w:rsidRDefault="00B02D1E">
      <w:pPr>
        <w:pStyle w:val="TOC2"/>
        <w:rPr>
          <w:rFonts w:asciiTheme="minorHAnsi" w:eastAsiaTheme="minorEastAsia" w:hAnsiTheme="minorHAnsi" w:cstheme="minorBidi"/>
          <w:noProof/>
          <w:sz w:val="22"/>
          <w:szCs w:val="22"/>
          <w:lang w:eastAsia="en-NZ"/>
        </w:rPr>
      </w:pPr>
      <w:r>
        <w:rPr>
          <w:noProof/>
        </w:rPr>
        <w:t>Recommendations for models of care in Aotearoa New Zealand</w:t>
      </w:r>
      <w:r>
        <w:rPr>
          <w:noProof/>
        </w:rPr>
        <w:tab/>
      </w:r>
      <w:r>
        <w:rPr>
          <w:noProof/>
        </w:rPr>
        <w:fldChar w:fldCharType="begin"/>
      </w:r>
      <w:r>
        <w:rPr>
          <w:noProof/>
        </w:rPr>
        <w:instrText xml:space="preserve"> PAGEREF _Toc90025989 \h </w:instrText>
      </w:r>
      <w:r>
        <w:rPr>
          <w:noProof/>
        </w:rPr>
      </w:r>
      <w:r>
        <w:rPr>
          <w:noProof/>
        </w:rPr>
        <w:fldChar w:fldCharType="separate"/>
      </w:r>
      <w:r w:rsidR="00F73238">
        <w:rPr>
          <w:noProof/>
        </w:rPr>
        <w:t>xii</w:t>
      </w:r>
      <w:r>
        <w:rPr>
          <w:noProof/>
        </w:rPr>
        <w:fldChar w:fldCharType="end"/>
      </w:r>
    </w:p>
    <w:p w14:paraId="1370F049" w14:textId="77777777" w:rsidR="00B02D1E" w:rsidRDefault="00B02D1E">
      <w:pPr>
        <w:pStyle w:val="TOC1"/>
        <w:rPr>
          <w:rFonts w:asciiTheme="minorHAnsi" w:eastAsiaTheme="minorEastAsia" w:hAnsiTheme="minorHAnsi" w:cstheme="minorBidi"/>
          <w:noProof/>
          <w:sz w:val="22"/>
          <w:szCs w:val="22"/>
          <w:lang w:eastAsia="en-NZ"/>
        </w:rPr>
      </w:pPr>
      <w:r w:rsidRPr="000B17B5">
        <w:rPr>
          <w:noProof/>
        </w:rPr>
        <w:t>Section 1:</w:t>
      </w:r>
      <w:r>
        <w:rPr>
          <w:noProof/>
        </w:rPr>
        <w:t xml:space="preserve"> Introduction and background</w:t>
      </w:r>
      <w:r>
        <w:rPr>
          <w:noProof/>
        </w:rPr>
        <w:tab/>
      </w:r>
      <w:r>
        <w:rPr>
          <w:noProof/>
        </w:rPr>
        <w:fldChar w:fldCharType="begin"/>
      </w:r>
      <w:r>
        <w:rPr>
          <w:noProof/>
        </w:rPr>
        <w:instrText xml:space="preserve"> PAGEREF _Toc90025990 \h </w:instrText>
      </w:r>
      <w:r>
        <w:rPr>
          <w:noProof/>
        </w:rPr>
      </w:r>
      <w:r>
        <w:rPr>
          <w:noProof/>
        </w:rPr>
        <w:fldChar w:fldCharType="separate"/>
      </w:r>
      <w:r w:rsidR="00F73238">
        <w:rPr>
          <w:noProof/>
        </w:rPr>
        <w:t>1</w:t>
      </w:r>
      <w:r>
        <w:rPr>
          <w:noProof/>
        </w:rPr>
        <w:fldChar w:fldCharType="end"/>
      </w:r>
    </w:p>
    <w:p w14:paraId="6EBED438" w14:textId="77777777" w:rsidR="00B02D1E" w:rsidRDefault="00B02D1E">
      <w:pPr>
        <w:pStyle w:val="TOC2"/>
        <w:rPr>
          <w:rFonts w:asciiTheme="minorHAnsi" w:eastAsiaTheme="minorEastAsia" w:hAnsiTheme="minorHAnsi" w:cstheme="minorBidi"/>
          <w:noProof/>
          <w:sz w:val="22"/>
          <w:szCs w:val="22"/>
          <w:lang w:eastAsia="en-NZ"/>
        </w:rPr>
      </w:pPr>
      <w:r>
        <w:rPr>
          <w:noProof/>
        </w:rPr>
        <w:t>Forensic psychiatry services in Aotearoa New Zealand</w:t>
      </w:r>
      <w:r>
        <w:rPr>
          <w:noProof/>
        </w:rPr>
        <w:tab/>
      </w:r>
      <w:r>
        <w:rPr>
          <w:noProof/>
        </w:rPr>
        <w:fldChar w:fldCharType="begin"/>
      </w:r>
      <w:r>
        <w:rPr>
          <w:noProof/>
        </w:rPr>
        <w:instrText xml:space="preserve"> PAGEREF _Toc90025991 \h </w:instrText>
      </w:r>
      <w:r>
        <w:rPr>
          <w:noProof/>
        </w:rPr>
      </w:r>
      <w:r>
        <w:rPr>
          <w:noProof/>
        </w:rPr>
        <w:fldChar w:fldCharType="separate"/>
      </w:r>
      <w:r w:rsidR="00F73238">
        <w:rPr>
          <w:noProof/>
        </w:rPr>
        <w:t>2</w:t>
      </w:r>
      <w:r>
        <w:rPr>
          <w:noProof/>
        </w:rPr>
        <w:fldChar w:fldCharType="end"/>
      </w:r>
    </w:p>
    <w:p w14:paraId="29E04EEC" w14:textId="77777777" w:rsidR="00B02D1E" w:rsidRDefault="00B02D1E">
      <w:pPr>
        <w:pStyle w:val="TOC2"/>
        <w:rPr>
          <w:rFonts w:asciiTheme="minorHAnsi" w:eastAsiaTheme="minorEastAsia" w:hAnsiTheme="minorHAnsi" w:cstheme="minorBidi"/>
          <w:noProof/>
          <w:sz w:val="22"/>
          <w:szCs w:val="22"/>
          <w:lang w:eastAsia="en-NZ"/>
        </w:rPr>
      </w:pPr>
      <w:r>
        <w:rPr>
          <w:noProof/>
        </w:rPr>
        <w:t>Defining ‘model of care’</w:t>
      </w:r>
      <w:r>
        <w:rPr>
          <w:noProof/>
        </w:rPr>
        <w:tab/>
      </w:r>
      <w:r>
        <w:rPr>
          <w:noProof/>
        </w:rPr>
        <w:fldChar w:fldCharType="begin"/>
      </w:r>
      <w:r>
        <w:rPr>
          <w:noProof/>
        </w:rPr>
        <w:instrText xml:space="preserve"> PAGEREF _Toc90025992 \h </w:instrText>
      </w:r>
      <w:r>
        <w:rPr>
          <w:noProof/>
        </w:rPr>
      </w:r>
      <w:r>
        <w:rPr>
          <w:noProof/>
        </w:rPr>
        <w:fldChar w:fldCharType="separate"/>
      </w:r>
      <w:r w:rsidR="00F73238">
        <w:rPr>
          <w:noProof/>
        </w:rPr>
        <w:t>13</w:t>
      </w:r>
      <w:r>
        <w:rPr>
          <w:noProof/>
        </w:rPr>
        <w:fldChar w:fldCharType="end"/>
      </w:r>
    </w:p>
    <w:p w14:paraId="1D4080D7" w14:textId="77777777" w:rsidR="00B02D1E" w:rsidRDefault="00B02D1E">
      <w:pPr>
        <w:pStyle w:val="TOC2"/>
        <w:rPr>
          <w:rFonts w:asciiTheme="minorHAnsi" w:eastAsiaTheme="minorEastAsia" w:hAnsiTheme="minorHAnsi" w:cstheme="minorBidi"/>
          <w:noProof/>
          <w:sz w:val="22"/>
          <w:szCs w:val="22"/>
          <w:lang w:eastAsia="en-NZ"/>
        </w:rPr>
      </w:pPr>
      <w:r>
        <w:rPr>
          <w:noProof/>
        </w:rPr>
        <w:t>Project brief</w:t>
      </w:r>
      <w:r>
        <w:rPr>
          <w:noProof/>
        </w:rPr>
        <w:tab/>
      </w:r>
      <w:r>
        <w:rPr>
          <w:noProof/>
        </w:rPr>
        <w:fldChar w:fldCharType="begin"/>
      </w:r>
      <w:r>
        <w:rPr>
          <w:noProof/>
        </w:rPr>
        <w:instrText xml:space="preserve"> PAGEREF _Toc90025993 \h </w:instrText>
      </w:r>
      <w:r>
        <w:rPr>
          <w:noProof/>
        </w:rPr>
      </w:r>
      <w:r>
        <w:rPr>
          <w:noProof/>
        </w:rPr>
        <w:fldChar w:fldCharType="separate"/>
      </w:r>
      <w:r w:rsidR="00F73238">
        <w:rPr>
          <w:noProof/>
        </w:rPr>
        <w:t>14</w:t>
      </w:r>
      <w:r>
        <w:rPr>
          <w:noProof/>
        </w:rPr>
        <w:fldChar w:fldCharType="end"/>
      </w:r>
    </w:p>
    <w:p w14:paraId="4E9B680F" w14:textId="77777777" w:rsidR="00B02D1E" w:rsidRDefault="00B02D1E">
      <w:pPr>
        <w:pStyle w:val="TOC1"/>
        <w:rPr>
          <w:rFonts w:asciiTheme="minorHAnsi" w:eastAsiaTheme="minorEastAsia" w:hAnsiTheme="minorHAnsi" w:cstheme="minorBidi"/>
          <w:noProof/>
          <w:sz w:val="22"/>
          <w:szCs w:val="22"/>
          <w:lang w:eastAsia="en-NZ"/>
        </w:rPr>
      </w:pPr>
      <w:r w:rsidRPr="000B17B5">
        <w:rPr>
          <w:bCs/>
          <w:noProof/>
        </w:rPr>
        <w:t>Section 2:</w:t>
      </w:r>
      <w:r w:rsidRPr="000B17B5">
        <w:rPr>
          <w:noProof/>
        </w:rPr>
        <w:t xml:space="preserve"> </w:t>
      </w:r>
      <w:r>
        <w:rPr>
          <w:noProof/>
        </w:rPr>
        <w:t>Inpatient review</w:t>
      </w:r>
      <w:r>
        <w:rPr>
          <w:noProof/>
        </w:rPr>
        <w:tab/>
      </w:r>
      <w:r>
        <w:rPr>
          <w:noProof/>
        </w:rPr>
        <w:fldChar w:fldCharType="begin"/>
      </w:r>
      <w:r>
        <w:rPr>
          <w:noProof/>
        </w:rPr>
        <w:instrText xml:space="preserve"> PAGEREF _Toc90025994 \h </w:instrText>
      </w:r>
      <w:r>
        <w:rPr>
          <w:noProof/>
        </w:rPr>
      </w:r>
      <w:r>
        <w:rPr>
          <w:noProof/>
        </w:rPr>
        <w:fldChar w:fldCharType="separate"/>
      </w:r>
      <w:r w:rsidR="00F73238">
        <w:rPr>
          <w:noProof/>
        </w:rPr>
        <w:t>16</w:t>
      </w:r>
      <w:r>
        <w:rPr>
          <w:noProof/>
        </w:rPr>
        <w:fldChar w:fldCharType="end"/>
      </w:r>
    </w:p>
    <w:p w14:paraId="3AF3EAE1" w14:textId="77777777" w:rsidR="00B02D1E" w:rsidRDefault="00B02D1E">
      <w:pPr>
        <w:pStyle w:val="TOC2"/>
        <w:rPr>
          <w:rFonts w:asciiTheme="minorHAnsi" w:eastAsiaTheme="minorEastAsia" w:hAnsiTheme="minorHAnsi" w:cstheme="minorBidi"/>
          <w:noProof/>
          <w:sz w:val="22"/>
          <w:szCs w:val="22"/>
          <w:lang w:eastAsia="en-NZ"/>
        </w:rPr>
      </w:pPr>
      <w:r>
        <w:rPr>
          <w:noProof/>
        </w:rPr>
        <w:t>Introduction</w:t>
      </w:r>
      <w:r>
        <w:rPr>
          <w:noProof/>
        </w:rPr>
        <w:tab/>
      </w:r>
      <w:r>
        <w:rPr>
          <w:noProof/>
        </w:rPr>
        <w:fldChar w:fldCharType="begin"/>
      </w:r>
      <w:r>
        <w:rPr>
          <w:noProof/>
        </w:rPr>
        <w:instrText xml:space="preserve"> PAGEREF _Toc90025995 \h </w:instrText>
      </w:r>
      <w:r>
        <w:rPr>
          <w:noProof/>
        </w:rPr>
      </w:r>
      <w:r>
        <w:rPr>
          <w:noProof/>
        </w:rPr>
        <w:fldChar w:fldCharType="separate"/>
      </w:r>
      <w:r w:rsidR="00F73238">
        <w:rPr>
          <w:noProof/>
        </w:rPr>
        <w:t>16</w:t>
      </w:r>
      <w:r>
        <w:rPr>
          <w:noProof/>
        </w:rPr>
        <w:fldChar w:fldCharType="end"/>
      </w:r>
    </w:p>
    <w:p w14:paraId="3A869500" w14:textId="77777777" w:rsidR="00B02D1E" w:rsidRDefault="00B02D1E">
      <w:pPr>
        <w:pStyle w:val="TOC2"/>
        <w:rPr>
          <w:rFonts w:asciiTheme="minorHAnsi" w:eastAsiaTheme="minorEastAsia" w:hAnsiTheme="minorHAnsi" w:cstheme="minorBidi"/>
          <w:noProof/>
          <w:sz w:val="22"/>
          <w:szCs w:val="22"/>
          <w:lang w:eastAsia="en-NZ"/>
        </w:rPr>
      </w:pPr>
      <w:r>
        <w:rPr>
          <w:noProof/>
        </w:rPr>
        <w:t>Methodology</w:t>
      </w:r>
      <w:r>
        <w:rPr>
          <w:noProof/>
        </w:rPr>
        <w:tab/>
      </w:r>
      <w:r>
        <w:rPr>
          <w:noProof/>
        </w:rPr>
        <w:fldChar w:fldCharType="begin"/>
      </w:r>
      <w:r>
        <w:rPr>
          <w:noProof/>
        </w:rPr>
        <w:instrText xml:space="preserve"> PAGEREF _Toc90025996 \h </w:instrText>
      </w:r>
      <w:r>
        <w:rPr>
          <w:noProof/>
        </w:rPr>
      </w:r>
      <w:r>
        <w:rPr>
          <w:noProof/>
        </w:rPr>
        <w:fldChar w:fldCharType="separate"/>
      </w:r>
      <w:r w:rsidR="00F73238">
        <w:rPr>
          <w:noProof/>
        </w:rPr>
        <w:t>17</w:t>
      </w:r>
      <w:r>
        <w:rPr>
          <w:noProof/>
        </w:rPr>
        <w:fldChar w:fldCharType="end"/>
      </w:r>
    </w:p>
    <w:p w14:paraId="580F03FB" w14:textId="77777777" w:rsidR="00B02D1E" w:rsidRDefault="00B02D1E">
      <w:pPr>
        <w:pStyle w:val="TOC2"/>
        <w:rPr>
          <w:rFonts w:asciiTheme="minorHAnsi" w:eastAsiaTheme="minorEastAsia" w:hAnsiTheme="minorHAnsi" w:cstheme="minorBidi"/>
          <w:noProof/>
          <w:sz w:val="22"/>
          <w:szCs w:val="22"/>
          <w:lang w:eastAsia="en-NZ"/>
        </w:rPr>
      </w:pPr>
      <w:r>
        <w:rPr>
          <w:noProof/>
        </w:rPr>
        <w:t>Review findings</w:t>
      </w:r>
      <w:r>
        <w:rPr>
          <w:noProof/>
        </w:rPr>
        <w:tab/>
      </w:r>
      <w:r>
        <w:rPr>
          <w:noProof/>
        </w:rPr>
        <w:fldChar w:fldCharType="begin"/>
      </w:r>
      <w:r>
        <w:rPr>
          <w:noProof/>
        </w:rPr>
        <w:instrText xml:space="preserve"> PAGEREF _Toc90025997 \h </w:instrText>
      </w:r>
      <w:r>
        <w:rPr>
          <w:noProof/>
        </w:rPr>
      </w:r>
      <w:r>
        <w:rPr>
          <w:noProof/>
        </w:rPr>
        <w:fldChar w:fldCharType="separate"/>
      </w:r>
      <w:r w:rsidR="00F73238">
        <w:rPr>
          <w:noProof/>
        </w:rPr>
        <w:t>19</w:t>
      </w:r>
      <w:r>
        <w:rPr>
          <w:noProof/>
        </w:rPr>
        <w:fldChar w:fldCharType="end"/>
      </w:r>
    </w:p>
    <w:p w14:paraId="53188C00" w14:textId="77777777" w:rsidR="00B02D1E" w:rsidRDefault="00B02D1E">
      <w:pPr>
        <w:pStyle w:val="TOC2"/>
        <w:rPr>
          <w:rFonts w:asciiTheme="minorHAnsi" w:eastAsiaTheme="minorEastAsia" w:hAnsiTheme="minorHAnsi" w:cstheme="minorBidi"/>
          <w:noProof/>
          <w:sz w:val="22"/>
          <w:szCs w:val="22"/>
          <w:lang w:eastAsia="en-NZ"/>
        </w:rPr>
      </w:pPr>
      <w:r>
        <w:rPr>
          <w:noProof/>
        </w:rPr>
        <w:t>Summary</w:t>
      </w:r>
      <w:r>
        <w:rPr>
          <w:noProof/>
        </w:rPr>
        <w:tab/>
      </w:r>
      <w:r>
        <w:rPr>
          <w:noProof/>
        </w:rPr>
        <w:fldChar w:fldCharType="begin"/>
      </w:r>
      <w:r>
        <w:rPr>
          <w:noProof/>
        </w:rPr>
        <w:instrText xml:space="preserve"> PAGEREF _Toc90025998 \h </w:instrText>
      </w:r>
      <w:r>
        <w:rPr>
          <w:noProof/>
        </w:rPr>
      </w:r>
      <w:r>
        <w:rPr>
          <w:noProof/>
        </w:rPr>
        <w:fldChar w:fldCharType="separate"/>
      </w:r>
      <w:r w:rsidR="00F73238">
        <w:rPr>
          <w:noProof/>
        </w:rPr>
        <w:t>33</w:t>
      </w:r>
      <w:r>
        <w:rPr>
          <w:noProof/>
        </w:rPr>
        <w:fldChar w:fldCharType="end"/>
      </w:r>
    </w:p>
    <w:p w14:paraId="6FBFB157" w14:textId="77777777" w:rsidR="00B02D1E" w:rsidRDefault="00B02D1E">
      <w:pPr>
        <w:pStyle w:val="TOC1"/>
        <w:rPr>
          <w:rFonts w:asciiTheme="minorHAnsi" w:eastAsiaTheme="minorEastAsia" w:hAnsiTheme="minorHAnsi" w:cstheme="minorBidi"/>
          <w:noProof/>
          <w:sz w:val="22"/>
          <w:szCs w:val="22"/>
          <w:lang w:eastAsia="en-NZ"/>
        </w:rPr>
      </w:pPr>
      <w:r w:rsidRPr="000B17B5">
        <w:rPr>
          <w:bCs/>
          <w:noProof/>
        </w:rPr>
        <w:t>Section 3:</w:t>
      </w:r>
      <w:r w:rsidRPr="000B17B5">
        <w:rPr>
          <w:noProof/>
        </w:rPr>
        <w:t xml:space="preserve"> </w:t>
      </w:r>
      <w:r>
        <w:rPr>
          <w:noProof/>
        </w:rPr>
        <w:t>Community review</w:t>
      </w:r>
      <w:r>
        <w:rPr>
          <w:noProof/>
        </w:rPr>
        <w:tab/>
      </w:r>
      <w:r>
        <w:rPr>
          <w:noProof/>
        </w:rPr>
        <w:fldChar w:fldCharType="begin"/>
      </w:r>
      <w:r>
        <w:rPr>
          <w:noProof/>
        </w:rPr>
        <w:instrText xml:space="preserve"> PAGEREF _Toc90025999 \h </w:instrText>
      </w:r>
      <w:r>
        <w:rPr>
          <w:noProof/>
        </w:rPr>
      </w:r>
      <w:r>
        <w:rPr>
          <w:noProof/>
        </w:rPr>
        <w:fldChar w:fldCharType="separate"/>
      </w:r>
      <w:r w:rsidR="00F73238">
        <w:rPr>
          <w:noProof/>
        </w:rPr>
        <w:t>34</w:t>
      </w:r>
      <w:r>
        <w:rPr>
          <w:noProof/>
        </w:rPr>
        <w:fldChar w:fldCharType="end"/>
      </w:r>
    </w:p>
    <w:p w14:paraId="2803528A" w14:textId="77777777" w:rsidR="00B02D1E" w:rsidRDefault="00B02D1E">
      <w:pPr>
        <w:pStyle w:val="TOC2"/>
        <w:rPr>
          <w:rFonts w:asciiTheme="minorHAnsi" w:eastAsiaTheme="minorEastAsia" w:hAnsiTheme="minorHAnsi" w:cstheme="minorBidi"/>
          <w:noProof/>
          <w:sz w:val="22"/>
          <w:szCs w:val="22"/>
          <w:lang w:eastAsia="en-NZ"/>
        </w:rPr>
      </w:pPr>
      <w:r>
        <w:rPr>
          <w:noProof/>
        </w:rPr>
        <w:t>Introduction</w:t>
      </w:r>
      <w:r>
        <w:rPr>
          <w:noProof/>
        </w:rPr>
        <w:tab/>
      </w:r>
      <w:r>
        <w:rPr>
          <w:noProof/>
        </w:rPr>
        <w:fldChar w:fldCharType="begin"/>
      </w:r>
      <w:r>
        <w:rPr>
          <w:noProof/>
        </w:rPr>
        <w:instrText xml:space="preserve"> PAGEREF _Toc90026000 \h </w:instrText>
      </w:r>
      <w:r>
        <w:rPr>
          <w:noProof/>
        </w:rPr>
      </w:r>
      <w:r>
        <w:rPr>
          <w:noProof/>
        </w:rPr>
        <w:fldChar w:fldCharType="separate"/>
      </w:r>
      <w:r w:rsidR="00F73238">
        <w:rPr>
          <w:noProof/>
        </w:rPr>
        <w:t>34</w:t>
      </w:r>
      <w:r>
        <w:rPr>
          <w:noProof/>
        </w:rPr>
        <w:fldChar w:fldCharType="end"/>
      </w:r>
    </w:p>
    <w:p w14:paraId="22823C65" w14:textId="77777777" w:rsidR="00B02D1E" w:rsidRDefault="00B02D1E">
      <w:pPr>
        <w:pStyle w:val="TOC2"/>
        <w:rPr>
          <w:rFonts w:asciiTheme="minorHAnsi" w:eastAsiaTheme="minorEastAsia" w:hAnsiTheme="minorHAnsi" w:cstheme="minorBidi"/>
          <w:noProof/>
          <w:sz w:val="22"/>
          <w:szCs w:val="22"/>
          <w:lang w:eastAsia="en-NZ"/>
        </w:rPr>
      </w:pPr>
      <w:r>
        <w:rPr>
          <w:noProof/>
        </w:rPr>
        <w:t>Methodology</w:t>
      </w:r>
      <w:r>
        <w:rPr>
          <w:noProof/>
        </w:rPr>
        <w:tab/>
      </w:r>
      <w:r>
        <w:rPr>
          <w:noProof/>
        </w:rPr>
        <w:fldChar w:fldCharType="begin"/>
      </w:r>
      <w:r>
        <w:rPr>
          <w:noProof/>
        </w:rPr>
        <w:instrText xml:space="preserve"> PAGEREF _Toc90026001 \h </w:instrText>
      </w:r>
      <w:r>
        <w:rPr>
          <w:noProof/>
        </w:rPr>
      </w:r>
      <w:r>
        <w:rPr>
          <w:noProof/>
        </w:rPr>
        <w:fldChar w:fldCharType="separate"/>
      </w:r>
      <w:r w:rsidR="00F73238">
        <w:rPr>
          <w:noProof/>
        </w:rPr>
        <w:t>36</w:t>
      </w:r>
      <w:r>
        <w:rPr>
          <w:noProof/>
        </w:rPr>
        <w:fldChar w:fldCharType="end"/>
      </w:r>
    </w:p>
    <w:p w14:paraId="7953B45F" w14:textId="77777777" w:rsidR="00B02D1E" w:rsidRDefault="00B02D1E">
      <w:pPr>
        <w:pStyle w:val="TOC2"/>
        <w:rPr>
          <w:rFonts w:asciiTheme="minorHAnsi" w:eastAsiaTheme="minorEastAsia" w:hAnsiTheme="minorHAnsi" w:cstheme="minorBidi"/>
          <w:noProof/>
          <w:sz w:val="22"/>
          <w:szCs w:val="22"/>
          <w:lang w:eastAsia="en-NZ"/>
        </w:rPr>
      </w:pPr>
      <w:r>
        <w:rPr>
          <w:noProof/>
        </w:rPr>
        <w:t>Review findings</w:t>
      </w:r>
      <w:r>
        <w:rPr>
          <w:noProof/>
        </w:rPr>
        <w:tab/>
      </w:r>
      <w:r>
        <w:rPr>
          <w:noProof/>
        </w:rPr>
        <w:fldChar w:fldCharType="begin"/>
      </w:r>
      <w:r>
        <w:rPr>
          <w:noProof/>
        </w:rPr>
        <w:instrText xml:space="preserve"> PAGEREF _Toc90026002 \h </w:instrText>
      </w:r>
      <w:r>
        <w:rPr>
          <w:noProof/>
        </w:rPr>
      </w:r>
      <w:r>
        <w:rPr>
          <w:noProof/>
        </w:rPr>
        <w:fldChar w:fldCharType="separate"/>
      </w:r>
      <w:r w:rsidR="00F73238">
        <w:rPr>
          <w:noProof/>
        </w:rPr>
        <w:t>37</w:t>
      </w:r>
      <w:r>
        <w:rPr>
          <w:noProof/>
        </w:rPr>
        <w:fldChar w:fldCharType="end"/>
      </w:r>
    </w:p>
    <w:p w14:paraId="1B3B9DDF" w14:textId="77777777" w:rsidR="00B02D1E" w:rsidRDefault="00B02D1E">
      <w:pPr>
        <w:pStyle w:val="TOC2"/>
        <w:rPr>
          <w:rFonts w:asciiTheme="minorHAnsi" w:eastAsiaTheme="minorEastAsia" w:hAnsiTheme="minorHAnsi" w:cstheme="minorBidi"/>
          <w:noProof/>
          <w:sz w:val="22"/>
          <w:szCs w:val="22"/>
          <w:lang w:eastAsia="en-NZ"/>
        </w:rPr>
      </w:pPr>
      <w:r>
        <w:rPr>
          <w:noProof/>
        </w:rPr>
        <w:t>Summary</w:t>
      </w:r>
      <w:r>
        <w:rPr>
          <w:noProof/>
        </w:rPr>
        <w:tab/>
      </w:r>
      <w:r>
        <w:rPr>
          <w:noProof/>
        </w:rPr>
        <w:fldChar w:fldCharType="begin"/>
      </w:r>
      <w:r>
        <w:rPr>
          <w:noProof/>
        </w:rPr>
        <w:instrText xml:space="preserve"> PAGEREF _Toc90026003 \h </w:instrText>
      </w:r>
      <w:r>
        <w:rPr>
          <w:noProof/>
        </w:rPr>
      </w:r>
      <w:r>
        <w:rPr>
          <w:noProof/>
        </w:rPr>
        <w:fldChar w:fldCharType="separate"/>
      </w:r>
      <w:r w:rsidR="00F73238">
        <w:rPr>
          <w:noProof/>
        </w:rPr>
        <w:t>48</w:t>
      </w:r>
      <w:r>
        <w:rPr>
          <w:noProof/>
        </w:rPr>
        <w:fldChar w:fldCharType="end"/>
      </w:r>
    </w:p>
    <w:p w14:paraId="59242324" w14:textId="77777777" w:rsidR="00B02D1E" w:rsidRDefault="00B02D1E">
      <w:pPr>
        <w:pStyle w:val="TOC1"/>
        <w:rPr>
          <w:rFonts w:asciiTheme="minorHAnsi" w:eastAsiaTheme="minorEastAsia" w:hAnsiTheme="minorHAnsi" w:cstheme="minorBidi"/>
          <w:noProof/>
          <w:sz w:val="22"/>
          <w:szCs w:val="22"/>
          <w:lang w:eastAsia="en-NZ"/>
        </w:rPr>
      </w:pPr>
      <w:r w:rsidRPr="000B17B5">
        <w:rPr>
          <w:bCs/>
          <w:noProof/>
        </w:rPr>
        <w:t>Section 4:</w:t>
      </w:r>
      <w:r w:rsidRPr="000B17B5">
        <w:rPr>
          <w:noProof/>
        </w:rPr>
        <w:t xml:space="preserve"> </w:t>
      </w:r>
      <w:r>
        <w:rPr>
          <w:noProof/>
        </w:rPr>
        <w:t>Prison review</w:t>
      </w:r>
      <w:r>
        <w:rPr>
          <w:noProof/>
        </w:rPr>
        <w:tab/>
      </w:r>
      <w:r>
        <w:rPr>
          <w:noProof/>
        </w:rPr>
        <w:fldChar w:fldCharType="begin"/>
      </w:r>
      <w:r>
        <w:rPr>
          <w:noProof/>
        </w:rPr>
        <w:instrText xml:space="preserve"> PAGEREF _Toc90026004 \h </w:instrText>
      </w:r>
      <w:r>
        <w:rPr>
          <w:noProof/>
        </w:rPr>
      </w:r>
      <w:r>
        <w:rPr>
          <w:noProof/>
        </w:rPr>
        <w:fldChar w:fldCharType="separate"/>
      </w:r>
      <w:r w:rsidR="00F73238">
        <w:rPr>
          <w:noProof/>
        </w:rPr>
        <w:t>49</w:t>
      </w:r>
      <w:r>
        <w:rPr>
          <w:noProof/>
        </w:rPr>
        <w:fldChar w:fldCharType="end"/>
      </w:r>
    </w:p>
    <w:p w14:paraId="5A64FF95" w14:textId="77777777" w:rsidR="00B02D1E" w:rsidRDefault="00B02D1E">
      <w:pPr>
        <w:pStyle w:val="TOC2"/>
        <w:rPr>
          <w:rFonts w:asciiTheme="minorHAnsi" w:eastAsiaTheme="minorEastAsia" w:hAnsiTheme="minorHAnsi" w:cstheme="minorBidi"/>
          <w:noProof/>
          <w:sz w:val="22"/>
          <w:szCs w:val="22"/>
          <w:lang w:eastAsia="en-NZ"/>
        </w:rPr>
      </w:pPr>
      <w:r>
        <w:rPr>
          <w:noProof/>
        </w:rPr>
        <w:t>Introduction</w:t>
      </w:r>
      <w:r>
        <w:rPr>
          <w:noProof/>
        </w:rPr>
        <w:tab/>
      </w:r>
      <w:r>
        <w:rPr>
          <w:noProof/>
        </w:rPr>
        <w:fldChar w:fldCharType="begin"/>
      </w:r>
      <w:r>
        <w:rPr>
          <w:noProof/>
        </w:rPr>
        <w:instrText xml:space="preserve"> PAGEREF _Toc90026005 \h </w:instrText>
      </w:r>
      <w:r>
        <w:rPr>
          <w:noProof/>
        </w:rPr>
      </w:r>
      <w:r>
        <w:rPr>
          <w:noProof/>
        </w:rPr>
        <w:fldChar w:fldCharType="separate"/>
      </w:r>
      <w:r w:rsidR="00F73238">
        <w:rPr>
          <w:noProof/>
        </w:rPr>
        <w:t>49</w:t>
      </w:r>
      <w:r>
        <w:rPr>
          <w:noProof/>
        </w:rPr>
        <w:fldChar w:fldCharType="end"/>
      </w:r>
    </w:p>
    <w:p w14:paraId="6FADD95B" w14:textId="77777777" w:rsidR="00B02D1E" w:rsidRDefault="00B02D1E">
      <w:pPr>
        <w:pStyle w:val="TOC2"/>
        <w:rPr>
          <w:rFonts w:asciiTheme="minorHAnsi" w:eastAsiaTheme="minorEastAsia" w:hAnsiTheme="minorHAnsi" w:cstheme="minorBidi"/>
          <w:noProof/>
          <w:sz w:val="22"/>
          <w:szCs w:val="22"/>
          <w:lang w:eastAsia="en-NZ"/>
        </w:rPr>
      </w:pPr>
      <w:r>
        <w:rPr>
          <w:noProof/>
        </w:rPr>
        <w:t>Methodology</w:t>
      </w:r>
      <w:r>
        <w:rPr>
          <w:noProof/>
        </w:rPr>
        <w:tab/>
      </w:r>
      <w:r>
        <w:rPr>
          <w:noProof/>
        </w:rPr>
        <w:fldChar w:fldCharType="begin"/>
      </w:r>
      <w:r>
        <w:rPr>
          <w:noProof/>
        </w:rPr>
        <w:instrText xml:space="preserve"> PAGEREF _Toc90026006 \h </w:instrText>
      </w:r>
      <w:r>
        <w:rPr>
          <w:noProof/>
        </w:rPr>
      </w:r>
      <w:r>
        <w:rPr>
          <w:noProof/>
        </w:rPr>
        <w:fldChar w:fldCharType="separate"/>
      </w:r>
      <w:r w:rsidR="00F73238">
        <w:rPr>
          <w:noProof/>
        </w:rPr>
        <w:t>51</w:t>
      </w:r>
      <w:r>
        <w:rPr>
          <w:noProof/>
        </w:rPr>
        <w:fldChar w:fldCharType="end"/>
      </w:r>
    </w:p>
    <w:p w14:paraId="7B787D47" w14:textId="77777777" w:rsidR="00B02D1E" w:rsidRDefault="00B02D1E">
      <w:pPr>
        <w:pStyle w:val="TOC2"/>
        <w:rPr>
          <w:rFonts w:asciiTheme="minorHAnsi" w:eastAsiaTheme="minorEastAsia" w:hAnsiTheme="minorHAnsi" w:cstheme="minorBidi"/>
          <w:noProof/>
          <w:sz w:val="22"/>
          <w:szCs w:val="22"/>
          <w:lang w:eastAsia="en-NZ"/>
        </w:rPr>
      </w:pPr>
      <w:r>
        <w:rPr>
          <w:noProof/>
        </w:rPr>
        <w:t>Review findings</w:t>
      </w:r>
      <w:r>
        <w:rPr>
          <w:noProof/>
        </w:rPr>
        <w:tab/>
      </w:r>
      <w:r>
        <w:rPr>
          <w:noProof/>
        </w:rPr>
        <w:fldChar w:fldCharType="begin"/>
      </w:r>
      <w:r>
        <w:rPr>
          <w:noProof/>
        </w:rPr>
        <w:instrText xml:space="preserve"> PAGEREF _Toc90026007 \h </w:instrText>
      </w:r>
      <w:r>
        <w:rPr>
          <w:noProof/>
        </w:rPr>
      </w:r>
      <w:r>
        <w:rPr>
          <w:noProof/>
        </w:rPr>
        <w:fldChar w:fldCharType="separate"/>
      </w:r>
      <w:r w:rsidR="00F73238">
        <w:rPr>
          <w:noProof/>
        </w:rPr>
        <w:t>52</w:t>
      </w:r>
      <w:r>
        <w:rPr>
          <w:noProof/>
        </w:rPr>
        <w:fldChar w:fldCharType="end"/>
      </w:r>
    </w:p>
    <w:p w14:paraId="586B0B7F" w14:textId="77777777" w:rsidR="00B02D1E" w:rsidRDefault="00B02D1E">
      <w:pPr>
        <w:pStyle w:val="TOC2"/>
        <w:rPr>
          <w:rFonts w:asciiTheme="minorHAnsi" w:eastAsiaTheme="minorEastAsia" w:hAnsiTheme="minorHAnsi" w:cstheme="minorBidi"/>
          <w:noProof/>
          <w:sz w:val="22"/>
          <w:szCs w:val="22"/>
          <w:lang w:eastAsia="en-NZ"/>
        </w:rPr>
      </w:pPr>
      <w:r>
        <w:rPr>
          <w:noProof/>
        </w:rPr>
        <w:t>Summary</w:t>
      </w:r>
      <w:r>
        <w:rPr>
          <w:noProof/>
        </w:rPr>
        <w:tab/>
      </w:r>
      <w:r>
        <w:rPr>
          <w:noProof/>
        </w:rPr>
        <w:fldChar w:fldCharType="begin"/>
      </w:r>
      <w:r>
        <w:rPr>
          <w:noProof/>
        </w:rPr>
        <w:instrText xml:space="preserve"> PAGEREF _Toc90026008 \h </w:instrText>
      </w:r>
      <w:r>
        <w:rPr>
          <w:noProof/>
        </w:rPr>
      </w:r>
      <w:r>
        <w:rPr>
          <w:noProof/>
        </w:rPr>
        <w:fldChar w:fldCharType="separate"/>
      </w:r>
      <w:r w:rsidR="00F73238">
        <w:rPr>
          <w:noProof/>
        </w:rPr>
        <w:t>61</w:t>
      </w:r>
      <w:r>
        <w:rPr>
          <w:noProof/>
        </w:rPr>
        <w:fldChar w:fldCharType="end"/>
      </w:r>
    </w:p>
    <w:p w14:paraId="1DA4E6F9" w14:textId="77777777" w:rsidR="00B02D1E" w:rsidRDefault="00B02D1E">
      <w:pPr>
        <w:pStyle w:val="TOC1"/>
        <w:rPr>
          <w:rFonts w:asciiTheme="minorHAnsi" w:eastAsiaTheme="minorEastAsia" w:hAnsiTheme="minorHAnsi" w:cstheme="minorBidi"/>
          <w:noProof/>
          <w:sz w:val="22"/>
          <w:szCs w:val="22"/>
          <w:lang w:eastAsia="en-NZ"/>
        </w:rPr>
      </w:pPr>
      <w:r w:rsidRPr="000B17B5">
        <w:rPr>
          <w:noProof/>
        </w:rPr>
        <w:t xml:space="preserve">Section 5: </w:t>
      </w:r>
      <w:r>
        <w:rPr>
          <w:noProof/>
        </w:rPr>
        <w:t>Courts review</w:t>
      </w:r>
      <w:r>
        <w:rPr>
          <w:noProof/>
        </w:rPr>
        <w:tab/>
      </w:r>
      <w:r>
        <w:rPr>
          <w:noProof/>
        </w:rPr>
        <w:fldChar w:fldCharType="begin"/>
      </w:r>
      <w:r>
        <w:rPr>
          <w:noProof/>
        </w:rPr>
        <w:instrText xml:space="preserve"> PAGEREF _Toc90026009 \h </w:instrText>
      </w:r>
      <w:r>
        <w:rPr>
          <w:noProof/>
        </w:rPr>
      </w:r>
      <w:r>
        <w:rPr>
          <w:noProof/>
        </w:rPr>
        <w:fldChar w:fldCharType="separate"/>
      </w:r>
      <w:r w:rsidR="00F73238">
        <w:rPr>
          <w:noProof/>
        </w:rPr>
        <w:t>62</w:t>
      </w:r>
      <w:r>
        <w:rPr>
          <w:noProof/>
        </w:rPr>
        <w:fldChar w:fldCharType="end"/>
      </w:r>
    </w:p>
    <w:p w14:paraId="5A3D9E25" w14:textId="77777777" w:rsidR="00B02D1E" w:rsidRDefault="00B02D1E">
      <w:pPr>
        <w:pStyle w:val="TOC2"/>
        <w:rPr>
          <w:rFonts w:asciiTheme="minorHAnsi" w:eastAsiaTheme="minorEastAsia" w:hAnsiTheme="minorHAnsi" w:cstheme="minorBidi"/>
          <w:noProof/>
          <w:sz w:val="22"/>
          <w:szCs w:val="22"/>
          <w:lang w:eastAsia="en-NZ"/>
        </w:rPr>
      </w:pPr>
      <w:r>
        <w:rPr>
          <w:noProof/>
        </w:rPr>
        <w:t>Introduction</w:t>
      </w:r>
      <w:r>
        <w:rPr>
          <w:noProof/>
        </w:rPr>
        <w:tab/>
      </w:r>
      <w:r>
        <w:rPr>
          <w:noProof/>
        </w:rPr>
        <w:fldChar w:fldCharType="begin"/>
      </w:r>
      <w:r>
        <w:rPr>
          <w:noProof/>
        </w:rPr>
        <w:instrText xml:space="preserve"> PAGEREF _Toc90026010 \h </w:instrText>
      </w:r>
      <w:r>
        <w:rPr>
          <w:noProof/>
        </w:rPr>
      </w:r>
      <w:r>
        <w:rPr>
          <w:noProof/>
        </w:rPr>
        <w:fldChar w:fldCharType="separate"/>
      </w:r>
      <w:r w:rsidR="00F73238">
        <w:rPr>
          <w:noProof/>
        </w:rPr>
        <w:t>62</w:t>
      </w:r>
      <w:r>
        <w:rPr>
          <w:noProof/>
        </w:rPr>
        <w:fldChar w:fldCharType="end"/>
      </w:r>
    </w:p>
    <w:p w14:paraId="08E8DA6B" w14:textId="77777777" w:rsidR="00B02D1E" w:rsidRDefault="00B02D1E">
      <w:pPr>
        <w:pStyle w:val="TOC2"/>
        <w:rPr>
          <w:rFonts w:asciiTheme="minorHAnsi" w:eastAsiaTheme="minorEastAsia" w:hAnsiTheme="minorHAnsi" w:cstheme="minorBidi"/>
          <w:noProof/>
          <w:sz w:val="22"/>
          <w:szCs w:val="22"/>
          <w:lang w:eastAsia="en-NZ"/>
        </w:rPr>
      </w:pPr>
      <w:r>
        <w:rPr>
          <w:noProof/>
        </w:rPr>
        <w:t>Methodology</w:t>
      </w:r>
      <w:r>
        <w:rPr>
          <w:noProof/>
        </w:rPr>
        <w:tab/>
      </w:r>
      <w:r>
        <w:rPr>
          <w:noProof/>
        </w:rPr>
        <w:fldChar w:fldCharType="begin"/>
      </w:r>
      <w:r>
        <w:rPr>
          <w:noProof/>
        </w:rPr>
        <w:instrText xml:space="preserve"> PAGEREF _Toc90026011 \h </w:instrText>
      </w:r>
      <w:r>
        <w:rPr>
          <w:noProof/>
        </w:rPr>
      </w:r>
      <w:r>
        <w:rPr>
          <w:noProof/>
        </w:rPr>
        <w:fldChar w:fldCharType="separate"/>
      </w:r>
      <w:r w:rsidR="00F73238">
        <w:rPr>
          <w:noProof/>
        </w:rPr>
        <w:t>63</w:t>
      </w:r>
      <w:r>
        <w:rPr>
          <w:noProof/>
        </w:rPr>
        <w:fldChar w:fldCharType="end"/>
      </w:r>
    </w:p>
    <w:p w14:paraId="681000B4" w14:textId="77777777" w:rsidR="00B02D1E" w:rsidRDefault="00B02D1E">
      <w:pPr>
        <w:pStyle w:val="TOC2"/>
        <w:rPr>
          <w:rFonts w:asciiTheme="minorHAnsi" w:eastAsiaTheme="minorEastAsia" w:hAnsiTheme="minorHAnsi" w:cstheme="minorBidi"/>
          <w:noProof/>
          <w:sz w:val="22"/>
          <w:szCs w:val="22"/>
          <w:lang w:eastAsia="en-NZ"/>
        </w:rPr>
      </w:pPr>
      <w:r>
        <w:rPr>
          <w:noProof/>
        </w:rPr>
        <w:t>Review findings</w:t>
      </w:r>
      <w:r>
        <w:rPr>
          <w:noProof/>
        </w:rPr>
        <w:tab/>
      </w:r>
      <w:r>
        <w:rPr>
          <w:noProof/>
        </w:rPr>
        <w:fldChar w:fldCharType="begin"/>
      </w:r>
      <w:r>
        <w:rPr>
          <w:noProof/>
        </w:rPr>
        <w:instrText xml:space="preserve"> PAGEREF _Toc90026012 \h </w:instrText>
      </w:r>
      <w:r>
        <w:rPr>
          <w:noProof/>
        </w:rPr>
      </w:r>
      <w:r>
        <w:rPr>
          <w:noProof/>
        </w:rPr>
        <w:fldChar w:fldCharType="separate"/>
      </w:r>
      <w:r w:rsidR="00F73238">
        <w:rPr>
          <w:noProof/>
        </w:rPr>
        <w:t>65</w:t>
      </w:r>
      <w:r>
        <w:rPr>
          <w:noProof/>
        </w:rPr>
        <w:fldChar w:fldCharType="end"/>
      </w:r>
    </w:p>
    <w:p w14:paraId="48F7DE52" w14:textId="77777777" w:rsidR="00B02D1E" w:rsidRDefault="00B02D1E">
      <w:pPr>
        <w:pStyle w:val="TOC2"/>
        <w:rPr>
          <w:rFonts w:asciiTheme="minorHAnsi" w:eastAsiaTheme="minorEastAsia" w:hAnsiTheme="minorHAnsi" w:cstheme="minorBidi"/>
          <w:noProof/>
          <w:sz w:val="22"/>
          <w:szCs w:val="22"/>
          <w:lang w:eastAsia="en-NZ"/>
        </w:rPr>
      </w:pPr>
      <w:r>
        <w:rPr>
          <w:noProof/>
        </w:rPr>
        <w:t>Summary</w:t>
      </w:r>
      <w:r>
        <w:rPr>
          <w:noProof/>
        </w:rPr>
        <w:tab/>
      </w:r>
      <w:r>
        <w:rPr>
          <w:noProof/>
        </w:rPr>
        <w:fldChar w:fldCharType="begin"/>
      </w:r>
      <w:r>
        <w:rPr>
          <w:noProof/>
        </w:rPr>
        <w:instrText xml:space="preserve"> PAGEREF _Toc90026013 \h </w:instrText>
      </w:r>
      <w:r>
        <w:rPr>
          <w:noProof/>
        </w:rPr>
      </w:r>
      <w:r>
        <w:rPr>
          <w:noProof/>
        </w:rPr>
        <w:fldChar w:fldCharType="separate"/>
      </w:r>
      <w:r w:rsidR="00F73238">
        <w:rPr>
          <w:noProof/>
        </w:rPr>
        <w:t>73</w:t>
      </w:r>
      <w:r>
        <w:rPr>
          <w:noProof/>
        </w:rPr>
        <w:fldChar w:fldCharType="end"/>
      </w:r>
    </w:p>
    <w:p w14:paraId="6818BCF7" w14:textId="77777777" w:rsidR="00B02D1E" w:rsidRDefault="00B02D1E" w:rsidP="00F73238">
      <w:pPr>
        <w:pStyle w:val="TOC1"/>
        <w:keepNext/>
        <w:rPr>
          <w:rFonts w:asciiTheme="minorHAnsi" w:eastAsiaTheme="minorEastAsia" w:hAnsiTheme="minorHAnsi" w:cstheme="minorBidi"/>
          <w:noProof/>
          <w:sz w:val="22"/>
          <w:szCs w:val="22"/>
          <w:lang w:eastAsia="en-NZ"/>
        </w:rPr>
      </w:pPr>
      <w:r w:rsidRPr="000B17B5">
        <w:rPr>
          <w:noProof/>
        </w:rPr>
        <w:lastRenderedPageBreak/>
        <w:t xml:space="preserve">Section 6: </w:t>
      </w:r>
      <w:r>
        <w:rPr>
          <w:noProof/>
        </w:rPr>
        <w:t>Regional, national and international guidelines</w:t>
      </w:r>
      <w:r>
        <w:rPr>
          <w:noProof/>
        </w:rPr>
        <w:tab/>
      </w:r>
      <w:r>
        <w:rPr>
          <w:noProof/>
        </w:rPr>
        <w:fldChar w:fldCharType="begin"/>
      </w:r>
      <w:r>
        <w:rPr>
          <w:noProof/>
        </w:rPr>
        <w:instrText xml:space="preserve"> PAGEREF _Toc90026014 \h </w:instrText>
      </w:r>
      <w:r>
        <w:rPr>
          <w:noProof/>
        </w:rPr>
      </w:r>
      <w:r>
        <w:rPr>
          <w:noProof/>
        </w:rPr>
        <w:fldChar w:fldCharType="separate"/>
      </w:r>
      <w:r w:rsidR="00F73238">
        <w:rPr>
          <w:noProof/>
        </w:rPr>
        <w:t>74</w:t>
      </w:r>
      <w:r>
        <w:rPr>
          <w:noProof/>
        </w:rPr>
        <w:fldChar w:fldCharType="end"/>
      </w:r>
    </w:p>
    <w:p w14:paraId="18162D05" w14:textId="77777777" w:rsidR="00B02D1E" w:rsidRDefault="00B02D1E" w:rsidP="00F73238">
      <w:pPr>
        <w:pStyle w:val="TOC2"/>
        <w:keepNext/>
        <w:rPr>
          <w:rFonts w:asciiTheme="minorHAnsi" w:eastAsiaTheme="minorEastAsia" w:hAnsiTheme="minorHAnsi" w:cstheme="minorBidi"/>
          <w:noProof/>
          <w:sz w:val="22"/>
          <w:szCs w:val="22"/>
          <w:lang w:eastAsia="en-NZ"/>
        </w:rPr>
      </w:pPr>
      <w:r>
        <w:rPr>
          <w:noProof/>
        </w:rPr>
        <w:t>Introduction</w:t>
      </w:r>
      <w:r>
        <w:rPr>
          <w:noProof/>
        </w:rPr>
        <w:tab/>
      </w:r>
      <w:r>
        <w:rPr>
          <w:noProof/>
        </w:rPr>
        <w:fldChar w:fldCharType="begin"/>
      </w:r>
      <w:r>
        <w:rPr>
          <w:noProof/>
        </w:rPr>
        <w:instrText xml:space="preserve"> PAGEREF _Toc90026015 \h </w:instrText>
      </w:r>
      <w:r>
        <w:rPr>
          <w:noProof/>
        </w:rPr>
      </w:r>
      <w:r>
        <w:rPr>
          <w:noProof/>
        </w:rPr>
        <w:fldChar w:fldCharType="separate"/>
      </w:r>
      <w:r w:rsidR="00F73238">
        <w:rPr>
          <w:noProof/>
        </w:rPr>
        <w:t>74</w:t>
      </w:r>
      <w:r>
        <w:rPr>
          <w:noProof/>
        </w:rPr>
        <w:fldChar w:fldCharType="end"/>
      </w:r>
    </w:p>
    <w:p w14:paraId="25C9D1C4" w14:textId="77777777" w:rsidR="00B02D1E" w:rsidRDefault="00B02D1E" w:rsidP="00F73238">
      <w:pPr>
        <w:pStyle w:val="TOC2"/>
        <w:keepNext/>
        <w:rPr>
          <w:rFonts w:asciiTheme="minorHAnsi" w:eastAsiaTheme="minorEastAsia" w:hAnsiTheme="minorHAnsi" w:cstheme="minorBidi"/>
          <w:noProof/>
          <w:sz w:val="22"/>
          <w:szCs w:val="22"/>
          <w:lang w:eastAsia="en-NZ"/>
        </w:rPr>
      </w:pPr>
      <w:r>
        <w:rPr>
          <w:noProof/>
        </w:rPr>
        <w:t>Methodology</w:t>
      </w:r>
      <w:r>
        <w:rPr>
          <w:noProof/>
        </w:rPr>
        <w:tab/>
      </w:r>
      <w:r>
        <w:rPr>
          <w:noProof/>
        </w:rPr>
        <w:fldChar w:fldCharType="begin"/>
      </w:r>
      <w:r>
        <w:rPr>
          <w:noProof/>
        </w:rPr>
        <w:instrText xml:space="preserve"> PAGEREF _Toc90026016 \h </w:instrText>
      </w:r>
      <w:r>
        <w:rPr>
          <w:noProof/>
        </w:rPr>
      </w:r>
      <w:r>
        <w:rPr>
          <w:noProof/>
        </w:rPr>
        <w:fldChar w:fldCharType="separate"/>
      </w:r>
      <w:r w:rsidR="00F73238">
        <w:rPr>
          <w:noProof/>
        </w:rPr>
        <w:t>74</w:t>
      </w:r>
      <w:r>
        <w:rPr>
          <w:noProof/>
        </w:rPr>
        <w:fldChar w:fldCharType="end"/>
      </w:r>
    </w:p>
    <w:p w14:paraId="4A81017A" w14:textId="77777777" w:rsidR="00B02D1E" w:rsidRDefault="00B02D1E" w:rsidP="00F73238">
      <w:pPr>
        <w:pStyle w:val="TOC2"/>
        <w:keepNext/>
        <w:rPr>
          <w:rFonts w:asciiTheme="minorHAnsi" w:eastAsiaTheme="minorEastAsia" w:hAnsiTheme="minorHAnsi" w:cstheme="minorBidi"/>
          <w:noProof/>
          <w:sz w:val="22"/>
          <w:szCs w:val="22"/>
          <w:lang w:eastAsia="en-NZ"/>
        </w:rPr>
      </w:pPr>
      <w:r>
        <w:rPr>
          <w:noProof/>
        </w:rPr>
        <w:t>Review findings</w:t>
      </w:r>
      <w:r>
        <w:rPr>
          <w:noProof/>
        </w:rPr>
        <w:tab/>
      </w:r>
      <w:r>
        <w:rPr>
          <w:noProof/>
        </w:rPr>
        <w:fldChar w:fldCharType="begin"/>
      </w:r>
      <w:r>
        <w:rPr>
          <w:noProof/>
        </w:rPr>
        <w:instrText xml:space="preserve"> PAGEREF _Toc90026017 \h </w:instrText>
      </w:r>
      <w:r>
        <w:rPr>
          <w:noProof/>
        </w:rPr>
      </w:r>
      <w:r>
        <w:rPr>
          <w:noProof/>
        </w:rPr>
        <w:fldChar w:fldCharType="separate"/>
      </w:r>
      <w:r w:rsidR="00F73238">
        <w:rPr>
          <w:noProof/>
        </w:rPr>
        <w:t>76</w:t>
      </w:r>
      <w:r>
        <w:rPr>
          <w:noProof/>
        </w:rPr>
        <w:fldChar w:fldCharType="end"/>
      </w:r>
    </w:p>
    <w:p w14:paraId="522284C7" w14:textId="77777777" w:rsidR="00B02D1E" w:rsidRDefault="00B02D1E" w:rsidP="00F73238">
      <w:pPr>
        <w:pStyle w:val="TOC2"/>
        <w:keepNext/>
        <w:rPr>
          <w:rFonts w:asciiTheme="minorHAnsi" w:eastAsiaTheme="minorEastAsia" w:hAnsiTheme="minorHAnsi" w:cstheme="minorBidi"/>
          <w:noProof/>
          <w:sz w:val="22"/>
          <w:szCs w:val="22"/>
          <w:lang w:eastAsia="en-NZ"/>
        </w:rPr>
      </w:pPr>
      <w:r>
        <w:rPr>
          <w:noProof/>
        </w:rPr>
        <w:t>Summary</w:t>
      </w:r>
      <w:r>
        <w:rPr>
          <w:noProof/>
        </w:rPr>
        <w:tab/>
      </w:r>
      <w:r>
        <w:rPr>
          <w:noProof/>
        </w:rPr>
        <w:fldChar w:fldCharType="begin"/>
      </w:r>
      <w:r>
        <w:rPr>
          <w:noProof/>
        </w:rPr>
        <w:instrText xml:space="preserve"> PAGEREF _Toc90026018 \h </w:instrText>
      </w:r>
      <w:r>
        <w:rPr>
          <w:noProof/>
        </w:rPr>
      </w:r>
      <w:r>
        <w:rPr>
          <w:noProof/>
        </w:rPr>
        <w:fldChar w:fldCharType="separate"/>
      </w:r>
      <w:r w:rsidR="00F73238">
        <w:rPr>
          <w:noProof/>
        </w:rPr>
        <w:t>95</w:t>
      </w:r>
      <w:r>
        <w:rPr>
          <w:noProof/>
        </w:rPr>
        <w:fldChar w:fldCharType="end"/>
      </w:r>
    </w:p>
    <w:p w14:paraId="114CAFDF" w14:textId="77777777" w:rsidR="00B02D1E" w:rsidRDefault="00B02D1E">
      <w:pPr>
        <w:pStyle w:val="TOC1"/>
        <w:rPr>
          <w:rFonts w:asciiTheme="minorHAnsi" w:eastAsiaTheme="minorEastAsia" w:hAnsiTheme="minorHAnsi" w:cstheme="minorBidi"/>
          <w:noProof/>
          <w:sz w:val="22"/>
          <w:szCs w:val="22"/>
          <w:lang w:eastAsia="en-NZ"/>
        </w:rPr>
      </w:pPr>
      <w:r w:rsidRPr="000B17B5">
        <w:rPr>
          <w:noProof/>
        </w:rPr>
        <w:t xml:space="preserve">Section 7: </w:t>
      </w:r>
      <w:r>
        <w:rPr>
          <w:noProof/>
        </w:rPr>
        <w:t>Relevance of key findings</w:t>
      </w:r>
      <w:r>
        <w:rPr>
          <w:noProof/>
        </w:rPr>
        <w:tab/>
      </w:r>
      <w:r>
        <w:rPr>
          <w:noProof/>
        </w:rPr>
        <w:fldChar w:fldCharType="begin"/>
      </w:r>
      <w:r>
        <w:rPr>
          <w:noProof/>
        </w:rPr>
        <w:instrText xml:space="preserve"> PAGEREF _Toc90026019 \h </w:instrText>
      </w:r>
      <w:r>
        <w:rPr>
          <w:noProof/>
        </w:rPr>
      </w:r>
      <w:r>
        <w:rPr>
          <w:noProof/>
        </w:rPr>
        <w:fldChar w:fldCharType="separate"/>
      </w:r>
      <w:r w:rsidR="00F73238">
        <w:rPr>
          <w:noProof/>
        </w:rPr>
        <w:t>96</w:t>
      </w:r>
      <w:r>
        <w:rPr>
          <w:noProof/>
        </w:rPr>
        <w:fldChar w:fldCharType="end"/>
      </w:r>
    </w:p>
    <w:p w14:paraId="4603AEDD" w14:textId="77777777" w:rsidR="00B02D1E" w:rsidRDefault="00B02D1E">
      <w:pPr>
        <w:pStyle w:val="TOC2"/>
        <w:rPr>
          <w:rFonts w:asciiTheme="minorHAnsi" w:eastAsiaTheme="minorEastAsia" w:hAnsiTheme="minorHAnsi" w:cstheme="minorBidi"/>
          <w:noProof/>
          <w:sz w:val="22"/>
          <w:szCs w:val="22"/>
          <w:lang w:eastAsia="en-NZ"/>
        </w:rPr>
      </w:pPr>
      <w:r>
        <w:rPr>
          <w:noProof/>
        </w:rPr>
        <w:t>Recommendations for models of care in Aotearoa New Zealand</w:t>
      </w:r>
      <w:r>
        <w:rPr>
          <w:noProof/>
        </w:rPr>
        <w:tab/>
      </w:r>
      <w:r>
        <w:rPr>
          <w:noProof/>
        </w:rPr>
        <w:fldChar w:fldCharType="begin"/>
      </w:r>
      <w:r>
        <w:rPr>
          <w:noProof/>
        </w:rPr>
        <w:instrText xml:space="preserve"> PAGEREF _Toc90026020 \h </w:instrText>
      </w:r>
      <w:r>
        <w:rPr>
          <w:noProof/>
        </w:rPr>
      </w:r>
      <w:r>
        <w:rPr>
          <w:noProof/>
        </w:rPr>
        <w:fldChar w:fldCharType="separate"/>
      </w:r>
      <w:r w:rsidR="00F73238">
        <w:rPr>
          <w:noProof/>
        </w:rPr>
        <w:t>97</w:t>
      </w:r>
      <w:r>
        <w:rPr>
          <w:noProof/>
        </w:rPr>
        <w:fldChar w:fldCharType="end"/>
      </w:r>
    </w:p>
    <w:p w14:paraId="16583E9C" w14:textId="77777777" w:rsidR="00B02D1E" w:rsidRDefault="00B02D1E">
      <w:pPr>
        <w:pStyle w:val="TOC1"/>
        <w:rPr>
          <w:rFonts w:asciiTheme="minorHAnsi" w:eastAsiaTheme="minorEastAsia" w:hAnsiTheme="minorHAnsi" w:cstheme="minorBidi"/>
          <w:noProof/>
          <w:sz w:val="22"/>
          <w:szCs w:val="22"/>
          <w:lang w:eastAsia="en-NZ"/>
        </w:rPr>
      </w:pPr>
      <w:r>
        <w:rPr>
          <w:noProof/>
        </w:rPr>
        <w:t>References</w:t>
      </w:r>
      <w:r>
        <w:rPr>
          <w:noProof/>
        </w:rPr>
        <w:tab/>
      </w:r>
      <w:r>
        <w:rPr>
          <w:noProof/>
        </w:rPr>
        <w:fldChar w:fldCharType="begin"/>
      </w:r>
      <w:r>
        <w:rPr>
          <w:noProof/>
        </w:rPr>
        <w:instrText xml:space="preserve"> PAGEREF _Toc90026021 \h </w:instrText>
      </w:r>
      <w:r>
        <w:rPr>
          <w:noProof/>
        </w:rPr>
      </w:r>
      <w:r>
        <w:rPr>
          <w:noProof/>
        </w:rPr>
        <w:fldChar w:fldCharType="separate"/>
      </w:r>
      <w:r w:rsidR="00F73238">
        <w:rPr>
          <w:noProof/>
        </w:rPr>
        <w:t>100</w:t>
      </w:r>
      <w:r>
        <w:rPr>
          <w:noProof/>
        </w:rPr>
        <w:fldChar w:fldCharType="end"/>
      </w:r>
    </w:p>
    <w:p w14:paraId="5266B6D8" w14:textId="77777777" w:rsidR="00C86248" w:rsidRDefault="00C86248">
      <w:r>
        <w:rPr>
          <w:b/>
        </w:rPr>
        <w:fldChar w:fldCharType="end"/>
      </w:r>
    </w:p>
    <w:p w14:paraId="498163F2" w14:textId="77777777" w:rsidR="002B76A7" w:rsidRDefault="002B76A7" w:rsidP="002B76A7">
      <w:pPr>
        <w:pStyle w:val="TOC1"/>
        <w:keepNext/>
      </w:pPr>
      <w:r>
        <w:t>List of Tables</w:t>
      </w:r>
    </w:p>
    <w:p w14:paraId="03E40ED6" w14:textId="77777777" w:rsidR="00B02D1E" w:rsidRDefault="002B76A7">
      <w:pPr>
        <w:pStyle w:val="TOC3"/>
        <w:rPr>
          <w:rFonts w:asciiTheme="minorHAnsi" w:eastAsiaTheme="minorEastAsia" w:hAnsiTheme="minorHAnsi" w:cstheme="minorBidi"/>
          <w:noProof/>
          <w:sz w:val="22"/>
          <w:szCs w:val="22"/>
          <w:lang w:eastAsia="en-NZ"/>
        </w:rPr>
      </w:pPr>
      <w:r>
        <w:rPr>
          <w:sz w:val="20"/>
        </w:rPr>
        <w:fldChar w:fldCharType="begin"/>
      </w:r>
      <w:r>
        <w:instrText xml:space="preserve"> TOC \t "Table,3" </w:instrText>
      </w:r>
      <w:r>
        <w:rPr>
          <w:sz w:val="20"/>
        </w:rPr>
        <w:fldChar w:fldCharType="separate"/>
      </w:r>
      <w:r w:rsidR="00B02D1E">
        <w:rPr>
          <w:noProof/>
        </w:rPr>
        <w:t>Table 1:</w:t>
      </w:r>
      <w:r w:rsidR="00B02D1E">
        <w:rPr>
          <w:noProof/>
        </w:rPr>
        <w:tab/>
        <w:t>Inpatient and step-down forensic beds by region, against changes in prison muster</w:t>
      </w:r>
      <w:r w:rsidR="00B02D1E">
        <w:rPr>
          <w:noProof/>
        </w:rPr>
        <w:tab/>
      </w:r>
      <w:r w:rsidR="00B02D1E">
        <w:rPr>
          <w:noProof/>
        </w:rPr>
        <w:fldChar w:fldCharType="begin"/>
      </w:r>
      <w:r w:rsidR="00B02D1E">
        <w:rPr>
          <w:noProof/>
        </w:rPr>
        <w:instrText xml:space="preserve"> PAGEREF _Toc90026022 \h </w:instrText>
      </w:r>
      <w:r w:rsidR="00B02D1E">
        <w:rPr>
          <w:noProof/>
        </w:rPr>
      </w:r>
      <w:r w:rsidR="00B02D1E">
        <w:rPr>
          <w:noProof/>
        </w:rPr>
        <w:fldChar w:fldCharType="separate"/>
      </w:r>
      <w:r w:rsidR="00F73238">
        <w:rPr>
          <w:noProof/>
        </w:rPr>
        <w:t>5</w:t>
      </w:r>
      <w:r w:rsidR="00B02D1E">
        <w:rPr>
          <w:noProof/>
        </w:rPr>
        <w:fldChar w:fldCharType="end"/>
      </w:r>
    </w:p>
    <w:p w14:paraId="5F19EC00" w14:textId="77777777" w:rsidR="00B02D1E" w:rsidRDefault="00B02D1E">
      <w:pPr>
        <w:pStyle w:val="TOC3"/>
        <w:rPr>
          <w:rFonts w:asciiTheme="minorHAnsi" w:eastAsiaTheme="minorEastAsia" w:hAnsiTheme="minorHAnsi" w:cstheme="minorBidi"/>
          <w:noProof/>
          <w:sz w:val="22"/>
          <w:szCs w:val="22"/>
          <w:lang w:eastAsia="en-NZ"/>
        </w:rPr>
      </w:pPr>
      <w:r>
        <w:rPr>
          <w:noProof/>
        </w:rPr>
        <w:t>Table 2</w:t>
      </w:r>
      <w:r>
        <w:rPr>
          <w:rFonts w:eastAsia="Arial"/>
          <w:noProof/>
        </w:rPr>
        <w:t>:</w:t>
      </w:r>
      <w:r>
        <w:rPr>
          <w:rFonts w:eastAsia="Arial"/>
          <w:noProof/>
        </w:rPr>
        <w:tab/>
      </w:r>
      <w:r w:rsidRPr="00372208">
        <w:rPr>
          <w:rFonts w:eastAsia="Arial"/>
          <w:noProof/>
        </w:rPr>
        <w:t>Regional documentation reviewed</w:t>
      </w:r>
      <w:r>
        <w:rPr>
          <w:noProof/>
        </w:rPr>
        <w:tab/>
      </w:r>
      <w:r>
        <w:rPr>
          <w:noProof/>
        </w:rPr>
        <w:fldChar w:fldCharType="begin"/>
      </w:r>
      <w:r>
        <w:rPr>
          <w:noProof/>
        </w:rPr>
        <w:instrText xml:space="preserve"> PAGEREF _Toc90026023 \h </w:instrText>
      </w:r>
      <w:r>
        <w:rPr>
          <w:noProof/>
        </w:rPr>
      </w:r>
      <w:r>
        <w:rPr>
          <w:noProof/>
        </w:rPr>
        <w:fldChar w:fldCharType="separate"/>
      </w:r>
      <w:r w:rsidR="00F73238">
        <w:rPr>
          <w:noProof/>
        </w:rPr>
        <w:t>77</w:t>
      </w:r>
      <w:r>
        <w:rPr>
          <w:noProof/>
        </w:rPr>
        <w:fldChar w:fldCharType="end"/>
      </w:r>
    </w:p>
    <w:p w14:paraId="007FA80D" w14:textId="77777777" w:rsidR="00B02D1E" w:rsidRDefault="00B02D1E">
      <w:pPr>
        <w:pStyle w:val="TOC3"/>
        <w:rPr>
          <w:rFonts w:asciiTheme="minorHAnsi" w:eastAsiaTheme="minorEastAsia" w:hAnsiTheme="minorHAnsi" w:cstheme="minorBidi"/>
          <w:noProof/>
          <w:sz w:val="22"/>
          <w:szCs w:val="22"/>
          <w:lang w:eastAsia="en-NZ"/>
        </w:rPr>
      </w:pPr>
      <w:r>
        <w:rPr>
          <w:noProof/>
        </w:rPr>
        <w:t>Table 3:</w:t>
      </w:r>
      <w:r>
        <w:rPr>
          <w:noProof/>
        </w:rPr>
        <w:tab/>
        <w:t>National documentation reviewed</w:t>
      </w:r>
      <w:r>
        <w:rPr>
          <w:noProof/>
        </w:rPr>
        <w:tab/>
      </w:r>
      <w:r>
        <w:rPr>
          <w:noProof/>
        </w:rPr>
        <w:fldChar w:fldCharType="begin"/>
      </w:r>
      <w:r>
        <w:rPr>
          <w:noProof/>
        </w:rPr>
        <w:instrText xml:space="preserve"> PAGEREF _Toc90026024 \h </w:instrText>
      </w:r>
      <w:r>
        <w:rPr>
          <w:noProof/>
        </w:rPr>
      </w:r>
      <w:r>
        <w:rPr>
          <w:noProof/>
        </w:rPr>
        <w:fldChar w:fldCharType="separate"/>
      </w:r>
      <w:r w:rsidR="00F73238">
        <w:rPr>
          <w:noProof/>
        </w:rPr>
        <w:t>84</w:t>
      </w:r>
      <w:r>
        <w:rPr>
          <w:noProof/>
        </w:rPr>
        <w:fldChar w:fldCharType="end"/>
      </w:r>
    </w:p>
    <w:p w14:paraId="3C5EAB5A" w14:textId="77777777" w:rsidR="00B02D1E" w:rsidRDefault="00B02D1E">
      <w:pPr>
        <w:pStyle w:val="TOC3"/>
        <w:rPr>
          <w:rFonts w:asciiTheme="minorHAnsi" w:eastAsiaTheme="minorEastAsia" w:hAnsiTheme="minorHAnsi" w:cstheme="minorBidi"/>
          <w:noProof/>
          <w:sz w:val="22"/>
          <w:szCs w:val="22"/>
          <w:lang w:eastAsia="en-NZ"/>
        </w:rPr>
      </w:pPr>
      <w:r>
        <w:rPr>
          <w:noProof/>
        </w:rPr>
        <w:t>Table 4:</w:t>
      </w:r>
      <w:r>
        <w:rPr>
          <w:noProof/>
        </w:rPr>
        <w:tab/>
        <w:t>International documentation reviewed</w:t>
      </w:r>
      <w:r>
        <w:rPr>
          <w:noProof/>
        </w:rPr>
        <w:tab/>
      </w:r>
      <w:r>
        <w:rPr>
          <w:noProof/>
        </w:rPr>
        <w:fldChar w:fldCharType="begin"/>
      </w:r>
      <w:r>
        <w:rPr>
          <w:noProof/>
        </w:rPr>
        <w:instrText xml:space="preserve"> PAGEREF _Toc90026025 \h </w:instrText>
      </w:r>
      <w:r>
        <w:rPr>
          <w:noProof/>
        </w:rPr>
      </w:r>
      <w:r>
        <w:rPr>
          <w:noProof/>
        </w:rPr>
        <w:fldChar w:fldCharType="separate"/>
      </w:r>
      <w:r w:rsidR="00F73238">
        <w:rPr>
          <w:noProof/>
        </w:rPr>
        <w:t>90</w:t>
      </w:r>
      <w:r>
        <w:rPr>
          <w:noProof/>
        </w:rPr>
        <w:fldChar w:fldCharType="end"/>
      </w:r>
    </w:p>
    <w:p w14:paraId="16E0711E" w14:textId="77777777" w:rsidR="002B76A7" w:rsidRDefault="002B76A7" w:rsidP="003A5FEA">
      <w:r>
        <w:fldChar w:fldCharType="end"/>
      </w:r>
    </w:p>
    <w:p w14:paraId="3B604D89" w14:textId="77777777" w:rsidR="0033448B" w:rsidRDefault="0033448B" w:rsidP="0033448B">
      <w:pPr>
        <w:pStyle w:val="TOC1"/>
        <w:keepNext/>
      </w:pPr>
      <w:r>
        <w:t>List of Figures</w:t>
      </w:r>
    </w:p>
    <w:p w14:paraId="788B5F1A" w14:textId="77777777" w:rsidR="00B02D1E" w:rsidRDefault="0033448B">
      <w:pPr>
        <w:pStyle w:val="TOC3"/>
        <w:rPr>
          <w:rFonts w:asciiTheme="minorHAnsi" w:eastAsiaTheme="minorEastAsia" w:hAnsiTheme="minorHAnsi" w:cstheme="minorBidi"/>
          <w:noProof/>
          <w:sz w:val="22"/>
          <w:szCs w:val="22"/>
          <w:lang w:eastAsia="en-NZ"/>
        </w:rPr>
      </w:pPr>
      <w:r>
        <w:fldChar w:fldCharType="begin"/>
      </w:r>
      <w:r>
        <w:instrText xml:space="preserve"> TOC \t "Figure,3" </w:instrText>
      </w:r>
      <w:r>
        <w:fldChar w:fldCharType="separate"/>
      </w:r>
      <w:r w:rsidR="00B02D1E">
        <w:rPr>
          <w:noProof/>
        </w:rPr>
        <w:t>Figure 1:</w:t>
      </w:r>
      <w:r w:rsidR="00B02D1E">
        <w:rPr>
          <w:noProof/>
        </w:rPr>
        <w:tab/>
        <w:t>The prison model of care referral and treatment pathway</w:t>
      </w:r>
      <w:r w:rsidR="00B02D1E">
        <w:rPr>
          <w:noProof/>
        </w:rPr>
        <w:tab/>
      </w:r>
      <w:r w:rsidR="00B02D1E">
        <w:rPr>
          <w:noProof/>
        </w:rPr>
        <w:fldChar w:fldCharType="begin"/>
      </w:r>
      <w:r w:rsidR="00B02D1E">
        <w:rPr>
          <w:noProof/>
        </w:rPr>
        <w:instrText xml:space="preserve"> PAGEREF _Toc90026026 \h </w:instrText>
      </w:r>
      <w:r w:rsidR="00B02D1E">
        <w:rPr>
          <w:noProof/>
        </w:rPr>
      </w:r>
      <w:r w:rsidR="00B02D1E">
        <w:rPr>
          <w:noProof/>
        </w:rPr>
        <w:fldChar w:fldCharType="separate"/>
      </w:r>
      <w:r w:rsidR="00F73238">
        <w:rPr>
          <w:noProof/>
        </w:rPr>
        <w:t>11</w:t>
      </w:r>
      <w:r w:rsidR="00B02D1E">
        <w:rPr>
          <w:noProof/>
        </w:rPr>
        <w:fldChar w:fldCharType="end"/>
      </w:r>
    </w:p>
    <w:p w14:paraId="15CC5C96" w14:textId="77777777" w:rsidR="00B02D1E" w:rsidRDefault="00B02D1E">
      <w:pPr>
        <w:pStyle w:val="TOC3"/>
        <w:rPr>
          <w:rFonts w:asciiTheme="minorHAnsi" w:eastAsiaTheme="minorEastAsia" w:hAnsiTheme="minorHAnsi" w:cstheme="minorBidi"/>
          <w:noProof/>
          <w:sz w:val="22"/>
          <w:szCs w:val="22"/>
          <w:lang w:eastAsia="en-NZ"/>
        </w:rPr>
      </w:pPr>
      <w:r>
        <w:rPr>
          <w:noProof/>
        </w:rPr>
        <w:t>Figure 2:</w:t>
      </w:r>
      <w:r>
        <w:rPr>
          <w:noProof/>
        </w:rPr>
        <w:tab/>
        <w:t>Aotearoa New Zealand court liaison service model</w:t>
      </w:r>
      <w:r>
        <w:rPr>
          <w:noProof/>
        </w:rPr>
        <w:tab/>
      </w:r>
      <w:r>
        <w:rPr>
          <w:noProof/>
        </w:rPr>
        <w:fldChar w:fldCharType="begin"/>
      </w:r>
      <w:r>
        <w:rPr>
          <w:noProof/>
        </w:rPr>
        <w:instrText xml:space="preserve"> PAGEREF _Toc90026027 \h </w:instrText>
      </w:r>
      <w:r>
        <w:rPr>
          <w:noProof/>
        </w:rPr>
      </w:r>
      <w:r>
        <w:rPr>
          <w:noProof/>
        </w:rPr>
        <w:fldChar w:fldCharType="separate"/>
      </w:r>
      <w:r w:rsidR="00F73238">
        <w:rPr>
          <w:noProof/>
        </w:rPr>
        <w:t>12</w:t>
      </w:r>
      <w:r>
        <w:rPr>
          <w:noProof/>
        </w:rPr>
        <w:fldChar w:fldCharType="end"/>
      </w:r>
    </w:p>
    <w:p w14:paraId="5C08AEF2" w14:textId="77777777" w:rsidR="00B02D1E" w:rsidRDefault="00B02D1E">
      <w:pPr>
        <w:pStyle w:val="TOC3"/>
        <w:rPr>
          <w:rFonts w:asciiTheme="minorHAnsi" w:eastAsiaTheme="minorEastAsia" w:hAnsiTheme="minorHAnsi" w:cstheme="minorBidi"/>
          <w:noProof/>
          <w:sz w:val="22"/>
          <w:szCs w:val="22"/>
          <w:lang w:eastAsia="en-NZ"/>
        </w:rPr>
      </w:pPr>
      <w:r>
        <w:rPr>
          <w:noProof/>
        </w:rPr>
        <w:t>Figure 3:</w:t>
      </w:r>
      <w:r>
        <w:rPr>
          <w:noProof/>
        </w:rPr>
        <w:tab/>
        <w:t>Summary of literature review results</w:t>
      </w:r>
      <w:r>
        <w:rPr>
          <w:noProof/>
        </w:rPr>
        <w:tab/>
      </w:r>
      <w:r>
        <w:rPr>
          <w:noProof/>
        </w:rPr>
        <w:fldChar w:fldCharType="begin"/>
      </w:r>
      <w:r>
        <w:rPr>
          <w:noProof/>
        </w:rPr>
        <w:instrText xml:space="preserve"> PAGEREF _Toc90026028 \h </w:instrText>
      </w:r>
      <w:r>
        <w:rPr>
          <w:noProof/>
        </w:rPr>
      </w:r>
      <w:r>
        <w:rPr>
          <w:noProof/>
        </w:rPr>
        <w:fldChar w:fldCharType="separate"/>
      </w:r>
      <w:r w:rsidR="00F73238">
        <w:rPr>
          <w:noProof/>
        </w:rPr>
        <w:t>15</w:t>
      </w:r>
      <w:r>
        <w:rPr>
          <w:noProof/>
        </w:rPr>
        <w:fldChar w:fldCharType="end"/>
      </w:r>
    </w:p>
    <w:p w14:paraId="542C6C8E" w14:textId="77777777" w:rsidR="00B02D1E" w:rsidRDefault="00B02D1E">
      <w:pPr>
        <w:pStyle w:val="TOC3"/>
        <w:rPr>
          <w:rFonts w:asciiTheme="minorHAnsi" w:eastAsiaTheme="minorEastAsia" w:hAnsiTheme="minorHAnsi" w:cstheme="minorBidi"/>
          <w:noProof/>
          <w:sz w:val="22"/>
          <w:szCs w:val="22"/>
          <w:lang w:eastAsia="en-NZ"/>
        </w:rPr>
      </w:pPr>
      <w:r>
        <w:rPr>
          <w:noProof/>
        </w:rPr>
        <w:t>Figure 4:</w:t>
      </w:r>
      <w:r>
        <w:rPr>
          <w:noProof/>
        </w:rPr>
        <w:tab/>
        <w:t>Inpatient systematic review results</w:t>
      </w:r>
      <w:r>
        <w:rPr>
          <w:noProof/>
        </w:rPr>
        <w:tab/>
      </w:r>
      <w:r>
        <w:rPr>
          <w:noProof/>
        </w:rPr>
        <w:fldChar w:fldCharType="begin"/>
      </w:r>
      <w:r>
        <w:rPr>
          <w:noProof/>
        </w:rPr>
        <w:instrText xml:space="preserve"> PAGEREF _Toc90026029 \h </w:instrText>
      </w:r>
      <w:r>
        <w:rPr>
          <w:noProof/>
        </w:rPr>
      </w:r>
      <w:r>
        <w:rPr>
          <w:noProof/>
        </w:rPr>
        <w:fldChar w:fldCharType="separate"/>
      </w:r>
      <w:r w:rsidR="00F73238">
        <w:rPr>
          <w:noProof/>
        </w:rPr>
        <w:t>18</w:t>
      </w:r>
      <w:r>
        <w:rPr>
          <w:noProof/>
        </w:rPr>
        <w:fldChar w:fldCharType="end"/>
      </w:r>
    </w:p>
    <w:p w14:paraId="474D59FA" w14:textId="77777777" w:rsidR="00B02D1E" w:rsidRDefault="00B02D1E">
      <w:pPr>
        <w:pStyle w:val="TOC3"/>
        <w:rPr>
          <w:rFonts w:asciiTheme="minorHAnsi" w:eastAsiaTheme="minorEastAsia" w:hAnsiTheme="minorHAnsi" w:cstheme="minorBidi"/>
          <w:noProof/>
          <w:sz w:val="22"/>
          <w:szCs w:val="22"/>
          <w:lang w:eastAsia="en-NZ"/>
        </w:rPr>
      </w:pPr>
      <w:r>
        <w:rPr>
          <w:noProof/>
        </w:rPr>
        <w:t>Figure 5:</w:t>
      </w:r>
      <w:r>
        <w:rPr>
          <w:noProof/>
        </w:rPr>
        <w:tab/>
        <w:t>Community systematic review results</w:t>
      </w:r>
      <w:r>
        <w:rPr>
          <w:noProof/>
        </w:rPr>
        <w:tab/>
      </w:r>
      <w:r>
        <w:rPr>
          <w:noProof/>
        </w:rPr>
        <w:fldChar w:fldCharType="begin"/>
      </w:r>
      <w:r>
        <w:rPr>
          <w:noProof/>
        </w:rPr>
        <w:instrText xml:space="preserve"> PAGEREF _Toc90026030 \h </w:instrText>
      </w:r>
      <w:r>
        <w:rPr>
          <w:noProof/>
        </w:rPr>
      </w:r>
      <w:r>
        <w:rPr>
          <w:noProof/>
        </w:rPr>
        <w:fldChar w:fldCharType="separate"/>
      </w:r>
      <w:r w:rsidR="00F73238">
        <w:rPr>
          <w:noProof/>
        </w:rPr>
        <w:t>37</w:t>
      </w:r>
      <w:r>
        <w:rPr>
          <w:noProof/>
        </w:rPr>
        <w:fldChar w:fldCharType="end"/>
      </w:r>
    </w:p>
    <w:p w14:paraId="7D81B637" w14:textId="77777777" w:rsidR="00B02D1E" w:rsidRDefault="00B02D1E">
      <w:pPr>
        <w:pStyle w:val="TOC3"/>
        <w:rPr>
          <w:rFonts w:asciiTheme="minorHAnsi" w:eastAsiaTheme="minorEastAsia" w:hAnsiTheme="minorHAnsi" w:cstheme="minorBidi"/>
          <w:noProof/>
          <w:sz w:val="22"/>
          <w:szCs w:val="22"/>
          <w:lang w:eastAsia="en-NZ"/>
        </w:rPr>
      </w:pPr>
      <w:r>
        <w:rPr>
          <w:noProof/>
        </w:rPr>
        <w:t>Figure 6:</w:t>
      </w:r>
      <w:r>
        <w:rPr>
          <w:noProof/>
        </w:rPr>
        <w:tab/>
        <w:t>Comparison of integrated and parallel models of community forensic mental health teams</w:t>
      </w:r>
      <w:r>
        <w:rPr>
          <w:noProof/>
        </w:rPr>
        <w:tab/>
      </w:r>
      <w:r>
        <w:rPr>
          <w:noProof/>
        </w:rPr>
        <w:fldChar w:fldCharType="begin"/>
      </w:r>
      <w:r>
        <w:rPr>
          <w:noProof/>
        </w:rPr>
        <w:instrText xml:space="preserve"> PAGEREF _Toc90026031 \h </w:instrText>
      </w:r>
      <w:r>
        <w:rPr>
          <w:noProof/>
        </w:rPr>
      </w:r>
      <w:r>
        <w:rPr>
          <w:noProof/>
        </w:rPr>
        <w:fldChar w:fldCharType="separate"/>
      </w:r>
      <w:r w:rsidR="00F73238">
        <w:rPr>
          <w:noProof/>
        </w:rPr>
        <w:t>39</w:t>
      </w:r>
      <w:r>
        <w:rPr>
          <w:noProof/>
        </w:rPr>
        <w:fldChar w:fldCharType="end"/>
      </w:r>
    </w:p>
    <w:p w14:paraId="7438597C" w14:textId="77777777" w:rsidR="00B02D1E" w:rsidRDefault="00B02D1E">
      <w:pPr>
        <w:pStyle w:val="TOC3"/>
        <w:rPr>
          <w:rFonts w:asciiTheme="minorHAnsi" w:eastAsiaTheme="minorEastAsia" w:hAnsiTheme="minorHAnsi" w:cstheme="minorBidi"/>
          <w:noProof/>
          <w:sz w:val="22"/>
          <w:szCs w:val="22"/>
          <w:lang w:eastAsia="en-NZ"/>
        </w:rPr>
      </w:pPr>
      <w:r>
        <w:rPr>
          <w:noProof/>
        </w:rPr>
        <w:t>Figure 7:</w:t>
      </w:r>
      <w:r>
        <w:rPr>
          <w:noProof/>
        </w:rPr>
        <w:tab/>
        <w:t>The four levels of community management of mentally disordered offenders</w:t>
      </w:r>
      <w:r>
        <w:rPr>
          <w:noProof/>
        </w:rPr>
        <w:tab/>
      </w:r>
      <w:r>
        <w:rPr>
          <w:noProof/>
        </w:rPr>
        <w:fldChar w:fldCharType="begin"/>
      </w:r>
      <w:r>
        <w:rPr>
          <w:noProof/>
        </w:rPr>
        <w:instrText xml:space="preserve"> PAGEREF _Toc90026032 \h </w:instrText>
      </w:r>
      <w:r>
        <w:rPr>
          <w:noProof/>
        </w:rPr>
      </w:r>
      <w:r>
        <w:rPr>
          <w:noProof/>
        </w:rPr>
        <w:fldChar w:fldCharType="separate"/>
      </w:r>
      <w:r w:rsidR="00F73238">
        <w:rPr>
          <w:noProof/>
        </w:rPr>
        <w:t>45</w:t>
      </w:r>
      <w:r>
        <w:rPr>
          <w:noProof/>
        </w:rPr>
        <w:fldChar w:fldCharType="end"/>
      </w:r>
    </w:p>
    <w:p w14:paraId="30CDCD7A" w14:textId="77777777" w:rsidR="00B02D1E" w:rsidRDefault="00B02D1E">
      <w:pPr>
        <w:pStyle w:val="TOC3"/>
        <w:rPr>
          <w:rFonts w:asciiTheme="minorHAnsi" w:eastAsiaTheme="minorEastAsia" w:hAnsiTheme="minorHAnsi" w:cstheme="minorBidi"/>
          <w:noProof/>
          <w:sz w:val="22"/>
          <w:szCs w:val="22"/>
          <w:lang w:eastAsia="en-NZ"/>
        </w:rPr>
      </w:pPr>
      <w:r>
        <w:rPr>
          <w:noProof/>
        </w:rPr>
        <w:t>Figure 8:</w:t>
      </w:r>
      <w:r>
        <w:rPr>
          <w:noProof/>
        </w:rPr>
        <w:tab/>
        <w:t>Prison systematic review results</w:t>
      </w:r>
      <w:r>
        <w:rPr>
          <w:noProof/>
        </w:rPr>
        <w:tab/>
      </w:r>
      <w:r>
        <w:rPr>
          <w:noProof/>
        </w:rPr>
        <w:fldChar w:fldCharType="begin"/>
      </w:r>
      <w:r>
        <w:rPr>
          <w:noProof/>
        </w:rPr>
        <w:instrText xml:space="preserve"> PAGEREF _Toc90026033 \h </w:instrText>
      </w:r>
      <w:r>
        <w:rPr>
          <w:noProof/>
        </w:rPr>
      </w:r>
      <w:r>
        <w:rPr>
          <w:noProof/>
        </w:rPr>
        <w:fldChar w:fldCharType="separate"/>
      </w:r>
      <w:r w:rsidR="00F73238">
        <w:rPr>
          <w:noProof/>
        </w:rPr>
        <w:t>52</w:t>
      </w:r>
      <w:r>
        <w:rPr>
          <w:noProof/>
        </w:rPr>
        <w:fldChar w:fldCharType="end"/>
      </w:r>
    </w:p>
    <w:p w14:paraId="62509CA8" w14:textId="77777777" w:rsidR="00B02D1E" w:rsidRDefault="00B02D1E">
      <w:pPr>
        <w:pStyle w:val="TOC3"/>
        <w:rPr>
          <w:rFonts w:asciiTheme="minorHAnsi" w:eastAsiaTheme="minorEastAsia" w:hAnsiTheme="minorHAnsi" w:cstheme="minorBidi"/>
          <w:noProof/>
          <w:sz w:val="22"/>
          <w:szCs w:val="22"/>
          <w:lang w:eastAsia="en-NZ"/>
        </w:rPr>
      </w:pPr>
      <w:r>
        <w:rPr>
          <w:noProof/>
        </w:rPr>
        <w:t>Figure 9:</w:t>
      </w:r>
      <w:r>
        <w:rPr>
          <w:noProof/>
        </w:rPr>
        <w:tab/>
        <w:t>Court systematic review results</w:t>
      </w:r>
      <w:r>
        <w:rPr>
          <w:noProof/>
        </w:rPr>
        <w:tab/>
      </w:r>
      <w:r>
        <w:rPr>
          <w:noProof/>
        </w:rPr>
        <w:fldChar w:fldCharType="begin"/>
      </w:r>
      <w:r>
        <w:rPr>
          <w:noProof/>
        </w:rPr>
        <w:instrText xml:space="preserve"> PAGEREF _Toc90026034 \h </w:instrText>
      </w:r>
      <w:r>
        <w:rPr>
          <w:noProof/>
        </w:rPr>
      </w:r>
      <w:r>
        <w:rPr>
          <w:noProof/>
        </w:rPr>
        <w:fldChar w:fldCharType="separate"/>
      </w:r>
      <w:r w:rsidR="00F73238">
        <w:rPr>
          <w:noProof/>
        </w:rPr>
        <w:t>64</w:t>
      </w:r>
      <w:r>
        <w:rPr>
          <w:noProof/>
        </w:rPr>
        <w:fldChar w:fldCharType="end"/>
      </w:r>
    </w:p>
    <w:p w14:paraId="4996C2FB" w14:textId="77777777" w:rsidR="00B02D1E" w:rsidRDefault="00B02D1E">
      <w:pPr>
        <w:pStyle w:val="TOC3"/>
        <w:rPr>
          <w:rFonts w:asciiTheme="minorHAnsi" w:eastAsiaTheme="minorEastAsia" w:hAnsiTheme="minorHAnsi" w:cstheme="minorBidi"/>
          <w:noProof/>
          <w:sz w:val="22"/>
          <w:szCs w:val="22"/>
          <w:lang w:eastAsia="en-NZ"/>
        </w:rPr>
      </w:pPr>
      <w:r>
        <w:rPr>
          <w:noProof/>
        </w:rPr>
        <w:t>Figure 10:</w:t>
      </w:r>
      <w:r>
        <w:rPr>
          <w:noProof/>
        </w:rPr>
        <w:tab/>
        <w:t>Summary of grey literature review results</w:t>
      </w:r>
      <w:r>
        <w:rPr>
          <w:noProof/>
        </w:rPr>
        <w:tab/>
      </w:r>
      <w:r>
        <w:rPr>
          <w:noProof/>
        </w:rPr>
        <w:fldChar w:fldCharType="begin"/>
      </w:r>
      <w:r>
        <w:rPr>
          <w:noProof/>
        </w:rPr>
        <w:instrText xml:space="preserve"> PAGEREF _Toc90026035 \h </w:instrText>
      </w:r>
      <w:r>
        <w:rPr>
          <w:noProof/>
        </w:rPr>
      </w:r>
      <w:r>
        <w:rPr>
          <w:noProof/>
        </w:rPr>
        <w:fldChar w:fldCharType="separate"/>
      </w:r>
      <w:r w:rsidR="00F73238">
        <w:rPr>
          <w:noProof/>
        </w:rPr>
        <w:t>75</w:t>
      </w:r>
      <w:r>
        <w:rPr>
          <w:noProof/>
        </w:rPr>
        <w:fldChar w:fldCharType="end"/>
      </w:r>
    </w:p>
    <w:p w14:paraId="37C2EAE1" w14:textId="77777777" w:rsidR="00B02D1E" w:rsidRDefault="00B02D1E">
      <w:pPr>
        <w:pStyle w:val="TOC3"/>
        <w:rPr>
          <w:rFonts w:asciiTheme="minorHAnsi" w:eastAsiaTheme="minorEastAsia" w:hAnsiTheme="minorHAnsi" w:cstheme="minorBidi"/>
          <w:noProof/>
          <w:sz w:val="22"/>
          <w:szCs w:val="22"/>
          <w:lang w:eastAsia="en-NZ"/>
        </w:rPr>
      </w:pPr>
      <w:r>
        <w:rPr>
          <w:noProof/>
        </w:rPr>
        <w:t>Figure 11:</w:t>
      </w:r>
      <w:r>
        <w:rPr>
          <w:noProof/>
        </w:rPr>
        <w:tab/>
        <w:t>Future state map of clinical care pathways at the Mason Clinic</w:t>
      </w:r>
      <w:r>
        <w:rPr>
          <w:noProof/>
        </w:rPr>
        <w:tab/>
      </w:r>
      <w:r>
        <w:rPr>
          <w:noProof/>
        </w:rPr>
        <w:fldChar w:fldCharType="begin"/>
      </w:r>
      <w:r>
        <w:rPr>
          <w:noProof/>
        </w:rPr>
        <w:instrText xml:space="preserve"> PAGEREF _Toc90026036 \h </w:instrText>
      </w:r>
      <w:r>
        <w:rPr>
          <w:noProof/>
        </w:rPr>
      </w:r>
      <w:r>
        <w:rPr>
          <w:noProof/>
        </w:rPr>
        <w:fldChar w:fldCharType="separate"/>
      </w:r>
      <w:r w:rsidR="00F73238">
        <w:rPr>
          <w:noProof/>
        </w:rPr>
        <w:t>79</w:t>
      </w:r>
      <w:r>
        <w:rPr>
          <w:noProof/>
        </w:rPr>
        <w:fldChar w:fldCharType="end"/>
      </w:r>
    </w:p>
    <w:p w14:paraId="4BB98F75" w14:textId="77777777" w:rsidR="00B02D1E" w:rsidRDefault="00B02D1E">
      <w:pPr>
        <w:pStyle w:val="TOC3"/>
        <w:rPr>
          <w:rFonts w:asciiTheme="minorHAnsi" w:eastAsiaTheme="minorEastAsia" w:hAnsiTheme="minorHAnsi" w:cstheme="minorBidi"/>
          <w:noProof/>
          <w:sz w:val="22"/>
          <w:szCs w:val="22"/>
          <w:lang w:eastAsia="en-NZ"/>
        </w:rPr>
      </w:pPr>
      <w:r>
        <w:rPr>
          <w:noProof/>
        </w:rPr>
        <w:t>Figure 12:</w:t>
      </w:r>
      <w:r>
        <w:rPr>
          <w:noProof/>
        </w:rPr>
        <w:tab/>
        <w:t>Stepped care model for forensic mental health services, with examples of offending behaviour interventions</w:t>
      </w:r>
      <w:r>
        <w:rPr>
          <w:noProof/>
        </w:rPr>
        <w:tab/>
      </w:r>
      <w:r>
        <w:rPr>
          <w:noProof/>
        </w:rPr>
        <w:fldChar w:fldCharType="begin"/>
      </w:r>
      <w:r>
        <w:rPr>
          <w:noProof/>
        </w:rPr>
        <w:instrText xml:space="preserve"> PAGEREF _Toc90026037 \h </w:instrText>
      </w:r>
      <w:r>
        <w:rPr>
          <w:noProof/>
        </w:rPr>
      </w:r>
      <w:r>
        <w:rPr>
          <w:noProof/>
        </w:rPr>
        <w:fldChar w:fldCharType="separate"/>
      </w:r>
      <w:r w:rsidR="00F73238">
        <w:rPr>
          <w:noProof/>
        </w:rPr>
        <w:t>93</w:t>
      </w:r>
      <w:r>
        <w:rPr>
          <w:noProof/>
        </w:rPr>
        <w:fldChar w:fldCharType="end"/>
      </w:r>
    </w:p>
    <w:p w14:paraId="28C14D8D" w14:textId="77777777" w:rsidR="00B02D1E" w:rsidRDefault="00B02D1E">
      <w:pPr>
        <w:pStyle w:val="TOC3"/>
        <w:rPr>
          <w:rFonts w:asciiTheme="minorHAnsi" w:eastAsiaTheme="minorEastAsia" w:hAnsiTheme="minorHAnsi" w:cstheme="minorBidi"/>
          <w:noProof/>
          <w:sz w:val="22"/>
          <w:szCs w:val="22"/>
          <w:lang w:eastAsia="en-NZ"/>
        </w:rPr>
      </w:pPr>
      <w:r>
        <w:rPr>
          <w:noProof/>
        </w:rPr>
        <w:t>Figure 13:</w:t>
      </w:r>
      <w:r>
        <w:rPr>
          <w:noProof/>
        </w:rPr>
        <w:tab/>
        <w:t>Core dimensions of high-quality forensic services</w:t>
      </w:r>
      <w:r>
        <w:rPr>
          <w:noProof/>
        </w:rPr>
        <w:tab/>
      </w:r>
      <w:r>
        <w:rPr>
          <w:noProof/>
        </w:rPr>
        <w:fldChar w:fldCharType="begin"/>
      </w:r>
      <w:r>
        <w:rPr>
          <w:noProof/>
        </w:rPr>
        <w:instrText xml:space="preserve"> PAGEREF _Toc90026038 \h </w:instrText>
      </w:r>
      <w:r>
        <w:rPr>
          <w:noProof/>
        </w:rPr>
      </w:r>
      <w:r>
        <w:rPr>
          <w:noProof/>
        </w:rPr>
        <w:fldChar w:fldCharType="separate"/>
      </w:r>
      <w:r w:rsidR="00F73238">
        <w:rPr>
          <w:noProof/>
        </w:rPr>
        <w:t>96</w:t>
      </w:r>
      <w:r>
        <w:rPr>
          <w:noProof/>
        </w:rPr>
        <w:fldChar w:fldCharType="end"/>
      </w:r>
    </w:p>
    <w:p w14:paraId="1AC8F018" w14:textId="77777777" w:rsidR="00FB0A5B" w:rsidRDefault="0033448B" w:rsidP="003A5FEA">
      <w:r>
        <w:fldChar w:fldCharType="end"/>
      </w:r>
    </w:p>
    <w:p w14:paraId="29AF8257" w14:textId="77777777" w:rsidR="001D3E4E" w:rsidRDefault="001D3E4E" w:rsidP="003A5FEA">
      <w:pPr>
        <w:sectPr w:rsidR="001D3E4E" w:rsidSect="00925892">
          <w:headerReference w:type="even" r:id="rId21"/>
          <w:headerReference w:type="default" r:id="rId22"/>
          <w:footerReference w:type="even" r:id="rId23"/>
          <w:footerReference w:type="default" r:id="rId24"/>
          <w:pgSz w:w="11907" w:h="16840" w:code="9"/>
          <w:pgMar w:top="1418" w:right="1701" w:bottom="1134" w:left="1843" w:header="284" w:footer="425" w:gutter="284"/>
          <w:pgNumType w:fmt="lowerRoman"/>
          <w:cols w:space="720"/>
        </w:sectPr>
      </w:pPr>
    </w:p>
    <w:p w14:paraId="4D28113B" w14:textId="77777777" w:rsidR="006E2886" w:rsidRDefault="00DA7F9E" w:rsidP="00F54E74">
      <w:pPr>
        <w:pStyle w:val="Heading1"/>
      </w:pPr>
      <w:bookmarkStart w:id="6" w:name="_Toc90025988"/>
      <w:r>
        <w:lastRenderedPageBreak/>
        <w:t>Executive summary</w:t>
      </w:r>
      <w:bookmarkEnd w:id="6"/>
    </w:p>
    <w:p w14:paraId="1529E52B" w14:textId="77777777" w:rsidR="00633C48" w:rsidRPr="00075571" w:rsidRDefault="00633C48" w:rsidP="00633C48">
      <w:r w:rsidRPr="00075571">
        <w:t xml:space="preserve">Forensic mental </w:t>
      </w:r>
      <w:r w:rsidRPr="000329FE">
        <w:t>health</w:t>
      </w:r>
      <w:r w:rsidRPr="00075571">
        <w:t xml:space="preserve"> </w:t>
      </w:r>
      <w:r w:rsidRPr="000329FE">
        <w:t>services</w:t>
      </w:r>
      <w:r w:rsidRPr="00075571">
        <w:t xml:space="preserve"> (</w:t>
      </w:r>
      <w:r w:rsidRPr="00083632">
        <w:t>FMHS</w:t>
      </w:r>
      <w:r>
        <w:t>s</w:t>
      </w:r>
      <w:r w:rsidRPr="00083632">
        <w:t>) were</w:t>
      </w:r>
      <w:r w:rsidRPr="00075571">
        <w:t xml:space="preserve"> established in</w:t>
      </w:r>
      <w:r>
        <w:t xml:space="preserve"> </w:t>
      </w:r>
      <w:r w:rsidRPr="00075571">
        <w:t>Aotearoa N</w:t>
      </w:r>
      <w:r>
        <w:t xml:space="preserve">ew </w:t>
      </w:r>
      <w:r w:rsidRPr="00075571">
        <w:t>Z</w:t>
      </w:r>
      <w:r>
        <w:t>ealand</w:t>
      </w:r>
      <w:r w:rsidRPr="00075571" w:rsidDel="00850EB3">
        <w:t xml:space="preserve"> </w:t>
      </w:r>
      <w:r w:rsidRPr="00075571">
        <w:t>in the early 1990s following the findings of the government Commission of Inquiry known as the Mason Report (1988). The five regional FMHS</w:t>
      </w:r>
      <w:r>
        <w:t>s</w:t>
      </w:r>
      <w:r w:rsidRPr="00075571">
        <w:t xml:space="preserve"> (Auckland, Hamilton, Wellington, Christchurch and Dunedin) provide services in four main areas: inpatient, community, prisons and courts. Currently, each regional service follows its own model of care without an overarching framework that unifies FMHS</w:t>
      </w:r>
      <w:r>
        <w:t>s</w:t>
      </w:r>
      <w:r w:rsidRPr="00075571">
        <w:t xml:space="preserve"> formally at a national level. Moreover, regional models of care often lack clear articulation (</w:t>
      </w:r>
      <w:r>
        <w:t>ie</w:t>
      </w:r>
      <w:r w:rsidRPr="00075571">
        <w:t xml:space="preserve">, </w:t>
      </w:r>
      <w:r>
        <w:t xml:space="preserve">they </w:t>
      </w:r>
      <w:r w:rsidRPr="00075571">
        <w:t xml:space="preserve">are not clearly documented) and may be divided or </w:t>
      </w:r>
      <w:r w:rsidRPr="001A28C6">
        <w:t>compartmentalised</w:t>
      </w:r>
      <w:r w:rsidRPr="00075571">
        <w:t xml:space="preserve"> between the areas of service delivery, rather than designed holistically for all parts of the service. Consequently, service delivery and quality may vary within and between the regions, highlighting the need for a coordinated, cohesive model of care for FMHS</w:t>
      </w:r>
      <w:r>
        <w:t>s.</w:t>
      </w:r>
    </w:p>
    <w:p w14:paraId="03496935" w14:textId="77777777" w:rsidR="00633C48" w:rsidRPr="00075571" w:rsidRDefault="00633C48" w:rsidP="00633C48"/>
    <w:p w14:paraId="3255CDC7" w14:textId="77777777" w:rsidR="00633C48" w:rsidRPr="00075571" w:rsidRDefault="00633C48" w:rsidP="00633C48">
      <w:r w:rsidRPr="00075571">
        <w:t xml:space="preserve">Forensic mental </w:t>
      </w:r>
      <w:r w:rsidRPr="00CA5003">
        <w:t xml:space="preserve">health services are </w:t>
      </w:r>
      <w:r>
        <w:t xml:space="preserve">used </w:t>
      </w:r>
      <w:r w:rsidRPr="00CA5003">
        <w:t>by the p</w:t>
      </w:r>
      <w:r w:rsidRPr="00075571">
        <w:t xml:space="preserve">opulation of individuals with severe mental illness who are involved with the criminal justice system. </w:t>
      </w:r>
      <w:r w:rsidRPr="001A28C6">
        <w:t>Thus,</w:t>
      </w:r>
      <w:r w:rsidRPr="00075571">
        <w:t xml:space="preserve"> FMHS</w:t>
      </w:r>
      <w:r>
        <w:t>s</w:t>
      </w:r>
      <w:r w:rsidRPr="00075571">
        <w:t xml:space="preserve"> exist at the </w:t>
      </w:r>
      <w:r w:rsidR="00EE0ADB">
        <w:t>‘</w:t>
      </w:r>
      <w:r w:rsidRPr="00075571">
        <w:t>interface between the mental health and criminal justice sectors</w:t>
      </w:r>
      <w:r w:rsidR="00EE0ADB">
        <w:t>’</w:t>
      </w:r>
      <w:r w:rsidRPr="00075571">
        <w:t xml:space="preserve"> (</w:t>
      </w:r>
      <w:r>
        <w:t xml:space="preserve">Ministry of Health </w:t>
      </w:r>
      <w:r w:rsidRPr="00075571">
        <w:t>2010</w:t>
      </w:r>
      <w:r w:rsidR="005054ED">
        <w:t>, p. </w:t>
      </w:r>
      <w:r w:rsidRPr="00075571">
        <w:t>8). There are multiple pathways through which individuals may engage with</w:t>
      </w:r>
      <w:r>
        <w:t xml:space="preserve"> an</w:t>
      </w:r>
      <w:r w:rsidRPr="00075571">
        <w:t xml:space="preserve"> FMHS. In Aotearoa New Zealand, service users are typically referred to FMHS</w:t>
      </w:r>
      <w:r>
        <w:t>s</w:t>
      </w:r>
      <w:r w:rsidRPr="00075571">
        <w:t xml:space="preserve"> via the courts or prisons due to their mental health needs or arrive in the service due to their legal status (eg, </w:t>
      </w:r>
      <w:r>
        <w:t xml:space="preserve">because they are </w:t>
      </w:r>
      <w:r w:rsidRPr="00075571">
        <w:t xml:space="preserve">unfit to stand trial, </w:t>
      </w:r>
      <w:r>
        <w:t xml:space="preserve">because they are </w:t>
      </w:r>
      <w:r w:rsidRPr="00075571">
        <w:t xml:space="preserve">not guilty by reason of </w:t>
      </w:r>
      <w:r w:rsidRPr="001A28C6">
        <w:t>insanity</w:t>
      </w:r>
      <w:r w:rsidRPr="00075571">
        <w:t xml:space="preserve"> </w:t>
      </w:r>
      <w:r>
        <w:t xml:space="preserve">or under </w:t>
      </w:r>
      <w:r w:rsidRPr="00075571">
        <w:t xml:space="preserve">certain provisions of the Mental Health </w:t>
      </w:r>
      <w:r>
        <w:t>(</w:t>
      </w:r>
      <w:r w:rsidRPr="00075571">
        <w:t>Compulsory Assessment and Treatment</w:t>
      </w:r>
      <w:r>
        <w:t>)</w:t>
      </w:r>
      <w:r w:rsidRPr="00075571">
        <w:t xml:space="preserve"> Act 1992).</w:t>
      </w:r>
    </w:p>
    <w:p w14:paraId="20C415A0" w14:textId="77777777" w:rsidR="00633C48" w:rsidRPr="00075571" w:rsidRDefault="00633C48" w:rsidP="00633C48"/>
    <w:p w14:paraId="1D7E6CCD" w14:textId="77777777" w:rsidR="00633C48" w:rsidRPr="00075571" w:rsidRDefault="00633C48" w:rsidP="00633C48">
      <w:r w:rsidRPr="00075571">
        <w:t>This document details the findings of a set of scoping systematic literature reviews conducted to identify the national and international evidence on models of care governing adult FMHS provision. More specifically, the researchers sought to identify evidence-based best practices pertaining to models of care in the four areas</w:t>
      </w:r>
      <w:r>
        <w:t xml:space="preserve"> identified above that</w:t>
      </w:r>
      <w:r w:rsidRPr="00075571">
        <w:t xml:space="preserve"> broadly represent the main sectors of FMHS delivery. The researchers additionally conducted a review of regional, national, and international grey literature to examine further models of care as articulated in organisational</w:t>
      </w:r>
      <w:r>
        <w:t xml:space="preserve"> documentation.</w:t>
      </w:r>
    </w:p>
    <w:p w14:paraId="1620A780" w14:textId="77777777" w:rsidR="00633C48" w:rsidRPr="00075571" w:rsidRDefault="00633C48" w:rsidP="00633C48"/>
    <w:p w14:paraId="7DC6A7B9" w14:textId="77777777" w:rsidR="00633C48" w:rsidRDefault="00633C48" w:rsidP="00633C48">
      <w:r w:rsidRPr="00075571">
        <w:t xml:space="preserve">The </w:t>
      </w:r>
      <w:r>
        <w:t xml:space="preserve">researchers then used </w:t>
      </w:r>
      <w:r w:rsidRPr="00075571">
        <w:t xml:space="preserve">findings from these reviews to develop </w:t>
      </w:r>
      <w:r w:rsidRPr="001A28C6">
        <w:t>evidence-based</w:t>
      </w:r>
      <w:r w:rsidRPr="00075571">
        <w:t xml:space="preserve"> summaries</w:t>
      </w:r>
      <w:r>
        <w:t xml:space="preserve"> that the Ministry of Health </w:t>
      </w:r>
      <w:r w:rsidRPr="00075571">
        <w:t xml:space="preserve">can use to inform the development of a national </w:t>
      </w:r>
      <w:r w:rsidRPr="000329FE">
        <w:rPr>
          <w:rFonts w:cs="Segoe UI"/>
        </w:rPr>
        <w:t>implementation guidance document</w:t>
      </w:r>
      <w:r>
        <w:t xml:space="preserve"> </w:t>
      </w:r>
      <w:r w:rsidRPr="00075571">
        <w:t>for FMHS</w:t>
      </w:r>
      <w:r>
        <w:t>s</w:t>
      </w:r>
      <w:r w:rsidRPr="00075571">
        <w:t xml:space="preserve"> in Aotearoa </w:t>
      </w:r>
      <w:r>
        <w:t>New Zealand</w:t>
      </w:r>
      <w:r w:rsidRPr="00075571">
        <w:t>.</w:t>
      </w:r>
    </w:p>
    <w:p w14:paraId="491D5653" w14:textId="77777777" w:rsidR="00633C48" w:rsidRPr="00075571" w:rsidRDefault="00633C48" w:rsidP="00633C48"/>
    <w:p w14:paraId="05857A35" w14:textId="77777777" w:rsidR="00633C48" w:rsidRPr="001A28C6" w:rsidRDefault="00633C48" w:rsidP="00633C48">
      <w:pPr>
        <w:pStyle w:val="Heading3"/>
      </w:pPr>
      <w:r w:rsidRPr="000329FE">
        <w:lastRenderedPageBreak/>
        <w:t xml:space="preserve">Scope </w:t>
      </w:r>
      <w:r>
        <w:t>and</w:t>
      </w:r>
      <w:r w:rsidRPr="000329FE">
        <w:t xml:space="preserve"> </w:t>
      </w:r>
      <w:r>
        <w:t>a</w:t>
      </w:r>
      <w:r w:rsidRPr="000329FE">
        <w:t>ims</w:t>
      </w:r>
    </w:p>
    <w:p w14:paraId="6CAE04BD" w14:textId="77777777" w:rsidR="00633C48" w:rsidRPr="00231680" w:rsidRDefault="00633C48" w:rsidP="00633C48">
      <w:pPr>
        <w:keepNext/>
      </w:pPr>
      <w:r w:rsidRPr="00231680">
        <w:t>The aim of this project was to conduct a review of national and international scholarly literature on models of care pertaining to the four main areas of adult FMHS</w:t>
      </w:r>
      <w:r>
        <w:t>s</w:t>
      </w:r>
      <w:r w:rsidRPr="00231680">
        <w:t>, as well as the regional, national, and international grey literature. Further objectives were:</w:t>
      </w:r>
    </w:p>
    <w:p w14:paraId="6AF8BD6B" w14:textId="77777777" w:rsidR="00633C48" w:rsidRPr="00231680" w:rsidRDefault="00633C48" w:rsidP="00633C48">
      <w:pPr>
        <w:pStyle w:val="Bullet"/>
        <w:keepNext/>
      </w:pPr>
      <w:r>
        <w:t>t</w:t>
      </w:r>
      <w:r w:rsidRPr="00231680">
        <w:t>o identify evidence-based best practices relating to models of care for FMHS</w:t>
      </w:r>
      <w:r>
        <w:t>s</w:t>
      </w:r>
    </w:p>
    <w:p w14:paraId="6387AE53" w14:textId="77777777" w:rsidR="00633C48" w:rsidRPr="00231680" w:rsidRDefault="00633C48" w:rsidP="00633C48">
      <w:pPr>
        <w:pStyle w:val="Bullet"/>
        <w:keepNext/>
      </w:pPr>
      <w:r>
        <w:t>t</w:t>
      </w:r>
      <w:r w:rsidRPr="00231680">
        <w:t xml:space="preserve">o identify evidence-based best practices specifically pertaining to priority populations (Māori, </w:t>
      </w:r>
      <w:r>
        <w:t>Pacific peoples,</w:t>
      </w:r>
      <w:r w:rsidRPr="00231680">
        <w:t xml:space="preserve"> and women</w:t>
      </w:r>
      <w:r>
        <w:t>)</w:t>
      </w:r>
    </w:p>
    <w:p w14:paraId="67379B1D" w14:textId="77777777" w:rsidR="00633C48" w:rsidRPr="00231680" w:rsidRDefault="00633C48" w:rsidP="00633C48">
      <w:pPr>
        <w:pStyle w:val="Bullet"/>
      </w:pPr>
      <w:r>
        <w:t>t</w:t>
      </w:r>
      <w:r w:rsidRPr="00231680">
        <w:t>o identify relevant regional, national, and international guidelines in the grey literature (organisational documents)</w:t>
      </w:r>
    </w:p>
    <w:p w14:paraId="5B469621" w14:textId="77777777" w:rsidR="00633C48" w:rsidRPr="00231680" w:rsidRDefault="00633C48" w:rsidP="00633C48">
      <w:pPr>
        <w:pStyle w:val="Bullet"/>
      </w:pPr>
      <w:r>
        <w:t>t</w:t>
      </w:r>
      <w:r w:rsidRPr="00231680">
        <w:t>o identify how existing guidelines/models align with the evidence base</w:t>
      </w:r>
    </w:p>
    <w:p w14:paraId="3DFA4DB9" w14:textId="77777777" w:rsidR="00633C48" w:rsidRPr="00075571" w:rsidRDefault="00633C48" w:rsidP="00633C48">
      <w:pPr>
        <w:pStyle w:val="Bullet"/>
      </w:pPr>
      <w:r>
        <w:t>t</w:t>
      </w:r>
      <w:r w:rsidRPr="00231680">
        <w:t xml:space="preserve">o </w:t>
      </w:r>
      <w:r w:rsidRPr="001A28C6">
        <w:t>develop evidence-based</w:t>
      </w:r>
      <w:r w:rsidRPr="00075571">
        <w:t xml:space="preserve"> summaries.</w:t>
      </w:r>
    </w:p>
    <w:p w14:paraId="468494F6" w14:textId="77777777" w:rsidR="00633C48" w:rsidRPr="00075571" w:rsidRDefault="00633C48" w:rsidP="00633C48"/>
    <w:p w14:paraId="67538AA4" w14:textId="77777777" w:rsidR="00633C48" w:rsidRDefault="00633C48" w:rsidP="00633C48">
      <w:r w:rsidRPr="00075571">
        <w:t xml:space="preserve">As </w:t>
      </w:r>
      <w:r w:rsidR="00EE0ADB">
        <w:t>‘</w:t>
      </w:r>
      <w:r w:rsidRPr="00075571">
        <w:t>model of care</w:t>
      </w:r>
      <w:r w:rsidR="00EE0ADB">
        <w:t>’</w:t>
      </w:r>
      <w:r w:rsidRPr="00075571">
        <w:t xml:space="preserve"> has broad definitions and is often not discussed directly in the literature, the researchers examined research on approaches, models, frameworks, service provision and service delivery within adult FMHS</w:t>
      </w:r>
      <w:r>
        <w:t>s</w:t>
      </w:r>
      <w:r w:rsidRPr="00075571">
        <w:t xml:space="preserve"> to locate discussion on models of care. Literature pertaining to non-forensic (general) and/or youth (child/adolescent) service users or practice-level forensic mental health interventions was beyond the scope of this project. As such, the researchers did not review in depth the body of literature pertaining to specific instruments, interventions or programmes </w:t>
      </w:r>
      <w:r>
        <w:t xml:space="preserve">used </w:t>
      </w:r>
      <w:r w:rsidRPr="00075571">
        <w:t>within FMHS</w:t>
      </w:r>
      <w:r>
        <w:t>s</w:t>
      </w:r>
      <w:r w:rsidRPr="00075571">
        <w:t>, including those relating to comorbidities, which may be relevant to the treatment contexts of FMHS users (</w:t>
      </w:r>
      <w:r>
        <w:t>eg</w:t>
      </w:r>
      <w:r w:rsidRPr="00075571">
        <w:t xml:space="preserve">, alcohol and other drugs </w:t>
      </w:r>
      <w:r>
        <w:t>(</w:t>
      </w:r>
      <w:r w:rsidRPr="00075571">
        <w:t>AOD</w:t>
      </w:r>
      <w:r>
        <w:t>)</w:t>
      </w:r>
      <w:r w:rsidRPr="00075571">
        <w:t>). Rather, the researchers examined the broader models of care that provide an overarching framework for the delivery of such services.</w:t>
      </w:r>
    </w:p>
    <w:p w14:paraId="0AFA974A" w14:textId="77777777" w:rsidR="00633C48" w:rsidRPr="000329FE" w:rsidRDefault="00633C48" w:rsidP="00633C48"/>
    <w:p w14:paraId="4A8A9FF7" w14:textId="77777777" w:rsidR="00633C48" w:rsidRPr="000329FE" w:rsidRDefault="00633C48" w:rsidP="00633C48">
      <w:pPr>
        <w:pStyle w:val="Heading3"/>
      </w:pPr>
      <w:bookmarkStart w:id="7" w:name="_bookmark2"/>
      <w:bookmarkEnd w:id="7"/>
      <w:r w:rsidRPr="000329FE">
        <w:t>Methodology</w:t>
      </w:r>
    </w:p>
    <w:p w14:paraId="43279568" w14:textId="77777777" w:rsidR="00633C48" w:rsidRPr="00231680" w:rsidRDefault="00633C48" w:rsidP="00633C48">
      <w:r w:rsidRPr="00231680">
        <w:t>The researchers conducted four scoping systematic reviews of the national and international literature on models of care for adult inpatient, community, prison and court FMHS</w:t>
      </w:r>
      <w:r>
        <w:t>s</w:t>
      </w:r>
      <w:r w:rsidRPr="00231680">
        <w:t xml:space="preserve">, respectively, between April and August 2019. </w:t>
      </w:r>
      <w:r>
        <w:t>They conducted s</w:t>
      </w:r>
      <w:r w:rsidRPr="00231680">
        <w:t xml:space="preserve">earches </w:t>
      </w:r>
      <w:r>
        <w:t>using</w:t>
      </w:r>
      <w:r w:rsidRPr="00231680">
        <w:t xml:space="preserve"> a set of predetermined keywords via several databases, namely Scopus, ScienceDirect and Google Scholar. </w:t>
      </w:r>
      <w:r>
        <w:t>They also obtained l</w:t>
      </w:r>
      <w:r w:rsidRPr="00231680">
        <w:t xml:space="preserve">iterature via recommendations from the Ministry of Health advisors overseeing this project. </w:t>
      </w:r>
      <w:r>
        <w:t>The researchers screened r</w:t>
      </w:r>
      <w:r w:rsidRPr="00231680">
        <w:t xml:space="preserve">esults </w:t>
      </w:r>
      <w:r>
        <w:t xml:space="preserve">first by </w:t>
      </w:r>
      <w:r w:rsidRPr="00231680">
        <w:t xml:space="preserve">title, then </w:t>
      </w:r>
      <w:r>
        <w:t xml:space="preserve">by </w:t>
      </w:r>
      <w:r w:rsidRPr="00231680">
        <w:t xml:space="preserve">abstract, then </w:t>
      </w:r>
      <w:r>
        <w:t xml:space="preserve">by </w:t>
      </w:r>
      <w:r w:rsidRPr="00231680">
        <w:t>full text to determine relevance to the project brief. Literature was limited to English-language works from 1990 to the present. Literature was not required to be peer-reviewed</w:t>
      </w:r>
      <w:r>
        <w:t>,</w:t>
      </w:r>
      <w:r w:rsidRPr="00231680">
        <w:t xml:space="preserve"> to allow for a broader scope, though the majority of works located were peer-reviewed articles. In total, </w:t>
      </w:r>
      <w:r>
        <w:t xml:space="preserve">the researchers reviewed </w:t>
      </w:r>
      <w:r w:rsidRPr="00231680">
        <w:t>9</w:t>
      </w:r>
      <w:r>
        <w:t>,</w:t>
      </w:r>
      <w:r w:rsidRPr="00231680">
        <w:t xml:space="preserve">701 titles, </w:t>
      </w:r>
      <w:r>
        <w:t xml:space="preserve">and retained </w:t>
      </w:r>
      <w:r w:rsidRPr="00231680">
        <w:t>294 sources for in-depth analysis.</w:t>
      </w:r>
    </w:p>
    <w:p w14:paraId="609B85FB" w14:textId="77777777" w:rsidR="00633C48" w:rsidRPr="00231680" w:rsidRDefault="00633C48" w:rsidP="00633C48"/>
    <w:p w14:paraId="496FC7CC" w14:textId="77777777" w:rsidR="00633C48" w:rsidRDefault="00633C48" w:rsidP="00633C48">
      <w:pPr>
        <w:keepNext/>
        <w:keepLines/>
      </w:pPr>
      <w:r w:rsidRPr="00231680">
        <w:lastRenderedPageBreak/>
        <w:t>The researchers then conducted a fifth review of the grey (organisational) literature at the regional, national, and international levels to investigate (a) what guidelines exist concerning models of care in FMHS</w:t>
      </w:r>
      <w:r>
        <w:t>s</w:t>
      </w:r>
      <w:r w:rsidRPr="00231680">
        <w:t xml:space="preserve"> and (b) how existing guidelines/models of care align with the evidence base. </w:t>
      </w:r>
      <w:r>
        <w:t>The researchers obtained d</w:t>
      </w:r>
      <w:r w:rsidRPr="00231680">
        <w:t xml:space="preserve">ocumentation at the regional level </w:t>
      </w:r>
      <w:r>
        <w:t xml:space="preserve">via </w:t>
      </w:r>
      <w:r w:rsidRPr="00231680">
        <w:t>submission</w:t>
      </w:r>
      <w:r>
        <w:t>s</w:t>
      </w:r>
      <w:r w:rsidRPr="00231680">
        <w:t xml:space="preserve"> from the regional FMHS</w:t>
      </w:r>
      <w:r>
        <w:t>s</w:t>
      </w:r>
      <w:r w:rsidRPr="00231680">
        <w:t xml:space="preserve">, and at the national and international levels via searches of relevant organisational websites and through contact with </w:t>
      </w:r>
      <w:r>
        <w:t>Ministry of Health</w:t>
      </w:r>
      <w:r w:rsidRPr="00231680">
        <w:t xml:space="preserve"> advisors and international colleagues. In total, 66 additional documents were included in the grey literature review, </w:t>
      </w:r>
      <w:r>
        <w:t xml:space="preserve">yielding </w:t>
      </w:r>
      <w:r w:rsidRPr="00231680">
        <w:t>a total of 360 sources for the five review</w:t>
      </w:r>
      <w:r>
        <w:t>s</w:t>
      </w:r>
      <w:r w:rsidRPr="00231680">
        <w:t xml:space="preserve"> combined</w:t>
      </w:r>
      <w:r w:rsidRPr="00075571">
        <w:t>.</w:t>
      </w:r>
    </w:p>
    <w:p w14:paraId="6050C03D" w14:textId="77777777" w:rsidR="00633C48" w:rsidRPr="00075571" w:rsidRDefault="00633C48" w:rsidP="00633C48">
      <w:pPr>
        <w:rPr>
          <w:rStyle w:val="Hyperlink"/>
          <w:b w:val="0"/>
        </w:rPr>
      </w:pPr>
    </w:p>
    <w:p w14:paraId="14EBC9EA" w14:textId="77777777" w:rsidR="00633C48" w:rsidRPr="00075571" w:rsidRDefault="00633C48" w:rsidP="00633C48">
      <w:pPr>
        <w:pStyle w:val="Heading3"/>
      </w:pPr>
      <w:bookmarkStart w:id="8" w:name="_Toc16805611"/>
      <w:r w:rsidRPr="00075571">
        <w:t xml:space="preserve">Review </w:t>
      </w:r>
      <w:r>
        <w:t>f</w:t>
      </w:r>
      <w:r w:rsidRPr="00075571">
        <w:t>indings</w:t>
      </w:r>
      <w:bookmarkEnd w:id="8"/>
    </w:p>
    <w:p w14:paraId="34ADE31C" w14:textId="77777777" w:rsidR="00633C48" w:rsidRPr="00075571" w:rsidRDefault="00633C48" w:rsidP="00633C48">
      <w:pPr>
        <w:pStyle w:val="Heading4"/>
      </w:pPr>
      <w:bookmarkStart w:id="9" w:name="_Toc16805612"/>
      <w:r w:rsidRPr="00075571">
        <w:t xml:space="preserve">Overarching </w:t>
      </w:r>
      <w:r>
        <w:t>f</w:t>
      </w:r>
      <w:r w:rsidRPr="00075571">
        <w:t>indings</w:t>
      </w:r>
      <w:bookmarkEnd w:id="9"/>
    </w:p>
    <w:p w14:paraId="0DEE7F7E" w14:textId="77777777" w:rsidR="00633C48" w:rsidRPr="00075571" w:rsidRDefault="00633C48" w:rsidP="00633C48">
      <w:pPr>
        <w:rPr>
          <w:rFonts w:eastAsiaTheme="majorEastAsia"/>
        </w:rPr>
      </w:pPr>
      <w:r w:rsidRPr="00075571">
        <w:rPr>
          <w:rFonts w:eastAsiaTheme="majorEastAsia"/>
          <w:b/>
        </w:rPr>
        <w:t xml:space="preserve">Therapeutic </w:t>
      </w:r>
      <w:r>
        <w:rPr>
          <w:rFonts w:eastAsiaTheme="majorEastAsia"/>
          <w:b/>
        </w:rPr>
        <w:t>s</w:t>
      </w:r>
      <w:r w:rsidRPr="00075571">
        <w:rPr>
          <w:rFonts w:eastAsiaTheme="majorEastAsia"/>
          <w:b/>
        </w:rPr>
        <w:t>ecurity</w:t>
      </w:r>
      <w:r>
        <w:rPr>
          <w:rFonts w:eastAsiaTheme="majorEastAsia"/>
          <w:b/>
        </w:rPr>
        <w:t xml:space="preserve"> </w:t>
      </w:r>
      <w:r w:rsidRPr="00075571">
        <w:rPr>
          <w:rFonts w:eastAsiaTheme="majorEastAsia"/>
          <w:b/>
        </w:rPr>
        <w:t>–</w:t>
      </w:r>
      <w:r w:rsidRPr="00075571">
        <w:rPr>
          <w:rFonts w:eastAsiaTheme="majorEastAsia"/>
          <w:i/>
          <w:iCs/>
        </w:rPr>
        <w:t xml:space="preserve"> </w:t>
      </w:r>
      <w:r w:rsidRPr="00075571">
        <w:rPr>
          <w:rFonts w:eastAsiaTheme="majorEastAsia"/>
        </w:rPr>
        <w:t xml:space="preserve">Forensic mental health services are typically structured according to stratified levels of therapeutic security, which must take into consideration environmental, relational, and procedural security. This is most readily apparent in the inpatient context, though considerations of therapeutic security apply to other contexts as well. Evidence suggests </w:t>
      </w:r>
      <w:r>
        <w:rPr>
          <w:rFonts w:eastAsiaTheme="majorEastAsia"/>
        </w:rPr>
        <w:t xml:space="preserve">a </w:t>
      </w:r>
      <w:r w:rsidRPr="00075571">
        <w:rPr>
          <w:rFonts w:eastAsiaTheme="majorEastAsia"/>
        </w:rPr>
        <w:t>need for integration of services between the various levels</w:t>
      </w:r>
      <w:r>
        <w:rPr>
          <w:rFonts w:eastAsiaTheme="majorEastAsia"/>
        </w:rPr>
        <w:t>,</w:t>
      </w:r>
      <w:r w:rsidRPr="00075571">
        <w:rPr>
          <w:rFonts w:eastAsiaTheme="majorEastAsia"/>
        </w:rPr>
        <w:t xml:space="preserve"> to achieve continuity of care and increase service efficacy. Available regional documentation on FMHS delivery indicates alignment with this evidence, with varying degrees of implementation.</w:t>
      </w:r>
    </w:p>
    <w:p w14:paraId="119DC1D8" w14:textId="77777777" w:rsidR="00633C48" w:rsidRPr="00075571" w:rsidRDefault="00633C48" w:rsidP="00633C48">
      <w:pPr>
        <w:rPr>
          <w:rFonts w:eastAsiaTheme="majorEastAsia"/>
        </w:rPr>
      </w:pPr>
    </w:p>
    <w:p w14:paraId="6C22305E" w14:textId="77777777" w:rsidR="00633C48" w:rsidRPr="00075571" w:rsidRDefault="00633C48" w:rsidP="00633C48">
      <w:pPr>
        <w:rPr>
          <w:rFonts w:eastAsiaTheme="majorEastAsia"/>
        </w:rPr>
      </w:pPr>
      <w:r w:rsidRPr="00075571">
        <w:rPr>
          <w:rFonts w:eastAsiaTheme="majorEastAsia"/>
          <w:b/>
        </w:rPr>
        <w:t>Rehabilitation</w:t>
      </w:r>
      <w:r>
        <w:rPr>
          <w:rFonts w:eastAsiaTheme="majorEastAsia"/>
          <w:b/>
        </w:rPr>
        <w:t xml:space="preserve"> </w:t>
      </w:r>
      <w:r w:rsidRPr="00075571">
        <w:rPr>
          <w:rFonts w:eastAsiaTheme="majorEastAsia"/>
          <w:b/>
        </w:rPr>
        <w:t>–</w:t>
      </w:r>
      <w:r w:rsidRPr="00075571">
        <w:rPr>
          <w:rFonts w:eastAsiaTheme="majorEastAsia"/>
          <w:i/>
          <w:iCs/>
        </w:rPr>
        <w:t xml:space="preserve"> </w:t>
      </w:r>
      <w:r>
        <w:rPr>
          <w:rFonts w:eastAsiaTheme="majorEastAsia"/>
        </w:rPr>
        <w:t xml:space="preserve">The function of FMHSs has </w:t>
      </w:r>
      <w:r w:rsidRPr="00075571">
        <w:rPr>
          <w:rFonts w:eastAsiaTheme="majorEastAsia"/>
        </w:rPr>
        <w:t xml:space="preserve">increasingly shifted from a custodial to </w:t>
      </w:r>
      <w:r>
        <w:rPr>
          <w:rFonts w:eastAsiaTheme="majorEastAsia"/>
        </w:rPr>
        <w:t xml:space="preserve">a </w:t>
      </w:r>
      <w:r w:rsidRPr="00075571">
        <w:rPr>
          <w:rFonts w:eastAsiaTheme="majorEastAsia"/>
        </w:rPr>
        <w:t xml:space="preserve">rehabilitative </w:t>
      </w:r>
      <w:r>
        <w:rPr>
          <w:rFonts w:eastAsiaTheme="majorEastAsia"/>
        </w:rPr>
        <w:t xml:space="preserve">one </w:t>
      </w:r>
      <w:r w:rsidRPr="00075571">
        <w:rPr>
          <w:rFonts w:eastAsiaTheme="majorEastAsia"/>
        </w:rPr>
        <w:t>in recent decades, the primary outcome being community reintegration. Debate persists as to whether the key focus of rehabilitation should be alleviating mental illness or reducing (re-)offending behaviour</w:t>
      </w:r>
      <w:r>
        <w:rPr>
          <w:rFonts w:eastAsiaTheme="majorEastAsia"/>
        </w:rPr>
        <w:t>;</w:t>
      </w:r>
      <w:r w:rsidRPr="00075571">
        <w:rPr>
          <w:rFonts w:eastAsiaTheme="majorEastAsia"/>
        </w:rPr>
        <w:t xml:space="preserve"> current best practices indicat</w:t>
      </w:r>
      <w:r>
        <w:rPr>
          <w:rFonts w:eastAsiaTheme="majorEastAsia"/>
        </w:rPr>
        <w:t>e</w:t>
      </w:r>
      <w:r w:rsidRPr="00075571">
        <w:rPr>
          <w:rFonts w:eastAsiaTheme="majorEastAsia"/>
        </w:rPr>
        <w:t xml:space="preserve"> it should be both. To address the latter, approaches such as the risk-need-</w:t>
      </w:r>
      <w:r w:rsidRPr="00083632">
        <w:rPr>
          <w:rFonts w:eastAsiaTheme="majorEastAsia"/>
        </w:rPr>
        <w:t>responsivity</w:t>
      </w:r>
      <w:r w:rsidRPr="00075571">
        <w:rPr>
          <w:rFonts w:eastAsiaTheme="majorEastAsia"/>
        </w:rPr>
        <w:t xml:space="preserve"> (RNR) model have been developed that </w:t>
      </w:r>
      <w:r w:rsidRPr="00083632">
        <w:rPr>
          <w:rFonts w:eastAsiaTheme="majorEastAsia"/>
        </w:rPr>
        <w:t>consider</w:t>
      </w:r>
      <w:r w:rsidRPr="00075571">
        <w:rPr>
          <w:rFonts w:eastAsiaTheme="majorEastAsia"/>
        </w:rPr>
        <w:t xml:space="preserve"> individuals</w:t>
      </w:r>
      <w:r w:rsidR="00EE0ADB">
        <w:rPr>
          <w:rFonts w:eastAsiaTheme="majorEastAsia"/>
        </w:rPr>
        <w:t>’</w:t>
      </w:r>
      <w:r w:rsidRPr="00075571">
        <w:rPr>
          <w:rFonts w:eastAsiaTheme="majorEastAsia"/>
        </w:rPr>
        <w:t xml:space="preserve"> criminogenic needs. Within the organisational literature, recent shifts toward a rehabilitation focus are apparent </w:t>
      </w:r>
      <w:r>
        <w:rPr>
          <w:rFonts w:eastAsiaTheme="majorEastAsia"/>
        </w:rPr>
        <w:t xml:space="preserve">in </w:t>
      </w:r>
      <w:r w:rsidRPr="00075571">
        <w:rPr>
          <w:rFonts w:eastAsiaTheme="majorEastAsia"/>
        </w:rPr>
        <w:t>both health and corrections services, suggesting increasing adoption of best practices.</w:t>
      </w:r>
    </w:p>
    <w:p w14:paraId="76A66920" w14:textId="77777777" w:rsidR="00633C48" w:rsidRPr="00075571" w:rsidRDefault="00633C48" w:rsidP="00633C48">
      <w:pPr>
        <w:rPr>
          <w:rFonts w:eastAsiaTheme="majorEastAsia"/>
        </w:rPr>
      </w:pPr>
    </w:p>
    <w:p w14:paraId="691BEEE1" w14:textId="77777777" w:rsidR="00633C48" w:rsidRPr="00075571" w:rsidRDefault="00633C48" w:rsidP="00633C48">
      <w:r w:rsidRPr="00075571">
        <w:rPr>
          <w:rFonts w:eastAsiaTheme="majorEastAsia" w:cstheme="majorBidi"/>
          <w:b/>
        </w:rPr>
        <w:t>Recovery-</w:t>
      </w:r>
      <w:r>
        <w:rPr>
          <w:rFonts w:eastAsiaTheme="majorEastAsia" w:cstheme="majorBidi"/>
          <w:b/>
        </w:rPr>
        <w:t>o</w:t>
      </w:r>
      <w:r w:rsidRPr="00075571">
        <w:rPr>
          <w:rFonts w:eastAsiaTheme="majorEastAsia" w:cstheme="majorBidi"/>
          <w:b/>
        </w:rPr>
        <w:t xml:space="preserve">riented </w:t>
      </w:r>
      <w:r>
        <w:rPr>
          <w:rFonts w:eastAsiaTheme="majorEastAsia" w:cstheme="majorBidi"/>
          <w:b/>
        </w:rPr>
        <w:t>a</w:t>
      </w:r>
      <w:r w:rsidRPr="00075571">
        <w:rPr>
          <w:rFonts w:eastAsiaTheme="majorEastAsia" w:cstheme="majorBidi"/>
          <w:b/>
        </w:rPr>
        <w:t>pproaches</w:t>
      </w:r>
      <w:r>
        <w:rPr>
          <w:rFonts w:eastAsiaTheme="majorEastAsia" w:cstheme="majorBidi"/>
          <w:b/>
        </w:rPr>
        <w:t xml:space="preserve"> </w:t>
      </w:r>
      <w:r w:rsidRPr="00075571">
        <w:rPr>
          <w:rFonts w:eastAsiaTheme="majorEastAsia" w:cstheme="majorBidi"/>
          <w:b/>
        </w:rPr>
        <w:t>–</w:t>
      </w:r>
      <w:r w:rsidRPr="00075571">
        <w:rPr>
          <w:rFonts w:eastAsiaTheme="majorEastAsia" w:cstheme="majorBidi"/>
          <w:bCs/>
          <w:i/>
          <w:iCs/>
        </w:rPr>
        <w:t xml:space="preserve"> </w:t>
      </w:r>
      <w:r w:rsidRPr="00075571">
        <w:t>Contemporary FMHS</w:t>
      </w:r>
      <w:r>
        <w:t>s</w:t>
      </w:r>
      <w:r w:rsidRPr="00075571">
        <w:t xml:space="preserve"> are increasingly shifting from a custodial model toward </w:t>
      </w:r>
      <w:r>
        <w:t>adopting</w:t>
      </w:r>
      <w:r w:rsidRPr="00075571">
        <w:t xml:space="preserve"> recovery-oriented approaches</w:t>
      </w:r>
      <w:r>
        <w:t>,</w:t>
      </w:r>
      <w:r w:rsidRPr="00075571">
        <w:t xml:space="preserve"> in keeping with international best practices, particularly in inpatient and community contexts. Recovery models (</w:t>
      </w:r>
      <w:r>
        <w:t>eg</w:t>
      </w:r>
      <w:r w:rsidRPr="00075571">
        <w:t xml:space="preserve">, </w:t>
      </w:r>
      <w:r>
        <w:t xml:space="preserve">the </w:t>
      </w:r>
      <w:r w:rsidRPr="00075571">
        <w:t xml:space="preserve">tidal model, </w:t>
      </w:r>
      <w:r>
        <w:t xml:space="preserve">the </w:t>
      </w:r>
      <w:r w:rsidRPr="00075571">
        <w:t xml:space="preserve">good lives model </w:t>
      </w:r>
      <w:r>
        <w:t>and S</w:t>
      </w:r>
      <w:r w:rsidRPr="00075571">
        <w:t>afewards) generally focus on the provision of person-centred, collaborative care to facilitate individuals</w:t>
      </w:r>
      <w:r w:rsidR="00EE0ADB">
        <w:t>’</w:t>
      </w:r>
      <w:r w:rsidRPr="00075571">
        <w:t xml:space="preserve"> self-empowerment and self-determination. Recovery approaches are less developed for prison and court contexts, largely due to the unique nature of those environments, representing a potential area for future service development. Similar to rehabilitation, a recovery focus is apparent in the documentation provided by several of the regional services, with varying degrees of implementation.</w:t>
      </w:r>
    </w:p>
    <w:p w14:paraId="6FA80A1F" w14:textId="77777777" w:rsidR="00633C48" w:rsidRPr="00075571" w:rsidRDefault="00633C48" w:rsidP="00633C48"/>
    <w:p w14:paraId="1C99460B" w14:textId="77777777" w:rsidR="00633C48" w:rsidRPr="00075571" w:rsidRDefault="00633C48" w:rsidP="00633C48">
      <w:pPr>
        <w:keepNext/>
        <w:keepLines/>
      </w:pPr>
      <w:r w:rsidRPr="00075571">
        <w:rPr>
          <w:rFonts w:eastAsiaTheme="majorEastAsia" w:cstheme="majorBidi"/>
          <w:b/>
        </w:rPr>
        <w:lastRenderedPageBreak/>
        <w:t xml:space="preserve">Priority </w:t>
      </w:r>
      <w:r>
        <w:rPr>
          <w:rFonts w:eastAsiaTheme="majorEastAsia" w:cstheme="majorBidi"/>
          <w:b/>
        </w:rPr>
        <w:t>p</w:t>
      </w:r>
      <w:r w:rsidRPr="00075571">
        <w:rPr>
          <w:rFonts w:eastAsiaTheme="majorEastAsia" w:cstheme="majorBidi"/>
          <w:b/>
        </w:rPr>
        <w:t>opulations</w:t>
      </w:r>
      <w:r>
        <w:rPr>
          <w:rFonts w:eastAsiaTheme="majorEastAsia" w:cstheme="majorBidi"/>
          <w:b/>
        </w:rPr>
        <w:t xml:space="preserve"> </w:t>
      </w:r>
      <w:r w:rsidRPr="00075571">
        <w:rPr>
          <w:rFonts w:eastAsiaTheme="majorEastAsia" w:cstheme="majorBidi"/>
          <w:b/>
        </w:rPr>
        <w:t>–</w:t>
      </w:r>
      <w:r w:rsidRPr="00075571">
        <w:t xml:space="preserve"> Evidence suggests the importance of culturally</w:t>
      </w:r>
      <w:r>
        <w:t xml:space="preserve"> </w:t>
      </w:r>
      <w:r w:rsidRPr="00075571">
        <w:t xml:space="preserve">responsive and gender-responsive services in </w:t>
      </w:r>
      <w:r>
        <w:t xml:space="preserve">the context of </w:t>
      </w:r>
      <w:r w:rsidRPr="00075571">
        <w:t>forensic mental health. Literature on the application of Māori-</w:t>
      </w:r>
      <w:r w:rsidRPr="00083632">
        <w:t>centred</w:t>
      </w:r>
      <w:r w:rsidRPr="00075571">
        <w:t xml:space="preserve"> models of care is limited, in keeping with international trends relating to literature on other indigenous peoples. The most robust evidence has examined Māori inpatient and prison contexts. Perhaps ahead of the evidence base, recent organisational documentation at the regional and national levels within Aotearoa </w:t>
      </w:r>
      <w:r>
        <w:t>New Zealand</w:t>
      </w:r>
      <w:r w:rsidRPr="00075571" w:rsidDel="00F44115">
        <w:t xml:space="preserve"> </w:t>
      </w:r>
      <w:r w:rsidRPr="00075571">
        <w:t xml:space="preserve">emphasises the importance of co-designed service models that are engaged with, responsive to and equitable for Māori. Literature on </w:t>
      </w:r>
      <w:r>
        <w:t xml:space="preserve">Pacific peoples </w:t>
      </w:r>
      <w:r w:rsidRPr="00075571">
        <w:t xml:space="preserve">is even less developed, though </w:t>
      </w:r>
      <w:r>
        <w:t xml:space="preserve">the grey literature identifies </w:t>
      </w:r>
      <w:r w:rsidRPr="00075571">
        <w:t>this area as warranting future service development</w:t>
      </w:r>
      <w:r>
        <w:t>.</w:t>
      </w:r>
    </w:p>
    <w:p w14:paraId="3F20D45C" w14:textId="77777777" w:rsidR="00633C48" w:rsidRPr="00075571" w:rsidRDefault="00633C48" w:rsidP="00633C48"/>
    <w:p w14:paraId="697FA862" w14:textId="77777777" w:rsidR="00633C48" w:rsidRDefault="00633C48" w:rsidP="00633C48">
      <w:r w:rsidRPr="00075571">
        <w:t>Literature pertaining to women in FMHS</w:t>
      </w:r>
      <w:r>
        <w:t>s</w:t>
      </w:r>
      <w:r w:rsidRPr="00075571">
        <w:t xml:space="preserve"> has largely focused on specific intervention approaches, such as trauma-informed care, rather than broader models of care. </w:t>
      </w:r>
      <w:r>
        <w:t>Again, the grey literature has identified w</w:t>
      </w:r>
      <w:r w:rsidRPr="00075571">
        <w:t xml:space="preserve">omen as a priority population </w:t>
      </w:r>
      <w:r>
        <w:t>warranting future service development.</w:t>
      </w:r>
    </w:p>
    <w:p w14:paraId="616BA512" w14:textId="77777777" w:rsidR="00633C48" w:rsidRPr="00075571" w:rsidRDefault="00633C48" w:rsidP="00633C48"/>
    <w:p w14:paraId="79A88BD6" w14:textId="77777777" w:rsidR="00633C48" w:rsidRPr="00075571" w:rsidRDefault="00633C48" w:rsidP="00633C48">
      <w:pPr>
        <w:pStyle w:val="Heading4"/>
      </w:pPr>
      <w:bookmarkStart w:id="10" w:name="_Toc16805613"/>
      <w:r w:rsidRPr="00075571">
        <w:t xml:space="preserve">Individual </w:t>
      </w:r>
      <w:r>
        <w:t>r</w:t>
      </w:r>
      <w:r w:rsidRPr="00075571">
        <w:t xml:space="preserve">eview </w:t>
      </w:r>
      <w:r>
        <w:t>f</w:t>
      </w:r>
      <w:r w:rsidRPr="00075571">
        <w:t>indings</w:t>
      </w:r>
      <w:bookmarkEnd w:id="10"/>
    </w:p>
    <w:p w14:paraId="52098AF3" w14:textId="77777777" w:rsidR="00633C48" w:rsidRPr="00075571" w:rsidRDefault="00633C48" w:rsidP="00633C48">
      <w:pPr>
        <w:rPr>
          <w:rFonts w:eastAsiaTheme="majorEastAsia"/>
        </w:rPr>
      </w:pPr>
      <w:r w:rsidRPr="00075571">
        <w:rPr>
          <w:rFonts w:eastAsiaTheme="majorEastAsia"/>
          <w:b/>
        </w:rPr>
        <w:t>Inpatient</w:t>
      </w:r>
      <w:r>
        <w:rPr>
          <w:rFonts w:eastAsiaTheme="majorEastAsia"/>
          <w:b/>
        </w:rPr>
        <w:t xml:space="preserve"> </w:t>
      </w:r>
      <w:r w:rsidRPr="00075571">
        <w:rPr>
          <w:rFonts w:eastAsiaTheme="majorEastAsia"/>
          <w:b/>
        </w:rPr>
        <w:t>–</w:t>
      </w:r>
      <w:r w:rsidRPr="00075571">
        <w:rPr>
          <w:rFonts w:eastAsiaTheme="majorEastAsia"/>
          <w:i/>
          <w:iCs/>
        </w:rPr>
        <w:t xml:space="preserve"> </w:t>
      </w:r>
      <w:r w:rsidRPr="00075571">
        <w:rPr>
          <w:rFonts w:eastAsiaTheme="majorEastAsia"/>
        </w:rPr>
        <w:t>In relation to service delivery approaches</w:t>
      </w:r>
      <w:r>
        <w:rPr>
          <w:rFonts w:eastAsiaTheme="majorEastAsia"/>
        </w:rPr>
        <w:t>, the best-developed literature looks at inpatient FMHSs</w:t>
      </w:r>
      <w:r w:rsidRPr="00075571">
        <w:rPr>
          <w:rFonts w:eastAsiaTheme="majorEastAsia"/>
        </w:rPr>
        <w:t>. This literature primarily centres around the themes of therapeutic security, rehabilitation and recovery-oriented approaches</w:t>
      </w:r>
      <w:r>
        <w:rPr>
          <w:rFonts w:eastAsiaTheme="majorEastAsia"/>
        </w:rPr>
        <w:t>, as</w:t>
      </w:r>
      <w:r w:rsidRPr="00075571">
        <w:rPr>
          <w:rFonts w:eastAsiaTheme="majorEastAsia"/>
        </w:rPr>
        <w:t xml:space="preserve"> highlighted above. Generally, services are moving toward person-centred care that balances risk assessment and management with recovery-oriented principles. </w:t>
      </w:r>
      <w:r>
        <w:rPr>
          <w:rFonts w:eastAsiaTheme="majorEastAsia"/>
        </w:rPr>
        <w:t>A</w:t>
      </w:r>
      <w:r w:rsidRPr="00075571">
        <w:rPr>
          <w:rFonts w:eastAsiaTheme="majorEastAsia"/>
        </w:rPr>
        <w:t xml:space="preserve"> variety of models have been </w:t>
      </w:r>
      <w:r>
        <w:rPr>
          <w:rFonts w:eastAsiaTheme="majorEastAsia"/>
        </w:rPr>
        <w:t>us</w:t>
      </w:r>
      <w:r w:rsidRPr="00075571">
        <w:rPr>
          <w:rFonts w:eastAsiaTheme="majorEastAsia"/>
        </w:rPr>
        <w:t>ed within inpatient FMHS</w:t>
      </w:r>
      <w:r>
        <w:rPr>
          <w:rFonts w:eastAsiaTheme="majorEastAsia"/>
        </w:rPr>
        <w:t>s</w:t>
      </w:r>
      <w:r w:rsidRPr="00075571">
        <w:rPr>
          <w:rFonts w:eastAsiaTheme="majorEastAsia"/>
        </w:rPr>
        <w:t xml:space="preserve"> toward this end (though they tend to approach the issue from different ends of the spectrum). The two most prominent of </w:t>
      </w:r>
      <w:r>
        <w:rPr>
          <w:rFonts w:eastAsiaTheme="majorEastAsia"/>
        </w:rPr>
        <w:t xml:space="preserve">these </w:t>
      </w:r>
      <w:r w:rsidRPr="00075571">
        <w:rPr>
          <w:rFonts w:eastAsiaTheme="majorEastAsia"/>
        </w:rPr>
        <w:t xml:space="preserve">are the risk-need-responsivity model to address rehabilitative need and the good lives model to address recovery. </w:t>
      </w:r>
      <w:r w:rsidRPr="00075571">
        <w:rPr>
          <w:rFonts w:eastAsiaTheme="majorEastAsia"/>
          <w:shd w:val="clear" w:color="auto" w:fill="FFFFFF" w:themeFill="background1"/>
        </w:rPr>
        <w:t>There is limited literature on specific models of care within FMHS</w:t>
      </w:r>
      <w:r>
        <w:rPr>
          <w:rFonts w:eastAsiaTheme="majorEastAsia"/>
          <w:shd w:val="clear" w:color="auto" w:fill="FFFFFF" w:themeFill="background1"/>
        </w:rPr>
        <w:t>s</w:t>
      </w:r>
      <w:r w:rsidRPr="00075571">
        <w:rPr>
          <w:rFonts w:eastAsiaTheme="majorEastAsia"/>
          <w:shd w:val="clear" w:color="auto" w:fill="FFFFFF" w:themeFill="background1"/>
        </w:rPr>
        <w:t xml:space="preserve"> to address the needs of Māori, </w:t>
      </w:r>
      <w:r>
        <w:rPr>
          <w:rFonts w:eastAsiaTheme="majorEastAsia"/>
          <w:shd w:val="clear" w:color="auto" w:fill="FFFFFF" w:themeFill="background1"/>
        </w:rPr>
        <w:t>Pacific peoples,</w:t>
      </w:r>
      <w:r w:rsidRPr="00075571">
        <w:rPr>
          <w:rFonts w:eastAsiaTheme="majorEastAsia"/>
          <w:shd w:val="clear" w:color="auto" w:fill="FFFFFF" w:themeFill="background1"/>
        </w:rPr>
        <w:t xml:space="preserve"> and women.</w:t>
      </w:r>
    </w:p>
    <w:p w14:paraId="53247002" w14:textId="77777777" w:rsidR="00633C48" w:rsidRPr="00075571" w:rsidRDefault="00633C48" w:rsidP="00633C48">
      <w:pPr>
        <w:rPr>
          <w:rFonts w:eastAsiaTheme="majorEastAsia"/>
        </w:rPr>
      </w:pPr>
    </w:p>
    <w:p w14:paraId="37E9CD80" w14:textId="77777777" w:rsidR="00633C48" w:rsidRPr="00075571" w:rsidRDefault="00633C48" w:rsidP="00633C48">
      <w:pPr>
        <w:rPr>
          <w:rFonts w:eastAsiaTheme="majorEastAsia" w:cstheme="majorBidi"/>
          <w:bCs/>
        </w:rPr>
      </w:pPr>
      <w:r w:rsidRPr="00075571">
        <w:rPr>
          <w:rFonts w:eastAsiaTheme="majorEastAsia" w:cstheme="majorBidi"/>
          <w:b/>
        </w:rPr>
        <w:t>Community</w:t>
      </w:r>
      <w:r>
        <w:rPr>
          <w:rFonts w:eastAsiaTheme="majorEastAsia" w:cstheme="majorBidi"/>
          <w:b/>
        </w:rPr>
        <w:t xml:space="preserve"> </w:t>
      </w:r>
      <w:r w:rsidRPr="00075571">
        <w:rPr>
          <w:rFonts w:eastAsiaTheme="majorEastAsia" w:cstheme="majorBidi"/>
          <w:b/>
        </w:rPr>
        <w:t>–</w:t>
      </w:r>
      <w:r w:rsidRPr="00075571">
        <w:rPr>
          <w:rFonts w:eastAsiaTheme="majorEastAsia" w:cstheme="majorBidi"/>
          <w:bCs/>
          <w:i/>
          <w:iCs/>
        </w:rPr>
        <w:t xml:space="preserve"> </w:t>
      </w:r>
      <w:r w:rsidRPr="00075571">
        <w:t>Community FMHS</w:t>
      </w:r>
      <w:r>
        <w:t>s</w:t>
      </w:r>
      <w:r w:rsidRPr="00075571">
        <w:t xml:space="preserve"> provide a range of services</w:t>
      </w:r>
      <w:r>
        <w:t>,</w:t>
      </w:r>
      <w:r w:rsidRPr="00075571">
        <w:t xml:space="preserve"> including consultation and liaison as well as various specialist interventions, which may be parallel to or integrated with general mental health services (GMHS</w:t>
      </w:r>
      <w:r>
        <w:t>s</w:t>
      </w:r>
      <w:r w:rsidRPr="00075571">
        <w:t xml:space="preserve">). </w:t>
      </w:r>
      <w:r>
        <w:t>The most robust evidence base w</w:t>
      </w:r>
      <w:r w:rsidRPr="00075571">
        <w:t xml:space="preserve">ithin the literature </w:t>
      </w:r>
      <w:r>
        <w:t xml:space="preserve">is that for </w:t>
      </w:r>
      <w:r w:rsidRPr="00075571">
        <w:t>forensic intensive case management</w:t>
      </w:r>
      <w:r>
        <w:t>,</w:t>
      </w:r>
      <w:r w:rsidRPr="00075571">
        <w:t xml:space="preserve"> and particularly forensic assertive community treatment, which indicate</w:t>
      </w:r>
      <w:r>
        <w:t>s</w:t>
      </w:r>
      <w:r w:rsidRPr="00075571">
        <w:t xml:space="preserve"> positive outcomes in reducing rates of rehospitalisation and recidivism and increasing service enga</w:t>
      </w:r>
      <w:r>
        <w:t>gement.</w:t>
      </w:r>
    </w:p>
    <w:p w14:paraId="1F7D7A00" w14:textId="77777777" w:rsidR="00633C48" w:rsidRPr="00075571" w:rsidRDefault="00633C48" w:rsidP="00633C48">
      <w:pPr>
        <w:rPr>
          <w:rFonts w:eastAsiaTheme="majorEastAsia"/>
        </w:rPr>
      </w:pPr>
    </w:p>
    <w:p w14:paraId="2BBE04F4" w14:textId="77777777" w:rsidR="00633C48" w:rsidRPr="00075571" w:rsidRDefault="00633C48" w:rsidP="00633C48">
      <w:pPr>
        <w:rPr>
          <w:rFonts w:eastAsiaTheme="majorEastAsia"/>
        </w:rPr>
      </w:pPr>
      <w:r w:rsidRPr="00075571">
        <w:rPr>
          <w:rFonts w:eastAsiaTheme="majorEastAsia"/>
          <w:b/>
        </w:rPr>
        <w:t>Prisons</w:t>
      </w:r>
      <w:r>
        <w:rPr>
          <w:rFonts w:eastAsiaTheme="majorEastAsia"/>
          <w:b/>
        </w:rPr>
        <w:t xml:space="preserve"> </w:t>
      </w:r>
      <w:r w:rsidRPr="00075571">
        <w:rPr>
          <w:rFonts w:eastAsiaTheme="majorEastAsia"/>
          <w:b/>
        </w:rPr>
        <w:t>–</w:t>
      </w:r>
      <w:r w:rsidRPr="00075571">
        <w:rPr>
          <w:rFonts w:eastAsiaTheme="majorEastAsia"/>
          <w:i/>
          <w:iCs/>
        </w:rPr>
        <w:t xml:space="preserve"> </w:t>
      </w:r>
      <w:r w:rsidRPr="00075571">
        <w:rPr>
          <w:rFonts w:eastAsiaTheme="majorEastAsia"/>
        </w:rPr>
        <w:t>Prison FMHS</w:t>
      </w:r>
      <w:r>
        <w:rPr>
          <w:rFonts w:eastAsiaTheme="majorEastAsia"/>
        </w:rPr>
        <w:t>s</w:t>
      </w:r>
      <w:r w:rsidRPr="00075571">
        <w:rPr>
          <w:rFonts w:eastAsiaTheme="majorEastAsia"/>
        </w:rPr>
        <w:t xml:space="preserve"> typically comprise in-reach services that collaborate with the primary mental health services provided by</w:t>
      </w:r>
      <w:r>
        <w:rPr>
          <w:rFonts w:eastAsiaTheme="majorEastAsia"/>
        </w:rPr>
        <w:t xml:space="preserve"> Ara Poutama Aotearoa Department of Corrections</w:t>
      </w:r>
      <w:r w:rsidRPr="00075571">
        <w:rPr>
          <w:rFonts w:eastAsiaTheme="majorEastAsia"/>
        </w:rPr>
        <w:t xml:space="preserve">. Emerging evidence particularly focused on the </w:t>
      </w:r>
      <w:r w:rsidRPr="00075571">
        <w:t>Aotearoa</w:t>
      </w:r>
      <w:r>
        <w:t xml:space="preserve"> New Zealand</w:t>
      </w:r>
      <w:r w:rsidRPr="00075571" w:rsidDel="00F44115">
        <w:rPr>
          <w:rFonts w:eastAsiaTheme="majorEastAsia"/>
        </w:rPr>
        <w:t xml:space="preserve"> </w:t>
      </w:r>
      <w:r w:rsidRPr="00075571">
        <w:rPr>
          <w:rFonts w:eastAsiaTheme="majorEastAsia"/>
        </w:rPr>
        <w:t>context suggests a model of care for in-reach services which comprises five key elements: screening, triage, assessment, intervention</w:t>
      </w:r>
      <w:r>
        <w:rPr>
          <w:rFonts w:eastAsiaTheme="majorEastAsia"/>
        </w:rPr>
        <w:t>, and reintegration.</w:t>
      </w:r>
    </w:p>
    <w:p w14:paraId="33D0CBE6" w14:textId="77777777" w:rsidR="00633C48" w:rsidRPr="00075571" w:rsidRDefault="00633C48" w:rsidP="00633C48">
      <w:pPr>
        <w:rPr>
          <w:rFonts w:eastAsiaTheme="majorEastAsia"/>
        </w:rPr>
      </w:pPr>
    </w:p>
    <w:p w14:paraId="6C2B066D" w14:textId="77777777" w:rsidR="00633C48" w:rsidRPr="00075571" w:rsidRDefault="00633C48" w:rsidP="00633C48">
      <w:pPr>
        <w:keepNext/>
        <w:keepLines/>
      </w:pPr>
      <w:r w:rsidRPr="00075571">
        <w:rPr>
          <w:rFonts w:eastAsiaTheme="majorEastAsia" w:cstheme="majorBidi"/>
          <w:b/>
        </w:rPr>
        <w:lastRenderedPageBreak/>
        <w:t>Courts</w:t>
      </w:r>
      <w:r>
        <w:rPr>
          <w:rFonts w:eastAsiaTheme="majorEastAsia" w:cstheme="majorBidi"/>
          <w:b/>
        </w:rPr>
        <w:t xml:space="preserve"> </w:t>
      </w:r>
      <w:r w:rsidRPr="00075571">
        <w:rPr>
          <w:rFonts w:eastAsiaTheme="majorEastAsia" w:cstheme="majorBidi"/>
          <w:b/>
        </w:rPr>
        <w:t>–</w:t>
      </w:r>
      <w:r w:rsidRPr="00075571">
        <w:rPr>
          <w:rFonts w:eastAsiaTheme="majorEastAsia" w:cstheme="majorBidi"/>
          <w:bCs/>
          <w:i/>
          <w:iCs/>
        </w:rPr>
        <w:t xml:space="preserve"> </w:t>
      </w:r>
      <w:r w:rsidRPr="00075571">
        <w:t>Court FMHS</w:t>
      </w:r>
      <w:r>
        <w:t>s</w:t>
      </w:r>
      <w:r w:rsidRPr="00075571">
        <w:t xml:space="preserve"> internationally comprise three distinct yet overlapping roles: (a)</w:t>
      </w:r>
      <w:r>
        <w:t> </w:t>
      </w:r>
      <w:r w:rsidRPr="00075571">
        <w:t>consultation, where</w:t>
      </w:r>
      <w:r>
        <w:t>by</w:t>
      </w:r>
      <w:r w:rsidRPr="00075571">
        <w:t xml:space="preserve"> the </w:t>
      </w:r>
      <w:r w:rsidRPr="008029EA">
        <w:t>court seeks expert advice for individua</w:t>
      </w:r>
      <w:r w:rsidRPr="00075571">
        <w:t>l cases from psychiatrists, psychologists and/or nurses; (b) diversion, where</w:t>
      </w:r>
      <w:r>
        <w:t>by</w:t>
      </w:r>
      <w:r w:rsidRPr="00075571">
        <w:t xml:space="preserve"> FMHS</w:t>
      </w:r>
      <w:r>
        <w:t>s</w:t>
      </w:r>
      <w:r w:rsidRPr="00075571">
        <w:t xml:space="preserve"> coordinate transfer of care most likely into inpatient services, but not necessarily out of the judicial system; and (c) liaison, where</w:t>
      </w:r>
      <w:r>
        <w:t>by</w:t>
      </w:r>
      <w:r w:rsidRPr="00075571">
        <w:t xml:space="preserve"> FMHS</w:t>
      </w:r>
      <w:r>
        <w:t>s</w:t>
      </w:r>
      <w:r w:rsidRPr="00075571">
        <w:t xml:space="preserve"> provide complementary services (</w:t>
      </w:r>
      <w:r>
        <w:t>eg</w:t>
      </w:r>
      <w:r w:rsidRPr="00075571">
        <w:t xml:space="preserve">, screening, assessment, evaluation </w:t>
      </w:r>
      <w:r>
        <w:t xml:space="preserve">and </w:t>
      </w:r>
      <w:r w:rsidRPr="00075571">
        <w:t xml:space="preserve">coordination of care) to individuals moving through the court system, which may or may not include diversion. It is worth noting that diversion services are not currently offered in Aotearoa </w:t>
      </w:r>
      <w:r>
        <w:t>New Zealand</w:t>
      </w:r>
      <w:r w:rsidRPr="00075571">
        <w:t>.</w:t>
      </w:r>
    </w:p>
    <w:p w14:paraId="49A27590" w14:textId="77777777" w:rsidR="00633C48" w:rsidRPr="00075571" w:rsidRDefault="00633C48" w:rsidP="00633C48"/>
    <w:p w14:paraId="7884F9CA" w14:textId="77777777" w:rsidR="00633C48" w:rsidRPr="00083632" w:rsidRDefault="00633C48" w:rsidP="00633C48">
      <w:r w:rsidRPr="00075571">
        <w:rPr>
          <w:b/>
          <w:bCs/>
        </w:rPr>
        <w:t xml:space="preserve">Grey </w:t>
      </w:r>
      <w:r>
        <w:rPr>
          <w:b/>
          <w:bCs/>
        </w:rPr>
        <w:t>l</w:t>
      </w:r>
      <w:r w:rsidRPr="00075571">
        <w:rPr>
          <w:b/>
          <w:bCs/>
        </w:rPr>
        <w:t>iterature</w:t>
      </w:r>
      <w:r>
        <w:rPr>
          <w:b/>
          <w:bCs/>
        </w:rPr>
        <w:t xml:space="preserve"> </w:t>
      </w:r>
      <w:r w:rsidRPr="00075571">
        <w:rPr>
          <w:b/>
          <w:bCs/>
        </w:rPr>
        <w:t xml:space="preserve">– </w:t>
      </w:r>
      <w:r w:rsidRPr="00075571">
        <w:t xml:space="preserve">Wide-ranging and somewhat disparate documentation is available at the regional, national and international levels concerning FMHS models of care. </w:t>
      </w:r>
      <w:r w:rsidRPr="000329FE">
        <w:t>Within the existing documentation, it appears services and the FMHS sector more generally</w:t>
      </w:r>
      <w:r w:rsidRPr="001A28C6">
        <w:t xml:space="preserve"> are moving</w:t>
      </w:r>
      <w:r>
        <w:t xml:space="preserve"> – </w:t>
      </w:r>
      <w:r w:rsidRPr="001A28C6">
        <w:t>albeit with varying degrees of implementation</w:t>
      </w:r>
      <w:r>
        <w:t xml:space="preserve"> – </w:t>
      </w:r>
      <w:r w:rsidRPr="001A28C6">
        <w:t>toward the adoption of a recovery-based approach organised according to principles of therapeutic security and recovery-oriented practice, in keeping with the best practices i</w:t>
      </w:r>
      <w:r>
        <w:t>dentified in the evidence base.</w:t>
      </w:r>
    </w:p>
    <w:p w14:paraId="206FAA7A" w14:textId="77777777" w:rsidR="00633C48" w:rsidRPr="000329FE" w:rsidRDefault="00633C48" w:rsidP="00633C48"/>
    <w:p w14:paraId="76EBD9F7" w14:textId="77777777" w:rsidR="00633C48" w:rsidRPr="000329FE" w:rsidRDefault="00633C48" w:rsidP="00633C48">
      <w:r w:rsidRPr="000329FE">
        <w:t xml:space="preserve">Notably, the national documentation highlights an emphasis on consultation, collaboration and engagement with </w:t>
      </w:r>
      <w:r>
        <w:t>t</w:t>
      </w:r>
      <w:r w:rsidRPr="000329FE">
        <w:t xml:space="preserve">e </w:t>
      </w:r>
      <w:r>
        <w:t>a</w:t>
      </w:r>
      <w:r w:rsidRPr="000329FE">
        <w:t>o Māori, and the shift toward co</w:t>
      </w:r>
      <w:r>
        <w:t>-</w:t>
      </w:r>
      <w:r w:rsidRPr="000329FE">
        <w:t xml:space="preserve">designed approaches in future service planning and development. </w:t>
      </w:r>
      <w:r w:rsidRPr="00075571">
        <w:t xml:space="preserve">Aotearoa </w:t>
      </w:r>
      <w:r>
        <w:t>New Zealand</w:t>
      </w:r>
      <w:r w:rsidRPr="000329FE" w:rsidDel="00F44115">
        <w:t xml:space="preserve"> </w:t>
      </w:r>
      <w:r w:rsidRPr="000329FE">
        <w:t>is a leader in this respect and has a uni</w:t>
      </w:r>
      <w:r w:rsidRPr="001A28C6">
        <w:t>que opportunity to a set precede</w:t>
      </w:r>
      <w:r>
        <w:t>nt</w:t>
      </w:r>
      <w:r w:rsidRPr="001A28C6">
        <w:t xml:space="preserve"> internationally in the development of equitable, culturally</w:t>
      </w:r>
      <w:r>
        <w:t xml:space="preserve"> </w:t>
      </w:r>
      <w:r w:rsidRPr="001A28C6">
        <w:t>responsive best practices.</w:t>
      </w:r>
    </w:p>
    <w:p w14:paraId="5115DC27" w14:textId="77777777" w:rsidR="00633C48" w:rsidRPr="000329FE" w:rsidRDefault="00633C48" w:rsidP="00633C48"/>
    <w:p w14:paraId="4EABB516" w14:textId="77777777" w:rsidR="00633C48" w:rsidRDefault="00633C48" w:rsidP="00633C48">
      <w:r w:rsidRPr="000329FE">
        <w:t xml:space="preserve">Finally, trends within the international jurisdictions examined (England, Scotland, Ireland and Victoria, Australia), though specific to their local contexts, are generally in line with the evidence base and may be </w:t>
      </w:r>
      <w:r>
        <w:t>us</w:t>
      </w:r>
      <w:r w:rsidRPr="000329FE">
        <w:t>ed as models of FMHS best practice. In the international documentation, overarching national governance structures to coordinate regional service responses, which include workforce development initiatives, provide potential solutions to regional disparity in FMHS provision.</w:t>
      </w:r>
    </w:p>
    <w:p w14:paraId="2C4EDC91" w14:textId="77777777" w:rsidR="00633C48" w:rsidRPr="000329FE" w:rsidRDefault="00633C48" w:rsidP="00633C48"/>
    <w:p w14:paraId="68707CC4" w14:textId="77777777" w:rsidR="00633C48" w:rsidRDefault="00633C48" w:rsidP="00633C48">
      <w:pPr>
        <w:pStyle w:val="Heading2"/>
        <w:keepNext w:val="0"/>
        <w:pageBreakBefore/>
        <w:spacing w:before="0"/>
      </w:pPr>
      <w:bookmarkStart w:id="11" w:name="_Toc88823220"/>
      <w:bookmarkStart w:id="12" w:name="_Toc90025989"/>
      <w:r>
        <w:lastRenderedPageBreak/>
        <w:t xml:space="preserve">Recommendations for models of care in Aotearoa </w:t>
      </w:r>
      <w:r w:rsidRPr="00075571">
        <w:t>New Zealand</w:t>
      </w:r>
      <w:bookmarkEnd w:id="11"/>
      <w:bookmarkEnd w:id="12"/>
    </w:p>
    <w:p w14:paraId="3E6F6017" w14:textId="77777777" w:rsidR="00633C48" w:rsidRPr="00633C48" w:rsidRDefault="00633C48" w:rsidP="00633C48">
      <w:pPr>
        <w:pStyle w:val="Heading3"/>
      </w:pPr>
      <w:r w:rsidRPr="00633C48">
        <w:t>Relevance of key findings</w:t>
      </w:r>
    </w:p>
    <w:p w14:paraId="51C639FB" w14:textId="77777777" w:rsidR="00633C48" w:rsidRPr="006B6745" w:rsidRDefault="00633C48" w:rsidP="00633C48">
      <w:pPr>
        <w:pStyle w:val="Heading4"/>
      </w:pPr>
      <w:r w:rsidRPr="00C354D2">
        <w:t>Relevance of key findings to the New Zealand setting</w:t>
      </w:r>
    </w:p>
    <w:p w14:paraId="3CAB340A" w14:textId="77777777" w:rsidR="00633C48" w:rsidRPr="0039045D" w:rsidRDefault="00633C48" w:rsidP="00633C48">
      <w:pPr>
        <w:pStyle w:val="Bullet"/>
      </w:pPr>
      <w:r w:rsidRPr="0039045D">
        <w:t xml:space="preserve">The model of care </w:t>
      </w:r>
      <w:r>
        <w:t>should</w:t>
      </w:r>
      <w:r w:rsidR="00EE0ADB">
        <w:t xml:space="preserve"> </w:t>
      </w:r>
      <w:r w:rsidRPr="0039045D">
        <w:t>achieve equity</w:t>
      </w:r>
      <w:r>
        <w:t xml:space="preserve"> of service delivery for Māori.</w:t>
      </w:r>
    </w:p>
    <w:p w14:paraId="0EF84604" w14:textId="77777777" w:rsidR="00633C48" w:rsidRPr="0039045D" w:rsidRDefault="00633C48" w:rsidP="00633C48">
      <w:pPr>
        <w:pStyle w:val="Bullet"/>
      </w:pPr>
      <w:r w:rsidRPr="0039045D">
        <w:t xml:space="preserve">The model of care </w:t>
      </w:r>
      <w:r>
        <w:t xml:space="preserve">should </w:t>
      </w:r>
      <w:r w:rsidRPr="0039045D">
        <w:t>achieve equity of service delivery for ethnic groups specific to each region (eg</w:t>
      </w:r>
      <w:r>
        <w:t>,</w:t>
      </w:r>
      <w:r w:rsidRPr="0039045D">
        <w:t xml:space="preserve"> </w:t>
      </w:r>
      <w:r>
        <w:t>Pacific peoples).</w:t>
      </w:r>
    </w:p>
    <w:p w14:paraId="65A2CDE2" w14:textId="77777777" w:rsidR="00633C48" w:rsidRPr="0039045D" w:rsidRDefault="00633C48" w:rsidP="00633C48">
      <w:pPr>
        <w:pStyle w:val="Bullet"/>
      </w:pPr>
      <w:r w:rsidRPr="0039045D">
        <w:t xml:space="preserve">The model of care </w:t>
      </w:r>
      <w:r>
        <w:t xml:space="preserve">should </w:t>
      </w:r>
      <w:r w:rsidRPr="0039045D">
        <w:t>achieve gender-specific equity of service delivery.</w:t>
      </w:r>
    </w:p>
    <w:p w14:paraId="31C14D6A" w14:textId="77777777" w:rsidR="00633C48" w:rsidRPr="0039045D" w:rsidRDefault="00633C48" w:rsidP="00633C48">
      <w:pPr>
        <w:pStyle w:val="Bullet"/>
      </w:pPr>
      <w:r w:rsidRPr="0039045D">
        <w:t>The model of care should be proactive in focusing on early intervention and prevention strategies and interagency collaboration.</w:t>
      </w:r>
    </w:p>
    <w:p w14:paraId="5FC3AE14" w14:textId="77777777" w:rsidR="00633C48" w:rsidRPr="0039045D" w:rsidRDefault="00633C48" w:rsidP="00633C48">
      <w:pPr>
        <w:pStyle w:val="Bullet"/>
      </w:pPr>
      <w:r w:rsidRPr="0039045D">
        <w:t xml:space="preserve">The model of care </w:t>
      </w:r>
      <w:r>
        <w:t xml:space="preserve">should </w:t>
      </w:r>
      <w:r w:rsidRPr="0039045D">
        <w:t>be collaboratively designed with all major stakeholders (eg</w:t>
      </w:r>
      <w:r>
        <w:t xml:space="preserve">, </w:t>
      </w:r>
      <w:r w:rsidRPr="0039045D">
        <w:t>Māori, other relevant cultural expertise, gender-specific expertise, lived experience expertise, whānau/family expertise, inter-facing agencies such as prisons/police/courts).</w:t>
      </w:r>
    </w:p>
    <w:p w14:paraId="70FA158C" w14:textId="77777777" w:rsidR="00633C48" w:rsidRPr="0039045D" w:rsidRDefault="00633C48" w:rsidP="00633C48">
      <w:pPr>
        <w:pStyle w:val="Bullet"/>
      </w:pPr>
      <w:r w:rsidRPr="0039045D">
        <w:t>The model of care should reflect the reorganisation of FMHS</w:t>
      </w:r>
      <w:r>
        <w:t>s</w:t>
      </w:r>
      <w:r w:rsidRPr="0039045D">
        <w:t xml:space="preserve"> into an integrated, holistic service across the entire service user pathway (police, courts, prisons, FMHS</w:t>
      </w:r>
      <w:r>
        <w:t>s</w:t>
      </w:r>
      <w:r w:rsidRPr="0039045D">
        <w:t>, community).</w:t>
      </w:r>
    </w:p>
    <w:p w14:paraId="4519855C" w14:textId="77777777" w:rsidR="00633C48" w:rsidRPr="0039045D" w:rsidRDefault="00633C48" w:rsidP="00633C48"/>
    <w:p w14:paraId="7F1DEAAB" w14:textId="77777777" w:rsidR="00633C48" w:rsidRPr="00F65D1F" w:rsidRDefault="00633C48" w:rsidP="00633C48">
      <w:pPr>
        <w:pStyle w:val="Heading4"/>
      </w:pPr>
      <w:r w:rsidRPr="00F65D1F">
        <w:t xml:space="preserve">Therapeutic </w:t>
      </w:r>
      <w:r>
        <w:t>s</w:t>
      </w:r>
      <w:r w:rsidRPr="00F65D1F">
        <w:t xml:space="preserve">ecurity, </w:t>
      </w:r>
      <w:r>
        <w:t>r</w:t>
      </w:r>
      <w:r w:rsidRPr="00F65D1F">
        <w:t xml:space="preserve">ehabilitation </w:t>
      </w:r>
      <w:r>
        <w:t>and</w:t>
      </w:r>
      <w:r w:rsidRPr="00F65D1F">
        <w:t xml:space="preserve"> </w:t>
      </w:r>
      <w:r>
        <w:t>r</w:t>
      </w:r>
      <w:r w:rsidRPr="00F65D1F">
        <w:t>ecovery</w:t>
      </w:r>
    </w:p>
    <w:p w14:paraId="39C09091" w14:textId="77777777" w:rsidR="00633C48" w:rsidRPr="00F65D1F" w:rsidRDefault="00633C48" w:rsidP="00633C48">
      <w:pPr>
        <w:pStyle w:val="Bullet"/>
      </w:pPr>
      <w:r w:rsidRPr="00F65D1F">
        <w:t>A national definition of the levels of therapeutic security should be developed and then consistently applied to models of care in each FMHS.</w:t>
      </w:r>
    </w:p>
    <w:p w14:paraId="2B76DAA0" w14:textId="77777777" w:rsidR="00633C48" w:rsidRPr="00F65D1F" w:rsidRDefault="00633C48" w:rsidP="00633C48">
      <w:pPr>
        <w:pStyle w:val="Bullet"/>
      </w:pPr>
      <w:r w:rsidRPr="00F65D1F">
        <w:t>A rationale should be provided for the inclusion (or not) of high secure facilities that exist in comparable jurisdictions.</w:t>
      </w:r>
    </w:p>
    <w:p w14:paraId="09ADFEB3" w14:textId="77777777" w:rsidR="00633C48" w:rsidRPr="00075571" w:rsidRDefault="00633C48" w:rsidP="00633C48">
      <w:pPr>
        <w:pStyle w:val="Bullet"/>
      </w:pPr>
      <w:r w:rsidRPr="00F65D1F">
        <w:t xml:space="preserve">A holistic rehabilitation focus should be incorporated into all FMHS models of care, which combines an emphasis </w:t>
      </w:r>
      <w:r w:rsidRPr="00083632">
        <w:t>on mental</w:t>
      </w:r>
      <w:r w:rsidRPr="00075571">
        <w:t xml:space="preserve"> health, addiction, criminogenic, physical, psychosocial and cultural needs.</w:t>
      </w:r>
    </w:p>
    <w:p w14:paraId="7310D2F2" w14:textId="77777777" w:rsidR="00633C48" w:rsidRPr="00075571" w:rsidRDefault="00633C48" w:rsidP="00633C48">
      <w:pPr>
        <w:pStyle w:val="Bullet"/>
      </w:pPr>
      <w:r w:rsidRPr="00075571">
        <w:t xml:space="preserve">The </w:t>
      </w:r>
      <w:r>
        <w:t xml:space="preserve">FMHS </w:t>
      </w:r>
      <w:r w:rsidRPr="00075571">
        <w:t xml:space="preserve">model of care should include the integration of primary, secondary and </w:t>
      </w:r>
      <w:r>
        <w:t xml:space="preserve">personal </w:t>
      </w:r>
      <w:r w:rsidRPr="00075571">
        <w:t>health</w:t>
      </w:r>
      <w:r>
        <w:t xml:space="preserve">, including </w:t>
      </w:r>
      <w:r w:rsidRPr="00075571">
        <w:t>mental health and addiction needs</w:t>
      </w:r>
      <w:r>
        <w:t>.</w:t>
      </w:r>
    </w:p>
    <w:p w14:paraId="67797769" w14:textId="77777777" w:rsidR="00633C48" w:rsidRPr="00075571" w:rsidRDefault="00633C48" w:rsidP="00633C48">
      <w:pPr>
        <w:pStyle w:val="Bullet"/>
      </w:pPr>
      <w:r w:rsidRPr="00075571">
        <w:t>A strong recovery component should be central to the model of care in each FMHS.</w:t>
      </w:r>
    </w:p>
    <w:p w14:paraId="39E6EDC2" w14:textId="77777777" w:rsidR="00633C48" w:rsidRPr="00075571" w:rsidRDefault="00633C48" w:rsidP="00633C48">
      <w:pPr>
        <w:pStyle w:val="Bullet"/>
      </w:pPr>
      <w:r w:rsidRPr="00075571">
        <w:t xml:space="preserve">Both the rehabilitation </w:t>
      </w:r>
      <w:r>
        <w:t xml:space="preserve">focus </w:t>
      </w:r>
      <w:r w:rsidRPr="00075571">
        <w:t xml:space="preserve">and </w:t>
      </w:r>
      <w:r>
        <w:t xml:space="preserve">the </w:t>
      </w:r>
      <w:r w:rsidRPr="00075571">
        <w:t>recovery focus should reflect inclusive multi</w:t>
      </w:r>
      <w:r w:rsidRPr="00083632">
        <w:t>disciplinary, cultural</w:t>
      </w:r>
      <w:r w:rsidR="00687946">
        <w:t xml:space="preserve"> and lived experience input.</w:t>
      </w:r>
    </w:p>
    <w:p w14:paraId="6B3BF38E" w14:textId="77777777" w:rsidR="00633C48" w:rsidRPr="00075571" w:rsidRDefault="00633C48" w:rsidP="00633C48">
      <w:pPr>
        <w:pStyle w:val="Bullet"/>
      </w:pPr>
      <w:r w:rsidRPr="00075571">
        <w:t xml:space="preserve">The model of care </w:t>
      </w:r>
      <w:r>
        <w:t xml:space="preserve">should </w:t>
      </w:r>
      <w:r w:rsidRPr="00083632">
        <w:t>incorporate</w:t>
      </w:r>
      <w:r w:rsidRPr="00075571">
        <w:t xml:space="preserve"> a national response to </w:t>
      </w:r>
      <w:r>
        <w:t>tāngata whaiora with</w:t>
      </w:r>
      <w:r w:rsidRPr="00075571">
        <w:t xml:space="preserve"> complex needs.</w:t>
      </w:r>
    </w:p>
    <w:p w14:paraId="75FB84BF" w14:textId="77777777" w:rsidR="00633C48" w:rsidRPr="00075571" w:rsidRDefault="00633C48" w:rsidP="00633C48">
      <w:pPr>
        <w:pStyle w:val="Bullet"/>
      </w:pPr>
      <w:r w:rsidRPr="00083632">
        <w:t>All</w:t>
      </w:r>
      <w:r w:rsidRPr="00075571">
        <w:t xml:space="preserve"> the above should be considered in the distinct models of care for the four components of FMHS</w:t>
      </w:r>
      <w:r>
        <w:t>s</w:t>
      </w:r>
      <w:r w:rsidRPr="00075571">
        <w:t xml:space="preserve"> (inpatient, community, prisons and courts).</w:t>
      </w:r>
    </w:p>
    <w:p w14:paraId="4D207E75" w14:textId="77777777" w:rsidR="00633C48" w:rsidRPr="0039045D" w:rsidRDefault="00633C48" w:rsidP="00687946"/>
    <w:p w14:paraId="72A03E12" w14:textId="77777777" w:rsidR="00633C48" w:rsidRPr="0039045D" w:rsidRDefault="00633C48" w:rsidP="00687946">
      <w:pPr>
        <w:pStyle w:val="Heading4"/>
      </w:pPr>
      <w:r w:rsidRPr="0039045D">
        <w:lastRenderedPageBreak/>
        <w:t>Re</w:t>
      </w:r>
      <w:r>
        <w:t xml:space="preserve">commendations for </w:t>
      </w:r>
      <w:r w:rsidRPr="0039045D">
        <w:t>specific settings</w:t>
      </w:r>
    </w:p>
    <w:p w14:paraId="087A2424" w14:textId="77777777" w:rsidR="00633C48" w:rsidRPr="0039045D" w:rsidRDefault="00633C48" w:rsidP="00687946">
      <w:pPr>
        <w:pStyle w:val="Heading5"/>
      </w:pPr>
      <w:r w:rsidRPr="0039045D">
        <w:t>Inpatient</w:t>
      </w:r>
    </w:p>
    <w:p w14:paraId="50C92642" w14:textId="77777777" w:rsidR="00633C48" w:rsidRPr="0039045D" w:rsidRDefault="00633C48" w:rsidP="00687946">
      <w:pPr>
        <w:pStyle w:val="Bullet"/>
      </w:pPr>
      <w:r w:rsidRPr="0039045D">
        <w:t>Although evidence exists for a number of recovery-orientated models of care in inpatient FMHS</w:t>
      </w:r>
      <w:r>
        <w:t>s</w:t>
      </w:r>
      <w:r w:rsidRPr="0039045D">
        <w:t>, the national implementation of one model is suggested</w:t>
      </w:r>
      <w:r>
        <w:t>,</w:t>
      </w:r>
      <w:r w:rsidRPr="0039045D">
        <w:t xml:space="preserve"> to enable ongoing refinement.</w:t>
      </w:r>
    </w:p>
    <w:p w14:paraId="4FCDA01F" w14:textId="77777777" w:rsidR="00633C48" w:rsidRPr="0039045D" w:rsidRDefault="00633C48" w:rsidP="00687946">
      <w:pPr>
        <w:pStyle w:val="Bullet"/>
      </w:pPr>
      <w:r w:rsidRPr="0039045D">
        <w:t>The DUNDRUM suite of measures should be introduced nationally</w:t>
      </w:r>
      <w:r>
        <w:t>,</w:t>
      </w:r>
      <w:r w:rsidRPr="0039045D">
        <w:t xml:space="preserve"> to assist in decision-making regarding service users</w:t>
      </w:r>
      <w:r w:rsidR="00EE0ADB">
        <w:t>’</w:t>
      </w:r>
      <w:r w:rsidRPr="0039045D">
        <w:t xml:space="preserve"> pathways through FMHS</w:t>
      </w:r>
      <w:r>
        <w:t>s</w:t>
      </w:r>
      <w:r w:rsidR="00687946">
        <w:t>.</w:t>
      </w:r>
    </w:p>
    <w:p w14:paraId="1E849F8D" w14:textId="77777777" w:rsidR="00633C48" w:rsidRPr="0039045D" w:rsidRDefault="00633C48" w:rsidP="00687946"/>
    <w:p w14:paraId="60E9B957" w14:textId="77777777" w:rsidR="00633C48" w:rsidRPr="0039045D" w:rsidRDefault="00633C48" w:rsidP="00687946">
      <w:pPr>
        <w:pStyle w:val="Heading5"/>
      </w:pPr>
      <w:r w:rsidRPr="0039045D">
        <w:t>Community</w:t>
      </w:r>
    </w:p>
    <w:p w14:paraId="017825A3" w14:textId="77777777" w:rsidR="00633C48" w:rsidRPr="0039045D" w:rsidRDefault="00633C48" w:rsidP="00687946">
      <w:pPr>
        <w:pStyle w:val="Bullet"/>
      </w:pPr>
      <w:r>
        <w:t xml:space="preserve">Forensic mental health services </w:t>
      </w:r>
      <w:r w:rsidRPr="0039045D">
        <w:t>should articulate either forensic assertive community treatment or forensic mental health case management as central to their models of care in the community, within a recovery-orientated paradigm.</w:t>
      </w:r>
    </w:p>
    <w:p w14:paraId="79488852" w14:textId="77777777" w:rsidR="00633C48" w:rsidRPr="0039045D" w:rsidRDefault="00633C48" w:rsidP="00687946">
      <w:pPr>
        <w:pStyle w:val="Bullet"/>
      </w:pPr>
      <w:r>
        <w:t xml:space="preserve">Forensic mental health services </w:t>
      </w:r>
      <w:r w:rsidRPr="0039045D">
        <w:t>should articulate the nature of the consultation and liaison functions in their models of care in the community. In these community models of care, these services</w:t>
      </w:r>
      <w:r w:rsidR="00EE0ADB">
        <w:t>’</w:t>
      </w:r>
      <w:r w:rsidRPr="0039045D">
        <w:t xml:space="preserve"> integrat</w:t>
      </w:r>
      <w:r>
        <w:t>ion or parallel</w:t>
      </w:r>
      <w:r w:rsidRPr="0039045D">
        <w:t xml:space="preserve"> </w:t>
      </w:r>
      <w:r>
        <w:t xml:space="preserve">operation </w:t>
      </w:r>
      <w:r w:rsidRPr="0039045D">
        <w:t>with GMHS</w:t>
      </w:r>
      <w:r>
        <w:t>s should be clearly articulated</w:t>
      </w:r>
      <w:r w:rsidR="00687946">
        <w:t>.</w:t>
      </w:r>
    </w:p>
    <w:p w14:paraId="6EA2B523" w14:textId="77777777" w:rsidR="00633C48" w:rsidRDefault="00633C48" w:rsidP="00687946">
      <w:pPr>
        <w:pStyle w:val="Bullet"/>
      </w:pPr>
      <w:r w:rsidRPr="0039045D">
        <w:t>A well-resourced diversion model of care should be developed to relieve pressure from FMHS</w:t>
      </w:r>
      <w:r>
        <w:t>s</w:t>
      </w:r>
      <w:r w:rsidR="00687946">
        <w:t>.</w:t>
      </w:r>
    </w:p>
    <w:p w14:paraId="730BF520" w14:textId="77777777" w:rsidR="00633C48" w:rsidRDefault="00633C48" w:rsidP="00687946">
      <w:pPr>
        <w:pStyle w:val="Bullet"/>
      </w:pPr>
      <w:r>
        <w:t>Forensic mental health services should develop clear relationships with agencies that have a preventative emphasis, to strengthen the diversion component of the model of care.</w:t>
      </w:r>
    </w:p>
    <w:p w14:paraId="2CC7BEBE" w14:textId="77777777" w:rsidR="00687946" w:rsidRPr="0039045D" w:rsidRDefault="00687946" w:rsidP="00687946"/>
    <w:p w14:paraId="05ED4B14" w14:textId="77777777" w:rsidR="00633C48" w:rsidRPr="0039045D" w:rsidRDefault="00633C48" w:rsidP="00687946">
      <w:pPr>
        <w:pStyle w:val="Heading5"/>
      </w:pPr>
      <w:r w:rsidRPr="0039045D">
        <w:t>Prisons</w:t>
      </w:r>
    </w:p>
    <w:p w14:paraId="7B65FFC0" w14:textId="77777777" w:rsidR="00633C48" w:rsidRPr="0039045D" w:rsidRDefault="00633C48" w:rsidP="00687946">
      <w:pPr>
        <w:pStyle w:val="Bullet"/>
      </w:pPr>
      <w:r w:rsidRPr="0039045D">
        <w:t xml:space="preserve">The STAIR prison in-reach model of care (developed in </w:t>
      </w:r>
      <w:r>
        <w:t>Aotearoa New Zealand</w:t>
      </w:r>
      <w:r w:rsidRPr="0039045D">
        <w:t xml:space="preserve">) should be reviewed nationally to consider </w:t>
      </w:r>
      <w:r>
        <w:t xml:space="preserve">its </w:t>
      </w:r>
      <w:r w:rsidRPr="0039045D">
        <w:t>culturally specific responsivity, gender-specific responsivity and recovery orientation.</w:t>
      </w:r>
    </w:p>
    <w:p w14:paraId="13115F84" w14:textId="77777777" w:rsidR="00633C48" w:rsidRPr="0039045D" w:rsidRDefault="00633C48" w:rsidP="00687946">
      <w:pPr>
        <w:pStyle w:val="Bullet"/>
      </w:pPr>
      <w:r w:rsidRPr="0039045D">
        <w:t>Once refined, this model of care should be endorsed as the prison model of care for all regional FMHS</w:t>
      </w:r>
      <w:r>
        <w:t>s</w:t>
      </w:r>
      <w:r w:rsidRPr="0039045D">
        <w:t>.</w:t>
      </w:r>
    </w:p>
    <w:p w14:paraId="1C89FAAF" w14:textId="77777777" w:rsidR="00633C48" w:rsidRPr="0039045D" w:rsidRDefault="00633C48" w:rsidP="00687946"/>
    <w:p w14:paraId="7462DA19" w14:textId="77777777" w:rsidR="00633C48" w:rsidRPr="0039045D" w:rsidRDefault="00633C48" w:rsidP="00687946">
      <w:pPr>
        <w:pStyle w:val="Heading5"/>
      </w:pPr>
      <w:r w:rsidRPr="0039045D">
        <w:t>Courts</w:t>
      </w:r>
    </w:p>
    <w:p w14:paraId="0F55D8B6" w14:textId="77777777" w:rsidR="00633C48" w:rsidRPr="0039045D" w:rsidRDefault="00633C48" w:rsidP="00687946">
      <w:pPr>
        <w:pStyle w:val="Bullet"/>
      </w:pPr>
      <w:r w:rsidRPr="0039045D">
        <w:t>The model of care for courts should clearly articulate the core functions of assessment, consu</w:t>
      </w:r>
      <w:r w:rsidR="00687946">
        <w:t>ltation, diversion and liaison.</w:t>
      </w:r>
    </w:p>
    <w:p w14:paraId="6B6779AF" w14:textId="77777777" w:rsidR="00633C48" w:rsidRPr="0039045D" w:rsidRDefault="00633C48" w:rsidP="00687946">
      <w:pPr>
        <w:pStyle w:val="Bullet"/>
      </w:pPr>
      <w:r w:rsidRPr="0039045D">
        <w:t>Consideration should be given to proactive screening for mental health and addictions as a routine process in the models of care for courts.</w:t>
      </w:r>
    </w:p>
    <w:p w14:paraId="7BB417EC" w14:textId="77777777" w:rsidR="00633C48" w:rsidRPr="00687946" w:rsidRDefault="00633C48" w:rsidP="00687946">
      <w:pPr>
        <w:pStyle w:val="Bullet"/>
      </w:pPr>
      <w:r w:rsidRPr="0039045D">
        <w:t>To increase responsivity to Māori, further consideration should be given to the use of Māori cultural assessments and provision of cultural support within the court liaison service.</w:t>
      </w:r>
    </w:p>
    <w:p w14:paraId="4706A18F" w14:textId="77777777" w:rsidR="00633C48" w:rsidRPr="0039045D" w:rsidRDefault="00633C48" w:rsidP="00687946"/>
    <w:p w14:paraId="6470C948" w14:textId="77777777" w:rsidR="00633C48" w:rsidRPr="0039045D" w:rsidRDefault="00633C48" w:rsidP="00687946">
      <w:pPr>
        <w:pStyle w:val="Heading5"/>
      </w:pPr>
      <w:r w:rsidRPr="0039045D">
        <w:lastRenderedPageBreak/>
        <w:t>Research</w:t>
      </w:r>
    </w:p>
    <w:p w14:paraId="55E6C34B" w14:textId="77777777" w:rsidR="00633C48" w:rsidRPr="0039045D" w:rsidRDefault="00633C48" w:rsidP="00687946">
      <w:pPr>
        <w:pStyle w:val="Bullet"/>
        <w:keepNext/>
      </w:pPr>
      <w:r w:rsidRPr="0039045D">
        <w:t xml:space="preserve">Research needs to be embedded from the </w:t>
      </w:r>
      <w:r>
        <w:t>out</w:t>
      </w:r>
      <w:r w:rsidRPr="0039045D">
        <w:t>set in</w:t>
      </w:r>
      <w:r>
        <w:t xml:space="preserve"> </w:t>
      </w:r>
      <w:r w:rsidRPr="0039045D">
        <w:t>all models of care.</w:t>
      </w:r>
    </w:p>
    <w:p w14:paraId="10DF02EB" w14:textId="77777777" w:rsidR="00633C48" w:rsidRPr="0039045D" w:rsidRDefault="00633C48" w:rsidP="00687946">
      <w:pPr>
        <w:pStyle w:val="Bullet"/>
        <w:keepNext/>
      </w:pPr>
      <w:r w:rsidRPr="0039045D">
        <w:t>This research should be both formative (to flesh out progress in the embedding of the models of care) and summative (to consider the outcomes of the models of care).</w:t>
      </w:r>
    </w:p>
    <w:p w14:paraId="567FAFB6" w14:textId="77777777" w:rsidR="00633C48" w:rsidRPr="006E1A15" w:rsidRDefault="00633C48" w:rsidP="00687946">
      <w:pPr>
        <w:pStyle w:val="Bullet"/>
      </w:pPr>
      <w:r w:rsidRPr="0039045D">
        <w:t xml:space="preserve">This research should be co-designed by all stakeholders, with an emphasis on </w:t>
      </w:r>
      <w:r w:rsidRPr="006E1A15">
        <w:t>kaupapa Māori research, given the populations FMHSs serve.</w:t>
      </w:r>
    </w:p>
    <w:p w14:paraId="7B84B7C0" w14:textId="77777777" w:rsidR="00633C48" w:rsidRPr="006B6745" w:rsidRDefault="00633C48" w:rsidP="00687946"/>
    <w:p w14:paraId="2D8A2A66" w14:textId="77777777" w:rsidR="00633C48" w:rsidRDefault="00633C48" w:rsidP="00687946">
      <w:r w:rsidRPr="006B6745">
        <w:t>FMHS</w:t>
      </w:r>
      <w:r>
        <w:t>s</w:t>
      </w:r>
      <w:r w:rsidRPr="006B6745">
        <w:t xml:space="preserve"> in Aotearoa are at an exciting cross- roads. He Ara Oranga (Paterson </w:t>
      </w:r>
      <w:r w:rsidR="00AD0D58">
        <w:t>et al</w:t>
      </w:r>
      <w:r w:rsidRPr="006B6745">
        <w:t xml:space="preserve"> 2018) challenges services to develop models of care which are co-produced, recovery-oriented, evidence-based and which place service users and their whānau at the centre. Furthermore, our health system is being transformed into a single National Health Service with a new Māori Health Authority (Ministry of Health 2021). If the findings of this literature review are endorsed alongside these changes, regional FMHS</w:t>
      </w:r>
      <w:r>
        <w:t>s</w:t>
      </w:r>
      <w:r w:rsidRPr="006B6745">
        <w:t xml:space="preserve"> should be able to achieve consistent service delivery and learn from the innovation of each other, in order to produce the best outcomes for those they serve.</w:t>
      </w:r>
    </w:p>
    <w:p w14:paraId="28896964" w14:textId="77777777" w:rsidR="00F16595" w:rsidRDefault="00F16595" w:rsidP="00687946"/>
    <w:p w14:paraId="3A9CEF1B" w14:textId="77777777" w:rsidR="001D3E4E" w:rsidRDefault="001D3E4E" w:rsidP="003A5FEA">
      <w:pPr>
        <w:sectPr w:rsidR="001D3E4E" w:rsidSect="00925892">
          <w:footerReference w:type="even" r:id="rId25"/>
          <w:pgSz w:w="11907" w:h="16840" w:code="9"/>
          <w:pgMar w:top="1418" w:right="1701" w:bottom="1134" w:left="1843" w:header="284" w:footer="425" w:gutter="284"/>
          <w:pgNumType w:fmt="lowerRoman"/>
          <w:cols w:space="720"/>
        </w:sectPr>
      </w:pPr>
    </w:p>
    <w:p w14:paraId="318DA71E" w14:textId="77777777" w:rsidR="008C2973" w:rsidRDefault="00401493" w:rsidP="00F54E74">
      <w:pPr>
        <w:pStyle w:val="Heading1"/>
      </w:pPr>
      <w:bookmarkStart w:id="13" w:name="_Toc90025990"/>
      <w:r>
        <w:rPr>
          <w:b w:val="0"/>
        </w:rPr>
        <w:lastRenderedPageBreak/>
        <w:t>Section 1:</w:t>
      </w:r>
      <w:r>
        <w:br/>
      </w:r>
      <w:r w:rsidR="002B7BEC">
        <w:t>Introduction</w:t>
      </w:r>
      <w:r>
        <w:t xml:space="preserve"> and background</w:t>
      </w:r>
      <w:bookmarkEnd w:id="13"/>
    </w:p>
    <w:p w14:paraId="2250E83E" w14:textId="77777777" w:rsidR="00EE0ADB" w:rsidRDefault="009636B7" w:rsidP="00967EEE">
      <w:r w:rsidRPr="00F65D1F">
        <w:t>Forensic mental health services (FMHS</w:t>
      </w:r>
      <w:r>
        <w:t>s</w:t>
      </w:r>
      <w:r w:rsidRPr="00F65D1F">
        <w:t>) provide assessment and treatment to people whose mental health needs intersect with offending behaviours (</w:t>
      </w:r>
      <w:r>
        <w:t xml:space="preserve">when those behaviours are </w:t>
      </w:r>
      <w:r w:rsidRPr="00F65D1F">
        <w:t xml:space="preserve">alleged, </w:t>
      </w:r>
      <w:r>
        <w:t xml:space="preserve">when they are </w:t>
      </w:r>
      <w:r w:rsidRPr="00F65D1F">
        <w:t xml:space="preserve">proven or when </w:t>
      </w:r>
      <w:r>
        <w:t xml:space="preserve">a person is </w:t>
      </w:r>
      <w:r w:rsidRPr="00F65D1F">
        <w:t>assessed at being at risk for offending). The people served by these services are among the most disadvantaged groups accessing mental health care. The clients have high and complex social needs</w:t>
      </w:r>
      <w:r>
        <w:t>;</w:t>
      </w:r>
      <w:r w:rsidRPr="00F65D1F">
        <w:t xml:space="preserve"> often have multiple mental health and addiction diagnoses</w:t>
      </w:r>
      <w:r>
        <w:t>,</w:t>
      </w:r>
      <w:r w:rsidRPr="00F65D1F">
        <w:t xml:space="preserve"> including substance dependence</w:t>
      </w:r>
      <w:r>
        <w:t>;</w:t>
      </w:r>
      <w:r w:rsidRPr="00F65D1F">
        <w:t xml:space="preserve"> come from backgrounds often characterised by high levels of deprivation and the experience of trauma</w:t>
      </w:r>
      <w:r>
        <w:t>;</w:t>
      </w:r>
      <w:r w:rsidRPr="00F65D1F">
        <w:t xml:space="preserve"> and have committed, or are at risk of committing, offences resulting in high levels of harm to others.</w:t>
      </w:r>
    </w:p>
    <w:p w14:paraId="14EA4ACC" w14:textId="77777777" w:rsidR="009636B7" w:rsidRPr="00F65D1F" w:rsidRDefault="009636B7" w:rsidP="00967EEE"/>
    <w:p w14:paraId="7B443764" w14:textId="77777777" w:rsidR="009636B7" w:rsidRPr="00F65D1F" w:rsidRDefault="009636B7" w:rsidP="00967EEE">
      <w:r w:rsidRPr="00F65D1F">
        <w:t xml:space="preserve">In Aotearoa New Zealand, </w:t>
      </w:r>
      <w:r>
        <w:t>f</w:t>
      </w:r>
      <w:r w:rsidRPr="00F65D1F">
        <w:t>orensic clients come into FMHS</w:t>
      </w:r>
      <w:r>
        <w:t>s</w:t>
      </w:r>
      <w:r w:rsidRPr="00F65D1F">
        <w:t xml:space="preserve"> via prisons, courts, police and, to a lesser extent, community services. A key source of referrals to the services is Ara Poutama Department of Corrections, particularly via the prison services. In sum, FMHS</w:t>
      </w:r>
      <w:r>
        <w:t>s</w:t>
      </w:r>
      <w:r w:rsidRPr="00F65D1F">
        <w:t xml:space="preserve"> provide inpatient treatment for offenders with severe mental illness, as well as in-reach assessment and treatment to prisoners who either do not need or are unable to access inpatient care. Forensic mental health services also assess people in the courts and follow up</w:t>
      </w:r>
      <w:r>
        <w:t xml:space="preserve"> people transitioning from secure inpatient services into </w:t>
      </w:r>
      <w:r w:rsidRPr="00F65D1F">
        <w:t>the community.</w:t>
      </w:r>
    </w:p>
    <w:p w14:paraId="030DFBE1" w14:textId="77777777" w:rsidR="009636B7" w:rsidRPr="00F65D1F" w:rsidRDefault="009636B7" w:rsidP="00967EEE"/>
    <w:p w14:paraId="4A84A6A7" w14:textId="77777777" w:rsidR="00EE0ADB" w:rsidRDefault="009636B7" w:rsidP="00967EEE">
      <w:r w:rsidRPr="00F65D1F">
        <w:t xml:space="preserve">This report provides the findings of a set of five scoping systematic literature reviews conducted to identify the national and international evidence on models of care governing adult FMHS provision. The researchers sought to identify evidence-based best practices pertaining to models of care in </w:t>
      </w:r>
      <w:r>
        <w:t xml:space="preserve">the </w:t>
      </w:r>
      <w:r w:rsidRPr="00F65D1F">
        <w:t>four areas</w:t>
      </w:r>
      <w:r>
        <w:t xml:space="preserve"> that</w:t>
      </w:r>
      <w:r w:rsidRPr="00F65D1F">
        <w:t xml:space="preserve"> broadly represent the main components of FMHS delivery (inpatient, community, prisons and courts), as well as the regional, national and international guidelines articulated in the grey literature.</w:t>
      </w:r>
    </w:p>
    <w:p w14:paraId="5DFA2C2F" w14:textId="77777777" w:rsidR="009636B7" w:rsidRPr="00F65D1F" w:rsidRDefault="009636B7" w:rsidP="00967EEE"/>
    <w:p w14:paraId="617DFDE9" w14:textId="77777777" w:rsidR="00EE0ADB" w:rsidRDefault="009636B7" w:rsidP="00967EEE">
      <w:r w:rsidRPr="00F65D1F">
        <w:t xml:space="preserve">The </w:t>
      </w:r>
      <w:r>
        <w:t xml:space="preserve">researchers used </w:t>
      </w:r>
      <w:r w:rsidRPr="00F65D1F">
        <w:t xml:space="preserve">findings from these reviews to develop a set of evidence-based </w:t>
      </w:r>
      <w:r w:rsidRPr="00815782">
        <w:t xml:space="preserve">summaries that the Ministry of Health can use to inform the development of a national </w:t>
      </w:r>
      <w:r w:rsidRPr="00815782">
        <w:rPr>
          <w:rFonts w:cs="Segoe UI"/>
        </w:rPr>
        <w:t>implementation guidance document</w:t>
      </w:r>
      <w:r w:rsidRPr="00815782">
        <w:t xml:space="preserve"> for FMHSs in Aotearoa New Zealand. To provide context for this report, the following sections within Section 1 offer background information, beginning with an overview of forensic mental health service users and services in</w:t>
      </w:r>
      <w:r>
        <w:t xml:space="preserve"> Aotearoa</w:t>
      </w:r>
      <w:r w:rsidRPr="00815782">
        <w:t xml:space="preserve"> New Zealand. This is followed by a discussion of what constitutes a </w:t>
      </w:r>
      <w:r w:rsidR="00EE0ADB">
        <w:t>‘</w:t>
      </w:r>
      <w:r w:rsidRPr="00815782">
        <w:t>model of care</w:t>
      </w:r>
      <w:r w:rsidR="00EE0ADB">
        <w:t>’</w:t>
      </w:r>
      <w:r w:rsidRPr="00815782">
        <w:t>, a key premise to this report. Finally, a project brief is provided summarising the scope, aims and objectives, and methodology of the reviews.</w:t>
      </w:r>
    </w:p>
    <w:p w14:paraId="3982B0A2" w14:textId="77777777" w:rsidR="009636B7" w:rsidRPr="00815782" w:rsidRDefault="009636B7" w:rsidP="00967EEE"/>
    <w:p w14:paraId="65BEFA49" w14:textId="77777777" w:rsidR="00EE0ADB" w:rsidRDefault="009636B7" w:rsidP="00967EEE">
      <w:pPr>
        <w:keepLines/>
      </w:pPr>
      <w:r w:rsidRPr="00815782">
        <w:lastRenderedPageBreak/>
        <w:t xml:space="preserve">It should be noted that the Ministry of Health commissioned this series of literature reviews three years ago; the literature search finished in 2019. Since that time, interest in models of care in FMHSs in jurisdictions similar to </w:t>
      </w:r>
      <w:r>
        <w:t xml:space="preserve">Aotearoa </w:t>
      </w:r>
      <w:r w:rsidRPr="00815782">
        <w:t>New Zealand has increased considerably. Since the conclusion of the literature search, models of care documents have been published in Ireland (National Forensic Mental Health Service 2019), the Australian Capital Territory (ACT Government 2019) and New South Wales (Dean 2020).</w:t>
      </w:r>
    </w:p>
    <w:p w14:paraId="6A94AEA4" w14:textId="77777777" w:rsidR="009636B7" w:rsidRPr="008D19CC" w:rsidRDefault="009636B7" w:rsidP="00967EEE"/>
    <w:p w14:paraId="64FCA789" w14:textId="77777777" w:rsidR="00EE0ADB" w:rsidRDefault="009636B7" w:rsidP="00967EEE">
      <w:r w:rsidRPr="008D19CC">
        <w:t xml:space="preserve">Even the definition of what constitutes a model of care is evolving. A recent article by Kennedy (2021) defines a model of care as detailing four components of service delivery: goals, pathways and processes, treatments, and evaluation. This definition explicitly moves away from a focus on the principles of a model of care. Yet this is the very focus of the literature reviews in this report. The intent of the focus on principles was to inform the development of a national </w:t>
      </w:r>
      <w:r w:rsidRPr="008D19CC">
        <w:rPr>
          <w:rFonts w:cs="Segoe UI"/>
        </w:rPr>
        <w:t>implementation guidance document</w:t>
      </w:r>
      <w:r w:rsidRPr="008D19CC">
        <w:t xml:space="preserve"> for FMHSs for Aotearoa. It is hoped that the detail of models of care for FMHSs (Kennedy 2021) will be developed through co-designed processes, which these literature reviews </w:t>
      </w:r>
      <w:r>
        <w:t xml:space="preserve">will </w:t>
      </w:r>
      <w:r w:rsidRPr="008D19CC">
        <w:t>inform.</w:t>
      </w:r>
    </w:p>
    <w:p w14:paraId="4BB42A6E" w14:textId="77777777" w:rsidR="009636B7" w:rsidRPr="000329FE" w:rsidRDefault="009636B7" w:rsidP="00967EEE"/>
    <w:p w14:paraId="59CC9ADF" w14:textId="77777777" w:rsidR="009636B7" w:rsidRPr="00F65D1F" w:rsidRDefault="009636B7" w:rsidP="00967EEE">
      <w:pPr>
        <w:pStyle w:val="Heading2"/>
      </w:pPr>
      <w:bookmarkStart w:id="14" w:name="_bookmark7"/>
      <w:bookmarkStart w:id="15" w:name="_Toc16805618"/>
      <w:bookmarkStart w:id="16" w:name="_Toc88823222"/>
      <w:bookmarkStart w:id="17" w:name="_Toc90025991"/>
      <w:bookmarkEnd w:id="14"/>
      <w:r w:rsidRPr="00F65D1F">
        <w:t xml:space="preserve">Forensic </w:t>
      </w:r>
      <w:r>
        <w:t>p</w:t>
      </w:r>
      <w:r w:rsidRPr="00F65D1F">
        <w:t xml:space="preserve">sychiatry </w:t>
      </w:r>
      <w:r>
        <w:t>s</w:t>
      </w:r>
      <w:r w:rsidRPr="00F65D1F">
        <w:t xml:space="preserve">ervices in </w:t>
      </w:r>
      <w:bookmarkEnd w:id="15"/>
      <w:r w:rsidRPr="00F65D1F">
        <w:t xml:space="preserve">Aotearoa </w:t>
      </w:r>
      <w:r>
        <w:t>New Zealand</w:t>
      </w:r>
      <w:bookmarkEnd w:id="16"/>
      <w:bookmarkEnd w:id="17"/>
    </w:p>
    <w:p w14:paraId="195E3FD8" w14:textId="77777777" w:rsidR="00EE0ADB" w:rsidRDefault="009636B7" w:rsidP="00967EEE">
      <w:r w:rsidRPr="00F65D1F">
        <w:t xml:space="preserve">Forensic mental health services </w:t>
      </w:r>
      <w:r>
        <w:t xml:space="preserve">have </w:t>
      </w:r>
      <w:r w:rsidRPr="00F65D1F">
        <w:t>the dual purpose of providing mental health care in a therapeutic environment while protecting and ensuring the safety of service users,</w:t>
      </w:r>
      <w:r w:rsidRPr="00967EEE">
        <w:rPr>
          <w:rStyle w:val="FootnoteReference"/>
        </w:rPr>
        <w:footnoteReference w:id="1"/>
      </w:r>
      <w:r w:rsidRPr="00F65D1F">
        <w:t xml:space="preserve"> staff and the community. </w:t>
      </w:r>
      <w:r>
        <w:t>S</w:t>
      </w:r>
      <w:r w:rsidRPr="00F65D1F">
        <w:t>ervices must continually negotiate the balance</w:t>
      </w:r>
      <w:r>
        <w:t xml:space="preserve"> – </w:t>
      </w:r>
      <w:r w:rsidRPr="00F65D1F">
        <w:t xml:space="preserve">or </w:t>
      </w:r>
      <w:r w:rsidR="00EE0ADB">
        <w:t>‘</w:t>
      </w:r>
      <w:r w:rsidRPr="00F65D1F">
        <w:t>perceived tension</w:t>
      </w:r>
      <w:r w:rsidR="00EE0ADB">
        <w:t>’</w:t>
      </w:r>
      <w:r w:rsidRPr="00F65D1F">
        <w:t xml:space="preserve"> (Nicholls </w:t>
      </w:r>
      <w:r>
        <w:t>and</w:t>
      </w:r>
      <w:r w:rsidRPr="00F65D1F">
        <w:t xml:space="preserve"> Goossens 2017</w:t>
      </w:r>
      <w:r w:rsidR="005054ED">
        <w:t>, p. </w:t>
      </w:r>
      <w:r w:rsidRPr="00F65D1F">
        <w:t>497)</w:t>
      </w:r>
      <w:r>
        <w:t xml:space="preserve"> – </w:t>
      </w:r>
      <w:r w:rsidRPr="00F65D1F">
        <w:t>between these two aspects</w:t>
      </w:r>
      <w:r>
        <w:t>,</w:t>
      </w:r>
      <w:r w:rsidRPr="00F65D1F">
        <w:t xml:space="preserve"> in what some refer to as the </w:t>
      </w:r>
      <w:r w:rsidR="00EE0ADB">
        <w:t>‘</w:t>
      </w:r>
      <w:r w:rsidRPr="00F65D1F">
        <w:t>care versus control</w:t>
      </w:r>
      <w:r w:rsidR="00EE0ADB">
        <w:t>’</w:t>
      </w:r>
      <w:r w:rsidRPr="00F65D1F">
        <w:t xml:space="preserve"> debate or, in a less dichotomous view, the </w:t>
      </w:r>
      <w:r w:rsidR="00EE0ADB">
        <w:t>‘</w:t>
      </w:r>
      <w:r w:rsidRPr="00F65D1F">
        <w:t>care–control continuum</w:t>
      </w:r>
      <w:r w:rsidR="00EE0ADB">
        <w:t>’</w:t>
      </w:r>
      <w:r w:rsidRPr="00F65D1F">
        <w:t xml:space="preserve"> (Gournay</w:t>
      </w:r>
      <w:r>
        <w:t xml:space="preserve"> </w:t>
      </w:r>
      <w:r w:rsidR="00AD0D58">
        <w:t>et al</w:t>
      </w:r>
      <w:r w:rsidRPr="00F65D1F">
        <w:t xml:space="preserve"> 2013). On the </w:t>
      </w:r>
      <w:r w:rsidR="00EE0ADB">
        <w:t>‘</w:t>
      </w:r>
      <w:r w:rsidRPr="00F65D1F">
        <w:t>care</w:t>
      </w:r>
      <w:r w:rsidR="00EE0ADB">
        <w:t>’</w:t>
      </w:r>
      <w:r w:rsidRPr="00F65D1F">
        <w:t xml:space="preserve"> side of the continuum lies the mental health, wellbeing, safety and autonomy of the service user. On the </w:t>
      </w:r>
      <w:r w:rsidR="00EE0ADB">
        <w:t>‘</w:t>
      </w:r>
      <w:r w:rsidRPr="00F65D1F">
        <w:t>control</w:t>
      </w:r>
      <w:r w:rsidR="00EE0ADB">
        <w:t>’</w:t>
      </w:r>
      <w:r w:rsidRPr="00F65D1F">
        <w:t xml:space="preserve"> side lies the challenge of ensuring the safety of the service user, other service users, staff and the wider community (</w:t>
      </w:r>
      <w:r>
        <w:t>ie</w:t>
      </w:r>
      <w:r w:rsidRPr="00F65D1F">
        <w:t>, public protection</w:t>
      </w:r>
      <w:r>
        <w:t>)</w:t>
      </w:r>
      <w:r w:rsidRPr="00F65D1F">
        <w:t xml:space="preserve"> </w:t>
      </w:r>
      <w:r>
        <w:t>(</w:t>
      </w:r>
      <w:r w:rsidRPr="00F65D1F">
        <w:t xml:space="preserve">Nicholls </w:t>
      </w:r>
      <w:r>
        <w:t>and</w:t>
      </w:r>
      <w:r w:rsidRPr="00F65D1F">
        <w:t xml:space="preserve"> Goossens 2017). Thus, key aspects of treatment and clinical decision-making within FMHS</w:t>
      </w:r>
      <w:r>
        <w:t>s</w:t>
      </w:r>
      <w:r w:rsidRPr="00F65D1F">
        <w:t xml:space="preserve"> involve assessing, mitigating and managing service users</w:t>
      </w:r>
      <w:r w:rsidR="00EE0ADB">
        <w:t>’</w:t>
      </w:r>
      <w:r w:rsidRPr="00F65D1F">
        <w:t xml:space="preserve"> risk to self and others, both immediate and long-term, to work toward the rehabilitation of the service user and prevention of recidivist offending if</w:t>
      </w:r>
      <w:r>
        <w:t xml:space="preserve"> or </w:t>
      </w:r>
      <w:r w:rsidRPr="00F65D1F">
        <w:t xml:space="preserve">when the service user returns to the community. While these two paradigms are often portrayed as </w:t>
      </w:r>
      <w:r w:rsidR="00EE0ADB">
        <w:t>‘</w:t>
      </w:r>
      <w:r w:rsidRPr="00F65D1F">
        <w:t>being at odds with one another</w:t>
      </w:r>
      <w:r w:rsidR="00EE0ADB">
        <w:t>’</w:t>
      </w:r>
      <w:r>
        <w:t>,</w:t>
      </w:r>
      <w:r w:rsidRPr="00F65D1F">
        <w:t xml:space="preserve"> as Nicholls and Goossens (2017) note, </w:t>
      </w:r>
      <w:r w:rsidR="00EE0ADB">
        <w:t>‘</w:t>
      </w:r>
      <w:r w:rsidRPr="00F65D1F">
        <w:t>the two roles are in fact complementary and, arguably, unavoidable</w:t>
      </w:r>
      <w:r w:rsidR="00EE0ADB">
        <w:t>’</w:t>
      </w:r>
      <w:r w:rsidR="00AD0D58">
        <w:t xml:space="preserve"> (p. </w:t>
      </w:r>
      <w:r w:rsidRPr="00F65D1F">
        <w:t>497).</w:t>
      </w:r>
    </w:p>
    <w:p w14:paraId="4FC40B59" w14:textId="77777777" w:rsidR="00967EEE" w:rsidRPr="00F65D1F" w:rsidRDefault="00967EEE" w:rsidP="00967EEE"/>
    <w:p w14:paraId="2EF432EB" w14:textId="77777777" w:rsidR="009636B7" w:rsidRPr="00F65D1F" w:rsidRDefault="009636B7" w:rsidP="00967EEE">
      <w:r w:rsidRPr="00F65D1F">
        <w:lastRenderedPageBreak/>
        <w:t xml:space="preserve">Within Aotearoa </w:t>
      </w:r>
      <w:r>
        <w:t>New Zealand</w:t>
      </w:r>
      <w:r w:rsidRPr="00F65D1F">
        <w:t xml:space="preserve">, the origins of the current FMHS configuration stem from the recommendations of the government Commission of Inquiry known as the </w:t>
      </w:r>
      <w:r w:rsidRPr="00822F17">
        <w:t>Mason Report (1</w:t>
      </w:r>
      <w:r w:rsidRPr="00F65D1F">
        <w:t>988), which provided the blueprint for the development of FMHS</w:t>
      </w:r>
      <w:r>
        <w:t>s</w:t>
      </w:r>
      <w:r w:rsidRPr="00F65D1F">
        <w:t xml:space="preserve"> (Evans 2010</w:t>
      </w:r>
      <w:r w:rsidR="005054ED">
        <w:t>, p. </w:t>
      </w:r>
      <w:r w:rsidRPr="00F65D1F">
        <w:t>369). Within these recommendations were a set of six principles to guide service delivery</w:t>
      </w:r>
      <w:r>
        <w:t>, as follows.</w:t>
      </w:r>
    </w:p>
    <w:p w14:paraId="69523630" w14:textId="77777777" w:rsidR="009636B7" w:rsidRPr="00F65D1F" w:rsidRDefault="00EE0ADB" w:rsidP="00967EEE">
      <w:pPr>
        <w:pStyle w:val="Bullet"/>
      </w:pPr>
      <w:r>
        <w:t>‘</w:t>
      </w:r>
      <w:r w:rsidR="009636B7" w:rsidRPr="00F65D1F">
        <w:t>Mentally ill offenders have the right to the same access to mental health assessment and treatment as non-offenders</w:t>
      </w:r>
      <w:r>
        <w:t>’</w:t>
      </w:r>
      <w:r w:rsidR="009636B7">
        <w:t>.</w:t>
      </w:r>
    </w:p>
    <w:p w14:paraId="11F5C0F5" w14:textId="77777777" w:rsidR="009636B7" w:rsidRPr="00F65D1F" w:rsidRDefault="00EE0ADB" w:rsidP="00967EEE">
      <w:pPr>
        <w:pStyle w:val="Bullet"/>
      </w:pPr>
      <w:r>
        <w:t>‘</w:t>
      </w:r>
      <w:r w:rsidR="009636B7" w:rsidRPr="00F65D1F">
        <w:t>The health care system, not the corrections system, has the primary responsibility of mentally ill offenders</w:t>
      </w:r>
      <w:r>
        <w:t>’</w:t>
      </w:r>
      <w:r w:rsidR="009636B7">
        <w:t>.</w:t>
      </w:r>
    </w:p>
    <w:p w14:paraId="1BF8319A" w14:textId="77777777" w:rsidR="009636B7" w:rsidRPr="00F65D1F" w:rsidRDefault="00EE0ADB" w:rsidP="00967EEE">
      <w:pPr>
        <w:pStyle w:val="Bullet"/>
      </w:pPr>
      <w:r>
        <w:t>‘</w:t>
      </w:r>
      <w:r w:rsidR="009636B7" w:rsidRPr="00F65D1F">
        <w:t>The system needs to develop a wide range of components to be able to identify mentally ill offenders at any stage in the justice system</w:t>
      </w:r>
      <w:r>
        <w:t>’</w:t>
      </w:r>
      <w:r w:rsidR="009636B7">
        <w:t>.</w:t>
      </w:r>
    </w:p>
    <w:p w14:paraId="1B939612" w14:textId="77777777" w:rsidR="009636B7" w:rsidRPr="00F65D1F" w:rsidRDefault="00EE0ADB" w:rsidP="00967EEE">
      <w:pPr>
        <w:pStyle w:val="Bullet"/>
      </w:pPr>
      <w:r>
        <w:t>‘</w:t>
      </w:r>
      <w:r w:rsidR="009636B7" w:rsidRPr="00F65D1F">
        <w:t>Cultural understanding is an essential requirement</w:t>
      </w:r>
      <w:r w:rsidR="009636B7">
        <w:t xml:space="preserve"> – </w:t>
      </w:r>
      <w:r w:rsidR="009636B7" w:rsidRPr="00F65D1F">
        <w:t>and it is constitutionally mandated in New Zealand</w:t>
      </w:r>
      <w:r>
        <w:t>’</w:t>
      </w:r>
      <w:r w:rsidR="009636B7">
        <w:t>.</w:t>
      </w:r>
    </w:p>
    <w:p w14:paraId="07F10211" w14:textId="77777777" w:rsidR="009636B7" w:rsidRPr="00F65D1F" w:rsidRDefault="00EE0ADB" w:rsidP="00967EEE">
      <w:pPr>
        <w:pStyle w:val="Bullet"/>
      </w:pPr>
      <w:r>
        <w:t>‘</w:t>
      </w:r>
      <w:r w:rsidR="009636B7" w:rsidRPr="00F65D1F">
        <w:t>Integration of many perspectives is required in the clinical care of patients, including psychiatry, psychology, social work, occupational therapy, spiritual understanding, education, and recreations</w:t>
      </w:r>
      <w:r>
        <w:t>’</w:t>
      </w:r>
      <w:r w:rsidR="009636B7">
        <w:t>.</w:t>
      </w:r>
    </w:p>
    <w:p w14:paraId="43E8EB44" w14:textId="77777777" w:rsidR="00EE0ADB" w:rsidRDefault="00EE0ADB" w:rsidP="00967EEE">
      <w:pPr>
        <w:pStyle w:val="Bullet"/>
      </w:pPr>
      <w:r>
        <w:t>‘</w:t>
      </w:r>
      <w:r w:rsidR="009636B7" w:rsidRPr="00F65D1F">
        <w:t>Security and therapy must be integrated</w:t>
      </w:r>
      <w:r>
        <w:t>’</w:t>
      </w:r>
      <w:r w:rsidR="009636B7" w:rsidRPr="00F65D1F">
        <w:t xml:space="preserve"> (Simpson </w:t>
      </w:r>
      <w:r w:rsidR="009636B7">
        <w:t>and</w:t>
      </w:r>
      <w:r w:rsidR="009636B7" w:rsidRPr="00F65D1F">
        <w:t xml:space="preserve"> Chaplow 2001, </w:t>
      </w:r>
      <w:bookmarkStart w:id="18" w:name="_Hlk84425578"/>
      <w:r w:rsidR="009636B7" w:rsidRPr="00F65D1F">
        <w:t>para. 2–5;</w:t>
      </w:r>
      <w:bookmarkEnd w:id="18"/>
      <w:r w:rsidR="009636B7" w:rsidRPr="00F65D1F">
        <w:t xml:space="preserve"> see also Evans 2010).</w:t>
      </w:r>
    </w:p>
    <w:p w14:paraId="5996662B" w14:textId="77777777" w:rsidR="009636B7" w:rsidRPr="00F65D1F" w:rsidRDefault="009636B7" w:rsidP="00967EEE"/>
    <w:p w14:paraId="79DA70FC" w14:textId="77777777" w:rsidR="00EE0ADB" w:rsidRDefault="009636B7" w:rsidP="00967EEE">
      <w:r w:rsidRPr="00F65D1F">
        <w:t>The Mason Report further recommended the establishment of the five regional forensic psychiatric services currently operating in Auckland, Hamilton, Wellington, Christchurch and Dunedin,</w:t>
      </w:r>
      <w:r w:rsidRPr="00967EEE">
        <w:rPr>
          <w:rStyle w:val="FootnoteReference"/>
        </w:rPr>
        <w:footnoteReference w:id="2"/>
      </w:r>
      <w:r w:rsidRPr="00075571">
        <w:t xml:space="preserve"> which were to comprise of: </w:t>
      </w:r>
      <w:r w:rsidR="00EE0ADB">
        <w:t>‘</w:t>
      </w:r>
      <w:r w:rsidRPr="00075571">
        <w:t xml:space="preserve">(a) a medium and a minimum security psychiatric unit; (b) a prison liaison service; (c) a court liaison service; </w:t>
      </w:r>
      <w:r>
        <w:t>(</w:t>
      </w:r>
      <w:r w:rsidRPr="00075571">
        <w:t>d) a community forensic psychiatry service, and (e) a consultation-liaison service to general psychiatric services</w:t>
      </w:r>
      <w:r w:rsidR="00EE0ADB">
        <w:t>’</w:t>
      </w:r>
      <w:r w:rsidRPr="00075571">
        <w:t xml:space="preserve"> (</w:t>
      </w:r>
      <w:r w:rsidRPr="001C766D">
        <w:t>Brinded</w:t>
      </w:r>
      <w:r w:rsidRPr="00075571">
        <w:t xml:space="preserve"> 2000</w:t>
      </w:r>
      <w:r w:rsidR="005054ED">
        <w:t>, p. </w:t>
      </w:r>
      <w:r w:rsidRPr="00075571">
        <w:t>458). This structure has persisted with little change, informed by the principles above. However, some of the recommended principles have taken more time to be applied in practice, namely the development of culturally</w:t>
      </w:r>
      <w:r>
        <w:t xml:space="preserve"> </w:t>
      </w:r>
      <w:r w:rsidRPr="00075571">
        <w:t>responsive (</w:t>
      </w:r>
      <w:r>
        <w:t>ie</w:t>
      </w:r>
      <w:r w:rsidRPr="00075571">
        <w:t xml:space="preserve">, </w:t>
      </w:r>
      <w:r>
        <w:t>k</w:t>
      </w:r>
      <w:r w:rsidRPr="00075571">
        <w:t>aupapa Māori) services.</w:t>
      </w:r>
      <w:r w:rsidRPr="00967EEE">
        <w:rPr>
          <w:rStyle w:val="FootnoteReference"/>
        </w:rPr>
        <w:footnoteReference w:id="3"/>
      </w:r>
    </w:p>
    <w:p w14:paraId="4C2D6CEE" w14:textId="77777777" w:rsidR="009636B7" w:rsidRPr="00075571" w:rsidRDefault="009636B7" w:rsidP="00967EEE"/>
    <w:p w14:paraId="05B8CA32" w14:textId="77777777" w:rsidR="009636B7" w:rsidRPr="00075571" w:rsidRDefault="009636B7" w:rsidP="00967EEE">
      <w:r>
        <w:t xml:space="preserve">In Aotearoa </w:t>
      </w:r>
      <w:r w:rsidRPr="00075571">
        <w:t xml:space="preserve">New </w:t>
      </w:r>
      <w:r w:rsidRPr="00083632">
        <w:t>Zealand</w:t>
      </w:r>
      <w:r>
        <w:t>,</w:t>
      </w:r>
      <w:r w:rsidRPr="00083632">
        <w:t xml:space="preserve"> </w:t>
      </w:r>
      <w:r w:rsidRPr="00075571">
        <w:t>a national high secure (</w:t>
      </w:r>
      <w:r w:rsidR="00EE0ADB">
        <w:t>‘</w:t>
      </w:r>
      <w:r w:rsidRPr="00075571">
        <w:t>maximum secure</w:t>
      </w:r>
      <w:r w:rsidR="00EE0ADB">
        <w:t>’</w:t>
      </w:r>
      <w:r w:rsidRPr="00075571">
        <w:t>) unit established at Lake Alice Hospital near Wanganui opened in 1965 and closed in 1999.</w:t>
      </w:r>
      <w:r w:rsidRPr="00967EEE">
        <w:rPr>
          <w:rStyle w:val="FootnoteReference"/>
        </w:rPr>
        <w:footnoteReference w:id="4"/>
      </w:r>
      <w:r>
        <w:t xml:space="preserve"> </w:t>
      </w:r>
      <w:r w:rsidRPr="00075571">
        <w:t xml:space="preserve">At the time of </w:t>
      </w:r>
      <w:r>
        <w:t xml:space="preserve">its </w:t>
      </w:r>
      <w:r w:rsidRPr="00075571">
        <w:t>closure, residents were transferred to regional medium secure facilities, ideally in those regions from which they came.</w:t>
      </w:r>
      <w:r>
        <w:t xml:space="preserve"> </w:t>
      </w:r>
      <w:r w:rsidRPr="00075571">
        <w:t xml:space="preserve">It has been noted in </w:t>
      </w:r>
      <w:r>
        <w:t xml:space="preserve">Aotearoa </w:t>
      </w:r>
      <w:r w:rsidRPr="00075571">
        <w:t xml:space="preserve">New Zealand and in comparable </w:t>
      </w:r>
      <w:r w:rsidRPr="00083632">
        <w:t>jurisdictions</w:t>
      </w:r>
      <w:r w:rsidRPr="00075571">
        <w:t xml:space="preserve"> that </w:t>
      </w:r>
      <w:r>
        <w:t xml:space="preserve">in terms of the use of restrictive practices, FMHS </w:t>
      </w:r>
      <w:r w:rsidRPr="00075571">
        <w:t>users experience higher rates,</w:t>
      </w:r>
      <w:r>
        <w:t xml:space="preserve"> </w:t>
      </w:r>
      <w:r w:rsidRPr="00075571">
        <w:t>longer duration</w:t>
      </w:r>
      <w:r>
        <w:t xml:space="preserve"> </w:t>
      </w:r>
      <w:r w:rsidRPr="00075571">
        <w:t xml:space="preserve">and greater frequency per person </w:t>
      </w:r>
      <w:r>
        <w:t xml:space="preserve">in comparison with users of </w:t>
      </w:r>
      <w:r w:rsidRPr="00075571">
        <w:t>other specialty mental health services (</w:t>
      </w:r>
      <w:hyperlink r:id="rId26" w:history="1">
        <w:r w:rsidRPr="00B2233D">
          <w:rPr>
            <w:rStyle w:val="Hyperlink"/>
            <w:bCs/>
          </w:rPr>
          <w:t>Australian Institute of Health and Wellbeing 2020</w:t>
        </w:r>
      </w:hyperlink>
      <w:r w:rsidRPr="00B2233D">
        <w:t xml:space="preserve">; </w:t>
      </w:r>
      <w:r w:rsidRPr="00075571">
        <w:t xml:space="preserve">Ministry of Health 2017). The </w:t>
      </w:r>
      <w:r w:rsidRPr="009E213B">
        <w:t>extent</w:t>
      </w:r>
      <w:r w:rsidRPr="00075571">
        <w:t xml:space="preserve"> to which a discrete group of service users account for this variation and might require a high secure response has yet to be explored.</w:t>
      </w:r>
    </w:p>
    <w:p w14:paraId="1D318A93" w14:textId="77777777" w:rsidR="00967EEE" w:rsidRPr="00075571" w:rsidRDefault="00967EEE" w:rsidP="00967EEE"/>
    <w:p w14:paraId="109DFBE7" w14:textId="77777777" w:rsidR="009636B7" w:rsidRPr="00075571" w:rsidRDefault="009636B7" w:rsidP="00967EEE">
      <w:r w:rsidRPr="00075571">
        <w:lastRenderedPageBreak/>
        <w:t>Below, a brief overview of the forensic service user population is provided, followed by an indication of the typical structure of service delivery in each of the four main areas of FMHS</w:t>
      </w:r>
      <w:r>
        <w:t>s</w:t>
      </w:r>
      <w:r w:rsidRPr="00075571">
        <w:t xml:space="preserve"> </w:t>
      </w:r>
      <w:r w:rsidRPr="009E213B">
        <w:t>(inpatient</w:t>
      </w:r>
      <w:r w:rsidRPr="00075571">
        <w:t>, community, prisons and courts). It is important to note that, at present, each regional service follows its own model of care</w:t>
      </w:r>
      <w:r>
        <w:t xml:space="preserve">; there is no </w:t>
      </w:r>
      <w:r w:rsidRPr="00075571">
        <w:t>overarching framework that unifies FMHS</w:t>
      </w:r>
      <w:r>
        <w:t>s</w:t>
      </w:r>
      <w:r w:rsidRPr="00075571">
        <w:t xml:space="preserve"> formally at a national level. Consequently, service provision, in practice, may vary from region to region</w:t>
      </w:r>
      <w:r>
        <w:t xml:space="preserve"> – and the </w:t>
      </w:r>
      <w:r w:rsidRPr="00075571">
        <w:t>variations are not sufficiently described in the literature. As Skipworth and Lindqvist (2007) explain, FMHS</w:t>
      </w:r>
      <w:r>
        <w:t>s</w:t>
      </w:r>
      <w:r w:rsidRPr="00075571">
        <w:t xml:space="preserve"> in Aotearoa </w:t>
      </w:r>
      <w:r>
        <w:t>New Zealand:</w:t>
      </w:r>
    </w:p>
    <w:p w14:paraId="17D57FDF" w14:textId="77777777" w:rsidR="009636B7" w:rsidRPr="00075571" w:rsidRDefault="009636B7" w:rsidP="00967EEE">
      <w:pPr>
        <w:pStyle w:val="Quote"/>
      </w:pPr>
      <w:r w:rsidRPr="00075571">
        <w:t xml:space="preserve">exist at the interface between general mental health services and the criminal justice system, the boundaries between which are sufficiently indistinct to create a multitude of definitions as to who constitutes a forensic mental health patient as opposed to a general mental health patient, who should be providing services to these patients, and under what paradigms of care. Clarity is not assisted by the disparate approaches taken in different jurisdictions. In New Zealand, the Ministry of Health defines forensic services as </w:t>
      </w:r>
      <w:r w:rsidR="00EE0ADB">
        <w:t>‘</w:t>
      </w:r>
      <w:r w:rsidRPr="00075571">
        <w:t xml:space="preserve">mental health services delivered by a multidisciplinary team to mentally ill offenders, alleged offenders, or those who pose a high risk of </w:t>
      </w:r>
      <w:bookmarkStart w:id="20" w:name="_Hlk84838414"/>
      <w:r w:rsidRPr="00075571">
        <w:t>offending.</w:t>
      </w:r>
      <w:r w:rsidR="00EE0ADB">
        <w:t>’</w:t>
      </w:r>
      <w:r w:rsidRPr="00075571">
        <w:t xml:space="preserve"> (pp. 470–471)</w:t>
      </w:r>
    </w:p>
    <w:bookmarkEnd w:id="20"/>
    <w:p w14:paraId="74975544" w14:textId="77777777" w:rsidR="009636B7" w:rsidRPr="00075571" w:rsidRDefault="009636B7" w:rsidP="00967EEE"/>
    <w:p w14:paraId="6CAF07F0" w14:textId="77777777" w:rsidR="009636B7" w:rsidRDefault="009636B7" w:rsidP="00967EEE">
      <w:r w:rsidRPr="00075571">
        <w:t>As such, the following descriptions present a necessarily incomplete view of service provision, though they indicate trends within FMHS</w:t>
      </w:r>
      <w:r>
        <w:t>s</w:t>
      </w:r>
      <w:r w:rsidRPr="00075571">
        <w:t>.</w:t>
      </w:r>
    </w:p>
    <w:p w14:paraId="11D0744E" w14:textId="77777777" w:rsidR="00967EEE" w:rsidRPr="00075571" w:rsidRDefault="00967EEE" w:rsidP="00967EEE"/>
    <w:p w14:paraId="050AA064" w14:textId="77777777" w:rsidR="009636B7" w:rsidRPr="00075571" w:rsidRDefault="009636B7" w:rsidP="00967EEE">
      <w:pPr>
        <w:pStyle w:val="Heading3"/>
      </w:pPr>
      <w:r w:rsidRPr="00075571">
        <w:t xml:space="preserve">The </w:t>
      </w:r>
      <w:r>
        <w:t>f</w:t>
      </w:r>
      <w:r w:rsidRPr="00075571">
        <w:t xml:space="preserve">orensic </w:t>
      </w:r>
      <w:r>
        <w:t>s</w:t>
      </w:r>
      <w:r w:rsidRPr="00075571">
        <w:t xml:space="preserve">ervice </w:t>
      </w:r>
      <w:r>
        <w:t>u</w:t>
      </w:r>
      <w:r w:rsidRPr="00075571">
        <w:t xml:space="preserve">ser </w:t>
      </w:r>
      <w:r>
        <w:t>p</w:t>
      </w:r>
      <w:r w:rsidRPr="00075571">
        <w:t>opulation</w:t>
      </w:r>
    </w:p>
    <w:p w14:paraId="03B7DDD2" w14:textId="77777777" w:rsidR="009636B7" w:rsidRPr="00075571" w:rsidRDefault="009636B7" w:rsidP="00967EEE">
      <w:r w:rsidRPr="00075571">
        <w:t xml:space="preserve">Forensic mental health services are </w:t>
      </w:r>
      <w:r>
        <w:t>us</w:t>
      </w:r>
      <w:r w:rsidRPr="00075571">
        <w:t xml:space="preserve">ed by the population of individuals with severe mental illness who are involved with the criminal justice system, sometimes referred to in the literature as </w:t>
      </w:r>
      <w:r w:rsidR="00EE0ADB">
        <w:t>‘</w:t>
      </w:r>
      <w:r w:rsidRPr="00075571">
        <w:t>mentally</w:t>
      </w:r>
      <w:r>
        <w:t xml:space="preserve"> </w:t>
      </w:r>
      <w:r w:rsidRPr="00075571">
        <w:t>disordered offenders</w:t>
      </w:r>
      <w:r w:rsidR="00EE0ADB">
        <w:t>’</w:t>
      </w:r>
      <w:r w:rsidRPr="00075571">
        <w:t>. In this way, FMHS</w:t>
      </w:r>
      <w:r>
        <w:t>s</w:t>
      </w:r>
      <w:r w:rsidRPr="00075571">
        <w:t xml:space="preserve"> exist at the </w:t>
      </w:r>
      <w:r w:rsidR="00EE0ADB">
        <w:t>‘</w:t>
      </w:r>
      <w:r w:rsidRPr="00075571">
        <w:t>interface between the mental health and criminal justice sectors</w:t>
      </w:r>
      <w:r w:rsidR="00EE0ADB">
        <w:t>’</w:t>
      </w:r>
      <w:r w:rsidRPr="00075571">
        <w:t xml:space="preserve"> (</w:t>
      </w:r>
      <w:r>
        <w:t>Ministry of Health</w:t>
      </w:r>
      <w:r w:rsidRPr="00075571">
        <w:t xml:space="preserve"> 2010</w:t>
      </w:r>
      <w:r>
        <w:t>a</w:t>
      </w:r>
      <w:r w:rsidR="005054ED">
        <w:t>, p. </w:t>
      </w:r>
      <w:r w:rsidRPr="00075571">
        <w:t>8). There are multiple pathways through which individuals may engage with FMHS</w:t>
      </w:r>
      <w:r>
        <w:t>s</w:t>
      </w:r>
      <w:r w:rsidRPr="00075571">
        <w:t xml:space="preserve">. In Aotearoa </w:t>
      </w:r>
      <w:r>
        <w:t>New Zealand</w:t>
      </w:r>
      <w:r w:rsidRPr="00075571">
        <w:t>, service users are typically referred to FMHS</w:t>
      </w:r>
      <w:r>
        <w:t>s</w:t>
      </w:r>
      <w:r w:rsidRPr="00075571">
        <w:t xml:space="preserve"> via court liaison or prison in-reach services due to their mental health needs or arrive in </w:t>
      </w:r>
      <w:r>
        <w:t xml:space="preserve">an FMHS </w:t>
      </w:r>
      <w:r w:rsidRPr="00075571">
        <w:t>due to their legal status (</w:t>
      </w:r>
      <w:r>
        <w:t>eg</w:t>
      </w:r>
      <w:r w:rsidRPr="00075571">
        <w:t xml:space="preserve">, </w:t>
      </w:r>
      <w:r>
        <w:t xml:space="preserve">they are </w:t>
      </w:r>
      <w:r w:rsidRPr="00075571">
        <w:t xml:space="preserve">unfit to stand trial, </w:t>
      </w:r>
      <w:r>
        <w:t xml:space="preserve">they are </w:t>
      </w:r>
      <w:r w:rsidRPr="00075571">
        <w:t xml:space="preserve">not guilty by reason of </w:t>
      </w:r>
      <w:r w:rsidRPr="009E213B">
        <w:t>insanity</w:t>
      </w:r>
      <w:r w:rsidRPr="00075571">
        <w:t xml:space="preserve"> </w:t>
      </w:r>
      <w:r>
        <w:t xml:space="preserve">or they are referred under </w:t>
      </w:r>
      <w:r w:rsidRPr="00075571">
        <w:t xml:space="preserve">certain provisions of the Mental Health </w:t>
      </w:r>
      <w:r>
        <w:t>(</w:t>
      </w:r>
      <w:r w:rsidRPr="00075571">
        <w:t>Compulsory Assessment and Treatment</w:t>
      </w:r>
      <w:r>
        <w:t>)</w:t>
      </w:r>
      <w:r w:rsidRPr="00075571">
        <w:t xml:space="preserve"> Act 1992).</w:t>
      </w:r>
    </w:p>
    <w:p w14:paraId="3FC56B53" w14:textId="77777777" w:rsidR="009636B7" w:rsidRPr="00075571" w:rsidRDefault="009636B7" w:rsidP="00967EEE"/>
    <w:p w14:paraId="13B3252C" w14:textId="77777777" w:rsidR="00967EEE" w:rsidRDefault="009636B7" w:rsidP="00967EEE">
      <w:r w:rsidRPr="00967EEE">
        <w:t>In terms of the adult inpatient service user population,</w:t>
      </w:r>
      <w:r w:rsidRPr="00967EEE">
        <w:rPr>
          <w:rStyle w:val="FootnoteReference"/>
          <w:spacing w:val="-2"/>
        </w:rPr>
        <w:t xml:space="preserve"> </w:t>
      </w:r>
      <w:r w:rsidRPr="00967EEE">
        <w:t>the Ministry has not conducted a national census of FMHSs since 2005 (Ministry of Health 2007).</w:t>
      </w:r>
      <w:r w:rsidRPr="00967EEE">
        <w:rPr>
          <w:rStyle w:val="FootnoteReference"/>
          <w:spacing w:val="-2"/>
        </w:rPr>
        <w:footnoteReference w:id="5"/>
      </w:r>
      <w:r w:rsidRPr="00967EEE">
        <w:t xml:space="preserve"> However, two stages of data collected by the Ministry (in 2008 and again in 2019) reveal a significant increase in the numbers of people supported by the five regional FMHSs support. In 2008, the services assessed and/or treated a total of 3,820 people; in 2019, this number had ballooned to 6,517 people. In addition, there were 4,409 episodes of care in 2008 compared with 7,580 in 2019. This increase is reflected by increased community contacts, as well as demand for court reports and prison in-reach services.</w:t>
      </w:r>
    </w:p>
    <w:p w14:paraId="5AA5D08A" w14:textId="77777777" w:rsidR="009636B7" w:rsidRPr="00967EEE" w:rsidRDefault="009636B7" w:rsidP="00967EEE">
      <w:pPr>
        <w:keepNext/>
        <w:keepLines/>
      </w:pPr>
      <w:r w:rsidRPr="00967EEE">
        <w:lastRenderedPageBreak/>
        <w:t>An equivalent increase has not been seen in access to inpatient treatment and, from there, step-down (community-based intensive recovery service) beds. These figures have remained relatively flat given the limited increase in beds and access to step</w:t>
      </w:r>
      <w:r w:rsidR="00967EEE">
        <w:noBreakHyphen/>
      </w:r>
      <w:r w:rsidRPr="00967EEE">
        <w:t>down beds.</w:t>
      </w:r>
    </w:p>
    <w:p w14:paraId="263E29E2" w14:textId="77777777" w:rsidR="009636B7" w:rsidRPr="00075571" w:rsidRDefault="009636B7" w:rsidP="00967EEE"/>
    <w:p w14:paraId="39D97E38" w14:textId="77777777" w:rsidR="009636B7" w:rsidRPr="00083632" w:rsidRDefault="009636B7" w:rsidP="00967EEE">
      <w:r w:rsidRPr="000329FE">
        <w:t xml:space="preserve">Despite the </w:t>
      </w:r>
      <w:r w:rsidRPr="001A28C6">
        <w:t>significant increase in the forensic</w:t>
      </w:r>
      <w:r w:rsidRPr="00083632">
        <w:t xml:space="preserve"> population, with further increases </w:t>
      </w:r>
      <w:r>
        <w:t>expected</w:t>
      </w:r>
      <w:r w:rsidRPr="00083632">
        <w:t xml:space="preserve">, the </w:t>
      </w:r>
      <w:r>
        <w:t xml:space="preserve">number of </w:t>
      </w:r>
      <w:r w:rsidRPr="00083632">
        <w:t xml:space="preserve">forensic beds </w:t>
      </w:r>
      <w:r>
        <w:t xml:space="preserve">increased </w:t>
      </w:r>
      <w:r w:rsidRPr="000329FE">
        <w:t>very minimal</w:t>
      </w:r>
      <w:r>
        <w:t>ly</w:t>
      </w:r>
      <w:r w:rsidRPr="000329FE">
        <w:t xml:space="preserve"> over the same period. Since 2000, an additional 13 beds have been purchased for the </w:t>
      </w:r>
      <w:r>
        <w:t xml:space="preserve">Auckland Regional Forensic Psychiatry Services (the </w:t>
      </w:r>
      <w:r w:rsidRPr="000329FE">
        <w:t>Mason Clinic</w:t>
      </w:r>
      <w:r>
        <w:t>)</w:t>
      </w:r>
      <w:r w:rsidRPr="000329FE">
        <w:t xml:space="preserve"> (five of which are located in the Central region).</w:t>
      </w:r>
      <w:r w:rsidRPr="00967EEE">
        <w:rPr>
          <w:rStyle w:val="FootnoteReference"/>
        </w:rPr>
        <w:footnoteReference w:id="6"/>
      </w:r>
      <w:r w:rsidRPr="000329FE">
        <w:t xml:space="preserve"> </w:t>
      </w:r>
      <w:r w:rsidR="00967EEE">
        <w:fldChar w:fldCharType="begin"/>
      </w:r>
      <w:r w:rsidR="00967EEE">
        <w:instrText xml:space="preserve"> REF _Ref89787566 \h </w:instrText>
      </w:r>
      <w:r w:rsidR="00967EEE">
        <w:fldChar w:fldCharType="separate"/>
      </w:r>
      <w:r w:rsidR="00F73238">
        <w:t>Table </w:t>
      </w:r>
      <w:r w:rsidR="00F73238">
        <w:rPr>
          <w:noProof/>
        </w:rPr>
        <w:t>1</w:t>
      </w:r>
      <w:r w:rsidR="00967EEE">
        <w:fldChar w:fldCharType="end"/>
      </w:r>
      <w:r>
        <w:t xml:space="preserve"> illustrates t</w:t>
      </w:r>
      <w:r w:rsidRPr="000329FE">
        <w:t>his widening discrepancy</w:t>
      </w:r>
      <w:r w:rsidRPr="001A28C6">
        <w:t>, using the prison muster as a baseline.</w:t>
      </w:r>
    </w:p>
    <w:p w14:paraId="67CC103E" w14:textId="77777777" w:rsidR="009636B7" w:rsidRPr="000329FE" w:rsidRDefault="009636B7" w:rsidP="00967EEE">
      <w:pPr>
        <w:rPr>
          <w:highlight w:val="yellow"/>
        </w:rPr>
      </w:pPr>
    </w:p>
    <w:p w14:paraId="1A981BED" w14:textId="77777777" w:rsidR="009636B7" w:rsidRPr="000329FE" w:rsidRDefault="00967EEE" w:rsidP="00967EEE">
      <w:pPr>
        <w:pStyle w:val="Table"/>
      </w:pPr>
      <w:bookmarkStart w:id="21" w:name="_Ref89787566"/>
      <w:bookmarkStart w:id="22" w:name="_Toc88823411"/>
      <w:bookmarkStart w:id="23" w:name="_Toc90026022"/>
      <w:r>
        <w:t>Table </w:t>
      </w:r>
      <w:r w:rsidR="002C1FB3">
        <w:fldChar w:fldCharType="begin"/>
      </w:r>
      <w:r w:rsidR="002C1FB3">
        <w:instrText xml:space="preserve"> SEQ Table \* ARABIC </w:instrText>
      </w:r>
      <w:r w:rsidR="002C1FB3">
        <w:fldChar w:fldCharType="separate"/>
      </w:r>
      <w:r w:rsidR="00F73238">
        <w:rPr>
          <w:noProof/>
        </w:rPr>
        <w:t>1</w:t>
      </w:r>
      <w:r w:rsidR="002C1FB3">
        <w:rPr>
          <w:noProof/>
        </w:rPr>
        <w:fldChar w:fldCharType="end"/>
      </w:r>
      <w:bookmarkEnd w:id="21"/>
      <w:r w:rsidR="009636B7" w:rsidRPr="000329FE">
        <w:t xml:space="preserve">: Inpatient and </w:t>
      </w:r>
      <w:r w:rsidR="009636B7">
        <w:t>s</w:t>
      </w:r>
      <w:r w:rsidR="009636B7" w:rsidRPr="000329FE">
        <w:t>tep-</w:t>
      </w:r>
      <w:r w:rsidR="009636B7">
        <w:t>d</w:t>
      </w:r>
      <w:r w:rsidR="009636B7" w:rsidRPr="000329FE">
        <w:t xml:space="preserve">own </w:t>
      </w:r>
      <w:r w:rsidR="009636B7">
        <w:t>f</w:t>
      </w:r>
      <w:r w:rsidR="009636B7" w:rsidRPr="000329FE">
        <w:t xml:space="preserve">orensic </w:t>
      </w:r>
      <w:r w:rsidR="009636B7">
        <w:t>b</w:t>
      </w:r>
      <w:r w:rsidR="009636B7" w:rsidRPr="000329FE">
        <w:t xml:space="preserve">eds by </w:t>
      </w:r>
      <w:r w:rsidR="009636B7">
        <w:t>r</w:t>
      </w:r>
      <w:r w:rsidR="009636B7" w:rsidRPr="000329FE">
        <w:t xml:space="preserve">egion, against </w:t>
      </w:r>
      <w:r w:rsidR="009636B7">
        <w:t>c</w:t>
      </w:r>
      <w:r w:rsidR="009636B7" w:rsidRPr="000329FE">
        <w:t xml:space="preserve">hanges in </w:t>
      </w:r>
      <w:r w:rsidR="009636B7">
        <w:t>p</w:t>
      </w:r>
      <w:r w:rsidR="009636B7" w:rsidRPr="000329FE">
        <w:t xml:space="preserve">rison </w:t>
      </w:r>
      <w:r w:rsidR="009636B7">
        <w:t>m</w:t>
      </w:r>
      <w:r w:rsidR="009636B7" w:rsidRPr="000329FE">
        <w:t>uster</w:t>
      </w:r>
      <w:bookmarkEnd w:id="22"/>
      <w:bookmarkEnd w:id="23"/>
    </w:p>
    <w:tbl>
      <w:tblPr>
        <w:tblW w:w="4931" w:type="pct"/>
        <w:tblInd w:w="57" w:type="dxa"/>
        <w:tblLayout w:type="fixed"/>
        <w:tblCellMar>
          <w:left w:w="57" w:type="dxa"/>
          <w:right w:w="57" w:type="dxa"/>
        </w:tblCellMar>
        <w:tblLook w:val="04A0" w:firstRow="1" w:lastRow="0" w:firstColumn="1" w:lastColumn="0" w:noHBand="0" w:noVBand="1"/>
      </w:tblPr>
      <w:tblGrid>
        <w:gridCol w:w="1325"/>
        <w:gridCol w:w="912"/>
        <w:gridCol w:w="1118"/>
        <w:gridCol w:w="1292"/>
        <w:gridCol w:w="806"/>
        <w:gridCol w:w="1257"/>
        <w:gridCol w:w="1258"/>
      </w:tblGrid>
      <w:tr w:rsidR="00967EEE" w:rsidRPr="00967EEE" w14:paraId="54B8E02A" w14:textId="77777777" w:rsidTr="00CA1BC2">
        <w:trPr>
          <w:cantSplit/>
        </w:trPr>
        <w:tc>
          <w:tcPr>
            <w:tcW w:w="1344" w:type="dxa"/>
            <w:shd w:val="clear" w:color="auto" w:fill="D9D9D9" w:themeFill="background1" w:themeFillShade="D9"/>
          </w:tcPr>
          <w:p w14:paraId="5874212C" w14:textId="77777777" w:rsidR="009636B7" w:rsidRPr="00967EEE" w:rsidRDefault="009636B7" w:rsidP="00967EEE">
            <w:pPr>
              <w:pStyle w:val="TableText"/>
              <w:rPr>
                <w:b/>
              </w:rPr>
            </w:pPr>
            <w:r w:rsidRPr="00967EEE">
              <w:rPr>
                <w:b/>
              </w:rPr>
              <w:t>Region</w:t>
            </w:r>
          </w:p>
        </w:tc>
        <w:tc>
          <w:tcPr>
            <w:tcW w:w="924" w:type="dxa"/>
            <w:shd w:val="clear" w:color="auto" w:fill="D9D9D9" w:themeFill="background1" w:themeFillShade="D9"/>
          </w:tcPr>
          <w:p w14:paraId="7A297929" w14:textId="77777777" w:rsidR="009636B7" w:rsidRPr="00967EEE" w:rsidRDefault="009636B7" w:rsidP="00CA1BC2">
            <w:pPr>
              <w:pStyle w:val="TableText"/>
              <w:jc w:val="center"/>
              <w:rPr>
                <w:b/>
              </w:rPr>
            </w:pPr>
            <w:r w:rsidRPr="00967EEE">
              <w:rPr>
                <w:b/>
              </w:rPr>
              <w:t>Beds</w:t>
            </w:r>
            <w:r w:rsidR="00CA1BC2">
              <w:rPr>
                <w:b/>
              </w:rPr>
              <w:br/>
            </w:r>
            <w:r w:rsidR="00CA1BC2">
              <w:rPr>
                <w:b/>
              </w:rPr>
              <w:br/>
            </w:r>
            <w:r w:rsidRPr="00967EEE">
              <w:rPr>
                <w:b/>
              </w:rPr>
              <w:t>2013</w:t>
            </w:r>
          </w:p>
        </w:tc>
        <w:tc>
          <w:tcPr>
            <w:tcW w:w="1134" w:type="dxa"/>
            <w:shd w:val="clear" w:color="auto" w:fill="D9D9D9" w:themeFill="background1" w:themeFillShade="D9"/>
          </w:tcPr>
          <w:p w14:paraId="241A147B" w14:textId="77777777" w:rsidR="009636B7" w:rsidRPr="00967EEE" w:rsidRDefault="009636B7" w:rsidP="00CA1BC2">
            <w:pPr>
              <w:pStyle w:val="TableText"/>
              <w:jc w:val="center"/>
              <w:rPr>
                <w:b/>
              </w:rPr>
            </w:pPr>
            <w:r w:rsidRPr="00967EEE">
              <w:rPr>
                <w:b/>
              </w:rPr>
              <w:t>Prison muster</w:t>
            </w:r>
            <w:r w:rsidR="00CA1BC2">
              <w:rPr>
                <w:b/>
              </w:rPr>
              <w:br/>
            </w:r>
            <w:r w:rsidRPr="00967EEE">
              <w:rPr>
                <w:b/>
              </w:rPr>
              <w:t>2013</w:t>
            </w:r>
          </w:p>
        </w:tc>
        <w:tc>
          <w:tcPr>
            <w:tcW w:w="1310" w:type="dxa"/>
            <w:shd w:val="clear" w:color="auto" w:fill="D9D9D9" w:themeFill="background1" w:themeFillShade="D9"/>
          </w:tcPr>
          <w:p w14:paraId="17906C75" w14:textId="77777777" w:rsidR="009636B7" w:rsidRPr="00967EEE" w:rsidRDefault="009636B7" w:rsidP="00CA1BC2">
            <w:pPr>
              <w:pStyle w:val="TableText"/>
              <w:jc w:val="center"/>
              <w:rPr>
                <w:b/>
              </w:rPr>
            </w:pPr>
            <w:r w:rsidRPr="00967EEE">
              <w:rPr>
                <w:b/>
              </w:rPr>
              <w:t>Prisoner to bed ratio</w:t>
            </w:r>
            <w:r w:rsidR="00CA1BC2">
              <w:rPr>
                <w:b/>
              </w:rPr>
              <w:br/>
            </w:r>
            <w:r w:rsidRPr="00967EEE">
              <w:rPr>
                <w:b/>
              </w:rPr>
              <w:t>2013</w:t>
            </w:r>
          </w:p>
        </w:tc>
        <w:tc>
          <w:tcPr>
            <w:tcW w:w="817" w:type="dxa"/>
            <w:shd w:val="clear" w:color="auto" w:fill="D9D9D9" w:themeFill="background1" w:themeFillShade="D9"/>
          </w:tcPr>
          <w:p w14:paraId="1A9D79B5" w14:textId="77777777" w:rsidR="009636B7" w:rsidRPr="00967EEE" w:rsidRDefault="009636B7" w:rsidP="00CA1BC2">
            <w:pPr>
              <w:pStyle w:val="TableText"/>
              <w:jc w:val="center"/>
              <w:rPr>
                <w:b/>
              </w:rPr>
            </w:pPr>
            <w:r w:rsidRPr="00967EEE">
              <w:rPr>
                <w:b/>
              </w:rPr>
              <w:t>Beds</w:t>
            </w:r>
            <w:r w:rsidR="00CA1BC2">
              <w:rPr>
                <w:b/>
              </w:rPr>
              <w:br/>
            </w:r>
            <w:r w:rsidR="00CA1BC2">
              <w:rPr>
                <w:b/>
              </w:rPr>
              <w:br/>
            </w:r>
            <w:r w:rsidRPr="00967EEE">
              <w:rPr>
                <w:b/>
              </w:rPr>
              <w:t>2019</w:t>
            </w:r>
          </w:p>
        </w:tc>
        <w:tc>
          <w:tcPr>
            <w:tcW w:w="1275" w:type="dxa"/>
            <w:shd w:val="clear" w:color="auto" w:fill="D9D9D9" w:themeFill="background1" w:themeFillShade="D9"/>
          </w:tcPr>
          <w:p w14:paraId="2652C6E2" w14:textId="77777777" w:rsidR="009636B7" w:rsidRPr="00967EEE" w:rsidRDefault="009636B7" w:rsidP="00CA1BC2">
            <w:pPr>
              <w:pStyle w:val="TableText"/>
              <w:jc w:val="center"/>
              <w:rPr>
                <w:b/>
              </w:rPr>
            </w:pPr>
            <w:r w:rsidRPr="00967EEE">
              <w:rPr>
                <w:b/>
              </w:rPr>
              <w:t>Prison muster</w:t>
            </w:r>
            <w:r w:rsidR="00CA1BC2">
              <w:rPr>
                <w:b/>
              </w:rPr>
              <w:br/>
            </w:r>
            <w:r w:rsidRPr="00967EEE">
              <w:rPr>
                <w:b/>
              </w:rPr>
              <w:t>2019</w:t>
            </w:r>
          </w:p>
        </w:tc>
        <w:tc>
          <w:tcPr>
            <w:tcW w:w="1276" w:type="dxa"/>
            <w:shd w:val="clear" w:color="auto" w:fill="D9D9D9" w:themeFill="background1" w:themeFillShade="D9"/>
          </w:tcPr>
          <w:p w14:paraId="50A4936F" w14:textId="77777777" w:rsidR="009636B7" w:rsidRPr="00967EEE" w:rsidRDefault="009636B7" w:rsidP="00CA1BC2">
            <w:pPr>
              <w:pStyle w:val="TableText"/>
              <w:jc w:val="center"/>
              <w:rPr>
                <w:b/>
              </w:rPr>
            </w:pPr>
            <w:r w:rsidRPr="00967EEE">
              <w:rPr>
                <w:b/>
              </w:rPr>
              <w:t>Prisoner to</w:t>
            </w:r>
            <w:r w:rsidR="00CA1BC2">
              <w:rPr>
                <w:b/>
              </w:rPr>
              <w:t xml:space="preserve"> </w:t>
            </w:r>
            <w:r w:rsidRPr="00967EEE">
              <w:rPr>
                <w:b/>
              </w:rPr>
              <w:t>bed ratio</w:t>
            </w:r>
            <w:r w:rsidR="00CA1BC2">
              <w:rPr>
                <w:b/>
              </w:rPr>
              <w:br/>
            </w:r>
            <w:r w:rsidRPr="00967EEE">
              <w:rPr>
                <w:b/>
              </w:rPr>
              <w:t>2019</w:t>
            </w:r>
            <w:r w:rsidRPr="00CA1BC2">
              <w:rPr>
                <w:rStyle w:val="FootnoteReference"/>
              </w:rPr>
              <w:footnoteReference w:id="7"/>
            </w:r>
          </w:p>
        </w:tc>
      </w:tr>
      <w:tr w:rsidR="009636B7" w:rsidRPr="000329FE" w14:paraId="771329EC" w14:textId="77777777" w:rsidTr="00CA1BC2">
        <w:trPr>
          <w:cantSplit/>
        </w:trPr>
        <w:tc>
          <w:tcPr>
            <w:tcW w:w="1344" w:type="dxa"/>
            <w:tcBorders>
              <w:bottom w:val="single" w:sz="4" w:space="0" w:color="A6A6A6" w:themeColor="background1" w:themeShade="A6"/>
            </w:tcBorders>
          </w:tcPr>
          <w:p w14:paraId="537C991A" w14:textId="77777777" w:rsidR="009636B7" w:rsidRPr="000329FE" w:rsidRDefault="009636B7" w:rsidP="00967EEE">
            <w:pPr>
              <w:pStyle w:val="TableText"/>
            </w:pPr>
            <w:r w:rsidRPr="000329FE">
              <w:t>Northern</w:t>
            </w:r>
          </w:p>
        </w:tc>
        <w:tc>
          <w:tcPr>
            <w:tcW w:w="924" w:type="dxa"/>
            <w:tcBorders>
              <w:bottom w:val="single" w:sz="4" w:space="0" w:color="A6A6A6" w:themeColor="background1" w:themeShade="A6"/>
            </w:tcBorders>
          </w:tcPr>
          <w:p w14:paraId="6E0A5F39" w14:textId="77777777" w:rsidR="009636B7" w:rsidRPr="000329FE" w:rsidRDefault="009636B7" w:rsidP="00CA1BC2">
            <w:pPr>
              <w:pStyle w:val="TableText"/>
              <w:tabs>
                <w:tab w:val="decimal" w:pos="523"/>
              </w:tabs>
            </w:pPr>
            <w:r w:rsidRPr="000329FE">
              <w:t>103</w:t>
            </w:r>
          </w:p>
        </w:tc>
        <w:tc>
          <w:tcPr>
            <w:tcW w:w="1134" w:type="dxa"/>
            <w:tcBorders>
              <w:bottom w:val="single" w:sz="4" w:space="0" w:color="A6A6A6" w:themeColor="background1" w:themeShade="A6"/>
            </w:tcBorders>
          </w:tcPr>
          <w:p w14:paraId="1EF3F350" w14:textId="77777777" w:rsidR="009636B7" w:rsidRPr="000329FE" w:rsidRDefault="009636B7" w:rsidP="00CA1BC2">
            <w:pPr>
              <w:pStyle w:val="TableText"/>
              <w:tabs>
                <w:tab w:val="decimal" w:pos="709"/>
              </w:tabs>
            </w:pPr>
            <w:r w:rsidRPr="000329FE">
              <w:t>2</w:t>
            </w:r>
            <w:r>
              <w:t>,</w:t>
            </w:r>
            <w:r w:rsidRPr="000329FE">
              <w:t>323</w:t>
            </w:r>
          </w:p>
        </w:tc>
        <w:tc>
          <w:tcPr>
            <w:tcW w:w="1310" w:type="dxa"/>
            <w:tcBorders>
              <w:bottom w:val="single" w:sz="4" w:space="0" w:color="A6A6A6" w:themeColor="background1" w:themeShade="A6"/>
            </w:tcBorders>
          </w:tcPr>
          <w:p w14:paraId="0FCA033B" w14:textId="77777777" w:rsidR="009636B7" w:rsidRPr="000329FE" w:rsidRDefault="009636B7" w:rsidP="00CA1BC2">
            <w:pPr>
              <w:pStyle w:val="TableText"/>
              <w:jc w:val="center"/>
            </w:pPr>
            <w:r w:rsidRPr="000329FE">
              <w:t>22.5</w:t>
            </w:r>
          </w:p>
        </w:tc>
        <w:tc>
          <w:tcPr>
            <w:tcW w:w="817" w:type="dxa"/>
            <w:tcBorders>
              <w:bottom w:val="single" w:sz="4" w:space="0" w:color="A6A6A6" w:themeColor="background1" w:themeShade="A6"/>
            </w:tcBorders>
          </w:tcPr>
          <w:p w14:paraId="53EAA6A1" w14:textId="77777777" w:rsidR="009636B7" w:rsidRPr="000329FE" w:rsidRDefault="009636B7" w:rsidP="00CA1BC2">
            <w:pPr>
              <w:pStyle w:val="TableText"/>
              <w:tabs>
                <w:tab w:val="decimal" w:pos="493"/>
              </w:tabs>
            </w:pPr>
            <w:r w:rsidRPr="000329FE">
              <w:t>111</w:t>
            </w:r>
          </w:p>
        </w:tc>
        <w:tc>
          <w:tcPr>
            <w:tcW w:w="1275" w:type="dxa"/>
            <w:tcBorders>
              <w:bottom w:val="single" w:sz="4" w:space="0" w:color="A6A6A6" w:themeColor="background1" w:themeShade="A6"/>
            </w:tcBorders>
          </w:tcPr>
          <w:p w14:paraId="6C07512B" w14:textId="77777777" w:rsidR="009636B7" w:rsidRPr="000329FE" w:rsidRDefault="009636B7" w:rsidP="00CA1BC2">
            <w:pPr>
              <w:pStyle w:val="TableText"/>
              <w:jc w:val="center"/>
            </w:pPr>
            <w:r w:rsidRPr="000329FE">
              <w:t>3</w:t>
            </w:r>
            <w:r>
              <w:t>,</w:t>
            </w:r>
            <w:r w:rsidRPr="000329FE">
              <w:t>914</w:t>
            </w:r>
          </w:p>
        </w:tc>
        <w:tc>
          <w:tcPr>
            <w:tcW w:w="1276" w:type="dxa"/>
            <w:tcBorders>
              <w:bottom w:val="single" w:sz="4" w:space="0" w:color="A6A6A6" w:themeColor="background1" w:themeShade="A6"/>
            </w:tcBorders>
          </w:tcPr>
          <w:p w14:paraId="6FC1C0ED" w14:textId="77777777" w:rsidR="009636B7" w:rsidRPr="000329FE" w:rsidRDefault="009636B7" w:rsidP="00CA1BC2">
            <w:pPr>
              <w:pStyle w:val="TableText"/>
              <w:jc w:val="center"/>
            </w:pPr>
            <w:r w:rsidRPr="000329FE">
              <w:t>35.3</w:t>
            </w:r>
          </w:p>
        </w:tc>
      </w:tr>
      <w:tr w:rsidR="009636B7" w:rsidRPr="000329FE" w14:paraId="6AF72517" w14:textId="77777777" w:rsidTr="00CA1BC2">
        <w:trPr>
          <w:cantSplit/>
        </w:trPr>
        <w:tc>
          <w:tcPr>
            <w:tcW w:w="1344" w:type="dxa"/>
            <w:tcBorders>
              <w:top w:val="single" w:sz="4" w:space="0" w:color="A6A6A6" w:themeColor="background1" w:themeShade="A6"/>
              <w:bottom w:val="single" w:sz="4" w:space="0" w:color="A6A6A6" w:themeColor="background1" w:themeShade="A6"/>
            </w:tcBorders>
          </w:tcPr>
          <w:p w14:paraId="353C3D3E" w14:textId="77777777" w:rsidR="009636B7" w:rsidRPr="000329FE" w:rsidRDefault="009636B7" w:rsidP="00967EEE">
            <w:pPr>
              <w:pStyle w:val="TableText"/>
            </w:pPr>
            <w:r w:rsidRPr="000329FE">
              <w:t>Midlands</w:t>
            </w:r>
          </w:p>
        </w:tc>
        <w:tc>
          <w:tcPr>
            <w:tcW w:w="924" w:type="dxa"/>
            <w:tcBorders>
              <w:top w:val="single" w:sz="4" w:space="0" w:color="A6A6A6" w:themeColor="background1" w:themeShade="A6"/>
              <w:bottom w:val="single" w:sz="4" w:space="0" w:color="A6A6A6" w:themeColor="background1" w:themeShade="A6"/>
            </w:tcBorders>
          </w:tcPr>
          <w:p w14:paraId="63064CC3" w14:textId="77777777" w:rsidR="009636B7" w:rsidRPr="000329FE" w:rsidRDefault="009636B7" w:rsidP="00CA1BC2">
            <w:pPr>
              <w:pStyle w:val="TableText"/>
              <w:tabs>
                <w:tab w:val="decimal" w:pos="523"/>
              </w:tabs>
            </w:pPr>
            <w:r w:rsidRPr="000329FE">
              <w:t>63</w:t>
            </w:r>
            <w:r w:rsidRPr="00967EEE">
              <w:rPr>
                <w:rStyle w:val="FootnoteReference"/>
              </w:rPr>
              <w:footnoteReference w:id="8"/>
            </w:r>
          </w:p>
        </w:tc>
        <w:tc>
          <w:tcPr>
            <w:tcW w:w="1134" w:type="dxa"/>
            <w:tcBorders>
              <w:top w:val="single" w:sz="4" w:space="0" w:color="A6A6A6" w:themeColor="background1" w:themeShade="A6"/>
              <w:bottom w:val="single" w:sz="4" w:space="0" w:color="A6A6A6" w:themeColor="background1" w:themeShade="A6"/>
            </w:tcBorders>
          </w:tcPr>
          <w:p w14:paraId="03BBBB7F" w14:textId="77777777" w:rsidR="009636B7" w:rsidRPr="001A28C6" w:rsidRDefault="009636B7" w:rsidP="00CA1BC2">
            <w:pPr>
              <w:pStyle w:val="TableText"/>
              <w:tabs>
                <w:tab w:val="decimal" w:pos="709"/>
              </w:tabs>
            </w:pPr>
            <w:r w:rsidRPr="001A28C6">
              <w:t>1</w:t>
            </w:r>
            <w:r>
              <w:t>,</w:t>
            </w:r>
            <w:r w:rsidRPr="001A28C6">
              <w:t>837</w:t>
            </w:r>
          </w:p>
        </w:tc>
        <w:tc>
          <w:tcPr>
            <w:tcW w:w="1310" w:type="dxa"/>
            <w:tcBorders>
              <w:top w:val="single" w:sz="4" w:space="0" w:color="A6A6A6" w:themeColor="background1" w:themeShade="A6"/>
              <w:bottom w:val="single" w:sz="4" w:space="0" w:color="A6A6A6" w:themeColor="background1" w:themeShade="A6"/>
            </w:tcBorders>
          </w:tcPr>
          <w:p w14:paraId="5414A4C4" w14:textId="77777777" w:rsidR="009636B7" w:rsidRPr="000329FE" w:rsidRDefault="009636B7" w:rsidP="00CA1BC2">
            <w:pPr>
              <w:pStyle w:val="TableText"/>
              <w:jc w:val="center"/>
            </w:pPr>
            <w:r w:rsidRPr="000329FE">
              <w:t>29.2</w:t>
            </w:r>
          </w:p>
        </w:tc>
        <w:tc>
          <w:tcPr>
            <w:tcW w:w="817" w:type="dxa"/>
            <w:tcBorders>
              <w:top w:val="single" w:sz="4" w:space="0" w:color="A6A6A6" w:themeColor="background1" w:themeShade="A6"/>
              <w:bottom w:val="single" w:sz="4" w:space="0" w:color="A6A6A6" w:themeColor="background1" w:themeShade="A6"/>
            </w:tcBorders>
          </w:tcPr>
          <w:p w14:paraId="3701E4CC" w14:textId="77777777" w:rsidR="009636B7" w:rsidRPr="000329FE" w:rsidRDefault="009636B7" w:rsidP="00CA1BC2">
            <w:pPr>
              <w:pStyle w:val="TableText"/>
              <w:tabs>
                <w:tab w:val="decimal" w:pos="493"/>
              </w:tabs>
            </w:pPr>
            <w:r w:rsidRPr="000329FE">
              <w:t>63</w:t>
            </w:r>
          </w:p>
        </w:tc>
        <w:tc>
          <w:tcPr>
            <w:tcW w:w="1275" w:type="dxa"/>
            <w:tcBorders>
              <w:top w:val="single" w:sz="4" w:space="0" w:color="A6A6A6" w:themeColor="background1" w:themeShade="A6"/>
              <w:bottom w:val="single" w:sz="4" w:space="0" w:color="A6A6A6" w:themeColor="background1" w:themeShade="A6"/>
            </w:tcBorders>
          </w:tcPr>
          <w:p w14:paraId="5EB327AC" w14:textId="77777777" w:rsidR="009636B7" w:rsidRPr="000329FE" w:rsidRDefault="009636B7" w:rsidP="00CA1BC2">
            <w:pPr>
              <w:pStyle w:val="TableText"/>
              <w:jc w:val="center"/>
            </w:pPr>
            <w:r w:rsidRPr="000329FE">
              <w:t>2</w:t>
            </w:r>
            <w:r>
              <w:t>,</w:t>
            </w:r>
            <w:r w:rsidRPr="000329FE">
              <w:t>171</w:t>
            </w:r>
          </w:p>
        </w:tc>
        <w:tc>
          <w:tcPr>
            <w:tcW w:w="1276" w:type="dxa"/>
            <w:tcBorders>
              <w:top w:val="single" w:sz="4" w:space="0" w:color="A6A6A6" w:themeColor="background1" w:themeShade="A6"/>
              <w:bottom w:val="single" w:sz="4" w:space="0" w:color="A6A6A6" w:themeColor="background1" w:themeShade="A6"/>
            </w:tcBorders>
          </w:tcPr>
          <w:p w14:paraId="1A05C8DA" w14:textId="77777777" w:rsidR="009636B7" w:rsidRPr="000329FE" w:rsidRDefault="009636B7" w:rsidP="00CA1BC2">
            <w:pPr>
              <w:pStyle w:val="TableText"/>
              <w:jc w:val="center"/>
            </w:pPr>
            <w:r w:rsidRPr="000329FE">
              <w:t>34.5</w:t>
            </w:r>
          </w:p>
        </w:tc>
      </w:tr>
      <w:tr w:rsidR="009636B7" w:rsidRPr="000329FE" w14:paraId="77693740" w14:textId="77777777" w:rsidTr="00CA1BC2">
        <w:trPr>
          <w:cantSplit/>
        </w:trPr>
        <w:tc>
          <w:tcPr>
            <w:tcW w:w="1344" w:type="dxa"/>
            <w:tcBorders>
              <w:top w:val="single" w:sz="4" w:space="0" w:color="A6A6A6" w:themeColor="background1" w:themeShade="A6"/>
              <w:bottom w:val="single" w:sz="4" w:space="0" w:color="A6A6A6" w:themeColor="background1" w:themeShade="A6"/>
            </w:tcBorders>
          </w:tcPr>
          <w:p w14:paraId="2656D1A7" w14:textId="77777777" w:rsidR="009636B7" w:rsidRPr="000329FE" w:rsidRDefault="009636B7" w:rsidP="00967EEE">
            <w:pPr>
              <w:pStyle w:val="TableText"/>
            </w:pPr>
            <w:r w:rsidRPr="000329FE">
              <w:t>Central</w:t>
            </w:r>
          </w:p>
        </w:tc>
        <w:tc>
          <w:tcPr>
            <w:tcW w:w="924" w:type="dxa"/>
            <w:tcBorders>
              <w:top w:val="single" w:sz="4" w:space="0" w:color="A6A6A6" w:themeColor="background1" w:themeShade="A6"/>
              <w:bottom w:val="single" w:sz="4" w:space="0" w:color="A6A6A6" w:themeColor="background1" w:themeShade="A6"/>
            </w:tcBorders>
          </w:tcPr>
          <w:p w14:paraId="6BB5B587" w14:textId="77777777" w:rsidR="009636B7" w:rsidRPr="000329FE" w:rsidRDefault="009636B7" w:rsidP="00CA1BC2">
            <w:pPr>
              <w:pStyle w:val="TableText"/>
              <w:tabs>
                <w:tab w:val="decimal" w:pos="523"/>
              </w:tabs>
            </w:pPr>
            <w:r w:rsidRPr="000329FE">
              <w:t>64</w:t>
            </w:r>
          </w:p>
        </w:tc>
        <w:tc>
          <w:tcPr>
            <w:tcW w:w="1134" w:type="dxa"/>
            <w:tcBorders>
              <w:top w:val="single" w:sz="4" w:space="0" w:color="A6A6A6" w:themeColor="background1" w:themeShade="A6"/>
              <w:bottom w:val="single" w:sz="4" w:space="0" w:color="A6A6A6" w:themeColor="background1" w:themeShade="A6"/>
            </w:tcBorders>
          </w:tcPr>
          <w:p w14:paraId="3501EF49" w14:textId="77777777" w:rsidR="009636B7" w:rsidRPr="000329FE" w:rsidRDefault="009636B7" w:rsidP="00CA1BC2">
            <w:pPr>
              <w:pStyle w:val="TableText"/>
              <w:tabs>
                <w:tab w:val="decimal" w:pos="709"/>
              </w:tabs>
            </w:pPr>
            <w:r w:rsidRPr="000329FE">
              <w:t>2</w:t>
            </w:r>
            <w:r>
              <w:t>,</w:t>
            </w:r>
            <w:r w:rsidRPr="000329FE">
              <w:t>328</w:t>
            </w:r>
          </w:p>
        </w:tc>
        <w:tc>
          <w:tcPr>
            <w:tcW w:w="1310" w:type="dxa"/>
            <w:tcBorders>
              <w:top w:val="single" w:sz="4" w:space="0" w:color="A6A6A6" w:themeColor="background1" w:themeShade="A6"/>
              <w:bottom w:val="single" w:sz="4" w:space="0" w:color="A6A6A6" w:themeColor="background1" w:themeShade="A6"/>
            </w:tcBorders>
          </w:tcPr>
          <w:p w14:paraId="26458515" w14:textId="77777777" w:rsidR="009636B7" w:rsidRPr="000329FE" w:rsidRDefault="009636B7" w:rsidP="00CA1BC2">
            <w:pPr>
              <w:pStyle w:val="TableText"/>
              <w:jc w:val="center"/>
            </w:pPr>
            <w:r w:rsidRPr="000329FE">
              <w:t>36.4</w:t>
            </w:r>
          </w:p>
        </w:tc>
        <w:tc>
          <w:tcPr>
            <w:tcW w:w="817" w:type="dxa"/>
            <w:tcBorders>
              <w:top w:val="single" w:sz="4" w:space="0" w:color="A6A6A6" w:themeColor="background1" w:themeShade="A6"/>
              <w:bottom w:val="single" w:sz="4" w:space="0" w:color="A6A6A6" w:themeColor="background1" w:themeShade="A6"/>
            </w:tcBorders>
          </w:tcPr>
          <w:p w14:paraId="540F4DFF" w14:textId="77777777" w:rsidR="009636B7" w:rsidRPr="000329FE" w:rsidRDefault="009636B7" w:rsidP="00CA1BC2">
            <w:pPr>
              <w:pStyle w:val="TableText"/>
              <w:tabs>
                <w:tab w:val="decimal" w:pos="493"/>
              </w:tabs>
            </w:pPr>
            <w:r w:rsidRPr="000329FE">
              <w:t>64</w:t>
            </w:r>
          </w:p>
        </w:tc>
        <w:tc>
          <w:tcPr>
            <w:tcW w:w="1275" w:type="dxa"/>
            <w:tcBorders>
              <w:top w:val="single" w:sz="4" w:space="0" w:color="A6A6A6" w:themeColor="background1" w:themeShade="A6"/>
              <w:bottom w:val="single" w:sz="4" w:space="0" w:color="A6A6A6" w:themeColor="background1" w:themeShade="A6"/>
            </w:tcBorders>
          </w:tcPr>
          <w:p w14:paraId="6A300188" w14:textId="77777777" w:rsidR="009636B7" w:rsidRPr="000329FE" w:rsidRDefault="009636B7" w:rsidP="00CA1BC2">
            <w:pPr>
              <w:pStyle w:val="TableText"/>
              <w:jc w:val="center"/>
            </w:pPr>
            <w:r w:rsidRPr="000329FE">
              <w:t>3</w:t>
            </w:r>
            <w:r>
              <w:t>,</w:t>
            </w:r>
            <w:r w:rsidRPr="000329FE">
              <w:t>042</w:t>
            </w:r>
          </w:p>
        </w:tc>
        <w:tc>
          <w:tcPr>
            <w:tcW w:w="1276" w:type="dxa"/>
            <w:tcBorders>
              <w:top w:val="single" w:sz="4" w:space="0" w:color="A6A6A6" w:themeColor="background1" w:themeShade="A6"/>
              <w:bottom w:val="single" w:sz="4" w:space="0" w:color="A6A6A6" w:themeColor="background1" w:themeShade="A6"/>
            </w:tcBorders>
          </w:tcPr>
          <w:p w14:paraId="4EB7ACB3" w14:textId="77777777" w:rsidR="009636B7" w:rsidRPr="000329FE" w:rsidRDefault="009636B7" w:rsidP="00CA1BC2">
            <w:pPr>
              <w:pStyle w:val="TableText"/>
              <w:jc w:val="center"/>
            </w:pPr>
            <w:r w:rsidRPr="000329FE">
              <w:t>47.5</w:t>
            </w:r>
          </w:p>
        </w:tc>
      </w:tr>
      <w:tr w:rsidR="009636B7" w:rsidRPr="000329FE" w14:paraId="14ACA189" w14:textId="77777777" w:rsidTr="00CA1BC2">
        <w:trPr>
          <w:cantSplit/>
        </w:trPr>
        <w:tc>
          <w:tcPr>
            <w:tcW w:w="1344" w:type="dxa"/>
            <w:tcBorders>
              <w:top w:val="single" w:sz="4" w:space="0" w:color="A6A6A6" w:themeColor="background1" w:themeShade="A6"/>
              <w:bottom w:val="single" w:sz="4" w:space="0" w:color="A6A6A6" w:themeColor="background1" w:themeShade="A6"/>
            </w:tcBorders>
          </w:tcPr>
          <w:p w14:paraId="1A79857E" w14:textId="77777777" w:rsidR="009636B7" w:rsidRPr="000329FE" w:rsidRDefault="009636B7" w:rsidP="00967EEE">
            <w:pPr>
              <w:pStyle w:val="TableText"/>
            </w:pPr>
            <w:r w:rsidRPr="000329FE">
              <w:t>Canterbury</w:t>
            </w:r>
          </w:p>
        </w:tc>
        <w:tc>
          <w:tcPr>
            <w:tcW w:w="924" w:type="dxa"/>
            <w:tcBorders>
              <w:top w:val="single" w:sz="4" w:space="0" w:color="A6A6A6" w:themeColor="background1" w:themeShade="A6"/>
              <w:bottom w:val="single" w:sz="4" w:space="0" w:color="A6A6A6" w:themeColor="background1" w:themeShade="A6"/>
            </w:tcBorders>
          </w:tcPr>
          <w:p w14:paraId="4302F456" w14:textId="77777777" w:rsidR="009636B7" w:rsidRPr="000329FE" w:rsidRDefault="009636B7" w:rsidP="00CA1BC2">
            <w:pPr>
              <w:pStyle w:val="TableText"/>
              <w:tabs>
                <w:tab w:val="decimal" w:pos="523"/>
              </w:tabs>
            </w:pPr>
            <w:r w:rsidRPr="000329FE">
              <w:t>37</w:t>
            </w:r>
            <w:r w:rsidRPr="00967EEE">
              <w:rPr>
                <w:rStyle w:val="FootnoteReference"/>
              </w:rPr>
              <w:footnoteReference w:id="9"/>
            </w:r>
          </w:p>
        </w:tc>
        <w:tc>
          <w:tcPr>
            <w:tcW w:w="1134" w:type="dxa"/>
            <w:tcBorders>
              <w:top w:val="single" w:sz="4" w:space="0" w:color="A6A6A6" w:themeColor="background1" w:themeShade="A6"/>
              <w:bottom w:val="single" w:sz="4" w:space="0" w:color="A6A6A6" w:themeColor="background1" w:themeShade="A6"/>
            </w:tcBorders>
          </w:tcPr>
          <w:p w14:paraId="63645E9B" w14:textId="77777777" w:rsidR="009636B7" w:rsidRPr="001A28C6" w:rsidRDefault="009636B7" w:rsidP="00CA1BC2">
            <w:pPr>
              <w:pStyle w:val="TableText"/>
              <w:tabs>
                <w:tab w:val="decimal" w:pos="709"/>
              </w:tabs>
            </w:pPr>
            <w:r w:rsidRPr="001A28C6">
              <w:t>1</w:t>
            </w:r>
            <w:r>
              <w:t>,</w:t>
            </w:r>
            <w:r w:rsidRPr="001A28C6">
              <w:t>118</w:t>
            </w:r>
          </w:p>
        </w:tc>
        <w:tc>
          <w:tcPr>
            <w:tcW w:w="1310" w:type="dxa"/>
            <w:tcBorders>
              <w:top w:val="single" w:sz="4" w:space="0" w:color="A6A6A6" w:themeColor="background1" w:themeShade="A6"/>
              <w:bottom w:val="single" w:sz="4" w:space="0" w:color="A6A6A6" w:themeColor="background1" w:themeShade="A6"/>
            </w:tcBorders>
          </w:tcPr>
          <w:p w14:paraId="1C8E5892" w14:textId="77777777" w:rsidR="009636B7" w:rsidRPr="000329FE" w:rsidRDefault="009636B7" w:rsidP="00CA1BC2">
            <w:pPr>
              <w:pStyle w:val="TableText"/>
              <w:jc w:val="center"/>
            </w:pPr>
            <w:r w:rsidRPr="000329FE">
              <w:t>30.2</w:t>
            </w:r>
          </w:p>
        </w:tc>
        <w:tc>
          <w:tcPr>
            <w:tcW w:w="817" w:type="dxa"/>
            <w:tcBorders>
              <w:top w:val="single" w:sz="4" w:space="0" w:color="A6A6A6" w:themeColor="background1" w:themeShade="A6"/>
              <w:bottom w:val="single" w:sz="4" w:space="0" w:color="A6A6A6" w:themeColor="background1" w:themeShade="A6"/>
            </w:tcBorders>
          </w:tcPr>
          <w:p w14:paraId="1BE8A0F9" w14:textId="77777777" w:rsidR="009636B7" w:rsidRPr="000329FE" w:rsidRDefault="009636B7" w:rsidP="00CA1BC2">
            <w:pPr>
              <w:pStyle w:val="TableText"/>
              <w:tabs>
                <w:tab w:val="decimal" w:pos="493"/>
              </w:tabs>
            </w:pPr>
            <w:r w:rsidRPr="000329FE">
              <w:t>37</w:t>
            </w:r>
          </w:p>
        </w:tc>
        <w:tc>
          <w:tcPr>
            <w:tcW w:w="1275" w:type="dxa"/>
            <w:tcBorders>
              <w:top w:val="single" w:sz="4" w:space="0" w:color="A6A6A6" w:themeColor="background1" w:themeShade="A6"/>
              <w:bottom w:val="single" w:sz="4" w:space="0" w:color="A6A6A6" w:themeColor="background1" w:themeShade="A6"/>
            </w:tcBorders>
          </w:tcPr>
          <w:p w14:paraId="46743252" w14:textId="77777777" w:rsidR="009636B7" w:rsidRPr="000329FE" w:rsidRDefault="009636B7" w:rsidP="00CA1BC2">
            <w:pPr>
              <w:pStyle w:val="TableText"/>
              <w:jc w:val="center"/>
            </w:pPr>
            <w:r w:rsidRPr="000329FE">
              <w:t>1</w:t>
            </w:r>
            <w:r>
              <w:t>,</w:t>
            </w:r>
            <w:r w:rsidRPr="000329FE">
              <w:t>946</w:t>
            </w:r>
          </w:p>
        </w:tc>
        <w:tc>
          <w:tcPr>
            <w:tcW w:w="1276" w:type="dxa"/>
            <w:tcBorders>
              <w:top w:val="single" w:sz="4" w:space="0" w:color="A6A6A6" w:themeColor="background1" w:themeShade="A6"/>
              <w:bottom w:val="single" w:sz="4" w:space="0" w:color="A6A6A6" w:themeColor="background1" w:themeShade="A6"/>
            </w:tcBorders>
          </w:tcPr>
          <w:p w14:paraId="72BB40AA" w14:textId="77777777" w:rsidR="009636B7" w:rsidRPr="000329FE" w:rsidRDefault="009636B7" w:rsidP="00CA1BC2">
            <w:pPr>
              <w:pStyle w:val="TableText"/>
              <w:jc w:val="center"/>
            </w:pPr>
            <w:r w:rsidRPr="000329FE">
              <w:t>52.6</w:t>
            </w:r>
          </w:p>
        </w:tc>
      </w:tr>
      <w:tr w:rsidR="009636B7" w:rsidRPr="000329FE" w14:paraId="60DC52F7" w14:textId="77777777" w:rsidTr="00CA1BC2">
        <w:trPr>
          <w:cantSplit/>
        </w:trPr>
        <w:tc>
          <w:tcPr>
            <w:tcW w:w="1344" w:type="dxa"/>
            <w:tcBorders>
              <w:top w:val="single" w:sz="4" w:space="0" w:color="A6A6A6" w:themeColor="background1" w:themeShade="A6"/>
              <w:bottom w:val="single" w:sz="4" w:space="0" w:color="A6A6A6" w:themeColor="background1" w:themeShade="A6"/>
            </w:tcBorders>
          </w:tcPr>
          <w:p w14:paraId="3DBDCE46" w14:textId="77777777" w:rsidR="009636B7" w:rsidRPr="000329FE" w:rsidRDefault="009636B7" w:rsidP="00967EEE">
            <w:pPr>
              <w:pStyle w:val="TableText"/>
            </w:pPr>
            <w:r w:rsidRPr="000329FE">
              <w:t>Southern</w:t>
            </w:r>
          </w:p>
        </w:tc>
        <w:tc>
          <w:tcPr>
            <w:tcW w:w="924" w:type="dxa"/>
            <w:tcBorders>
              <w:top w:val="single" w:sz="4" w:space="0" w:color="A6A6A6" w:themeColor="background1" w:themeShade="A6"/>
              <w:bottom w:val="single" w:sz="4" w:space="0" w:color="A6A6A6" w:themeColor="background1" w:themeShade="A6"/>
            </w:tcBorders>
          </w:tcPr>
          <w:p w14:paraId="359F348A" w14:textId="77777777" w:rsidR="009636B7" w:rsidRPr="000329FE" w:rsidRDefault="009636B7" w:rsidP="00CA1BC2">
            <w:pPr>
              <w:pStyle w:val="TableText"/>
              <w:tabs>
                <w:tab w:val="decimal" w:pos="523"/>
              </w:tabs>
            </w:pPr>
            <w:r w:rsidRPr="000329FE">
              <w:t>13</w:t>
            </w:r>
          </w:p>
        </w:tc>
        <w:tc>
          <w:tcPr>
            <w:tcW w:w="1134" w:type="dxa"/>
            <w:tcBorders>
              <w:top w:val="single" w:sz="4" w:space="0" w:color="A6A6A6" w:themeColor="background1" w:themeShade="A6"/>
              <w:bottom w:val="single" w:sz="4" w:space="0" w:color="A6A6A6" w:themeColor="background1" w:themeShade="A6"/>
            </w:tcBorders>
          </w:tcPr>
          <w:p w14:paraId="37AF5532" w14:textId="77777777" w:rsidR="009636B7" w:rsidRPr="000329FE" w:rsidRDefault="009636B7" w:rsidP="00CA1BC2">
            <w:pPr>
              <w:pStyle w:val="TableText"/>
              <w:tabs>
                <w:tab w:val="decimal" w:pos="709"/>
              </w:tabs>
            </w:pPr>
            <w:r w:rsidRPr="000329FE">
              <w:t>547</w:t>
            </w:r>
          </w:p>
        </w:tc>
        <w:tc>
          <w:tcPr>
            <w:tcW w:w="1310" w:type="dxa"/>
            <w:tcBorders>
              <w:top w:val="single" w:sz="4" w:space="0" w:color="A6A6A6" w:themeColor="background1" w:themeShade="A6"/>
              <w:bottom w:val="single" w:sz="4" w:space="0" w:color="A6A6A6" w:themeColor="background1" w:themeShade="A6"/>
            </w:tcBorders>
          </w:tcPr>
          <w:p w14:paraId="5C642871" w14:textId="77777777" w:rsidR="009636B7" w:rsidRPr="000329FE" w:rsidRDefault="009636B7" w:rsidP="00CA1BC2">
            <w:pPr>
              <w:pStyle w:val="TableText"/>
              <w:jc w:val="center"/>
            </w:pPr>
            <w:r w:rsidRPr="000329FE">
              <w:t>42.1</w:t>
            </w:r>
          </w:p>
        </w:tc>
        <w:tc>
          <w:tcPr>
            <w:tcW w:w="817" w:type="dxa"/>
            <w:tcBorders>
              <w:top w:val="single" w:sz="4" w:space="0" w:color="A6A6A6" w:themeColor="background1" w:themeShade="A6"/>
              <w:bottom w:val="single" w:sz="4" w:space="0" w:color="A6A6A6" w:themeColor="background1" w:themeShade="A6"/>
            </w:tcBorders>
          </w:tcPr>
          <w:p w14:paraId="0970699F" w14:textId="77777777" w:rsidR="009636B7" w:rsidRPr="000329FE" w:rsidRDefault="009636B7" w:rsidP="00CA1BC2">
            <w:pPr>
              <w:pStyle w:val="TableText"/>
              <w:tabs>
                <w:tab w:val="decimal" w:pos="493"/>
              </w:tabs>
            </w:pPr>
            <w:r w:rsidRPr="000329FE">
              <w:t>13</w:t>
            </w:r>
          </w:p>
        </w:tc>
        <w:tc>
          <w:tcPr>
            <w:tcW w:w="1275" w:type="dxa"/>
            <w:tcBorders>
              <w:top w:val="single" w:sz="4" w:space="0" w:color="A6A6A6" w:themeColor="background1" w:themeShade="A6"/>
              <w:bottom w:val="single" w:sz="4" w:space="0" w:color="A6A6A6" w:themeColor="background1" w:themeShade="A6"/>
            </w:tcBorders>
          </w:tcPr>
          <w:p w14:paraId="3890A1D3" w14:textId="77777777" w:rsidR="009636B7" w:rsidRPr="000329FE" w:rsidRDefault="009636B7" w:rsidP="00CA1BC2">
            <w:pPr>
              <w:pStyle w:val="TableText"/>
              <w:jc w:val="center"/>
            </w:pPr>
            <w:r w:rsidRPr="000329FE">
              <w:t>691 (at least)</w:t>
            </w:r>
            <w:r w:rsidRPr="00CA1BC2">
              <w:rPr>
                <w:rStyle w:val="FootnoteReference"/>
              </w:rPr>
              <w:footnoteReference w:id="10"/>
            </w:r>
          </w:p>
        </w:tc>
        <w:tc>
          <w:tcPr>
            <w:tcW w:w="1276" w:type="dxa"/>
            <w:tcBorders>
              <w:top w:val="single" w:sz="4" w:space="0" w:color="A6A6A6" w:themeColor="background1" w:themeShade="A6"/>
              <w:bottom w:val="single" w:sz="4" w:space="0" w:color="A6A6A6" w:themeColor="background1" w:themeShade="A6"/>
            </w:tcBorders>
          </w:tcPr>
          <w:p w14:paraId="1F9CE3D0" w14:textId="77777777" w:rsidR="009636B7" w:rsidRPr="001A28C6" w:rsidRDefault="009636B7" w:rsidP="00CA1BC2">
            <w:pPr>
              <w:pStyle w:val="TableText"/>
              <w:jc w:val="center"/>
            </w:pPr>
            <w:r w:rsidRPr="001A28C6">
              <w:t>53.1</w:t>
            </w:r>
          </w:p>
        </w:tc>
      </w:tr>
    </w:tbl>
    <w:p w14:paraId="7F67B49A" w14:textId="77777777" w:rsidR="009636B7" w:rsidRPr="00075571" w:rsidRDefault="009636B7" w:rsidP="00CA1BC2"/>
    <w:p w14:paraId="48888735" w14:textId="77777777" w:rsidR="00CA1BC2" w:rsidRDefault="009636B7" w:rsidP="00CA1BC2">
      <w:r w:rsidRPr="00075571">
        <w:t>The average age of people receiving assessment and treatment within FMHS</w:t>
      </w:r>
      <w:r>
        <w:t>s</w:t>
      </w:r>
      <w:r w:rsidRPr="00075571">
        <w:t xml:space="preserve"> is 35.</w:t>
      </w:r>
      <w:r w:rsidR="00CA1BC2">
        <w:t xml:space="preserve"> </w:t>
      </w:r>
      <w:r w:rsidRPr="00075571">
        <w:t>Regarding ethnic make-up, as a whole</w:t>
      </w:r>
      <w:r>
        <w:t>,</w:t>
      </w:r>
      <w:r w:rsidRPr="00075571">
        <w:t xml:space="preserve"> Māori comprise roughly half of the prison population as well as the population of FMHS users (Mason Clinic 2011), though they comprise only 14.9</w:t>
      </w:r>
      <w:r>
        <w:t> percent</w:t>
      </w:r>
      <w:r w:rsidRPr="00075571">
        <w:t xml:space="preserve"> of the population (Stat</w:t>
      </w:r>
      <w:r>
        <w:t>istic</w:t>
      </w:r>
      <w:r w:rsidRPr="00075571">
        <w:t>s N</w:t>
      </w:r>
      <w:r>
        <w:t xml:space="preserve">ew </w:t>
      </w:r>
      <w:r w:rsidRPr="00075571">
        <w:t>Z</w:t>
      </w:r>
      <w:r>
        <w:t>ealand</w:t>
      </w:r>
      <w:r w:rsidRPr="00075571">
        <w:t xml:space="preserve"> 2013). Māori are thus substantially overrepresented in the forensic population and constitute a priority population for service development and intervention. Of the remaining portion of service users, </w:t>
      </w:r>
      <w:r>
        <w:t>Pacific peoples</w:t>
      </w:r>
      <w:r w:rsidRPr="00075571">
        <w:t xml:space="preserve"> are notably overrepresented. The figures in this respect vary, however</w:t>
      </w:r>
      <w:r>
        <w:t>;</w:t>
      </w:r>
      <w:r w:rsidRPr="00075571">
        <w:t xml:space="preserve"> the </w:t>
      </w:r>
      <w:r>
        <w:t>Ministry of Health</w:t>
      </w:r>
      <w:r w:rsidRPr="00075571">
        <w:t xml:space="preserve"> </w:t>
      </w:r>
      <w:r>
        <w:t xml:space="preserve">reported in </w:t>
      </w:r>
      <w:r w:rsidRPr="00075571">
        <w:t>2007</w:t>
      </w:r>
      <w:r>
        <w:t xml:space="preserve"> that Pacific peoples </w:t>
      </w:r>
      <w:r w:rsidRPr="00075571">
        <w:t>compris</w:t>
      </w:r>
      <w:r>
        <w:t>ed</w:t>
      </w:r>
      <w:r w:rsidRPr="00075571">
        <w:t xml:space="preserve"> 8–11</w:t>
      </w:r>
      <w:r>
        <w:t> percent of FMHS users (Ministry of Health 2007)</w:t>
      </w:r>
      <w:r w:rsidRPr="00075571">
        <w:t xml:space="preserve"> and the Mason Clinic </w:t>
      </w:r>
      <w:r>
        <w:t xml:space="preserve">reported this figure at </w:t>
      </w:r>
      <w:r w:rsidRPr="00075571">
        <w:t>15</w:t>
      </w:r>
      <w:r>
        <w:t> percent in 2011 (Mason Clinic 2011)</w:t>
      </w:r>
      <w:r w:rsidRPr="00075571">
        <w:t xml:space="preserve">. Regional documentation indicates the distribution of Māori and </w:t>
      </w:r>
      <w:r>
        <w:t>Pacific peoples</w:t>
      </w:r>
      <w:r w:rsidRPr="00075571">
        <w:t xml:space="preserve"> is most heavily concentrated in the North Island </w:t>
      </w:r>
      <w:r>
        <w:t xml:space="preserve">regional forensic psychiatry services </w:t>
      </w:r>
      <w:r w:rsidRPr="00075571">
        <w:t xml:space="preserve">(Auckland, Midland </w:t>
      </w:r>
      <w:r>
        <w:t xml:space="preserve">and </w:t>
      </w:r>
      <w:r w:rsidRPr="00075571">
        <w:t xml:space="preserve">Central), reflecting the general distribution of the Māori and </w:t>
      </w:r>
      <w:r>
        <w:t xml:space="preserve">Pacific </w:t>
      </w:r>
      <w:r w:rsidRPr="00075571">
        <w:t xml:space="preserve">populations within </w:t>
      </w:r>
      <w:r>
        <w:t>Aotearoa</w:t>
      </w:r>
    </w:p>
    <w:p w14:paraId="38B7E17C" w14:textId="77777777" w:rsidR="00EE0ADB" w:rsidRPr="00CA1BC2" w:rsidRDefault="009636B7" w:rsidP="00CA1BC2">
      <w:pPr>
        <w:keepNext/>
        <w:keepLines/>
      </w:pPr>
      <w:r>
        <w:lastRenderedPageBreak/>
        <w:t>New Zealand</w:t>
      </w:r>
      <w:r w:rsidRPr="00075571">
        <w:t xml:space="preserve">. </w:t>
      </w:r>
      <w:r w:rsidRPr="000329FE">
        <w:t xml:space="preserve">Especially noteworthy is the increase of FMHS clients who identify as Māori over time. </w:t>
      </w:r>
      <w:r w:rsidRPr="001A28C6">
        <w:t xml:space="preserve">According to recent </w:t>
      </w:r>
      <w:r>
        <w:t>Ministry of Health</w:t>
      </w:r>
      <w:r w:rsidRPr="001A28C6">
        <w:t xml:space="preserve"> data, w</w:t>
      </w:r>
      <w:r w:rsidRPr="000329FE">
        <w:t>hil</w:t>
      </w:r>
      <w:r>
        <w:t>e</w:t>
      </w:r>
      <w:r w:rsidRPr="000329FE">
        <w:t xml:space="preserve"> Māori accounted for 41</w:t>
      </w:r>
      <w:r>
        <w:t> percent</w:t>
      </w:r>
      <w:r w:rsidRPr="000329FE">
        <w:t xml:space="preserve"> of the FMHS client population in 2008, by 2019 this had increased to 49</w:t>
      </w:r>
      <w:r>
        <w:t> percent</w:t>
      </w:r>
      <w:r w:rsidRPr="000329FE">
        <w:t>. The Pasifika population has remained relatively unchanged</w:t>
      </w:r>
      <w:r>
        <w:t>,</w:t>
      </w:r>
      <w:r w:rsidRPr="000329FE">
        <w:t xml:space="preserve"> at 8</w:t>
      </w:r>
      <w:r>
        <w:t> percent</w:t>
      </w:r>
      <w:r w:rsidRPr="000329FE">
        <w:t xml:space="preserve"> </w:t>
      </w:r>
      <w:r>
        <w:t xml:space="preserve">in </w:t>
      </w:r>
      <w:r w:rsidRPr="000329FE">
        <w:t>2008 and 9</w:t>
      </w:r>
      <w:r>
        <w:t> percent</w:t>
      </w:r>
      <w:r w:rsidRPr="000329FE">
        <w:t xml:space="preserve"> 2019.</w:t>
      </w:r>
    </w:p>
    <w:p w14:paraId="015214BD" w14:textId="77777777" w:rsidR="009636B7" w:rsidRPr="00075571" w:rsidRDefault="009636B7" w:rsidP="00CA1BC2"/>
    <w:p w14:paraId="44F23D19" w14:textId="77777777" w:rsidR="009636B7" w:rsidRPr="00075571" w:rsidRDefault="009636B7" w:rsidP="00CA1BC2">
      <w:r w:rsidRPr="00075571">
        <w:t xml:space="preserve">In terms of gender distribution, in keeping with the wider prison population, the majority of </w:t>
      </w:r>
      <w:r>
        <w:t xml:space="preserve">FMHS </w:t>
      </w:r>
      <w:r w:rsidRPr="00075571">
        <w:t xml:space="preserve">users are men. Indeed, </w:t>
      </w:r>
      <w:r>
        <w:t>Ministry of Health</w:t>
      </w:r>
      <w:r w:rsidRPr="00075571">
        <w:t xml:space="preserve"> data show</w:t>
      </w:r>
      <w:r>
        <w:t xml:space="preserve">s that male </w:t>
      </w:r>
      <w:r w:rsidRPr="00075571">
        <w:t xml:space="preserve">clients significantly outnumber </w:t>
      </w:r>
      <w:r>
        <w:t xml:space="preserve">female clients </w:t>
      </w:r>
      <w:r w:rsidRPr="00075571">
        <w:t>(73.9</w:t>
      </w:r>
      <w:r>
        <w:t> percent</w:t>
      </w:r>
      <w:r w:rsidRPr="00075571">
        <w:t xml:space="preserve"> compared with 16.1</w:t>
      </w:r>
      <w:r>
        <w:t> percent</w:t>
      </w:r>
      <w:r w:rsidRPr="00075571">
        <w:t xml:space="preserve"> in 2019). Female Ara Poutama clients and female FMHS clients are an especially vulnerable population</w:t>
      </w:r>
      <w:r>
        <w:t>; they</w:t>
      </w:r>
      <w:r w:rsidRPr="00075571">
        <w:t xml:space="preserve"> experienc</w:t>
      </w:r>
      <w:r>
        <w:t>e</w:t>
      </w:r>
      <w:r w:rsidRPr="00075571">
        <w:t xml:space="preserve"> higher levels of all types of mental illness, including co-morbidity of severe mental illnesses such as </w:t>
      </w:r>
      <w:r>
        <w:t>p</w:t>
      </w:r>
      <w:r w:rsidRPr="00202460">
        <w:t>ost</w:t>
      </w:r>
      <w:r>
        <w:t>-</w:t>
      </w:r>
      <w:r w:rsidRPr="00202460">
        <w:t>traumatic stress disorde</w:t>
      </w:r>
      <w:r>
        <w:t>r</w:t>
      </w:r>
      <w:r w:rsidRPr="00202460">
        <w:t xml:space="preserve"> </w:t>
      </w:r>
      <w:r>
        <w:t>(</w:t>
      </w:r>
      <w:r w:rsidRPr="00075571">
        <w:t>PTSD</w:t>
      </w:r>
      <w:r>
        <w:t>)</w:t>
      </w:r>
      <w:r w:rsidRPr="00075571">
        <w:t xml:space="preserve">, psychotic disorders and major mood disorders (Collier </w:t>
      </w:r>
      <w:r>
        <w:t>and</w:t>
      </w:r>
      <w:r w:rsidRPr="00075571">
        <w:t xml:space="preserve"> Fr</w:t>
      </w:r>
      <w:r>
        <w:t>i</w:t>
      </w:r>
      <w:r w:rsidRPr="00075571">
        <w:t>edman 2016). As women are more likely to experience a mental health issue (75</w:t>
      </w:r>
      <w:r>
        <w:t> percent,</w:t>
      </w:r>
      <w:r w:rsidRPr="00075571">
        <w:t xml:space="preserve"> compared to 61</w:t>
      </w:r>
      <w:r>
        <w:t> percent:</w:t>
      </w:r>
      <w:r w:rsidRPr="00075571">
        <w:t xml:space="preserve"> Indig</w:t>
      </w:r>
      <w:r>
        <w:t xml:space="preserve"> </w:t>
      </w:r>
      <w:r w:rsidR="00AD0D58">
        <w:t>et al</w:t>
      </w:r>
      <w:r w:rsidRPr="00075571">
        <w:t xml:space="preserve"> 2016), a greater portion of the female justice-involved population requires FMHS</w:t>
      </w:r>
      <w:r>
        <w:t>s</w:t>
      </w:r>
      <w:r w:rsidRPr="00075571">
        <w:t xml:space="preserve"> than their male counterparts (McIntosh 2011; Indig </w:t>
      </w:r>
      <w:r w:rsidR="00AD0D58">
        <w:t>et al</w:t>
      </w:r>
      <w:r w:rsidRPr="00075571">
        <w:t xml:space="preserve"> 2016). Women experience significant mental health burdens</w:t>
      </w:r>
      <w:r>
        <w:t>,</w:t>
      </w:r>
      <w:r w:rsidRPr="00075571">
        <w:t xml:space="preserve"> especially as </w:t>
      </w:r>
      <w:r>
        <w:t xml:space="preserve">they </w:t>
      </w:r>
      <w:r w:rsidRPr="00075571">
        <w:t>relate to trauma; for example, a recent study found 40</w:t>
      </w:r>
      <w:r>
        <w:t> percent</w:t>
      </w:r>
      <w:r w:rsidRPr="00075571">
        <w:t xml:space="preserve"> of female prisoners had met the criteria for PTSD in the prior 12 months (Indig </w:t>
      </w:r>
      <w:r w:rsidR="00AD0D58">
        <w:t>et al</w:t>
      </w:r>
      <w:r w:rsidRPr="00075571">
        <w:t xml:space="preserve"> 2016). It is also important to highlight here that the population of Māori female </w:t>
      </w:r>
      <w:r>
        <w:t xml:space="preserve">FMHS </w:t>
      </w:r>
      <w:r w:rsidRPr="00075571">
        <w:t xml:space="preserve">users </w:t>
      </w:r>
      <w:r>
        <w:t>is overrepresented to a much greater degree</w:t>
      </w:r>
      <w:r w:rsidRPr="00075571" w:rsidDel="00977D2B">
        <w:t xml:space="preserve"> </w:t>
      </w:r>
      <w:r w:rsidRPr="00075571">
        <w:t>than the broader populations of Māori (both men and women) or women (all ethnicities) alone. For example, according to 2014 figures, Māori women comprised roughly 60–65</w:t>
      </w:r>
      <w:r>
        <w:t> percent</w:t>
      </w:r>
      <w:r w:rsidRPr="00075571">
        <w:t xml:space="preserve"> of the adult female </w:t>
      </w:r>
      <w:r>
        <w:t xml:space="preserve">prisoner </w:t>
      </w:r>
      <w:r w:rsidRPr="00075571">
        <w:t>population and up to 90</w:t>
      </w:r>
      <w:r>
        <w:t> percent</w:t>
      </w:r>
      <w:r w:rsidRPr="00075571">
        <w:t xml:space="preserve"> of the </w:t>
      </w:r>
      <w:r>
        <w:t xml:space="preserve">equivalent </w:t>
      </w:r>
      <w:r w:rsidRPr="00075571">
        <w:t>youth age group (16–22 years), where the Māori male population comprised approximately 50</w:t>
      </w:r>
      <w:r>
        <w:t xml:space="preserve"> percent of those groups respectively </w:t>
      </w:r>
      <w:r w:rsidRPr="00075571">
        <w:t>(Sweetman 2017). For these reasons, women comprise a second priority population within FMHS</w:t>
      </w:r>
      <w:r>
        <w:t>s</w:t>
      </w:r>
      <w:r w:rsidRPr="00075571">
        <w:t xml:space="preserve"> for service development and intervention.</w:t>
      </w:r>
    </w:p>
    <w:p w14:paraId="1C1EC8E5" w14:textId="77777777" w:rsidR="009636B7" w:rsidRPr="00075571" w:rsidRDefault="009636B7" w:rsidP="00CA1BC2"/>
    <w:p w14:paraId="640DABD7" w14:textId="77777777" w:rsidR="009636B7" w:rsidRPr="00075571" w:rsidRDefault="009636B7" w:rsidP="00CA1BC2">
      <w:r w:rsidRPr="00075571">
        <w:t xml:space="preserve">Regarding the clinical </w:t>
      </w:r>
      <w:r w:rsidRPr="009E213B">
        <w:t>characteristics</w:t>
      </w:r>
      <w:r w:rsidRPr="00075571">
        <w:t xml:space="preserve"> of FMHS inpatient service users, the 2005 census only recorded primary diagnoses. Schizophrenia was the most common diagnosis among inpatients (71</w:t>
      </w:r>
      <w:r>
        <w:t> percent</w:t>
      </w:r>
      <w:r w:rsidRPr="00075571">
        <w:t xml:space="preserve">) and community </w:t>
      </w:r>
      <w:r>
        <w:t xml:space="preserve">FMHS </w:t>
      </w:r>
      <w:r w:rsidRPr="00075571">
        <w:t>users (73</w:t>
      </w:r>
      <w:r>
        <w:t> percent</w:t>
      </w:r>
      <w:r w:rsidRPr="00075571">
        <w:t xml:space="preserve">; </w:t>
      </w:r>
      <w:r>
        <w:t>Ministry of Health</w:t>
      </w:r>
      <w:r w:rsidRPr="00075571">
        <w:t xml:space="preserve"> 2007</w:t>
      </w:r>
      <w:r w:rsidR="005054ED">
        <w:t>, p. </w:t>
      </w:r>
      <w:r w:rsidRPr="00075571">
        <w:t>16). Some indication of the extent of mental health comorbidity can be gleaned from prevalence studies of prisoners (a pivotal catchment population for FMHS</w:t>
      </w:r>
      <w:r>
        <w:t>s</w:t>
      </w:r>
      <w:r w:rsidRPr="00075571">
        <w:t xml:space="preserve">). In a </w:t>
      </w:r>
      <w:r>
        <w:t xml:space="preserve">2016 </w:t>
      </w:r>
      <w:r w:rsidRPr="00075571">
        <w:t>prevalence study of prisoners in</w:t>
      </w:r>
      <w:r>
        <w:t xml:space="preserve"> Aotearoa</w:t>
      </w:r>
      <w:r w:rsidRPr="00075571">
        <w:t xml:space="preserve"> New Zealand, 87</w:t>
      </w:r>
      <w:r>
        <w:t> percent</w:t>
      </w:r>
      <w:r w:rsidRPr="00075571">
        <w:t xml:space="preserve"> of prisoners had a lifetime prevalence of any substance use disorder</w:t>
      </w:r>
      <w:r>
        <w:t>,</w:t>
      </w:r>
      <w:r w:rsidRPr="00075571">
        <w:t xml:space="preserve"> and 47</w:t>
      </w:r>
      <w:r>
        <w:t> percent</w:t>
      </w:r>
      <w:r w:rsidRPr="00075571">
        <w:t xml:space="preserve"> over the prior 12 months (Indig </w:t>
      </w:r>
      <w:r w:rsidR="00AD0D58">
        <w:t>et al</w:t>
      </w:r>
      <w:r w:rsidRPr="00075571">
        <w:t xml:space="preserve"> 2016</w:t>
      </w:r>
      <w:r w:rsidR="005054ED">
        <w:t>, p. </w:t>
      </w:r>
      <w:r w:rsidRPr="00075571">
        <w:t>23), while 33</w:t>
      </w:r>
      <w:r>
        <w:t> percent</w:t>
      </w:r>
      <w:r w:rsidRPr="00075571">
        <w:t xml:space="preserve"> of the same population had a personality disorder (Indig </w:t>
      </w:r>
      <w:r w:rsidR="00AD0D58">
        <w:t>et al</w:t>
      </w:r>
      <w:r w:rsidRPr="00075571">
        <w:t xml:space="preserve"> 2016</w:t>
      </w:r>
      <w:r w:rsidR="005054ED">
        <w:t>, p. </w:t>
      </w:r>
      <w:r w:rsidRPr="00075571">
        <w:t>51). Approximately one in eight (13</w:t>
      </w:r>
      <w:r>
        <w:t> percent</w:t>
      </w:r>
      <w:r w:rsidRPr="00075571">
        <w:t>) reported at least one symptom of psychosis over their lifetime</w:t>
      </w:r>
      <w:r>
        <w:t xml:space="preserve">; there was </w:t>
      </w:r>
      <w:r w:rsidRPr="00075571">
        <w:t xml:space="preserve">little difference by gender in prevalence (Indig </w:t>
      </w:r>
      <w:r w:rsidR="00AD0D58">
        <w:t>et al</w:t>
      </w:r>
      <w:r w:rsidRPr="00075571">
        <w:t xml:space="preserve"> 2016). It is important to note that some FMHS users may have high and complex needs, including AOD comorbidity and/or personality disorder diagnoses, which may present additional challenges.</w:t>
      </w:r>
    </w:p>
    <w:p w14:paraId="7B864F36" w14:textId="77777777" w:rsidR="009636B7" w:rsidRPr="00075571" w:rsidRDefault="009636B7" w:rsidP="00CA1BC2"/>
    <w:p w14:paraId="6A99D156" w14:textId="77777777" w:rsidR="00F73238" w:rsidRDefault="009636B7" w:rsidP="00CA1BC2">
      <w:r w:rsidRPr="00075571">
        <w:t xml:space="preserve">The complexity of the mental health needs of this population is further complicated by rates of </w:t>
      </w:r>
      <w:r w:rsidR="00EE0ADB">
        <w:t>‘</w:t>
      </w:r>
      <w:r w:rsidRPr="00075571">
        <w:t>brain and behaviour issues</w:t>
      </w:r>
      <w:r w:rsidR="00EE0ADB">
        <w:t>’</w:t>
      </w:r>
      <w:r w:rsidRPr="00075571">
        <w:t xml:space="preserve">. Although the particulars in </w:t>
      </w:r>
      <w:r>
        <w:t xml:space="preserve">the </w:t>
      </w:r>
      <w:r w:rsidRPr="00075571">
        <w:t xml:space="preserve">FMHS </w:t>
      </w:r>
      <w:r>
        <w:t xml:space="preserve">context </w:t>
      </w:r>
      <w:r w:rsidRPr="00075571">
        <w:t>are poorly articulated, it is conservatively estimated that 10</w:t>
      </w:r>
      <w:r>
        <w:t> percent</w:t>
      </w:r>
      <w:r w:rsidRPr="00075571">
        <w:t xml:space="preserve"> of the New </w:t>
      </w:r>
      <w:r w:rsidRPr="009E213B">
        <w:t>Zealand prison</w:t>
      </w:r>
      <w:r w:rsidRPr="00075571">
        <w:t xml:space="preserve"> population (the catchment population for </w:t>
      </w:r>
      <w:r>
        <w:t xml:space="preserve">FMHSs) </w:t>
      </w:r>
      <w:r w:rsidRPr="00075571">
        <w:t>has moderate to severe traumatic brain injury.</w:t>
      </w:r>
      <w:r>
        <w:t xml:space="preserve"> </w:t>
      </w:r>
      <w:r w:rsidRPr="00075571">
        <w:t xml:space="preserve">Furthermore, there is an overrepresentation </w:t>
      </w:r>
      <w:r>
        <w:t xml:space="preserve">among the prison population </w:t>
      </w:r>
      <w:r w:rsidRPr="00075571">
        <w:t xml:space="preserve">of </w:t>
      </w:r>
      <w:r>
        <w:t xml:space="preserve">people with </w:t>
      </w:r>
      <w:r w:rsidRPr="00075571">
        <w:t>foetal alcohol spectrum disorder, cognitive impairment/</w:t>
      </w:r>
      <w:r w:rsidR="00CA1BC2">
        <w:t xml:space="preserve"> </w:t>
      </w:r>
      <w:r w:rsidRPr="00075571">
        <w:t>intellectual disability, communication disorders, attention-deficit/hyperactivity disorder, learning difficulties, dyslexia and autism spectrum disorder (Lambie 2020).</w:t>
      </w:r>
    </w:p>
    <w:p w14:paraId="2A00C0DC" w14:textId="77777777" w:rsidR="009636B7" w:rsidRPr="00075571" w:rsidRDefault="009636B7" w:rsidP="00CA1BC2">
      <w:pPr>
        <w:spacing w:before="240"/>
      </w:pPr>
      <w:r w:rsidRPr="00075571">
        <w:lastRenderedPageBreak/>
        <w:t>With reference to the index offence in the 2005 census, violent offences were the most common category for 59</w:t>
      </w:r>
      <w:r>
        <w:t> percent</w:t>
      </w:r>
      <w:r w:rsidRPr="00075571">
        <w:t xml:space="preserve"> of inpatient service users, followed by sexual offences</w:t>
      </w:r>
      <w:r>
        <w:t>,</w:t>
      </w:r>
      <w:r w:rsidRPr="00075571">
        <w:t xml:space="preserve"> for 9</w:t>
      </w:r>
      <w:r>
        <w:t> percent</w:t>
      </w:r>
      <w:r w:rsidRPr="00075571">
        <w:t xml:space="preserve"> (</w:t>
      </w:r>
      <w:r>
        <w:t>Ministry of Health</w:t>
      </w:r>
      <w:r w:rsidRPr="00075571">
        <w:t xml:space="preserve"> 2007</w:t>
      </w:r>
      <w:r w:rsidR="005054ED">
        <w:t>, p. </w:t>
      </w:r>
      <w:r w:rsidRPr="00075571">
        <w:t xml:space="preserve">12). </w:t>
      </w:r>
      <w:r>
        <w:t>More recent statistics indicate the l</w:t>
      </w:r>
      <w:r w:rsidRPr="00075571">
        <w:t xml:space="preserve">egal status of inpatient </w:t>
      </w:r>
      <w:r>
        <w:t xml:space="preserve">FMHS </w:t>
      </w:r>
      <w:r w:rsidRPr="00075571">
        <w:t xml:space="preserve">users. During 2017, there were 378 people with special patient status in FMHS inpatient services, </w:t>
      </w:r>
      <w:r>
        <w:t xml:space="preserve">making up </w:t>
      </w:r>
      <w:r w:rsidRPr="00075571">
        <w:t>the overwhelming majority of service users. Of these</w:t>
      </w:r>
      <w:r>
        <w:t>,</w:t>
      </w:r>
      <w:r w:rsidRPr="00075571">
        <w:t xml:space="preserve"> 139 were detained for lengthy periods having been found not guilty by reason of insanity, unfit to stand trial under the Criminal Procedure (Mentally Impaired Persons) Act </w:t>
      </w:r>
      <w:r w:rsidRPr="009E213B">
        <w:t>2003 or</w:t>
      </w:r>
      <w:r w:rsidRPr="00075571">
        <w:t xml:space="preserve"> detained as restricted patients under the Mental Health (Compulsory Assessment and Treatment) Act 1992. A further 254 special patients were transferred to FMHS</w:t>
      </w:r>
      <w:r>
        <w:t>s</w:t>
      </w:r>
      <w:r w:rsidRPr="00075571">
        <w:t xml:space="preserve"> from prison for compulsory mental health assessment and treatment (</w:t>
      </w:r>
      <w:r>
        <w:t>Ministry of Health</w:t>
      </w:r>
      <w:r w:rsidRPr="00075571">
        <w:t xml:space="preserve"> 2019a</w:t>
      </w:r>
      <w:r w:rsidR="005054ED">
        <w:t>, p. </w:t>
      </w:r>
      <w:r w:rsidRPr="00075571">
        <w:t>58).</w:t>
      </w:r>
    </w:p>
    <w:p w14:paraId="79F391FC" w14:textId="77777777" w:rsidR="009636B7" w:rsidRPr="00075571" w:rsidRDefault="009636B7" w:rsidP="00CA1BC2"/>
    <w:p w14:paraId="10345721" w14:textId="77777777" w:rsidR="009636B7" w:rsidRPr="000329FE" w:rsidRDefault="009636B7" w:rsidP="00CA1BC2">
      <w:r w:rsidRPr="000329FE">
        <w:t xml:space="preserve">With the </w:t>
      </w:r>
      <w:r w:rsidRPr="001A28C6">
        <w:t xml:space="preserve">current pressure on </w:t>
      </w:r>
      <w:r w:rsidRPr="009E213B">
        <w:t>demand with limited increase in resources and capacity, F</w:t>
      </w:r>
      <w:r w:rsidRPr="000329FE">
        <w:t>MHS</w:t>
      </w:r>
      <w:r>
        <w:t>s</w:t>
      </w:r>
      <w:r w:rsidRPr="000329FE">
        <w:t xml:space="preserve"> have </w:t>
      </w:r>
      <w:r>
        <w:t xml:space="preserve">prioritised </w:t>
      </w:r>
      <w:r w:rsidRPr="000329FE">
        <w:t xml:space="preserve">and continue to prioritise the treatment of those with psychotic disorders. Data collected from </w:t>
      </w:r>
      <w:r>
        <w:t xml:space="preserve">the </w:t>
      </w:r>
      <w:r w:rsidRPr="00861F7B">
        <w:t xml:space="preserve">Health of the Nation Outcome Scale </w:t>
      </w:r>
      <w:r>
        <w:t>(</w:t>
      </w:r>
      <w:r w:rsidRPr="000329FE">
        <w:t>HONOS</w:t>
      </w:r>
      <w:r>
        <w:t>)</w:t>
      </w:r>
      <w:r w:rsidRPr="00CA1BC2">
        <w:rPr>
          <w:rStyle w:val="FootnoteReference"/>
        </w:rPr>
        <w:footnoteReference w:id="11"/>
      </w:r>
      <w:r w:rsidRPr="000329FE">
        <w:t xml:space="preserve"> over a 12</w:t>
      </w:r>
      <w:r w:rsidRPr="001A28C6">
        <w:t>-month period</w:t>
      </w:r>
      <w:r w:rsidRPr="009E213B">
        <w:t xml:space="preserve"> (2017–2018) indicate </w:t>
      </w:r>
      <w:r>
        <w:t xml:space="preserve">that </w:t>
      </w:r>
      <w:r w:rsidRPr="009E213B">
        <w:t>80</w:t>
      </w:r>
      <w:r>
        <w:t>–</w:t>
      </w:r>
      <w:r w:rsidRPr="009E213B">
        <w:t>90</w:t>
      </w:r>
      <w:r>
        <w:t> percent</w:t>
      </w:r>
      <w:r w:rsidRPr="009E213B">
        <w:t xml:space="preserve"> of peo</w:t>
      </w:r>
      <w:r w:rsidRPr="000329FE">
        <w:t>ple treated in prison and forensic inpatient units have a primary diagnosis of a psychotic disorder,</w:t>
      </w:r>
      <w:r w:rsidRPr="00CA1BC2">
        <w:rPr>
          <w:rStyle w:val="FootnoteReference"/>
        </w:rPr>
        <w:footnoteReference w:id="12"/>
      </w:r>
      <w:r w:rsidRPr="000329FE">
        <w:t xml:space="preserve"> a fact supported by anecdotal evidence </w:t>
      </w:r>
      <w:r w:rsidRPr="001A28C6">
        <w:t>provided by FMHS</w:t>
      </w:r>
      <w:r>
        <w:t>s</w:t>
      </w:r>
      <w:r w:rsidRPr="001A28C6">
        <w:t xml:space="preserve"> across Aotearoa </w:t>
      </w:r>
      <w:r>
        <w:t>New Zealand</w:t>
      </w:r>
      <w:r w:rsidRPr="000329FE">
        <w:t>. In addition, prison in-reach programmes prioritise medication-based treatment</w:t>
      </w:r>
      <w:r>
        <w:t>,</w:t>
      </w:r>
      <w:r w:rsidRPr="000329FE">
        <w:t xml:space="preserve"> and only small numbers of people with other presentations or broader treatment needs (such as psychological therapies) are currently able to access these services.</w:t>
      </w:r>
    </w:p>
    <w:p w14:paraId="42FF33BA" w14:textId="77777777" w:rsidR="009636B7" w:rsidRPr="000329FE" w:rsidRDefault="009636B7" w:rsidP="00CA1BC2"/>
    <w:p w14:paraId="53703CE3" w14:textId="77777777" w:rsidR="00EE0ADB" w:rsidRDefault="009636B7" w:rsidP="00CA1BC2">
      <w:r w:rsidRPr="000329FE">
        <w:t>The above data demonstrate</w:t>
      </w:r>
      <w:r>
        <w:t>s</w:t>
      </w:r>
      <w:r w:rsidRPr="000329FE">
        <w:t xml:space="preserve"> the exemplary work that FMHS</w:t>
      </w:r>
      <w:r>
        <w:t>s</w:t>
      </w:r>
      <w:r w:rsidRPr="000329FE">
        <w:t xml:space="preserve"> are doing in the attempt to meet the needs of people referred to FMHS</w:t>
      </w:r>
      <w:r>
        <w:t>s</w:t>
      </w:r>
      <w:r w:rsidRPr="000329FE">
        <w:t>. The data also clearly reflect</w:t>
      </w:r>
      <w:r>
        <w:t>s</w:t>
      </w:r>
      <w:r w:rsidRPr="000329FE">
        <w:t xml:space="preserve">, however, the growing demand, unmet needs and increased inequities faced by </w:t>
      </w:r>
      <w:r>
        <w:t xml:space="preserve">the </w:t>
      </w:r>
      <w:r w:rsidRPr="000329FE">
        <w:t>group</w:t>
      </w:r>
      <w:r>
        <w:t xml:space="preserve"> of FMHS users</w:t>
      </w:r>
      <w:r w:rsidRPr="000329FE">
        <w:t>.</w:t>
      </w:r>
    </w:p>
    <w:p w14:paraId="13DCB3E6" w14:textId="77777777" w:rsidR="009636B7" w:rsidRPr="000329FE" w:rsidRDefault="009636B7" w:rsidP="00CA1BC2"/>
    <w:p w14:paraId="14EE3375" w14:textId="77777777" w:rsidR="00EE0ADB" w:rsidRDefault="009636B7" w:rsidP="00CA1BC2">
      <w:r w:rsidRPr="000329FE">
        <w:t xml:space="preserve">The ensuing chapters describe international and national models of care for forensic services, making a series of recommendations for best practice. </w:t>
      </w:r>
      <w:r>
        <w:t>E</w:t>
      </w:r>
      <w:r w:rsidRPr="000329FE">
        <w:t>ach recommendation</w:t>
      </w:r>
      <w:r>
        <w:t xml:space="preserve"> strives to keep</w:t>
      </w:r>
      <w:r w:rsidRPr="000329FE">
        <w:t xml:space="preserve"> the needs of the services users and their whānau and their journey toward wellness front of mind.</w:t>
      </w:r>
    </w:p>
    <w:p w14:paraId="1138CC20" w14:textId="77777777" w:rsidR="00CA1BC2" w:rsidRDefault="00CA1BC2" w:rsidP="00CA1BC2"/>
    <w:p w14:paraId="4AFB9914" w14:textId="77777777" w:rsidR="009636B7" w:rsidRPr="00075571" w:rsidRDefault="009636B7" w:rsidP="00CA1BC2">
      <w:pPr>
        <w:pStyle w:val="Heading3"/>
      </w:pPr>
      <w:r w:rsidRPr="00075571">
        <w:t xml:space="preserve">Achieving </w:t>
      </w:r>
      <w:r>
        <w:t>e</w:t>
      </w:r>
      <w:r w:rsidRPr="00075571">
        <w:t>quity</w:t>
      </w:r>
    </w:p>
    <w:p w14:paraId="312C699C" w14:textId="77777777" w:rsidR="00EE0ADB" w:rsidRDefault="009636B7" w:rsidP="00CA1BC2">
      <w:r w:rsidRPr="00075571">
        <w:t xml:space="preserve">Fair and just societies aspire to equality of status, rights and opportunities </w:t>
      </w:r>
      <w:r>
        <w:t xml:space="preserve">for all people </w:t>
      </w:r>
      <w:r w:rsidRPr="00075571">
        <w:t xml:space="preserve">regardless of </w:t>
      </w:r>
      <w:r>
        <w:t xml:space="preserve">their </w:t>
      </w:r>
      <w:r w:rsidRPr="00075571">
        <w:t xml:space="preserve">gender, age, ethnicity or sexual orientation. </w:t>
      </w:r>
      <w:r>
        <w:t>H</w:t>
      </w:r>
      <w:r w:rsidRPr="00075571">
        <w:t>istoric access to power has privileged certain social groups to the devastating detriment of others. This privilege is perpetuated in contemporary society and is starkly reflected in health status (</w:t>
      </w:r>
      <w:r>
        <w:t>Ministry of Health</w:t>
      </w:r>
      <w:r w:rsidRPr="00075571">
        <w:t xml:space="preserve"> 2018a).</w:t>
      </w:r>
    </w:p>
    <w:p w14:paraId="0FDC5B3E" w14:textId="77777777" w:rsidR="009636B7" w:rsidRPr="00075571" w:rsidRDefault="009636B7" w:rsidP="00CA1BC2"/>
    <w:p w14:paraId="13A51DA3" w14:textId="77777777" w:rsidR="009636B7" w:rsidRPr="00075571" w:rsidRDefault="009636B7" w:rsidP="00CA1BC2">
      <w:pPr>
        <w:keepNext/>
        <w:keepLines/>
      </w:pPr>
      <w:r>
        <w:lastRenderedPageBreak/>
        <w:t>An aim to achieve e</w:t>
      </w:r>
      <w:r w:rsidRPr="00075571">
        <w:t xml:space="preserve">quity </w:t>
      </w:r>
      <w:r>
        <w:t>strives</w:t>
      </w:r>
      <w:r w:rsidRPr="00075571">
        <w:t xml:space="preserve"> to correct such imbalances ethically. It recognises that in Aotearoa</w:t>
      </w:r>
      <w:r>
        <w:t xml:space="preserve"> New Zealand</w:t>
      </w:r>
      <w:r w:rsidRPr="00075571">
        <w:t xml:space="preserve">, </w:t>
      </w:r>
      <w:r w:rsidR="00EE0ADB">
        <w:t>‘</w:t>
      </w:r>
      <w:r w:rsidRPr="00075571">
        <w:t>people have differences in health that are not only avoidable but unfair and unjust. Equity recognises different people with different levels of advantage may require different approaches and resources to get [equal] outcomes</w:t>
      </w:r>
      <w:r w:rsidR="00EE0ADB">
        <w:t>’</w:t>
      </w:r>
      <w:r w:rsidRPr="00075571">
        <w:t xml:space="preserve"> (</w:t>
      </w:r>
      <w:r>
        <w:t>Ministry of Health</w:t>
      </w:r>
      <w:r w:rsidRPr="00075571">
        <w:t xml:space="preserve"> 2018a</w:t>
      </w:r>
      <w:r w:rsidR="005054ED">
        <w:t>, p. </w:t>
      </w:r>
      <w:r w:rsidRPr="00075571">
        <w:t>5).</w:t>
      </w:r>
    </w:p>
    <w:p w14:paraId="406EADF6" w14:textId="77777777" w:rsidR="009636B7" w:rsidRPr="00075571" w:rsidRDefault="009636B7" w:rsidP="00CA1BC2"/>
    <w:p w14:paraId="71149599" w14:textId="77777777" w:rsidR="00EE0ADB" w:rsidRDefault="009636B7" w:rsidP="00CA1BC2">
      <w:r w:rsidRPr="00075571">
        <w:t xml:space="preserve">Inequality </w:t>
      </w:r>
      <w:r>
        <w:t>manifests</w:t>
      </w:r>
      <w:r w:rsidRPr="00075571">
        <w:t xml:space="preserve"> in FMHS</w:t>
      </w:r>
      <w:r>
        <w:t>s</w:t>
      </w:r>
      <w:r w:rsidRPr="00075571">
        <w:t xml:space="preserve"> both regionally and nationally in the gross overrepresentation of Māori and </w:t>
      </w:r>
      <w:r>
        <w:t xml:space="preserve">Pacific </w:t>
      </w:r>
      <w:r w:rsidRPr="00075571">
        <w:t xml:space="preserve">peoples, and in the needs of a burgeoning number of female </w:t>
      </w:r>
      <w:r w:rsidRPr="009E213B">
        <w:t>service</w:t>
      </w:r>
      <w:r w:rsidRPr="00075571">
        <w:t xml:space="preserve"> users. Therefore, achieving equity is a recurring theme in the projected models of care for </w:t>
      </w:r>
      <w:r>
        <w:t>these</w:t>
      </w:r>
      <w:r w:rsidRPr="00075571">
        <w:t xml:space="preserve"> services.</w:t>
      </w:r>
    </w:p>
    <w:p w14:paraId="3DBC099D" w14:textId="77777777" w:rsidR="00CA1BC2" w:rsidRDefault="00CA1BC2" w:rsidP="00CA1BC2"/>
    <w:p w14:paraId="71C9AFC3" w14:textId="77777777" w:rsidR="009636B7" w:rsidRPr="00075571" w:rsidRDefault="009636B7" w:rsidP="00CA1BC2">
      <w:pPr>
        <w:pStyle w:val="Heading3"/>
      </w:pPr>
      <w:bookmarkStart w:id="24" w:name="_Toc16805619"/>
      <w:r w:rsidRPr="00075571">
        <w:t xml:space="preserve">Inpatient </w:t>
      </w:r>
      <w:r>
        <w:t>s</w:t>
      </w:r>
      <w:r w:rsidRPr="00075571">
        <w:t>ervices</w:t>
      </w:r>
      <w:bookmarkEnd w:id="24"/>
    </w:p>
    <w:p w14:paraId="6168C2F9" w14:textId="77777777" w:rsidR="009636B7" w:rsidRPr="00075571" w:rsidRDefault="009636B7" w:rsidP="00CA1BC2">
      <w:r w:rsidRPr="00075571">
        <w:t>Inpatient FMHS</w:t>
      </w:r>
      <w:r>
        <w:t>s</w:t>
      </w:r>
      <w:r w:rsidRPr="00075571">
        <w:t xml:space="preserve"> generally follow what Kennedy </w:t>
      </w:r>
      <w:r w:rsidR="00AD0D58">
        <w:t>et al</w:t>
      </w:r>
      <w:r w:rsidRPr="00075571">
        <w:t xml:space="preserve"> (</w:t>
      </w:r>
      <w:r>
        <w:t>f</w:t>
      </w:r>
      <w:r w:rsidRPr="00075571">
        <w:t xml:space="preserve">orthcoming) refer to as the </w:t>
      </w:r>
      <w:r w:rsidR="00EE0ADB">
        <w:t>‘</w:t>
      </w:r>
      <w:r w:rsidRPr="00075571">
        <w:t>standard model</w:t>
      </w:r>
      <w:r w:rsidR="00EE0ADB">
        <w:t>’</w:t>
      </w:r>
      <w:r>
        <w:t>,</w:t>
      </w:r>
      <w:r w:rsidRPr="00075571">
        <w:t xml:space="preserve"> in which units are organised by </w:t>
      </w:r>
      <w:r w:rsidR="00EE0ADB">
        <w:t>‘</w:t>
      </w:r>
      <w:r w:rsidRPr="00075571">
        <w:t>the step-wise stratification of levels of physical, relational and procedural security from admission and intensive care high security, through medium security to slow stream medium or low security or onwards to low and minimal secure pre-</w:t>
      </w:r>
      <w:r w:rsidRPr="009E213B">
        <w:t>discharge</w:t>
      </w:r>
      <w:r w:rsidRPr="00075571">
        <w:t xml:space="preserve"> units</w:t>
      </w:r>
      <w:r w:rsidR="00EE0ADB">
        <w:t>’</w:t>
      </w:r>
      <w:r w:rsidR="00AD0D58">
        <w:t xml:space="preserve"> (p. </w:t>
      </w:r>
      <w:r w:rsidRPr="00075571">
        <w:t xml:space="preserve">6; see also Skipworth </w:t>
      </w:r>
      <w:r>
        <w:t>and</w:t>
      </w:r>
      <w:r w:rsidRPr="00075571">
        <w:t xml:space="preserve"> Lindqvist 2007). These levels </w:t>
      </w:r>
      <w:r>
        <w:t xml:space="preserve">of unit </w:t>
      </w:r>
      <w:r w:rsidRPr="00075571">
        <w:t xml:space="preserve">are typically termed acute, subacute/pre-rehabilitative, and rehabilitative or hostel. However, as Gournay </w:t>
      </w:r>
      <w:r w:rsidR="00AD0D58">
        <w:t>et al</w:t>
      </w:r>
      <w:r w:rsidRPr="00075571">
        <w:t xml:space="preserve"> (2013) note, definitions of high, medium and low security vary between institutions, and service</w:t>
      </w:r>
      <w:r>
        <w:t xml:space="preserve"> definitions lack the </w:t>
      </w:r>
      <w:r w:rsidRPr="00075571">
        <w:t xml:space="preserve">clarity </w:t>
      </w:r>
      <w:r>
        <w:t xml:space="preserve">required </w:t>
      </w:r>
      <w:r w:rsidRPr="00075571">
        <w:t xml:space="preserve">to assist clinicians to </w:t>
      </w:r>
      <w:r>
        <w:t xml:space="preserve">provide </w:t>
      </w:r>
      <w:r w:rsidRPr="00075571">
        <w:t xml:space="preserve">the best </w:t>
      </w:r>
      <w:r>
        <w:t>service delivery.</w:t>
      </w:r>
    </w:p>
    <w:p w14:paraId="0B0CC378" w14:textId="77777777" w:rsidR="009636B7" w:rsidRPr="00075571" w:rsidRDefault="009636B7" w:rsidP="00CA1BC2"/>
    <w:p w14:paraId="03B3937C" w14:textId="77777777" w:rsidR="00EE0ADB" w:rsidRDefault="009636B7" w:rsidP="00CA1BC2">
      <w:r w:rsidRPr="00075571">
        <w:t>Generally, the clinical mandate is to provide care in the least restrictive environment possible, in keeping with broader international best practices on the reduction of restrictive interventions in mental health services. Over the past decade, emphasis has also been placed within FMHS</w:t>
      </w:r>
      <w:r>
        <w:t>s</w:t>
      </w:r>
      <w:r w:rsidRPr="00075571">
        <w:t xml:space="preserve"> </w:t>
      </w:r>
      <w:r>
        <w:t xml:space="preserve">on </w:t>
      </w:r>
      <w:r w:rsidRPr="00075571">
        <w:t>shorten</w:t>
      </w:r>
      <w:r>
        <w:t>ing</w:t>
      </w:r>
      <w:r w:rsidRPr="00075571">
        <w:t xml:space="preserve"> the duration of inpatient treatment (where clinically appropriate), so service users can be reintegrated to the community faster and more effectively and, thus, </w:t>
      </w:r>
      <w:r>
        <w:t xml:space="preserve">avoid </w:t>
      </w:r>
      <w:r w:rsidRPr="00075571">
        <w:t>the detrimental impacts of long-term institutionalisation. As Skipworth and Lindqvist (2007) explain</w:t>
      </w:r>
      <w:r>
        <w:t>:</w:t>
      </w:r>
    </w:p>
    <w:p w14:paraId="1B2DBB10" w14:textId="77777777" w:rsidR="00EE0ADB" w:rsidRDefault="009636B7" w:rsidP="00CA1BC2">
      <w:pPr>
        <w:pStyle w:val="Quote"/>
      </w:pPr>
      <w:r w:rsidRPr="00075571">
        <w:t>the rules of an institution are vastly different from those that will face the patient out in the community. An institution is liable to foster dependency and passivity, and patients commonly lose social skills soon after admission unless the staff are vigilant in counteracting this.</w:t>
      </w:r>
      <w:r w:rsidR="00AD0D58">
        <w:t xml:space="preserve"> (p. </w:t>
      </w:r>
      <w:r w:rsidRPr="00075571">
        <w:t>479)</w:t>
      </w:r>
    </w:p>
    <w:p w14:paraId="446E256F" w14:textId="77777777" w:rsidR="009636B7" w:rsidRPr="00075571" w:rsidRDefault="009636B7" w:rsidP="00CA1BC2"/>
    <w:p w14:paraId="509EFE3F" w14:textId="77777777" w:rsidR="009636B7" w:rsidRPr="00075571" w:rsidRDefault="009636B7" w:rsidP="00CA1BC2">
      <w:r w:rsidRPr="00075571">
        <w:t xml:space="preserve">As such, ensuring service users are </w:t>
      </w:r>
      <w:r w:rsidRPr="009E213B">
        <w:t>equipped</w:t>
      </w:r>
      <w:r w:rsidRPr="00075571">
        <w:t xml:space="preserve"> with the requisite skills to succeed in the </w:t>
      </w:r>
      <w:r w:rsidR="00EE0ADB">
        <w:t>‘</w:t>
      </w:r>
      <w:r w:rsidRPr="00075571">
        <w:t>real world</w:t>
      </w:r>
      <w:r w:rsidR="00EE0ADB">
        <w:t>’</w:t>
      </w:r>
      <w:r w:rsidRPr="00075571">
        <w:t xml:space="preserve"> </w:t>
      </w:r>
      <w:r>
        <w:t xml:space="preserve">after their discharge </w:t>
      </w:r>
      <w:r w:rsidRPr="00075571">
        <w:t xml:space="preserve">is an increasing component of care (Skipworth </w:t>
      </w:r>
      <w:r>
        <w:t>and</w:t>
      </w:r>
      <w:r w:rsidRPr="00075571">
        <w:t xml:space="preserve"> Lindqvist 2007).</w:t>
      </w:r>
    </w:p>
    <w:p w14:paraId="7E8C9871" w14:textId="77777777" w:rsidR="00EE0ADB" w:rsidRDefault="00EE0ADB" w:rsidP="00CA1BC2"/>
    <w:p w14:paraId="72C113EB" w14:textId="77777777" w:rsidR="00EE0ADB" w:rsidRDefault="009636B7" w:rsidP="00CA1BC2">
      <w:r>
        <w:t xml:space="preserve">Forensic mental health services in Aotearoa New Zealand use </w:t>
      </w:r>
      <w:r w:rsidRPr="00075571">
        <w:t xml:space="preserve">varying models of care. </w:t>
      </w:r>
      <w:r>
        <w:t>T</w:t>
      </w:r>
      <w:r w:rsidRPr="00075571">
        <w:t>hese have not been well articulated in the literature</w:t>
      </w:r>
      <w:r>
        <w:t>,</w:t>
      </w:r>
      <w:r w:rsidRPr="00075571">
        <w:t xml:space="preserve"> and organisational documentation is inconsistent between regions. One noted exception is the Māori model of care </w:t>
      </w:r>
      <w:r>
        <w:t>us</w:t>
      </w:r>
      <w:r w:rsidRPr="00075571">
        <w:t>ed within Te Papakāinga o Tāne Whakapiripiri, the first kaupapa Māori unit at the Mason Clinic (Auckland Regional Forensic Psychiatry Services), which has been described by Tapsell (2007) and Sweetman (2017).</w:t>
      </w:r>
      <w:r w:rsidRPr="00CA1BC2">
        <w:rPr>
          <w:rStyle w:val="FootnoteReference"/>
        </w:rPr>
        <w:footnoteReference w:id="13"/>
      </w:r>
    </w:p>
    <w:p w14:paraId="74261BB9" w14:textId="77777777" w:rsidR="00CA1BC2" w:rsidRDefault="00CA1BC2" w:rsidP="00CA1BC2"/>
    <w:p w14:paraId="75028410" w14:textId="77777777" w:rsidR="009636B7" w:rsidRPr="00075571" w:rsidRDefault="009636B7" w:rsidP="00CA1BC2">
      <w:pPr>
        <w:pStyle w:val="Heading3"/>
      </w:pPr>
      <w:bookmarkStart w:id="26" w:name="_Toc16805620"/>
      <w:r w:rsidRPr="00075571">
        <w:lastRenderedPageBreak/>
        <w:t xml:space="preserve">Community </w:t>
      </w:r>
      <w:r>
        <w:t>s</w:t>
      </w:r>
      <w:r w:rsidRPr="00075571">
        <w:t>ervices</w:t>
      </w:r>
      <w:bookmarkEnd w:id="26"/>
    </w:p>
    <w:p w14:paraId="7C913D64" w14:textId="77777777" w:rsidR="00EE0ADB" w:rsidRDefault="009636B7" w:rsidP="00B65F8B">
      <w:r w:rsidRPr="00075571">
        <w:t>Community FMHS</w:t>
      </w:r>
      <w:r>
        <w:t>s</w:t>
      </w:r>
      <w:r w:rsidRPr="00075571">
        <w:t xml:space="preserve"> have two main roles:</w:t>
      </w:r>
    </w:p>
    <w:p w14:paraId="6AED0E9A" w14:textId="77777777" w:rsidR="009636B7" w:rsidRPr="00075571" w:rsidRDefault="009636B7" w:rsidP="00B65F8B">
      <w:pPr>
        <w:pStyle w:val="Quote"/>
      </w:pPr>
      <w:r w:rsidRPr="00075571">
        <w:t xml:space="preserve">(a) to ensure appropriate hand over of individuals to general psychiatry community assertive teams, to support general psychiatric services in the ongoing management of these people, and to provide consultation and liaison services as appropriate; (b) to provide direct clinical management for a small group of individuals, </w:t>
      </w:r>
      <w:bookmarkStart w:id="27" w:name="_Hlk84842553"/>
      <w:r w:rsidRPr="00075571">
        <w:t xml:space="preserve">mainly those designated as special and restricted patients under the Mental Health </w:t>
      </w:r>
      <w:r>
        <w:t xml:space="preserve">(Compulsory Assessment and Treatment) </w:t>
      </w:r>
      <w:r w:rsidRPr="00075571">
        <w:t>Act</w:t>
      </w:r>
      <w:r>
        <w:t xml:space="preserve"> 1992</w:t>
      </w:r>
      <w:r w:rsidRPr="00075571">
        <w:t>. (</w:t>
      </w:r>
      <w:r>
        <w:t>Ministry of Health</w:t>
      </w:r>
      <w:r w:rsidRPr="00075571">
        <w:t xml:space="preserve"> 2001, as cited in Skipworth </w:t>
      </w:r>
      <w:r>
        <w:t>and</w:t>
      </w:r>
      <w:r w:rsidRPr="00075571">
        <w:t xml:space="preserve"> Lindqvist 2007</w:t>
      </w:r>
      <w:r w:rsidR="005054ED">
        <w:t>, p. </w:t>
      </w:r>
      <w:r w:rsidRPr="00075571">
        <w:t>479)</w:t>
      </w:r>
      <w:bookmarkEnd w:id="27"/>
    </w:p>
    <w:p w14:paraId="23560BBB" w14:textId="77777777" w:rsidR="009636B7" w:rsidRPr="00075571" w:rsidRDefault="009636B7" w:rsidP="00B65F8B"/>
    <w:p w14:paraId="370CBA0F" w14:textId="77777777" w:rsidR="009636B7" w:rsidRPr="00075571" w:rsidRDefault="009636B7" w:rsidP="00B65F8B">
      <w:r w:rsidRPr="00075571">
        <w:t xml:space="preserve">Skipworth and Lindqvist (2007) describe three models used for community FMHS provision in Aotearoa </w:t>
      </w:r>
      <w:r>
        <w:t>New Zealand</w:t>
      </w:r>
      <w:r w:rsidRPr="00075571">
        <w:t>: (a) outpatient services run by forensic mental health teams, (b) general mental health assertive community teams receiving discharges from FMHS</w:t>
      </w:r>
      <w:r>
        <w:t>s</w:t>
      </w:r>
      <w:r w:rsidRPr="00075571">
        <w:t xml:space="preserve"> and (c) collaborative models</w:t>
      </w:r>
      <w:r>
        <w:t>,</w:t>
      </w:r>
      <w:r w:rsidRPr="00075571">
        <w:t xml:space="preserve"> with FMHS staff working within general mental health community teams. While services vary between regions, the dominant model is to provide follow-up for most service users after their release from FMH inpatient units or prison via referrals triaged through general mental health assertive community teams, which are closely connected to forensic psychiatrists</w:t>
      </w:r>
      <w:r>
        <w:t>,</w:t>
      </w:r>
      <w:r w:rsidRPr="00075571">
        <w:t xml:space="preserve"> who engage in joint discharge planning and follow-up meetings (Skipworth </w:t>
      </w:r>
      <w:r>
        <w:t>and</w:t>
      </w:r>
      <w:r w:rsidRPr="00075571">
        <w:t xml:space="preserve"> Humberstone 2002). However, </w:t>
      </w:r>
      <w:r w:rsidR="00EE0ADB">
        <w:t>‘</w:t>
      </w:r>
      <w:r w:rsidRPr="00075571">
        <w:t>some patients, by virtue of legal status or other risk factors, remain under the FMHS, which adopts a similar community treatment philosophy of ACT [assertive community treatment]</w:t>
      </w:r>
      <w:r w:rsidR="00EE0ADB">
        <w:t>’</w:t>
      </w:r>
      <w:r w:rsidRPr="00075571">
        <w:t xml:space="preserve"> (Skipworth </w:t>
      </w:r>
      <w:r>
        <w:t>and</w:t>
      </w:r>
      <w:r w:rsidRPr="00075571">
        <w:t xml:space="preserve"> Humberstone 2002</w:t>
      </w:r>
      <w:r w:rsidR="005054ED">
        <w:t>, p. </w:t>
      </w:r>
      <w:r w:rsidRPr="00075571">
        <w:t>49). Brinded (2000) further explains:</w:t>
      </w:r>
    </w:p>
    <w:p w14:paraId="7E4AA2F8" w14:textId="77777777" w:rsidR="009636B7" w:rsidRPr="000329FE" w:rsidRDefault="009636B7" w:rsidP="00B65F8B">
      <w:pPr>
        <w:pStyle w:val="Quote"/>
      </w:pPr>
      <w:r w:rsidRPr="000329FE">
        <w:t xml:space="preserve">Most forensic psychiatric services operate a </w:t>
      </w:r>
      <w:r w:rsidR="00EE0ADB">
        <w:t>‘</w:t>
      </w:r>
      <w:r w:rsidRPr="000329FE">
        <w:t>parallel</w:t>
      </w:r>
      <w:r w:rsidR="00EE0ADB">
        <w:t>’</w:t>
      </w:r>
      <w:r w:rsidRPr="000329FE">
        <w:t xml:space="preserve"> outpatient and community service for patients who have been deemed still too unwell to pass back to general mental health services or whose history of illness and potential for violence is such that it is felt best that forensic </w:t>
      </w:r>
      <w:r w:rsidRPr="001A28C6">
        <w:t>psychiatric services continue to follow them up in the community long-term.</w:t>
      </w:r>
      <w:r w:rsidR="00AD0D58">
        <w:t xml:space="preserve"> (p. </w:t>
      </w:r>
      <w:r w:rsidRPr="001A28C6">
        <w:t>459)</w:t>
      </w:r>
    </w:p>
    <w:p w14:paraId="105AF5EA" w14:textId="77777777" w:rsidR="009636B7" w:rsidRPr="00075571" w:rsidRDefault="009636B7" w:rsidP="00B65F8B"/>
    <w:p w14:paraId="0C98C231" w14:textId="77777777" w:rsidR="00EE0ADB" w:rsidRDefault="009636B7" w:rsidP="00B65F8B">
      <w:r w:rsidRPr="00075571">
        <w:t>Notably, the majority of forensic mental health service users ultimately return to general mental health services</w:t>
      </w:r>
      <w:r>
        <w:t xml:space="preserve"> (GMHSs)</w:t>
      </w:r>
      <w:r w:rsidRPr="00075571">
        <w:t xml:space="preserve"> for long-term follow-up once </w:t>
      </w:r>
      <w:r>
        <w:t xml:space="preserve">this is </w:t>
      </w:r>
      <w:r w:rsidRPr="00075571">
        <w:t xml:space="preserve">deemed clinically appropriate (Brinded 2000; Skipworth </w:t>
      </w:r>
      <w:r>
        <w:t>and</w:t>
      </w:r>
      <w:r w:rsidRPr="00075571">
        <w:t xml:space="preserve"> Humberstone 2002). Blackburn (2004) notes, however, </w:t>
      </w:r>
      <w:r w:rsidR="00EE0ADB">
        <w:t>‘</w:t>
      </w:r>
      <w:r w:rsidRPr="00075571">
        <w:t xml:space="preserve">while the ideal is a </w:t>
      </w:r>
      <w:r w:rsidR="00EE0ADB">
        <w:t>“</w:t>
      </w:r>
      <w:r w:rsidRPr="00075571">
        <w:t>seamless</w:t>
      </w:r>
      <w:r w:rsidR="00EE0ADB">
        <w:t>”</w:t>
      </w:r>
      <w:r w:rsidRPr="00075571">
        <w:t xml:space="preserve"> service of rehabilitation from high security to autonomous community functioning, significant gaps in these services remain</w:t>
      </w:r>
      <w:r w:rsidR="00EE0ADB">
        <w:t>’</w:t>
      </w:r>
      <w:r w:rsidR="00AD0D58">
        <w:t xml:space="preserve"> (p. </w:t>
      </w:r>
      <w:r w:rsidRPr="00075571">
        <w:t xml:space="preserve">299). Services may be further hindered by </w:t>
      </w:r>
      <w:r w:rsidR="00EE0ADB">
        <w:t>‘</w:t>
      </w:r>
      <w:r w:rsidRPr="00075571">
        <w:t>the legislative landscape and clinical policy</w:t>
      </w:r>
      <w:r w:rsidR="00EE0ADB">
        <w:t>’</w:t>
      </w:r>
      <w:r w:rsidRPr="00075571">
        <w:t xml:space="preserve"> that </w:t>
      </w:r>
      <w:r w:rsidR="00EE0ADB">
        <w:t>‘</w:t>
      </w:r>
      <w:r w:rsidRPr="00075571">
        <w:t>at times creates unnecessary obstacles</w:t>
      </w:r>
      <w:r w:rsidR="00EE0ADB">
        <w:t>’</w:t>
      </w:r>
      <w:r w:rsidRPr="00075571">
        <w:t xml:space="preserve"> (Skipworth </w:t>
      </w:r>
      <w:r>
        <w:t>and</w:t>
      </w:r>
      <w:r w:rsidRPr="00075571">
        <w:t xml:space="preserve"> Humberstone 2002</w:t>
      </w:r>
      <w:r w:rsidR="005054ED">
        <w:t>, p. </w:t>
      </w:r>
      <w:r w:rsidRPr="00075571">
        <w:t>47).</w:t>
      </w:r>
    </w:p>
    <w:p w14:paraId="5B5E7D68" w14:textId="77777777" w:rsidR="00B65F8B" w:rsidRDefault="00B65F8B" w:rsidP="00B65F8B"/>
    <w:p w14:paraId="52FDF40B" w14:textId="77777777" w:rsidR="009636B7" w:rsidRPr="00075571" w:rsidRDefault="009636B7" w:rsidP="00B65F8B">
      <w:pPr>
        <w:pStyle w:val="Heading3"/>
      </w:pPr>
      <w:bookmarkStart w:id="28" w:name="_Toc16805621"/>
      <w:r w:rsidRPr="00075571">
        <w:lastRenderedPageBreak/>
        <w:t xml:space="preserve">Prison </w:t>
      </w:r>
      <w:r>
        <w:t>i</w:t>
      </w:r>
      <w:r w:rsidRPr="00075571">
        <w:t>n-</w:t>
      </w:r>
      <w:r>
        <w:t>r</w:t>
      </w:r>
      <w:r w:rsidRPr="00075571">
        <w:t xml:space="preserve">each </w:t>
      </w:r>
      <w:r>
        <w:t>s</w:t>
      </w:r>
      <w:r w:rsidRPr="00075571">
        <w:t>ervices</w:t>
      </w:r>
      <w:bookmarkEnd w:id="28"/>
    </w:p>
    <w:p w14:paraId="73882E19" w14:textId="77777777" w:rsidR="00EE0ADB" w:rsidRDefault="009636B7" w:rsidP="00B65F8B">
      <w:pPr>
        <w:keepLines/>
      </w:pPr>
      <w:r w:rsidRPr="000329FE">
        <w:t>Prison FMHS</w:t>
      </w:r>
      <w:r>
        <w:t>s</w:t>
      </w:r>
      <w:r w:rsidRPr="000329FE">
        <w:t xml:space="preserve"> follow a </w:t>
      </w:r>
      <w:r w:rsidR="00EE0ADB">
        <w:t>‘</w:t>
      </w:r>
      <w:r w:rsidRPr="000329FE">
        <w:t>culturally informed assertive prison in-reach mental health model</w:t>
      </w:r>
      <w:r w:rsidR="00EE0ADB">
        <w:t>’</w:t>
      </w:r>
      <w:r w:rsidRPr="000329FE">
        <w:t xml:space="preserve"> (Cavney </w:t>
      </w:r>
      <w:r>
        <w:t>and</w:t>
      </w:r>
      <w:r w:rsidRPr="000329FE">
        <w:t xml:space="preserve"> Hatters Friedman 2018</w:t>
      </w:r>
      <w:r w:rsidR="005054ED">
        <w:t>, p. </w:t>
      </w:r>
      <w:r w:rsidRPr="000329FE">
        <w:t xml:space="preserve">227) that </w:t>
      </w:r>
      <w:r>
        <w:t xml:space="preserve">connects </w:t>
      </w:r>
      <w:r w:rsidRPr="001A28C6">
        <w:t>prisons and FMHS</w:t>
      </w:r>
      <w:r>
        <w:t>s</w:t>
      </w:r>
      <w:r w:rsidRPr="001A28C6">
        <w:t xml:space="preserve">. At present, screening is conducted within the prison by </w:t>
      </w:r>
      <w:r w:rsidR="00EE0ADB">
        <w:t>‘</w:t>
      </w:r>
      <w:r w:rsidRPr="001A28C6">
        <w:t>prison healthcare staff w</w:t>
      </w:r>
      <w:r w:rsidRPr="000329FE">
        <w:t>ho then refer on to a forensic prison in-reach mental health team</w:t>
      </w:r>
      <w:r w:rsidR="00EE0ADB">
        <w:t>’</w:t>
      </w:r>
      <w:r w:rsidRPr="000329FE">
        <w:t xml:space="preserve"> as required (Cavney </w:t>
      </w:r>
      <w:r>
        <w:t>and</w:t>
      </w:r>
      <w:r w:rsidRPr="000329FE">
        <w:t xml:space="preserve"> Hatters Friedman 2018</w:t>
      </w:r>
      <w:r w:rsidR="005054ED">
        <w:t>, p. </w:t>
      </w:r>
      <w:r w:rsidRPr="000329FE">
        <w:t>226).</w:t>
      </w:r>
      <w:r w:rsidRPr="00B65F8B">
        <w:rPr>
          <w:rStyle w:val="FootnoteReference"/>
        </w:rPr>
        <w:footnoteReference w:id="14"/>
      </w:r>
      <w:r w:rsidRPr="000329FE">
        <w:t xml:space="preserve"> Following recent recommendations, referrals to forensic prison teams may come from a number of sources, including family, friends, </w:t>
      </w:r>
      <w:r w:rsidRPr="001A28C6">
        <w:t xml:space="preserve">and prison or court liaison staff, and thus do not rely on prison screening mechanisms alone (Cavney </w:t>
      </w:r>
      <w:r>
        <w:t>and</w:t>
      </w:r>
      <w:r w:rsidRPr="001A28C6">
        <w:t xml:space="preserve"> Hatters Friedman 2018; Pillai </w:t>
      </w:r>
      <w:r w:rsidR="00AD0D58">
        <w:t>et al</w:t>
      </w:r>
      <w:r w:rsidRPr="001A28C6">
        <w:t xml:space="preserve"> 2016).</w:t>
      </w:r>
    </w:p>
    <w:p w14:paraId="4A5D68B2" w14:textId="77777777" w:rsidR="009636B7" w:rsidRPr="000329FE" w:rsidRDefault="009636B7" w:rsidP="00B65F8B"/>
    <w:p w14:paraId="7C8658FD" w14:textId="77777777" w:rsidR="00EE0ADB" w:rsidRDefault="009636B7" w:rsidP="00B65F8B">
      <w:r w:rsidRPr="000329FE">
        <w:t xml:space="preserve">In keeping with the other arms of FMHS, service provision within prisons varies between regions in terms of scope, size and capacity. In most cases, the forensic mental health prison in-reach team is a multidisciplinary team consisting of </w:t>
      </w:r>
      <w:r w:rsidR="00EE0ADB">
        <w:t>‘</w:t>
      </w:r>
      <w:r w:rsidRPr="000329FE">
        <w:t>psychiatrists, psychologists, nurses, social workers, and importantly, cultural advisers who then undertake a staged process of assessment following an initial referral</w:t>
      </w:r>
      <w:r w:rsidR="00EE0ADB">
        <w:t>’</w:t>
      </w:r>
      <w:r w:rsidRPr="000329FE">
        <w:t xml:space="preserve"> (Cavney </w:t>
      </w:r>
      <w:r>
        <w:t>and</w:t>
      </w:r>
      <w:r w:rsidRPr="000329FE">
        <w:t xml:space="preserve"> Hatters Friedman 2018</w:t>
      </w:r>
      <w:r w:rsidR="005054ED">
        <w:t>, p. </w:t>
      </w:r>
      <w:r w:rsidRPr="000329FE">
        <w:t xml:space="preserve">226). The implementation of Māori-focused services in particular sets apart the model of care currently employed in the </w:t>
      </w:r>
      <w:r w:rsidRPr="00075571">
        <w:t xml:space="preserve">Aotearoa </w:t>
      </w:r>
      <w:r>
        <w:t>New Zealand</w:t>
      </w:r>
      <w:r w:rsidRPr="000329FE" w:rsidDel="0059330B">
        <w:t xml:space="preserve"> </w:t>
      </w:r>
      <w:r w:rsidRPr="000329FE">
        <w:t>context from other international model</w:t>
      </w:r>
      <w:r w:rsidRPr="001A28C6">
        <w:t>s of in-reach services and</w:t>
      </w:r>
      <w:r w:rsidRPr="00083632">
        <w:t xml:space="preserve"> is a notable point of difference.</w:t>
      </w:r>
    </w:p>
    <w:p w14:paraId="4910EA6E" w14:textId="77777777" w:rsidR="009636B7" w:rsidRPr="000329FE" w:rsidRDefault="009636B7" w:rsidP="00B65F8B"/>
    <w:p w14:paraId="28FE5601" w14:textId="77777777" w:rsidR="00EE0ADB" w:rsidRDefault="009636B7" w:rsidP="00B65F8B">
      <w:r w:rsidRPr="000329FE">
        <w:t>Upon completion of the initial stages, where clinically indicated, prisoners are further assessed and treated as required. This may occur within the prison or, in acute and/or severe cases, involve the transfer to a forensic mental health hospital, where the person may stay until he/she is well enough to return to prison or, should circumstances permit, the community. However, prisoners often experience wait times to transfer to a forensic bed due to availability, during which time they may remain untreated. Prior to release/discharge, planning occurs to support the transition/reintegration phase and, if ongoing care is needed, community GMHS</w:t>
      </w:r>
      <w:r>
        <w:t>s</w:t>
      </w:r>
      <w:r w:rsidRPr="000329FE">
        <w:t xml:space="preserve"> are engaged, along with other social agencies and services, which may provide various avenues of support (Cavney </w:t>
      </w:r>
      <w:r>
        <w:t>and</w:t>
      </w:r>
      <w:r w:rsidRPr="000329FE">
        <w:t xml:space="preserve"> Hatters Friedman 2018). </w:t>
      </w:r>
      <w:r>
        <w:t xml:space="preserve">As in </w:t>
      </w:r>
      <w:r w:rsidRPr="000329FE">
        <w:t>inpatient FMHS</w:t>
      </w:r>
      <w:r>
        <w:t>s</w:t>
      </w:r>
      <w:r w:rsidRPr="000329FE">
        <w:t>, a small population of service users may stay with FMHS</w:t>
      </w:r>
      <w:r>
        <w:t>s</w:t>
      </w:r>
      <w:r w:rsidRPr="000329FE">
        <w:t xml:space="preserve"> (as opposed to GMHS</w:t>
      </w:r>
      <w:r>
        <w:t>s</w:t>
      </w:r>
      <w:r w:rsidRPr="000329FE">
        <w:t xml:space="preserve">) for ongoing monitoring </w:t>
      </w:r>
      <w:r>
        <w:t xml:space="preserve">after their </w:t>
      </w:r>
      <w:r w:rsidRPr="000329FE">
        <w:t>release from prison</w:t>
      </w:r>
      <w:r>
        <w:t>,</w:t>
      </w:r>
      <w:r w:rsidRPr="000329FE">
        <w:t xml:space="preserve"> if </w:t>
      </w:r>
      <w:r>
        <w:t xml:space="preserve">this is </w:t>
      </w:r>
      <w:r w:rsidRPr="000329FE">
        <w:t>warranted.</w:t>
      </w:r>
    </w:p>
    <w:p w14:paraId="40362840" w14:textId="77777777" w:rsidR="009636B7" w:rsidRPr="00075571" w:rsidRDefault="009636B7" w:rsidP="009636B7"/>
    <w:p w14:paraId="78B2E874" w14:textId="77777777" w:rsidR="0078769F" w:rsidRDefault="009636B7" w:rsidP="009636B7">
      <w:r w:rsidRPr="00075571">
        <w:t xml:space="preserve">Recently, two regional forensic psychiatric services in Aotearoa </w:t>
      </w:r>
      <w:r>
        <w:t>New Zealand</w:t>
      </w:r>
      <w:r w:rsidRPr="00075571" w:rsidDel="0059330B">
        <w:t xml:space="preserve"> </w:t>
      </w:r>
      <w:r w:rsidRPr="00075571">
        <w:t xml:space="preserve">have developed a prison model of care based upon </w:t>
      </w:r>
      <w:r w:rsidR="00EE0ADB">
        <w:t>‘</w:t>
      </w:r>
      <w:r w:rsidRPr="00075571">
        <w:t xml:space="preserve">a multi-disciplinary </w:t>
      </w:r>
      <w:r w:rsidR="00EE0ADB">
        <w:t>“</w:t>
      </w:r>
      <w:r w:rsidRPr="00075571">
        <w:t>modified</w:t>
      </w:r>
      <w:r w:rsidR="00EE0ADB">
        <w:t>”</w:t>
      </w:r>
      <w:r w:rsidRPr="00075571">
        <w:t xml:space="preserve"> assertive community treatment model with after-hours on-call emergency support</w:t>
      </w:r>
      <w:r w:rsidR="00EE0ADB">
        <w:t>’</w:t>
      </w:r>
      <w:r>
        <w:t>,</w:t>
      </w:r>
      <w:r w:rsidRPr="00075571">
        <w:t xml:space="preserve"> which follows the principles of </w:t>
      </w:r>
      <w:r w:rsidR="00EE0ADB">
        <w:t>‘</w:t>
      </w:r>
      <w:r w:rsidRPr="00075571">
        <w:t>assertive engagement, continuity of care, multi-disciplinary service delivery and a small case load</w:t>
      </w:r>
      <w:r w:rsidR="00EE0ADB">
        <w:t>’</w:t>
      </w:r>
      <w:r w:rsidRPr="00075571">
        <w:t xml:space="preserve"> (McKenna </w:t>
      </w:r>
      <w:r w:rsidR="00AD0D58">
        <w:t>et al</w:t>
      </w:r>
      <w:r w:rsidRPr="00075571">
        <w:t xml:space="preserve"> 2015</w:t>
      </w:r>
      <w:r w:rsidR="005054ED">
        <w:t>, p. </w:t>
      </w:r>
      <w:r w:rsidRPr="00075571">
        <w:t xml:space="preserve">286; see also McKenna </w:t>
      </w:r>
      <w:r w:rsidR="00AD0D58">
        <w:t>et al</w:t>
      </w:r>
      <w:r w:rsidRPr="00075571">
        <w:t xml:space="preserve"> 2018; Pillai </w:t>
      </w:r>
      <w:r w:rsidR="00AD0D58">
        <w:t>et al</w:t>
      </w:r>
      <w:r>
        <w:t xml:space="preserve"> </w:t>
      </w:r>
      <w:r w:rsidRPr="00075571">
        <w:t>2016). Within this model and in keeping with the broader literature, five key elements are highlighted as the essential requirements of in-reach</w:t>
      </w:r>
    </w:p>
    <w:p w14:paraId="028C95BE" w14:textId="77777777" w:rsidR="00EE0ADB" w:rsidRDefault="009636B7" w:rsidP="0078769F">
      <w:pPr>
        <w:keepNext/>
        <w:keepLines/>
      </w:pPr>
      <w:r w:rsidRPr="00075571">
        <w:lastRenderedPageBreak/>
        <w:t>service provision: (a) screening, (b) triage, (c) assessment, (d) intervention and (e)</w:t>
      </w:r>
      <w:r w:rsidR="0078769F">
        <w:t> </w:t>
      </w:r>
      <w:r w:rsidRPr="00075571">
        <w:t>reintegration (STAIR</w:t>
      </w:r>
      <w:r>
        <w:t>)</w:t>
      </w:r>
      <w:r w:rsidRPr="00075571">
        <w:t xml:space="preserve"> </w:t>
      </w:r>
      <w:r>
        <w:t>(</w:t>
      </w:r>
      <w:r w:rsidRPr="00075571">
        <w:t>Forrester</w:t>
      </w:r>
      <w:r>
        <w:t xml:space="preserve"> </w:t>
      </w:r>
      <w:r w:rsidR="00AD0D58">
        <w:t>et al</w:t>
      </w:r>
      <w:r w:rsidRPr="00075571">
        <w:t xml:space="preserve"> 2018; McKenna </w:t>
      </w:r>
      <w:r w:rsidR="00AD0D58">
        <w:t>et al</w:t>
      </w:r>
      <w:r w:rsidRPr="00075571">
        <w:t xml:space="preserve"> 2015; Nicholls </w:t>
      </w:r>
      <w:r w:rsidR="00AD0D58">
        <w:t>et al</w:t>
      </w:r>
      <w:r w:rsidRPr="00075571">
        <w:t xml:space="preserve"> 2018; Ogloff 2002). </w:t>
      </w:r>
      <w:r w:rsidR="0078769F">
        <w:fldChar w:fldCharType="begin"/>
      </w:r>
      <w:r w:rsidR="0078769F">
        <w:instrText xml:space="preserve"> REF _Ref89788307 \h </w:instrText>
      </w:r>
      <w:r w:rsidR="0078769F">
        <w:fldChar w:fldCharType="separate"/>
      </w:r>
      <w:r w:rsidR="00F73238">
        <w:t>Figure </w:t>
      </w:r>
      <w:r w:rsidR="00F73238">
        <w:rPr>
          <w:noProof/>
        </w:rPr>
        <w:t>1</w:t>
      </w:r>
      <w:r w:rsidR="0078769F">
        <w:fldChar w:fldCharType="end"/>
      </w:r>
      <w:r w:rsidRPr="00075571">
        <w:t xml:space="preserve"> presents an illustration of the Aotearoa </w:t>
      </w:r>
      <w:r>
        <w:t>New Zealand</w:t>
      </w:r>
      <w:r w:rsidRPr="00075571" w:rsidDel="0059330B">
        <w:t xml:space="preserve"> </w:t>
      </w:r>
      <w:r w:rsidRPr="00075571">
        <w:t>prison model of care.</w:t>
      </w:r>
      <w:r w:rsidRPr="0078769F">
        <w:rPr>
          <w:rStyle w:val="FootnoteReference"/>
        </w:rPr>
        <w:footnoteReference w:id="15"/>
      </w:r>
    </w:p>
    <w:p w14:paraId="66594734" w14:textId="77777777" w:rsidR="0078769F" w:rsidRDefault="0078769F" w:rsidP="0078769F"/>
    <w:p w14:paraId="0A0D840B" w14:textId="77777777" w:rsidR="009636B7" w:rsidRPr="00A258EF" w:rsidRDefault="0078769F" w:rsidP="0078769F">
      <w:pPr>
        <w:pStyle w:val="Figure"/>
      </w:pPr>
      <w:bookmarkStart w:id="29" w:name="_Ref89788307"/>
      <w:bookmarkStart w:id="30" w:name="_Toc90026026"/>
      <w:r>
        <w:t>Figure </w:t>
      </w:r>
      <w:r w:rsidR="002C1FB3">
        <w:fldChar w:fldCharType="begin"/>
      </w:r>
      <w:r w:rsidR="002C1FB3">
        <w:instrText xml:space="preserve"> SEQ Figure \* ARABIC </w:instrText>
      </w:r>
      <w:r w:rsidR="002C1FB3">
        <w:fldChar w:fldCharType="separate"/>
      </w:r>
      <w:r w:rsidR="00F73238">
        <w:rPr>
          <w:noProof/>
        </w:rPr>
        <w:t>1</w:t>
      </w:r>
      <w:r w:rsidR="002C1FB3">
        <w:rPr>
          <w:noProof/>
        </w:rPr>
        <w:fldChar w:fldCharType="end"/>
      </w:r>
      <w:bookmarkEnd w:id="29"/>
      <w:r w:rsidR="009636B7" w:rsidRPr="00A258EF">
        <w:t>: The prison model of care referral and treatment pathway</w:t>
      </w:r>
      <w:bookmarkEnd w:id="30"/>
    </w:p>
    <w:p w14:paraId="438F3E90" w14:textId="77777777" w:rsidR="009636B7" w:rsidRPr="00075571" w:rsidRDefault="009636B7" w:rsidP="0078769F">
      <w:r w:rsidRPr="00231680">
        <w:rPr>
          <w:noProof/>
          <w:lang w:eastAsia="en-NZ"/>
        </w:rPr>
        <w:drawing>
          <wp:inline distT="0" distB="0" distL="0" distR="0" wp14:anchorId="3D1886B5" wp14:editId="70F4B0F5">
            <wp:extent cx="5140429" cy="3075709"/>
            <wp:effectExtent l="0" t="0" r="3175" b="0"/>
            <wp:docPr id="1" name="Picture 1" title="Figure 1: The prison model of care referral and treatment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la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50480" cy="3081723"/>
                    </a:xfrm>
                    <a:prstGeom prst="rect">
                      <a:avLst/>
                    </a:prstGeom>
                  </pic:spPr>
                </pic:pic>
              </a:graphicData>
            </a:graphic>
          </wp:inline>
        </w:drawing>
      </w:r>
    </w:p>
    <w:p w14:paraId="695FE65D" w14:textId="77777777" w:rsidR="009636B7" w:rsidRDefault="009636B7" w:rsidP="0078769F">
      <w:pPr>
        <w:pStyle w:val="Source"/>
      </w:pPr>
      <w:bookmarkStart w:id="31" w:name="_Hlk84844202"/>
      <w:bookmarkStart w:id="32" w:name="_Toc88823319"/>
      <w:r w:rsidRPr="00981F49">
        <w:t xml:space="preserve">Source: Pillai </w:t>
      </w:r>
      <w:r w:rsidR="00AD0D58">
        <w:t>et al</w:t>
      </w:r>
      <w:r w:rsidRPr="00981F49">
        <w:t xml:space="preserve"> 2016</w:t>
      </w:r>
      <w:r w:rsidR="005054ED">
        <w:t>, p. </w:t>
      </w:r>
      <w:r w:rsidRPr="00981F49">
        <w:t>3</w:t>
      </w:r>
      <w:bookmarkEnd w:id="31"/>
      <w:bookmarkEnd w:id="32"/>
    </w:p>
    <w:p w14:paraId="1F1565A3" w14:textId="77777777" w:rsidR="0078769F" w:rsidRPr="0078769F" w:rsidRDefault="0078769F" w:rsidP="0078769F"/>
    <w:p w14:paraId="12E8EE9E" w14:textId="77777777" w:rsidR="009636B7" w:rsidRPr="00075571" w:rsidRDefault="009636B7" w:rsidP="0078769F">
      <w:pPr>
        <w:pStyle w:val="Heading3"/>
      </w:pPr>
      <w:bookmarkStart w:id="33" w:name="_Toc16805622"/>
      <w:r w:rsidRPr="00075571">
        <w:t xml:space="preserve">Court </w:t>
      </w:r>
      <w:r>
        <w:t>l</w:t>
      </w:r>
      <w:r w:rsidRPr="00075571">
        <w:t xml:space="preserve">iaison </w:t>
      </w:r>
      <w:r>
        <w:t>s</w:t>
      </w:r>
      <w:r w:rsidRPr="00075571">
        <w:t>ervices</w:t>
      </w:r>
      <w:bookmarkEnd w:id="33"/>
    </w:p>
    <w:p w14:paraId="0D16D30E" w14:textId="77777777" w:rsidR="00EE0ADB" w:rsidRDefault="009636B7" w:rsidP="0078769F">
      <w:r w:rsidRPr="00075571">
        <w:t xml:space="preserve">In Aotearoa </w:t>
      </w:r>
      <w:r>
        <w:t>New Zealand</w:t>
      </w:r>
      <w:r w:rsidRPr="00075571">
        <w:t xml:space="preserve">, the first court liaison scheme </w:t>
      </w:r>
      <w:r>
        <w:t xml:space="preserve">began </w:t>
      </w:r>
      <w:r w:rsidRPr="00075571">
        <w:t>in the Otahuhu Court in South Auckland in 1987, following which court liaison services developed alongside broader FMHS</w:t>
      </w:r>
      <w:r>
        <w:t>s,</w:t>
      </w:r>
      <w:r w:rsidRPr="00075571">
        <w:t xml:space="preserve"> </w:t>
      </w:r>
      <w:r>
        <w:t xml:space="preserve">according to </w:t>
      </w:r>
      <w:r w:rsidRPr="00075571">
        <w:t>the recommendations of the Mason Report (1988; Brinded</w:t>
      </w:r>
      <w:r>
        <w:t xml:space="preserve"> </w:t>
      </w:r>
      <w:r w:rsidR="00AD0D58">
        <w:t>et al</w:t>
      </w:r>
      <w:r w:rsidRPr="00075571">
        <w:t xml:space="preserve"> 1996; McKenna </w:t>
      </w:r>
      <w:r>
        <w:t>and</w:t>
      </w:r>
      <w:r w:rsidRPr="00075571">
        <w:t xml:space="preserve"> Seaton 2007). </w:t>
      </w:r>
      <w:r>
        <w:t>E</w:t>
      </w:r>
      <w:r w:rsidRPr="00075571">
        <w:t>ach of the five regional FMHS</w:t>
      </w:r>
      <w:r>
        <w:t>s</w:t>
      </w:r>
      <w:r w:rsidRPr="00075571">
        <w:t xml:space="preserve"> </w:t>
      </w:r>
      <w:r>
        <w:t xml:space="preserve">provides liaison services </w:t>
      </w:r>
      <w:r w:rsidRPr="00075571">
        <w:t>to all courts in each region. These services occupy three distinct yet overlapping roles: (a) consultation, where the court seeks expert advice for individual cases from psychiatrists, psychologists and/or nurses; (b) diversion, where FMHS</w:t>
      </w:r>
      <w:r>
        <w:t>s</w:t>
      </w:r>
      <w:r w:rsidRPr="00075571">
        <w:t xml:space="preserve"> coordinate transfer of care</w:t>
      </w:r>
      <w:r>
        <w:t>,</w:t>
      </w:r>
      <w:r w:rsidRPr="00075571">
        <w:t xml:space="preserve"> most likely into inpatient services, but not necessarily out of the judicial system; and (c) liaison, where FMHS</w:t>
      </w:r>
      <w:r>
        <w:t>s</w:t>
      </w:r>
      <w:r w:rsidRPr="00075571">
        <w:t xml:space="preserve"> provide complementary services (</w:t>
      </w:r>
      <w:r>
        <w:t>eg</w:t>
      </w:r>
      <w:r w:rsidRPr="00075571">
        <w:t xml:space="preserve">, screening, assessment, evaluation </w:t>
      </w:r>
      <w:r>
        <w:t xml:space="preserve">and </w:t>
      </w:r>
      <w:r w:rsidRPr="00075571">
        <w:t>coordination of care) to individuals moving through the court system, which may or may not include diversion.</w:t>
      </w:r>
    </w:p>
    <w:p w14:paraId="3FAB87A5" w14:textId="77777777" w:rsidR="009636B7" w:rsidRPr="00075571" w:rsidRDefault="009636B7" w:rsidP="0078769F"/>
    <w:p w14:paraId="327F8A53" w14:textId="77777777" w:rsidR="00EE0ADB" w:rsidRDefault="009636B7" w:rsidP="0078769F">
      <w:pPr>
        <w:keepNext/>
        <w:keepLines/>
      </w:pPr>
      <w:r w:rsidRPr="00075571">
        <w:lastRenderedPageBreak/>
        <w:t xml:space="preserve">In terms of service delivery, </w:t>
      </w:r>
      <w:r>
        <w:t xml:space="preserve">as in </w:t>
      </w:r>
      <w:r w:rsidRPr="00075571">
        <w:t>the other arms of FMHS</w:t>
      </w:r>
      <w:r>
        <w:t>s</w:t>
      </w:r>
      <w:r w:rsidRPr="00075571">
        <w:t xml:space="preserve">, regional variation occurs. Typically, mental health nurses are deployed in court during sittings and act in an advisory role </w:t>
      </w:r>
      <w:r>
        <w:t xml:space="preserve">to help </w:t>
      </w:r>
      <w:r w:rsidRPr="00075571">
        <w:t>legal stakeholders to discern individuals</w:t>
      </w:r>
      <w:r w:rsidR="00EE0ADB">
        <w:t>’</w:t>
      </w:r>
      <w:r w:rsidRPr="00075571">
        <w:t xml:space="preserve"> mental health status and needs (McKenna </w:t>
      </w:r>
      <w:r>
        <w:t>and</w:t>
      </w:r>
      <w:r w:rsidRPr="00075571">
        <w:t xml:space="preserve"> Seaton 2007). There are multiple referral pathways to engage court liaison services (</w:t>
      </w:r>
      <w:r>
        <w:t>eg</w:t>
      </w:r>
      <w:r w:rsidRPr="00075571">
        <w:t>, police, lawyers, judges, the probation service, GMHS</w:t>
      </w:r>
      <w:r>
        <w:t>s</w:t>
      </w:r>
      <w:r w:rsidRPr="00075571">
        <w:t xml:space="preserve">, family </w:t>
      </w:r>
      <w:r>
        <w:t xml:space="preserve">and </w:t>
      </w:r>
      <w:r w:rsidRPr="00075571">
        <w:t xml:space="preserve">self-referral), following which </w:t>
      </w:r>
      <w:r>
        <w:t xml:space="preserve">a mental health nurse may conduct </w:t>
      </w:r>
      <w:r w:rsidRPr="00075571">
        <w:t>initial interviews (</w:t>
      </w:r>
      <w:r>
        <w:t>ie</w:t>
      </w:r>
      <w:r w:rsidRPr="00075571">
        <w:t xml:space="preserve">, screenings) (Brinded 2000; McKenna </w:t>
      </w:r>
      <w:r>
        <w:t>and</w:t>
      </w:r>
      <w:r w:rsidRPr="00075571">
        <w:t xml:space="preserve"> Seaton 2007). Of those interviewed, a portion may require full psychiatric assessment by a forensic psychiatrist, the results of which are reported to the courts with accompanying recommendations to aid in judicial decision-making</w:t>
      </w:r>
      <w:r>
        <w:t>;</w:t>
      </w:r>
      <w:r w:rsidRPr="00075571">
        <w:t xml:space="preserve"> the clinical team does not hold decision-making power.</w:t>
      </w:r>
    </w:p>
    <w:p w14:paraId="61EA73A2" w14:textId="77777777" w:rsidR="009636B7" w:rsidRPr="00075571" w:rsidRDefault="009636B7" w:rsidP="0078769F"/>
    <w:p w14:paraId="7A62F3C0" w14:textId="77777777" w:rsidR="00EE0ADB" w:rsidRDefault="009636B7" w:rsidP="0078769F">
      <w:r w:rsidRPr="00075571">
        <w:t xml:space="preserve">Depending on the severity of the charges, </w:t>
      </w:r>
      <w:r>
        <w:t xml:space="preserve">the </w:t>
      </w:r>
      <w:r w:rsidRPr="00075571">
        <w:t>mental health status</w:t>
      </w:r>
      <w:r>
        <w:t xml:space="preserve"> of the person concerned</w:t>
      </w:r>
      <w:r w:rsidRPr="00075571">
        <w:t xml:space="preserve"> and other legal considerations, subsequent service coordination then ensues as required with GMHS</w:t>
      </w:r>
      <w:r>
        <w:t>s</w:t>
      </w:r>
      <w:r w:rsidRPr="00075571">
        <w:t>, prison mental health services or inpatient FMHS</w:t>
      </w:r>
      <w:r>
        <w:t>s</w:t>
      </w:r>
      <w:r w:rsidRPr="00075571">
        <w:t xml:space="preserve"> (Barnes 1997; Brinded 2000; Brinded </w:t>
      </w:r>
      <w:r w:rsidR="00AD0D58">
        <w:t>et al</w:t>
      </w:r>
      <w:r w:rsidRPr="00075571">
        <w:t xml:space="preserve"> 1996; McKenna </w:t>
      </w:r>
      <w:r>
        <w:t>and</w:t>
      </w:r>
      <w:r w:rsidRPr="00075571">
        <w:t xml:space="preserve"> Seaton 2007).</w:t>
      </w:r>
      <w:r w:rsidRPr="0078769F">
        <w:rPr>
          <w:rStyle w:val="FootnoteReference"/>
        </w:rPr>
        <w:footnoteReference w:id="16"/>
      </w:r>
      <w:r w:rsidRPr="00075571">
        <w:t xml:space="preserve"> (See </w:t>
      </w:r>
      <w:r w:rsidR="0078769F">
        <w:fldChar w:fldCharType="begin"/>
      </w:r>
      <w:r w:rsidR="0078769F">
        <w:instrText xml:space="preserve"> REF _Ref89788417 \h </w:instrText>
      </w:r>
      <w:r w:rsidR="0078769F">
        <w:fldChar w:fldCharType="separate"/>
      </w:r>
      <w:r w:rsidR="00F73238">
        <w:t>Figure </w:t>
      </w:r>
      <w:r w:rsidR="00F73238">
        <w:rPr>
          <w:noProof/>
        </w:rPr>
        <w:t>2</w:t>
      </w:r>
      <w:r w:rsidR="0078769F">
        <w:fldChar w:fldCharType="end"/>
      </w:r>
      <w:r w:rsidRPr="00075571">
        <w:t xml:space="preserve"> for an illustration of this model</w:t>
      </w:r>
      <w:r>
        <w:t>.</w:t>
      </w:r>
      <w:r w:rsidRPr="00075571">
        <w:t xml:space="preserve">) </w:t>
      </w:r>
      <w:r>
        <w:t>In a process s</w:t>
      </w:r>
      <w:r w:rsidRPr="00075571">
        <w:t xml:space="preserve">imilar to </w:t>
      </w:r>
      <w:r>
        <w:t xml:space="preserve">that in </w:t>
      </w:r>
      <w:r w:rsidRPr="00075571">
        <w:t>community FMHS</w:t>
      </w:r>
      <w:r>
        <w:t>s</w:t>
      </w:r>
      <w:r w:rsidRPr="00075571">
        <w:t xml:space="preserve">, </w:t>
      </w:r>
      <w:r w:rsidR="00EE0ADB">
        <w:t>‘</w:t>
      </w:r>
      <w:r w:rsidRPr="00075571">
        <w:t xml:space="preserve">the majority of patients who come into contact with forensic psychiatric services through the courts </w:t>
      </w:r>
      <w:r>
        <w:t>…</w:t>
      </w:r>
      <w:r w:rsidRPr="00075571">
        <w:t xml:space="preserve"> are ultimately passed back to general mental health service care when it is felt clinically appropriate</w:t>
      </w:r>
      <w:r w:rsidR="00EE0ADB">
        <w:t>’</w:t>
      </w:r>
      <w:r w:rsidRPr="00075571">
        <w:t xml:space="preserve"> (Brinded 2000</w:t>
      </w:r>
      <w:r w:rsidR="005054ED">
        <w:t>, p. </w:t>
      </w:r>
      <w:r w:rsidRPr="00075571">
        <w:t>459). Ongoing assessment and reporting by forensic psychiatrists and psychologists to the courts may occur throughout the service user</w:t>
      </w:r>
      <w:r w:rsidR="00EE0ADB">
        <w:t>’</w:t>
      </w:r>
      <w:r w:rsidRPr="00075571">
        <w:t>s involvement with the criminal justice system</w:t>
      </w:r>
      <w:r>
        <w:t>,</w:t>
      </w:r>
      <w:r w:rsidRPr="00075571">
        <w:t xml:space="preserve"> from initial engagement through to diversion/sentencing and release/probation.</w:t>
      </w:r>
    </w:p>
    <w:p w14:paraId="412E0E27" w14:textId="77777777" w:rsidR="009636B7" w:rsidRDefault="009636B7" w:rsidP="009636B7"/>
    <w:p w14:paraId="1EE1BC52" w14:textId="77777777" w:rsidR="009636B7" w:rsidRPr="009F74A1" w:rsidRDefault="0078769F" w:rsidP="0078769F">
      <w:pPr>
        <w:pStyle w:val="Figure"/>
      </w:pPr>
      <w:bookmarkStart w:id="34" w:name="_Ref89788417"/>
      <w:bookmarkStart w:id="35" w:name="_Toc90026027"/>
      <w:r>
        <w:t>Figure </w:t>
      </w:r>
      <w:r w:rsidR="002C1FB3">
        <w:fldChar w:fldCharType="begin"/>
      </w:r>
      <w:r w:rsidR="002C1FB3">
        <w:instrText xml:space="preserve"> SEQ Figure \*</w:instrText>
      </w:r>
      <w:r w:rsidR="002C1FB3">
        <w:instrText xml:space="preserve"> ARABIC </w:instrText>
      </w:r>
      <w:r w:rsidR="002C1FB3">
        <w:fldChar w:fldCharType="separate"/>
      </w:r>
      <w:r w:rsidR="00F73238">
        <w:rPr>
          <w:noProof/>
        </w:rPr>
        <w:t>2</w:t>
      </w:r>
      <w:r w:rsidR="002C1FB3">
        <w:rPr>
          <w:noProof/>
        </w:rPr>
        <w:fldChar w:fldCharType="end"/>
      </w:r>
      <w:bookmarkEnd w:id="34"/>
      <w:r w:rsidR="009636B7" w:rsidRPr="009F74A1">
        <w:t xml:space="preserve">: </w:t>
      </w:r>
      <w:r w:rsidR="009636B7" w:rsidRPr="00295371">
        <w:t>Aotearoa</w:t>
      </w:r>
      <w:r w:rsidR="009636B7">
        <w:t xml:space="preserve"> </w:t>
      </w:r>
      <w:r w:rsidR="009636B7" w:rsidRPr="009F74A1">
        <w:t>New Zealand court liaison service model</w:t>
      </w:r>
      <w:bookmarkEnd w:id="35"/>
    </w:p>
    <w:p w14:paraId="55025A93" w14:textId="77777777" w:rsidR="009636B7" w:rsidRPr="00075571" w:rsidRDefault="009636B7" w:rsidP="0078769F">
      <w:pPr>
        <w:rPr>
          <w:i/>
          <w:iCs/>
        </w:rPr>
      </w:pPr>
      <w:r w:rsidRPr="00231680">
        <w:rPr>
          <w:noProof/>
          <w:lang w:eastAsia="en-NZ"/>
        </w:rPr>
        <w:drawing>
          <wp:inline distT="0" distB="0" distL="0" distR="0" wp14:anchorId="763593B9" wp14:editId="467B5905">
            <wp:extent cx="5128952" cy="2836329"/>
            <wp:effectExtent l="0" t="0" r="0" b="2540"/>
            <wp:docPr id="11" name="Picture 11" descr="Judge, counsel, community teams, police, inpatient services, family, self-referral all connected to court liaison with mental health status of the person requiring service coord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Judge, counsel, community teams, police, inpatient services, family, self-referral all connected to court liaison with mental health status of the person requiring service coordination."/>
                    <pic:cNvPicPr/>
                  </pic:nvPicPr>
                  <pic:blipFill rotWithShape="1">
                    <a:blip r:embed="rId28">
                      <a:extLst>
                        <a:ext uri="{28A0092B-C50C-407E-A947-70E740481C1C}">
                          <a14:useLocalDpi xmlns:a14="http://schemas.microsoft.com/office/drawing/2010/main" val="0"/>
                        </a:ext>
                      </a:extLst>
                    </a:blip>
                    <a:srcRect l="4234" t="5287" r="3584" b="25769"/>
                    <a:stretch/>
                  </pic:blipFill>
                  <pic:spPr bwMode="auto">
                    <a:xfrm>
                      <a:off x="0" y="0"/>
                      <a:ext cx="5246645" cy="2901414"/>
                    </a:xfrm>
                    <a:prstGeom prst="rect">
                      <a:avLst/>
                    </a:prstGeom>
                    <a:ln>
                      <a:noFill/>
                    </a:ln>
                    <a:extLst>
                      <a:ext uri="{53640926-AAD7-44D8-BBD7-CCE9431645EC}">
                        <a14:shadowObscured xmlns:a14="http://schemas.microsoft.com/office/drawing/2010/main"/>
                      </a:ext>
                    </a:extLst>
                  </pic:spPr>
                </pic:pic>
              </a:graphicData>
            </a:graphic>
          </wp:inline>
        </w:drawing>
      </w:r>
    </w:p>
    <w:p w14:paraId="56598980" w14:textId="77777777" w:rsidR="0078769F" w:rsidRDefault="0078769F" w:rsidP="0078769F">
      <w:pPr>
        <w:pStyle w:val="Note"/>
      </w:pPr>
      <w:bookmarkStart w:id="36" w:name="_Toc88823320"/>
      <w:r>
        <w:t>Key</w:t>
      </w:r>
    </w:p>
    <w:p w14:paraId="43FCD402" w14:textId="77777777" w:rsidR="0078769F" w:rsidRDefault="0078769F" w:rsidP="0078769F">
      <w:pPr>
        <w:pStyle w:val="Note"/>
        <w:spacing w:before="0"/>
        <w:ind w:left="1134" w:hanging="1134"/>
      </w:pPr>
      <w:r>
        <w:t>CP(MIP) Act</w:t>
      </w:r>
      <w:r>
        <w:tab/>
        <w:t>Criminal Procedure (Mentally Impaired Persons) Act 2003</w:t>
      </w:r>
    </w:p>
    <w:p w14:paraId="555E28C4" w14:textId="77777777" w:rsidR="0078769F" w:rsidRDefault="0078769F" w:rsidP="0078769F">
      <w:pPr>
        <w:pStyle w:val="Note"/>
        <w:spacing w:before="0"/>
        <w:ind w:left="1134" w:hanging="1134"/>
      </w:pPr>
      <w:r>
        <w:t>MH(CAT) Act</w:t>
      </w:r>
      <w:r>
        <w:tab/>
        <w:t>Mental Health (Compulsory Assessment and Treatment) Act 1992</w:t>
      </w:r>
    </w:p>
    <w:p w14:paraId="184ED174" w14:textId="77777777" w:rsidR="0078769F" w:rsidRDefault="0078769F" w:rsidP="0078769F">
      <w:pPr>
        <w:pStyle w:val="Note"/>
        <w:spacing w:before="0"/>
        <w:ind w:left="1134" w:hanging="1134"/>
      </w:pPr>
      <w:r>
        <w:t>ID</w:t>
      </w:r>
      <w:r>
        <w:tab/>
        <w:t>Intellectual Disability</w:t>
      </w:r>
    </w:p>
    <w:p w14:paraId="22C61859" w14:textId="77777777" w:rsidR="0078769F" w:rsidRPr="0078769F" w:rsidRDefault="0078769F" w:rsidP="0078769F">
      <w:pPr>
        <w:pStyle w:val="Note"/>
        <w:spacing w:before="0"/>
        <w:ind w:left="1134" w:hanging="1134"/>
      </w:pPr>
      <w:r>
        <w:t>CMHC</w:t>
      </w:r>
      <w:r>
        <w:tab/>
        <w:t>Community Mental Health Centre</w:t>
      </w:r>
    </w:p>
    <w:p w14:paraId="24A0D391" w14:textId="77777777" w:rsidR="009636B7" w:rsidRDefault="009636B7" w:rsidP="0078769F">
      <w:pPr>
        <w:pStyle w:val="Source"/>
      </w:pPr>
      <w:r w:rsidRPr="00981F49">
        <w:t>Source: McKenna and Seaton 2007</w:t>
      </w:r>
      <w:r w:rsidR="005054ED">
        <w:t>, p. </w:t>
      </w:r>
      <w:r w:rsidRPr="00981F49">
        <w:t>458</w:t>
      </w:r>
      <w:bookmarkEnd w:id="36"/>
    </w:p>
    <w:p w14:paraId="48E13538" w14:textId="77777777" w:rsidR="0078769F" w:rsidRPr="0078769F" w:rsidRDefault="0078769F" w:rsidP="0078769F"/>
    <w:p w14:paraId="02C3937E" w14:textId="77777777" w:rsidR="009636B7" w:rsidRPr="00075571" w:rsidRDefault="009636B7" w:rsidP="0078769F">
      <w:pPr>
        <w:pStyle w:val="Heading2"/>
      </w:pPr>
      <w:bookmarkStart w:id="37" w:name="_Toc16805623"/>
      <w:bookmarkStart w:id="38" w:name="_Toc88823223"/>
      <w:bookmarkStart w:id="39" w:name="_Toc90025992"/>
      <w:r w:rsidRPr="00075571">
        <w:lastRenderedPageBreak/>
        <w:t xml:space="preserve">Defining </w:t>
      </w:r>
      <w:r w:rsidR="00EE0ADB">
        <w:t>‘</w:t>
      </w:r>
      <w:r>
        <w:t>m</w:t>
      </w:r>
      <w:r w:rsidRPr="00075571">
        <w:t xml:space="preserve">odel of </w:t>
      </w:r>
      <w:r>
        <w:t>c</w:t>
      </w:r>
      <w:r w:rsidRPr="00075571">
        <w:t>are</w:t>
      </w:r>
      <w:r w:rsidR="00EE0ADB">
        <w:t>’</w:t>
      </w:r>
      <w:bookmarkEnd w:id="37"/>
      <w:bookmarkEnd w:id="38"/>
      <w:bookmarkEnd w:id="39"/>
    </w:p>
    <w:p w14:paraId="23FDFCB3" w14:textId="77777777" w:rsidR="00EE0ADB" w:rsidRDefault="009636B7" w:rsidP="0078769F">
      <w:r>
        <w:t>A m</w:t>
      </w:r>
      <w:r w:rsidRPr="00075571">
        <w:t xml:space="preserve">odel of care </w:t>
      </w:r>
      <w:r>
        <w:t xml:space="preserve">is an </w:t>
      </w:r>
      <w:r w:rsidRPr="00075571">
        <w:t xml:space="preserve">overarching framework </w:t>
      </w:r>
      <w:r>
        <w:t>us</w:t>
      </w:r>
      <w:r w:rsidRPr="00075571">
        <w:t>ed in service planning to guide service provision. In other words</w:t>
      </w:r>
      <w:r>
        <w:t>:</w:t>
      </w:r>
    </w:p>
    <w:p w14:paraId="61D43426" w14:textId="77777777" w:rsidR="00EE0ADB" w:rsidRDefault="009636B7" w:rsidP="0078769F">
      <w:pPr>
        <w:pStyle w:val="Quote"/>
      </w:pPr>
      <w:r w:rsidRPr="001A28C6">
        <w:t>a Model of Care broadly defines the way health services are delivered. It outlines best practice care and services for a person, population group or patient cohort as they progress through the stages of a condition, injury or event. It aims to ensure people get the right care, at the right time, by the right team and in the right place. (Agency for Clinical Innovation for New South Wales 2013</w:t>
      </w:r>
      <w:r w:rsidRPr="000329FE">
        <w:t xml:space="preserve">, as cited in Kennedy </w:t>
      </w:r>
      <w:r w:rsidR="00AD0D58">
        <w:t>et al</w:t>
      </w:r>
      <w:r w:rsidRPr="000329FE">
        <w:t xml:space="preserve"> </w:t>
      </w:r>
      <w:r>
        <w:t>f</w:t>
      </w:r>
      <w:r w:rsidRPr="000329FE">
        <w:t>orthcoming</w:t>
      </w:r>
      <w:r w:rsidR="005054ED">
        <w:t>, p. </w:t>
      </w:r>
      <w:r w:rsidRPr="000329FE">
        <w:t>2)</w:t>
      </w:r>
    </w:p>
    <w:p w14:paraId="24E16D79" w14:textId="77777777" w:rsidR="009636B7" w:rsidRPr="00075571" w:rsidRDefault="009636B7" w:rsidP="0078769F"/>
    <w:p w14:paraId="7731825C" w14:textId="77777777" w:rsidR="00EE0ADB" w:rsidRDefault="009636B7" w:rsidP="0078769F">
      <w:r w:rsidRPr="00075571">
        <w:t xml:space="preserve">However, there is no widely accepted definition for </w:t>
      </w:r>
      <w:r w:rsidR="00EE0ADB">
        <w:t>‘</w:t>
      </w:r>
      <w:r w:rsidRPr="00075571">
        <w:t>model of care</w:t>
      </w:r>
      <w:r w:rsidR="00EE0ADB">
        <w:t>’</w:t>
      </w:r>
      <w:r>
        <w:t>,</w:t>
      </w:r>
      <w:r w:rsidRPr="00075571">
        <w:t xml:space="preserve"> and consensus is lacking on what constitutes a model of care in FMHS</w:t>
      </w:r>
      <w:r>
        <w:t>s</w:t>
      </w:r>
      <w:r w:rsidRPr="00075571">
        <w:t xml:space="preserve"> (Kennedy </w:t>
      </w:r>
      <w:r w:rsidR="00AD0D58">
        <w:t>et al</w:t>
      </w:r>
      <w:r w:rsidRPr="00075571">
        <w:t xml:space="preserve"> </w:t>
      </w:r>
      <w:r>
        <w:t>f</w:t>
      </w:r>
      <w:r w:rsidRPr="00075571">
        <w:t xml:space="preserve">orthcoming). Moreover, </w:t>
      </w:r>
      <w:r w:rsidR="00EE0ADB">
        <w:t>‘</w:t>
      </w:r>
      <w:r w:rsidRPr="00075571">
        <w:t>models of care are seldom defined with sufficient clarity so that the goals can be specified and measured over time</w:t>
      </w:r>
      <w:r w:rsidR="00EE0ADB">
        <w:t>’</w:t>
      </w:r>
      <w:r w:rsidRPr="00075571">
        <w:t xml:space="preserve"> (Kennedy </w:t>
      </w:r>
      <w:r w:rsidR="00AD0D58">
        <w:t>et al</w:t>
      </w:r>
      <w:r w:rsidRPr="00075571">
        <w:t xml:space="preserve"> </w:t>
      </w:r>
      <w:r>
        <w:t>f</w:t>
      </w:r>
      <w:r w:rsidRPr="00075571">
        <w:t>orthcoming</w:t>
      </w:r>
      <w:r w:rsidR="005054ED">
        <w:t>, p. </w:t>
      </w:r>
      <w:r w:rsidRPr="00075571">
        <w:t>2). As such, models of care vary widely between organisations, regions and jurisdictions in</w:t>
      </w:r>
      <w:r>
        <w:t xml:space="preserve"> terms of</w:t>
      </w:r>
      <w:r w:rsidRPr="00075571">
        <w:t>: (a) scope, content and level of detail; (b) how they are articulated; and (c) how they are implemented.</w:t>
      </w:r>
    </w:p>
    <w:p w14:paraId="41630798" w14:textId="77777777" w:rsidR="009636B7" w:rsidRPr="00075571" w:rsidRDefault="009636B7" w:rsidP="0078769F"/>
    <w:p w14:paraId="0F273BF2" w14:textId="77777777" w:rsidR="009636B7" w:rsidRPr="00075571" w:rsidRDefault="009636B7" w:rsidP="0078769F">
      <w:r w:rsidRPr="00075571">
        <w:t xml:space="preserve">Kennedy </w:t>
      </w:r>
      <w:r w:rsidR="00AD0D58">
        <w:t>et al</w:t>
      </w:r>
      <w:r w:rsidRPr="00075571">
        <w:t xml:space="preserve"> (</w:t>
      </w:r>
      <w:r>
        <w:t>f</w:t>
      </w:r>
      <w:r w:rsidRPr="00075571">
        <w:t xml:space="preserve">orthcoming) provide the only in-depth discussion of the concept of a forensic mental health </w:t>
      </w:r>
      <w:r w:rsidR="00EE0ADB">
        <w:t>‘</w:t>
      </w:r>
      <w:r w:rsidRPr="00075571">
        <w:t>model of care</w:t>
      </w:r>
      <w:r w:rsidR="00EE0ADB">
        <w:t>’</w:t>
      </w:r>
      <w:r w:rsidRPr="00815A31">
        <w:t>.</w:t>
      </w:r>
      <w:r w:rsidRPr="00075571">
        <w:t xml:space="preserve"> Generally, Kennedy </w:t>
      </w:r>
      <w:r w:rsidR="00AD0D58">
        <w:t>et al</w:t>
      </w:r>
      <w:r w:rsidRPr="00075571">
        <w:t xml:space="preserve"> recommend </w:t>
      </w:r>
      <w:r>
        <w:t xml:space="preserve">that </w:t>
      </w:r>
      <w:r w:rsidRPr="00075571">
        <w:t xml:space="preserve">such a model should </w:t>
      </w:r>
      <w:r w:rsidRPr="00D212A2">
        <w:t>consider</w:t>
      </w:r>
      <w:r w:rsidRPr="00075571">
        <w:t xml:space="preserve"> therapeutic safety and </w:t>
      </w:r>
      <w:r w:rsidRPr="00815A31">
        <w:t>security and</w:t>
      </w:r>
      <w:r w:rsidRPr="00075571">
        <w:t xml:space="preserve"> integrate pathways through forensic mental health care and treatment wherever possible to achieve continuity of care. As Kennedy </w:t>
      </w:r>
      <w:r w:rsidR="00AD0D58">
        <w:t>et al</w:t>
      </w:r>
      <w:r w:rsidRPr="00075571">
        <w:t xml:space="preserve"> explain</w:t>
      </w:r>
      <w:r>
        <w:t>:</w:t>
      </w:r>
    </w:p>
    <w:p w14:paraId="6F3371B4" w14:textId="77777777" w:rsidR="009636B7" w:rsidRPr="000329FE" w:rsidRDefault="009636B7" w:rsidP="0078769F">
      <w:pPr>
        <w:pStyle w:val="Quote"/>
      </w:pPr>
      <w:r w:rsidRPr="001A28C6">
        <w:t xml:space="preserve">the key elements of a model of care for a forensic mental health service can be summarised as </w:t>
      </w:r>
      <w:r w:rsidRPr="000329FE">
        <w:t>a means of identifying those in the criminal justice system who have unmet needs for care and treatment for severe mental disorders, allocating patients to an appropriate and proportionate level of therapeutic security and ensuring that patients can progress along a stratified pathway to the least restrictive level of support needed for stability and dignity, and the delivery of a system of treatment that will reduce violence proneness and enhance the four forms of recovery – personal recovery, symptomatic recovery, functional recovery and forensic recovery.</w:t>
      </w:r>
      <w:r w:rsidR="00AD0D58">
        <w:t xml:space="preserve"> (p. </w:t>
      </w:r>
      <w:r w:rsidRPr="000329FE">
        <w:t>17)</w:t>
      </w:r>
    </w:p>
    <w:p w14:paraId="239DE879" w14:textId="77777777" w:rsidR="009636B7" w:rsidRPr="00075571" w:rsidRDefault="009636B7" w:rsidP="0078769F"/>
    <w:p w14:paraId="7BEC3AF4" w14:textId="77777777" w:rsidR="00EE0ADB" w:rsidRDefault="009636B7" w:rsidP="0078769F">
      <w:r w:rsidRPr="00075571">
        <w:t xml:space="preserve">This includes identifying the key points of intersection between services. The model of care should further be </w:t>
      </w:r>
      <w:r w:rsidR="00EE0ADB">
        <w:t>‘</w:t>
      </w:r>
      <w:r w:rsidRPr="001A28C6">
        <w:t>formulated in such a way that it can be rigorously compared with alternatives, including the current model</w:t>
      </w:r>
      <w:r w:rsidR="00EE0ADB">
        <w:t>’</w:t>
      </w:r>
      <w:r w:rsidR="00AD0D58">
        <w:t xml:space="preserve"> (p. </w:t>
      </w:r>
      <w:r w:rsidRPr="001A28C6">
        <w:t>2). It should set clear, specific and measurable objectives (</w:t>
      </w:r>
      <w:r>
        <w:t>ie</w:t>
      </w:r>
      <w:r w:rsidRPr="001A28C6">
        <w:t xml:space="preserve">, key performance indicators) and detail how its goals will be </w:t>
      </w:r>
      <w:r w:rsidRPr="000329FE">
        <w:t xml:space="preserve">achieved within a defined timeframe. This explanation </w:t>
      </w:r>
      <w:r w:rsidR="00EE0ADB">
        <w:t>‘</w:t>
      </w:r>
      <w:r w:rsidRPr="000329FE">
        <w:t>should be sufficient to enable operational policies and design briefs to be largely determined by it, without having to introduce substantial new aspects of practice and process</w:t>
      </w:r>
      <w:r w:rsidR="00EE0ADB">
        <w:t>’</w:t>
      </w:r>
      <w:r w:rsidR="00AD0D58">
        <w:t xml:space="preserve"> (p. </w:t>
      </w:r>
      <w:r w:rsidRPr="000329FE">
        <w:t xml:space="preserve">3). Finally, measurement and reporting of outcomes should be conducted to facilitate </w:t>
      </w:r>
      <w:r w:rsidR="00EE0ADB">
        <w:t>‘</w:t>
      </w:r>
      <w:r w:rsidRPr="000329FE">
        <w:t>continuous improvement in the effectiveness of the service</w:t>
      </w:r>
      <w:r w:rsidR="00EE0ADB">
        <w:t>’</w:t>
      </w:r>
      <w:r w:rsidR="00AD0D58">
        <w:t xml:space="preserve"> (p. </w:t>
      </w:r>
      <w:r w:rsidRPr="000329FE">
        <w:t>3).</w:t>
      </w:r>
    </w:p>
    <w:p w14:paraId="309E8A0B" w14:textId="77777777" w:rsidR="0078769F" w:rsidRDefault="0078769F" w:rsidP="0078769F"/>
    <w:p w14:paraId="4D2294F2" w14:textId="77777777" w:rsidR="009636B7" w:rsidRPr="00075571" w:rsidRDefault="009636B7" w:rsidP="0078769F">
      <w:pPr>
        <w:pStyle w:val="Heading2"/>
      </w:pPr>
      <w:bookmarkStart w:id="40" w:name="_Toc16805624"/>
      <w:bookmarkStart w:id="41" w:name="_Toc88823224"/>
      <w:bookmarkStart w:id="42" w:name="_Toc90025993"/>
      <w:r w:rsidRPr="00075571">
        <w:lastRenderedPageBreak/>
        <w:t xml:space="preserve">Project </w:t>
      </w:r>
      <w:r>
        <w:t>b</w:t>
      </w:r>
      <w:r w:rsidRPr="00075571">
        <w:t>rief</w:t>
      </w:r>
      <w:bookmarkEnd w:id="40"/>
      <w:bookmarkEnd w:id="41"/>
      <w:bookmarkEnd w:id="42"/>
    </w:p>
    <w:p w14:paraId="42B8F6A9" w14:textId="77777777" w:rsidR="009636B7" w:rsidRPr="00075571" w:rsidRDefault="009636B7" w:rsidP="0078769F">
      <w:r w:rsidRPr="00075571">
        <w:t>The aim of this project was to conduct a review of national and international scholarly literature on models of care pertaining to the four main areas of FMHS</w:t>
      </w:r>
      <w:r>
        <w:t>s</w:t>
      </w:r>
      <w:r w:rsidRPr="00075571">
        <w:t xml:space="preserve"> (inpatient, community, prisons and courts), as well as the regional, national and international grey literature. The </w:t>
      </w:r>
      <w:r>
        <w:t xml:space="preserve">Ministry of Health tasked the </w:t>
      </w:r>
      <w:r w:rsidRPr="00075571">
        <w:t>researchers with identifying evidence-based best practices in the literature to generate high</w:t>
      </w:r>
      <w:r>
        <w:t>-</w:t>
      </w:r>
      <w:r w:rsidRPr="00075571">
        <w:t xml:space="preserve">level guidance that </w:t>
      </w:r>
      <w:r>
        <w:t xml:space="preserve">the Ministry </w:t>
      </w:r>
      <w:r w:rsidRPr="00075571">
        <w:t xml:space="preserve">may use to inform the development of a national </w:t>
      </w:r>
      <w:r w:rsidRPr="000329FE">
        <w:rPr>
          <w:rFonts w:cs="Segoe UI"/>
        </w:rPr>
        <w:t>implementation guidance document</w:t>
      </w:r>
      <w:r w:rsidRPr="00075571">
        <w:t xml:space="preserve"> for FMHS</w:t>
      </w:r>
      <w:r>
        <w:t>s</w:t>
      </w:r>
      <w:r w:rsidRPr="00075571">
        <w:t xml:space="preserve">. This </w:t>
      </w:r>
      <w:r>
        <w:t xml:space="preserve">process involved </w:t>
      </w:r>
      <w:r w:rsidRPr="00075571">
        <w:t xml:space="preserve">a focus on priority populations among FMHS users, particularly Māori, </w:t>
      </w:r>
      <w:r>
        <w:t>Pacific peoples</w:t>
      </w:r>
      <w:r w:rsidRPr="00075571">
        <w:t xml:space="preserve"> and women.</w:t>
      </w:r>
    </w:p>
    <w:p w14:paraId="4CDB76B4" w14:textId="77777777" w:rsidR="009636B7" w:rsidRPr="00075571" w:rsidRDefault="009636B7" w:rsidP="0078769F"/>
    <w:p w14:paraId="1A65B1E8" w14:textId="77777777" w:rsidR="00EE0ADB" w:rsidRDefault="009636B7" w:rsidP="0078769F">
      <w:r w:rsidRPr="00075571">
        <w:t>The researchers first conducted four scoping systematic literature reviews on models of care for adult inpatient, community, prison and court FMHS</w:t>
      </w:r>
      <w:r>
        <w:t>s</w:t>
      </w:r>
      <w:r w:rsidRPr="00075571">
        <w:t xml:space="preserve">, respectively, between April and August 2019. As </w:t>
      </w:r>
      <w:r w:rsidR="00EE0ADB">
        <w:t>‘</w:t>
      </w:r>
      <w:r w:rsidRPr="00075571">
        <w:t>model of care</w:t>
      </w:r>
      <w:r w:rsidR="00EE0ADB">
        <w:t>’</w:t>
      </w:r>
      <w:r w:rsidRPr="00075571">
        <w:t xml:space="preserve"> has broad definitions and is often not discussed directly, the researchers examined the broader literature on approaches, models, frameworks, service provision and service delivery within adult FMHS</w:t>
      </w:r>
      <w:r>
        <w:t>s</w:t>
      </w:r>
      <w:r w:rsidRPr="00075571">
        <w:t xml:space="preserve"> to locate discussion on models of care. The documents reviewed thus represent a large sampling of the forensic mental health literature. It is important to note here that a large proportion of the publications reviewed were produced by larger FMHS</w:t>
      </w:r>
      <w:r>
        <w:t>s</w:t>
      </w:r>
      <w:r w:rsidRPr="00075571">
        <w:t xml:space="preserve">, and therefore may not have reflected regional variations and </w:t>
      </w:r>
      <w:r w:rsidRPr="00D212A2">
        <w:t>imperatives</w:t>
      </w:r>
      <w:r w:rsidRPr="00075571">
        <w:t xml:space="preserve"> or, in the case of international publications, the unique context of service provision in Aotearoa </w:t>
      </w:r>
      <w:r>
        <w:t>New Zealand</w:t>
      </w:r>
      <w:r w:rsidRPr="00075571">
        <w:t>.</w:t>
      </w:r>
    </w:p>
    <w:p w14:paraId="4A66D4F1" w14:textId="77777777" w:rsidR="009636B7" w:rsidRPr="00075571" w:rsidRDefault="009636B7" w:rsidP="0078769F"/>
    <w:p w14:paraId="6603FC36" w14:textId="77777777" w:rsidR="00EE0ADB" w:rsidRDefault="009636B7" w:rsidP="0078769F">
      <w:r>
        <w:t>The researchers conducted s</w:t>
      </w:r>
      <w:r w:rsidRPr="00075571">
        <w:t xml:space="preserve">earches </w:t>
      </w:r>
      <w:r>
        <w:t>us</w:t>
      </w:r>
      <w:r w:rsidRPr="00075571">
        <w:t>ing a set of predetermined keywords via several databases, namely Scopus, ScienceDirect and Google Scholar.</w:t>
      </w:r>
      <w:r w:rsidRPr="0078769F">
        <w:rPr>
          <w:rStyle w:val="FootnoteReference"/>
        </w:rPr>
        <w:footnoteReference w:id="17"/>
      </w:r>
      <w:r w:rsidRPr="00075571">
        <w:t xml:space="preserve"> </w:t>
      </w:r>
      <w:r>
        <w:t>They also obtained l</w:t>
      </w:r>
      <w:r w:rsidRPr="00075571">
        <w:t xml:space="preserve">iterature via recommendations from the </w:t>
      </w:r>
      <w:r>
        <w:t>Ministry of Health</w:t>
      </w:r>
      <w:r w:rsidRPr="00075571">
        <w:t xml:space="preserve"> advisors overseeing this project. </w:t>
      </w:r>
      <w:r>
        <w:t>The researchers screened r</w:t>
      </w:r>
      <w:r w:rsidRPr="00075571">
        <w:t xml:space="preserve">esults first by title, then </w:t>
      </w:r>
      <w:r>
        <w:t xml:space="preserve">by </w:t>
      </w:r>
      <w:r w:rsidRPr="00075571">
        <w:t xml:space="preserve">abstract, then </w:t>
      </w:r>
      <w:r>
        <w:t xml:space="preserve">by </w:t>
      </w:r>
      <w:r w:rsidRPr="00075571">
        <w:t>full text to determine relevance to the project brief. Literature was limited to English-language works from 1990 to the present. Literature was not required to be peer-reviewed</w:t>
      </w:r>
      <w:r>
        <w:t>,</w:t>
      </w:r>
      <w:r w:rsidRPr="00075571">
        <w:t xml:space="preserve"> to allow for a broader scope, though the majority of works located were peer-reviewed articles.</w:t>
      </w:r>
    </w:p>
    <w:p w14:paraId="41EF9B94" w14:textId="77777777" w:rsidR="009636B7" w:rsidRPr="00075571" w:rsidRDefault="009636B7" w:rsidP="0078769F"/>
    <w:p w14:paraId="20304F30" w14:textId="77777777" w:rsidR="00EE0ADB" w:rsidRDefault="009636B7" w:rsidP="0078769F">
      <w:r w:rsidRPr="00075571">
        <w:t xml:space="preserve">Within the search results, </w:t>
      </w:r>
      <w:r>
        <w:t xml:space="preserve">according to </w:t>
      </w:r>
      <w:r w:rsidRPr="00075571">
        <w:t xml:space="preserve">the project aims, the </w:t>
      </w:r>
      <w:r>
        <w:t xml:space="preserve">researchers restricted the </w:t>
      </w:r>
      <w:r w:rsidRPr="00075571">
        <w:t xml:space="preserve">literature to works concerning the adult population of FMHS users. As such, </w:t>
      </w:r>
      <w:r>
        <w:t xml:space="preserve">they excluded </w:t>
      </w:r>
      <w:r w:rsidRPr="00075571">
        <w:t>literature pertaining to non</w:t>
      </w:r>
      <w:r>
        <w:t>-</w:t>
      </w:r>
      <w:r w:rsidRPr="00075571">
        <w:t>forensic service users (</w:t>
      </w:r>
      <w:r>
        <w:t>ie</w:t>
      </w:r>
      <w:r w:rsidRPr="00075571">
        <w:t xml:space="preserve">, </w:t>
      </w:r>
      <w:r>
        <w:t>users of GMHSs</w:t>
      </w:r>
      <w:r w:rsidRPr="00075571">
        <w:t>, including AOD</w:t>
      </w:r>
      <w:r>
        <w:t xml:space="preserve"> services</w:t>
      </w:r>
      <w:r w:rsidRPr="00075571">
        <w:t>) or children/adolescents (</w:t>
      </w:r>
      <w:r>
        <w:t>ie</w:t>
      </w:r>
      <w:r w:rsidRPr="00075571">
        <w:t xml:space="preserve">, </w:t>
      </w:r>
      <w:r>
        <w:t xml:space="preserve">users of </w:t>
      </w:r>
      <w:r w:rsidRPr="00075571">
        <w:t xml:space="preserve">forensic or </w:t>
      </w:r>
      <w:r w:rsidRPr="00D212A2">
        <w:t>no</w:t>
      </w:r>
      <w:r>
        <w:t>n-</w:t>
      </w:r>
      <w:r w:rsidRPr="00D212A2">
        <w:t>forensic</w:t>
      </w:r>
      <w:r w:rsidRPr="00075571">
        <w:t xml:space="preserve"> youth services). Further, </w:t>
      </w:r>
      <w:r>
        <w:t xml:space="preserve">the researchers excluded </w:t>
      </w:r>
      <w:r w:rsidRPr="00075571">
        <w:t xml:space="preserve">literature focusing on specific interventions, instruments or programmes </w:t>
      </w:r>
      <w:r>
        <w:t>us</w:t>
      </w:r>
      <w:r w:rsidRPr="00075571">
        <w:t>ed in the assessment and treatment of adult FMHS users, including those relating to comorbidities, which may be relevant to the treatment contexts of FMHS users (</w:t>
      </w:r>
      <w:r>
        <w:t>eg</w:t>
      </w:r>
      <w:r w:rsidRPr="00075571">
        <w:t>, AOD).</w:t>
      </w:r>
    </w:p>
    <w:p w14:paraId="785AB6C8" w14:textId="77777777" w:rsidR="009636B7" w:rsidRPr="00075571" w:rsidRDefault="009636B7" w:rsidP="0078769F"/>
    <w:p w14:paraId="4B230866" w14:textId="77777777" w:rsidR="00EE0ADB" w:rsidRPr="0078769F" w:rsidRDefault="009636B7" w:rsidP="0078769F">
      <w:pPr>
        <w:rPr>
          <w:spacing w:val="-2"/>
        </w:rPr>
      </w:pPr>
      <w:r w:rsidRPr="0078769F">
        <w:rPr>
          <w:spacing w:val="-2"/>
        </w:rPr>
        <w:t xml:space="preserve">In terms of research methodologies, the literature represented a broad cross-section of qualitative and quantitative approaches; case studies were the dominant method used. Methodology was not a criterion in determining relevance to the project brief. Rather, the researchers focused on content pertaining to models of care. In total, the researchers reviewed 9,701 titles; they retained 294 sources for in-depth analysis (see </w:t>
      </w:r>
      <w:r w:rsidR="0078769F" w:rsidRPr="0078769F">
        <w:rPr>
          <w:spacing w:val="-2"/>
        </w:rPr>
        <w:fldChar w:fldCharType="begin"/>
      </w:r>
      <w:r w:rsidR="0078769F" w:rsidRPr="0078769F">
        <w:rPr>
          <w:spacing w:val="-2"/>
        </w:rPr>
        <w:instrText xml:space="preserve"> REF _Ref89788690 \h </w:instrText>
      </w:r>
      <w:r w:rsidR="0078769F">
        <w:rPr>
          <w:spacing w:val="-2"/>
        </w:rPr>
        <w:instrText xml:space="preserve"> \* MERGEFORMAT </w:instrText>
      </w:r>
      <w:r w:rsidR="0078769F" w:rsidRPr="0078769F">
        <w:rPr>
          <w:spacing w:val="-2"/>
        </w:rPr>
      </w:r>
      <w:r w:rsidR="0078769F" w:rsidRPr="0078769F">
        <w:rPr>
          <w:spacing w:val="-2"/>
        </w:rPr>
        <w:fldChar w:fldCharType="separate"/>
      </w:r>
      <w:r w:rsidR="00F73238" w:rsidRPr="00F73238">
        <w:rPr>
          <w:spacing w:val="-2"/>
        </w:rPr>
        <w:t>Figure 3</w:t>
      </w:r>
      <w:r w:rsidR="0078769F" w:rsidRPr="0078769F">
        <w:rPr>
          <w:spacing w:val="-2"/>
        </w:rPr>
        <w:fldChar w:fldCharType="end"/>
      </w:r>
      <w:r w:rsidRPr="0078769F">
        <w:rPr>
          <w:spacing w:val="-2"/>
        </w:rPr>
        <w:t>).</w:t>
      </w:r>
    </w:p>
    <w:p w14:paraId="1A0600B5" w14:textId="77777777" w:rsidR="0078769F" w:rsidRPr="00075571" w:rsidRDefault="0078769F" w:rsidP="0078769F"/>
    <w:p w14:paraId="7355D673" w14:textId="77777777" w:rsidR="00EE0ADB" w:rsidRDefault="009636B7" w:rsidP="0078769F">
      <w:r w:rsidRPr="00075571">
        <w:lastRenderedPageBreak/>
        <w:t>The researchers then conducted a fifth review of the grey (organisational) literature at the regional, national and international levels to investigate (a) what guidelines exist concerning models of care in FMHS</w:t>
      </w:r>
      <w:r>
        <w:t>s</w:t>
      </w:r>
      <w:r w:rsidRPr="00075571">
        <w:t xml:space="preserve"> and (b) how existing guidelines/models of care align with the evidence base. To obtain regional documentation, a </w:t>
      </w:r>
      <w:r>
        <w:t>Ministry of Health</w:t>
      </w:r>
      <w:r w:rsidRPr="00075571">
        <w:t xml:space="preserve"> liaison contacted the five regional FMHS</w:t>
      </w:r>
      <w:r>
        <w:t>s</w:t>
      </w:r>
      <w:r w:rsidRPr="00075571">
        <w:t xml:space="preserve"> to request service documentation pertaining to models of care. Grey literature was obtained at the national and international levels via searches of relevant organisational websites and through contact with </w:t>
      </w:r>
      <w:r>
        <w:t>Ministry of Health</w:t>
      </w:r>
      <w:r w:rsidRPr="00075571">
        <w:t xml:space="preserve"> advisors and international colleagues. In total, 61 additional documents were included in the grey literature review.</w:t>
      </w:r>
    </w:p>
    <w:p w14:paraId="3F10EA8B" w14:textId="77777777" w:rsidR="009636B7" w:rsidRPr="00075571" w:rsidRDefault="009636B7" w:rsidP="0078769F"/>
    <w:p w14:paraId="0702BE93" w14:textId="77777777" w:rsidR="00EE0ADB" w:rsidRDefault="009636B7" w:rsidP="0078769F">
      <w:r w:rsidRPr="00075571">
        <w:t xml:space="preserve">The remainder of this report provides the detailed findings of each of the five literature reviews (inpatient, community, prisons, courts and guidelines), followed by a set of evidence-based summaries which may be </w:t>
      </w:r>
      <w:r>
        <w:t>us</w:t>
      </w:r>
      <w:r w:rsidRPr="00075571">
        <w:t xml:space="preserve">ed to inform the creation of a national framework for FMHS in Aotearoa </w:t>
      </w:r>
      <w:r>
        <w:t>New Zealand</w:t>
      </w:r>
      <w:r w:rsidRPr="00075571">
        <w:t>.</w:t>
      </w:r>
    </w:p>
    <w:p w14:paraId="0F55CC58" w14:textId="77777777" w:rsidR="009636B7" w:rsidRDefault="009636B7" w:rsidP="0078769F"/>
    <w:p w14:paraId="698D159F" w14:textId="77777777" w:rsidR="009636B7" w:rsidRPr="00075571" w:rsidRDefault="0078769F" w:rsidP="0078769F">
      <w:pPr>
        <w:pStyle w:val="Figure"/>
      </w:pPr>
      <w:bookmarkStart w:id="43" w:name="_Ref89788690"/>
      <w:bookmarkStart w:id="44" w:name="_Toc88823321"/>
      <w:bookmarkStart w:id="45" w:name="_Toc90026028"/>
      <w:r>
        <w:t>Figure </w:t>
      </w:r>
      <w:r w:rsidR="002C1FB3">
        <w:fldChar w:fldCharType="begin"/>
      </w:r>
      <w:r w:rsidR="002C1FB3">
        <w:instrText xml:space="preserve"> SEQ Figure \* ARABIC </w:instrText>
      </w:r>
      <w:r w:rsidR="002C1FB3">
        <w:fldChar w:fldCharType="separate"/>
      </w:r>
      <w:r w:rsidR="00F73238">
        <w:rPr>
          <w:noProof/>
        </w:rPr>
        <w:t>3</w:t>
      </w:r>
      <w:r w:rsidR="002C1FB3">
        <w:rPr>
          <w:noProof/>
        </w:rPr>
        <w:fldChar w:fldCharType="end"/>
      </w:r>
      <w:bookmarkEnd w:id="43"/>
      <w:r w:rsidR="009636B7" w:rsidRPr="00075571">
        <w:t>: Summary of literature review results</w:t>
      </w:r>
      <w:bookmarkEnd w:id="44"/>
      <w:bookmarkEnd w:id="45"/>
    </w:p>
    <w:p w14:paraId="648363CE" w14:textId="77777777" w:rsidR="009636B7" w:rsidRPr="00075571" w:rsidRDefault="00EB7F54" w:rsidP="00EB7F54">
      <w:r>
        <w:rPr>
          <w:noProof/>
          <w:lang w:eastAsia="en-NZ"/>
        </w:rPr>
        <w:drawing>
          <wp:inline distT="0" distB="0" distL="0" distR="0" wp14:anchorId="0C714ADD" wp14:editId="7151BCAD">
            <wp:extent cx="3232457" cy="3948545"/>
            <wp:effectExtent l="0" t="0" r="6350" b="0"/>
            <wp:docPr id="10" name="Picture 10" title="Figure 3: Summary of literature review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3082" cy="3949308"/>
                    </a:xfrm>
                    <a:prstGeom prst="rect">
                      <a:avLst/>
                    </a:prstGeom>
                    <a:noFill/>
                  </pic:spPr>
                </pic:pic>
              </a:graphicData>
            </a:graphic>
          </wp:inline>
        </w:drawing>
      </w:r>
    </w:p>
    <w:p w14:paraId="1F98B705" w14:textId="77777777" w:rsidR="00EE0ADB" w:rsidRDefault="009636B7" w:rsidP="00F578F3">
      <w:pPr>
        <w:pStyle w:val="Note"/>
        <w:ind w:left="284" w:hanging="284"/>
      </w:pPr>
      <w:bookmarkStart w:id="46" w:name="_Toc88823322"/>
      <w:r w:rsidRPr="00075571">
        <w:t>*</w:t>
      </w:r>
      <w:r w:rsidR="00F578F3">
        <w:tab/>
        <w:t>D</w:t>
      </w:r>
      <w:r w:rsidRPr="00075571">
        <w:t>ue to the nature of the websites reviewed, an exact figure cannot be provided.</w:t>
      </w:r>
      <w:bookmarkEnd w:id="46"/>
    </w:p>
    <w:p w14:paraId="40B204D9" w14:textId="77777777" w:rsidR="009636B7" w:rsidRDefault="009636B7" w:rsidP="00F578F3">
      <w:pPr>
        <w:pStyle w:val="Note"/>
        <w:ind w:left="284" w:hanging="284"/>
      </w:pPr>
      <w:bookmarkStart w:id="47" w:name="_Toc88823323"/>
      <w:r w:rsidRPr="00075571">
        <w:t>**</w:t>
      </w:r>
      <w:r w:rsidR="00F578F3">
        <w:tab/>
      </w:r>
      <w:r w:rsidRPr="00075571">
        <w:t>Total sources retained may be marginally less than reported</w:t>
      </w:r>
      <w:r>
        <w:t>,</w:t>
      </w:r>
      <w:r w:rsidRPr="00075571">
        <w:t xml:space="preserve"> as repetition between the first four reviews was not removed from these figures.</w:t>
      </w:r>
      <w:bookmarkEnd w:id="47"/>
    </w:p>
    <w:p w14:paraId="0870BDFF" w14:textId="77777777" w:rsidR="00F578F3" w:rsidRPr="00F578F3" w:rsidRDefault="00F578F3" w:rsidP="00F578F3">
      <w:pPr>
        <w:rPr>
          <w:rFonts w:eastAsia="Arial Unicode MS"/>
        </w:rPr>
      </w:pPr>
    </w:p>
    <w:p w14:paraId="683585D9" w14:textId="77777777" w:rsidR="009636B7" w:rsidRPr="001A28C6" w:rsidRDefault="009636B7" w:rsidP="009636B7">
      <w:pPr>
        <w:ind w:left="-2268" w:right="-1701"/>
      </w:pPr>
      <w:bookmarkStart w:id="48" w:name="_bookmark21"/>
      <w:bookmarkEnd w:id="48"/>
    </w:p>
    <w:p w14:paraId="685CC818" w14:textId="77777777" w:rsidR="009636B7" w:rsidRPr="009E213B" w:rsidRDefault="009636B7" w:rsidP="00DB06B4">
      <w:pPr>
        <w:pStyle w:val="Heading1"/>
      </w:pPr>
      <w:bookmarkStart w:id="49" w:name="_Toc88823225"/>
      <w:bookmarkStart w:id="50" w:name="_Toc90025994"/>
      <w:r w:rsidRPr="00DB06B4">
        <w:rPr>
          <w:b w:val="0"/>
          <w:bCs/>
        </w:rPr>
        <w:lastRenderedPageBreak/>
        <w:t>Section 2:</w:t>
      </w:r>
      <w:r w:rsidRPr="00DB06B4">
        <w:rPr>
          <w:b w:val="0"/>
        </w:rPr>
        <w:br/>
      </w:r>
      <w:r w:rsidRPr="009E213B">
        <w:t xml:space="preserve">Inpatient </w:t>
      </w:r>
      <w:r>
        <w:t>r</w:t>
      </w:r>
      <w:r w:rsidRPr="009E213B">
        <w:t>eview</w:t>
      </w:r>
      <w:bookmarkEnd w:id="49"/>
      <w:bookmarkEnd w:id="50"/>
    </w:p>
    <w:p w14:paraId="4A7540FF" w14:textId="77777777" w:rsidR="009636B7" w:rsidRPr="00075571" w:rsidRDefault="009636B7" w:rsidP="00A02C50">
      <w:pPr>
        <w:pStyle w:val="Heading2"/>
      </w:pPr>
      <w:bookmarkStart w:id="51" w:name="_Toc16805626"/>
      <w:bookmarkStart w:id="52" w:name="_Toc88823226"/>
      <w:bookmarkStart w:id="53" w:name="_Toc90025995"/>
      <w:r w:rsidRPr="00075571">
        <w:t>Introduction</w:t>
      </w:r>
      <w:bookmarkEnd w:id="51"/>
      <w:bookmarkEnd w:id="52"/>
      <w:bookmarkEnd w:id="53"/>
    </w:p>
    <w:p w14:paraId="0F4B4F48" w14:textId="77777777" w:rsidR="00EE0ADB" w:rsidRDefault="009636B7" w:rsidP="00A02C50">
      <w:r w:rsidRPr="00075571">
        <w:t xml:space="preserve">Both internationally and within Aotearoa </w:t>
      </w:r>
      <w:r>
        <w:t>New Zealand</w:t>
      </w:r>
      <w:r w:rsidRPr="00075571">
        <w:t>, following the widespread deinstitutionali</w:t>
      </w:r>
      <w:r>
        <w:t>s</w:t>
      </w:r>
      <w:r w:rsidRPr="00075571">
        <w:t xml:space="preserve">ation of mental health services </w:t>
      </w:r>
      <w:r>
        <w:t xml:space="preserve">between the </w:t>
      </w:r>
      <w:r w:rsidRPr="00075571">
        <w:t>1960s</w:t>
      </w:r>
      <w:r>
        <w:t xml:space="preserve"> and the </w:t>
      </w:r>
      <w:r w:rsidRPr="00075571">
        <w:t xml:space="preserve">1990s), </w:t>
      </w:r>
      <w:r>
        <w:t xml:space="preserve">the function of </w:t>
      </w:r>
      <w:r w:rsidRPr="00075571">
        <w:t>contemporary inpatient FMHS</w:t>
      </w:r>
      <w:r>
        <w:t>s</w:t>
      </w:r>
      <w:r w:rsidRPr="00075571">
        <w:t xml:space="preserve"> </w:t>
      </w:r>
      <w:r>
        <w:t xml:space="preserve">has </w:t>
      </w:r>
      <w:r w:rsidRPr="00075571">
        <w:t xml:space="preserve">increasingly shifted from a custodial (control) </w:t>
      </w:r>
      <w:r>
        <w:t xml:space="preserve">function </w:t>
      </w:r>
      <w:r w:rsidRPr="00075571">
        <w:t xml:space="preserve">to a rehabilitative (care/treatment) function, evolving alongside psychiatric practices more generally toward a recovery-oriented approach (Barnao </w:t>
      </w:r>
      <w:r>
        <w:t>and</w:t>
      </w:r>
      <w:r w:rsidRPr="00075571">
        <w:t xml:space="preserve"> Ward 2015; McKenna</w:t>
      </w:r>
      <w:r>
        <w:t xml:space="preserve"> </w:t>
      </w:r>
      <w:r w:rsidR="00AD0D58">
        <w:t>et al</w:t>
      </w:r>
      <w:r w:rsidRPr="00075571">
        <w:t xml:space="preserve"> 2014</w:t>
      </w:r>
      <w:r>
        <w:t>c</w:t>
      </w:r>
      <w:r w:rsidRPr="00075571">
        <w:t xml:space="preserve">; Nicholls </w:t>
      </w:r>
      <w:r>
        <w:t>and</w:t>
      </w:r>
      <w:r w:rsidRPr="00075571">
        <w:t xml:space="preserve"> Goossens 2017; Skipworth </w:t>
      </w:r>
      <w:r>
        <w:t>and</w:t>
      </w:r>
      <w:r w:rsidRPr="00075571">
        <w:t xml:space="preserve"> Lindqvist 2007). A key facet of this shift is an increase in emphasis on person-centred care, which </w:t>
      </w:r>
      <w:r w:rsidR="00EE0ADB">
        <w:t>‘</w:t>
      </w:r>
      <w:r w:rsidRPr="00075571">
        <w:t>acknowledges the unique needs, concerns, and preferences of the individual and is inclusive of the family and other carers</w:t>
      </w:r>
      <w:r w:rsidR="00EE0ADB">
        <w:t>’</w:t>
      </w:r>
      <w:r w:rsidRPr="00075571">
        <w:t xml:space="preserve"> (McKenna </w:t>
      </w:r>
      <w:r w:rsidR="00AD0D58">
        <w:t>et al</w:t>
      </w:r>
      <w:r w:rsidRPr="00075571">
        <w:t xml:space="preserve"> 2014</w:t>
      </w:r>
      <w:r>
        <w:t>c</w:t>
      </w:r>
      <w:r w:rsidR="005054ED">
        <w:t>, p. </w:t>
      </w:r>
      <w:r w:rsidRPr="00075571">
        <w:t>226). Indeed, the majority of the available literature on approaches to care in inpatient services internationally highlights models that follow the tenets of person-centred care or recovery-oriented approaches to rehabilitation</w:t>
      </w:r>
      <w:r>
        <w:t>,</w:t>
      </w:r>
      <w:r w:rsidRPr="00075571">
        <w:t xml:space="preserve"> such as the good lives and </w:t>
      </w:r>
      <w:r>
        <w:t>S</w:t>
      </w:r>
      <w:r w:rsidRPr="00075571">
        <w:t>afewards models (see below).</w:t>
      </w:r>
    </w:p>
    <w:p w14:paraId="572D2C0F" w14:textId="77777777" w:rsidR="009636B7" w:rsidRPr="00075571" w:rsidRDefault="009636B7" w:rsidP="00A02C50"/>
    <w:p w14:paraId="7B003069" w14:textId="77777777" w:rsidR="00EE0ADB" w:rsidRDefault="009636B7" w:rsidP="00A02C50">
      <w:r w:rsidRPr="00075571">
        <w:t xml:space="preserve">While substantial research has been conducted on assessment and treatment, interventions, and outcomes among the forensic inpatient population in </w:t>
      </w:r>
      <w:r>
        <w:t>Aotearoa New Zealand</w:t>
      </w:r>
      <w:r w:rsidRPr="00075571">
        <w:t>,</w:t>
      </w:r>
      <w:r w:rsidRPr="00A02C50">
        <w:rPr>
          <w:rStyle w:val="FootnoteReference"/>
        </w:rPr>
        <w:footnoteReference w:id="18"/>
      </w:r>
      <w:r w:rsidRPr="00075571">
        <w:t xml:space="preserve"> little research has been conducted that explicitly describes or assesses models of care within inpatient services specifically, with the exception of Tapsell (2007) and Sweetman (2017), who detail the Māori model of care </w:t>
      </w:r>
      <w:r>
        <w:t>us</w:t>
      </w:r>
      <w:r w:rsidRPr="00075571">
        <w:t>ed in Te</w:t>
      </w:r>
      <w:r w:rsidR="00A02C50">
        <w:t> </w:t>
      </w:r>
      <w:r w:rsidRPr="00075571">
        <w:t>Papakāinga</w:t>
      </w:r>
      <w:r w:rsidRPr="00075571" w:rsidDel="00256F1C">
        <w:t xml:space="preserve"> </w:t>
      </w:r>
      <w:r w:rsidRPr="00075571">
        <w:t>o Tāne Whakapiripiri, the first kaupapa Māori unit at the Mason Clinic (Auckland Regional Forensic Psychiatry Services). The same trend holds true in Australia and internationally</w:t>
      </w:r>
      <w:r>
        <w:t>:</w:t>
      </w:r>
      <w:r w:rsidRPr="00075571">
        <w:t xml:space="preserve"> a </w:t>
      </w:r>
      <w:r w:rsidR="00EE0ADB">
        <w:t>‘</w:t>
      </w:r>
      <w:r w:rsidRPr="00075571">
        <w:t>significant research gap</w:t>
      </w:r>
      <w:r w:rsidR="00EE0ADB">
        <w:t>’</w:t>
      </w:r>
      <w:r w:rsidRPr="00075571">
        <w:t xml:space="preserve"> </w:t>
      </w:r>
      <w:r>
        <w:t xml:space="preserve">has been </w:t>
      </w:r>
      <w:r w:rsidRPr="00075571">
        <w:t>identified concerning hospital-based forensic mental health models of care (Khan</w:t>
      </w:r>
      <w:r>
        <w:t xml:space="preserve"> </w:t>
      </w:r>
      <w:r w:rsidR="00AD0D58">
        <w:t>et al</w:t>
      </w:r>
      <w:r w:rsidRPr="00075571">
        <w:t xml:space="preserve"> 2018</w:t>
      </w:r>
      <w:r w:rsidR="005054ED">
        <w:t>, p. </w:t>
      </w:r>
      <w:r w:rsidRPr="00075571">
        <w:t xml:space="preserve">330). Moreover, as Gournay </w:t>
      </w:r>
      <w:r w:rsidR="00AD0D58">
        <w:t>et al</w:t>
      </w:r>
      <w:r w:rsidRPr="00075571">
        <w:t xml:space="preserve"> (2013) avow, </w:t>
      </w:r>
      <w:r w:rsidR="00EE0ADB">
        <w:t>‘</w:t>
      </w:r>
      <w:r w:rsidRPr="00075571">
        <w:t>there is a scarcity of evidence regarding the effectiveness of mental health service models when compared to other fields of health research, [and] this lack of evidence is alarming</w:t>
      </w:r>
      <w:r w:rsidR="00EE0ADB">
        <w:t>’</w:t>
      </w:r>
      <w:r w:rsidRPr="00075571">
        <w:t xml:space="preserve"> (pp. 546–547). In this way, as Nicholls and Goossens (2017) argue, FMHS</w:t>
      </w:r>
      <w:r>
        <w:t>s</w:t>
      </w:r>
      <w:r w:rsidRPr="00075571">
        <w:t xml:space="preserve"> have often </w:t>
      </w:r>
      <w:r w:rsidR="00EE0ADB">
        <w:t>‘</w:t>
      </w:r>
      <w:r w:rsidRPr="00075571">
        <w:t>been left behind when it comes to developing, implementing, and evaluating evidence-based practice</w:t>
      </w:r>
      <w:r w:rsidR="00EE0ADB">
        <w:t>’</w:t>
      </w:r>
      <w:r w:rsidR="00AD0D58">
        <w:t xml:space="preserve"> (p. </w:t>
      </w:r>
      <w:r w:rsidRPr="00075571">
        <w:t>496).</w:t>
      </w:r>
    </w:p>
    <w:p w14:paraId="514E1ABD" w14:textId="77777777" w:rsidR="009636B7" w:rsidRPr="00075571" w:rsidRDefault="009636B7" w:rsidP="00A02C50"/>
    <w:p w14:paraId="3C64A265" w14:textId="77777777" w:rsidR="00EE0ADB" w:rsidRDefault="009636B7" w:rsidP="00A02C50">
      <w:pPr>
        <w:keepLines/>
      </w:pPr>
      <w:r w:rsidRPr="00075571">
        <w:lastRenderedPageBreak/>
        <w:t xml:space="preserve">In addition to the lack of an evidence base, complicating such inquiry is the lack of unified definitions or language within the existing literature to describe a service model or model of care. With little consistency and clarity </w:t>
      </w:r>
      <w:r>
        <w:t xml:space="preserve">in terms of </w:t>
      </w:r>
      <w:r w:rsidRPr="00075571">
        <w:t>the various interpretations FMHS</w:t>
      </w:r>
      <w:r>
        <w:t>s use</w:t>
      </w:r>
      <w:r w:rsidRPr="00075571">
        <w:t xml:space="preserve"> to describe their services, </w:t>
      </w:r>
      <w:r w:rsidR="00EE0ADB">
        <w:t>‘</w:t>
      </w:r>
      <w:r w:rsidRPr="00075571">
        <w:t xml:space="preserve">fidelity to </w:t>
      </w:r>
      <w:r>
        <w:t>…</w:t>
      </w:r>
      <w:r w:rsidRPr="00075571">
        <w:t xml:space="preserve"> [a] particular </w:t>
      </w:r>
      <w:r w:rsidR="00EE0ADB">
        <w:t>‘</w:t>
      </w:r>
      <w:r w:rsidRPr="00075571">
        <w:t>model</w:t>
      </w:r>
      <w:r w:rsidR="00EE0ADB">
        <w:t>’</w:t>
      </w:r>
      <w:r w:rsidRPr="00075571">
        <w:t xml:space="preserve"> is difficult to a determine</w:t>
      </w:r>
      <w:r w:rsidR="00EE0ADB">
        <w:t>’</w:t>
      </w:r>
      <w:r>
        <w:t>,</w:t>
      </w:r>
      <w:r w:rsidRPr="00075571">
        <w:t xml:space="preserve"> and it is further difficult to assess the efficacy of such a model (Gournay </w:t>
      </w:r>
      <w:r w:rsidR="00AD0D58">
        <w:t>et al</w:t>
      </w:r>
      <w:r w:rsidRPr="00075571">
        <w:t xml:space="preserve"> 2013</w:t>
      </w:r>
      <w:r w:rsidR="005054ED">
        <w:t>, p. </w:t>
      </w:r>
      <w:r w:rsidRPr="00075571">
        <w:t xml:space="preserve">547). Consequently, researchers or organisations tend to only describe a portion of the service model without describing the complete </w:t>
      </w:r>
      <w:r w:rsidRPr="00D212A2">
        <w:t>pathway</w:t>
      </w:r>
      <w:r>
        <w:t>,</w:t>
      </w:r>
      <w:r w:rsidRPr="00D212A2">
        <w:t xml:space="preserve"> or</w:t>
      </w:r>
      <w:r w:rsidRPr="00075571">
        <w:t xml:space="preserve"> focus more on approaches or principles of treatment/interventions than models of care. This has led to the proliferation of policy-based (as opposed to evidence-based) decision-making in the creation and implementation of FMHS models (Gournay </w:t>
      </w:r>
      <w:r w:rsidR="00AD0D58">
        <w:t>et al</w:t>
      </w:r>
      <w:r w:rsidRPr="00075571">
        <w:t xml:space="preserve"> 2013).</w:t>
      </w:r>
    </w:p>
    <w:p w14:paraId="7BB6DF72" w14:textId="77777777" w:rsidR="009636B7" w:rsidRPr="00075571" w:rsidRDefault="009636B7" w:rsidP="00A02C50"/>
    <w:p w14:paraId="31A701B1" w14:textId="77777777" w:rsidR="00EE0ADB" w:rsidRDefault="009636B7" w:rsidP="00A02C50">
      <w:r w:rsidRPr="00075571">
        <w:t xml:space="preserve">In this systematic review, the researchers sought to identify literature describing the various models of care </w:t>
      </w:r>
      <w:r>
        <w:t>us</w:t>
      </w:r>
      <w:r w:rsidRPr="00075571">
        <w:t>ed within inpatient FMHS</w:t>
      </w:r>
      <w:r>
        <w:t>s</w:t>
      </w:r>
      <w:r w:rsidRPr="00075571">
        <w:t>. Due to the d</w:t>
      </w:r>
      <w:r>
        <w:t>earth</w:t>
      </w:r>
      <w:r w:rsidRPr="00075571">
        <w:t xml:space="preserve"> of explicit research on models of care per se noted above, the researchers widened the scope to include literature on approaches, frameworks and principles of treatment in inpatient FMHS</w:t>
      </w:r>
      <w:r>
        <w:t>s</w:t>
      </w:r>
      <w:r w:rsidRPr="00075571">
        <w:t xml:space="preserve">. Overall, the literature falls into </w:t>
      </w:r>
      <w:r>
        <w:t xml:space="preserve">four </w:t>
      </w:r>
      <w:r w:rsidRPr="00075571">
        <w:t xml:space="preserve">broad categories: therapeutic security, rehabilitation, recovery-oriented approaches </w:t>
      </w:r>
      <w:r>
        <w:t xml:space="preserve">and </w:t>
      </w:r>
      <w:r w:rsidRPr="00075571">
        <w:t xml:space="preserve">specific </w:t>
      </w:r>
      <w:r>
        <w:t xml:space="preserve">(priority) </w:t>
      </w:r>
      <w:r w:rsidRPr="00075571">
        <w:t>populations. In most cases, models of care are not directly addressed, but rather implied through either the description of approaches/services or best practice recommendations. Throughout, there is an emphasis on both risk (assessment, management, mitigation and reduction) and bettering therapeutic outcomes for service users, highlighting the dual function of forensic inpatient services, along with a wide-ranging set of best practices that can be used to inform a model of care within FMHS</w:t>
      </w:r>
      <w:r>
        <w:t>s</w:t>
      </w:r>
      <w:r w:rsidRPr="00075571">
        <w:t>.</w:t>
      </w:r>
    </w:p>
    <w:p w14:paraId="6EF89EB7" w14:textId="77777777" w:rsidR="00A02C50" w:rsidRDefault="00A02C50" w:rsidP="00A02C50"/>
    <w:p w14:paraId="52EDD441" w14:textId="77777777" w:rsidR="009636B7" w:rsidRPr="00075571" w:rsidRDefault="009636B7" w:rsidP="00A02C50">
      <w:pPr>
        <w:pStyle w:val="Heading2"/>
      </w:pPr>
      <w:bookmarkStart w:id="54" w:name="_Toc16805627"/>
      <w:bookmarkStart w:id="55" w:name="_Toc88823227"/>
      <w:bookmarkStart w:id="56" w:name="_Toc90025996"/>
      <w:r w:rsidRPr="00075571">
        <w:t>Methodology</w:t>
      </w:r>
      <w:bookmarkEnd w:id="54"/>
      <w:bookmarkEnd w:id="55"/>
      <w:bookmarkEnd w:id="56"/>
    </w:p>
    <w:p w14:paraId="08F4B289" w14:textId="77777777" w:rsidR="00EE0ADB" w:rsidRDefault="009636B7" w:rsidP="00A02C50">
      <w:r>
        <w:t>The researchers undertook a</w:t>
      </w:r>
      <w:r w:rsidRPr="00075571">
        <w:t xml:space="preserve"> scoping systematic review to identify literature on models of care within inpatient FMHS</w:t>
      </w:r>
      <w:r>
        <w:t>s</w:t>
      </w:r>
      <w:r w:rsidRPr="00075571">
        <w:t xml:space="preserve">. Searches </w:t>
      </w:r>
      <w:r>
        <w:t>us</w:t>
      </w:r>
      <w:r w:rsidRPr="00075571">
        <w:t>ed the following search string, along with various combinations of these keywords: (forensic OR criminal) AND (</w:t>
      </w:r>
      <w:r w:rsidR="00EE0ADB">
        <w:t>‘</w:t>
      </w:r>
      <w:r w:rsidRPr="00075571">
        <w:t>mental health</w:t>
      </w:r>
      <w:r w:rsidR="00EE0ADB">
        <w:t>’</w:t>
      </w:r>
      <w:r w:rsidRPr="00075571">
        <w:t xml:space="preserve"> OR </w:t>
      </w:r>
      <w:r w:rsidR="00EE0ADB">
        <w:t>‘</w:t>
      </w:r>
      <w:r w:rsidRPr="00075571">
        <w:t>mental illness</w:t>
      </w:r>
      <w:r w:rsidR="00EE0ADB">
        <w:t>’</w:t>
      </w:r>
      <w:r w:rsidRPr="00075571">
        <w:t xml:space="preserve"> OR </w:t>
      </w:r>
      <w:r w:rsidRPr="00ED5AAD">
        <w:t>psychiatry</w:t>
      </w:r>
      <w:r w:rsidRPr="00075571">
        <w:t xml:space="preserve">* OR </w:t>
      </w:r>
      <w:r w:rsidR="00EE0ADB">
        <w:t>‘</w:t>
      </w:r>
      <w:r w:rsidRPr="00075571">
        <w:t>serious and enduring mental illness</w:t>
      </w:r>
      <w:r w:rsidR="00EE0ADB">
        <w:t>’</w:t>
      </w:r>
      <w:r w:rsidRPr="00075571">
        <w:t xml:space="preserve"> OR </w:t>
      </w:r>
      <w:r w:rsidR="00EE0ADB">
        <w:t>‘</w:t>
      </w:r>
      <w:r w:rsidRPr="00075571">
        <w:t>mentally-disordered offender</w:t>
      </w:r>
      <w:r w:rsidR="00EE0ADB">
        <w:t>’</w:t>
      </w:r>
      <w:r w:rsidRPr="00075571">
        <w:t xml:space="preserve">) AND (framework OR </w:t>
      </w:r>
      <w:r w:rsidR="00EE0ADB">
        <w:t>‘</w:t>
      </w:r>
      <w:r w:rsidRPr="00075571">
        <w:t>model of care</w:t>
      </w:r>
      <w:r w:rsidR="00EE0ADB">
        <w:t>’</w:t>
      </w:r>
      <w:r w:rsidRPr="00075571">
        <w:t xml:space="preserve"> OR model OR service* or guideline*) AND (inpatient OR in-patient OR residential).</w:t>
      </w:r>
      <w:r w:rsidRPr="00075571">
        <w:rPr>
          <w:b/>
          <w:bCs/>
        </w:rPr>
        <w:t xml:space="preserve"> </w:t>
      </w:r>
      <w:r w:rsidRPr="00075571">
        <w:t xml:space="preserve">Results were limited to English-language documents from 1990–2019. Where possible, </w:t>
      </w:r>
      <w:r>
        <w:t xml:space="preserve">the researchers further limited the </w:t>
      </w:r>
      <w:r w:rsidRPr="00075571">
        <w:t>results to peer-reviewed articles, excluding reviews/notes.</w:t>
      </w:r>
    </w:p>
    <w:p w14:paraId="2E71DAFB" w14:textId="77777777" w:rsidR="009636B7" w:rsidRPr="00075571" w:rsidRDefault="009636B7" w:rsidP="00A02C50"/>
    <w:p w14:paraId="60EAA546" w14:textId="77777777" w:rsidR="00EE0ADB" w:rsidRDefault="009636B7" w:rsidP="00A02C50">
      <w:r w:rsidRPr="00075571">
        <w:t xml:space="preserve">In analysing the results, </w:t>
      </w:r>
      <w:r>
        <w:t xml:space="preserve">the researchers first reviewed </w:t>
      </w:r>
      <w:r w:rsidRPr="00075571">
        <w:t>titles</w:t>
      </w:r>
      <w:r>
        <w:t>,</w:t>
      </w:r>
      <w:r w:rsidRPr="00075571">
        <w:t xml:space="preserve"> to determine relevance based on the keywords and aims of the review, followed by the abstracts. Retained results were restricted to inpatient FMHS</w:t>
      </w:r>
      <w:r>
        <w:t>s</w:t>
      </w:r>
      <w:r w:rsidRPr="00075571">
        <w:t xml:space="preserve"> only, and did not include results pertaining to broader </w:t>
      </w:r>
      <w:r>
        <w:t>GMHSs</w:t>
      </w:r>
      <w:r w:rsidRPr="00075571">
        <w:t>, forensic mental health in other contexts, or literature outside the scope of the review (</w:t>
      </w:r>
      <w:r>
        <w:t>ie</w:t>
      </w:r>
      <w:r w:rsidRPr="00075571">
        <w:t>, pertaining to specific interventions, assessment/treatment, outcome measures, population surveys, etc).</w:t>
      </w:r>
    </w:p>
    <w:p w14:paraId="24D36352" w14:textId="77777777" w:rsidR="009636B7" w:rsidRPr="00075571" w:rsidRDefault="009636B7" w:rsidP="00A02C50"/>
    <w:p w14:paraId="5C96020D" w14:textId="77777777" w:rsidR="00EE0ADB" w:rsidRDefault="009636B7" w:rsidP="00A02C50">
      <w:pPr>
        <w:keepLines/>
      </w:pPr>
      <w:r>
        <w:lastRenderedPageBreak/>
        <w:t>The researchers conducted m</w:t>
      </w:r>
      <w:r w:rsidRPr="00075571">
        <w:t>ultiple searches in each of six databases via the AUT library website: CINAHL Complete/MEDLINE via EBSCOhost, PsycInfo, PsychiatryOnline, Scopus, ScienceDirect and Google Scholar.</w:t>
      </w:r>
      <w:r w:rsidRPr="00075571">
        <w:rPr>
          <w:b/>
          <w:bCs/>
        </w:rPr>
        <w:t xml:space="preserve"> </w:t>
      </w:r>
      <w:r w:rsidRPr="00075571">
        <w:t>Results from three databases (CINAHL Complete/MEDLINE via ESBCOhost, PsycInfo and PsychiatryOnline) were not useful</w:t>
      </w:r>
      <w:r>
        <w:t>,</w:t>
      </w:r>
      <w:r w:rsidRPr="00075571">
        <w:t xml:space="preserve"> as the search results were often too large and did not contain relevant articles within the first 100 titles. (</w:t>
      </w:r>
      <w:r>
        <w:t>The researchers reviewed a</w:t>
      </w:r>
      <w:r w:rsidRPr="00075571">
        <w:t xml:space="preserve"> minimum of 100 titles per search</w:t>
      </w:r>
      <w:r>
        <w:t>.</w:t>
      </w:r>
      <w:r w:rsidRPr="00075571">
        <w:t>) These searches were discontinued.</w:t>
      </w:r>
    </w:p>
    <w:p w14:paraId="01D98E95" w14:textId="77777777" w:rsidR="009636B7" w:rsidRPr="00075571" w:rsidRDefault="009636B7" w:rsidP="00A02C50"/>
    <w:p w14:paraId="123FA626" w14:textId="77777777" w:rsidR="00EE0ADB" w:rsidRDefault="009636B7" w:rsidP="00A02C50">
      <w:r w:rsidRPr="00075571">
        <w:t xml:space="preserve">The three remaining databases (Scopus, ScienceDirect and Google Scholar), after removing repetition, </w:t>
      </w:r>
      <w:r>
        <w:t xml:space="preserve">yielded </w:t>
      </w:r>
      <w:r w:rsidRPr="00075571">
        <w:t xml:space="preserve">a total of 49 articles, 4 books, 2 dissertations and 1 report for inclusion. As the search of Google Scholar yielded a high volume of results as well as a substantial amount of repetition </w:t>
      </w:r>
      <w:r>
        <w:t xml:space="preserve">of results in </w:t>
      </w:r>
      <w:r w:rsidRPr="00075571">
        <w:t xml:space="preserve">prior searches, </w:t>
      </w:r>
      <w:r>
        <w:t xml:space="preserve">the researchers reviewed </w:t>
      </w:r>
      <w:r w:rsidRPr="00075571">
        <w:t xml:space="preserve">only the first 575 results. The </w:t>
      </w:r>
      <w:r>
        <w:t xml:space="preserve">researchers combined their </w:t>
      </w:r>
      <w:r w:rsidRPr="00075571">
        <w:t xml:space="preserve">database results with recommendations of literature from the </w:t>
      </w:r>
      <w:r>
        <w:t>Ministry of Health</w:t>
      </w:r>
      <w:r w:rsidRPr="00075571">
        <w:t xml:space="preserve"> advisors</w:t>
      </w:r>
      <w:r>
        <w:t>,</w:t>
      </w:r>
      <w:r w:rsidRPr="00075571">
        <w:t xml:space="preserve"> as well as the researchers and their professional network</w:t>
      </w:r>
      <w:r>
        <w:t>s</w:t>
      </w:r>
      <w:r w:rsidRPr="00075571">
        <w:t xml:space="preserve"> (22 articles and 4 books), </w:t>
      </w:r>
      <w:r>
        <w:t xml:space="preserve">again removing repetition, </w:t>
      </w:r>
      <w:r w:rsidRPr="00075571">
        <w:t xml:space="preserve">to </w:t>
      </w:r>
      <w:r>
        <w:t xml:space="preserve">yield a </w:t>
      </w:r>
      <w:r w:rsidRPr="00075571">
        <w:t xml:space="preserve">total </w:t>
      </w:r>
      <w:r>
        <w:t xml:space="preserve">of </w:t>
      </w:r>
      <w:r w:rsidRPr="00075571">
        <w:t xml:space="preserve">71 articles, 8 books, 2 dissertations and 1 report. </w:t>
      </w:r>
      <w:r w:rsidR="00A02C50">
        <w:fldChar w:fldCharType="begin"/>
      </w:r>
      <w:r w:rsidR="00A02C50">
        <w:instrText xml:space="preserve"> REF _Ref89789780 \h </w:instrText>
      </w:r>
      <w:r w:rsidR="00A02C50">
        <w:fldChar w:fldCharType="separate"/>
      </w:r>
      <w:r w:rsidR="00F73238">
        <w:t>Figure </w:t>
      </w:r>
      <w:r w:rsidR="00F73238">
        <w:rPr>
          <w:noProof/>
        </w:rPr>
        <w:t>4</w:t>
      </w:r>
      <w:r w:rsidR="00A02C50">
        <w:fldChar w:fldCharType="end"/>
      </w:r>
      <w:r w:rsidRPr="00075571">
        <w:t xml:space="preserve"> illustrates the systematic review results from those searches that yielded retained sources. (Note: these figures do not include additional secondary sources located through reference lists, and thus do not </w:t>
      </w:r>
      <w:r>
        <w:t xml:space="preserve">reflect </w:t>
      </w:r>
      <w:r w:rsidRPr="00075571">
        <w:t>all works cited in this report.)</w:t>
      </w:r>
    </w:p>
    <w:p w14:paraId="2ED5C63E" w14:textId="77777777" w:rsidR="00A02C50" w:rsidRDefault="00A02C50" w:rsidP="00A02C50"/>
    <w:p w14:paraId="5A22F91C" w14:textId="77777777" w:rsidR="00EE0ADB" w:rsidRDefault="00A02C50" w:rsidP="00A02C50">
      <w:pPr>
        <w:pStyle w:val="Figure"/>
      </w:pPr>
      <w:bookmarkStart w:id="57" w:name="_Ref89789780"/>
      <w:bookmarkStart w:id="58" w:name="_Toc88823324"/>
      <w:bookmarkStart w:id="59" w:name="_Toc90026029"/>
      <w:r>
        <w:t>Figure </w:t>
      </w:r>
      <w:r w:rsidR="002C1FB3">
        <w:fldChar w:fldCharType="begin"/>
      </w:r>
      <w:r w:rsidR="002C1FB3">
        <w:instrText xml:space="preserve"> SEQ Figure \* ARABIC </w:instrText>
      </w:r>
      <w:r w:rsidR="002C1FB3">
        <w:fldChar w:fldCharType="separate"/>
      </w:r>
      <w:r w:rsidR="00F73238">
        <w:rPr>
          <w:noProof/>
        </w:rPr>
        <w:t>4</w:t>
      </w:r>
      <w:r w:rsidR="002C1FB3">
        <w:rPr>
          <w:noProof/>
        </w:rPr>
        <w:fldChar w:fldCharType="end"/>
      </w:r>
      <w:bookmarkEnd w:id="57"/>
      <w:r w:rsidR="009636B7" w:rsidRPr="00075571">
        <w:t>:</w:t>
      </w:r>
      <w:r w:rsidR="009636B7" w:rsidRPr="00075571">
        <w:rPr>
          <w:i/>
          <w:iCs/>
        </w:rPr>
        <w:t xml:space="preserve"> </w:t>
      </w:r>
      <w:r w:rsidR="009636B7" w:rsidRPr="00075571">
        <w:t>Inpatient systematic review results</w:t>
      </w:r>
      <w:bookmarkEnd w:id="58"/>
      <w:bookmarkEnd w:id="59"/>
    </w:p>
    <w:p w14:paraId="0ABB970B" w14:textId="77777777" w:rsidR="009636B7" w:rsidRPr="00075571" w:rsidRDefault="00A02C50" w:rsidP="009636B7">
      <w:r>
        <w:rPr>
          <w:noProof/>
          <w:lang w:eastAsia="en-NZ"/>
        </w:rPr>
        <w:drawing>
          <wp:inline distT="0" distB="0" distL="0" distR="0" wp14:anchorId="67C02D9F" wp14:editId="52A31D3A">
            <wp:extent cx="3266901" cy="3486150"/>
            <wp:effectExtent l="0" t="0" r="0" b="0"/>
            <wp:docPr id="19" name="Picture 19" title="Figure 4: Inpatient systematic review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67533" cy="3486825"/>
                    </a:xfrm>
                    <a:prstGeom prst="rect">
                      <a:avLst/>
                    </a:prstGeom>
                    <a:noFill/>
                  </pic:spPr>
                </pic:pic>
              </a:graphicData>
            </a:graphic>
          </wp:inline>
        </w:drawing>
      </w:r>
    </w:p>
    <w:p w14:paraId="599E3BBD" w14:textId="77777777" w:rsidR="00EE0ADB" w:rsidRDefault="009636B7" w:rsidP="00C31F1E">
      <w:pPr>
        <w:pStyle w:val="Note"/>
        <w:ind w:left="284" w:hanging="284"/>
      </w:pPr>
      <w:bookmarkStart w:id="60" w:name="_Toc88823325"/>
      <w:r w:rsidRPr="00075571">
        <w:t>*</w:t>
      </w:r>
      <w:r w:rsidR="00C31F1E">
        <w:tab/>
      </w:r>
      <w:r w:rsidRPr="00075571">
        <w:t xml:space="preserve">After removing repetition of results </w:t>
      </w:r>
      <w:r>
        <w:t xml:space="preserve">in </w:t>
      </w:r>
      <w:r w:rsidRPr="00075571">
        <w:t>prior step(s).</w:t>
      </w:r>
      <w:bookmarkEnd w:id="60"/>
    </w:p>
    <w:p w14:paraId="2666AB16" w14:textId="77777777" w:rsidR="00C31F1E" w:rsidRPr="00C31F1E" w:rsidRDefault="00C31F1E" w:rsidP="00C31F1E"/>
    <w:p w14:paraId="4BBE3446" w14:textId="77777777" w:rsidR="009636B7" w:rsidRPr="00075571" w:rsidRDefault="009636B7" w:rsidP="009876B7">
      <w:pPr>
        <w:pStyle w:val="Heading2"/>
      </w:pPr>
      <w:bookmarkStart w:id="61" w:name="_Toc16805628"/>
      <w:bookmarkStart w:id="62" w:name="_Toc88823228"/>
      <w:bookmarkStart w:id="63" w:name="_Toc90025997"/>
      <w:r w:rsidRPr="00075571">
        <w:lastRenderedPageBreak/>
        <w:t xml:space="preserve">Review </w:t>
      </w:r>
      <w:r>
        <w:t>f</w:t>
      </w:r>
      <w:r w:rsidRPr="00075571">
        <w:t>indings</w:t>
      </w:r>
      <w:bookmarkEnd w:id="61"/>
      <w:bookmarkEnd w:id="62"/>
      <w:bookmarkEnd w:id="63"/>
    </w:p>
    <w:p w14:paraId="5AE82DA1" w14:textId="77777777" w:rsidR="009636B7" w:rsidRPr="00075571" w:rsidRDefault="009636B7" w:rsidP="009876B7">
      <w:pPr>
        <w:pStyle w:val="Heading3"/>
      </w:pPr>
      <w:bookmarkStart w:id="64" w:name="_Toc16805629"/>
      <w:r w:rsidRPr="00075571">
        <w:t xml:space="preserve">Therapeutic </w:t>
      </w:r>
      <w:r>
        <w:t>s</w:t>
      </w:r>
      <w:r w:rsidRPr="00075571">
        <w:t>ecurity</w:t>
      </w:r>
      <w:bookmarkEnd w:id="64"/>
    </w:p>
    <w:p w14:paraId="182B6F47" w14:textId="77777777" w:rsidR="00EE0ADB" w:rsidRDefault="009636B7" w:rsidP="009876B7">
      <w:r w:rsidRPr="00075571">
        <w:t xml:space="preserve">The </w:t>
      </w:r>
      <w:r w:rsidR="00EE0ADB">
        <w:t>‘</w:t>
      </w:r>
      <w:r w:rsidRPr="00075571">
        <w:t>standard model</w:t>
      </w:r>
      <w:r w:rsidR="00EE0ADB">
        <w:t>’</w:t>
      </w:r>
      <w:r w:rsidRPr="00075571">
        <w:t xml:space="preserve"> of FMHS</w:t>
      </w:r>
      <w:r>
        <w:t xml:space="preserve">s – </w:t>
      </w:r>
      <w:r w:rsidRPr="00075571">
        <w:t xml:space="preserve">including </w:t>
      </w:r>
      <w:r>
        <w:t xml:space="preserve">those </w:t>
      </w:r>
      <w:r w:rsidRPr="00075571">
        <w:t xml:space="preserve">in </w:t>
      </w:r>
      <w:r>
        <w:t>Aotearoa New Zealand</w:t>
      </w:r>
      <w:r w:rsidRPr="00075571">
        <w:t xml:space="preserve">, Australia, the United Kingdom and Ireland (Craissati </w:t>
      </w:r>
      <w:r>
        <w:t>and</w:t>
      </w:r>
      <w:r w:rsidRPr="00075571">
        <w:t xml:space="preserve"> Taylor, 2014; Khan </w:t>
      </w:r>
      <w:r w:rsidR="00AD0D58">
        <w:t>et al</w:t>
      </w:r>
      <w:r w:rsidRPr="00075571">
        <w:t xml:space="preserve"> 2018; Mental Health Commission 2011; Skipworth </w:t>
      </w:r>
      <w:r>
        <w:t>and</w:t>
      </w:r>
      <w:r w:rsidRPr="00075571">
        <w:t xml:space="preserve"> Lindquist 2007)</w:t>
      </w:r>
      <w:r>
        <w:t xml:space="preserve"> – </w:t>
      </w:r>
      <w:r w:rsidRPr="00075571">
        <w:t>comprises a stratified system organised through the definition and categori</w:t>
      </w:r>
      <w:r>
        <w:t>s</w:t>
      </w:r>
      <w:r w:rsidRPr="00075571">
        <w:t xml:space="preserve">ation of therapeutic safety and security, the basic </w:t>
      </w:r>
      <w:r>
        <w:t xml:space="preserve">prerequisite </w:t>
      </w:r>
      <w:r w:rsidRPr="00075571">
        <w:t>of FMHS</w:t>
      </w:r>
      <w:r>
        <w:t>s</w:t>
      </w:r>
      <w:r w:rsidRPr="00075571">
        <w:t xml:space="preserve"> (Kennedy 2002; Kennedy </w:t>
      </w:r>
      <w:r w:rsidR="00AD0D58">
        <w:t>et al</w:t>
      </w:r>
      <w:r w:rsidRPr="00075571">
        <w:t xml:space="preserve"> </w:t>
      </w:r>
      <w:r>
        <w:t>f</w:t>
      </w:r>
      <w:r w:rsidRPr="00075571">
        <w:t xml:space="preserve">orthcoming; Skipworth </w:t>
      </w:r>
      <w:r>
        <w:t>and</w:t>
      </w:r>
      <w:r w:rsidRPr="00075571">
        <w:t xml:space="preserve"> Lindquist 2007). As such, it is important to understand first how security is conceptualised, for </w:t>
      </w:r>
      <w:r w:rsidR="00EE0ADB">
        <w:t>‘</w:t>
      </w:r>
      <w:r w:rsidRPr="00075571">
        <w:t xml:space="preserve">rehabilitation offered within different inpatient settings </w:t>
      </w:r>
      <w:r>
        <w:t>…</w:t>
      </w:r>
      <w:r w:rsidRPr="00075571">
        <w:t xml:space="preserve"> reflects both the level of security and the acuity of the patients</w:t>
      </w:r>
      <w:r w:rsidR="00EE0ADB">
        <w:t>’</w:t>
      </w:r>
      <w:r w:rsidRPr="00075571">
        <w:t xml:space="preserve"> (Khan </w:t>
      </w:r>
      <w:r w:rsidR="00AD0D58">
        <w:t>et al</w:t>
      </w:r>
      <w:r w:rsidRPr="00075571">
        <w:t xml:space="preserve"> 2018</w:t>
      </w:r>
      <w:r w:rsidR="005054ED">
        <w:t>, p. </w:t>
      </w:r>
      <w:r w:rsidRPr="00075571">
        <w:t>329).</w:t>
      </w:r>
    </w:p>
    <w:p w14:paraId="5558BEF3" w14:textId="77777777" w:rsidR="009636B7" w:rsidRPr="00075571" w:rsidRDefault="009636B7" w:rsidP="009636B7"/>
    <w:p w14:paraId="48A2470B" w14:textId="77777777" w:rsidR="009636B7" w:rsidRPr="00075571" w:rsidRDefault="009636B7" w:rsidP="009636B7">
      <w:r w:rsidRPr="00075571">
        <w:t xml:space="preserve">Broadly speaking, there are three types of therapeutic security: environmental, relational and procedural (Kinsley 1998; see also Craissati </w:t>
      </w:r>
      <w:r>
        <w:t>and</w:t>
      </w:r>
      <w:r w:rsidRPr="00075571">
        <w:t xml:space="preserve"> Taylor 2014; Kennedy 2002; Khan </w:t>
      </w:r>
      <w:r w:rsidR="00AD0D58">
        <w:t>et al</w:t>
      </w:r>
      <w:r w:rsidRPr="00075571">
        <w:t xml:space="preserve"> 2018). Environmental or physical security pertains to the brick-and-mortar aspects of the environment that make a ward physically </w:t>
      </w:r>
      <w:r w:rsidR="00EE0ADB">
        <w:t>‘</w:t>
      </w:r>
      <w:r w:rsidRPr="00075571">
        <w:t>secure</w:t>
      </w:r>
      <w:r w:rsidR="00EE0ADB">
        <w:t>’</w:t>
      </w:r>
      <w:r w:rsidRPr="00075571">
        <w:t xml:space="preserve"> (</w:t>
      </w:r>
      <w:r>
        <w:t>eg</w:t>
      </w:r>
      <w:r w:rsidRPr="00075571">
        <w:t xml:space="preserve">, locked doors, building design and maintenance </w:t>
      </w:r>
      <w:r>
        <w:t xml:space="preserve">and </w:t>
      </w:r>
      <w:r w:rsidRPr="00075571">
        <w:t>staff). Relational security includes those aspects related to quality of care as well as resources or recurring cost, and can be divided into quantitative (</w:t>
      </w:r>
      <w:r>
        <w:t>eg</w:t>
      </w:r>
      <w:r w:rsidRPr="00075571">
        <w:t>, staff-to-patient ratios) and qualitative (</w:t>
      </w:r>
      <w:r>
        <w:t>eg</w:t>
      </w:r>
      <w:r w:rsidRPr="00075571">
        <w:t xml:space="preserve">, staff-patient relationship) aspects (Kennedy 2002; Kennedy </w:t>
      </w:r>
      <w:r w:rsidR="00AD0D58">
        <w:t>et al</w:t>
      </w:r>
      <w:r w:rsidRPr="00075571">
        <w:t xml:space="preserve"> </w:t>
      </w:r>
      <w:r>
        <w:t>f</w:t>
      </w:r>
      <w:r w:rsidRPr="00075571">
        <w:t xml:space="preserve">orthcoming). Procedural security includes legislation and guidelines governing treatment and management of incidents, including </w:t>
      </w:r>
      <w:r w:rsidR="00EE0ADB">
        <w:t>‘</w:t>
      </w:r>
      <w:r w:rsidRPr="00075571">
        <w:t>policy and practices relating to patients which control access, communication, personal finances and possessions</w:t>
      </w:r>
      <w:r w:rsidR="00EE0ADB">
        <w:t>’</w:t>
      </w:r>
      <w:r w:rsidRPr="00075571">
        <w:t xml:space="preserve"> as well as those relating </w:t>
      </w:r>
      <w:r w:rsidR="00EE0ADB">
        <w:t>‘</w:t>
      </w:r>
      <w:r w:rsidRPr="00075571">
        <w:t>to quality and governance, including information management, legal obligations, audit, research and human resources</w:t>
      </w:r>
      <w:r w:rsidR="00EE0ADB">
        <w:t>’</w:t>
      </w:r>
      <w:r w:rsidRPr="00075571">
        <w:t xml:space="preserve"> (Kennedy 2002, pp. 434–435). Kennedy (2006) argues that due to the tensions occurring between the </w:t>
      </w:r>
      <w:r w:rsidR="00EE0ADB">
        <w:t>‘</w:t>
      </w:r>
      <w:r w:rsidRPr="00075571">
        <w:t xml:space="preserve">unique needs of each patient and the need to provide services for groups </w:t>
      </w:r>
      <w:r>
        <w:t>…</w:t>
      </w:r>
      <w:r w:rsidRPr="00075571">
        <w:t xml:space="preserve"> relational and procedural security, which are easier to individualise, are the most important elements of patient care in any mental health service</w:t>
      </w:r>
      <w:r w:rsidR="00EE0ADB">
        <w:t>’</w:t>
      </w:r>
      <w:r w:rsidR="00AD0D58">
        <w:t xml:space="preserve"> (p. </w:t>
      </w:r>
      <w:r w:rsidRPr="00075571">
        <w:t>46).</w:t>
      </w:r>
    </w:p>
    <w:p w14:paraId="148C57E0" w14:textId="77777777" w:rsidR="009636B7" w:rsidRPr="00075571" w:rsidRDefault="009636B7" w:rsidP="00AD0D58"/>
    <w:p w14:paraId="6713EEE9" w14:textId="77777777" w:rsidR="00EE0ADB" w:rsidRDefault="009636B7" w:rsidP="00AD0D58">
      <w:r w:rsidRPr="00075571">
        <w:t>Levels of security are typically described as high (admission/intensive care/acute), medium or moderate (subacute/pre-rehabilitative), or low or minimal (rehabilitative/</w:t>
      </w:r>
      <w:r w:rsidR="00AD0D58">
        <w:t xml:space="preserve"> </w:t>
      </w:r>
      <w:r w:rsidRPr="00075571">
        <w:t>hostel/pre-discharge) in relation to criteria set by the service and/or broader health legislation.</w:t>
      </w:r>
      <w:r w:rsidRPr="00AD0D58">
        <w:rPr>
          <w:rStyle w:val="FootnoteReference"/>
        </w:rPr>
        <w:footnoteReference w:id="19"/>
      </w:r>
      <w:r w:rsidRPr="00075571">
        <w:t xml:space="preserve"> In practice, however, understandings of what the levels of security mean and how they are applied vary. In a recent study, for example, Khan </w:t>
      </w:r>
      <w:r w:rsidR="00AD0D58">
        <w:t>et al</w:t>
      </w:r>
      <w:r w:rsidRPr="00075571">
        <w:t xml:space="preserve"> (2018) found a combination of service user, clinical, ward and systemic factors contributed to clinicians</w:t>
      </w:r>
      <w:r w:rsidR="00EE0ADB">
        <w:t>’</w:t>
      </w:r>
      <w:r w:rsidRPr="00075571">
        <w:t xml:space="preserve"> understandings of security.</w:t>
      </w:r>
    </w:p>
    <w:p w14:paraId="02C145E0" w14:textId="77777777" w:rsidR="009636B7" w:rsidRPr="00075571" w:rsidRDefault="009636B7" w:rsidP="00AD0D58"/>
    <w:p w14:paraId="4BA26510" w14:textId="77777777" w:rsidR="00EE0ADB" w:rsidRDefault="009636B7" w:rsidP="00AD0D58">
      <w:pPr>
        <w:keepLines/>
      </w:pPr>
      <w:r w:rsidRPr="001A28C6">
        <w:lastRenderedPageBreak/>
        <w:t xml:space="preserve">Typically, adult forensic mental health pathways are not integrated into </w:t>
      </w:r>
      <w:r w:rsidRPr="009E213B">
        <w:t>GMHS</w:t>
      </w:r>
      <w:r>
        <w:t>s,</w:t>
      </w:r>
      <w:r w:rsidRPr="009E213B">
        <w:t xml:space="preserve"> and comprise their own parallel pathway. The goal remains for service users to reintegrate with the community and/or </w:t>
      </w:r>
      <w:r w:rsidRPr="00E451B7">
        <w:t>GMHS</w:t>
      </w:r>
      <w:r>
        <w:t>s</w:t>
      </w:r>
      <w:r w:rsidRPr="00815A31">
        <w:t xml:space="preserve">. </w:t>
      </w:r>
      <w:r w:rsidRPr="00075571">
        <w:t xml:space="preserve">Consequently, there is a </w:t>
      </w:r>
      <w:r w:rsidR="00EE0ADB">
        <w:t>‘</w:t>
      </w:r>
      <w:r w:rsidRPr="001A28C6">
        <w:t>need for multi-disciplinary teams to transfer care as the patient moves between levels of therapeutic security and into the community</w:t>
      </w:r>
      <w:r w:rsidR="00EE0ADB">
        <w:t>’</w:t>
      </w:r>
      <w:r w:rsidRPr="001A28C6">
        <w:t xml:space="preserve"> (Kennedy</w:t>
      </w:r>
      <w:r w:rsidRPr="000329FE">
        <w:t xml:space="preserve"> </w:t>
      </w:r>
      <w:r w:rsidR="00AD0D58">
        <w:t>et al</w:t>
      </w:r>
      <w:r w:rsidRPr="000329FE">
        <w:t xml:space="preserve"> </w:t>
      </w:r>
      <w:r>
        <w:t>f</w:t>
      </w:r>
      <w:r w:rsidRPr="000329FE">
        <w:t>orthcoming</w:t>
      </w:r>
      <w:r w:rsidR="005054ED">
        <w:t>, p. </w:t>
      </w:r>
      <w:r w:rsidRPr="000329FE">
        <w:t xml:space="preserve">5). Indeed, </w:t>
      </w:r>
      <w:r w:rsidR="00EE0ADB">
        <w:t>‘</w:t>
      </w:r>
      <w:r w:rsidRPr="000329FE">
        <w:t>defining these points of intersection and the criteria for transfers is a key element of a model of care</w:t>
      </w:r>
      <w:r w:rsidR="00EE0ADB">
        <w:t>’</w:t>
      </w:r>
      <w:r w:rsidRPr="000329FE">
        <w:t xml:space="preserve"> (Kennedy </w:t>
      </w:r>
      <w:r w:rsidR="00AD0D58">
        <w:t>et al</w:t>
      </w:r>
      <w:r w:rsidRPr="000329FE">
        <w:t xml:space="preserve"> </w:t>
      </w:r>
      <w:r>
        <w:t>f</w:t>
      </w:r>
      <w:r w:rsidRPr="000329FE">
        <w:t>orthcoming</w:t>
      </w:r>
      <w:r w:rsidR="005054ED">
        <w:t>, p. </w:t>
      </w:r>
      <w:r w:rsidRPr="000329FE">
        <w:t>7).</w:t>
      </w:r>
      <w:r w:rsidRPr="00AD0D58">
        <w:rPr>
          <w:rStyle w:val="FootnoteReference"/>
        </w:rPr>
        <w:footnoteReference w:id="20"/>
      </w:r>
    </w:p>
    <w:p w14:paraId="300BE39E" w14:textId="77777777" w:rsidR="009636B7" w:rsidRPr="00075571" w:rsidRDefault="009636B7" w:rsidP="00AD0D58"/>
    <w:p w14:paraId="5327F5D8" w14:textId="77777777" w:rsidR="00EE0ADB" w:rsidRDefault="009636B7" w:rsidP="00AD0D58">
      <w:r w:rsidRPr="001A28C6">
        <w:t xml:space="preserve">Notably, the standard model may be expanded by adding </w:t>
      </w:r>
      <w:r w:rsidR="00EE0ADB">
        <w:t>‘</w:t>
      </w:r>
      <w:r w:rsidRPr="001A28C6">
        <w:t>parallel pathways</w:t>
      </w:r>
      <w:r w:rsidR="00EE0ADB">
        <w:t>’</w:t>
      </w:r>
      <w:r w:rsidRPr="001A28C6">
        <w:t xml:space="preserve"> for specific purposes, such as for women or special diagnostic groups (</w:t>
      </w:r>
      <w:r>
        <w:t>eg</w:t>
      </w:r>
      <w:r w:rsidRPr="001A28C6">
        <w:t xml:space="preserve">, </w:t>
      </w:r>
      <w:r>
        <w:t xml:space="preserve">those with </w:t>
      </w:r>
      <w:r w:rsidRPr="001A28C6">
        <w:t xml:space="preserve">intellectual disability) or culture-specific pathways (Kennedy </w:t>
      </w:r>
      <w:r w:rsidR="00AD0D58">
        <w:t>et al</w:t>
      </w:r>
      <w:r>
        <w:t xml:space="preserve"> f</w:t>
      </w:r>
      <w:r w:rsidRPr="009E213B">
        <w:t>orthcoming)</w:t>
      </w:r>
      <w:r>
        <w:t>;</w:t>
      </w:r>
      <w:r w:rsidRPr="009E213B">
        <w:t xml:space="preserve"> for example</w:t>
      </w:r>
      <w:r>
        <w:t>,</w:t>
      </w:r>
      <w:r w:rsidRPr="009E213B">
        <w:t xml:space="preserve"> the </w:t>
      </w:r>
      <w:r>
        <w:t>k</w:t>
      </w:r>
      <w:r w:rsidRPr="009E213B">
        <w:t xml:space="preserve">aupapa Māori pathway at the Mason Clinic (Sweetman 2017; Tapsell 2007). Such specialised pathways must </w:t>
      </w:r>
      <w:r w:rsidR="00EE0ADB">
        <w:t>‘</w:t>
      </w:r>
      <w:r w:rsidRPr="009E213B">
        <w:t>maintain critical mass to provide the necessary breadth and depth of treatments and critical levels of activity so that</w:t>
      </w:r>
      <w:r w:rsidRPr="000329FE">
        <w:t xml:space="preserve"> professionals can maintain their experience and expertise</w:t>
      </w:r>
      <w:r w:rsidR="00EE0ADB">
        <w:t>’</w:t>
      </w:r>
      <w:r w:rsidRPr="000329FE">
        <w:t xml:space="preserve"> (Kennedy </w:t>
      </w:r>
      <w:r w:rsidR="00AD0D58">
        <w:t>et al</w:t>
      </w:r>
      <w:r w:rsidRPr="000329FE">
        <w:t xml:space="preserve"> </w:t>
      </w:r>
      <w:r>
        <w:t>f</w:t>
      </w:r>
      <w:r w:rsidRPr="000329FE">
        <w:t>orthcoming</w:t>
      </w:r>
      <w:r w:rsidR="005054ED">
        <w:t>, p. </w:t>
      </w:r>
      <w:r w:rsidRPr="000329FE">
        <w:t>7), and provide for service users</w:t>
      </w:r>
      <w:r w:rsidR="00EE0ADB">
        <w:t>’</w:t>
      </w:r>
      <w:r w:rsidRPr="000329FE">
        <w:t xml:space="preserve"> needs at the various levels of security. Kennedy </w:t>
      </w:r>
      <w:r w:rsidR="00AD0D58">
        <w:t>et al</w:t>
      </w:r>
      <w:r w:rsidRPr="000329FE">
        <w:t xml:space="preserve"> (</w:t>
      </w:r>
      <w:r>
        <w:t>f</w:t>
      </w:r>
      <w:r w:rsidRPr="000329FE">
        <w:t>orthcoming) further describe alternative models to the standard model</w:t>
      </w:r>
      <w:r>
        <w:t>,</w:t>
      </w:r>
      <w:r w:rsidRPr="000329FE">
        <w:t xml:space="preserve"> including clustering (</w:t>
      </w:r>
      <w:r w:rsidR="00EE0ADB">
        <w:t>‘</w:t>
      </w:r>
      <w:r w:rsidRPr="000329FE">
        <w:t>organising services according to clusters at a common level of therapeutic security or risk-dependency need</w:t>
      </w:r>
      <w:r w:rsidR="00EE0ADB">
        <w:t>’</w:t>
      </w:r>
      <w:r>
        <w:t>:</w:t>
      </w:r>
      <w:r w:rsidRPr="000329FE">
        <w:t xml:space="preserve"> p. 8) and matrix models (</w:t>
      </w:r>
      <w:r>
        <w:t xml:space="preserve">involving a </w:t>
      </w:r>
      <w:r w:rsidRPr="000329FE">
        <w:t xml:space="preserve">combination of pathway and clusters). </w:t>
      </w:r>
      <w:r w:rsidRPr="00075571">
        <w:t xml:space="preserve">Where possible, evidence supports the integration of services throughout the pathway and across social institutions and agencies (Gourlay </w:t>
      </w:r>
      <w:r w:rsidR="00AD0D58">
        <w:t>et al</w:t>
      </w:r>
      <w:r w:rsidRPr="00075571">
        <w:t xml:space="preserve"> 2013; Kennedy 2002) in what may be best described as a </w:t>
      </w:r>
      <w:r w:rsidR="00EE0ADB">
        <w:t>‘</w:t>
      </w:r>
      <w:r w:rsidRPr="00075571">
        <w:t>whole-system approach</w:t>
      </w:r>
      <w:r w:rsidR="00EE0ADB">
        <w:t>’</w:t>
      </w:r>
      <w:r w:rsidRPr="00075571">
        <w:t xml:space="preserve"> (Edwards</w:t>
      </w:r>
      <w:r>
        <w:t xml:space="preserve"> </w:t>
      </w:r>
      <w:r w:rsidR="00AD0D58">
        <w:t>et al</w:t>
      </w:r>
      <w:r w:rsidRPr="00075571">
        <w:t xml:space="preserve"> 2016). Such an approach aims to combat the fragmentation of services among mixed providers</w:t>
      </w:r>
      <w:r>
        <w:t>. It is used</w:t>
      </w:r>
      <w:r w:rsidRPr="00075571">
        <w:t xml:space="preserve">, for example, in the United Kingdom (Edwards </w:t>
      </w:r>
      <w:r w:rsidR="00AD0D58">
        <w:t>et al</w:t>
      </w:r>
      <w:r w:rsidRPr="00075571">
        <w:t xml:space="preserve"> 2016; McFadyen 1999).</w:t>
      </w:r>
    </w:p>
    <w:p w14:paraId="3F0F4A51" w14:textId="77777777" w:rsidR="009636B7" w:rsidRPr="00075571" w:rsidRDefault="009636B7" w:rsidP="00AD0D58"/>
    <w:p w14:paraId="48A2E004" w14:textId="77777777" w:rsidR="009636B7" w:rsidRPr="00075571" w:rsidRDefault="009636B7" w:rsidP="00AD0D58">
      <w:r w:rsidRPr="001A28C6">
        <w:t>Within inpatient services (</w:t>
      </w:r>
      <w:r>
        <w:t>ie</w:t>
      </w:r>
      <w:r w:rsidRPr="001A28C6">
        <w:t>, forensic mental health</w:t>
      </w:r>
      <w:r w:rsidRPr="009E213B">
        <w:t xml:space="preserve"> hospitals), Kennedy </w:t>
      </w:r>
      <w:r w:rsidR="00AD0D58">
        <w:t>et al</w:t>
      </w:r>
      <w:r w:rsidRPr="00815A31">
        <w:t xml:space="preserve"> (</w:t>
      </w:r>
      <w:r>
        <w:t>f</w:t>
      </w:r>
      <w:r w:rsidRPr="00815A31">
        <w:t>orthcoming) broadly describe</w:t>
      </w:r>
      <w:r w:rsidRPr="000329FE">
        <w:t xml:space="preserve"> two models of care at the unit level: (a) ward-based </w:t>
      </w:r>
      <w:r>
        <w:t>multidisciplinary teams</w:t>
      </w:r>
      <w:r w:rsidRPr="000329FE">
        <w:t>, which are led by consultant psychiatrists and include the range of professionals involved in service users</w:t>
      </w:r>
      <w:r w:rsidR="00EE0ADB">
        <w:t>’</w:t>
      </w:r>
      <w:r w:rsidRPr="000329FE">
        <w:t xml:space="preserve"> assessment and treatment; and (b)</w:t>
      </w:r>
      <w:r w:rsidR="00AD0D58">
        <w:t> </w:t>
      </w:r>
      <w:r w:rsidRPr="000329FE">
        <w:t xml:space="preserve">therapeutic communities, which are </w:t>
      </w:r>
      <w:r w:rsidR="00EE0ADB">
        <w:t>‘</w:t>
      </w:r>
      <w:r w:rsidRPr="000329FE">
        <w:t>associated with psychotherapeutic environments for hospitals</w:t>
      </w:r>
      <w:r w:rsidR="00EE0ADB">
        <w:t>’</w:t>
      </w:r>
      <w:r w:rsidRPr="000329FE">
        <w:t xml:space="preserve"> and involve </w:t>
      </w:r>
      <w:r w:rsidR="00EE0ADB">
        <w:t>‘</w:t>
      </w:r>
      <w:r w:rsidRPr="000329FE">
        <w:t>patient-led or co-produced therapeutic regimes</w:t>
      </w:r>
      <w:r w:rsidR="00EE0ADB">
        <w:t>’</w:t>
      </w:r>
      <w:r w:rsidR="00AD0D58">
        <w:t xml:space="preserve"> (p. </w:t>
      </w:r>
      <w:r w:rsidRPr="000329FE">
        <w:t xml:space="preserve">9; see also Shuker 2013). In </w:t>
      </w:r>
      <w:r w:rsidRPr="00075571">
        <w:t xml:space="preserve">Aotearoa </w:t>
      </w:r>
      <w:r>
        <w:t>New Zealand</w:t>
      </w:r>
      <w:r w:rsidRPr="001A28C6">
        <w:t>, FMHS</w:t>
      </w:r>
      <w:r>
        <w:t>s</w:t>
      </w:r>
      <w:r w:rsidRPr="001A28C6">
        <w:t xml:space="preserve"> typically </w:t>
      </w:r>
      <w:r>
        <w:t>us</w:t>
      </w:r>
      <w:r w:rsidRPr="001A28C6">
        <w:t xml:space="preserve">e the </w:t>
      </w:r>
      <w:r>
        <w:t xml:space="preserve">multidisciplinary team </w:t>
      </w:r>
      <w:r w:rsidRPr="001A28C6">
        <w:t xml:space="preserve">model, with a senior nurse serving as unit manager and </w:t>
      </w:r>
      <w:r>
        <w:t>teams</w:t>
      </w:r>
      <w:r w:rsidRPr="001A28C6">
        <w:t xml:space="preserve"> for each service user led by </w:t>
      </w:r>
      <w:r>
        <w:t xml:space="preserve">a </w:t>
      </w:r>
      <w:r w:rsidRPr="001A28C6">
        <w:t xml:space="preserve">responsible clinician who coordinates care, develops individual treatment plans and reviews patient progress. The use of </w:t>
      </w:r>
      <w:r>
        <w:t>multidisciplinary teams</w:t>
      </w:r>
      <w:r w:rsidRPr="001A28C6">
        <w:t xml:space="preserve"> reflects what can be viewed as a best practice recommendation among the international literature (</w:t>
      </w:r>
      <w:r w:rsidRPr="00075571">
        <w:t>Haines</w:t>
      </w:r>
      <w:r>
        <w:t xml:space="preserve"> </w:t>
      </w:r>
      <w:r w:rsidR="00AD0D58">
        <w:t>et al</w:t>
      </w:r>
      <w:r w:rsidRPr="00075571">
        <w:t xml:space="preserve"> 2018; Orovwuje 2008; Skipworth </w:t>
      </w:r>
      <w:r>
        <w:t>and</w:t>
      </w:r>
      <w:r w:rsidRPr="00075571">
        <w:t xml:space="preserve"> Lindquist 2007).</w:t>
      </w:r>
    </w:p>
    <w:p w14:paraId="2B78C415" w14:textId="77777777" w:rsidR="009636B7" w:rsidRPr="001A28C6" w:rsidRDefault="009636B7" w:rsidP="00AD0D58"/>
    <w:p w14:paraId="5307302C" w14:textId="77777777" w:rsidR="00EE0ADB" w:rsidRDefault="009636B7" w:rsidP="00AD0D58">
      <w:pPr>
        <w:keepLines/>
      </w:pPr>
      <w:r w:rsidRPr="001A28C6">
        <w:lastRenderedPageBreak/>
        <w:t xml:space="preserve">One issue </w:t>
      </w:r>
      <w:r>
        <w:t xml:space="preserve">affecting </w:t>
      </w:r>
      <w:r w:rsidRPr="001A28C6">
        <w:t xml:space="preserve">the stratified therapeutic model is what Kennedy </w:t>
      </w:r>
      <w:r w:rsidR="00AD0D58">
        <w:t>et al</w:t>
      </w:r>
      <w:r w:rsidRPr="009E213B">
        <w:t xml:space="preserve"> </w:t>
      </w:r>
      <w:r w:rsidRPr="005C4846">
        <w:t>(</w:t>
      </w:r>
      <w:r>
        <w:t>f</w:t>
      </w:r>
      <w:r w:rsidRPr="005C4846">
        <w:t xml:space="preserve">orthcoming) </w:t>
      </w:r>
      <w:r w:rsidRPr="00E42BE0">
        <w:t>identify</w:t>
      </w:r>
      <w:r w:rsidRPr="00A537F0">
        <w:t xml:space="preserve"> as long-stay quality of life issues</w:t>
      </w:r>
      <w:r w:rsidRPr="004034BB">
        <w:t xml:space="preserve"> (see also Sampson</w:t>
      </w:r>
      <w:r>
        <w:t xml:space="preserve"> </w:t>
      </w:r>
      <w:r w:rsidR="00AD0D58">
        <w:t>et al</w:t>
      </w:r>
      <w:r>
        <w:t xml:space="preserve"> </w:t>
      </w:r>
      <w:r w:rsidRPr="00075571">
        <w:t>2016)</w:t>
      </w:r>
      <w:r w:rsidRPr="001A28C6">
        <w:t xml:space="preserve">. This </w:t>
      </w:r>
      <w:r>
        <w:t xml:space="preserve">affects </w:t>
      </w:r>
      <w:r w:rsidRPr="001A28C6">
        <w:t xml:space="preserve">the portion of the forensic service user population who require more than </w:t>
      </w:r>
      <w:r>
        <w:t xml:space="preserve">five </w:t>
      </w:r>
      <w:r w:rsidRPr="001A28C6">
        <w:t xml:space="preserve">years of care in secure services. Kennedy </w:t>
      </w:r>
      <w:r w:rsidR="00AD0D58">
        <w:t>et al</w:t>
      </w:r>
      <w:r w:rsidRPr="001A28C6">
        <w:t xml:space="preserve"> </w:t>
      </w:r>
      <w:r w:rsidRPr="009E213B">
        <w:t xml:space="preserve">note the need for services to </w:t>
      </w:r>
      <w:r w:rsidR="00EE0ADB">
        <w:t>‘</w:t>
      </w:r>
      <w:r w:rsidRPr="009E213B">
        <w:t>provide structured secure slow-stream habilitation places at low, med</w:t>
      </w:r>
      <w:r w:rsidRPr="005C4846">
        <w:t>ium and high levels of security for placements of up to 20 years</w:t>
      </w:r>
      <w:r w:rsidR="00EE0ADB">
        <w:t>’</w:t>
      </w:r>
      <w:r w:rsidR="00AD0D58">
        <w:t xml:space="preserve"> (p. </w:t>
      </w:r>
      <w:r w:rsidRPr="005C4846">
        <w:t xml:space="preserve">15). Here, the emphasis should be on </w:t>
      </w:r>
      <w:r w:rsidR="00EE0ADB">
        <w:t>‘</w:t>
      </w:r>
      <w:r w:rsidRPr="005C4846">
        <w:t>quality of life, personal recovery within the limits of symptomatic and functional recovery</w:t>
      </w:r>
      <w:r w:rsidR="00EE0ADB">
        <w:t>’</w:t>
      </w:r>
      <w:r w:rsidRPr="005C4846">
        <w:t xml:space="preserve"> and creative therapies that </w:t>
      </w:r>
      <w:r w:rsidRPr="000329FE">
        <w:t xml:space="preserve">instil </w:t>
      </w:r>
      <w:r w:rsidR="00EE0ADB">
        <w:t>‘</w:t>
      </w:r>
      <w:r w:rsidRPr="000329FE">
        <w:t>hope and a sense of community</w:t>
      </w:r>
      <w:r w:rsidR="00EE0ADB">
        <w:t>’</w:t>
      </w:r>
      <w:r w:rsidR="00AD0D58">
        <w:t xml:space="preserve"> (p. </w:t>
      </w:r>
      <w:r w:rsidRPr="000329FE">
        <w:t>15). Also required are step-down facilities equipped to manage and address the needs of those who have endured long custodial sentences and, thus, may have severe and enduring mental illness as well as significant and lasting impacts from the experience of institutionali</w:t>
      </w:r>
      <w:r>
        <w:t>s</w:t>
      </w:r>
      <w:r w:rsidRPr="000329FE">
        <w:t>ation.</w:t>
      </w:r>
    </w:p>
    <w:p w14:paraId="55CFD9F4" w14:textId="77777777" w:rsidR="00AD0D58" w:rsidRDefault="00AD0D58" w:rsidP="00AD0D58"/>
    <w:p w14:paraId="21E95AE8" w14:textId="77777777" w:rsidR="009636B7" w:rsidRPr="00075571" w:rsidRDefault="009636B7" w:rsidP="00AD0D58">
      <w:pPr>
        <w:pStyle w:val="Heading3"/>
      </w:pPr>
      <w:bookmarkStart w:id="65" w:name="_Toc16805630"/>
      <w:r w:rsidRPr="00075571">
        <w:t>Rehabilitation</w:t>
      </w:r>
      <w:bookmarkEnd w:id="65"/>
    </w:p>
    <w:p w14:paraId="10513407" w14:textId="77777777" w:rsidR="00EE0ADB" w:rsidRDefault="009636B7" w:rsidP="005054ED">
      <w:r>
        <w:t>The function of i</w:t>
      </w:r>
      <w:r w:rsidRPr="00075571">
        <w:t>npatient FMHS</w:t>
      </w:r>
      <w:r>
        <w:t>s</w:t>
      </w:r>
      <w:r w:rsidRPr="00075571">
        <w:t xml:space="preserve"> </w:t>
      </w:r>
      <w:r>
        <w:t xml:space="preserve">has </w:t>
      </w:r>
      <w:r w:rsidRPr="00075571">
        <w:t xml:space="preserve">shifted increasingly from a custodial </w:t>
      </w:r>
      <w:r>
        <w:t xml:space="preserve">function </w:t>
      </w:r>
      <w:r w:rsidRPr="00075571">
        <w:t xml:space="preserve">to </w:t>
      </w:r>
      <w:r>
        <w:t xml:space="preserve">a </w:t>
      </w:r>
      <w:r w:rsidRPr="00075571">
        <w:t xml:space="preserve">rehabilitative </w:t>
      </w:r>
      <w:r>
        <w:t xml:space="preserve">one </w:t>
      </w:r>
      <w:r w:rsidRPr="00075571">
        <w:t xml:space="preserve">in recent decades (McKenna </w:t>
      </w:r>
      <w:r w:rsidR="00AD0D58">
        <w:t>et al</w:t>
      </w:r>
      <w:r w:rsidRPr="00075571">
        <w:t xml:space="preserve"> 2014</w:t>
      </w:r>
      <w:r>
        <w:t>c</w:t>
      </w:r>
      <w:r w:rsidRPr="00075571">
        <w:t>), the primary outcome criterion being the service user</w:t>
      </w:r>
      <w:r w:rsidR="00EE0ADB">
        <w:t>’</w:t>
      </w:r>
      <w:r w:rsidRPr="00075571">
        <w:t>s discharge or return to the community (Tarasenko</w:t>
      </w:r>
      <w:r>
        <w:t xml:space="preserve"> </w:t>
      </w:r>
      <w:r w:rsidR="00AD0D58">
        <w:t>et al</w:t>
      </w:r>
      <w:r>
        <w:t xml:space="preserve"> </w:t>
      </w:r>
      <w:r w:rsidRPr="00075571">
        <w:t>2013). As such, a large portion of the literature discusses the rehabilitation (</w:t>
      </w:r>
      <w:r>
        <w:t>ie</w:t>
      </w:r>
      <w:r w:rsidRPr="00075571">
        <w:t>, assessment and treatment) of the FMHS inpatient population. However, while there is a growing evidence base on a range of rehabilitative models and interventions that address particular aspects of FMHS</w:t>
      </w:r>
      <w:r>
        <w:t>s,</w:t>
      </w:r>
      <w:r w:rsidRPr="00075571">
        <w:t xml:space="preserve"> such as risk (see Barnao </w:t>
      </w:r>
      <w:r>
        <w:t>and</w:t>
      </w:r>
      <w:r w:rsidRPr="00075571">
        <w:t xml:space="preserve"> Ward 2015) or various </w:t>
      </w:r>
      <w:r>
        <w:t>aspects</w:t>
      </w:r>
      <w:r w:rsidRPr="00075571">
        <w:t xml:space="preserve"> of the forensic inpatient population (</w:t>
      </w:r>
      <w:r>
        <w:t>eg</w:t>
      </w:r>
      <w:r w:rsidRPr="00075571">
        <w:t xml:space="preserve">, psychopathy, personality disorders, sex offending, </w:t>
      </w:r>
      <w:r>
        <w:t>AOD</w:t>
      </w:r>
      <w:r w:rsidRPr="00075571">
        <w:t>, arson, intellectual disability, etc</w:t>
      </w:r>
      <w:r>
        <w:t>:</w:t>
      </w:r>
      <w:r w:rsidRPr="00075571">
        <w:t xml:space="preserve"> see Craig</w:t>
      </w:r>
      <w:r>
        <w:t xml:space="preserve"> </w:t>
      </w:r>
      <w:r w:rsidR="00AD0D58">
        <w:t>et al</w:t>
      </w:r>
      <w:r w:rsidRPr="00075571">
        <w:t xml:space="preserve"> 2013; Gunn </w:t>
      </w:r>
      <w:r>
        <w:t>and</w:t>
      </w:r>
      <w:r w:rsidRPr="00075571">
        <w:t xml:space="preserve"> Taylor 2014; Soothill</w:t>
      </w:r>
      <w:r>
        <w:t xml:space="preserve"> </w:t>
      </w:r>
      <w:r w:rsidR="00AD0D58">
        <w:t>et al</w:t>
      </w:r>
      <w:r w:rsidRPr="00075571">
        <w:t xml:space="preserve"> 2013), literature on comprehensive models of care that follow rehabilitative approaches within inpatient FMHS</w:t>
      </w:r>
      <w:r>
        <w:t>s</w:t>
      </w:r>
      <w:r w:rsidRPr="00075571">
        <w:t xml:space="preserve"> is still lacking.</w:t>
      </w:r>
    </w:p>
    <w:p w14:paraId="1645976F" w14:textId="77777777" w:rsidR="009636B7" w:rsidRPr="00075571" w:rsidRDefault="009636B7" w:rsidP="005054ED"/>
    <w:p w14:paraId="06CF3B38" w14:textId="77777777" w:rsidR="00EE0ADB" w:rsidRDefault="00EE0ADB" w:rsidP="005054ED">
      <w:r>
        <w:t>‘</w:t>
      </w:r>
      <w:r w:rsidR="009636B7" w:rsidRPr="00075571">
        <w:t>Psychiatric rehabilitation</w:t>
      </w:r>
      <w:r>
        <w:t>’</w:t>
      </w:r>
      <w:r w:rsidR="009636B7" w:rsidRPr="00075571">
        <w:t xml:space="preserve"> is typically defined in comparison to the traditional institutional </w:t>
      </w:r>
      <w:r>
        <w:t>‘</w:t>
      </w:r>
      <w:r w:rsidR="009636B7" w:rsidRPr="00075571">
        <w:t>medical model</w:t>
      </w:r>
      <w:r>
        <w:t>’</w:t>
      </w:r>
      <w:r w:rsidR="009636B7" w:rsidRPr="00075571">
        <w:t xml:space="preserve"> (Tarasenko </w:t>
      </w:r>
      <w:r w:rsidR="00AD0D58">
        <w:t>et al</w:t>
      </w:r>
      <w:r w:rsidR="009636B7" w:rsidRPr="00075571">
        <w:t xml:space="preserve"> 2013), which Kennedy </w:t>
      </w:r>
      <w:r w:rsidR="00AD0D58">
        <w:t>et al</w:t>
      </w:r>
      <w:r w:rsidR="009636B7" w:rsidRPr="00075571">
        <w:t xml:space="preserve"> (</w:t>
      </w:r>
      <w:r w:rsidR="009636B7">
        <w:t>f</w:t>
      </w:r>
      <w:r w:rsidR="009636B7" w:rsidRPr="00075571">
        <w:t xml:space="preserve">orthcoming) note is not a model of care but an </w:t>
      </w:r>
      <w:r>
        <w:t>‘</w:t>
      </w:r>
      <w:r w:rsidR="009636B7" w:rsidRPr="00075571">
        <w:t>overarching conceptual model of scientific and heuristic approaches to diagnosis and treatment</w:t>
      </w:r>
      <w:r>
        <w:t>’</w:t>
      </w:r>
      <w:r w:rsidR="009636B7" w:rsidRPr="00075571">
        <w:t xml:space="preserve"> that </w:t>
      </w:r>
      <w:r>
        <w:t>‘</w:t>
      </w:r>
      <w:r w:rsidR="009636B7" w:rsidRPr="00075571">
        <w:t>emphasises patient centred ethics, scientific rigor and excellence</w:t>
      </w:r>
      <w:r>
        <w:t>’</w:t>
      </w:r>
      <w:r w:rsidR="00AD0D58">
        <w:t xml:space="preserve"> (p. </w:t>
      </w:r>
      <w:r w:rsidR="009636B7" w:rsidRPr="00075571">
        <w:t xml:space="preserve">2). However, understandings of what constitutes </w:t>
      </w:r>
      <w:r>
        <w:t>‘</w:t>
      </w:r>
      <w:r w:rsidR="009636B7" w:rsidRPr="00075571">
        <w:t>rehabilitation</w:t>
      </w:r>
      <w:r>
        <w:t>’</w:t>
      </w:r>
      <w:r w:rsidR="009636B7" w:rsidRPr="00075571">
        <w:t xml:space="preserve"> vary among clinicians internationally, along with understandings of the role of staff and services, and which patients are most suitable for psychiatric rehabilitation (Khan </w:t>
      </w:r>
      <w:r w:rsidR="00AD0D58">
        <w:t>et al</w:t>
      </w:r>
      <w:r w:rsidR="009636B7" w:rsidRPr="00075571">
        <w:t xml:space="preserve"> 2018). There is also a dearth of literature on </w:t>
      </w:r>
      <w:r>
        <w:t>‘</w:t>
      </w:r>
      <w:r w:rsidR="009636B7" w:rsidRPr="00075571">
        <w:rPr>
          <w:i/>
          <w:iCs/>
        </w:rPr>
        <w:t>whether or not</w:t>
      </w:r>
      <w:r w:rsidR="009636B7" w:rsidRPr="00075571">
        <w:t xml:space="preserve">, </w:t>
      </w:r>
      <w:r w:rsidR="009636B7" w:rsidRPr="00075571">
        <w:rPr>
          <w:i/>
          <w:iCs/>
        </w:rPr>
        <w:t>to what extent</w:t>
      </w:r>
      <w:r w:rsidR="009636B7" w:rsidRPr="00075571">
        <w:t xml:space="preserve">, and </w:t>
      </w:r>
      <w:r w:rsidR="009636B7" w:rsidRPr="00075571">
        <w:rPr>
          <w:i/>
          <w:iCs/>
        </w:rPr>
        <w:t>when</w:t>
      </w:r>
      <w:r w:rsidR="009636B7" w:rsidRPr="00075571">
        <w:t xml:space="preserve"> forensic psychiatric rehabilitation alters the individual</w:t>
      </w:r>
      <w:r>
        <w:t>’</w:t>
      </w:r>
      <w:r w:rsidR="009636B7" w:rsidRPr="00075571">
        <w:t>s level of risk</w:t>
      </w:r>
      <w:r>
        <w:t>’</w:t>
      </w:r>
      <w:r w:rsidR="009636B7" w:rsidRPr="00075571">
        <w:t xml:space="preserve"> (</w:t>
      </w:r>
      <w:bookmarkStart w:id="66" w:name="_Hlk84850631"/>
      <w:r w:rsidR="009636B7" w:rsidRPr="00075571">
        <w:t xml:space="preserve">Lindqvist </w:t>
      </w:r>
      <w:r w:rsidR="009636B7">
        <w:t>and</w:t>
      </w:r>
      <w:r w:rsidR="009636B7" w:rsidRPr="00075571">
        <w:t xml:space="preserve"> Skipworth 2000</w:t>
      </w:r>
      <w:r w:rsidR="005054ED">
        <w:t>, p. </w:t>
      </w:r>
      <w:r w:rsidR="009636B7" w:rsidRPr="00075571">
        <w:t>320; original emphasis).</w:t>
      </w:r>
    </w:p>
    <w:bookmarkEnd w:id="66"/>
    <w:p w14:paraId="571F882B" w14:textId="77777777" w:rsidR="009636B7" w:rsidRPr="00075571" w:rsidRDefault="009636B7" w:rsidP="005054ED"/>
    <w:p w14:paraId="6FB7B5A1" w14:textId="77777777" w:rsidR="00EE0ADB" w:rsidRDefault="009636B7" w:rsidP="005054ED">
      <w:r w:rsidRPr="00075571">
        <w:t xml:space="preserve">Lindqvist and Skipworth (2000) define rehabilitation as </w:t>
      </w:r>
      <w:r w:rsidR="00EE0ADB">
        <w:t>‘</w:t>
      </w:r>
      <w:r w:rsidRPr="00075571">
        <w:t>a process where the outcome is the result not only of the sum of individual contributions within the treatment system, but also of the interacting effects of these various efforts</w:t>
      </w:r>
      <w:r w:rsidR="00EE0ADB">
        <w:t>’</w:t>
      </w:r>
      <w:r w:rsidR="00AD0D58">
        <w:t xml:space="preserve"> (p. </w:t>
      </w:r>
      <w:r w:rsidRPr="00075571">
        <w:t xml:space="preserve">321). This process thus must take into account the various relationships that </w:t>
      </w:r>
      <w:r>
        <w:t>affect</w:t>
      </w:r>
      <w:r w:rsidRPr="00075571">
        <w:t xml:space="preserve"> treatment, including those between and among service users, staff, family/whānau and peers (Lindqvist </w:t>
      </w:r>
      <w:r>
        <w:t>and</w:t>
      </w:r>
      <w:r w:rsidRPr="00075571">
        <w:t xml:space="preserve"> Skipworth 2000). Robertson</w:t>
      </w:r>
      <w:r>
        <w:t xml:space="preserve"> </w:t>
      </w:r>
      <w:r w:rsidR="00AD0D58">
        <w:t>et al</w:t>
      </w:r>
      <w:r w:rsidRPr="00075571">
        <w:t xml:space="preserve"> (2011) identify six elements they believe constitute a good model of forensic rehabilitation:</w:t>
      </w:r>
    </w:p>
    <w:p w14:paraId="75BFE3C9" w14:textId="77777777" w:rsidR="00EE0ADB" w:rsidRDefault="009636B7" w:rsidP="005054ED">
      <w:pPr>
        <w:pStyle w:val="Number"/>
        <w:keepNext/>
      </w:pPr>
      <w:r>
        <w:lastRenderedPageBreak/>
        <w:t>p</w:t>
      </w:r>
      <w:r w:rsidRPr="001A28C6">
        <w:t xml:space="preserve">resence of a </w:t>
      </w:r>
      <w:r w:rsidR="00EE0ADB">
        <w:t>‘</w:t>
      </w:r>
      <w:r w:rsidRPr="001A28C6">
        <w:t>comprehensive rehabilitation theory underpinning interventions with forensic mental health clients</w:t>
      </w:r>
      <w:r w:rsidR="00EE0ADB">
        <w:t>’</w:t>
      </w:r>
    </w:p>
    <w:p w14:paraId="5D92916D" w14:textId="77777777" w:rsidR="009636B7" w:rsidRPr="000329FE" w:rsidRDefault="009636B7" w:rsidP="005054ED">
      <w:pPr>
        <w:pStyle w:val="Number"/>
      </w:pPr>
      <w:r>
        <w:t xml:space="preserve">the fact that </w:t>
      </w:r>
      <w:r w:rsidR="00EE0ADB">
        <w:t>‘</w:t>
      </w:r>
      <w:r w:rsidRPr="00E42BE0">
        <w:t>The general origins of offending behaviour that occurs within the context of mental illness will be spelled out</w:t>
      </w:r>
      <w:r w:rsidR="00EE0ADB">
        <w:t>’</w:t>
      </w:r>
    </w:p>
    <w:p w14:paraId="5AE1E2BB" w14:textId="77777777" w:rsidR="009636B7" w:rsidRPr="000329FE" w:rsidRDefault="009636B7" w:rsidP="005054ED">
      <w:pPr>
        <w:pStyle w:val="Number"/>
      </w:pPr>
      <w:r>
        <w:t>s</w:t>
      </w:r>
      <w:r w:rsidRPr="000329FE">
        <w:t xml:space="preserve">pecification of </w:t>
      </w:r>
      <w:r w:rsidR="00EE0ADB">
        <w:t>‘</w:t>
      </w:r>
      <w:r w:rsidRPr="000329FE">
        <w:t>the broad aims of rehabilitation</w:t>
      </w:r>
      <w:r w:rsidR="00EE0ADB">
        <w:t>’</w:t>
      </w:r>
    </w:p>
    <w:p w14:paraId="26C3FB7F" w14:textId="77777777" w:rsidR="009636B7" w:rsidRPr="000329FE" w:rsidRDefault="009636B7" w:rsidP="005054ED">
      <w:pPr>
        <w:pStyle w:val="Number"/>
      </w:pPr>
      <w:r>
        <w:t>o</w:t>
      </w:r>
      <w:r w:rsidRPr="000329FE">
        <w:t xml:space="preserve">utlining of </w:t>
      </w:r>
      <w:r w:rsidR="00EE0ADB">
        <w:t>‘</w:t>
      </w:r>
      <w:r w:rsidRPr="000329FE">
        <w:t>the proposed mechanisms at work in the rehabilitation process</w:t>
      </w:r>
      <w:r w:rsidR="00EE0ADB">
        <w:t>’</w:t>
      </w:r>
    </w:p>
    <w:p w14:paraId="47940FA0" w14:textId="77777777" w:rsidR="00EE0ADB" w:rsidRDefault="009636B7" w:rsidP="005054ED">
      <w:pPr>
        <w:pStyle w:val="Number"/>
      </w:pPr>
      <w:r>
        <w:t>s</w:t>
      </w:r>
      <w:r w:rsidRPr="000329FE">
        <w:t xml:space="preserve">pecification of </w:t>
      </w:r>
      <w:r w:rsidR="00EE0ADB">
        <w:t>‘</w:t>
      </w:r>
      <w:r w:rsidRPr="000329FE">
        <w:t>the attitudinal, motivational and relational aspects of treatment</w:t>
      </w:r>
      <w:r w:rsidR="00EE0ADB">
        <w:t>’</w:t>
      </w:r>
      <w:r w:rsidRPr="000329FE">
        <w:t xml:space="preserve"> and </w:t>
      </w:r>
      <w:r w:rsidR="00EE0ADB">
        <w:t>‘</w:t>
      </w:r>
      <w:r w:rsidRPr="000329FE">
        <w:t>guidance on how to manage the therapeutic alliance and issues relating to the process of therapy</w:t>
      </w:r>
      <w:r w:rsidR="00EE0ADB">
        <w:t>’</w:t>
      </w:r>
    </w:p>
    <w:p w14:paraId="16285AD3" w14:textId="77777777" w:rsidR="009636B7" w:rsidRPr="000329FE" w:rsidRDefault="009636B7" w:rsidP="005054ED">
      <w:pPr>
        <w:pStyle w:val="Number"/>
      </w:pPr>
      <w:r>
        <w:t>i</w:t>
      </w:r>
      <w:r w:rsidRPr="000329FE">
        <w:t xml:space="preserve">dentification of </w:t>
      </w:r>
      <w:r w:rsidR="00EE0ADB">
        <w:t>‘</w:t>
      </w:r>
      <w:r w:rsidRPr="000329FE">
        <w:t>the ethical and philosophical values embedded in the rehabilitation theory</w:t>
      </w:r>
      <w:r w:rsidR="00EE0ADB">
        <w:t>’</w:t>
      </w:r>
      <w:r>
        <w:t>.</w:t>
      </w:r>
      <w:r w:rsidR="00AD0D58">
        <w:t xml:space="preserve"> (p. </w:t>
      </w:r>
      <w:r w:rsidRPr="000329FE">
        <w:t>474)</w:t>
      </w:r>
    </w:p>
    <w:p w14:paraId="25310122" w14:textId="77777777" w:rsidR="009636B7" w:rsidRPr="000329FE" w:rsidRDefault="009636B7" w:rsidP="005054ED"/>
    <w:p w14:paraId="64053CD5" w14:textId="77777777" w:rsidR="009636B7" w:rsidRPr="00075571" w:rsidRDefault="009636B7" w:rsidP="005054ED">
      <w:r w:rsidRPr="00075571">
        <w:t>Childs and Brinded (2002) highlight debate as to whether rehabilitation should work to alleviate mental illness or reduce offending behaviour</w:t>
      </w:r>
      <w:r>
        <w:t xml:space="preserve"> – </w:t>
      </w:r>
      <w:r w:rsidRPr="00075571">
        <w:t>two aims, it is important to note, that are not mutually exclusive. Debate persists regarding the balance between these two aims, and permeates more recent approaches dominating the field, as discussed below.</w:t>
      </w:r>
    </w:p>
    <w:p w14:paraId="37FB9C29" w14:textId="77777777" w:rsidR="009636B7" w:rsidRPr="00075571" w:rsidRDefault="009636B7" w:rsidP="005054ED"/>
    <w:p w14:paraId="4AA29022" w14:textId="77777777" w:rsidR="00EE0ADB" w:rsidRDefault="009636B7" w:rsidP="005054ED">
      <w:r w:rsidRPr="00075571">
        <w:t xml:space="preserve">Generally, despite the ambiguity in the definition, mental health rehabilitation approaches have been found effective in </w:t>
      </w:r>
      <w:r w:rsidR="00EE0ADB">
        <w:t>‘</w:t>
      </w:r>
      <w:r w:rsidRPr="00075571">
        <w:t xml:space="preserve">reducing violence and </w:t>
      </w:r>
      <w:r w:rsidRPr="00E42BE0">
        <w:t>aggression</w:t>
      </w:r>
      <w:r w:rsidRPr="00075571">
        <w:t xml:space="preserve">, fostering adaptive </w:t>
      </w:r>
      <w:r w:rsidRPr="00E42BE0">
        <w:t>behaviour</w:t>
      </w:r>
      <w:r w:rsidRPr="00075571">
        <w:t xml:space="preserve"> and promoting recovery, and with higher discharge rates and lower costs</w:t>
      </w:r>
      <w:r w:rsidR="00EE0ADB">
        <w:t>’</w:t>
      </w:r>
      <w:r w:rsidRPr="00075571">
        <w:t xml:space="preserve"> (Tarasenko </w:t>
      </w:r>
      <w:r w:rsidR="00AD0D58">
        <w:t>et al</w:t>
      </w:r>
      <w:r w:rsidRPr="00075571">
        <w:t xml:space="preserve"> 2013</w:t>
      </w:r>
      <w:r w:rsidR="005054ED">
        <w:t>, p. </w:t>
      </w:r>
      <w:r w:rsidRPr="00075571">
        <w:t xml:space="preserve">449), and improving quality of life (Linhorst 1995) and staff experiences (Brown </w:t>
      </w:r>
      <w:r>
        <w:t>and</w:t>
      </w:r>
      <w:r w:rsidRPr="00075571">
        <w:t xml:space="preserve"> Lewis 2015), while offering a means to enhance community protection by taking into account both community and offender rights (Birgden 2008). Indeed, evidence has shown </w:t>
      </w:r>
      <w:r w:rsidR="00EE0ADB">
        <w:t>‘</w:t>
      </w:r>
      <w:r w:rsidRPr="00075571">
        <w:t>rehabilitation is more effective in reducing reoffending than punishment and prevention</w:t>
      </w:r>
      <w:r w:rsidR="00EE0ADB">
        <w:t>’</w:t>
      </w:r>
      <w:r w:rsidRPr="00075571">
        <w:t xml:space="preserve"> (Birgden 2008</w:t>
      </w:r>
      <w:r w:rsidR="005054ED">
        <w:t>, p. </w:t>
      </w:r>
      <w:r w:rsidRPr="00075571">
        <w:t>451).</w:t>
      </w:r>
    </w:p>
    <w:p w14:paraId="59804DE1" w14:textId="77777777" w:rsidR="005054ED" w:rsidRDefault="005054ED" w:rsidP="005054ED"/>
    <w:p w14:paraId="2A388F4D" w14:textId="77777777" w:rsidR="009636B7" w:rsidRPr="00075571" w:rsidRDefault="009636B7" w:rsidP="005054ED">
      <w:pPr>
        <w:pStyle w:val="Heading4"/>
      </w:pPr>
      <w:r w:rsidRPr="00075571">
        <w:t xml:space="preserve">The </w:t>
      </w:r>
      <w:r>
        <w:t>r</w:t>
      </w:r>
      <w:r w:rsidRPr="00075571">
        <w:t>isk-</w:t>
      </w:r>
      <w:r>
        <w:t>n</w:t>
      </w:r>
      <w:r w:rsidRPr="00075571">
        <w:t>eed-</w:t>
      </w:r>
      <w:r>
        <w:t>r</w:t>
      </w:r>
      <w:r w:rsidRPr="00075571">
        <w:t xml:space="preserve">esponsivity </w:t>
      </w:r>
      <w:r>
        <w:t>m</w:t>
      </w:r>
      <w:r w:rsidRPr="00075571">
        <w:t>odel</w:t>
      </w:r>
    </w:p>
    <w:p w14:paraId="56DE394A" w14:textId="77777777" w:rsidR="00EE0ADB" w:rsidRDefault="009636B7" w:rsidP="005054ED">
      <w:r w:rsidRPr="00075571">
        <w:t xml:space="preserve">The </w:t>
      </w:r>
      <w:r>
        <w:t>risk-need-responsivity (</w:t>
      </w:r>
      <w:r w:rsidRPr="00075571">
        <w:t>RNR</w:t>
      </w:r>
      <w:r>
        <w:t>)</w:t>
      </w:r>
      <w:r w:rsidRPr="00075571">
        <w:t xml:space="preserve"> model (Andrews </w:t>
      </w:r>
      <w:r>
        <w:t>and</w:t>
      </w:r>
      <w:r w:rsidRPr="00075571">
        <w:t xml:space="preserve"> Bonta 2010; Andrews</w:t>
      </w:r>
      <w:r>
        <w:t xml:space="preserve">and </w:t>
      </w:r>
      <w:r w:rsidR="00AD0D58">
        <w:t>et al</w:t>
      </w:r>
      <w:r w:rsidRPr="00075571">
        <w:t xml:space="preserve"> 1990) is a model of </w:t>
      </w:r>
      <w:r w:rsidR="00EE0ADB">
        <w:t>‘</w:t>
      </w:r>
      <w:r w:rsidRPr="001A28C6">
        <w:t>correctional assessment and treatment</w:t>
      </w:r>
      <w:r w:rsidR="00EE0ADB">
        <w:t>’</w:t>
      </w:r>
      <w:r w:rsidRPr="001A28C6">
        <w:t xml:space="preserve"> (Skeem</w:t>
      </w:r>
      <w:r>
        <w:t xml:space="preserve">and </w:t>
      </w:r>
      <w:r w:rsidR="00AD0D58">
        <w:t>et al</w:t>
      </w:r>
      <w:r w:rsidRPr="001A28C6">
        <w:t xml:space="preserve"> 2015</w:t>
      </w:r>
      <w:r w:rsidR="005054ED">
        <w:t>, p. </w:t>
      </w:r>
      <w:r w:rsidRPr="001A28C6">
        <w:t xml:space="preserve">917). It is extensively used by </w:t>
      </w:r>
      <w:r w:rsidRPr="009E213B">
        <w:t xml:space="preserve">clinicians internationally to assess and manage the risk of violence among corrections and </w:t>
      </w:r>
      <w:r w:rsidRPr="00E42BE0">
        <w:t>FMHS users and in relation to service users</w:t>
      </w:r>
      <w:r w:rsidR="00EE0ADB">
        <w:t>’</w:t>
      </w:r>
      <w:r w:rsidRPr="00E42BE0">
        <w:t xml:space="preserve"> criminogenic needs. While not a model of care, the RNR model has highly influenced the creation and implementation of models of care within forensic mental health due to the centrality of the risk concern. In this w</w:t>
      </w:r>
      <w:r w:rsidRPr="000329FE">
        <w:t xml:space="preserve">ay, it serves as </w:t>
      </w:r>
      <w:r>
        <w:t xml:space="preserve">an </w:t>
      </w:r>
      <w:r w:rsidR="00EE0ADB">
        <w:t>“</w:t>
      </w:r>
      <w:r w:rsidRPr="000329FE">
        <w:t>umbrella framework</w:t>
      </w:r>
      <w:r w:rsidR="00EE0ADB">
        <w:t>”</w:t>
      </w:r>
      <w:r w:rsidRPr="000329FE">
        <w:t xml:space="preserve"> that specifies basic conditions that should be met across diverse types of intervention for effective treatment</w:t>
      </w:r>
      <w:r w:rsidR="00EE0ADB">
        <w:t>’</w:t>
      </w:r>
      <w:r w:rsidRPr="000329FE">
        <w:t xml:space="preserve"> (Barnao </w:t>
      </w:r>
      <w:r>
        <w:t>and</w:t>
      </w:r>
      <w:r w:rsidRPr="000329FE">
        <w:t xml:space="preserve"> Ward 2015</w:t>
      </w:r>
      <w:r w:rsidR="005054ED">
        <w:t>, p. </w:t>
      </w:r>
      <w:r w:rsidRPr="000329FE">
        <w:t>80)</w:t>
      </w:r>
      <w:r>
        <w:t>,</w:t>
      </w:r>
      <w:r w:rsidRPr="000329FE">
        <w:t xml:space="preserve"> to reduce the risk of recidivism. For example, Mitchell</w:t>
      </w:r>
      <w:r>
        <w:t xml:space="preserve"> </w:t>
      </w:r>
      <w:r w:rsidR="00AD0D58">
        <w:t>et al</w:t>
      </w:r>
      <w:r>
        <w:t xml:space="preserve"> </w:t>
      </w:r>
      <w:r w:rsidRPr="000329FE">
        <w:t xml:space="preserve">(2016) argue the utility of the RNR approach in delivering forensic </w:t>
      </w:r>
      <w:r>
        <w:t xml:space="preserve">cognitive behavioural therapy </w:t>
      </w:r>
      <w:r w:rsidRPr="000329FE">
        <w:t xml:space="preserve">interventions, while others have used the model to inform </w:t>
      </w:r>
      <w:r w:rsidRPr="00075571">
        <w:t xml:space="preserve">the development of needs assessment instruments (Gordon </w:t>
      </w:r>
      <w:r>
        <w:t>and</w:t>
      </w:r>
      <w:r w:rsidRPr="00075571">
        <w:t xml:space="preserve"> Wong 2015; Keulen-de Vos </w:t>
      </w:r>
      <w:r>
        <w:t>and</w:t>
      </w:r>
      <w:r w:rsidRPr="00075571">
        <w:t xml:space="preserve"> Schepers 2016) and violence reduction programmes (Wong </w:t>
      </w:r>
      <w:r>
        <w:t>and</w:t>
      </w:r>
      <w:r w:rsidRPr="00075571">
        <w:t xml:space="preserve"> Gordon 2013; Wong</w:t>
      </w:r>
      <w:r>
        <w:t xml:space="preserve">and </w:t>
      </w:r>
      <w:r w:rsidR="00AD0D58">
        <w:t>et al</w:t>
      </w:r>
      <w:r w:rsidRPr="00075571">
        <w:t xml:space="preserve"> 2007).</w:t>
      </w:r>
    </w:p>
    <w:p w14:paraId="2648AE31" w14:textId="77777777" w:rsidR="005054ED" w:rsidRDefault="005054ED" w:rsidP="005054ED"/>
    <w:p w14:paraId="4D4F4D44" w14:textId="77777777" w:rsidR="009636B7" w:rsidRPr="00075571" w:rsidRDefault="009636B7" w:rsidP="005054ED">
      <w:pPr>
        <w:keepNext/>
      </w:pPr>
      <w:r w:rsidRPr="00075571">
        <w:lastRenderedPageBreak/>
        <w:t>As Barnao and Ward (2015) explain, the RNR model follows several key assumptions:</w:t>
      </w:r>
    </w:p>
    <w:p w14:paraId="7653FDC5" w14:textId="77777777" w:rsidR="009636B7" w:rsidRPr="00075571" w:rsidRDefault="009636B7" w:rsidP="005054ED">
      <w:pPr>
        <w:pStyle w:val="Quote"/>
        <w:keepLines/>
      </w:pPr>
      <w:r w:rsidRPr="00075571">
        <w:t>that certain empirically-based social and psychological risk factors are associated with offending, that an offender</w:t>
      </w:r>
      <w:r w:rsidR="00EE0ADB">
        <w:t>’</w:t>
      </w:r>
      <w:r w:rsidRPr="00075571">
        <w:t>s level of risk increases with the presence of each additional risk factor, and that targeting dynamic (</w:t>
      </w:r>
      <w:r>
        <w:t>ie</w:t>
      </w:r>
      <w:r w:rsidRPr="00075571">
        <w:t>, potentially changeable factors that give rise to offending) risk factors in treatment will reduce reoffending rates.</w:t>
      </w:r>
      <w:r w:rsidR="00AD0D58">
        <w:t xml:space="preserve"> (p. </w:t>
      </w:r>
      <w:r w:rsidRPr="00075571">
        <w:t>80)</w:t>
      </w:r>
    </w:p>
    <w:p w14:paraId="0F3B6721" w14:textId="77777777" w:rsidR="009636B7" w:rsidRPr="00075571" w:rsidRDefault="009636B7" w:rsidP="005054ED"/>
    <w:p w14:paraId="74F01A80" w14:textId="77777777" w:rsidR="00EE0ADB" w:rsidRDefault="009636B7" w:rsidP="005054ED">
      <w:r w:rsidRPr="00075571">
        <w:t>To manage risk and thus achieve a reduction in recidivism, the model has three central components:</w:t>
      </w:r>
    </w:p>
    <w:p w14:paraId="3A35A593" w14:textId="77777777" w:rsidR="009636B7" w:rsidRPr="00075571" w:rsidRDefault="009636B7" w:rsidP="005054ED">
      <w:pPr>
        <w:pStyle w:val="Number"/>
        <w:numPr>
          <w:ilvl w:val="3"/>
          <w:numId w:val="24"/>
        </w:numPr>
      </w:pPr>
      <w:r>
        <w:t>r</w:t>
      </w:r>
      <w:r w:rsidRPr="00075571">
        <w:t>isk principle (match level of program</w:t>
      </w:r>
      <w:r>
        <w:t>me</w:t>
      </w:r>
      <w:r w:rsidRPr="00075571">
        <w:t xml:space="preserve"> intensity to offender risk level; intensive levels of treatment for higher</w:t>
      </w:r>
      <w:r>
        <w:t>-</w:t>
      </w:r>
      <w:r w:rsidRPr="00075571">
        <w:t>risk offenders and minimal intervention for low-risk offenders)</w:t>
      </w:r>
    </w:p>
    <w:p w14:paraId="371DC2A8" w14:textId="77777777" w:rsidR="009636B7" w:rsidRPr="00075571" w:rsidRDefault="009636B7" w:rsidP="005054ED">
      <w:pPr>
        <w:pStyle w:val="Number"/>
      </w:pPr>
      <w:r>
        <w:t>n</w:t>
      </w:r>
      <w:r w:rsidRPr="00075571">
        <w:t xml:space="preserve">eed principle (target criminogenic needs or those offender needs that are functionally related to criminal </w:t>
      </w:r>
      <w:r w:rsidRPr="00E42BE0">
        <w:t>behaviour</w:t>
      </w:r>
      <w:r w:rsidRPr="00075571">
        <w:t>)</w:t>
      </w:r>
    </w:p>
    <w:p w14:paraId="0BC18119" w14:textId="77777777" w:rsidR="00EE0ADB" w:rsidRDefault="009636B7" w:rsidP="005054ED">
      <w:pPr>
        <w:pStyle w:val="Number"/>
      </w:pPr>
      <w:r>
        <w:t>r</w:t>
      </w:r>
      <w:r w:rsidRPr="00075571">
        <w:t>esponsivity principle (match the style and mode of intervention to the offender</w:t>
      </w:r>
      <w:r w:rsidR="00EE0ADB">
        <w:t>’</w:t>
      </w:r>
      <w:r w:rsidRPr="00075571">
        <w:t>s learning style and abilities) (Andrews</w:t>
      </w:r>
      <w:r>
        <w:t xml:space="preserve"> </w:t>
      </w:r>
      <w:r w:rsidR="00AD0D58">
        <w:t>et al</w:t>
      </w:r>
      <w:r w:rsidRPr="00075571">
        <w:t xml:space="preserve"> 2011</w:t>
      </w:r>
      <w:r w:rsidR="005054ED">
        <w:t>, p. </w:t>
      </w:r>
      <w:r w:rsidRPr="00075571">
        <w:t>735).</w:t>
      </w:r>
    </w:p>
    <w:p w14:paraId="19825C4C" w14:textId="77777777" w:rsidR="009636B7" w:rsidRPr="00075571" w:rsidRDefault="009636B7" w:rsidP="005054ED"/>
    <w:p w14:paraId="391B9CA3" w14:textId="77777777" w:rsidR="009636B7" w:rsidRPr="00075571" w:rsidRDefault="009636B7" w:rsidP="005054ED">
      <w:r w:rsidRPr="00075571">
        <w:t xml:space="preserve">There is a strong evidence base supporting </w:t>
      </w:r>
      <w:r>
        <w:t xml:space="preserve">use </w:t>
      </w:r>
      <w:r w:rsidRPr="00075571">
        <w:t>of the RNR model in interventions addressing the criminogenic needs of different groups of offenders primarily in corrections contexts</w:t>
      </w:r>
      <w:r>
        <w:t>;</w:t>
      </w:r>
      <w:r w:rsidRPr="00075571">
        <w:t xml:space="preserve"> for example sex offenders (</w:t>
      </w:r>
      <w:r>
        <w:t>eg</w:t>
      </w:r>
      <w:r w:rsidRPr="00075571">
        <w:t xml:space="preserve">, Cortoni </w:t>
      </w:r>
      <w:r>
        <w:t>and</w:t>
      </w:r>
      <w:r w:rsidRPr="00075571">
        <w:t xml:space="preserve"> Gannon 2013; Hanson</w:t>
      </w:r>
      <w:r>
        <w:t xml:space="preserve"> </w:t>
      </w:r>
      <w:r w:rsidR="00AD0D58">
        <w:t>et al</w:t>
      </w:r>
      <w:r w:rsidRPr="00075571">
        <w:t xml:space="preserve"> 2009; Looman </w:t>
      </w:r>
      <w:r>
        <w:t>and</w:t>
      </w:r>
      <w:r w:rsidRPr="00075571">
        <w:t xml:space="preserve"> Abracen 2013), arson (</w:t>
      </w:r>
      <w:r>
        <w:t>eg</w:t>
      </w:r>
      <w:r w:rsidRPr="00075571">
        <w:t>, Fritzon</w:t>
      </w:r>
      <w:r>
        <w:t xml:space="preserve"> </w:t>
      </w:r>
      <w:r w:rsidR="00AD0D58">
        <w:t>et al</w:t>
      </w:r>
      <w:r w:rsidRPr="00075571">
        <w:t xml:space="preserve"> 2013), and </w:t>
      </w:r>
      <w:r>
        <w:t>AOD-</w:t>
      </w:r>
      <w:r w:rsidRPr="00075571">
        <w:t>related offending (</w:t>
      </w:r>
      <w:r>
        <w:t>eg</w:t>
      </w:r>
      <w:r w:rsidRPr="00075571">
        <w:t>, Weekes</w:t>
      </w:r>
      <w:r>
        <w:t xml:space="preserve"> </w:t>
      </w:r>
      <w:r w:rsidR="00AD0D58">
        <w:t>et al</w:t>
      </w:r>
      <w:r w:rsidRPr="00075571">
        <w:t xml:space="preserve"> 2013). Generally, </w:t>
      </w:r>
      <w:r w:rsidR="00EE0ADB">
        <w:t>‘</w:t>
      </w:r>
      <w:r w:rsidRPr="00075571">
        <w:t>interventions that adhere to the RNR principles are associated with significant reductions in recidivism, whereas treatments that fail to follow the principles yield minimal reductions in recidivism and, in some cases, even increase recidivism</w:t>
      </w:r>
      <w:r w:rsidR="00EE0ADB">
        <w:t>’</w:t>
      </w:r>
      <w:r w:rsidRPr="00075571">
        <w:t xml:space="preserve"> (Andrews </w:t>
      </w:r>
      <w:r w:rsidR="00AD0D58">
        <w:t>et al</w:t>
      </w:r>
      <w:r w:rsidRPr="00075571">
        <w:t xml:space="preserve"> 2011</w:t>
      </w:r>
      <w:r w:rsidR="005054ED">
        <w:t>, p. </w:t>
      </w:r>
      <w:r w:rsidRPr="00075571">
        <w:t xml:space="preserve">736). However, the RNR model has faced increasing criticism from proponents of recovery-oriented approaches, primarily due to </w:t>
      </w:r>
      <w:r>
        <w:t xml:space="preserve">its </w:t>
      </w:r>
      <w:r w:rsidRPr="00075571">
        <w:t xml:space="preserve">emphasis on deficits versus strengths, lack of attention to human agency as well as contextual/ecological factors, and a </w:t>
      </w:r>
      <w:r w:rsidR="00EE0ADB">
        <w:t>‘</w:t>
      </w:r>
      <w:r w:rsidRPr="00075571">
        <w:t>one size fits all</w:t>
      </w:r>
      <w:r w:rsidR="00EE0ADB">
        <w:t>’</w:t>
      </w:r>
      <w:r w:rsidRPr="00075571">
        <w:t xml:space="preserve"> approach (Andrews </w:t>
      </w:r>
      <w:r w:rsidR="00AD0D58">
        <w:t>et al</w:t>
      </w:r>
      <w:r w:rsidRPr="00075571">
        <w:t xml:space="preserve"> 2011; Looman </w:t>
      </w:r>
      <w:r>
        <w:t>and</w:t>
      </w:r>
      <w:r w:rsidRPr="00075571">
        <w:t xml:space="preserve"> Abracen 2013). There has also been some concern about its predictive validity among minority offenders, particularly </w:t>
      </w:r>
      <w:r>
        <w:t xml:space="preserve">in terms of </w:t>
      </w:r>
      <w:r w:rsidRPr="00075571">
        <w:t xml:space="preserve">whether it over-predicts risk among women and </w:t>
      </w:r>
      <w:r w:rsidRPr="00E42BE0">
        <w:t>ethnic</w:t>
      </w:r>
      <w:r w:rsidRPr="00075571">
        <w:t xml:space="preserve"> minorities (Bonta </w:t>
      </w:r>
      <w:r>
        <w:t>and</w:t>
      </w:r>
      <w:r w:rsidRPr="00075571">
        <w:t xml:space="preserve"> Wormith 2013).</w:t>
      </w:r>
    </w:p>
    <w:p w14:paraId="7354E890" w14:textId="77777777" w:rsidR="009636B7" w:rsidRPr="00075571" w:rsidRDefault="009636B7" w:rsidP="005054ED"/>
    <w:p w14:paraId="1B6AC3DE" w14:textId="77777777" w:rsidR="00EE0ADB" w:rsidRDefault="009636B7" w:rsidP="005054ED">
      <w:r w:rsidRPr="00075571">
        <w:t xml:space="preserve">Further issues have been identified concerning the applicability of the RNR model for women. There is a concern as to </w:t>
      </w:r>
      <w:r w:rsidR="00EE0ADB">
        <w:t>‘</w:t>
      </w:r>
      <w:r w:rsidRPr="00075571">
        <w:t xml:space="preserve">whether or not dynamic risk factors for offending in men are equally applicable to </w:t>
      </w:r>
      <w:r w:rsidRPr="005B0EFB">
        <w:t>women</w:t>
      </w:r>
      <w:r w:rsidR="00EE0ADB">
        <w:t>’</w:t>
      </w:r>
      <w:r w:rsidRPr="005B0EFB">
        <w:t xml:space="preserve"> (Polasche</w:t>
      </w:r>
      <w:r w:rsidRPr="00075571">
        <w:t xml:space="preserve">k 2018, np). Polaschek (2018) notes </w:t>
      </w:r>
      <w:r>
        <w:t>that</w:t>
      </w:r>
      <w:r w:rsidRPr="00075571">
        <w:t xml:space="preserve"> the RNR model is based on an understanding of male criminogenic need</w:t>
      </w:r>
      <w:r>
        <w:t>;</w:t>
      </w:r>
      <w:r w:rsidRPr="00075571">
        <w:t xml:space="preserve"> women</w:t>
      </w:r>
      <w:r w:rsidR="00EE0ADB">
        <w:t>’</w:t>
      </w:r>
      <w:r>
        <w:t>s</w:t>
      </w:r>
      <w:r w:rsidRPr="00075571">
        <w:t xml:space="preserve"> needs are often more complex or diverse due to </w:t>
      </w:r>
      <w:r>
        <w:t>women</w:t>
      </w:r>
      <w:r w:rsidR="00EE0ADB">
        <w:t>’</w:t>
      </w:r>
      <w:r>
        <w:t xml:space="preserve">s </w:t>
      </w:r>
      <w:r w:rsidRPr="00075571">
        <w:t>higher rates of mental health and addictions comorbidities and trauma, greater community responsibilities, less</w:t>
      </w:r>
      <w:r>
        <w:t>er</w:t>
      </w:r>
      <w:r w:rsidRPr="00075571">
        <w:t xml:space="preserve"> control over contextual factors and </w:t>
      </w:r>
      <w:r w:rsidR="00EE0ADB">
        <w:t>‘</w:t>
      </w:r>
      <w:r w:rsidRPr="00075571">
        <w:t>more comfort with expressing emotions and opinions, and greater interest in communality</w:t>
      </w:r>
      <w:r w:rsidR="00EE0ADB">
        <w:t>’</w:t>
      </w:r>
      <w:r w:rsidRPr="00075571">
        <w:t xml:space="preserve"> (np).</w:t>
      </w:r>
    </w:p>
    <w:p w14:paraId="69E8D052" w14:textId="77777777" w:rsidR="009636B7" w:rsidRPr="00075571" w:rsidRDefault="009636B7" w:rsidP="005054ED"/>
    <w:p w14:paraId="238CCE3B" w14:textId="77777777" w:rsidR="009636B7" w:rsidRPr="00075571" w:rsidRDefault="009636B7" w:rsidP="005054ED">
      <w:r w:rsidRPr="00075571">
        <w:t>Hannah-Moffat (2009) further highlights that the RNR model</w:t>
      </w:r>
      <w:r w:rsidR="00EE0ADB">
        <w:t>’</w:t>
      </w:r>
      <w:r w:rsidRPr="00075571">
        <w:t xml:space="preserve">s focus on individual needs </w:t>
      </w:r>
      <w:r w:rsidR="00EE0ADB">
        <w:t>‘</w:t>
      </w:r>
      <w:r w:rsidRPr="00075571">
        <w:t>diminishes the role that social and structural contexts play in women</w:t>
      </w:r>
      <w:r w:rsidR="00EE0ADB">
        <w:t>’</w:t>
      </w:r>
      <w:r w:rsidRPr="00075571">
        <w:t>s criminalization</w:t>
      </w:r>
      <w:r w:rsidR="00EE0ADB">
        <w:t>’</w:t>
      </w:r>
      <w:r w:rsidR="00AD0D58">
        <w:t xml:space="preserve"> (p. </w:t>
      </w:r>
      <w:r w:rsidRPr="00075571">
        <w:t>215</w:t>
      </w:r>
      <w:r w:rsidRPr="0043256B">
        <w:t>) and</w:t>
      </w:r>
      <w:r w:rsidRPr="00075571">
        <w:t xml:space="preserve"> fails to take into account how social inequality itself constitutes a risk to be managed. Thus, while the evidence suggests the RNR model does apply to women, it is important to </w:t>
      </w:r>
      <w:r w:rsidRPr="0043256B">
        <w:t>consider</w:t>
      </w:r>
      <w:r w:rsidRPr="00075571">
        <w:t xml:space="preserve"> the wider context that contributes to women</w:t>
      </w:r>
      <w:r w:rsidR="00EE0ADB">
        <w:t>’</w:t>
      </w:r>
      <w:r w:rsidRPr="00075571">
        <w:t>s complex needs (Polaschek 2018).</w:t>
      </w:r>
    </w:p>
    <w:p w14:paraId="6BD06B3F" w14:textId="77777777" w:rsidR="005054ED" w:rsidRPr="00075571" w:rsidRDefault="005054ED" w:rsidP="005054ED"/>
    <w:p w14:paraId="35AF4A78" w14:textId="77777777" w:rsidR="00EE0ADB" w:rsidRDefault="009636B7" w:rsidP="005054ED">
      <w:r w:rsidRPr="00075571">
        <w:lastRenderedPageBreak/>
        <w:t>Finally, there is less research examining the generalisation of correctional treatment principles to FMHS users, and thus while some authors</w:t>
      </w:r>
      <w:r>
        <w:t>:</w:t>
      </w:r>
    </w:p>
    <w:p w14:paraId="20C8BDBB" w14:textId="77777777" w:rsidR="00EE0ADB" w:rsidRDefault="009636B7" w:rsidP="005054ED">
      <w:pPr>
        <w:pStyle w:val="Quote"/>
      </w:pPr>
      <w:r w:rsidRPr="00075571">
        <w:t>believe that with appropriate attention to the question of specific responsivity, the RNR model will improve programs</w:t>
      </w:r>
      <w:r w:rsidR="00EE0ADB">
        <w:t>’</w:t>
      </w:r>
      <w:r w:rsidRPr="00075571">
        <w:t xml:space="preserve"> ability to reach both public safety and public health goals for justice-involved persons with mental illness, </w:t>
      </w:r>
      <w:r>
        <w:t>…</w:t>
      </w:r>
      <w:r w:rsidRPr="00075571">
        <w:t xml:space="preserve"> there is a remarkable absence of empirical support for this belief. (Skeem </w:t>
      </w:r>
      <w:r w:rsidR="00AD0D58">
        <w:t>et al</w:t>
      </w:r>
      <w:r w:rsidRPr="00075571">
        <w:t xml:space="preserve"> 2015</w:t>
      </w:r>
      <w:r w:rsidR="005054ED">
        <w:t>, p. </w:t>
      </w:r>
      <w:r w:rsidRPr="00075571">
        <w:t>920)</w:t>
      </w:r>
    </w:p>
    <w:p w14:paraId="50236422" w14:textId="77777777" w:rsidR="009636B7" w:rsidRPr="00075571" w:rsidRDefault="009636B7" w:rsidP="005054ED"/>
    <w:p w14:paraId="78C544D7" w14:textId="77777777" w:rsidR="00EE0ADB" w:rsidRDefault="009636B7" w:rsidP="005054ED">
      <w:r w:rsidRPr="00075571">
        <w:t>Therefore, more research is needed to understand fully the application of the RNR model within FMHS</w:t>
      </w:r>
      <w:r>
        <w:t>s</w:t>
      </w:r>
      <w:r w:rsidRPr="00075571">
        <w:t xml:space="preserve"> generally, as well as among priority populations.</w:t>
      </w:r>
    </w:p>
    <w:p w14:paraId="42EED9CD" w14:textId="77777777" w:rsidR="005054ED" w:rsidRDefault="005054ED" w:rsidP="005054ED"/>
    <w:p w14:paraId="60266450" w14:textId="77777777" w:rsidR="009636B7" w:rsidRPr="00075571" w:rsidRDefault="009636B7" w:rsidP="005054ED">
      <w:pPr>
        <w:pStyle w:val="Heading3"/>
      </w:pPr>
      <w:bookmarkStart w:id="67" w:name="_Toc16805631"/>
      <w:r w:rsidRPr="00075571">
        <w:t>Recovery-</w:t>
      </w:r>
      <w:r>
        <w:t>o</w:t>
      </w:r>
      <w:r w:rsidRPr="00075571">
        <w:t xml:space="preserve">riented </w:t>
      </w:r>
      <w:r>
        <w:t>a</w:t>
      </w:r>
      <w:r w:rsidRPr="00075571">
        <w:t>pproaches</w:t>
      </w:r>
      <w:bookmarkEnd w:id="67"/>
    </w:p>
    <w:p w14:paraId="3BE33EE8" w14:textId="77777777" w:rsidR="009636B7" w:rsidRDefault="009636B7" w:rsidP="005054ED">
      <w:r w:rsidRPr="00075571">
        <w:t>Following the shift toward rehabilitation-focused service delivery within FMHS</w:t>
      </w:r>
      <w:r>
        <w:t>s</w:t>
      </w:r>
      <w:r w:rsidRPr="00075571">
        <w:t xml:space="preserve"> and mental health care more generally, recovery-oriented models of care have emerged in a new paradigm of what are broadly termed </w:t>
      </w:r>
      <w:r w:rsidR="00EE0ADB">
        <w:t>‘</w:t>
      </w:r>
      <w:r w:rsidRPr="00075571">
        <w:t>strength-based approaches</w:t>
      </w:r>
      <w:r w:rsidR="00EE0ADB">
        <w:t>’</w:t>
      </w:r>
      <w:r w:rsidRPr="00075571">
        <w:t xml:space="preserve"> (Barnao </w:t>
      </w:r>
      <w:r>
        <w:t>and</w:t>
      </w:r>
      <w:r w:rsidRPr="00075571">
        <w:t xml:space="preserve"> Ward 2015; Nicholls </w:t>
      </w:r>
      <w:r w:rsidR="00AD0D58">
        <w:t>et al</w:t>
      </w:r>
      <w:r w:rsidRPr="00075571">
        <w:t xml:space="preserve"> </w:t>
      </w:r>
      <w:r>
        <w:t>f</w:t>
      </w:r>
      <w:r w:rsidRPr="00075571">
        <w:t xml:space="preserve">orthcoming; Vandevelde </w:t>
      </w:r>
      <w:r w:rsidR="00AD0D58">
        <w:t>et al</w:t>
      </w:r>
      <w:r w:rsidRPr="00075571">
        <w:t xml:space="preserve"> 2017). Strength-based approaches deviate from </w:t>
      </w:r>
      <w:r w:rsidR="00EE0ADB">
        <w:t>‘</w:t>
      </w:r>
      <w:r w:rsidRPr="00075571">
        <w:t>a focus on problems and deficits (</w:t>
      </w:r>
      <w:r>
        <w:t>ie</w:t>
      </w:r>
      <w:r w:rsidRPr="00075571">
        <w:t>, mental disorder and risk) and take a more holistic view of the person that includes consideration of their strengths, capacities, personal priorities, competencies, possibilities, and hopes</w:t>
      </w:r>
      <w:r w:rsidR="00EE0ADB">
        <w:t>’</w:t>
      </w:r>
      <w:r w:rsidRPr="00075571">
        <w:t xml:space="preserve"> (Barnao </w:t>
      </w:r>
      <w:r>
        <w:t>and</w:t>
      </w:r>
      <w:r w:rsidRPr="00075571">
        <w:t xml:space="preserve"> Ward 2015</w:t>
      </w:r>
      <w:r w:rsidR="005054ED">
        <w:t>, p. </w:t>
      </w:r>
      <w:r w:rsidRPr="00075571">
        <w:t>82). As such, a significant portion of the research focuses on: (a) the principles and efficacy of recovery-oriented approaches in inpatient FMHS</w:t>
      </w:r>
      <w:r>
        <w:t>s</w:t>
      </w:r>
      <w:r w:rsidRPr="00075571">
        <w:t xml:space="preserve"> (</w:t>
      </w:r>
      <w:r>
        <w:t>eg</w:t>
      </w:r>
      <w:r w:rsidRPr="00075571">
        <w:t>, Clarke</w:t>
      </w:r>
      <w:r>
        <w:t xml:space="preserve"> </w:t>
      </w:r>
      <w:r w:rsidR="00AD0D58">
        <w:t>et al</w:t>
      </w:r>
      <w:r w:rsidRPr="00075571" w:rsidDel="00B15265">
        <w:t xml:space="preserve"> </w:t>
      </w:r>
      <w:r w:rsidRPr="00075571">
        <w:t xml:space="preserve">2016; McKenna </w:t>
      </w:r>
      <w:r w:rsidR="00AD0D58">
        <w:t>et al</w:t>
      </w:r>
      <w:r w:rsidRPr="00075571">
        <w:t xml:space="preserve"> 2014</w:t>
      </w:r>
      <w:r>
        <w:t>b</w:t>
      </w:r>
      <w:r w:rsidRPr="00075571">
        <w:t>, 2014</w:t>
      </w:r>
      <w:r>
        <w:t>c</w:t>
      </w:r>
      <w:r w:rsidRPr="00075571">
        <w:t>; Mellie 2012; Roychowdhury 2011); (b) describing the development of recovery-oriented services within specific jurisdictions</w:t>
      </w:r>
      <w:r>
        <w:t>,</w:t>
      </w:r>
      <w:r w:rsidRPr="00075571">
        <w:t xml:space="preserve"> </w:t>
      </w:r>
      <w:r>
        <w:t xml:space="preserve">such as </w:t>
      </w:r>
      <w:r w:rsidRPr="00075571">
        <w:t>Australia</w:t>
      </w:r>
      <w:r>
        <w:t xml:space="preserve"> (</w:t>
      </w:r>
      <w:r w:rsidRPr="00075571">
        <w:t>O</w:t>
      </w:r>
      <w:r w:rsidR="00EE0ADB">
        <w:t>’</w:t>
      </w:r>
      <w:r w:rsidRPr="00075571">
        <w:t xml:space="preserve">Donahoo </w:t>
      </w:r>
      <w:r>
        <w:t>and</w:t>
      </w:r>
      <w:r w:rsidRPr="00075571">
        <w:t xml:space="preserve"> Simmonds 2016</w:t>
      </w:r>
      <w:r>
        <w:t>),</w:t>
      </w:r>
      <w:r w:rsidRPr="00075571">
        <w:t xml:space="preserve"> Ireland </w:t>
      </w:r>
      <w:r>
        <w:t>(</w:t>
      </w:r>
      <w:r w:rsidRPr="00075571">
        <w:t>Gill</w:t>
      </w:r>
      <w:r>
        <w:t xml:space="preserve"> </w:t>
      </w:r>
      <w:r w:rsidR="00AD0D58">
        <w:t>et al</w:t>
      </w:r>
      <w:r w:rsidRPr="00075571">
        <w:t xml:space="preserve"> 2010</w:t>
      </w:r>
      <w:r>
        <w:t>)</w:t>
      </w:r>
      <w:r w:rsidRPr="00075571">
        <w:t xml:space="preserve"> and the United Kingdom </w:t>
      </w:r>
      <w:r>
        <w:t>(</w:t>
      </w:r>
      <w:r w:rsidRPr="00075571">
        <w:t>Davies</w:t>
      </w:r>
      <w:r>
        <w:t xml:space="preserve"> </w:t>
      </w:r>
      <w:r w:rsidR="00AD0D58">
        <w:t>et al</w:t>
      </w:r>
      <w:r>
        <w:t xml:space="preserve"> </w:t>
      </w:r>
      <w:r w:rsidRPr="00075571">
        <w:t>2010); and (c) specific models that follow a recovery-oriented approach (see below).</w:t>
      </w:r>
    </w:p>
    <w:p w14:paraId="17F12F10" w14:textId="77777777" w:rsidR="005054ED" w:rsidRPr="00075571" w:rsidRDefault="005054ED" w:rsidP="005054ED"/>
    <w:p w14:paraId="1AA7380E" w14:textId="77777777" w:rsidR="009636B7" w:rsidRPr="00075571" w:rsidRDefault="009636B7" w:rsidP="005054ED">
      <w:pPr>
        <w:pStyle w:val="Heading4"/>
      </w:pPr>
      <w:r w:rsidRPr="00075571">
        <w:t xml:space="preserve">Recovery </w:t>
      </w:r>
      <w:r>
        <w:t>p</w:t>
      </w:r>
      <w:r w:rsidRPr="00075571">
        <w:t>rinciples</w:t>
      </w:r>
    </w:p>
    <w:p w14:paraId="1C1E3041" w14:textId="77777777" w:rsidR="009636B7" w:rsidRPr="00075571" w:rsidRDefault="009636B7" w:rsidP="005054ED">
      <w:r w:rsidRPr="00075571">
        <w:t xml:space="preserve">Overall, recovery-oriented approaches are founded on </w:t>
      </w:r>
      <w:r w:rsidR="00EE0ADB">
        <w:t>‘</w:t>
      </w:r>
      <w:r w:rsidRPr="00075571">
        <w:t>the principles of hope, empowerment, healing, and connection</w:t>
      </w:r>
      <w:r w:rsidR="00EE0ADB">
        <w:t>’</w:t>
      </w:r>
      <w:r w:rsidRPr="00075571">
        <w:t xml:space="preserve"> and promote </w:t>
      </w:r>
      <w:r w:rsidR="00EE0ADB">
        <w:t>‘</w:t>
      </w:r>
      <w:r w:rsidRPr="00075571">
        <w:t>patient choice, responsibility, and self-determination</w:t>
      </w:r>
      <w:r w:rsidR="00EE0ADB">
        <w:t>’</w:t>
      </w:r>
      <w:r w:rsidRPr="00075571">
        <w:t xml:space="preserve"> (Barnao </w:t>
      </w:r>
      <w:r>
        <w:t>and</w:t>
      </w:r>
      <w:r w:rsidRPr="00075571">
        <w:t xml:space="preserve"> Ward 2015</w:t>
      </w:r>
      <w:r w:rsidR="005054ED">
        <w:t>, p. </w:t>
      </w:r>
      <w:r w:rsidRPr="00075571">
        <w:t xml:space="preserve">82), all of which, as Clarke </w:t>
      </w:r>
      <w:r w:rsidR="00AD0D58">
        <w:t>et al</w:t>
      </w:r>
      <w:r w:rsidRPr="00075571">
        <w:t xml:space="preserve"> (2016) note, are </w:t>
      </w:r>
      <w:r>
        <w:t xml:space="preserve">affected </w:t>
      </w:r>
      <w:r w:rsidRPr="00075571">
        <w:t>by the restrictive environment of secure FMHS</w:t>
      </w:r>
      <w:r>
        <w:t>s</w:t>
      </w:r>
      <w:r w:rsidRPr="00075571">
        <w:t xml:space="preserve">. Within the forensic mental health context, the recovery movement is a distinct departure from earlier therapeutic models that emphasised </w:t>
      </w:r>
      <w:r w:rsidRPr="0043256B">
        <w:t>control, focus</w:t>
      </w:r>
      <w:r>
        <w:t>ed</w:t>
      </w:r>
      <w:r w:rsidRPr="00075571">
        <w:t xml:space="preserve"> on people</w:t>
      </w:r>
      <w:r w:rsidR="00EE0ADB">
        <w:t>’</w:t>
      </w:r>
      <w:r w:rsidRPr="00075571">
        <w:t xml:space="preserve">s deficits </w:t>
      </w:r>
      <w:r w:rsidRPr="0043256B">
        <w:t>and placed</w:t>
      </w:r>
      <w:r w:rsidRPr="00075571">
        <w:t xml:space="preserve"> decision-making power solely in the hands of the clinician. While the dual role of inpatient services persists and risk management remains a key concern, legislation demands services users and their wh</w:t>
      </w:r>
      <w:r w:rsidRPr="00075571">
        <w:rPr>
          <w:rFonts w:cs="Segoe UI"/>
        </w:rPr>
        <w:t>ā</w:t>
      </w:r>
      <w:r w:rsidRPr="00075571">
        <w:t>nau hold the right to participate in their treatment decisions to the maximum extent possible. Indeed, some of the key principles of the recovery orientation include the emphasis on patient-centred and collaborative care (Livingston</w:t>
      </w:r>
      <w:r>
        <w:t xml:space="preserve"> </w:t>
      </w:r>
      <w:r w:rsidR="00AD0D58">
        <w:t>et al</w:t>
      </w:r>
      <w:r w:rsidRPr="00075571">
        <w:t xml:space="preserve"> 2010; McKenna </w:t>
      </w:r>
      <w:r w:rsidR="00AD0D58">
        <w:t>et al</w:t>
      </w:r>
      <w:r w:rsidRPr="00075571">
        <w:t xml:space="preserve"> 2014</w:t>
      </w:r>
      <w:r>
        <w:t>b</w:t>
      </w:r>
      <w:r w:rsidRPr="00075571">
        <w:t xml:space="preserve"> </w:t>
      </w:r>
      <w:r>
        <w:t xml:space="preserve">and </w:t>
      </w:r>
      <w:r w:rsidRPr="00075571">
        <w:t>2014</w:t>
      </w:r>
      <w:r>
        <w:t>c</w:t>
      </w:r>
      <w:r w:rsidRPr="00075571">
        <w:t xml:space="preserve">; Nicholls </w:t>
      </w:r>
      <w:r>
        <w:t>and</w:t>
      </w:r>
      <w:r w:rsidRPr="00075571">
        <w:t xml:space="preserve"> Goossens 2017), and taking into account historical, dynamic and protective factors in risk assessment and management (Vandevelde </w:t>
      </w:r>
      <w:r w:rsidR="00AD0D58">
        <w:t>et al</w:t>
      </w:r>
      <w:r w:rsidRPr="00075571">
        <w:t xml:space="preserve"> 2017).</w:t>
      </w:r>
    </w:p>
    <w:p w14:paraId="4D2DE5CF" w14:textId="77777777" w:rsidR="009636B7" w:rsidRPr="00075571" w:rsidRDefault="009636B7" w:rsidP="00BC1167">
      <w:pPr>
        <w:pStyle w:val="Quote"/>
        <w:keepNext/>
        <w:keepLines/>
      </w:pPr>
      <w:r w:rsidRPr="00075571">
        <w:lastRenderedPageBreak/>
        <w:t>There are several models and definitions of what constitutes recovery in mental health. For example, according to Andresen</w:t>
      </w:r>
      <w:r>
        <w:t xml:space="preserve"> </w:t>
      </w:r>
      <w:r w:rsidR="00AD0D58">
        <w:t>et al</w:t>
      </w:r>
      <w:r w:rsidRPr="00075571">
        <w:t xml:space="preserve"> (2003, as cited in Roychowdhury 2011), the process of recovery is comprised of:</w:t>
      </w:r>
    </w:p>
    <w:p w14:paraId="74D618E0" w14:textId="77777777" w:rsidR="009636B7" w:rsidRPr="00075571" w:rsidRDefault="009636B7" w:rsidP="00BC1167">
      <w:pPr>
        <w:pStyle w:val="Bullet"/>
        <w:ind w:left="568" w:right="284"/>
      </w:pPr>
      <w:r w:rsidRPr="00075571">
        <w:t>finding and maintaining hope, which includes having a sense of personal agency and optimism</w:t>
      </w:r>
    </w:p>
    <w:p w14:paraId="5485520B" w14:textId="77777777" w:rsidR="00EE0ADB" w:rsidRDefault="009636B7" w:rsidP="00BC1167">
      <w:pPr>
        <w:pStyle w:val="Bullet"/>
        <w:ind w:left="568" w:right="284"/>
      </w:pPr>
      <w:r w:rsidRPr="00075571">
        <w:t>re-establishment of a positive identity, which includes identity with a positive sense of self that incorporates illness</w:t>
      </w:r>
    </w:p>
    <w:p w14:paraId="19A955D4" w14:textId="77777777" w:rsidR="009636B7" w:rsidRPr="00075571" w:rsidRDefault="009636B7" w:rsidP="00BC1167">
      <w:pPr>
        <w:pStyle w:val="Bullet"/>
        <w:ind w:left="568" w:right="284"/>
      </w:pPr>
      <w:r w:rsidRPr="00075571">
        <w:t>building a meaningful life, which includes making sense of the illness and finding a meaning in life despite the presence of illness</w:t>
      </w:r>
    </w:p>
    <w:p w14:paraId="104E53BA" w14:textId="77777777" w:rsidR="009636B7" w:rsidRPr="00075571" w:rsidRDefault="009636B7" w:rsidP="00BC1167">
      <w:pPr>
        <w:pStyle w:val="Bullet"/>
        <w:ind w:left="568" w:right="284"/>
      </w:pPr>
      <w:r w:rsidRPr="00075571">
        <w:t>taking responsibility and control, which includes feeling in control of illness and in control of life.</w:t>
      </w:r>
      <w:r w:rsidR="00AD0D58">
        <w:t xml:space="preserve"> (p. </w:t>
      </w:r>
      <w:r w:rsidRPr="00075571">
        <w:t>68)</w:t>
      </w:r>
    </w:p>
    <w:p w14:paraId="27EEB268" w14:textId="77777777" w:rsidR="009636B7" w:rsidRPr="00075571" w:rsidRDefault="009636B7" w:rsidP="00BC1167"/>
    <w:p w14:paraId="0B3EFD3A" w14:textId="77777777" w:rsidR="009636B7" w:rsidRPr="00075571" w:rsidRDefault="009636B7" w:rsidP="00BC1167">
      <w:r w:rsidRPr="00075571">
        <w:t>Resnick</w:t>
      </w:r>
      <w:r>
        <w:t xml:space="preserve"> </w:t>
      </w:r>
      <w:r w:rsidR="00AD0D58">
        <w:t>et al</w:t>
      </w:r>
      <w:r w:rsidRPr="00075571">
        <w:t xml:space="preserve"> (2005, as cited in Clarke </w:t>
      </w:r>
      <w:r w:rsidR="00AD0D58">
        <w:t>et al</w:t>
      </w:r>
      <w:r w:rsidRPr="00075571">
        <w:t xml:space="preserve"> 2016) conceptualised the recovery orientation as comprised of </w:t>
      </w:r>
      <w:r w:rsidR="00EE0ADB">
        <w:t>‘</w:t>
      </w:r>
      <w:r w:rsidRPr="00075571">
        <w:t>empowerment, knowledge about mental illness and available treatments, satisfaction with quality of life, and hope and optimism</w:t>
      </w:r>
      <w:r w:rsidR="00EE0ADB">
        <w:t>’</w:t>
      </w:r>
      <w:r w:rsidR="00BC1167">
        <w:br/>
      </w:r>
      <w:r w:rsidRPr="00075571">
        <w:t>(pp. 39–40), a definition supported in the conceptual framework of Leamy</w:t>
      </w:r>
      <w:r>
        <w:t xml:space="preserve"> </w:t>
      </w:r>
      <w:r w:rsidR="00AD0D58">
        <w:t>et al</w:t>
      </w:r>
      <w:r w:rsidRPr="00075571">
        <w:t xml:space="preserve"> (2011, as cited in Clarke </w:t>
      </w:r>
      <w:r w:rsidR="00AD0D58">
        <w:t>et al</w:t>
      </w:r>
      <w:r w:rsidRPr="00075571">
        <w:t xml:space="preserve"> 2016), who added connectedness and culturally specific features </w:t>
      </w:r>
      <w:r>
        <w:t>to the list</w:t>
      </w:r>
      <w:r w:rsidRPr="00075571">
        <w:t>. Farkas</w:t>
      </w:r>
      <w:r>
        <w:t xml:space="preserve"> </w:t>
      </w:r>
      <w:r w:rsidR="00AD0D58">
        <w:t>et al</w:t>
      </w:r>
      <w:r w:rsidRPr="00075571">
        <w:t xml:space="preserve"> (2005</w:t>
      </w:r>
      <w:r>
        <w:t>,</w:t>
      </w:r>
      <w:r w:rsidRPr="00075571">
        <w:t xml:space="preserve"> as cited in Roychowdhury 2011) similarly highlighted person orientation, person involvement, person strengths, self-determination/choice and growth potential as key values </w:t>
      </w:r>
      <w:r w:rsidRPr="0043256B">
        <w:t>intrinsic</w:t>
      </w:r>
      <w:r w:rsidRPr="00075571">
        <w:t xml:space="preserve"> to the concept of recovery. More recently, in a study of Australian acute inpatient mental health services, McKenna </w:t>
      </w:r>
      <w:r w:rsidR="00AD0D58">
        <w:t>et al</w:t>
      </w:r>
      <w:r w:rsidRPr="00075571">
        <w:t xml:space="preserve"> (2014</w:t>
      </w:r>
      <w:r>
        <w:t>a</w:t>
      </w:r>
      <w:r w:rsidRPr="00075571">
        <w:t>) identified six components of recovery-oriented care: creating/supporting hope</w:t>
      </w:r>
      <w:r>
        <w:t>,</w:t>
      </w:r>
      <w:r w:rsidRPr="00075571">
        <w:t xml:space="preserve"> promoting autonomy and self-determination</w:t>
      </w:r>
      <w:r>
        <w:t>,</w:t>
      </w:r>
      <w:r w:rsidRPr="00075571">
        <w:t xml:space="preserve"> collaborative partnerships and meaningful engagement</w:t>
      </w:r>
      <w:r>
        <w:t>,</w:t>
      </w:r>
      <w:r w:rsidRPr="00075571">
        <w:t xml:space="preserve"> a focus on strengths</w:t>
      </w:r>
      <w:r>
        <w:t>,</w:t>
      </w:r>
      <w:r w:rsidRPr="00075571">
        <w:t xml:space="preserve"> holistic and personalised care</w:t>
      </w:r>
      <w:r>
        <w:t>,</w:t>
      </w:r>
      <w:r w:rsidRPr="00075571">
        <w:t xml:space="preserve"> and community partnership and citizenship.</w:t>
      </w:r>
    </w:p>
    <w:p w14:paraId="0A854B74" w14:textId="77777777" w:rsidR="009636B7" w:rsidRPr="00075571" w:rsidRDefault="009636B7" w:rsidP="00BC1167"/>
    <w:p w14:paraId="36AC4927" w14:textId="77777777" w:rsidR="00EE0ADB" w:rsidRDefault="009636B7" w:rsidP="00BC1167">
      <w:r w:rsidRPr="00075571">
        <w:t>Many organisations are moving to adopt recovery-oriented practices within FMHS</w:t>
      </w:r>
      <w:r>
        <w:t>s</w:t>
      </w:r>
      <w:r w:rsidRPr="00075571">
        <w:t xml:space="preserve"> following the creation of new regional, national and international policy and practice guidelines (McKenna </w:t>
      </w:r>
      <w:r w:rsidR="00AD0D58">
        <w:t>et al</w:t>
      </w:r>
      <w:r w:rsidRPr="00075571">
        <w:t xml:space="preserve"> 2014</w:t>
      </w:r>
      <w:r>
        <w:t>c</w:t>
      </w:r>
      <w:r w:rsidRPr="00075571">
        <w:t xml:space="preserve">). Indeed, </w:t>
      </w:r>
      <w:r w:rsidR="00EE0ADB">
        <w:t>‘</w:t>
      </w:r>
      <w:r w:rsidRPr="00075571">
        <w:t>even services that have traditionally been institutional, custodial, and involved in compulsory treatment under mental health legislation have been challenged to embrace the systematic transformation to recovery</w:t>
      </w:r>
      <w:r w:rsidR="00EE0ADB">
        <w:t>’</w:t>
      </w:r>
      <w:r w:rsidRPr="00075571">
        <w:t xml:space="preserve"> (McKenna </w:t>
      </w:r>
      <w:r w:rsidR="00AD0D58">
        <w:t>et al</w:t>
      </w:r>
      <w:r w:rsidRPr="00075571">
        <w:t xml:space="preserve"> 2014</w:t>
      </w:r>
      <w:r>
        <w:t>c</w:t>
      </w:r>
      <w:r w:rsidR="005054ED">
        <w:t>, p. </w:t>
      </w:r>
      <w:r w:rsidRPr="00075571">
        <w:t xml:space="preserve">227). Clarke </w:t>
      </w:r>
      <w:r w:rsidR="00AD0D58">
        <w:t>et al</w:t>
      </w:r>
      <w:r w:rsidRPr="00075571">
        <w:t xml:space="preserve"> (2016) conducted a systematic review of qualitative literature on recovery in FMHS</w:t>
      </w:r>
      <w:r>
        <w:t>s</w:t>
      </w:r>
      <w:r w:rsidRPr="00075571">
        <w:t xml:space="preserve">. The findings suggested </w:t>
      </w:r>
      <w:r>
        <w:t xml:space="preserve">that </w:t>
      </w:r>
      <w:r w:rsidRPr="00075571">
        <w:t>developing service users</w:t>
      </w:r>
      <w:r w:rsidR="00EE0ADB">
        <w:t>’</w:t>
      </w:r>
      <w:r w:rsidRPr="00075571">
        <w:t xml:space="preserve"> sense of self and connectedness may improve recovery among the forensic mental health population. As such, best practice recommendations to develop recovery-oriented FMHS</w:t>
      </w:r>
      <w:r>
        <w:t>s</w:t>
      </w:r>
      <w:r w:rsidRPr="00075571">
        <w:t xml:space="preserve"> include increasing peer mentorships and incorporating service user engagement in service development (Clarke </w:t>
      </w:r>
      <w:r w:rsidR="00AD0D58">
        <w:t>et al</w:t>
      </w:r>
      <w:r w:rsidRPr="00075571">
        <w:t xml:space="preserve"> 2016), as well as the use of </w:t>
      </w:r>
      <w:r w:rsidR="00EE0ADB">
        <w:t>‘</w:t>
      </w:r>
      <w:r w:rsidRPr="00075571">
        <w:t>champions</w:t>
      </w:r>
      <w:r w:rsidR="00EE0ADB">
        <w:t>’</w:t>
      </w:r>
      <w:r w:rsidRPr="00075571">
        <w:t xml:space="preserve"> to assist organisational change processes within service delivery (Kipping</w:t>
      </w:r>
      <w:r>
        <w:t xml:space="preserve"> </w:t>
      </w:r>
      <w:r w:rsidR="00AD0D58">
        <w:t>et al</w:t>
      </w:r>
      <w:r w:rsidRPr="00075571">
        <w:t xml:space="preserve"> 2019; McKenna </w:t>
      </w:r>
      <w:r w:rsidR="00AD0D58">
        <w:t>et al</w:t>
      </w:r>
      <w:r w:rsidRPr="00075571">
        <w:t xml:space="preserve"> 2014</w:t>
      </w:r>
      <w:r>
        <w:t>a</w:t>
      </w:r>
      <w:r w:rsidRPr="00075571">
        <w:t xml:space="preserve">). McKenna </w:t>
      </w:r>
      <w:r w:rsidR="00AD0D58">
        <w:t>et al</w:t>
      </w:r>
      <w:r w:rsidRPr="00075571">
        <w:t xml:space="preserve"> (2014</w:t>
      </w:r>
      <w:r>
        <w:t>c</w:t>
      </w:r>
      <w:r w:rsidRPr="00075571">
        <w:t xml:space="preserve">), in a study of the systematic transformation of a custodial mental health service toward a recovery-oriented service delivery model, further identified the development of a manualised guide, adaptation of the guide to the secure care context, </w:t>
      </w:r>
      <w:r>
        <w:t xml:space="preserve">and </w:t>
      </w:r>
      <w:r w:rsidRPr="00075571">
        <w:t xml:space="preserve">developing the culture of the organisation (including staff, education, reflective learning and leadership) as key to </w:t>
      </w:r>
      <w:r w:rsidRPr="0043256B">
        <w:t>successful</w:t>
      </w:r>
      <w:r w:rsidRPr="00075571">
        <w:t xml:space="preserve"> organisational change.</w:t>
      </w:r>
    </w:p>
    <w:p w14:paraId="0A7F36DC" w14:textId="77777777" w:rsidR="00BC1167" w:rsidRDefault="00BC1167" w:rsidP="00BC1167"/>
    <w:p w14:paraId="4D6859A8" w14:textId="77777777" w:rsidR="009636B7" w:rsidRPr="00075571" w:rsidRDefault="009636B7" w:rsidP="00BC1167">
      <w:pPr>
        <w:pStyle w:val="Heading4"/>
      </w:pPr>
      <w:r w:rsidRPr="00075571">
        <w:lastRenderedPageBreak/>
        <w:t xml:space="preserve">Recovery </w:t>
      </w:r>
      <w:r>
        <w:t>m</w:t>
      </w:r>
      <w:r w:rsidRPr="00075571">
        <w:t>odels</w:t>
      </w:r>
    </w:p>
    <w:p w14:paraId="374463AA" w14:textId="77777777" w:rsidR="00EE0ADB" w:rsidRDefault="009636B7" w:rsidP="00BC1167">
      <w:pPr>
        <w:pStyle w:val="Heading5"/>
      </w:pPr>
      <w:r w:rsidRPr="00075571">
        <w:t xml:space="preserve">The </w:t>
      </w:r>
      <w:r>
        <w:t>t</w:t>
      </w:r>
      <w:r w:rsidRPr="00075571">
        <w:t xml:space="preserve">idal </w:t>
      </w:r>
      <w:r>
        <w:t>m</w:t>
      </w:r>
      <w:r w:rsidRPr="00075571">
        <w:t>odel</w:t>
      </w:r>
    </w:p>
    <w:p w14:paraId="55B03E3C" w14:textId="77777777" w:rsidR="009636B7" w:rsidRDefault="009636B7" w:rsidP="00BC1167">
      <w:r w:rsidRPr="00075571">
        <w:t>The tidal model (Barker 2000) was developed to better address service users</w:t>
      </w:r>
      <w:r w:rsidR="00EE0ADB">
        <w:t>’</w:t>
      </w:r>
      <w:r w:rsidRPr="00075571">
        <w:t xml:space="preserve"> needs within mental health nursing. The model is described as a </w:t>
      </w:r>
      <w:r w:rsidR="00EE0ADB">
        <w:t>‘</w:t>
      </w:r>
      <w:r w:rsidRPr="00075571">
        <w:t>radical, catholic model</w:t>
      </w:r>
      <w:r w:rsidR="00EE0ADB">
        <w:t>’</w:t>
      </w:r>
      <w:r>
        <w:t>,</w:t>
      </w:r>
      <w:r w:rsidRPr="00075571">
        <w:t xml:space="preserve"> meaning it describes </w:t>
      </w:r>
      <w:r w:rsidR="00EE0ADB">
        <w:t>‘</w:t>
      </w:r>
      <w:r w:rsidRPr="00075571">
        <w:t>caring-processes fundamental to mental health nursing</w:t>
      </w:r>
      <w:r w:rsidR="00EE0ADB">
        <w:t>’</w:t>
      </w:r>
      <w:r w:rsidRPr="00075571">
        <w:t xml:space="preserve"> and that it can be used in </w:t>
      </w:r>
      <w:r w:rsidR="00EE0ADB">
        <w:t>‘</w:t>
      </w:r>
      <w:r w:rsidRPr="00075571">
        <w:t>all healthcare settings and with all types of people with mental health problems</w:t>
      </w:r>
      <w:r w:rsidR="00EE0ADB">
        <w:t>’</w:t>
      </w:r>
      <w:r>
        <w:t>,</w:t>
      </w:r>
      <w:r w:rsidRPr="00075571">
        <w:t xml:space="preserve"> respectively (Jacob</w:t>
      </w:r>
      <w:r>
        <w:t xml:space="preserve"> </w:t>
      </w:r>
      <w:r w:rsidR="00AD0D58">
        <w:t>et al</w:t>
      </w:r>
      <w:r w:rsidRPr="00075571">
        <w:t xml:space="preserve"> 2008</w:t>
      </w:r>
      <w:r w:rsidR="005054ED">
        <w:t>, p. </w:t>
      </w:r>
      <w:r w:rsidRPr="00075571">
        <w:t xml:space="preserve">227). According to Barnao and Ward (2015), the tidal model understands issues in mental health as </w:t>
      </w:r>
      <w:r w:rsidR="00EE0ADB">
        <w:t>‘</w:t>
      </w:r>
      <w:r w:rsidRPr="00075571">
        <w:t>problems of living</w:t>
      </w:r>
      <w:r w:rsidR="00EE0ADB">
        <w:t>’</w:t>
      </w:r>
      <w:r>
        <w:t>,</w:t>
      </w:r>
      <w:r w:rsidRPr="00075571">
        <w:t xml:space="preserve"> and thus focuses on </w:t>
      </w:r>
      <w:r w:rsidR="00EE0ADB">
        <w:t>‘</w:t>
      </w:r>
      <w:r w:rsidRPr="00075571">
        <w:t>patients</w:t>
      </w:r>
      <w:r w:rsidR="00EE0ADB">
        <w:t>’</w:t>
      </w:r>
      <w:r w:rsidRPr="00075571">
        <w:t xml:space="preserve"> experiences and life narratives, and the meanings and values that they give to their experiences</w:t>
      </w:r>
      <w:r w:rsidR="00EE0ADB">
        <w:t>’</w:t>
      </w:r>
      <w:r w:rsidR="00AD0D58">
        <w:t xml:space="preserve"> (p. </w:t>
      </w:r>
      <w:r w:rsidRPr="00075571">
        <w:t xml:space="preserve">82). It also emphasises collaborative </w:t>
      </w:r>
      <w:r w:rsidRPr="0043256B">
        <w:t>care and</w:t>
      </w:r>
      <w:r w:rsidRPr="00075571">
        <w:t xml:space="preserve"> aims to empower people through its narrative approach (Jacob </w:t>
      </w:r>
      <w:r w:rsidR="00AD0D58">
        <w:t>et al</w:t>
      </w:r>
      <w:r w:rsidRPr="00075571">
        <w:t xml:space="preserve"> 2008). Within the forensic inpatient context in </w:t>
      </w:r>
      <w:r>
        <w:t>Aotearoa New Zealand</w:t>
      </w:r>
      <w:r w:rsidRPr="00075571">
        <w:t>, Cook</w:t>
      </w:r>
      <w:r>
        <w:t xml:space="preserve"> </w:t>
      </w:r>
      <w:r w:rsidR="00AD0D58">
        <w:t>et al</w:t>
      </w:r>
      <w:r w:rsidRPr="00075571">
        <w:t xml:space="preserve"> (2005) investigated the efficacy of the tidal model in a phenomenological study, concluding it resulted in a </w:t>
      </w:r>
      <w:r w:rsidR="00EE0ADB">
        <w:t>‘“</w:t>
      </w:r>
      <w:r w:rsidRPr="00075571">
        <w:t>synergistic interpersonal process</w:t>
      </w:r>
      <w:r w:rsidR="00EE0ADB">
        <w:t>”</w:t>
      </w:r>
      <w:r w:rsidRPr="00075571">
        <w:t xml:space="preserve"> that supported both patient recovery and nursing practice through enhanced professional satisfaction</w:t>
      </w:r>
      <w:r w:rsidR="00EE0ADB">
        <w:t>’</w:t>
      </w:r>
      <w:r w:rsidRPr="00075571">
        <w:t xml:space="preserve"> (Barnao </w:t>
      </w:r>
      <w:r>
        <w:t>and</w:t>
      </w:r>
      <w:r w:rsidRPr="00075571">
        <w:t xml:space="preserve"> Ward 2015</w:t>
      </w:r>
      <w:r w:rsidR="005054ED">
        <w:t>, p. </w:t>
      </w:r>
      <w:r w:rsidRPr="00075571">
        <w:t xml:space="preserve">82; see also Jacob </w:t>
      </w:r>
      <w:r w:rsidR="00AD0D58">
        <w:t>et al</w:t>
      </w:r>
      <w:r w:rsidRPr="00075571">
        <w:t xml:space="preserve"> 2008).</w:t>
      </w:r>
    </w:p>
    <w:p w14:paraId="65505697" w14:textId="77777777" w:rsidR="00BC1167" w:rsidRPr="00075571" w:rsidRDefault="00BC1167" w:rsidP="00BC1167"/>
    <w:p w14:paraId="5616D40B" w14:textId="77777777" w:rsidR="009636B7" w:rsidRPr="00075571" w:rsidRDefault="009636B7" w:rsidP="00BC1167">
      <w:pPr>
        <w:pStyle w:val="Heading5"/>
      </w:pPr>
      <w:r w:rsidRPr="00075571">
        <w:t xml:space="preserve">The </w:t>
      </w:r>
      <w:r>
        <w:t>g</w:t>
      </w:r>
      <w:r w:rsidRPr="00075571">
        <w:t xml:space="preserve">ood </w:t>
      </w:r>
      <w:r>
        <w:t>l</w:t>
      </w:r>
      <w:r w:rsidRPr="00075571">
        <w:t xml:space="preserve">ives </w:t>
      </w:r>
      <w:r>
        <w:t>m</w:t>
      </w:r>
      <w:r w:rsidRPr="00075571">
        <w:t>odel</w:t>
      </w:r>
    </w:p>
    <w:p w14:paraId="44D18722" w14:textId="77777777" w:rsidR="00EE0ADB" w:rsidRDefault="009636B7" w:rsidP="00BC1167">
      <w:r w:rsidRPr="00075571">
        <w:t>Of the recovery-oriented models described in the literature, the good lives model (GLM) has a reasonably strong evidence base (</w:t>
      </w:r>
      <w:r>
        <w:t>eg</w:t>
      </w:r>
      <w:r w:rsidRPr="00075571">
        <w:t xml:space="preserve">, Andrews </w:t>
      </w:r>
      <w:r w:rsidR="00AD0D58">
        <w:t>et al</w:t>
      </w:r>
      <w:r w:rsidRPr="00075571">
        <w:t xml:space="preserve"> 2011; Barnao 2013; Barnao </w:t>
      </w:r>
      <w:r>
        <w:t>and</w:t>
      </w:r>
      <w:r w:rsidRPr="00075571">
        <w:t xml:space="preserve"> Ward 2015; Barnao</w:t>
      </w:r>
      <w:r>
        <w:t xml:space="preserve"> </w:t>
      </w:r>
      <w:r w:rsidR="00AD0D58">
        <w:t>et al</w:t>
      </w:r>
      <w:r w:rsidRPr="00075571">
        <w:t xml:space="preserve"> 2010; Barnao</w:t>
      </w:r>
      <w:r>
        <w:t xml:space="preserve"> </w:t>
      </w:r>
      <w:r w:rsidR="00AD0D58">
        <w:t>et al</w:t>
      </w:r>
      <w:r w:rsidRPr="00075571">
        <w:t xml:space="preserve"> 2016</w:t>
      </w:r>
      <w:r>
        <w:t>a</w:t>
      </w:r>
      <w:r w:rsidRPr="00075571">
        <w:t>; Barnao</w:t>
      </w:r>
      <w:r>
        <w:t xml:space="preserve"> </w:t>
      </w:r>
      <w:r w:rsidR="00AD0D58">
        <w:t>et al</w:t>
      </w:r>
      <w:r w:rsidRPr="00075571">
        <w:t xml:space="preserve"> 2016</w:t>
      </w:r>
      <w:r>
        <w:t>b</w:t>
      </w:r>
      <w:r w:rsidRPr="00075571">
        <w:t>; Fortune</w:t>
      </w:r>
      <w:r>
        <w:t xml:space="preserve"> </w:t>
      </w:r>
      <w:r w:rsidR="00AD0D58">
        <w:t>et al</w:t>
      </w:r>
      <w:r w:rsidRPr="00075571">
        <w:t xml:space="preserve"> 2014; Willis </w:t>
      </w:r>
      <w:r>
        <w:t>and</w:t>
      </w:r>
      <w:r w:rsidRPr="00075571">
        <w:t xml:space="preserve"> Ward 2013). While preliminary evidence of the application of the GLM suggests positive outcomes among non-</w:t>
      </w:r>
      <w:r>
        <w:t>FMHS</w:t>
      </w:r>
      <w:r w:rsidRPr="00075571">
        <w:t xml:space="preserve"> users and within corrections services (indicating increased treatment engagement and adherence), </w:t>
      </w:r>
      <w:r w:rsidR="00EE0ADB">
        <w:t>‘</w:t>
      </w:r>
      <w:r w:rsidRPr="00075571">
        <w:t>conclusive statements about the utility of the GLM in a forensic mental health context are still premature</w:t>
      </w:r>
      <w:r w:rsidR="00EE0ADB">
        <w:t>’</w:t>
      </w:r>
      <w:r w:rsidRPr="00075571">
        <w:t xml:space="preserve"> (Barnao</w:t>
      </w:r>
      <w:r>
        <w:t xml:space="preserve"> </w:t>
      </w:r>
      <w:r w:rsidR="00AD0D58">
        <w:t>et al</w:t>
      </w:r>
      <w:r w:rsidRPr="00075571">
        <w:t xml:space="preserve"> 2016</w:t>
      </w:r>
      <w:r>
        <w:t>a</w:t>
      </w:r>
      <w:r w:rsidR="005054ED">
        <w:t>, p. </w:t>
      </w:r>
      <w:r w:rsidRPr="00075571">
        <w:t>767).</w:t>
      </w:r>
    </w:p>
    <w:p w14:paraId="3539F4BA" w14:textId="77777777" w:rsidR="009636B7" w:rsidRPr="00075571" w:rsidRDefault="009636B7" w:rsidP="00BC1167"/>
    <w:p w14:paraId="0B6E4117" w14:textId="77777777" w:rsidR="00EE0ADB" w:rsidRDefault="009636B7" w:rsidP="00BC1167">
      <w:r w:rsidRPr="00075571">
        <w:t>The GLM is a comprehensive practice framework that aims to promote service users</w:t>
      </w:r>
      <w:r w:rsidR="00EE0ADB">
        <w:t>’</w:t>
      </w:r>
      <w:r w:rsidRPr="00075571">
        <w:t xml:space="preserve"> goals while reducing the risk of recidivism (Barnao 2010). It is a holistic, person-centred approach that follows the tenets of the recovery paradigm more broadly. In sum, it </w:t>
      </w:r>
      <w:r w:rsidR="00EE0ADB">
        <w:t>‘</w:t>
      </w:r>
      <w:r w:rsidRPr="00075571">
        <w:t xml:space="preserve">aims to equip individuals with the resources to live a </w:t>
      </w:r>
      <w:r w:rsidR="00EE0ADB">
        <w:t>“</w:t>
      </w:r>
      <w:r w:rsidRPr="00075571">
        <w:t>good life</w:t>
      </w:r>
      <w:r w:rsidR="00EE0ADB">
        <w:t>”</w:t>
      </w:r>
      <w:r>
        <w:t xml:space="preserve"> – </w:t>
      </w:r>
      <w:r w:rsidRPr="00075571">
        <w:t>one that is meaningful and fulfilling and that does not involve harming others</w:t>
      </w:r>
      <w:r w:rsidR="00EE0ADB">
        <w:t>’</w:t>
      </w:r>
      <w:r w:rsidRPr="00075571">
        <w:t xml:space="preserve"> (Barnao</w:t>
      </w:r>
      <w:r>
        <w:t xml:space="preserve"> </w:t>
      </w:r>
      <w:r w:rsidR="00AD0D58">
        <w:t>et al</w:t>
      </w:r>
      <w:r w:rsidRPr="00075571">
        <w:t xml:space="preserve"> 2016</w:t>
      </w:r>
      <w:r w:rsidR="005054ED">
        <w:t>, p. </w:t>
      </w:r>
      <w:r w:rsidRPr="00075571">
        <w:t xml:space="preserve">289) by (a) taking into account and </w:t>
      </w:r>
      <w:r>
        <w:t>us</w:t>
      </w:r>
      <w:r w:rsidRPr="00075571">
        <w:t>ing service users</w:t>
      </w:r>
      <w:r w:rsidR="00EE0ADB">
        <w:t>’</w:t>
      </w:r>
      <w:r w:rsidRPr="00075571">
        <w:t xml:space="preserve"> individual preferences and values, and (b) building service users</w:t>
      </w:r>
      <w:r w:rsidR="00EE0ADB">
        <w:t>’</w:t>
      </w:r>
      <w:r>
        <w:t xml:space="preserve"> capacity</w:t>
      </w:r>
      <w:r w:rsidRPr="00075571">
        <w:t xml:space="preserve"> to gain </w:t>
      </w:r>
      <w:r w:rsidR="00EE0ADB">
        <w:t>‘</w:t>
      </w:r>
      <w:r w:rsidRPr="00075571">
        <w:t>primary goods</w:t>
      </w:r>
      <w:r w:rsidR="00EE0ADB">
        <w:t>’</w:t>
      </w:r>
      <w:r w:rsidRPr="00BC1167">
        <w:rPr>
          <w:rStyle w:val="FootnoteReference"/>
        </w:rPr>
        <w:footnoteReference w:id="21"/>
      </w:r>
      <w:r w:rsidRPr="00075571">
        <w:t xml:space="preserve"> in ways that are socially acceptable (Barnao </w:t>
      </w:r>
      <w:r>
        <w:t>and</w:t>
      </w:r>
      <w:r w:rsidRPr="00075571">
        <w:t xml:space="preserve"> Ward 2015; Barnao</w:t>
      </w:r>
      <w:r>
        <w:t xml:space="preserve"> </w:t>
      </w:r>
      <w:r w:rsidR="00AD0D58">
        <w:t>et al</w:t>
      </w:r>
      <w:r w:rsidRPr="00075571">
        <w:t xml:space="preserve"> 2016).</w:t>
      </w:r>
    </w:p>
    <w:p w14:paraId="1FC3C7B4" w14:textId="77777777" w:rsidR="009636B7" w:rsidRPr="00075571" w:rsidRDefault="009636B7" w:rsidP="00BC1167"/>
    <w:p w14:paraId="34D10EA5" w14:textId="77777777" w:rsidR="00EE0ADB" w:rsidRDefault="009636B7" w:rsidP="00BC1167">
      <w:pPr>
        <w:keepNext/>
        <w:keepLines/>
      </w:pPr>
      <w:r w:rsidRPr="00075571">
        <w:lastRenderedPageBreak/>
        <w:t xml:space="preserve">The basic premise behind the GLM model, then, is that wellbeing is associated with the attainment of primary human goods, with the inverse also holding true; that is, the absence of primary goods results in various psychological problems (Barnao </w:t>
      </w:r>
      <w:r>
        <w:t>and</w:t>
      </w:r>
      <w:r w:rsidRPr="00075571">
        <w:t xml:space="preserve"> Ward 2015; Barnao</w:t>
      </w:r>
      <w:r>
        <w:t xml:space="preserve"> </w:t>
      </w:r>
      <w:r w:rsidR="00AD0D58">
        <w:t>et al</w:t>
      </w:r>
      <w:r w:rsidRPr="00075571">
        <w:t xml:space="preserve"> 2016</w:t>
      </w:r>
      <w:r>
        <w:t>b</w:t>
      </w:r>
      <w:r w:rsidRPr="00075571">
        <w:t>). It also takes into account the role of offending as a means by which primary goods are sometimes sought.</w:t>
      </w:r>
      <w:r w:rsidRPr="00BC1167">
        <w:rPr>
          <w:rStyle w:val="FootnoteReference"/>
        </w:rPr>
        <w:footnoteReference w:id="22"/>
      </w:r>
      <w:r w:rsidRPr="00075571">
        <w:t xml:space="preserve"> Notably, the GLM provides an alternative conceptualisation of risk that directly contrasts the RNR model by focusing on a strength-based, restorative approach to rehabilitation, though the merits of the two approaches continue to be debated (Andrews </w:t>
      </w:r>
      <w:r w:rsidR="00AD0D58">
        <w:t>et al</w:t>
      </w:r>
      <w:r w:rsidRPr="00075571">
        <w:t xml:space="preserve"> 2011; Birgden 2008; Gudjonsson </w:t>
      </w:r>
      <w:r>
        <w:t>and</w:t>
      </w:r>
      <w:r w:rsidRPr="00075571">
        <w:t xml:space="preserve"> Young 2007; Looman </w:t>
      </w:r>
      <w:r>
        <w:t>and</w:t>
      </w:r>
      <w:r w:rsidRPr="00075571">
        <w:t xml:space="preserve"> Abracen 2013; Robertson </w:t>
      </w:r>
      <w:r w:rsidR="00AD0D58">
        <w:t>et al</w:t>
      </w:r>
      <w:r w:rsidRPr="00075571">
        <w:t xml:space="preserve"> 2011).</w:t>
      </w:r>
    </w:p>
    <w:p w14:paraId="532BAA01" w14:textId="77777777" w:rsidR="009636B7" w:rsidRPr="00075571" w:rsidRDefault="009636B7" w:rsidP="001374EA"/>
    <w:p w14:paraId="4D25CEF1" w14:textId="77777777" w:rsidR="00EE0ADB" w:rsidRDefault="009636B7" w:rsidP="001374EA">
      <w:r w:rsidRPr="00075571">
        <w:t>Most recently, Barnao</w:t>
      </w:r>
      <w:r>
        <w:t xml:space="preserve"> </w:t>
      </w:r>
      <w:r w:rsidR="00AD0D58">
        <w:t>et al</w:t>
      </w:r>
      <w:r w:rsidRPr="00075571">
        <w:t xml:space="preserve"> (2016</w:t>
      </w:r>
      <w:r>
        <w:t>b</w:t>
      </w:r>
      <w:r w:rsidRPr="00075571">
        <w:t>) have discussed the applicability of the GLM specifically in FMHS</w:t>
      </w:r>
      <w:r>
        <w:t>s</w:t>
      </w:r>
      <w:r w:rsidRPr="00075571">
        <w:t xml:space="preserve">, considering (a) </w:t>
      </w:r>
      <w:r w:rsidR="00EE0ADB">
        <w:t>‘</w:t>
      </w:r>
      <w:r w:rsidRPr="00075571">
        <w:t>the impact of mental illness on individuals</w:t>
      </w:r>
      <w:r w:rsidR="00EE0ADB">
        <w:t>’</w:t>
      </w:r>
      <w:r w:rsidRPr="00075571">
        <w:t xml:space="preserve"> good lives conceptions</w:t>
      </w:r>
      <w:r w:rsidR="00EE0ADB">
        <w:t>’</w:t>
      </w:r>
      <w:r>
        <w:t>,</w:t>
      </w:r>
      <w:r w:rsidRPr="00075571">
        <w:t xml:space="preserve"> (b) </w:t>
      </w:r>
      <w:r w:rsidR="00EE0ADB">
        <w:t>‘</w:t>
      </w:r>
      <w:r w:rsidRPr="00075571">
        <w:t xml:space="preserve">the role of psychiatric </w:t>
      </w:r>
      <w:r w:rsidRPr="0043256B">
        <w:t>symptomology</w:t>
      </w:r>
      <w:r w:rsidRPr="00075571">
        <w:t xml:space="preserve"> as a means by which valued primary goods are sometimes sought</w:t>
      </w:r>
      <w:r w:rsidR="00EE0ADB">
        <w:t>’</w:t>
      </w:r>
      <w:r w:rsidRPr="00075571">
        <w:t xml:space="preserve"> and (c) </w:t>
      </w:r>
      <w:r w:rsidR="00EE0ADB">
        <w:t>‘</w:t>
      </w:r>
      <w:r w:rsidRPr="00075571">
        <w:t>mental health service provision as a facilitator or obstacle to primary goods attainment</w:t>
      </w:r>
      <w:r w:rsidR="00EE0ADB">
        <w:t>’</w:t>
      </w:r>
      <w:r w:rsidR="00AD0D58">
        <w:t xml:space="preserve"> (p. </w:t>
      </w:r>
      <w:r w:rsidRPr="00075571">
        <w:t>291).</w:t>
      </w:r>
    </w:p>
    <w:p w14:paraId="3E80C094" w14:textId="77777777" w:rsidR="009636B7" w:rsidRPr="00075571" w:rsidRDefault="009636B7" w:rsidP="001374EA"/>
    <w:p w14:paraId="6C68BD1D" w14:textId="77777777" w:rsidR="00EE0ADB" w:rsidRDefault="009636B7" w:rsidP="001374EA">
      <w:r w:rsidRPr="00075571">
        <w:t xml:space="preserve">The authors then detail a case study within the Aotearoa </w:t>
      </w:r>
      <w:r>
        <w:t>New Zealand</w:t>
      </w:r>
      <w:r w:rsidRPr="00075571">
        <w:t xml:space="preserve"> context, which illustrates the implementation and efficacy of the model in the case of a 26-year-old Māori male forensic mental health inpatient with a diagnosis of schizophrenia. The authors show how the GLM provided the service user with a means to integrate his personal goals and risk management plan into one comprehensive plan with actionable steps to achieving the </w:t>
      </w:r>
      <w:r w:rsidRPr="0043256B">
        <w:t>plan and</w:t>
      </w:r>
      <w:r w:rsidRPr="00075571">
        <w:t xml:space="preserve"> helped the service user engage with and adhere to the plan. Thus, the authors suggest the GLM </w:t>
      </w:r>
      <w:r w:rsidR="00EE0ADB">
        <w:t>‘</w:t>
      </w:r>
      <w:r w:rsidRPr="00075571">
        <w:t>can enhance treatment engagement and bolster a sense of agency</w:t>
      </w:r>
      <w:r w:rsidR="00EE0ADB">
        <w:t>’</w:t>
      </w:r>
      <w:r w:rsidRPr="00075571">
        <w:t xml:space="preserve"> among inpatient FMH service users, while facilitating </w:t>
      </w:r>
      <w:r w:rsidR="00EE0ADB">
        <w:t>‘</w:t>
      </w:r>
      <w:r w:rsidRPr="00075571">
        <w:t>a comprehensive and cohesive understanding of forensic mental health service users and their core rehabilitation needs</w:t>
      </w:r>
      <w:r w:rsidR="00EE0ADB">
        <w:t>’</w:t>
      </w:r>
      <w:r w:rsidRPr="00075571">
        <w:t xml:space="preserve"> by integrating </w:t>
      </w:r>
      <w:r w:rsidR="00EE0ADB">
        <w:t>‘</w:t>
      </w:r>
      <w:r w:rsidRPr="00075571">
        <w:rPr>
          <w:i/>
          <w:iCs/>
        </w:rPr>
        <w:t>all</w:t>
      </w:r>
      <w:r w:rsidRPr="00075571">
        <w:t xml:space="preserve"> components of forensic rehabilitation</w:t>
      </w:r>
      <w:r w:rsidR="00EE0ADB">
        <w:t>’</w:t>
      </w:r>
      <w:r w:rsidRPr="00075571">
        <w:t xml:space="preserve"> holistically</w:t>
      </w:r>
      <w:r w:rsidR="00AD0D58">
        <w:t xml:space="preserve"> (p. </w:t>
      </w:r>
      <w:r w:rsidRPr="00075571">
        <w:t xml:space="preserve">297; original emphasis). It may also support improved communication and relationships between service users and </w:t>
      </w:r>
      <w:r w:rsidRPr="001F2541">
        <w:t>clinicians and</w:t>
      </w:r>
      <w:r w:rsidRPr="00075571">
        <w:t xml:space="preserve"> increase efficacy over standard rehabilitation programmes.</w:t>
      </w:r>
    </w:p>
    <w:p w14:paraId="092BE917" w14:textId="77777777" w:rsidR="001374EA" w:rsidRDefault="001374EA" w:rsidP="001374EA"/>
    <w:p w14:paraId="7499CC07" w14:textId="77777777" w:rsidR="009636B7" w:rsidRPr="00075571" w:rsidRDefault="009636B7" w:rsidP="001374EA">
      <w:pPr>
        <w:pStyle w:val="Heading5"/>
      </w:pPr>
      <w:r w:rsidRPr="00075571">
        <w:t>Safewards</w:t>
      </w:r>
    </w:p>
    <w:p w14:paraId="4B351CFB" w14:textId="77777777" w:rsidR="00EE0ADB" w:rsidRDefault="009636B7" w:rsidP="001374EA">
      <w:r>
        <w:t>R</w:t>
      </w:r>
      <w:r w:rsidRPr="00075571">
        <w:t>ecent</w:t>
      </w:r>
      <w:r>
        <w:t>ly</w:t>
      </w:r>
      <w:r w:rsidRPr="00075571">
        <w:t xml:space="preserve"> </w:t>
      </w:r>
      <w:r>
        <w:t xml:space="preserve">implemented </w:t>
      </w:r>
      <w:r w:rsidRPr="00075571">
        <w:t xml:space="preserve">in acute and forensic mental health settings, Safewards (Bowers 2014) is an evidence-based model that aims to reduce incidents within inpatient settings by preventing conflict and containment events that trigger aggression and violence (Kipping </w:t>
      </w:r>
      <w:r w:rsidR="00AD0D58">
        <w:t>et al</w:t>
      </w:r>
      <w:r w:rsidRPr="00075571">
        <w:t xml:space="preserve"> 2019; Maguire</w:t>
      </w:r>
      <w:r>
        <w:t xml:space="preserve"> </w:t>
      </w:r>
      <w:r w:rsidR="00AD0D58">
        <w:t>et al</w:t>
      </w:r>
      <w:r w:rsidRPr="00075571">
        <w:t xml:space="preserve"> 2018). Following recovery principles, </w:t>
      </w:r>
      <w:r w:rsidR="00EE0ADB">
        <w:t>‘</w:t>
      </w:r>
      <w:r w:rsidRPr="00075571">
        <w:t>the model is comprised of six key domains: the patient community, patient characteristics, regulatory framework, the staff team, the physical environment, and factors from outside the hospital</w:t>
      </w:r>
      <w:r w:rsidR="00EE0ADB">
        <w:t>’</w:t>
      </w:r>
      <w:r w:rsidRPr="00075571">
        <w:t xml:space="preserve"> (Kipping </w:t>
      </w:r>
      <w:r w:rsidR="00AD0D58">
        <w:t>et al</w:t>
      </w:r>
      <w:r w:rsidRPr="00075571">
        <w:t xml:space="preserve"> 2019</w:t>
      </w:r>
      <w:r w:rsidR="005054ED">
        <w:t>, p. </w:t>
      </w:r>
      <w:r w:rsidRPr="00075571">
        <w:t>2). The model further suggests 10</w:t>
      </w:r>
      <w:r w:rsidR="001374EA">
        <w:t> </w:t>
      </w:r>
      <w:r w:rsidRPr="00075571">
        <w:t xml:space="preserve">interventions that should be adopted to prevent events: clear mutual expectations, soft words, talk down, positive words, bad news mitigation, knowing each other, mutual help meetings, calm down methods, reassurance and discharge messages (Bowers 2014; Kipping </w:t>
      </w:r>
      <w:r w:rsidR="00AD0D58">
        <w:t>et al</w:t>
      </w:r>
      <w:r w:rsidRPr="00075571">
        <w:t xml:space="preserve"> 2019). To date, the evidence shows mixed results</w:t>
      </w:r>
      <w:r>
        <w:t>;</w:t>
      </w:r>
      <w:r w:rsidRPr="00075571">
        <w:t xml:space="preserve"> some studies demonstrat</w:t>
      </w:r>
      <w:r>
        <w:t>e</w:t>
      </w:r>
      <w:r w:rsidRPr="00075571">
        <w:t xml:space="preserve"> reductions incidents (</w:t>
      </w:r>
      <w:r>
        <w:t>eg</w:t>
      </w:r>
      <w:r w:rsidRPr="00075571">
        <w:t xml:space="preserve">, Bowers 2014; Bowers </w:t>
      </w:r>
      <w:r w:rsidR="00AD0D58">
        <w:t>et al</w:t>
      </w:r>
      <w:r w:rsidRPr="00075571">
        <w:t xml:space="preserve"> 2015) and others show little to no change, perhaps due to already low rates of the use of restrictive interventions (</w:t>
      </w:r>
      <w:r>
        <w:t>eg</w:t>
      </w:r>
      <w:r w:rsidRPr="00075571">
        <w:t xml:space="preserve">, Maguire </w:t>
      </w:r>
      <w:r w:rsidR="00AD0D58">
        <w:t>et al</w:t>
      </w:r>
      <w:r w:rsidRPr="00075571">
        <w:t xml:space="preserve"> 2018).</w:t>
      </w:r>
    </w:p>
    <w:p w14:paraId="4FA5AD83" w14:textId="77777777" w:rsidR="001374EA" w:rsidRDefault="001374EA" w:rsidP="001374EA"/>
    <w:p w14:paraId="21FE5CC0" w14:textId="77777777" w:rsidR="009636B7" w:rsidRPr="00075571" w:rsidRDefault="009636B7" w:rsidP="001374EA">
      <w:pPr>
        <w:pStyle w:val="Heading5"/>
      </w:pPr>
      <w:r w:rsidRPr="00075571">
        <w:lastRenderedPageBreak/>
        <w:t xml:space="preserve">Other </w:t>
      </w:r>
      <w:r>
        <w:t>f</w:t>
      </w:r>
      <w:r w:rsidRPr="00075571">
        <w:t>rameworks</w:t>
      </w:r>
    </w:p>
    <w:p w14:paraId="3638E347" w14:textId="77777777" w:rsidR="009636B7" w:rsidRPr="00075571" w:rsidRDefault="009636B7" w:rsidP="001374EA">
      <w:r w:rsidRPr="00075571">
        <w:t>While many conceptual models of recovery have circulated within FMHS</w:t>
      </w:r>
      <w:r>
        <w:t>s</w:t>
      </w:r>
      <w:r w:rsidRPr="00075571">
        <w:t xml:space="preserve">, few frameworks exist to </w:t>
      </w:r>
      <w:r w:rsidRPr="001F2541">
        <w:t>evaluate</w:t>
      </w:r>
      <w:r w:rsidRPr="00075571">
        <w:t xml:space="preserve"> their efficacy in concrete terms. As such, it often </w:t>
      </w:r>
      <w:r w:rsidR="00EE0ADB">
        <w:t>‘</w:t>
      </w:r>
      <w:r w:rsidRPr="00075571">
        <w:t>remains unclear how patients actually progress within in-patient services from admission to discharge</w:t>
      </w:r>
      <w:r w:rsidR="00EE0ADB">
        <w:t>’</w:t>
      </w:r>
      <w:r w:rsidRPr="00075571">
        <w:t xml:space="preserve"> (Doyle</w:t>
      </w:r>
      <w:r>
        <w:t xml:space="preserve"> </w:t>
      </w:r>
      <w:r w:rsidR="00AD0D58">
        <w:t>et al</w:t>
      </w:r>
      <w:r w:rsidRPr="00075571">
        <w:t xml:space="preserve"> 2012</w:t>
      </w:r>
      <w:r w:rsidR="005054ED">
        <w:t>, p. </w:t>
      </w:r>
      <w:r w:rsidRPr="00075571">
        <w:t xml:space="preserve">54). To address this gap, Doyle </w:t>
      </w:r>
      <w:r w:rsidR="00AD0D58">
        <w:t>et al</w:t>
      </w:r>
      <w:r w:rsidRPr="00075571">
        <w:t xml:space="preserve"> (2012) developed the miles to recovery (MTR) framework to promote recovery and measure progress through the medium secure inpatient pathway in the United Kingdom. The MTR framework identifies four key targets for intervention: symptoms, behaviour and functioning, interpersonal engagement, and therapeutic engagement</w:t>
      </w:r>
      <w:r>
        <w:t>;</w:t>
      </w:r>
      <w:r w:rsidRPr="00075571">
        <w:t xml:space="preserve"> 12 indicators support the targets</w:t>
      </w:r>
      <w:r w:rsidR="00AD0D58">
        <w:t xml:space="preserve"> (p. </w:t>
      </w:r>
      <w:r w:rsidRPr="00075571">
        <w:t xml:space="preserve">55). The authors developed and tested the MTR scale with a sample of 80 inpatient service users, establishing the validity of the framework in </w:t>
      </w:r>
      <w:r w:rsidRPr="001F2541">
        <w:t>clinical</w:t>
      </w:r>
      <w:r w:rsidRPr="00075571">
        <w:t xml:space="preserve"> practice.</w:t>
      </w:r>
    </w:p>
    <w:p w14:paraId="3F73F71B" w14:textId="77777777" w:rsidR="009636B7" w:rsidRPr="00075571" w:rsidRDefault="009636B7" w:rsidP="001374EA"/>
    <w:p w14:paraId="5EDB9841" w14:textId="77777777" w:rsidR="009636B7" w:rsidRDefault="009636B7" w:rsidP="001374EA">
      <w:r w:rsidRPr="00075571">
        <w:t xml:space="preserve">Birgden (2008) proposed a normative framework for offender rehabilitation combining elements of RNR and GLM with a human rights approach to rehabilitation. The framework suggests </w:t>
      </w:r>
      <w:r>
        <w:t>seven</w:t>
      </w:r>
      <w:r w:rsidRPr="00075571">
        <w:t xml:space="preserve"> values-based principles that should guide clinicians in practice: recognise normative values, respect human rights, assess risk, treat need, manage readiness, ensure autonomy and create multi-agency approaches. These principles govern a set of practice strategies that form the rehabilitation and recovery plan. These principles also align with some of the tenets of the M</w:t>
      </w:r>
      <w:r w:rsidRPr="00075571">
        <w:rPr>
          <w:rFonts w:cs="Segoe UI"/>
        </w:rPr>
        <w:t>ā</w:t>
      </w:r>
      <w:r w:rsidRPr="00075571">
        <w:t>ori-focused models, as discussed below.</w:t>
      </w:r>
    </w:p>
    <w:p w14:paraId="296CE076" w14:textId="77777777" w:rsidR="001374EA" w:rsidRPr="00075571" w:rsidRDefault="001374EA" w:rsidP="001374EA"/>
    <w:p w14:paraId="50EBE974" w14:textId="77777777" w:rsidR="009636B7" w:rsidRPr="00075571" w:rsidRDefault="009636B7" w:rsidP="001374EA">
      <w:pPr>
        <w:pStyle w:val="Heading4"/>
      </w:pPr>
      <w:r w:rsidRPr="00075571">
        <w:t xml:space="preserve">Balancing </w:t>
      </w:r>
      <w:r>
        <w:t>r</w:t>
      </w:r>
      <w:r w:rsidRPr="00075571">
        <w:t xml:space="preserve">isk and </w:t>
      </w:r>
      <w:r>
        <w:t>r</w:t>
      </w:r>
      <w:r w:rsidRPr="00075571">
        <w:t>ecovery</w:t>
      </w:r>
    </w:p>
    <w:p w14:paraId="0567F823" w14:textId="77777777" w:rsidR="00EE0ADB" w:rsidRDefault="009636B7" w:rsidP="001374EA">
      <w:r w:rsidRPr="00075571">
        <w:t>Within the recovery paradigm, the need persists to address risk among FMHS users. As such, a multi-modal approach is often required to address service users</w:t>
      </w:r>
      <w:r w:rsidR="00EE0ADB">
        <w:t>’</w:t>
      </w:r>
      <w:r w:rsidRPr="00075571">
        <w:t xml:space="preserve"> complex needs within </w:t>
      </w:r>
      <w:r w:rsidR="00EE0ADB">
        <w:t>‘</w:t>
      </w:r>
      <w:r w:rsidRPr="00075571">
        <w:t>standard</w:t>
      </w:r>
      <w:r w:rsidR="00EE0ADB">
        <w:t>’</w:t>
      </w:r>
      <w:r w:rsidRPr="00075571">
        <w:t xml:space="preserve"> models of care that combines recovery principles within the more traditional structures of FMHS</w:t>
      </w:r>
      <w:r>
        <w:t>s</w:t>
      </w:r>
      <w:r w:rsidRPr="00075571">
        <w:t xml:space="preserve"> (Barnao </w:t>
      </w:r>
      <w:r>
        <w:t>and</w:t>
      </w:r>
      <w:r w:rsidRPr="00075571">
        <w:t xml:space="preserve"> Ward 2015). Indeed, integrated or holistic service delivery models have been recommended in recent literature to address the lack of comprehensive models of care within forensic inpatient settings (Gournay </w:t>
      </w:r>
      <w:r w:rsidR="00AD0D58">
        <w:t>et al</w:t>
      </w:r>
      <w:r w:rsidRPr="00075571">
        <w:t xml:space="preserve"> 2013). However, Barnao and Ward (2015) highlight a set of problems that arise</w:t>
      </w:r>
      <w:r>
        <w:t>s</w:t>
      </w:r>
      <w:r w:rsidRPr="00075571">
        <w:t xml:space="preserve"> when </w:t>
      </w:r>
      <w:r>
        <w:t>us</w:t>
      </w:r>
      <w:r w:rsidRPr="00075571">
        <w:t xml:space="preserve">ing multiple approaches. First, the various paradigms have differing ethical values, assumptions and aims that, when synthesised, often create </w:t>
      </w:r>
      <w:r w:rsidR="00EE0ADB">
        <w:t>‘</w:t>
      </w:r>
      <w:r w:rsidRPr="00075571">
        <w:t>conceptual confusion</w:t>
      </w:r>
      <w:r w:rsidR="00EE0ADB">
        <w:t>’</w:t>
      </w:r>
      <w:r w:rsidRPr="00075571">
        <w:t xml:space="preserve"> and fail </w:t>
      </w:r>
      <w:r w:rsidR="00EE0ADB">
        <w:t>‘</w:t>
      </w:r>
      <w:r w:rsidRPr="00075571">
        <w:t>to assist practitioners [to] navigate their way through the stormy waters of the dual relationship problem</w:t>
      </w:r>
      <w:r w:rsidR="00EE0ADB">
        <w:t>’</w:t>
      </w:r>
      <w:r>
        <w:t>.</w:t>
      </w:r>
      <w:r w:rsidRPr="00075571">
        <w:t xml:space="preserve"> Second, </w:t>
      </w:r>
      <w:r w:rsidR="00EE0ADB">
        <w:t>‘</w:t>
      </w:r>
      <w:r w:rsidRPr="00075571">
        <w:t>they do not provide clinicians with enough guidance about the importance that should be placed on addressing criminogenic needs versus treating mental disorder</w:t>
      </w:r>
      <w:r w:rsidR="00EE0ADB">
        <w:t>’</w:t>
      </w:r>
      <w:r>
        <w:t>.</w:t>
      </w:r>
      <w:r w:rsidRPr="00075571">
        <w:t xml:space="preserve"> Third, </w:t>
      </w:r>
      <w:r w:rsidR="00EE0ADB">
        <w:t>‘</w:t>
      </w:r>
      <w:r w:rsidRPr="00075571">
        <w:t xml:space="preserve">they do not </w:t>
      </w:r>
      <w:r>
        <w:t>…</w:t>
      </w:r>
      <w:r w:rsidRPr="00075571">
        <w:t xml:space="preserve"> provide a cohesive theoretical basis for selecting the issues to be addressed in treatment programs</w:t>
      </w:r>
      <w:r w:rsidR="00EE0ADB">
        <w:t>’</w:t>
      </w:r>
      <w:r w:rsidR="00AD0D58">
        <w:t xml:space="preserve"> (p. </w:t>
      </w:r>
      <w:r w:rsidRPr="00075571">
        <w:t>83).</w:t>
      </w:r>
    </w:p>
    <w:p w14:paraId="00A706E6" w14:textId="77777777" w:rsidR="009636B7" w:rsidRPr="00075571" w:rsidRDefault="009636B7" w:rsidP="001374EA"/>
    <w:p w14:paraId="22C0512A" w14:textId="77777777" w:rsidR="009636B7" w:rsidRPr="00075571" w:rsidRDefault="009636B7" w:rsidP="001374EA">
      <w:r w:rsidRPr="00075571">
        <w:t xml:space="preserve">To address such issues, Roychowdhury (2011) proposed a </w:t>
      </w:r>
      <w:r w:rsidR="00EE0ADB">
        <w:t>‘</w:t>
      </w:r>
      <w:r w:rsidRPr="00075571">
        <w:t>human needs-oriented forensic service</w:t>
      </w:r>
      <w:r w:rsidR="00EE0ADB">
        <w:t>’</w:t>
      </w:r>
      <w:r w:rsidRPr="00075571">
        <w:t xml:space="preserve"> that </w:t>
      </w:r>
      <w:r w:rsidRPr="001F2541">
        <w:t>considers</w:t>
      </w:r>
      <w:r w:rsidRPr="00075571">
        <w:t xml:space="preserve"> service users</w:t>
      </w:r>
      <w:r w:rsidR="00EE0ADB">
        <w:t>’</w:t>
      </w:r>
      <w:r w:rsidRPr="00075571">
        <w:t xml:space="preserve"> basic needs to bridge risk and recovery. More specifically, </w:t>
      </w:r>
      <w:r>
        <w:t xml:space="preserve">these basic </w:t>
      </w:r>
      <w:r w:rsidRPr="00075571">
        <w:t>need</w:t>
      </w:r>
      <w:r>
        <w:t>s</w:t>
      </w:r>
      <w:r w:rsidRPr="00075571">
        <w:t xml:space="preserve"> </w:t>
      </w:r>
      <w:r>
        <w:t>include</w:t>
      </w:r>
      <w:r w:rsidRPr="00075571">
        <w:t>:</w:t>
      </w:r>
    </w:p>
    <w:p w14:paraId="46F68729" w14:textId="77777777" w:rsidR="009636B7" w:rsidRPr="00075571" w:rsidRDefault="009636B7" w:rsidP="001374EA">
      <w:pPr>
        <w:pStyle w:val="Bullet"/>
      </w:pPr>
      <w:r>
        <w:t>s</w:t>
      </w:r>
      <w:r w:rsidRPr="00075571">
        <w:t>ecurity/safety/control over events</w:t>
      </w:r>
    </w:p>
    <w:p w14:paraId="7AABF922" w14:textId="77777777" w:rsidR="009636B7" w:rsidRPr="00075571" w:rsidRDefault="009636B7" w:rsidP="001374EA">
      <w:pPr>
        <w:pStyle w:val="Bullet"/>
      </w:pPr>
      <w:r>
        <w:t>v</w:t>
      </w:r>
      <w:r w:rsidRPr="00075571">
        <w:t>ariety/creativity/challenge and diversity</w:t>
      </w:r>
    </w:p>
    <w:p w14:paraId="32818F94" w14:textId="77777777" w:rsidR="009636B7" w:rsidRPr="00075571" w:rsidRDefault="009636B7" w:rsidP="001374EA">
      <w:pPr>
        <w:pStyle w:val="Bullet"/>
      </w:pPr>
      <w:r>
        <w:t>g</w:t>
      </w:r>
      <w:r w:rsidRPr="00075571">
        <w:t>rowth and development</w:t>
      </w:r>
    </w:p>
    <w:p w14:paraId="2F6DEEEB" w14:textId="77777777" w:rsidR="00EE0ADB" w:rsidRDefault="009636B7" w:rsidP="001374EA">
      <w:pPr>
        <w:pStyle w:val="Bullet"/>
        <w:keepNext/>
      </w:pPr>
      <w:r>
        <w:lastRenderedPageBreak/>
        <w:t>r</w:t>
      </w:r>
      <w:r w:rsidRPr="00075571">
        <w:t>elatedness, love/connection and belonging</w:t>
      </w:r>
    </w:p>
    <w:p w14:paraId="27737228" w14:textId="77777777" w:rsidR="00EE0ADB" w:rsidRDefault="009636B7" w:rsidP="001374EA">
      <w:pPr>
        <w:pStyle w:val="Bullet"/>
        <w:keepNext/>
      </w:pPr>
      <w:r>
        <w:t>i</w:t>
      </w:r>
      <w:r w:rsidRPr="00075571">
        <w:t>mportance</w:t>
      </w:r>
      <w:r>
        <w:t>:</w:t>
      </w:r>
      <w:r w:rsidRPr="00075571">
        <w:t xml:space="preserve"> to be needed and valued by others, and do something of meaning</w:t>
      </w:r>
    </w:p>
    <w:p w14:paraId="12EF38A2" w14:textId="77777777" w:rsidR="009636B7" w:rsidRPr="00075571" w:rsidRDefault="009636B7" w:rsidP="001374EA">
      <w:pPr>
        <w:pStyle w:val="Bullet"/>
      </w:pPr>
      <w:r>
        <w:t>c</w:t>
      </w:r>
      <w:r w:rsidRPr="00075571">
        <w:t>ontribution</w:t>
      </w:r>
      <w:r>
        <w:t xml:space="preserve">: </w:t>
      </w:r>
      <w:r w:rsidRPr="00075571">
        <w:t>to help others.</w:t>
      </w:r>
      <w:r w:rsidR="00AD0D58">
        <w:t xml:space="preserve"> (p. </w:t>
      </w:r>
      <w:r w:rsidRPr="00075571">
        <w:t>71)</w:t>
      </w:r>
    </w:p>
    <w:p w14:paraId="7E5C58FE" w14:textId="77777777" w:rsidR="009636B7" w:rsidRPr="00075571" w:rsidRDefault="009636B7" w:rsidP="001374EA"/>
    <w:p w14:paraId="37CF06AE" w14:textId="77777777" w:rsidR="00EE0ADB" w:rsidRDefault="009636B7" w:rsidP="001374EA">
      <w:r w:rsidRPr="00075571">
        <w:t>By focusing on these needs, Roychowdhury argues, a holistic paradigm of recovery is supported in a whole-person approach that inherently manages risk, while removing the tension between other approaches that unequally address risk/recovery.</w:t>
      </w:r>
    </w:p>
    <w:p w14:paraId="1C40052C" w14:textId="77777777" w:rsidR="001374EA" w:rsidRDefault="001374EA" w:rsidP="001374EA"/>
    <w:p w14:paraId="5F133928" w14:textId="77777777" w:rsidR="009636B7" w:rsidRPr="00075571" w:rsidRDefault="009636B7" w:rsidP="001374EA">
      <w:pPr>
        <w:pStyle w:val="Heading3"/>
      </w:pPr>
      <w:bookmarkStart w:id="68" w:name="_Toc16805632"/>
      <w:r w:rsidRPr="00075571">
        <w:t xml:space="preserve">Priority </w:t>
      </w:r>
      <w:r>
        <w:t>p</w:t>
      </w:r>
      <w:r w:rsidRPr="001A28C6">
        <w:t>opulations</w:t>
      </w:r>
      <w:bookmarkEnd w:id="68"/>
    </w:p>
    <w:p w14:paraId="7F849B01" w14:textId="77777777" w:rsidR="00EE0ADB" w:rsidRDefault="009636B7" w:rsidP="001374EA">
      <w:r w:rsidRPr="00075571">
        <w:t xml:space="preserve">A subset of the literature focuses on identifying the utility of standard models of care and interventions among priority populations, namely Māori, </w:t>
      </w:r>
      <w:r>
        <w:t>Pacific peoples</w:t>
      </w:r>
      <w:r w:rsidRPr="00075571">
        <w:t xml:space="preserve"> and women. Due to the overrepresentation of Māori and </w:t>
      </w:r>
      <w:r>
        <w:t>Pacific peoples</w:t>
      </w:r>
      <w:r w:rsidRPr="00075571">
        <w:t xml:space="preserve"> in FMHS</w:t>
      </w:r>
      <w:r>
        <w:t>s</w:t>
      </w:r>
      <w:r w:rsidRPr="00075571">
        <w:t xml:space="preserve"> in </w:t>
      </w:r>
      <w:r>
        <w:t>Aotearoa New Zealand,</w:t>
      </w:r>
      <w:r w:rsidRPr="00075571">
        <w:t xml:space="preserve"> as well as the rapidly growing population of female forensic service users, these priority populations are of </w:t>
      </w:r>
      <w:r w:rsidRPr="001F2541">
        <w:t>importance</w:t>
      </w:r>
      <w:r w:rsidRPr="00075571">
        <w:t xml:space="preserve"> when considering models of care for inpatient FMHS</w:t>
      </w:r>
      <w:r>
        <w:t>s</w:t>
      </w:r>
      <w:r w:rsidRPr="00075571">
        <w:t>. The following section reviews the literature for each of these subsets, along with literature pertaining to other indigenous groups (</w:t>
      </w:r>
      <w:r>
        <w:t>eg</w:t>
      </w:r>
      <w:r w:rsidRPr="00075571">
        <w:t xml:space="preserve">, </w:t>
      </w:r>
      <w:r>
        <w:t xml:space="preserve">those in </w:t>
      </w:r>
      <w:r w:rsidRPr="00075571">
        <w:t>Canada</w:t>
      </w:r>
      <w:r>
        <w:t xml:space="preserve"> and</w:t>
      </w:r>
      <w:r w:rsidRPr="00075571">
        <w:t xml:space="preserve"> Australia) that provides insights of relevance to the </w:t>
      </w:r>
      <w:r>
        <w:t>Aotearoa New Zealand</w:t>
      </w:r>
      <w:r w:rsidRPr="00075571">
        <w:t xml:space="preserve"> context.</w:t>
      </w:r>
    </w:p>
    <w:p w14:paraId="1D3B6FA6" w14:textId="77777777" w:rsidR="001374EA" w:rsidRDefault="001374EA" w:rsidP="001374EA"/>
    <w:p w14:paraId="0C36F791" w14:textId="77777777" w:rsidR="00EE0ADB" w:rsidRDefault="009636B7" w:rsidP="001374EA">
      <w:pPr>
        <w:pStyle w:val="Heading4"/>
      </w:pPr>
      <w:r w:rsidRPr="00075571">
        <w:t>Māori</w:t>
      </w:r>
    </w:p>
    <w:p w14:paraId="33C43B5C" w14:textId="77777777" w:rsidR="00EE0ADB" w:rsidRDefault="009636B7" w:rsidP="001374EA">
      <w:r w:rsidRPr="00075571">
        <w:t xml:space="preserve">While the need for Māori-specific </w:t>
      </w:r>
      <w:r>
        <w:t xml:space="preserve">FMHSs </w:t>
      </w:r>
      <w:r w:rsidRPr="00075571">
        <w:t xml:space="preserve">was identified early on in the Mason Report (1988) and </w:t>
      </w:r>
      <w:r>
        <w:t xml:space="preserve">has been </w:t>
      </w:r>
      <w:r w:rsidRPr="00075571">
        <w:t>advocated for in more recent scholarship (</w:t>
      </w:r>
      <w:r>
        <w:t>eg</w:t>
      </w:r>
      <w:r w:rsidRPr="00075571">
        <w:t>, Tapsell 2007, 2018), little research has been conducted on Māori forensic models of care for inpatient services, perhaps due to the relatively recent advent of kaupapa Māori FMHS</w:t>
      </w:r>
      <w:r>
        <w:t>s</w:t>
      </w:r>
      <w:r w:rsidRPr="00075571">
        <w:t>. The limited literature to date focuses primarily on the subacute inpatient unit Te</w:t>
      </w:r>
      <w:r w:rsidR="001374EA">
        <w:t> </w:t>
      </w:r>
      <w:r w:rsidRPr="00075571">
        <w:t>Papakāinga o Tāne Whakapiripiri, the first dedicated kaupapa Māori (</w:t>
      </w:r>
      <w:r w:rsidR="00EE0ADB">
        <w:t>‘</w:t>
      </w:r>
      <w:r w:rsidRPr="00075571">
        <w:t>by Māori for Māori</w:t>
      </w:r>
      <w:r w:rsidR="00EE0ADB">
        <w:t>’</w:t>
      </w:r>
      <w:r w:rsidRPr="00075571">
        <w:t xml:space="preserve">) forensic mental health unit in Aotearoa </w:t>
      </w:r>
      <w:r>
        <w:t>New Zealand</w:t>
      </w:r>
      <w:r w:rsidRPr="00075571">
        <w:t xml:space="preserve"> (and the first indigenous forensic psychiatric unit in the world), which opened in 2004 at the Mason Clinic (Auckland Regional Forensic Psychiatr</w:t>
      </w:r>
      <w:r>
        <w:t>y</w:t>
      </w:r>
      <w:r w:rsidRPr="00075571">
        <w:t xml:space="preserve"> Services</w:t>
      </w:r>
      <w:r>
        <w:t>)</w:t>
      </w:r>
      <w:r w:rsidRPr="00075571">
        <w:t xml:space="preserve"> </w:t>
      </w:r>
      <w:r>
        <w:t>(</w:t>
      </w:r>
      <w:r w:rsidRPr="00075571">
        <w:t>Sweetman 2017; Tapsell 2007).</w:t>
      </w:r>
    </w:p>
    <w:p w14:paraId="0A260F6B" w14:textId="77777777" w:rsidR="009636B7" w:rsidRPr="00075571" w:rsidRDefault="009636B7" w:rsidP="001374EA"/>
    <w:p w14:paraId="712A2AEC" w14:textId="77777777" w:rsidR="009636B7" w:rsidRPr="00075571" w:rsidRDefault="009636B7" w:rsidP="001374EA">
      <w:r w:rsidRPr="00075571">
        <w:t>Tāne Whakapiripiri</w:t>
      </w:r>
      <w:r w:rsidR="00EE0ADB">
        <w:t>’</w:t>
      </w:r>
      <w:r w:rsidRPr="00075571">
        <w:t xml:space="preserve">s </w:t>
      </w:r>
      <w:r w:rsidR="00EE0ADB">
        <w:t>‘</w:t>
      </w:r>
      <w:r w:rsidRPr="00075571">
        <w:t>multi-model</w:t>
      </w:r>
      <w:r w:rsidR="00EE0ADB">
        <w:t>’</w:t>
      </w:r>
      <w:r w:rsidRPr="00075571">
        <w:t xml:space="preserve"> of care </w:t>
      </w:r>
      <w:r w:rsidR="00EE0ADB">
        <w:t>‘</w:t>
      </w:r>
      <w:r w:rsidRPr="00075571">
        <w:t>blends together the clinical and cultural paradigms of Te Ao Tauiwi (the Western worldview) and Te Ao Māori (the Māori worldview), a partnership mandated by the Treaty [of Waitangi]</w:t>
      </w:r>
      <w:r w:rsidR="00EE0ADB">
        <w:t>’</w:t>
      </w:r>
      <w:r w:rsidRPr="00075571">
        <w:t xml:space="preserve"> (Sweetman 2017</w:t>
      </w:r>
      <w:r w:rsidR="005054ED">
        <w:t>, p. </w:t>
      </w:r>
      <w:r w:rsidRPr="00075571">
        <w:t xml:space="preserve">162). More specifically, the model of care combines a rehabilitative approach (the Boston </w:t>
      </w:r>
      <w:r>
        <w:t>rehabilitation</w:t>
      </w:r>
      <w:r w:rsidR="00EE0ADB">
        <w:t xml:space="preserve"> </w:t>
      </w:r>
      <w:r w:rsidRPr="00075571">
        <w:t>model)</w:t>
      </w:r>
      <w:r w:rsidR="00EE0ADB">
        <w:t xml:space="preserve"> </w:t>
      </w:r>
      <w:r>
        <w:t xml:space="preserve">(Rogers </w:t>
      </w:r>
      <w:r w:rsidR="00AD0D58">
        <w:t>et al</w:t>
      </w:r>
      <w:r>
        <w:t xml:space="preserve"> 2006) </w:t>
      </w:r>
      <w:r w:rsidRPr="00075571">
        <w:t xml:space="preserve">with Te Whare Tapa Whā (Durie 1998) to formulate the </w:t>
      </w:r>
      <w:r w:rsidR="00EE0ADB">
        <w:t>‘</w:t>
      </w:r>
      <w:r w:rsidRPr="00075571">
        <w:t>blueprint</w:t>
      </w:r>
      <w:r w:rsidR="00EE0ADB">
        <w:t>’</w:t>
      </w:r>
      <w:r w:rsidRPr="00075571">
        <w:t xml:space="preserve"> of the unit</w:t>
      </w:r>
      <w:r w:rsidR="00EE0ADB">
        <w:t>’</w:t>
      </w:r>
      <w:r w:rsidRPr="00075571">
        <w:t>s model of care, which includes the seven tenets of wairuatanga (spiritual health), tikanga/kawa (boundaries/rules), whanaungatanga (family health), tinana (physical health), hinengaro (mental health), tūmanako (hope for the future) and whakapaitia (service delivery</w:t>
      </w:r>
      <w:r>
        <w:t>)</w:t>
      </w:r>
      <w:r w:rsidRPr="00075571">
        <w:t xml:space="preserve"> </w:t>
      </w:r>
      <w:r>
        <w:t>(</w:t>
      </w:r>
      <w:r w:rsidRPr="00075571">
        <w:t>Sweetman 2017).</w:t>
      </w:r>
    </w:p>
    <w:p w14:paraId="79BDA2A2" w14:textId="77777777" w:rsidR="009636B7" w:rsidRPr="00075571" w:rsidRDefault="009636B7" w:rsidP="001374EA"/>
    <w:p w14:paraId="7B150746" w14:textId="77777777" w:rsidR="009636B7" w:rsidRPr="00075571" w:rsidRDefault="009636B7" w:rsidP="001374EA">
      <w:pPr>
        <w:keepLines/>
      </w:pPr>
      <w:r w:rsidRPr="00075571">
        <w:lastRenderedPageBreak/>
        <w:t>This approach is in keeping with other M</w:t>
      </w:r>
      <w:r w:rsidRPr="00075571">
        <w:rPr>
          <w:rFonts w:cs="Segoe UI"/>
        </w:rPr>
        <w:t>ā</w:t>
      </w:r>
      <w:r w:rsidRPr="00075571">
        <w:t>ori approaches to mental health service delivery</w:t>
      </w:r>
      <w:r>
        <w:t>,</w:t>
      </w:r>
      <w:r w:rsidRPr="00075571">
        <w:t xml:space="preserve"> as well as the broader field of indigenous psychology/psychiatry, which has produced frameworks such as the Meihana model (Pitama </w:t>
      </w:r>
      <w:r w:rsidR="00AD0D58">
        <w:t>et al</w:t>
      </w:r>
      <w:r w:rsidRPr="00075571">
        <w:t xml:space="preserve"> 2007), a broader clinical assessment framework for use in mental health. The Meihana model is similarly based on a M</w:t>
      </w:r>
      <w:r w:rsidRPr="00075571">
        <w:rPr>
          <w:rFonts w:cs="Segoe UI"/>
        </w:rPr>
        <w:t>ā</w:t>
      </w:r>
      <w:r w:rsidRPr="00075571">
        <w:t>ori worldview, consisting of the four components of Te Whare Tap</w:t>
      </w:r>
      <w:r w:rsidRPr="00075571">
        <w:rPr>
          <w:rFonts w:cs="Segoe UI"/>
        </w:rPr>
        <w:t>ā</w:t>
      </w:r>
      <w:r w:rsidRPr="00075571">
        <w:t xml:space="preserve"> </w:t>
      </w:r>
      <w:r w:rsidRPr="009230BD">
        <w:t>Whā</w:t>
      </w:r>
      <w:r w:rsidRPr="00075571">
        <w:t>, with the addition of two dimensions</w:t>
      </w:r>
      <w:r>
        <w:t xml:space="preserve"> – </w:t>
      </w:r>
      <w:r w:rsidRPr="00075571">
        <w:t>taiao, the physical environment, and iwi katoa, the societal impact.</w:t>
      </w:r>
    </w:p>
    <w:p w14:paraId="70C51451" w14:textId="77777777" w:rsidR="009636B7" w:rsidRPr="00075571" w:rsidRDefault="009636B7" w:rsidP="001374EA"/>
    <w:p w14:paraId="53A96C6C" w14:textId="77777777" w:rsidR="00EE0ADB" w:rsidRDefault="009636B7" w:rsidP="001374EA">
      <w:r w:rsidRPr="00075571">
        <w:t>Tapsell (2018) further identifies five key factors in a Māori approach to FMHS</w:t>
      </w:r>
      <w:r>
        <w:t>s.</w:t>
      </w:r>
    </w:p>
    <w:p w14:paraId="25B154F6" w14:textId="77777777" w:rsidR="009636B7" w:rsidRPr="00075571" w:rsidRDefault="009636B7" w:rsidP="001374EA">
      <w:pPr>
        <w:pStyle w:val="Number"/>
      </w:pPr>
      <w:r>
        <w:t>The service is u</w:t>
      </w:r>
      <w:r w:rsidRPr="00075571">
        <w:t xml:space="preserve">nderpinned by </w:t>
      </w:r>
      <w:r w:rsidR="00EE0ADB">
        <w:t>‘</w:t>
      </w:r>
      <w:r w:rsidRPr="00075571">
        <w:t>Māori principles and a model of care that is based on Māori kaupapa and tikanga</w:t>
      </w:r>
      <w:r w:rsidR="00EE0ADB">
        <w:t>’</w:t>
      </w:r>
      <w:r>
        <w:t>.</w:t>
      </w:r>
    </w:p>
    <w:p w14:paraId="1F152029" w14:textId="77777777" w:rsidR="009636B7" w:rsidRPr="00075571" w:rsidRDefault="009636B7" w:rsidP="001374EA">
      <w:pPr>
        <w:pStyle w:val="Number"/>
      </w:pPr>
      <w:r>
        <w:t>The service o</w:t>
      </w:r>
      <w:r w:rsidRPr="00075571">
        <w:t xml:space="preserve">ffers </w:t>
      </w:r>
      <w:r w:rsidR="00EE0ADB">
        <w:t>‘</w:t>
      </w:r>
      <w:r w:rsidRPr="00075571">
        <w:t>a healing environment that facilitates a culturally-informed model of care</w:t>
      </w:r>
      <w:r w:rsidR="00EE0ADB">
        <w:t>’</w:t>
      </w:r>
      <w:r w:rsidRPr="00075571">
        <w:t xml:space="preserve"> and focuses on cultural activities</w:t>
      </w:r>
      <w:r>
        <w:t>.</w:t>
      </w:r>
    </w:p>
    <w:p w14:paraId="087F809E" w14:textId="77777777" w:rsidR="009636B7" w:rsidRPr="00075571" w:rsidRDefault="009636B7" w:rsidP="001374EA">
      <w:pPr>
        <w:pStyle w:val="Number"/>
      </w:pPr>
      <w:r>
        <w:t xml:space="preserve">The service demonstrates </w:t>
      </w:r>
      <w:r w:rsidR="00EE0ADB">
        <w:t>‘</w:t>
      </w:r>
      <w:r w:rsidRPr="00075571">
        <w:t xml:space="preserve">Commitment to a model that integrates best practices cultural (Māori) and clinical (forensic mental health) </w:t>
      </w:r>
      <w:r w:rsidRPr="009230BD">
        <w:t>interventions</w:t>
      </w:r>
      <w:r w:rsidR="00EE0ADB">
        <w:t>’</w:t>
      </w:r>
      <w:r>
        <w:t>.</w:t>
      </w:r>
    </w:p>
    <w:p w14:paraId="1E75D7F6" w14:textId="77777777" w:rsidR="009636B7" w:rsidRPr="00075571" w:rsidRDefault="009636B7" w:rsidP="001374EA">
      <w:pPr>
        <w:pStyle w:val="Number"/>
      </w:pPr>
      <w:r w:rsidRPr="00075571">
        <w:t xml:space="preserve">Unit leaders have </w:t>
      </w:r>
      <w:r w:rsidR="00EE0ADB">
        <w:t>‘</w:t>
      </w:r>
      <w:r w:rsidRPr="00075571">
        <w:t>dual cultural and clinical competencies</w:t>
      </w:r>
      <w:r w:rsidR="00EE0ADB">
        <w:t>’</w:t>
      </w:r>
      <w:r>
        <w:t>.</w:t>
      </w:r>
    </w:p>
    <w:p w14:paraId="29EAB270" w14:textId="77777777" w:rsidR="009636B7" w:rsidRPr="00075571" w:rsidRDefault="00EE0ADB" w:rsidP="001374EA">
      <w:pPr>
        <w:pStyle w:val="Number"/>
      </w:pPr>
      <w:r>
        <w:t>‘</w:t>
      </w:r>
      <w:r w:rsidR="009636B7" w:rsidRPr="00075571">
        <w:t>Units are well staffed by committed people who, where possible, are Māori</w:t>
      </w:r>
      <w:r w:rsidR="009636B7">
        <w:t>.</w:t>
      </w:r>
      <w:r>
        <w:t>’</w:t>
      </w:r>
      <w:r w:rsidR="00AD0D58">
        <w:t xml:space="preserve"> (p. </w:t>
      </w:r>
      <w:r w:rsidR="009636B7" w:rsidRPr="00075571">
        <w:t>120)</w:t>
      </w:r>
    </w:p>
    <w:p w14:paraId="2BCC43C3" w14:textId="77777777" w:rsidR="009636B7" w:rsidRPr="00075571" w:rsidRDefault="009636B7" w:rsidP="001374EA"/>
    <w:p w14:paraId="565057D8" w14:textId="77777777" w:rsidR="00EE0ADB" w:rsidRDefault="009636B7" w:rsidP="009652CF">
      <w:r w:rsidRPr="00075571">
        <w:t xml:space="preserve">These factors reflect the services offered in Māori-dedicated </w:t>
      </w:r>
      <w:r>
        <w:t xml:space="preserve">FMHS </w:t>
      </w:r>
      <w:r w:rsidRPr="00075571">
        <w:t>units like Tāne Whakapiripiri, as well as broader cultural pathways, interventions and support offered alongside mainstream FMHS</w:t>
      </w:r>
      <w:r>
        <w:t>s</w:t>
      </w:r>
      <w:r w:rsidRPr="00075571">
        <w:t xml:space="preserve"> and in corrections contexts (Thakker 2013).</w:t>
      </w:r>
    </w:p>
    <w:p w14:paraId="6346E8A9" w14:textId="77777777" w:rsidR="009652CF" w:rsidRDefault="009652CF" w:rsidP="009652CF"/>
    <w:p w14:paraId="32588A84" w14:textId="77777777" w:rsidR="00EE0ADB" w:rsidRDefault="009636B7" w:rsidP="00AF5958">
      <w:pPr>
        <w:pStyle w:val="Heading4"/>
      </w:pPr>
      <w:r>
        <w:t>Pacific peoples</w:t>
      </w:r>
    </w:p>
    <w:p w14:paraId="09C6ABBE" w14:textId="77777777" w:rsidR="00EE0ADB" w:rsidRDefault="009636B7" w:rsidP="00AF5958">
      <w:r w:rsidRPr="00075571">
        <w:t xml:space="preserve">Regarding </w:t>
      </w:r>
      <w:r>
        <w:t xml:space="preserve">Pacific </w:t>
      </w:r>
      <w:r w:rsidRPr="00075571">
        <w:t xml:space="preserve">peoples, while models of care have been developed specifically for Pasifika forensic populations in prison (King </w:t>
      </w:r>
      <w:r>
        <w:t>and</w:t>
      </w:r>
      <w:r w:rsidRPr="00075571">
        <w:t xml:space="preserve"> Bourke 2017) and general mental health/</w:t>
      </w:r>
      <w:r>
        <w:t>AOD</w:t>
      </w:r>
      <w:r w:rsidRPr="00075571">
        <w:t xml:space="preserve"> services (Fotu </w:t>
      </w:r>
      <w:r>
        <w:t>and</w:t>
      </w:r>
      <w:r w:rsidRPr="00075571">
        <w:t xml:space="preserve"> Tafa 2009; Suaalii-Sauni </w:t>
      </w:r>
      <w:r w:rsidR="00AD0D58">
        <w:t>et al</w:t>
      </w:r>
      <w:r w:rsidRPr="00075571">
        <w:t xml:space="preserve"> 2009; Te Pou o te Whakaaro Nui 2010; Vaka 2016; Vaka</w:t>
      </w:r>
      <w:r>
        <w:t xml:space="preserve"> </w:t>
      </w:r>
      <w:r w:rsidR="00AD0D58">
        <w:t>et al</w:t>
      </w:r>
      <w:r>
        <w:t xml:space="preserve"> </w:t>
      </w:r>
      <w:r w:rsidRPr="00075571">
        <w:t xml:space="preserve">2016), </w:t>
      </w:r>
      <w:r>
        <w:t xml:space="preserve">the researchers found </w:t>
      </w:r>
      <w:r w:rsidRPr="00075571">
        <w:t>no literature on models of care for Pasifika in inpatient forensic services.</w:t>
      </w:r>
    </w:p>
    <w:p w14:paraId="25B75DEF" w14:textId="77777777" w:rsidR="00AF5958" w:rsidRDefault="00AF5958" w:rsidP="00AF5958"/>
    <w:p w14:paraId="069B5F5D" w14:textId="77777777" w:rsidR="00EE0ADB" w:rsidRDefault="009636B7" w:rsidP="00AF5958">
      <w:pPr>
        <w:pStyle w:val="Heading4"/>
      </w:pPr>
      <w:r w:rsidRPr="00075571">
        <w:t xml:space="preserve">Other </w:t>
      </w:r>
      <w:r>
        <w:t>i</w:t>
      </w:r>
      <w:r w:rsidRPr="00075571">
        <w:t xml:space="preserve">ndigenous </w:t>
      </w:r>
      <w:r>
        <w:t>g</w:t>
      </w:r>
      <w:r w:rsidRPr="00075571">
        <w:t>roups</w:t>
      </w:r>
    </w:p>
    <w:p w14:paraId="11A6157B" w14:textId="77777777" w:rsidR="009636B7" w:rsidRDefault="009636B7" w:rsidP="00AF5958">
      <w:r w:rsidRPr="00075571">
        <w:t>While limited research exists on aboriginal Australian and First Nations Canadian cultural programming within corrections contexts (Thakker 2013), no literature was found on inpatient models of care for aboriginal Australian or other indigenous populations (</w:t>
      </w:r>
      <w:r>
        <w:t>eg</w:t>
      </w:r>
      <w:r w:rsidRPr="00075571">
        <w:t xml:space="preserve">, First Nations/Native American). However, the need to take into consideration the unique needs of these populations, understanding the lasting impacts of the history of colonisation, has been acknowledged (Thakker 2013). Within the systematic review, only one article discussed indigenous populations outside of Aotearoa </w:t>
      </w:r>
      <w:r>
        <w:t>New Zealand</w:t>
      </w:r>
      <w:r w:rsidRPr="00075571">
        <w:t xml:space="preserve"> within an inpatient context. Durey</w:t>
      </w:r>
      <w:r>
        <w:t xml:space="preserve"> </w:t>
      </w:r>
      <w:r w:rsidR="00AD0D58">
        <w:t>et al</w:t>
      </w:r>
      <w:r>
        <w:t xml:space="preserve"> </w:t>
      </w:r>
      <w:r w:rsidRPr="00075571">
        <w:t xml:space="preserve">(2013) advocate for the creation of an </w:t>
      </w:r>
      <w:r w:rsidR="00EE0ADB">
        <w:t>‘</w:t>
      </w:r>
      <w:r w:rsidRPr="00075571">
        <w:t>intercultural space</w:t>
      </w:r>
      <w:r w:rsidR="00EE0ADB">
        <w:t>’</w:t>
      </w:r>
      <w:r w:rsidRPr="00075571">
        <w:t xml:space="preserve"> as an approach to caring for indigenous service users within forensic mental health settings in Australia.</w:t>
      </w:r>
    </w:p>
    <w:p w14:paraId="2B92C6FB" w14:textId="77777777" w:rsidR="00AF5958" w:rsidRPr="00075571" w:rsidRDefault="00AF5958" w:rsidP="00AF5958"/>
    <w:p w14:paraId="38E866F9" w14:textId="77777777" w:rsidR="009636B7" w:rsidRPr="00075571" w:rsidRDefault="009636B7" w:rsidP="00AF5958">
      <w:pPr>
        <w:pStyle w:val="Heading4"/>
      </w:pPr>
      <w:r w:rsidRPr="00075571">
        <w:lastRenderedPageBreak/>
        <w:t>Women</w:t>
      </w:r>
    </w:p>
    <w:p w14:paraId="46C3257D" w14:textId="77777777" w:rsidR="00EE0ADB" w:rsidRDefault="009636B7" w:rsidP="00AF5958">
      <w:r w:rsidRPr="00075571">
        <w:t xml:space="preserve">Women comprise a minority of the forensic </w:t>
      </w:r>
      <w:r w:rsidRPr="005D3983">
        <w:t>mental health population – generally</w:t>
      </w:r>
      <w:r w:rsidR="00AF5958">
        <w:br/>
      </w:r>
      <w:r w:rsidRPr="005D3983">
        <w:t>6–10 percent in Western</w:t>
      </w:r>
      <w:r w:rsidRPr="00075571">
        <w:t xml:space="preserve"> countries (de Vogel </w:t>
      </w:r>
      <w:r>
        <w:t>and</w:t>
      </w:r>
      <w:r w:rsidRPr="00075571">
        <w:t xml:space="preserve"> Nicholls 2016</w:t>
      </w:r>
      <w:r w:rsidR="005054ED">
        <w:t>, p. </w:t>
      </w:r>
      <w:r w:rsidRPr="00075571">
        <w:t>2)</w:t>
      </w:r>
      <w:r>
        <w:t xml:space="preserve"> – </w:t>
      </w:r>
      <w:r w:rsidRPr="00075571">
        <w:t xml:space="preserve">though the population has increased steadily within </w:t>
      </w:r>
      <w:r>
        <w:t>Aotearoa New Zealand</w:t>
      </w:r>
      <w:r w:rsidRPr="00075571">
        <w:t xml:space="preserve"> and internationally over the past 20 years, a trend that is continuing (de Vogel </w:t>
      </w:r>
      <w:r>
        <w:t>and</w:t>
      </w:r>
      <w:r w:rsidRPr="00075571">
        <w:t xml:space="preserve"> Nicholls 2016). Little research has evaluated how men and women</w:t>
      </w:r>
      <w:r w:rsidR="00EE0ADB">
        <w:t>’</w:t>
      </w:r>
      <w:r w:rsidRPr="00075571">
        <w:t>s treatment and management needs differ in FMHS</w:t>
      </w:r>
      <w:r>
        <w:t>s</w:t>
      </w:r>
      <w:r w:rsidRPr="00075571">
        <w:t>, and most discussion of gender-informed care has focused on corrections contexts, rather than FMHS</w:t>
      </w:r>
      <w:r>
        <w:t>s</w:t>
      </w:r>
      <w:r w:rsidRPr="00075571">
        <w:t xml:space="preserve"> (Nicholls </w:t>
      </w:r>
      <w:r w:rsidR="00AD0D58">
        <w:t>et al</w:t>
      </w:r>
      <w:r w:rsidRPr="00075571">
        <w:t xml:space="preserve"> 2015). Substantial gaps thus persist </w:t>
      </w:r>
      <w:r w:rsidR="00EE0ADB">
        <w:t>‘</w:t>
      </w:r>
      <w:r w:rsidRPr="00075571">
        <w:t>in knowledge and debate regarding the importance of gender differences, for instance, in developmental pathways to offending and in violence risk factors and assessment</w:t>
      </w:r>
      <w:r w:rsidR="00EE0ADB">
        <w:t>’</w:t>
      </w:r>
      <w:r w:rsidRPr="00075571">
        <w:t xml:space="preserve"> (de Vogel </w:t>
      </w:r>
      <w:r>
        <w:t>and</w:t>
      </w:r>
      <w:r w:rsidRPr="00075571">
        <w:t xml:space="preserve"> Nicholls 2016</w:t>
      </w:r>
      <w:r w:rsidR="005054ED">
        <w:t>, p. </w:t>
      </w:r>
      <w:r w:rsidRPr="00075571">
        <w:t>1).</w:t>
      </w:r>
    </w:p>
    <w:p w14:paraId="47820DBE" w14:textId="77777777" w:rsidR="009636B7" w:rsidRPr="00075571" w:rsidRDefault="009636B7" w:rsidP="00AF5958"/>
    <w:p w14:paraId="635609FD" w14:textId="77777777" w:rsidR="00EE0ADB" w:rsidRDefault="009636B7" w:rsidP="00AF5958">
      <w:r w:rsidRPr="00075571">
        <w:t>Within the limited body of literature, researchers have examined women</w:t>
      </w:r>
      <w:r w:rsidR="00EE0ADB">
        <w:t>’</w:t>
      </w:r>
      <w:r w:rsidRPr="00075571">
        <w:t>s patterns of offending and mental illness, the validity of dominant forensic and risk assessment measures for women (</w:t>
      </w:r>
      <w:r>
        <w:t>eg</w:t>
      </w:r>
      <w:r w:rsidRPr="00075571">
        <w:t xml:space="preserve">, the RNR model, as discussed above), the particular needs of the female inpatient population, and appropriate interventions/approaches to address those needs (Craig </w:t>
      </w:r>
      <w:r w:rsidR="00AD0D58">
        <w:t>et al</w:t>
      </w:r>
      <w:r w:rsidRPr="00075571">
        <w:t xml:space="preserve"> 2013; de Vogel </w:t>
      </w:r>
      <w:r>
        <w:t>and</w:t>
      </w:r>
      <w:r w:rsidRPr="00075571">
        <w:t xml:space="preserve"> Nicholls 2016; Gournay </w:t>
      </w:r>
      <w:r w:rsidR="00AD0D58">
        <w:t>et al</w:t>
      </w:r>
      <w:r w:rsidRPr="00075571">
        <w:t xml:space="preserve"> 2013; Nicholls </w:t>
      </w:r>
      <w:r w:rsidR="00AD0D58">
        <w:t>et al</w:t>
      </w:r>
      <w:r w:rsidRPr="00075571">
        <w:t xml:space="preserve"> 2015; Putkonen </w:t>
      </w:r>
      <w:r>
        <w:t>and</w:t>
      </w:r>
      <w:r w:rsidRPr="00075571">
        <w:t xml:space="preserve"> Taylor 2014). In terms of models of care, literature on best practices </w:t>
      </w:r>
      <w:bookmarkStart w:id="69" w:name="_Hlk17018920"/>
      <w:r w:rsidRPr="00075571">
        <w:t>underscores the importance of services that are recovery focused, address women</w:t>
      </w:r>
      <w:r w:rsidR="00EE0ADB">
        <w:t>’</w:t>
      </w:r>
      <w:r w:rsidRPr="00075571">
        <w:t>s criminogenic needs as well as their wider health and environmental contexts, provide gender-responsive programming and incorporate trauma-</w:t>
      </w:r>
      <w:r>
        <w:t xml:space="preserve"> </w:t>
      </w:r>
      <w:r w:rsidRPr="00075571">
        <w:t xml:space="preserve">and violence-informed practice into all aspects of care (Bartlett </w:t>
      </w:r>
      <w:r>
        <w:t>and</w:t>
      </w:r>
      <w:r w:rsidRPr="00075571">
        <w:t xml:space="preserve"> Somers 2017; de Vogel </w:t>
      </w:r>
      <w:r>
        <w:t>and</w:t>
      </w:r>
      <w:r w:rsidRPr="00075571">
        <w:t xml:space="preserve"> Nicholls 2016; Jeffcote </w:t>
      </w:r>
      <w:r>
        <w:t>and</w:t>
      </w:r>
      <w:r w:rsidRPr="00075571">
        <w:t xml:space="preserve"> Watson 2004; Department of Health and Social Care 2018).</w:t>
      </w:r>
    </w:p>
    <w:p w14:paraId="76CA1230" w14:textId="77777777" w:rsidR="009636B7" w:rsidRPr="00075571" w:rsidRDefault="009636B7" w:rsidP="00AF5958"/>
    <w:p w14:paraId="4128AF21" w14:textId="77777777" w:rsidR="00EE0ADB" w:rsidRDefault="009636B7" w:rsidP="00AF5958">
      <w:r w:rsidRPr="00075571">
        <w:t>As the Women</w:t>
      </w:r>
      <w:r w:rsidR="00EE0ADB">
        <w:t>’</w:t>
      </w:r>
      <w:r w:rsidRPr="00075571">
        <w:t>s Mental Health Taskforce (Department of Health and Social Care 2018) explain</w:t>
      </w:r>
      <w:r>
        <w:t>s</w:t>
      </w:r>
      <w:r w:rsidRPr="00075571">
        <w:t>:</w:t>
      </w:r>
    </w:p>
    <w:p w14:paraId="50D349D9" w14:textId="77777777" w:rsidR="009636B7" w:rsidRPr="00075571" w:rsidRDefault="009636B7" w:rsidP="00AF5958">
      <w:pPr>
        <w:pStyle w:val="Quote"/>
      </w:pPr>
      <w:r w:rsidRPr="00075571">
        <w:t>Trauma-informed services are complementary to gender-informed services, which take account of and respond to the particular lives and experiences of women. They ensure that staff have the right competencies to work with women, that the environment makes women feel safe and welcome, and that appropriate structures are in place to be able to deliver this kind of service. These types of approaches also take account of the ways in which different parts of a woman</w:t>
      </w:r>
      <w:r w:rsidR="00EE0ADB">
        <w:t>’</w:t>
      </w:r>
      <w:r w:rsidRPr="00075571">
        <w:t>s identity can overlap and result in different experiences of disadvantage.</w:t>
      </w:r>
      <w:r w:rsidR="00AD0D58">
        <w:t xml:space="preserve"> (p. </w:t>
      </w:r>
      <w:r w:rsidRPr="00075571">
        <w:t>33)</w:t>
      </w:r>
    </w:p>
    <w:p w14:paraId="54C4E0E6" w14:textId="77777777" w:rsidR="009636B7" w:rsidRPr="00075571" w:rsidRDefault="009636B7" w:rsidP="00AF5958"/>
    <w:p w14:paraId="1FF4B3F2" w14:textId="77777777" w:rsidR="00EE0ADB" w:rsidRDefault="009636B7" w:rsidP="00AF5958">
      <w:r w:rsidRPr="00075571">
        <w:t xml:space="preserve">One stream of the literature supports further the application of attachment theory as a model of care for women in secure services (Bartlett </w:t>
      </w:r>
      <w:r>
        <w:t>and</w:t>
      </w:r>
      <w:r w:rsidRPr="00075571">
        <w:t xml:space="preserve"> Somers 2017).</w:t>
      </w:r>
    </w:p>
    <w:p w14:paraId="09A7FCF8" w14:textId="77777777" w:rsidR="009636B7" w:rsidRPr="00075571" w:rsidRDefault="009636B7" w:rsidP="00AF5958"/>
    <w:p w14:paraId="0CA07676" w14:textId="77777777" w:rsidR="009636B7" w:rsidRPr="00075571" w:rsidRDefault="009636B7" w:rsidP="00AF5958">
      <w:r w:rsidRPr="00075571">
        <w:t>Recently, in the United Kingdom, the Women</w:t>
      </w:r>
      <w:r w:rsidR="00EE0ADB">
        <w:t>’</w:t>
      </w:r>
      <w:r w:rsidRPr="00075571">
        <w:t>s Mental Health Taskforce (Department of Health and Social Care 2018) developed a set of principles for the provision of gender- and trauma-informed women</w:t>
      </w:r>
      <w:r w:rsidR="00EE0ADB">
        <w:t>’</w:t>
      </w:r>
      <w:r w:rsidRPr="00075571">
        <w:t xml:space="preserve">s mental health services, which may be used as a foundation for a model of care. These principles hold relevance both for the inpatient context </w:t>
      </w:r>
      <w:r>
        <w:t xml:space="preserve">and </w:t>
      </w:r>
      <w:r w:rsidRPr="00075571">
        <w:t>the broader forensic mental health system. The 10 principles are:</w:t>
      </w:r>
    </w:p>
    <w:p w14:paraId="02ED4179" w14:textId="77777777" w:rsidR="009636B7" w:rsidRPr="00075571" w:rsidRDefault="009636B7" w:rsidP="00AF5958">
      <w:pPr>
        <w:pStyle w:val="Bullet"/>
      </w:pPr>
      <w:r w:rsidRPr="00075571">
        <w:t>There is a whole</w:t>
      </w:r>
      <w:r>
        <w:t>-</w:t>
      </w:r>
      <w:r w:rsidRPr="00075571">
        <w:t>organisation approach and commitment to promoting women</w:t>
      </w:r>
      <w:r w:rsidR="00EE0ADB">
        <w:t>’</w:t>
      </w:r>
      <w:r w:rsidRPr="00075571">
        <w:t>s mental health</w:t>
      </w:r>
      <w:r>
        <w:t>,</w:t>
      </w:r>
      <w:r w:rsidRPr="00075571">
        <w:t xml:space="preserve"> and effective governance and leadership in place to ensure this.</w:t>
      </w:r>
    </w:p>
    <w:p w14:paraId="62F55FB3" w14:textId="77777777" w:rsidR="009636B7" w:rsidRPr="00075571" w:rsidRDefault="009636B7" w:rsidP="00AF5958">
      <w:pPr>
        <w:pStyle w:val="Bullet"/>
      </w:pPr>
      <w:r w:rsidRPr="00075571">
        <w:t>Services promote equality of access to good</w:t>
      </w:r>
      <w:r>
        <w:t>-</w:t>
      </w:r>
      <w:r w:rsidRPr="00075571">
        <w:t>quality treatment and opportunity for all women.</w:t>
      </w:r>
    </w:p>
    <w:p w14:paraId="7A653E54" w14:textId="77777777" w:rsidR="009636B7" w:rsidRPr="00075571" w:rsidRDefault="009636B7" w:rsidP="00AF5958">
      <w:pPr>
        <w:pStyle w:val="Bullet"/>
        <w:keepNext/>
      </w:pPr>
      <w:r w:rsidRPr="00075571">
        <w:lastRenderedPageBreak/>
        <w:t>Services recognise and respond to the impact of violence, neglect, abuse and trauma.</w:t>
      </w:r>
    </w:p>
    <w:p w14:paraId="1915075E" w14:textId="77777777" w:rsidR="009636B7" w:rsidRPr="00075571" w:rsidRDefault="009636B7" w:rsidP="00AF5958">
      <w:pPr>
        <w:pStyle w:val="Bullet"/>
      </w:pPr>
      <w:r w:rsidRPr="00075571">
        <w:t>Relationships with health and care professionals are built on respect, compassion and trust.</w:t>
      </w:r>
    </w:p>
    <w:p w14:paraId="56C85586" w14:textId="77777777" w:rsidR="009636B7" w:rsidRPr="00075571" w:rsidRDefault="009636B7" w:rsidP="00AF5958">
      <w:pPr>
        <w:pStyle w:val="Bullet"/>
      </w:pPr>
      <w:r w:rsidRPr="00075571">
        <w:t>Services provide and build safety for women.</w:t>
      </w:r>
    </w:p>
    <w:p w14:paraId="5E85CE3E" w14:textId="77777777" w:rsidR="009636B7" w:rsidRPr="00075571" w:rsidRDefault="009636B7" w:rsidP="00AF5958">
      <w:pPr>
        <w:pStyle w:val="Bullet"/>
      </w:pPr>
      <w:r w:rsidRPr="00075571">
        <w:t>Services engage with a diverse group of women who use mental health services to co-design and co-produce services.</w:t>
      </w:r>
    </w:p>
    <w:p w14:paraId="4E461530" w14:textId="77777777" w:rsidR="009636B7" w:rsidRPr="00075571" w:rsidRDefault="009636B7" w:rsidP="00AF5958">
      <w:pPr>
        <w:pStyle w:val="Bullet"/>
      </w:pPr>
      <w:r w:rsidRPr="00075571">
        <w:t>Services promote self-esteem, build on women</w:t>
      </w:r>
      <w:r w:rsidR="00EE0ADB">
        <w:t>’</w:t>
      </w:r>
      <w:r w:rsidRPr="00075571">
        <w:t>s strengths and enable women to develop existing and new capacities and skills.</w:t>
      </w:r>
    </w:p>
    <w:p w14:paraId="71A7A528" w14:textId="77777777" w:rsidR="009636B7" w:rsidRPr="00075571" w:rsidRDefault="009636B7" w:rsidP="00AF5958">
      <w:pPr>
        <w:pStyle w:val="Bullet"/>
      </w:pPr>
      <w:r w:rsidRPr="00075571">
        <w:t>Services prioritise understanding women</w:t>
      </w:r>
      <w:r w:rsidR="00EE0ADB">
        <w:t>’</w:t>
      </w:r>
      <w:r w:rsidRPr="00075571">
        <w:t>s mental distress in the context of their lives and experiences, enabling a wide range of presenting issues to be explored and addressed, with a focus on future prevention.</w:t>
      </w:r>
    </w:p>
    <w:p w14:paraId="4777DDC0" w14:textId="77777777" w:rsidR="009636B7" w:rsidRPr="00075571" w:rsidRDefault="009636B7" w:rsidP="00AF5958">
      <w:pPr>
        <w:pStyle w:val="Bullet"/>
      </w:pPr>
      <w:r w:rsidRPr="00075571">
        <w:t>Services support women in their role as mothers and carers.</w:t>
      </w:r>
    </w:p>
    <w:p w14:paraId="5C82F015" w14:textId="77777777" w:rsidR="009636B7" w:rsidRPr="00075571" w:rsidRDefault="009636B7" w:rsidP="00AF5958">
      <w:pPr>
        <w:pStyle w:val="Bullet"/>
      </w:pPr>
      <w:r w:rsidRPr="00075571">
        <w:t>Services are effective in responding to the gendered nature of mental distress. (pp.</w:t>
      </w:r>
      <w:r w:rsidR="00AF5958">
        <w:t> </w:t>
      </w:r>
      <w:r w:rsidRPr="00075571">
        <w:t>35–42)</w:t>
      </w:r>
    </w:p>
    <w:p w14:paraId="26412D99" w14:textId="77777777" w:rsidR="009636B7" w:rsidRPr="00075571" w:rsidRDefault="009636B7" w:rsidP="00AF5958"/>
    <w:p w14:paraId="2D7F0380" w14:textId="77777777" w:rsidR="00EE0ADB" w:rsidRDefault="009636B7" w:rsidP="00AF5958">
      <w:r w:rsidRPr="00075571">
        <w:t>These principles align with the recommendations of the National Working Party for Standards of Care for Women in Secure Mental Health Services (</w:t>
      </w:r>
      <w:r>
        <w:t>McCarten &amp; Leddy, 2019</w:t>
      </w:r>
      <w:r w:rsidRPr="00075571">
        <w:t xml:space="preserve">) developed within the </w:t>
      </w:r>
      <w:r>
        <w:t>Aotearoa New Zealand</w:t>
      </w:r>
      <w:r w:rsidRPr="00075571">
        <w:t xml:space="preserve"> context, which similarly call for the adoption of gender-sensitive and specific treatment approaches and emphasise relational security (see also Bartlett </w:t>
      </w:r>
      <w:r>
        <w:t>and</w:t>
      </w:r>
      <w:r w:rsidRPr="00075571">
        <w:t xml:space="preserve"> Somers 2017; Edge </w:t>
      </w:r>
      <w:r w:rsidR="00AD0D58">
        <w:t>et al</w:t>
      </w:r>
      <w:r w:rsidRPr="00075571">
        <w:t xml:space="preserve"> 2017; Parry-Crooke </w:t>
      </w:r>
      <w:r>
        <w:t>and</w:t>
      </w:r>
      <w:r w:rsidRPr="00075571">
        <w:t xml:space="preserve"> Stafford 2009).</w:t>
      </w:r>
    </w:p>
    <w:p w14:paraId="7CB612D3" w14:textId="77777777" w:rsidR="009636B7" w:rsidRPr="00075571" w:rsidRDefault="009636B7" w:rsidP="00AF5958"/>
    <w:bookmarkEnd w:id="69"/>
    <w:p w14:paraId="6FFD13DF" w14:textId="77777777" w:rsidR="00EE0ADB" w:rsidRDefault="009636B7" w:rsidP="00AF5958">
      <w:r>
        <w:t>One</w:t>
      </w:r>
      <w:r w:rsidRPr="00075571">
        <w:t xml:space="preserve"> central issue pertaining to service models </w:t>
      </w:r>
      <w:r>
        <w:t xml:space="preserve">for </w:t>
      </w:r>
      <w:r w:rsidRPr="00075571">
        <w:t>women</w:t>
      </w:r>
      <w:r>
        <w:t xml:space="preserve"> is</w:t>
      </w:r>
      <w:r w:rsidRPr="00075571">
        <w:t xml:space="preserve"> the need for gender-specific wards. Gournay </w:t>
      </w:r>
      <w:r w:rsidR="00AD0D58">
        <w:t>et al</w:t>
      </w:r>
      <w:r w:rsidRPr="00075571">
        <w:t xml:space="preserve"> (2013) described an earlier systematic review (Lart </w:t>
      </w:r>
      <w:r w:rsidR="00AD0D58">
        <w:t>et al</w:t>
      </w:r>
      <w:r w:rsidRPr="00075571">
        <w:t xml:space="preserve"> 1999) undertaken to investigate the needs of women in prison and secure services, and the efficacy of psychiatric models for this population of women in the United Kingdom and abroad. The review found </w:t>
      </w:r>
      <w:r>
        <w:t xml:space="preserve">that </w:t>
      </w:r>
      <w:r w:rsidRPr="00075571">
        <w:t>women comprised less than 20</w:t>
      </w:r>
      <w:r>
        <w:t> percent</w:t>
      </w:r>
      <w:r w:rsidRPr="00075571">
        <w:t xml:space="preserve"> of service users internationally</w:t>
      </w:r>
      <w:r>
        <w:t xml:space="preserve">, and had </w:t>
      </w:r>
      <w:r w:rsidRPr="00075571">
        <w:t xml:space="preserve">wide-ranging personal, psychiatric and forensic histories. In light of this and other research recognising the </w:t>
      </w:r>
      <w:r w:rsidRPr="00345BA3">
        <w:t>vulnerability</w:t>
      </w:r>
      <w:r w:rsidRPr="00075571">
        <w:t xml:space="preserve"> of women to </w:t>
      </w:r>
      <w:r w:rsidRPr="00345BA3">
        <w:t>harassment</w:t>
      </w:r>
      <w:r w:rsidRPr="00075571">
        <w:t xml:space="preserve"> and abuse by male patients within mixed-gender inpatient FMHS</w:t>
      </w:r>
      <w:r>
        <w:t>s</w:t>
      </w:r>
      <w:r w:rsidRPr="00075571">
        <w:t xml:space="preserve"> in the late 1990s/early 2000s, some health systems</w:t>
      </w:r>
      <w:r>
        <w:t>,</w:t>
      </w:r>
      <w:r w:rsidRPr="00075571">
        <w:t xml:space="preserve"> such as </w:t>
      </w:r>
      <w:r>
        <w:t xml:space="preserve">that in </w:t>
      </w:r>
      <w:r w:rsidRPr="00075571">
        <w:t>the United Kingdom</w:t>
      </w:r>
      <w:r>
        <w:t>,</w:t>
      </w:r>
      <w:r w:rsidRPr="00075571">
        <w:t xml:space="preserve"> have adopted </w:t>
      </w:r>
      <w:r w:rsidRPr="00345BA3">
        <w:t>government</w:t>
      </w:r>
      <w:r w:rsidRPr="00075571">
        <w:t xml:space="preserve"> policy mandating gender-specific and gender-exclusive services, which have now become the norm (Gournay </w:t>
      </w:r>
      <w:r w:rsidR="00AD0D58">
        <w:t>et al</w:t>
      </w:r>
      <w:r w:rsidRPr="00075571">
        <w:t xml:space="preserve"> 2013; Putkonen </w:t>
      </w:r>
      <w:r>
        <w:t>and</w:t>
      </w:r>
      <w:r w:rsidRPr="00075571">
        <w:t xml:space="preserve"> Taylor 2014). Such services follow the premise that if women are </w:t>
      </w:r>
      <w:r w:rsidRPr="00345BA3">
        <w:t>segregated</w:t>
      </w:r>
      <w:r w:rsidRPr="00075571">
        <w:t xml:space="preserve"> from men, they will be safer and at lower risk of </w:t>
      </w:r>
      <w:r w:rsidRPr="00345BA3">
        <w:t>harm and</w:t>
      </w:r>
      <w:r w:rsidRPr="00075571">
        <w:t xml:space="preserve"> have more privacy and increased dignity (Parry-Crooke </w:t>
      </w:r>
      <w:r>
        <w:t>and</w:t>
      </w:r>
      <w:r w:rsidRPr="00075571">
        <w:t xml:space="preserve"> Stafford 2009).</w:t>
      </w:r>
    </w:p>
    <w:p w14:paraId="5AF04F84" w14:textId="77777777" w:rsidR="009636B7" w:rsidRPr="00075571" w:rsidRDefault="009636B7" w:rsidP="00AF5958"/>
    <w:p w14:paraId="50275E62" w14:textId="77777777" w:rsidR="00AF5958" w:rsidRPr="00AF5958" w:rsidRDefault="009636B7" w:rsidP="00AF5958">
      <w:pPr>
        <w:rPr>
          <w:spacing w:val="-2"/>
        </w:rPr>
      </w:pPr>
      <w:r w:rsidRPr="00AF5958">
        <w:rPr>
          <w:spacing w:val="-2"/>
        </w:rPr>
        <w:t>It is important to note in this discussion the unique context of Aotearoa New Zealand and how culturally responsive services may offer an alternative understanding of gender needs. In Sweetman</w:t>
      </w:r>
      <w:r w:rsidR="00EE0ADB" w:rsidRPr="00AF5958">
        <w:rPr>
          <w:spacing w:val="-2"/>
        </w:rPr>
        <w:t>’</w:t>
      </w:r>
      <w:r w:rsidRPr="00AF5958">
        <w:rPr>
          <w:spacing w:val="-2"/>
        </w:rPr>
        <w:t>s (2017) study of the Kaupapa Māori forensic mental health unit Te</w:t>
      </w:r>
      <w:r w:rsidR="00AF5958">
        <w:rPr>
          <w:spacing w:val="-2"/>
        </w:rPr>
        <w:t> </w:t>
      </w:r>
      <w:r w:rsidRPr="00AF5958">
        <w:rPr>
          <w:spacing w:val="-2"/>
        </w:rPr>
        <w:t xml:space="preserve">Papakāinga o Tāne Whakapiripiri, participants articulated a different approach to relational security. In accordance with the broader Māori worldview, balance between tāne (men) and wāhine (women) comprised a central aspect of the unit, in terms of architecture, the model of care, programming and staff–service </w:t>
      </w:r>
      <w:bookmarkStart w:id="70" w:name="_Hlk17019040"/>
      <w:r w:rsidRPr="00AF5958">
        <w:rPr>
          <w:spacing w:val="-2"/>
        </w:rPr>
        <w:t>user relationships.</w:t>
      </w:r>
    </w:p>
    <w:p w14:paraId="115CB0DE" w14:textId="77777777" w:rsidR="00EE0ADB" w:rsidRDefault="00AF5958" w:rsidP="00AF5958">
      <w:pPr>
        <w:keepNext/>
        <w:keepLines/>
      </w:pPr>
      <w:r>
        <w:lastRenderedPageBreak/>
        <w:t>B</w:t>
      </w:r>
      <w:r w:rsidR="009636B7" w:rsidRPr="00075571">
        <w:t>oundaries between genders were respected both in interactions and physical spaces within the unit</w:t>
      </w:r>
      <w:r w:rsidR="009636B7">
        <w:t>;</w:t>
      </w:r>
      <w:r w:rsidR="009636B7" w:rsidRPr="00075571">
        <w:t xml:space="preserve"> the unit provid</w:t>
      </w:r>
      <w:r w:rsidR="009636B7">
        <w:t>ed</w:t>
      </w:r>
      <w:r w:rsidR="009636B7" w:rsidRPr="00075571">
        <w:t xml:space="preserve"> designated male- and female-only areas as well as mixed areas. Indeed, mixed inpatient care and programming was seen as an important component in promoting the (re)socialisation of both female and male service users toward more equitable and safer cross-gender interactions, and also </w:t>
      </w:r>
      <w:r w:rsidR="009636B7">
        <w:t xml:space="preserve">in </w:t>
      </w:r>
      <w:r w:rsidR="009636B7" w:rsidRPr="00075571">
        <w:t xml:space="preserve">achieving spiritual and cultural balance. </w:t>
      </w:r>
      <w:bookmarkEnd w:id="70"/>
      <w:r w:rsidR="009636B7" w:rsidRPr="00075571">
        <w:t>More evidence is needed to understand fully the nuances of gender within different cultural contexts and their implications for service provision.</w:t>
      </w:r>
    </w:p>
    <w:p w14:paraId="2BF9F144" w14:textId="77777777" w:rsidR="00AF5958" w:rsidRDefault="00AF5958" w:rsidP="008D2B16"/>
    <w:p w14:paraId="2EA99585" w14:textId="77777777" w:rsidR="009636B7" w:rsidRPr="00075571" w:rsidRDefault="009636B7" w:rsidP="008D2B16">
      <w:pPr>
        <w:pStyle w:val="Heading2"/>
      </w:pPr>
      <w:bookmarkStart w:id="71" w:name="_Toc16805633"/>
      <w:bookmarkStart w:id="72" w:name="_Toc88823229"/>
      <w:bookmarkStart w:id="73" w:name="_Toc90025998"/>
      <w:r w:rsidRPr="00075571">
        <w:t>Summary</w:t>
      </w:r>
      <w:bookmarkEnd w:id="71"/>
      <w:bookmarkEnd w:id="72"/>
      <w:bookmarkEnd w:id="73"/>
    </w:p>
    <w:p w14:paraId="3AD9E4A9" w14:textId="77777777" w:rsidR="009636B7" w:rsidRDefault="009636B7" w:rsidP="008D2B16">
      <w:r w:rsidRPr="00075571">
        <w:t xml:space="preserve">The inpatient context provided the most robust examination of FMHS service provision out of the four scholarly literature reviews, though literature directly addressing </w:t>
      </w:r>
      <w:r w:rsidR="00EE0ADB">
        <w:t>‘</w:t>
      </w:r>
      <w:r w:rsidRPr="00075571">
        <w:t>models of care</w:t>
      </w:r>
      <w:r w:rsidR="00EE0ADB">
        <w:t>’</w:t>
      </w:r>
      <w:r w:rsidRPr="00075571">
        <w:t xml:space="preserve"> per se was limited. Three broad discussions emerged from the literature. The first concerned the concept of therapeutic safety and security, which includes environmental, relational and procedural security. Here, emphasis was placed on developing a </w:t>
      </w:r>
      <w:r w:rsidR="00EE0ADB">
        <w:t>‘</w:t>
      </w:r>
      <w:r w:rsidRPr="00075571">
        <w:t>whole-systems approach</w:t>
      </w:r>
      <w:r w:rsidR="00EE0ADB">
        <w:t>’</w:t>
      </w:r>
      <w:r>
        <w:t>,</w:t>
      </w:r>
      <w:r w:rsidRPr="00075571">
        <w:t xml:space="preserve"> which integrates services throughout the pathway and across social institutions and agencies. The second discussion focused on the concept of rehabilitation, which has been described in relation to the alleviation of mental illness as well as the reduction of offending </w:t>
      </w:r>
      <w:r w:rsidRPr="00345BA3">
        <w:t>behaviour</w:t>
      </w:r>
      <w:r w:rsidRPr="00075571">
        <w:t xml:space="preserve"> (</w:t>
      </w:r>
      <w:r>
        <w:t>ie</w:t>
      </w:r>
      <w:r w:rsidRPr="00075571">
        <w:t>, risk). Here, the RNR model, which takes into account individuals</w:t>
      </w:r>
      <w:r w:rsidR="00EE0ADB">
        <w:t>’</w:t>
      </w:r>
      <w:r w:rsidRPr="00075571">
        <w:t xml:space="preserve"> criminogenic needs, is of </w:t>
      </w:r>
      <w:r w:rsidRPr="00345BA3">
        <w:t>relevance</w:t>
      </w:r>
      <w:r w:rsidRPr="00075571">
        <w:t>. The third discussion examined the emergence of recovery-oriented approaches</w:t>
      </w:r>
      <w:r>
        <w:t>,</w:t>
      </w:r>
      <w:r w:rsidRPr="00075571">
        <w:t xml:space="preserve"> including the tidal model, good lives model, and </w:t>
      </w:r>
      <w:r>
        <w:t>S</w:t>
      </w:r>
      <w:r w:rsidRPr="00075571">
        <w:t>afewards. Recovery approaches emphasise hope and empowerment and work toward the development of self-determination and self-sufficiency, though the need persists to address risk among FMHS users. In terms of priority populations, the literature is limited. Preliminary evidence suggests the need for and utility of gender-</w:t>
      </w:r>
      <w:r>
        <w:t>responsive</w:t>
      </w:r>
      <w:r w:rsidRPr="00075571">
        <w:t xml:space="preserve"> and culturally</w:t>
      </w:r>
      <w:r>
        <w:t xml:space="preserve"> </w:t>
      </w:r>
      <w:r w:rsidRPr="00075571">
        <w:t>responsive practices within FMHS delivery.</w:t>
      </w:r>
    </w:p>
    <w:p w14:paraId="5425FCF6" w14:textId="77777777" w:rsidR="008D2B16" w:rsidRPr="00075571" w:rsidRDefault="008D2B16" w:rsidP="008D2B16"/>
    <w:p w14:paraId="506653D7" w14:textId="77777777" w:rsidR="009636B7" w:rsidRPr="009E213B" w:rsidRDefault="009636B7" w:rsidP="006A69AB">
      <w:pPr>
        <w:pStyle w:val="Heading1"/>
      </w:pPr>
      <w:bookmarkStart w:id="74" w:name="_Toc88823230"/>
      <w:bookmarkStart w:id="75" w:name="_Toc90025999"/>
      <w:bookmarkStart w:id="76" w:name="_Hlk19354841"/>
      <w:r w:rsidRPr="006A69AB">
        <w:rPr>
          <w:b w:val="0"/>
          <w:bCs/>
        </w:rPr>
        <w:lastRenderedPageBreak/>
        <w:t>Section 3:</w:t>
      </w:r>
      <w:r w:rsidRPr="006A69AB">
        <w:rPr>
          <w:b w:val="0"/>
        </w:rPr>
        <w:br/>
      </w:r>
      <w:r w:rsidRPr="009E213B">
        <w:t xml:space="preserve">Community </w:t>
      </w:r>
      <w:r>
        <w:t>r</w:t>
      </w:r>
      <w:r w:rsidRPr="009E213B">
        <w:t>eview</w:t>
      </w:r>
      <w:bookmarkEnd w:id="74"/>
      <w:bookmarkEnd w:id="75"/>
    </w:p>
    <w:p w14:paraId="00AB3D38" w14:textId="77777777" w:rsidR="009636B7" w:rsidRPr="00075571" w:rsidRDefault="009636B7" w:rsidP="006A69AB">
      <w:pPr>
        <w:pStyle w:val="Heading2"/>
      </w:pPr>
      <w:bookmarkStart w:id="77" w:name="_Toc16805635"/>
      <w:bookmarkStart w:id="78" w:name="_Toc88823231"/>
      <w:bookmarkStart w:id="79" w:name="_Toc90026000"/>
      <w:r w:rsidRPr="00075571">
        <w:t>Introduction</w:t>
      </w:r>
      <w:bookmarkEnd w:id="77"/>
      <w:bookmarkEnd w:id="78"/>
      <w:bookmarkEnd w:id="79"/>
    </w:p>
    <w:bookmarkEnd w:id="76"/>
    <w:p w14:paraId="44584637" w14:textId="77777777" w:rsidR="009636B7" w:rsidRPr="00075571" w:rsidRDefault="009636B7" w:rsidP="006A69AB">
      <w:r w:rsidRPr="00075571">
        <w:t>Accompanying the move toward widespread deinstitutionalisation, there has been an increasing emphasis on using community-based services in place of inpatient services to provide care in the least restrictive environment possible for mental health service users who interface with the criminal justice system (Mental Health Commission 2011).</w:t>
      </w:r>
      <w:r w:rsidRPr="006A69AB">
        <w:rPr>
          <w:rStyle w:val="FootnoteReference"/>
        </w:rPr>
        <w:footnoteReference w:id="23"/>
      </w:r>
      <w:r w:rsidRPr="00075571">
        <w:t xml:space="preserve"> This has been aided by mental health legislation enabling involuntary/</w:t>
      </w:r>
      <w:r w:rsidR="006A69AB">
        <w:t xml:space="preserve"> </w:t>
      </w:r>
      <w:r w:rsidRPr="00075571">
        <w:t>compulsory treatment in the community as an alternative to incarceration/</w:t>
      </w:r>
      <w:r w:rsidR="006A69AB">
        <w:t xml:space="preserve"> </w:t>
      </w:r>
      <w:r w:rsidRPr="00075571">
        <w:t>institutionalisation.</w:t>
      </w:r>
      <w:r w:rsidRPr="006A69AB">
        <w:rPr>
          <w:rStyle w:val="FootnoteReference"/>
        </w:rPr>
        <w:footnoteReference w:id="24"/>
      </w:r>
    </w:p>
    <w:p w14:paraId="098A80A7" w14:textId="77777777" w:rsidR="009636B7" w:rsidRPr="00075571" w:rsidRDefault="009636B7" w:rsidP="006A69AB"/>
    <w:p w14:paraId="21764F5A" w14:textId="77777777" w:rsidR="009636B7" w:rsidRPr="00075571" w:rsidRDefault="009636B7" w:rsidP="006A69AB">
      <w:r w:rsidRPr="00075571">
        <w:t xml:space="preserve">With </w:t>
      </w:r>
      <w:r>
        <w:t>the</w:t>
      </w:r>
      <w:r w:rsidRPr="00075571">
        <w:t xml:space="preserve"> proliferation of community-based options, there has been a subsequent blurring as to who a </w:t>
      </w:r>
      <w:r>
        <w:t xml:space="preserve">user of community-based </w:t>
      </w:r>
      <w:r w:rsidRPr="00075571">
        <w:t>FMHS</w:t>
      </w:r>
      <w:r>
        <w:t>s</w:t>
      </w:r>
      <w:r w:rsidRPr="00075571">
        <w:t xml:space="preserve"> </w:t>
      </w:r>
      <w:r>
        <w:t xml:space="preserve">actually is, </w:t>
      </w:r>
      <w:r w:rsidRPr="00075571">
        <w:t xml:space="preserve">and to which service configuration their needs should be aligned. Internationally, </w:t>
      </w:r>
      <w:r>
        <w:t>such users</w:t>
      </w:r>
      <w:r w:rsidRPr="00075571">
        <w:t xml:space="preserve"> comprise both: (a) individuals who are mandated by the courts to community-based mental health services (forensic or general) instead of prison/inpatient services by community treatment orders </w:t>
      </w:r>
      <w:r>
        <w:t xml:space="preserve">(CTOs) </w:t>
      </w:r>
      <w:r w:rsidRPr="00075571">
        <w:t>or similar means (including those who may not have received a conviction) and (b) those who transition back to the community after being institutionalised in prison or FMH</w:t>
      </w:r>
      <w:r>
        <w:t>S</w:t>
      </w:r>
      <w:r w:rsidRPr="00075571">
        <w:t xml:space="preserve"> inpatient services.</w:t>
      </w:r>
    </w:p>
    <w:p w14:paraId="52CEEA83" w14:textId="77777777" w:rsidR="009636B7" w:rsidRPr="00075571" w:rsidRDefault="009636B7" w:rsidP="006A69AB"/>
    <w:p w14:paraId="670793FB" w14:textId="77777777" w:rsidR="009636B7" w:rsidRPr="00075571" w:rsidRDefault="009636B7" w:rsidP="006A69AB">
      <w:r w:rsidRPr="00075571">
        <w:t xml:space="preserve">Blackburn (2004) identifies three types of </w:t>
      </w:r>
      <w:r>
        <w:t xml:space="preserve">FMHS </w:t>
      </w:r>
      <w:r w:rsidRPr="00075571">
        <w:t>community responses: (a) supervision and aftercare following conditional release from secure conditions, (b) continuation of treatment under enforced supervision following release from involuntary hospitalisation, and (c) intensive casework (</w:t>
      </w:r>
      <w:r>
        <w:t>ie</w:t>
      </w:r>
      <w:r w:rsidRPr="00075571">
        <w:t xml:space="preserve">, assertive case management). In all </w:t>
      </w:r>
      <w:r>
        <w:t>types</w:t>
      </w:r>
      <w:r w:rsidRPr="00075571">
        <w:t xml:space="preserve">, service users may be managed by a combination of </w:t>
      </w:r>
      <w:r>
        <w:t xml:space="preserve">FMHSs </w:t>
      </w:r>
      <w:r w:rsidRPr="00075571">
        <w:t>and GMHS</w:t>
      </w:r>
      <w:r>
        <w:t>s</w:t>
      </w:r>
      <w:r w:rsidRPr="00075571">
        <w:t>, probation and other specialist services provided by the government or contracted to the private/non</w:t>
      </w:r>
      <w:r>
        <w:t>-</w:t>
      </w:r>
      <w:r w:rsidRPr="00075571">
        <w:t>governmental organisation sector.</w:t>
      </w:r>
    </w:p>
    <w:p w14:paraId="28C4EFB5" w14:textId="77777777" w:rsidR="009636B7" w:rsidRPr="00075571" w:rsidRDefault="009636B7" w:rsidP="006A69AB"/>
    <w:p w14:paraId="262CBF55" w14:textId="77777777" w:rsidR="009636B7" w:rsidRPr="00075571" w:rsidRDefault="009636B7" w:rsidP="006A69AB">
      <w:r w:rsidRPr="00075571">
        <w:t xml:space="preserve">However, this evolution has occurred largely absent reliable evidence supporting the efficacy of community-based FMHS models of service delivery (Puri </w:t>
      </w:r>
      <w:r>
        <w:t>and</w:t>
      </w:r>
      <w:r w:rsidRPr="00075571">
        <w:t xml:space="preserve"> Kenney-Herbert 2018). Indeed, </w:t>
      </w:r>
      <w:r w:rsidR="00EE0ADB">
        <w:t>‘</w:t>
      </w:r>
      <w:r w:rsidRPr="00075571">
        <w:t>outcome data from well-designed research is lacking in the area of community FMH care</w:t>
      </w:r>
      <w:r w:rsidR="00EE0ADB">
        <w:t>’</w:t>
      </w:r>
      <w:r w:rsidRPr="00075571">
        <w:t xml:space="preserve"> (Skipworth </w:t>
      </w:r>
      <w:r>
        <w:t>and</w:t>
      </w:r>
      <w:r w:rsidRPr="00075571">
        <w:t xml:space="preserve"> Humberstone 2002</w:t>
      </w:r>
      <w:r w:rsidR="005054ED">
        <w:t>, p. </w:t>
      </w:r>
      <w:r w:rsidRPr="00075571">
        <w:t>48). Moreover, as Mohan</w:t>
      </w:r>
      <w:r>
        <w:t xml:space="preserve"> </w:t>
      </w:r>
      <w:r w:rsidR="00AD0D58">
        <w:t>et al</w:t>
      </w:r>
      <w:r>
        <w:t xml:space="preserve"> </w:t>
      </w:r>
      <w:r w:rsidRPr="00075571">
        <w:t>(2004</w:t>
      </w:r>
      <w:r>
        <w:t>b</w:t>
      </w:r>
      <w:r w:rsidRPr="00075571">
        <w:t>) argue</w:t>
      </w:r>
      <w:r>
        <w:t>:</w:t>
      </w:r>
    </w:p>
    <w:p w14:paraId="1DB4EBC9" w14:textId="77777777" w:rsidR="00EE0ADB" w:rsidRDefault="009636B7" w:rsidP="006A69AB">
      <w:pPr>
        <w:pStyle w:val="Quote"/>
        <w:keepLines/>
      </w:pPr>
      <w:r w:rsidRPr="00075571">
        <w:lastRenderedPageBreak/>
        <w:t xml:space="preserve">these services have, in most cases, evolved in an ad hoc manner, mainly through </w:t>
      </w:r>
      <w:r w:rsidRPr="009C4A7B">
        <w:t>clinical</w:t>
      </w:r>
      <w:r w:rsidRPr="00075571">
        <w:t xml:space="preserve"> pressures to manage mentally ill offenders, and they have not relied on an evidence base or well-defined theoretical models as the basis for service development</w:t>
      </w:r>
      <w:r w:rsidR="00AD0D58">
        <w:t xml:space="preserve"> (p. </w:t>
      </w:r>
      <w:r w:rsidRPr="00075571">
        <w:t>1</w:t>
      </w:r>
      <w:r>
        <w:t>,</w:t>
      </w:r>
      <w:r w:rsidRPr="00075571">
        <w:t>294).</w:t>
      </w:r>
    </w:p>
    <w:p w14:paraId="40C63192" w14:textId="77777777" w:rsidR="009636B7" w:rsidRDefault="009636B7" w:rsidP="006A69AB"/>
    <w:p w14:paraId="0E6886AF" w14:textId="77777777" w:rsidR="00EE0ADB" w:rsidRDefault="009636B7" w:rsidP="006A69AB">
      <w:r w:rsidRPr="00075571">
        <w:t>Little research has been conducted on community FMHS</w:t>
      </w:r>
      <w:r>
        <w:t>s</w:t>
      </w:r>
      <w:r w:rsidRPr="00075571">
        <w:t xml:space="preserve"> in </w:t>
      </w:r>
      <w:r>
        <w:t>Aotearoa New Zealand</w:t>
      </w:r>
      <w:r w:rsidRPr="00075571">
        <w:t>. Internationally, models of care, structures and definitions of community FMHS</w:t>
      </w:r>
      <w:r>
        <w:t>s</w:t>
      </w:r>
      <w:r w:rsidRPr="00075571">
        <w:t xml:space="preserve"> vary widely, and consensus is lacking on which structures are most effective in producing positive long-term outcomes</w:t>
      </w:r>
      <w:r>
        <w:t xml:space="preserve"> – </w:t>
      </w:r>
      <w:r w:rsidRPr="00075571">
        <w:t xml:space="preserve">or even how </w:t>
      </w:r>
      <w:r w:rsidR="00EE0ADB">
        <w:t>‘</w:t>
      </w:r>
      <w:r w:rsidRPr="00075571">
        <w:t>positive</w:t>
      </w:r>
      <w:r w:rsidR="00EE0ADB">
        <w:t>’</w:t>
      </w:r>
      <w:r w:rsidRPr="00075571">
        <w:t xml:space="preserve"> outcomes are defined (</w:t>
      </w:r>
      <w:r>
        <w:t>eg</w:t>
      </w:r>
      <w:r w:rsidRPr="00075571">
        <w:t xml:space="preserve">, reducing recidivism </w:t>
      </w:r>
      <w:r>
        <w:t>versus</w:t>
      </w:r>
      <w:r w:rsidRPr="00075571">
        <w:t xml:space="preserve"> achieving adequate quality of life). Indeed, the literature presents a range of evidence on a variety of models of service provision that can be used to provide FMHS</w:t>
      </w:r>
      <w:r>
        <w:t>s</w:t>
      </w:r>
      <w:r w:rsidRPr="00075571">
        <w:t xml:space="preserve"> in the community in combination with GMHS</w:t>
      </w:r>
      <w:r>
        <w:t>s</w:t>
      </w:r>
      <w:r w:rsidRPr="00075571">
        <w:t xml:space="preserve"> and criminal justice/probation services. There is a need, therefore, to identify effective community models to provide support for community-based </w:t>
      </w:r>
      <w:r>
        <w:t xml:space="preserve">FMHS </w:t>
      </w:r>
      <w:r w:rsidRPr="00075571">
        <w:t>delivery and to improve continuity of care between inpatient and community</w:t>
      </w:r>
      <w:r>
        <w:t xml:space="preserve"> settings</w:t>
      </w:r>
      <w:r w:rsidRPr="00075571">
        <w:t xml:space="preserve">, as well as </w:t>
      </w:r>
      <w:r>
        <w:t xml:space="preserve">between FMHSs </w:t>
      </w:r>
      <w:r w:rsidRPr="00075571">
        <w:t xml:space="preserve">and </w:t>
      </w:r>
      <w:r>
        <w:t>GMHSs</w:t>
      </w:r>
      <w:r w:rsidRPr="00075571">
        <w:t>.</w:t>
      </w:r>
    </w:p>
    <w:p w14:paraId="5B03967A" w14:textId="77777777" w:rsidR="009636B7" w:rsidRPr="00075571" w:rsidRDefault="009636B7" w:rsidP="006A69AB"/>
    <w:p w14:paraId="33B0BB49" w14:textId="77777777" w:rsidR="00EE0ADB" w:rsidRDefault="009636B7" w:rsidP="006A69AB">
      <w:r w:rsidRPr="00075571">
        <w:t xml:space="preserve">As such, in this systematic review, the researchers sought to identify literature describing the various models of care </w:t>
      </w:r>
      <w:r>
        <w:t>us</w:t>
      </w:r>
      <w:r w:rsidRPr="00075571">
        <w:t>ed within community FMHS</w:t>
      </w:r>
      <w:r>
        <w:t>s</w:t>
      </w:r>
      <w:r w:rsidRPr="00075571">
        <w:t xml:space="preserve"> internationally. </w:t>
      </w:r>
      <w:r>
        <w:t xml:space="preserve">As they did for </w:t>
      </w:r>
      <w:r w:rsidRPr="00075571">
        <w:t xml:space="preserve">the inpatient review, the researchers included literature on approaches, frameworks and programme models to identify models of care, as the literature addressing </w:t>
      </w:r>
      <w:r w:rsidR="00EE0ADB">
        <w:t>‘</w:t>
      </w:r>
      <w:r w:rsidRPr="00075571">
        <w:t>models of care</w:t>
      </w:r>
      <w:r w:rsidR="00EE0ADB">
        <w:t>’</w:t>
      </w:r>
      <w:r w:rsidRPr="00075571">
        <w:t xml:space="preserve"> directly is limited. Moreover, the literature often conflates models of care with the structuring of service delivery, indicating the lack of consensus on which elements, specifically, constitute a model of care.</w:t>
      </w:r>
    </w:p>
    <w:p w14:paraId="1E0DA7C1" w14:textId="77777777" w:rsidR="009636B7" w:rsidRPr="00075571" w:rsidRDefault="009636B7" w:rsidP="006A69AB"/>
    <w:p w14:paraId="0CE94E7D" w14:textId="77777777" w:rsidR="009636B7" w:rsidRPr="00075571" w:rsidRDefault="009636B7" w:rsidP="006A69AB">
      <w:r w:rsidRPr="00075571">
        <w:t>In this review, the findings begin with an overview of the function and structures of community FMHS</w:t>
      </w:r>
      <w:r>
        <w:t>s</w:t>
      </w:r>
      <w:r w:rsidRPr="00075571">
        <w:t xml:space="preserve">. </w:t>
      </w:r>
      <w:r>
        <w:t>The researchers found that, broadly, aspects of the model of care in community FMHSs align with those in inpatient FMHSs</w:t>
      </w:r>
      <w:r w:rsidRPr="00075571">
        <w:t xml:space="preserve">. Thus, the second main section similarly discusses the overarching approaches of therapeutic security, rehabilitation (including the risk concern) and the recovery-oriented approach. Notably, there was a significant </w:t>
      </w:r>
      <w:r w:rsidRPr="009C4A7B">
        <w:t>dearth</w:t>
      </w:r>
      <w:r w:rsidRPr="00075571">
        <w:t xml:space="preserve"> of literature examining community-based FMHS models of care among priority populations </w:t>
      </w:r>
      <w:r w:rsidRPr="001A28C6">
        <w:t>(</w:t>
      </w:r>
      <w:r>
        <w:t>ie</w:t>
      </w:r>
      <w:r w:rsidRPr="001A28C6">
        <w:t xml:space="preserve">, Māori, </w:t>
      </w:r>
      <w:r>
        <w:t>Pacific peoples</w:t>
      </w:r>
      <w:r w:rsidRPr="001A28C6">
        <w:t xml:space="preserve">, other </w:t>
      </w:r>
      <w:r w:rsidRPr="009E213B">
        <w:t>indigenous groups and women</w:t>
      </w:r>
      <w:r w:rsidRPr="00E42BE0">
        <w:t xml:space="preserve">). </w:t>
      </w:r>
      <w:r w:rsidRPr="00075571">
        <w:t xml:space="preserve">As such, this review did not warrant a separate section on priority populations as in the other reviews, though given the overrepresentation of Māori and </w:t>
      </w:r>
      <w:r>
        <w:t>Pacific</w:t>
      </w:r>
      <w:r w:rsidRPr="00075571">
        <w:t xml:space="preserve"> peoples in all arms of FMHS</w:t>
      </w:r>
      <w:r>
        <w:t xml:space="preserve">s – </w:t>
      </w:r>
      <w:r w:rsidRPr="00075571">
        <w:t>including community</w:t>
      </w:r>
      <w:r>
        <w:t xml:space="preserve"> FMHSs – </w:t>
      </w:r>
      <w:r w:rsidRPr="00075571">
        <w:t>the integration of a cultural model of care into the overall approach is especially required.</w:t>
      </w:r>
    </w:p>
    <w:p w14:paraId="6D74CDCD" w14:textId="77777777" w:rsidR="009636B7" w:rsidRPr="00075571" w:rsidRDefault="009636B7" w:rsidP="006A69AB"/>
    <w:p w14:paraId="35081ABF" w14:textId="77777777" w:rsidR="00EE0ADB" w:rsidRDefault="009636B7" w:rsidP="006A69AB">
      <w:r w:rsidRPr="00075571">
        <w:t>Throughout the literature, the breadth of community-based services is highlighted</w:t>
      </w:r>
      <w:r>
        <w:t>,</w:t>
      </w:r>
      <w:r w:rsidRPr="00075571">
        <w:t xml:space="preserve"> along with the need for models of care to account for and engage with </w:t>
      </w:r>
      <w:r w:rsidRPr="009C4A7B">
        <w:t>multiple</w:t>
      </w:r>
      <w:r w:rsidRPr="00075571">
        <w:t xml:space="preserve"> stakeholders and sectors in service provision. In this way, community-based services</w:t>
      </w:r>
      <w:r>
        <w:t xml:space="preserve">, </w:t>
      </w:r>
      <w:r w:rsidRPr="00075571">
        <w:t>more so than the other types of services, serve as an interface between the various stages/services in the forensic pathway (</w:t>
      </w:r>
      <w:r>
        <w:t>eg</w:t>
      </w:r>
      <w:r w:rsidRPr="00075571">
        <w:t>, court, prison, inpatient</w:t>
      </w:r>
      <w:r>
        <w:t xml:space="preserve"> services</w:t>
      </w:r>
      <w:r w:rsidRPr="00075571">
        <w:t xml:space="preserve">, probation, </w:t>
      </w:r>
      <w:r>
        <w:t>GMHSs</w:t>
      </w:r>
      <w:r w:rsidRPr="00075571">
        <w:t xml:space="preserve"> and </w:t>
      </w:r>
      <w:r>
        <w:t>non-governmental</w:t>
      </w:r>
      <w:r w:rsidRPr="00075571">
        <w:t>/other specialist sectors), requiring enhanced coordination, communication and collaboration with these sectors.</w:t>
      </w:r>
    </w:p>
    <w:p w14:paraId="12F6F32C" w14:textId="77777777" w:rsidR="006A69AB" w:rsidRDefault="006A69AB" w:rsidP="006A69AB"/>
    <w:p w14:paraId="26DB9409" w14:textId="77777777" w:rsidR="009636B7" w:rsidRPr="00075571" w:rsidRDefault="009636B7" w:rsidP="006A69AB">
      <w:pPr>
        <w:pStyle w:val="Heading2"/>
      </w:pPr>
      <w:bookmarkStart w:id="80" w:name="_Toc16805636"/>
      <w:bookmarkStart w:id="81" w:name="_Toc88823232"/>
      <w:bookmarkStart w:id="82" w:name="_Toc90026001"/>
      <w:r w:rsidRPr="00075571">
        <w:lastRenderedPageBreak/>
        <w:t>Methodology</w:t>
      </w:r>
      <w:bookmarkEnd w:id="80"/>
      <w:bookmarkEnd w:id="81"/>
      <w:bookmarkEnd w:id="82"/>
    </w:p>
    <w:p w14:paraId="50CAE7D3" w14:textId="77777777" w:rsidR="009636B7" w:rsidRPr="000329FE" w:rsidRDefault="009636B7" w:rsidP="006A69AB">
      <w:r w:rsidRPr="00075571">
        <w:t xml:space="preserve">Searches </w:t>
      </w:r>
      <w:r>
        <w:t>us</w:t>
      </w:r>
      <w:r w:rsidRPr="00075571">
        <w:t xml:space="preserve">ed the following search string, along with various combinations of these keywords: </w:t>
      </w:r>
      <w:r w:rsidRPr="001A28C6">
        <w:t>(</w:t>
      </w:r>
      <w:r w:rsidRPr="009E213B">
        <w:t>forensic</w:t>
      </w:r>
      <w:r w:rsidRPr="00E42BE0">
        <w:t xml:space="preserve"> OR </w:t>
      </w:r>
      <w:r w:rsidRPr="0043256B">
        <w:t>criminal) AND (</w:t>
      </w:r>
      <w:r w:rsidR="00EE0ADB">
        <w:t>‘</w:t>
      </w:r>
      <w:r w:rsidRPr="009C4A7B">
        <w:t>mental health</w:t>
      </w:r>
      <w:r w:rsidR="00EE0ADB">
        <w:t>’</w:t>
      </w:r>
      <w:r w:rsidRPr="00A537F0">
        <w:t xml:space="preserve"> OR </w:t>
      </w:r>
      <w:r w:rsidR="00EE0ADB">
        <w:t>‘</w:t>
      </w:r>
      <w:r w:rsidRPr="000329FE">
        <w:t>mental illness</w:t>
      </w:r>
      <w:r w:rsidR="00EE0ADB">
        <w:t>’</w:t>
      </w:r>
      <w:r w:rsidRPr="000329FE">
        <w:t xml:space="preserve"> OR psychiatr* OR </w:t>
      </w:r>
      <w:r w:rsidR="00EE0ADB">
        <w:t>‘</w:t>
      </w:r>
      <w:r w:rsidRPr="000329FE">
        <w:t>serious and enduring mental illness</w:t>
      </w:r>
      <w:r w:rsidR="00EE0ADB">
        <w:t>’</w:t>
      </w:r>
      <w:r w:rsidRPr="000329FE">
        <w:t xml:space="preserve">) AND (framework OR </w:t>
      </w:r>
      <w:r w:rsidR="00EE0ADB">
        <w:t>‘</w:t>
      </w:r>
      <w:r w:rsidRPr="000329FE">
        <w:t>model of care</w:t>
      </w:r>
      <w:r w:rsidR="00EE0ADB">
        <w:t>’</w:t>
      </w:r>
      <w:r w:rsidRPr="000329FE">
        <w:t xml:space="preserve"> OR model OR service* or guideline*) AND (community OR outpatient OR out-patient). Based on the results of the inpatient literature review, the term </w:t>
      </w:r>
      <w:r w:rsidR="00EE0ADB">
        <w:t>‘</w:t>
      </w:r>
      <w:r w:rsidRPr="000329FE">
        <w:t>mentally-disordered offenders</w:t>
      </w:r>
      <w:r w:rsidR="00EE0ADB">
        <w:t>’</w:t>
      </w:r>
      <w:r w:rsidRPr="000329FE">
        <w:t xml:space="preserve"> was also added to the search string.</w:t>
      </w:r>
    </w:p>
    <w:p w14:paraId="132C593B" w14:textId="77777777" w:rsidR="009636B7" w:rsidRPr="000329FE" w:rsidRDefault="009636B7" w:rsidP="006A69AB"/>
    <w:p w14:paraId="2767DC2A" w14:textId="77777777" w:rsidR="00EE0ADB" w:rsidRDefault="009636B7" w:rsidP="006A69AB">
      <w:r w:rsidRPr="00075571">
        <w:t xml:space="preserve">The </w:t>
      </w:r>
      <w:r>
        <w:t xml:space="preserve">researchers limited the </w:t>
      </w:r>
      <w:r w:rsidRPr="00075571">
        <w:t xml:space="preserve">results in the same fashion as </w:t>
      </w:r>
      <w:r>
        <w:t xml:space="preserve">in </w:t>
      </w:r>
      <w:r w:rsidRPr="00075571">
        <w:t>the inpatient review to English-language documents from 1990</w:t>
      </w:r>
      <w:r>
        <w:t xml:space="preserve"> to </w:t>
      </w:r>
      <w:r w:rsidRPr="00075571">
        <w:t xml:space="preserve">2019. Where possible, </w:t>
      </w:r>
      <w:r>
        <w:t xml:space="preserve">they further limited </w:t>
      </w:r>
      <w:r w:rsidRPr="00075571">
        <w:t xml:space="preserve">results to peer-reviewed articles, excluding reviews/notes. </w:t>
      </w:r>
      <w:r>
        <w:t>The researchers reviewed r</w:t>
      </w:r>
      <w:r w:rsidRPr="00075571">
        <w:t xml:space="preserve">esults </w:t>
      </w:r>
      <w:r w:rsidRPr="005A6B84">
        <w:t>first by title and</w:t>
      </w:r>
      <w:r w:rsidRPr="00075571">
        <w:t xml:space="preserve"> then by abstract to determine relevance. </w:t>
      </w:r>
      <w:r>
        <w:t>They then screened r</w:t>
      </w:r>
      <w:r w:rsidRPr="00075571">
        <w:t xml:space="preserve">etained articles in </w:t>
      </w:r>
      <w:r w:rsidRPr="009C4A7B">
        <w:t>full text</w:t>
      </w:r>
      <w:r w:rsidRPr="00075571">
        <w:t xml:space="preserve"> to formulate the final list of retained articles. </w:t>
      </w:r>
      <w:r>
        <w:t>They limited r</w:t>
      </w:r>
      <w:r w:rsidRPr="00075571">
        <w:t xml:space="preserve">esults to literature describing forensic community models of care and/or services. </w:t>
      </w:r>
      <w:r>
        <w:t>They excluded r</w:t>
      </w:r>
      <w:r w:rsidRPr="00075571">
        <w:t xml:space="preserve">esults pertaining to (a) transitioning from prisons into the community, (b) the role of probation services in community/outpatient treatment and (c) forensic assertive community teams specifically as a component of mental health courts, though </w:t>
      </w:r>
      <w:r>
        <w:t xml:space="preserve">those results </w:t>
      </w:r>
      <w:r w:rsidRPr="00075571">
        <w:t xml:space="preserve">do relate to community contexts, </w:t>
      </w:r>
      <w:r>
        <w:t xml:space="preserve">considering them </w:t>
      </w:r>
      <w:r w:rsidRPr="00075571">
        <w:t>more appropriate</w:t>
      </w:r>
      <w:r>
        <w:t>ly dealt with as part of</w:t>
      </w:r>
      <w:r w:rsidRPr="00075571">
        <w:t xml:space="preserve"> the prison and court literature reviews. Notably, a large segment of the literature focused on efficacy and/or ethics pertaining to </w:t>
      </w:r>
      <w:r>
        <w:t xml:space="preserve">CTOs </w:t>
      </w:r>
      <w:r w:rsidRPr="00075571">
        <w:t>(also known as involuntary outpatient commitment</w:t>
      </w:r>
      <w:r>
        <w:t xml:space="preserve">, </w:t>
      </w:r>
      <w:r w:rsidRPr="00075571">
        <w:t>supervised community treatment</w:t>
      </w:r>
      <w:r>
        <w:t xml:space="preserve"> or </w:t>
      </w:r>
      <w:r w:rsidRPr="00075571">
        <w:t>assisted outpatient treatment). Those topics, while of importance, were beyond the scope of this review.</w:t>
      </w:r>
    </w:p>
    <w:p w14:paraId="567605C8" w14:textId="77777777" w:rsidR="009636B7" w:rsidRPr="00075571" w:rsidRDefault="009636B7" w:rsidP="006A69AB"/>
    <w:p w14:paraId="08C8B149" w14:textId="77777777" w:rsidR="009636B7" w:rsidRPr="00075571" w:rsidRDefault="009636B7" w:rsidP="006A69AB">
      <w:r w:rsidRPr="00075571">
        <w:t xml:space="preserve">Based on the results of the inpatient literature review, the </w:t>
      </w:r>
      <w:r>
        <w:t xml:space="preserve">researchers refined the </w:t>
      </w:r>
      <w:r w:rsidRPr="00075571">
        <w:t xml:space="preserve">search strategy and limited </w:t>
      </w:r>
      <w:r>
        <w:t xml:space="preserve">it to </w:t>
      </w:r>
      <w:r w:rsidRPr="00075571">
        <w:t>three databases: Scopus, ScienceDirect and Google Scholar. Finally, the</w:t>
      </w:r>
      <w:r>
        <w:t>y expanded the</w:t>
      </w:r>
      <w:r w:rsidRPr="00075571">
        <w:t xml:space="preserve"> search to include literature sent directly to the research team via </w:t>
      </w:r>
      <w:r>
        <w:t>Ministry of Health</w:t>
      </w:r>
      <w:r w:rsidRPr="00075571">
        <w:t xml:space="preserve"> advisors as well as the researchers and their professional network</w:t>
      </w:r>
      <w:r>
        <w:t>;</w:t>
      </w:r>
      <w:r w:rsidRPr="00075571">
        <w:t xml:space="preserve"> </w:t>
      </w:r>
      <w:r w:rsidR="006A69AB">
        <w:fldChar w:fldCharType="begin"/>
      </w:r>
      <w:r w:rsidR="006A69AB">
        <w:instrText xml:space="preserve"> REF _Ref89851849 \h </w:instrText>
      </w:r>
      <w:r w:rsidR="006A69AB">
        <w:fldChar w:fldCharType="separate"/>
      </w:r>
      <w:r w:rsidR="00F73238">
        <w:t>Figure </w:t>
      </w:r>
      <w:r w:rsidR="00F73238">
        <w:rPr>
          <w:noProof/>
        </w:rPr>
        <w:t>5</w:t>
      </w:r>
      <w:r w:rsidR="006A69AB">
        <w:fldChar w:fldCharType="end"/>
      </w:r>
      <w:r w:rsidRPr="00075571">
        <w:t xml:space="preserve"> </w:t>
      </w:r>
      <w:r>
        <w:t xml:space="preserve">summarises </w:t>
      </w:r>
      <w:r w:rsidRPr="00075571">
        <w:t>the results.</w:t>
      </w:r>
    </w:p>
    <w:p w14:paraId="1645F904" w14:textId="77777777" w:rsidR="009636B7" w:rsidRDefault="009636B7" w:rsidP="006A69AB"/>
    <w:p w14:paraId="156ECA79" w14:textId="77777777" w:rsidR="009636B7" w:rsidRPr="00075571" w:rsidRDefault="006A69AB" w:rsidP="006A69AB">
      <w:pPr>
        <w:pStyle w:val="Figure"/>
      </w:pPr>
      <w:bookmarkStart w:id="83" w:name="_Ref89851849"/>
      <w:bookmarkStart w:id="84" w:name="_Toc88823326"/>
      <w:bookmarkStart w:id="85" w:name="_Toc90026030"/>
      <w:r>
        <w:lastRenderedPageBreak/>
        <w:t>Figure </w:t>
      </w:r>
      <w:r w:rsidR="002C1FB3">
        <w:fldChar w:fldCharType="begin"/>
      </w:r>
      <w:r w:rsidR="002C1FB3">
        <w:instrText xml:space="preserve"> SEQ Figure \* ARABIC </w:instrText>
      </w:r>
      <w:r w:rsidR="002C1FB3">
        <w:fldChar w:fldCharType="separate"/>
      </w:r>
      <w:r w:rsidR="00F73238">
        <w:rPr>
          <w:noProof/>
        </w:rPr>
        <w:t>5</w:t>
      </w:r>
      <w:r w:rsidR="002C1FB3">
        <w:rPr>
          <w:noProof/>
        </w:rPr>
        <w:fldChar w:fldCharType="end"/>
      </w:r>
      <w:bookmarkEnd w:id="83"/>
      <w:r w:rsidR="009636B7" w:rsidRPr="00075571">
        <w:t>:</w:t>
      </w:r>
      <w:r w:rsidR="009636B7" w:rsidRPr="00075571">
        <w:rPr>
          <w:i/>
          <w:iCs/>
        </w:rPr>
        <w:t xml:space="preserve"> </w:t>
      </w:r>
      <w:r w:rsidR="009636B7" w:rsidRPr="00075571">
        <w:t>Community systematic review results</w:t>
      </w:r>
      <w:bookmarkEnd w:id="84"/>
      <w:bookmarkEnd w:id="85"/>
    </w:p>
    <w:p w14:paraId="565A4A63" w14:textId="77777777" w:rsidR="009636B7" w:rsidRPr="00075571" w:rsidRDefault="006A69AB" w:rsidP="006A69AB">
      <w:r>
        <w:rPr>
          <w:noProof/>
          <w:lang w:eastAsia="en-NZ"/>
        </w:rPr>
        <w:drawing>
          <wp:inline distT="0" distB="0" distL="0" distR="0" wp14:anchorId="56A52C8F" wp14:editId="192CC1AF">
            <wp:extent cx="3232270" cy="3208713"/>
            <wp:effectExtent l="0" t="0" r="6350" b="0"/>
            <wp:docPr id="4" name="Picture 4" descr="Scopus, ScienceDirect, Google Scholar, and Ministry of Health advisors with a total of 1,958 sources 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opus, ScienceDirect, Google Scholar, and Ministry of Health advisors with a total of 1,958 sources review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2895" cy="3209333"/>
                    </a:xfrm>
                    <a:prstGeom prst="rect">
                      <a:avLst/>
                    </a:prstGeom>
                    <a:noFill/>
                  </pic:spPr>
                </pic:pic>
              </a:graphicData>
            </a:graphic>
          </wp:inline>
        </w:drawing>
      </w:r>
    </w:p>
    <w:p w14:paraId="60E4AE46" w14:textId="77777777" w:rsidR="00EE0ADB" w:rsidRDefault="009636B7" w:rsidP="0012387C">
      <w:pPr>
        <w:pStyle w:val="Note"/>
        <w:ind w:left="284" w:hanging="284"/>
      </w:pPr>
      <w:bookmarkStart w:id="86" w:name="_Toc88823327"/>
      <w:r w:rsidRPr="00075571">
        <w:t>*</w:t>
      </w:r>
      <w:r w:rsidR="0012387C">
        <w:tab/>
      </w:r>
      <w:r w:rsidRPr="00075571">
        <w:t xml:space="preserve">After removing repetition of results </w:t>
      </w:r>
      <w:r>
        <w:t xml:space="preserve">in </w:t>
      </w:r>
      <w:r w:rsidRPr="00075571">
        <w:t>prior step(s).</w:t>
      </w:r>
      <w:bookmarkEnd w:id="86"/>
    </w:p>
    <w:p w14:paraId="3FFEAC5D" w14:textId="77777777" w:rsidR="00EE0ADB" w:rsidRDefault="009636B7" w:rsidP="0012387C">
      <w:pPr>
        <w:pStyle w:val="Note"/>
        <w:spacing w:before="0"/>
        <w:ind w:left="284" w:hanging="284"/>
      </w:pPr>
      <w:bookmarkStart w:id="87" w:name="_Toc88823328"/>
      <w:r w:rsidRPr="00075571">
        <w:t>**</w:t>
      </w:r>
      <w:r w:rsidR="0012387C">
        <w:tab/>
      </w:r>
      <w:r w:rsidRPr="00075571">
        <w:t>Grey literature was comprised of one position paper and one set of practice guidelines.</w:t>
      </w:r>
      <w:bookmarkEnd w:id="87"/>
    </w:p>
    <w:p w14:paraId="28274C12" w14:textId="77777777" w:rsidR="0012387C" w:rsidRPr="0012387C" w:rsidRDefault="0012387C" w:rsidP="0012387C"/>
    <w:p w14:paraId="069E11AE" w14:textId="77777777" w:rsidR="009636B7" w:rsidRPr="00075571" w:rsidRDefault="009636B7" w:rsidP="0012387C">
      <w:pPr>
        <w:pStyle w:val="Heading2"/>
      </w:pPr>
      <w:bookmarkStart w:id="88" w:name="_Toc16805637"/>
      <w:bookmarkStart w:id="89" w:name="_Toc88823233"/>
      <w:bookmarkStart w:id="90" w:name="_Toc90026002"/>
      <w:r w:rsidRPr="00075571">
        <w:t xml:space="preserve">Review </w:t>
      </w:r>
      <w:r>
        <w:t>f</w:t>
      </w:r>
      <w:r w:rsidRPr="00075571">
        <w:t>indings</w:t>
      </w:r>
      <w:bookmarkEnd w:id="88"/>
      <w:bookmarkEnd w:id="89"/>
      <w:bookmarkEnd w:id="90"/>
    </w:p>
    <w:p w14:paraId="7918EA18" w14:textId="77777777" w:rsidR="009636B7" w:rsidRPr="00075571" w:rsidRDefault="009636B7" w:rsidP="0012387C">
      <w:pPr>
        <w:pStyle w:val="Heading3"/>
      </w:pPr>
      <w:bookmarkStart w:id="91" w:name="_Toc16805638"/>
      <w:r w:rsidRPr="00075571">
        <w:t xml:space="preserve">Functions and </w:t>
      </w:r>
      <w:r>
        <w:t>s</w:t>
      </w:r>
      <w:r w:rsidRPr="00075571">
        <w:t xml:space="preserve">tructures of </w:t>
      </w:r>
      <w:r>
        <w:t>c</w:t>
      </w:r>
      <w:r w:rsidRPr="00075571">
        <w:t xml:space="preserve">ommunity </w:t>
      </w:r>
      <w:bookmarkEnd w:id="91"/>
      <w:r>
        <w:t>forensic mental health services</w:t>
      </w:r>
    </w:p>
    <w:p w14:paraId="4BD9892A" w14:textId="77777777" w:rsidR="009636B7" w:rsidRPr="00075571" w:rsidRDefault="009636B7" w:rsidP="0012387C">
      <w:pPr>
        <w:pStyle w:val="Heading4"/>
      </w:pPr>
      <w:r w:rsidRPr="00075571">
        <w:t>Functions</w:t>
      </w:r>
    </w:p>
    <w:p w14:paraId="736FE034" w14:textId="77777777" w:rsidR="00EE0ADB" w:rsidRDefault="009636B7" w:rsidP="0012387C">
      <w:r w:rsidRPr="00075571">
        <w:t>Community FMHS</w:t>
      </w:r>
      <w:r>
        <w:t>s</w:t>
      </w:r>
      <w:r w:rsidRPr="00075571">
        <w:t xml:space="preserve"> have a variety of functions, including (but not limited to): (a)</w:t>
      </w:r>
      <w:r w:rsidR="0012387C">
        <w:t> </w:t>
      </w:r>
      <w:r w:rsidRPr="00075571">
        <w:t xml:space="preserve">providing specialist consultations and advice in the assessment and management of service users, (b) conducting risk assessments and advising/monitoring risk management efforts, (c) acting as case managers for </w:t>
      </w:r>
      <w:r>
        <w:t xml:space="preserve">FMHS </w:t>
      </w:r>
      <w:r w:rsidRPr="00075571">
        <w:t xml:space="preserve">users, (d) </w:t>
      </w:r>
      <w:r w:rsidR="00EE0ADB">
        <w:t>‘</w:t>
      </w:r>
      <w:r w:rsidRPr="00075571">
        <w:t>co-working</w:t>
      </w:r>
      <w:r w:rsidR="00EE0ADB">
        <w:t>’</w:t>
      </w:r>
      <w:r w:rsidRPr="00075571">
        <w:t xml:space="preserve"> with GMHS</w:t>
      </w:r>
      <w:r>
        <w:t>s</w:t>
      </w:r>
      <w:r w:rsidRPr="00075571">
        <w:t xml:space="preserve"> to provide care, (e) acting as liaisons for courts and other criminal justice agencies, and (f) providing specialist interventions such as anger management or cognitive behavioural therapy (Malik</w:t>
      </w:r>
      <w:r>
        <w:t xml:space="preserve"> </w:t>
      </w:r>
      <w:r w:rsidR="00AD0D58">
        <w:t>et al</w:t>
      </w:r>
      <w:r w:rsidRPr="00075571">
        <w:t xml:space="preserve"> 2007; Mohan</w:t>
      </w:r>
      <w:r>
        <w:t xml:space="preserve"> </w:t>
      </w:r>
      <w:r w:rsidR="00AD0D58">
        <w:t>et al</w:t>
      </w:r>
      <w:r w:rsidRPr="00075571">
        <w:t xml:space="preserve"> 2004</w:t>
      </w:r>
      <w:r>
        <w:t>a</w:t>
      </w:r>
      <w:r w:rsidRPr="00075571">
        <w:t xml:space="preserve">; </w:t>
      </w:r>
      <w:bookmarkStart w:id="92" w:name="_Hlk88572031"/>
      <w:r w:rsidRPr="00075571">
        <w:t xml:space="preserve">Puri </w:t>
      </w:r>
      <w:r>
        <w:t>and</w:t>
      </w:r>
      <w:r w:rsidRPr="00075571">
        <w:t xml:space="preserve"> Kenney-Herbert 20</w:t>
      </w:r>
      <w:r>
        <w:t>18</w:t>
      </w:r>
      <w:r w:rsidRPr="00075571">
        <w:t>)</w:t>
      </w:r>
      <w:bookmarkEnd w:id="92"/>
      <w:r w:rsidRPr="00075571">
        <w:t>. This description is supported by Kenney-Herbert</w:t>
      </w:r>
      <w:r>
        <w:t xml:space="preserve"> </w:t>
      </w:r>
      <w:r w:rsidR="00AD0D58">
        <w:t>et al</w:t>
      </w:r>
      <w:r w:rsidRPr="00075571">
        <w:t xml:space="preserve"> (2013), who</w:t>
      </w:r>
      <w:r>
        <w:t>,</w:t>
      </w:r>
      <w:r w:rsidRPr="00075571">
        <w:t xml:space="preserve"> in the creation of a set of standards for community FMHS</w:t>
      </w:r>
      <w:r>
        <w:t>s</w:t>
      </w:r>
      <w:r w:rsidRPr="00075571">
        <w:t xml:space="preserve"> in the United Kingdom, outline the core functions of community FMHS</w:t>
      </w:r>
      <w:r>
        <w:t>s</w:t>
      </w:r>
      <w:r w:rsidRPr="00075571">
        <w:t xml:space="preserve"> within the proposed approach to care.</w:t>
      </w:r>
      <w:r w:rsidRPr="0012387C">
        <w:rPr>
          <w:rStyle w:val="FootnoteReference"/>
        </w:rPr>
        <w:footnoteReference w:id="25"/>
      </w:r>
    </w:p>
    <w:p w14:paraId="25F923D4" w14:textId="77777777" w:rsidR="0012387C" w:rsidRPr="00075571" w:rsidRDefault="0012387C" w:rsidP="0012387C"/>
    <w:p w14:paraId="61E03615" w14:textId="77777777" w:rsidR="00EE0ADB" w:rsidRDefault="009636B7" w:rsidP="0012387C">
      <w:pPr>
        <w:keepLines/>
      </w:pPr>
      <w:r w:rsidRPr="00075571">
        <w:lastRenderedPageBreak/>
        <w:t>As noted above, community FMH</w:t>
      </w:r>
      <w:r>
        <w:t>S</w:t>
      </w:r>
      <w:r w:rsidRPr="00075571">
        <w:t xml:space="preserve"> teams engage with multiple stakeholders and services, serving as consultant liaison to GMHS</w:t>
      </w:r>
      <w:r>
        <w:t>s</w:t>
      </w:r>
      <w:r w:rsidRPr="00075571">
        <w:t xml:space="preserve">, mental health intensive care units, other specialist mental health services, probation services and prisons, and secure mental health (inpatient) services (Brett </w:t>
      </w:r>
      <w:r w:rsidR="00AD0D58">
        <w:t>et al</w:t>
      </w:r>
      <w:r w:rsidRPr="00075571">
        <w:t xml:space="preserve"> 2012; Malik </w:t>
      </w:r>
      <w:r w:rsidR="00AD0D58">
        <w:t>et al</w:t>
      </w:r>
      <w:r w:rsidRPr="00075571">
        <w:t xml:space="preserve"> 2007; Mohan </w:t>
      </w:r>
      <w:r w:rsidR="00AD0D58">
        <w:t>et al</w:t>
      </w:r>
      <w:r w:rsidRPr="00075571">
        <w:t xml:space="preserve"> 2004</w:t>
      </w:r>
      <w:r>
        <w:t>a</w:t>
      </w:r>
      <w:r w:rsidRPr="00075571">
        <w:t xml:space="preserve">; Mullen </w:t>
      </w:r>
      <w:r>
        <w:t>and</w:t>
      </w:r>
      <w:r w:rsidRPr="00075571">
        <w:t xml:space="preserve"> Ogloff 2009). Therefore, community FMH</w:t>
      </w:r>
      <w:r>
        <w:t>S</w:t>
      </w:r>
      <w:r w:rsidRPr="00075571">
        <w:t xml:space="preserve"> teams are, in essence, multidisciplinary teams (Orovwuje 2008), and evidence supports the use of specialist services and interventions in community FMH</w:t>
      </w:r>
      <w:r>
        <w:t>Ss,</w:t>
      </w:r>
      <w:r w:rsidRPr="00075571">
        <w:t xml:space="preserve"> including occupational therapy (</w:t>
      </w:r>
      <w:r>
        <w:t>see, for example</w:t>
      </w:r>
      <w:r w:rsidRPr="00075571">
        <w:t>, Connell 2016; Roberts</w:t>
      </w:r>
      <w:r>
        <w:t xml:space="preserve"> </w:t>
      </w:r>
      <w:r w:rsidR="00AD0D58">
        <w:t>et al</w:t>
      </w:r>
      <w:r w:rsidRPr="00075571">
        <w:t xml:space="preserve"> 2015; Talbot </w:t>
      </w:r>
      <w:r w:rsidR="00AD0D58">
        <w:t>et al</w:t>
      </w:r>
      <w:r w:rsidRPr="00075571">
        <w:t xml:space="preserve"> 2018), social work (</w:t>
      </w:r>
      <w:r w:rsidRPr="00A0030C">
        <w:t xml:space="preserve"> </w:t>
      </w:r>
      <w:r>
        <w:t>see, for example</w:t>
      </w:r>
      <w:r w:rsidRPr="00075571">
        <w:t>, Sheehan 2012), and psychology (</w:t>
      </w:r>
      <w:r w:rsidRPr="00A0030C">
        <w:t xml:space="preserve"> </w:t>
      </w:r>
      <w:r>
        <w:t>see, for example</w:t>
      </w:r>
      <w:r w:rsidRPr="00075571">
        <w:t xml:space="preserve">, Gredecki </w:t>
      </w:r>
      <w:r>
        <w:t>and</w:t>
      </w:r>
      <w:r w:rsidRPr="00075571">
        <w:t xml:space="preserve"> Turner 2009) in the reduction of </w:t>
      </w:r>
      <w:r w:rsidRPr="00F45309">
        <w:t>recidi</w:t>
      </w:r>
      <w:r>
        <w:t>vi</w:t>
      </w:r>
      <w:r w:rsidRPr="00F45309">
        <w:t>sm</w:t>
      </w:r>
      <w:r w:rsidRPr="00075571">
        <w:t xml:space="preserve">. Services may be provided to service users in supportive </w:t>
      </w:r>
      <w:r w:rsidRPr="00F45309">
        <w:t>accommodation</w:t>
      </w:r>
      <w:r w:rsidRPr="00075571">
        <w:t xml:space="preserve"> or step-down facilities, most commonly employed during transition from inpatient to community</w:t>
      </w:r>
      <w:r>
        <w:t xml:space="preserve"> services</w:t>
      </w:r>
      <w:r w:rsidRPr="00075571">
        <w:t>,</w:t>
      </w:r>
      <w:r w:rsidRPr="0012387C">
        <w:rPr>
          <w:rStyle w:val="FootnoteReference"/>
        </w:rPr>
        <w:footnoteReference w:id="26"/>
      </w:r>
      <w:r w:rsidRPr="00075571">
        <w:t xml:space="preserve"> on an outpatient basis, or in the home. As such, in keeping with broader best practices concerning the integration of services, community FMHS</w:t>
      </w:r>
      <w:r>
        <w:t>s</w:t>
      </w:r>
      <w:r w:rsidRPr="00075571">
        <w:t xml:space="preserve"> should aim to provide a </w:t>
      </w:r>
      <w:r w:rsidR="00EE0ADB">
        <w:t>‘</w:t>
      </w:r>
      <w:r w:rsidRPr="00075571">
        <w:t>seamless service</w:t>
      </w:r>
      <w:r w:rsidR="00EE0ADB">
        <w:t>’</w:t>
      </w:r>
      <w:r>
        <w:t>,</w:t>
      </w:r>
      <w:r w:rsidRPr="00075571">
        <w:t xml:space="preserve"> offering continuity of care from the courts, inpatient services and prisons (Mullen</w:t>
      </w:r>
      <w:r>
        <w:t xml:space="preserve"> </w:t>
      </w:r>
      <w:r w:rsidR="00AD0D58">
        <w:t>et al</w:t>
      </w:r>
      <w:r w:rsidRPr="00075571">
        <w:t xml:space="preserve"> 2000).</w:t>
      </w:r>
    </w:p>
    <w:p w14:paraId="7187BB10" w14:textId="77777777" w:rsidR="0012387C" w:rsidRDefault="0012387C" w:rsidP="0012387C"/>
    <w:p w14:paraId="7F20432E" w14:textId="77777777" w:rsidR="009636B7" w:rsidRPr="00075571" w:rsidRDefault="009636B7" w:rsidP="0012387C">
      <w:pPr>
        <w:pStyle w:val="Heading4"/>
      </w:pPr>
      <w:r w:rsidRPr="00075571">
        <w:t xml:space="preserve">Integrated </w:t>
      </w:r>
      <w:r>
        <w:t>v</w:t>
      </w:r>
      <w:r w:rsidRPr="00075571">
        <w:t xml:space="preserve">ersus </w:t>
      </w:r>
      <w:r>
        <w:t>p</w:t>
      </w:r>
      <w:r w:rsidRPr="00075571">
        <w:t xml:space="preserve">arallel </w:t>
      </w:r>
      <w:r>
        <w:t>a</w:t>
      </w:r>
      <w:r w:rsidRPr="00075571">
        <w:t xml:space="preserve">pproaches to </w:t>
      </w:r>
      <w:r>
        <w:t>c</w:t>
      </w:r>
      <w:r w:rsidRPr="00075571">
        <w:t>are</w:t>
      </w:r>
    </w:p>
    <w:p w14:paraId="13BE2AFC" w14:textId="77777777" w:rsidR="00EE0ADB" w:rsidRDefault="009636B7" w:rsidP="0012387C">
      <w:r>
        <w:t>T</w:t>
      </w:r>
      <w:r w:rsidRPr="00075571">
        <w:t xml:space="preserve">here are two main community FMHS structures: </w:t>
      </w:r>
      <w:r>
        <w:t xml:space="preserve">Gunn (1977) originally coined the terms </w:t>
      </w:r>
      <w:r w:rsidR="00EE0ADB">
        <w:t>‘</w:t>
      </w:r>
      <w:r w:rsidRPr="00075571">
        <w:t>integrated</w:t>
      </w:r>
      <w:r w:rsidR="00EE0ADB">
        <w:t>’</w:t>
      </w:r>
      <w:r w:rsidRPr="00075571">
        <w:t xml:space="preserve"> and </w:t>
      </w:r>
      <w:r w:rsidR="00EE0ADB">
        <w:t>‘</w:t>
      </w:r>
      <w:r w:rsidRPr="00075571">
        <w:t>parallel</w:t>
      </w:r>
      <w:r w:rsidR="00EE0ADB">
        <w:t>’</w:t>
      </w:r>
      <w:r>
        <w:t xml:space="preserve"> to describe these</w:t>
      </w:r>
      <w:r w:rsidRPr="00075571">
        <w:t xml:space="preserve"> (Snowden</w:t>
      </w:r>
      <w:r>
        <w:t xml:space="preserve"> </w:t>
      </w:r>
      <w:r w:rsidR="00AD0D58">
        <w:t>et al</w:t>
      </w:r>
      <w:r w:rsidRPr="00075571">
        <w:t xml:space="preserve"> 1999; see also Malik </w:t>
      </w:r>
      <w:r w:rsidR="00AD0D58">
        <w:t>et al</w:t>
      </w:r>
      <w:r w:rsidRPr="00075571">
        <w:t xml:space="preserve"> 2007; Mohan </w:t>
      </w:r>
      <w:r w:rsidR="00AD0D58">
        <w:t>et al</w:t>
      </w:r>
      <w:r w:rsidRPr="00075571">
        <w:t xml:space="preserve"> 2004</w:t>
      </w:r>
      <w:r>
        <w:t>a</w:t>
      </w:r>
      <w:r w:rsidRPr="00075571">
        <w:t xml:space="preserve">; Mohan </w:t>
      </w:r>
      <w:r w:rsidR="00AD0D58">
        <w:t>et al</w:t>
      </w:r>
      <w:r w:rsidRPr="00075571">
        <w:t xml:space="preserve"> 2004</w:t>
      </w:r>
      <w:r>
        <w:t>b</w:t>
      </w:r>
      <w:r w:rsidRPr="00075571">
        <w:t xml:space="preserve">; Puri </w:t>
      </w:r>
      <w:r>
        <w:t>and</w:t>
      </w:r>
      <w:r w:rsidRPr="00075571">
        <w:t xml:space="preserve"> Kenney-Herbert 2018). In the integrated approach, specialist FMH</w:t>
      </w:r>
      <w:r>
        <w:t>S</w:t>
      </w:r>
      <w:r w:rsidRPr="00075571">
        <w:t xml:space="preserve"> professionals work within GMHS teams and the broader mental health service. Forensic service users are therefore discharged to GMHS</w:t>
      </w:r>
      <w:r>
        <w:t>s</w:t>
      </w:r>
      <w:r w:rsidRPr="00075571">
        <w:t xml:space="preserve"> upon exiting secure (inpatient/prison) services. According to Mohan </w:t>
      </w:r>
      <w:r w:rsidR="00AD0D58">
        <w:t>et al</w:t>
      </w:r>
      <w:r w:rsidRPr="00075571">
        <w:t xml:space="preserve"> (2004</w:t>
      </w:r>
      <w:r>
        <w:t>a</w:t>
      </w:r>
      <w:r w:rsidRPr="00075571">
        <w:t xml:space="preserve">), </w:t>
      </w:r>
      <w:r w:rsidR="00EE0ADB">
        <w:t>‘</w:t>
      </w:r>
      <w:r w:rsidRPr="00075571">
        <w:t>the presence of specialist workers in a mixed team of forensic and generic staff facilitates the dissemination of specialist skills to all staff</w:t>
      </w:r>
      <w:r w:rsidR="00EE0ADB">
        <w:t>’</w:t>
      </w:r>
      <w:r w:rsidR="00AD0D58">
        <w:t xml:space="preserve"> (p. </w:t>
      </w:r>
      <w:r w:rsidRPr="00075571">
        <w:t xml:space="preserve">11; see also Malik </w:t>
      </w:r>
      <w:r w:rsidR="00AD0D58">
        <w:t>et al</w:t>
      </w:r>
      <w:r w:rsidRPr="00075571">
        <w:t xml:space="preserve"> 2007). Integrated structures may also reduce stigma, provide support and education for staff, and increase access to forensic services (Whittle </w:t>
      </w:r>
      <w:r>
        <w:t>and</w:t>
      </w:r>
      <w:r w:rsidRPr="00075571">
        <w:t xml:space="preserve"> Scally 1998). However, drawbacks include larger caseloads and attenuation of specialist skills due to working with </w:t>
      </w:r>
      <w:r>
        <w:t xml:space="preserve">GMHS </w:t>
      </w:r>
      <w:r w:rsidRPr="00075571">
        <w:t xml:space="preserve">as well as </w:t>
      </w:r>
      <w:r>
        <w:t xml:space="preserve">FMHS </w:t>
      </w:r>
      <w:r w:rsidRPr="00075571">
        <w:t xml:space="preserve">users (Malik </w:t>
      </w:r>
      <w:r w:rsidR="00AD0D58">
        <w:t>et al</w:t>
      </w:r>
      <w:r w:rsidRPr="00075571">
        <w:t xml:space="preserve"> 2007; Mohan </w:t>
      </w:r>
      <w:r w:rsidR="00AD0D58">
        <w:t>et al</w:t>
      </w:r>
      <w:r w:rsidRPr="00075571">
        <w:t xml:space="preserve"> 2004</w:t>
      </w:r>
      <w:r>
        <w:t>a</w:t>
      </w:r>
      <w:r w:rsidRPr="00075571">
        <w:t>).</w:t>
      </w:r>
    </w:p>
    <w:p w14:paraId="0183AEFD" w14:textId="77777777" w:rsidR="009636B7" w:rsidRPr="00075571" w:rsidRDefault="009636B7" w:rsidP="0012387C"/>
    <w:p w14:paraId="33DCBE2F" w14:textId="77777777" w:rsidR="009636B7" w:rsidRDefault="009636B7" w:rsidP="0012387C">
      <w:r w:rsidRPr="00075571">
        <w:t>In contrast, in the parallel approach, specialist FMHS teams work alongside GMHS teams but are not a part of the same team. Specialist FMHS teams provide guidance and accept referrals for case management from GMHS</w:t>
      </w:r>
      <w:r>
        <w:t>s</w:t>
      </w:r>
      <w:r w:rsidRPr="00075571">
        <w:t xml:space="preserve">. Here, community FMHS teams retain responsibility for forensic mental health service users, providing </w:t>
      </w:r>
      <w:r w:rsidR="00EE0ADB">
        <w:t>‘</w:t>
      </w:r>
      <w:r w:rsidRPr="00075571">
        <w:t>outpatient follow-up and community care</w:t>
      </w:r>
      <w:r w:rsidR="00EE0ADB">
        <w:t>’</w:t>
      </w:r>
      <w:r w:rsidRPr="00075571">
        <w:t xml:space="preserve"> (Puri </w:t>
      </w:r>
      <w:r>
        <w:t>and</w:t>
      </w:r>
      <w:r w:rsidRPr="00075571">
        <w:t xml:space="preserve"> Kenney-Herbert 2018</w:t>
      </w:r>
      <w:r w:rsidR="005054ED">
        <w:t>, p. </w:t>
      </w:r>
      <w:r w:rsidRPr="00075571">
        <w:t xml:space="preserve">709). Benefits of this approach include smaller caseloads, though access may be hindered by the </w:t>
      </w:r>
      <w:r w:rsidR="00EE0ADB">
        <w:t>‘</w:t>
      </w:r>
      <w:r w:rsidRPr="00075571">
        <w:t>separate gate-keeping system</w:t>
      </w:r>
      <w:r w:rsidR="00EE0ADB">
        <w:t>’</w:t>
      </w:r>
      <w:r w:rsidRPr="00075571">
        <w:t xml:space="preserve"> for each service, and there may be a lack of continuity of care between the services (Mohan </w:t>
      </w:r>
      <w:r w:rsidR="00AD0D58">
        <w:t>et al</w:t>
      </w:r>
      <w:r w:rsidRPr="00075571">
        <w:t xml:space="preserve"> 2004</w:t>
      </w:r>
      <w:r>
        <w:t>a</w:t>
      </w:r>
      <w:r w:rsidR="005054ED">
        <w:t>, p. </w:t>
      </w:r>
      <w:r w:rsidRPr="00075571">
        <w:t xml:space="preserve">11; see also Malik </w:t>
      </w:r>
      <w:r w:rsidR="00AD0D58">
        <w:t>et al</w:t>
      </w:r>
      <w:r w:rsidRPr="00075571">
        <w:t xml:space="preserve"> 2007). In many international contexts, the parallel approach is the dominant structure of community FMHS</w:t>
      </w:r>
      <w:r>
        <w:t>s</w:t>
      </w:r>
      <w:r w:rsidRPr="00075571">
        <w:t>. In England and Wales, for example, 80</w:t>
      </w:r>
      <w:r>
        <w:t> percent</w:t>
      </w:r>
      <w:r w:rsidRPr="00075571">
        <w:t xml:space="preserve"> of services follow the parallel approach (Judge</w:t>
      </w:r>
      <w:r>
        <w:t xml:space="preserve"> </w:t>
      </w:r>
      <w:r w:rsidR="00AD0D58">
        <w:t>et al</w:t>
      </w:r>
      <w:r w:rsidRPr="00075571">
        <w:t xml:space="preserve"> 2004). </w:t>
      </w:r>
      <w:r w:rsidR="0012387C">
        <w:fldChar w:fldCharType="begin"/>
      </w:r>
      <w:r w:rsidR="0012387C">
        <w:instrText xml:space="preserve"> REF _Ref89852359 \h </w:instrText>
      </w:r>
      <w:r w:rsidR="0012387C">
        <w:fldChar w:fldCharType="separate"/>
      </w:r>
      <w:r w:rsidR="00F73238">
        <w:t>Figure </w:t>
      </w:r>
      <w:r w:rsidR="00F73238">
        <w:rPr>
          <w:noProof/>
        </w:rPr>
        <w:t>6</w:t>
      </w:r>
      <w:r w:rsidR="0012387C">
        <w:fldChar w:fldCharType="end"/>
      </w:r>
      <w:r w:rsidRPr="00075571">
        <w:t xml:space="preserve"> </w:t>
      </w:r>
      <w:r>
        <w:t xml:space="preserve">summarises the differences between </w:t>
      </w:r>
      <w:r w:rsidRPr="00075571">
        <w:t xml:space="preserve">integrated </w:t>
      </w:r>
      <w:r>
        <w:t xml:space="preserve">and </w:t>
      </w:r>
      <w:r w:rsidRPr="00075571">
        <w:t>parallel structures.</w:t>
      </w:r>
    </w:p>
    <w:p w14:paraId="3678D33D" w14:textId="77777777" w:rsidR="009636B7" w:rsidRDefault="009636B7" w:rsidP="0012387C"/>
    <w:p w14:paraId="544C990C" w14:textId="77777777" w:rsidR="009636B7" w:rsidRDefault="0012387C" w:rsidP="0012387C">
      <w:pPr>
        <w:pStyle w:val="Figure"/>
        <w:rPr>
          <w:noProof/>
          <w:lang w:eastAsia="en-NZ"/>
        </w:rPr>
      </w:pPr>
      <w:bookmarkStart w:id="93" w:name="_Ref89852359"/>
      <w:bookmarkStart w:id="94" w:name="_Toc90026031"/>
      <w:r>
        <w:lastRenderedPageBreak/>
        <w:t>Figure </w:t>
      </w:r>
      <w:r w:rsidR="002C1FB3">
        <w:fldChar w:fldCharType="begin"/>
      </w:r>
      <w:r w:rsidR="002C1FB3">
        <w:instrText xml:space="preserve"> SEQ Figure \* ARABIC </w:instrText>
      </w:r>
      <w:r w:rsidR="002C1FB3">
        <w:fldChar w:fldCharType="separate"/>
      </w:r>
      <w:r w:rsidR="00F73238">
        <w:rPr>
          <w:noProof/>
        </w:rPr>
        <w:t>6</w:t>
      </w:r>
      <w:r w:rsidR="002C1FB3">
        <w:rPr>
          <w:noProof/>
        </w:rPr>
        <w:fldChar w:fldCharType="end"/>
      </w:r>
      <w:bookmarkEnd w:id="93"/>
      <w:r w:rsidR="009636B7" w:rsidRPr="00BD68D1">
        <w:t xml:space="preserve">: Comparison of integrated and parallel models of community </w:t>
      </w:r>
      <w:r w:rsidR="009636B7">
        <w:t xml:space="preserve">forensic mental health </w:t>
      </w:r>
      <w:r w:rsidR="009636B7" w:rsidRPr="00BD68D1">
        <w:t>teams</w:t>
      </w:r>
      <w:bookmarkEnd w:id="94"/>
    </w:p>
    <w:p w14:paraId="19984744" w14:textId="77777777" w:rsidR="0012387C" w:rsidRDefault="0012387C" w:rsidP="0012387C">
      <w:r w:rsidRPr="00231680">
        <w:rPr>
          <w:noProof/>
          <w:lang w:eastAsia="en-NZ"/>
        </w:rPr>
        <w:drawing>
          <wp:inline distT="0" distB="0" distL="0" distR="0" wp14:anchorId="5D7949D8" wp14:editId="2972ECF5">
            <wp:extent cx="3233651" cy="3631617"/>
            <wp:effectExtent l="0" t="0" r="5080" b="6985"/>
            <wp:docPr id="16" name="Picture 16" descr="Integrated and parallel models with description, advantages and disadva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ntegrated and parallel models with description, advantages and disadvantag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36530" cy="3634851"/>
                    </a:xfrm>
                    <a:prstGeom prst="rect">
                      <a:avLst/>
                    </a:prstGeom>
                    <a:noFill/>
                  </pic:spPr>
                </pic:pic>
              </a:graphicData>
            </a:graphic>
          </wp:inline>
        </w:drawing>
      </w:r>
    </w:p>
    <w:p w14:paraId="01F2B062" w14:textId="77777777" w:rsidR="00EE0ADB" w:rsidRDefault="009636B7" w:rsidP="0012387C">
      <w:pPr>
        <w:pStyle w:val="Note"/>
      </w:pPr>
      <w:bookmarkStart w:id="95" w:name="_Toc88823329"/>
      <w:r>
        <w:t>Note: The a</w:t>
      </w:r>
      <w:r w:rsidRPr="00075571">
        <w:t xml:space="preserve">bbreviations </w:t>
      </w:r>
      <w:r w:rsidR="00EE0ADB">
        <w:t>‘</w:t>
      </w:r>
      <w:r w:rsidRPr="00075571">
        <w:t>CFW</w:t>
      </w:r>
      <w:r w:rsidR="00EE0ADB">
        <w:t>’</w:t>
      </w:r>
      <w:r w:rsidRPr="00075571">
        <w:t xml:space="preserve"> and </w:t>
      </w:r>
      <w:r w:rsidR="00EE0ADB">
        <w:t>‘</w:t>
      </w:r>
      <w:r w:rsidRPr="00075571">
        <w:t>CJS</w:t>
      </w:r>
      <w:r w:rsidR="00EE0ADB">
        <w:t>’</w:t>
      </w:r>
      <w:r w:rsidRPr="00075571">
        <w:t xml:space="preserve"> reflect the U</w:t>
      </w:r>
      <w:r>
        <w:t xml:space="preserve">nited </w:t>
      </w:r>
      <w:r w:rsidRPr="00075571">
        <w:t>K</w:t>
      </w:r>
      <w:r>
        <w:t>ingdom</w:t>
      </w:r>
      <w:r w:rsidRPr="00075571">
        <w:t xml:space="preserve"> context</w:t>
      </w:r>
      <w:r>
        <w:t xml:space="preserve"> of the source</w:t>
      </w:r>
      <w:r w:rsidRPr="00075571">
        <w:t xml:space="preserve">. In the </w:t>
      </w:r>
      <w:r>
        <w:t>Aotearoa New Zealand</w:t>
      </w:r>
      <w:r w:rsidRPr="00075571">
        <w:t xml:space="preserve"> context, </w:t>
      </w:r>
      <w:r w:rsidR="00EE0ADB">
        <w:t>‘</w:t>
      </w:r>
      <w:r w:rsidRPr="00075571">
        <w:t>CFWs</w:t>
      </w:r>
      <w:r w:rsidR="00EE0ADB">
        <w:t>’</w:t>
      </w:r>
      <w:r w:rsidRPr="00075571">
        <w:t xml:space="preserve"> equate to FMHS staff.</w:t>
      </w:r>
      <w:bookmarkEnd w:id="95"/>
    </w:p>
    <w:p w14:paraId="56654750" w14:textId="77777777" w:rsidR="009636B7" w:rsidRPr="00075571" w:rsidRDefault="009636B7" w:rsidP="0012387C">
      <w:pPr>
        <w:pStyle w:val="Source"/>
      </w:pPr>
      <w:bookmarkStart w:id="96" w:name="_Toc88823330"/>
      <w:r w:rsidRPr="00075571">
        <w:t xml:space="preserve">Source: Mohan </w:t>
      </w:r>
      <w:r w:rsidR="00AD0D58">
        <w:t>et al</w:t>
      </w:r>
      <w:r>
        <w:t xml:space="preserve"> </w:t>
      </w:r>
      <w:r w:rsidRPr="00075571">
        <w:t>2004</w:t>
      </w:r>
      <w:r>
        <w:t>a</w:t>
      </w:r>
      <w:r w:rsidR="005054ED">
        <w:t>, p. </w:t>
      </w:r>
      <w:r w:rsidRPr="00075571">
        <w:t>12</w:t>
      </w:r>
      <w:bookmarkEnd w:id="96"/>
    </w:p>
    <w:p w14:paraId="066DAC3F" w14:textId="77777777" w:rsidR="0012387C" w:rsidRDefault="0012387C" w:rsidP="0012387C"/>
    <w:p w14:paraId="3875B1BF" w14:textId="77777777" w:rsidR="009636B7" w:rsidRPr="00075571" w:rsidRDefault="009636B7" w:rsidP="0012387C">
      <w:r w:rsidRPr="00075571">
        <w:t xml:space="preserve">In practice, however, as Mohan </w:t>
      </w:r>
      <w:r w:rsidR="00AD0D58">
        <w:t>et al</w:t>
      </w:r>
      <w:r w:rsidRPr="00075571">
        <w:t xml:space="preserve"> (2004</w:t>
      </w:r>
      <w:r>
        <w:t>a</w:t>
      </w:r>
      <w:r w:rsidRPr="00075571">
        <w:t xml:space="preserve">) note, </w:t>
      </w:r>
      <w:r w:rsidR="00EE0ADB">
        <w:t>‘</w:t>
      </w:r>
      <w:r w:rsidRPr="00075571">
        <w:t xml:space="preserve">it is likely that the two models [approaches] are on a continuum and many existing services are a combination of the two (Tighe </w:t>
      </w:r>
      <w:r w:rsidR="00AD0D58">
        <w:t>et al</w:t>
      </w:r>
      <w:r w:rsidRPr="00075571">
        <w:t xml:space="preserve"> 2002)</w:t>
      </w:r>
      <w:r w:rsidR="00EE0ADB">
        <w:t>’</w:t>
      </w:r>
      <w:r w:rsidR="00AD0D58">
        <w:t xml:space="preserve"> (p. </w:t>
      </w:r>
      <w:r w:rsidRPr="00075571">
        <w:t xml:space="preserve">11; see also Malik </w:t>
      </w:r>
      <w:r w:rsidR="00AD0D58">
        <w:t>et al</w:t>
      </w:r>
      <w:r w:rsidRPr="00075571">
        <w:t xml:space="preserve"> 2007). Indeed, in a study of community FMHS structures in the United Kingdom, Mohan </w:t>
      </w:r>
      <w:r w:rsidR="00AD0D58">
        <w:t>et al</w:t>
      </w:r>
      <w:r w:rsidRPr="00075571">
        <w:t xml:space="preserve"> (2004</w:t>
      </w:r>
      <w:r>
        <w:t>b</w:t>
      </w:r>
      <w:r w:rsidRPr="00075571">
        <w:t xml:space="preserve">) noted the overlap of characteristics between the structures, suggesting </w:t>
      </w:r>
      <w:r>
        <w:t xml:space="preserve">that, </w:t>
      </w:r>
      <w:r w:rsidRPr="00075571">
        <w:t xml:space="preserve">while most services may view themselves as parallel, they are likely to be </w:t>
      </w:r>
      <w:r w:rsidR="00EE0ADB">
        <w:t>‘</w:t>
      </w:r>
      <w:r w:rsidRPr="00075571">
        <w:t>hybrid</w:t>
      </w:r>
      <w:r w:rsidR="00EE0ADB">
        <w:t>’</w:t>
      </w:r>
      <w:r w:rsidRPr="00075571">
        <w:t xml:space="preserve"> in practice. In a hybrid approach, some service users stay with forensic services while others are discharged to GMHS</w:t>
      </w:r>
      <w:r>
        <w:t>s; this is</w:t>
      </w:r>
      <w:r w:rsidRPr="00075571">
        <w:t xml:space="preserve"> determined on a case-by-case basis, depending on the service user</w:t>
      </w:r>
      <w:r w:rsidR="00EE0ADB">
        <w:t>’</w:t>
      </w:r>
      <w:r w:rsidRPr="00075571">
        <w:t xml:space="preserve">s history of offending, risk factors, legal status and individual needs (Puri </w:t>
      </w:r>
      <w:r>
        <w:t>and</w:t>
      </w:r>
      <w:r w:rsidRPr="00075571">
        <w:t xml:space="preserve"> Kenney-Herbert 2018). Natarajan</w:t>
      </w:r>
      <w:r>
        <w:t xml:space="preserve"> </w:t>
      </w:r>
      <w:r w:rsidR="00AD0D58">
        <w:t>et al</w:t>
      </w:r>
      <w:r w:rsidRPr="00075571">
        <w:t xml:space="preserve"> (2012) further define the hybrid approach, particularly in the U</w:t>
      </w:r>
      <w:r>
        <w:t xml:space="preserve">nited </w:t>
      </w:r>
      <w:r w:rsidRPr="00075571">
        <w:t>K</w:t>
      </w:r>
      <w:r>
        <w:t>ingdom</w:t>
      </w:r>
      <w:r w:rsidRPr="00075571">
        <w:t xml:space="preserve"> context:</w:t>
      </w:r>
    </w:p>
    <w:p w14:paraId="1630C375" w14:textId="77777777" w:rsidR="009636B7" w:rsidRPr="00075571" w:rsidRDefault="009636B7" w:rsidP="0012387C">
      <w:pPr>
        <w:pStyle w:val="Quote"/>
      </w:pPr>
      <w:r w:rsidRPr="00075571">
        <w:t xml:space="preserve">This model [approach] runs integrated services but uses </w:t>
      </w:r>
      <w:r w:rsidR="00EE0ADB">
        <w:t>‘</w:t>
      </w:r>
      <w:r w:rsidRPr="00075571">
        <w:t>shared care</w:t>
      </w:r>
      <w:r w:rsidR="00EE0ADB">
        <w:t>’</w:t>
      </w:r>
      <w:r w:rsidRPr="00075571">
        <w:t xml:space="preserve"> in the critical period following discharge, with forensic services retaining long-term responsibility for the </w:t>
      </w:r>
      <w:r w:rsidR="00EE0ADB">
        <w:t>‘</w:t>
      </w:r>
      <w:r w:rsidRPr="00075571">
        <w:t>critical few</w:t>
      </w:r>
      <w:r w:rsidR="00EE0ADB">
        <w:t>’</w:t>
      </w:r>
      <w:r w:rsidRPr="00075571">
        <w:t xml:space="preserve"> who are considered to be high-risk offenders, such as those on restriction orders. If readmission is necessary, it will usually be to a local general psychiatric hospital; in certain circumstances the patient will return to the medium secure unit (particularly in the case of the </w:t>
      </w:r>
      <w:r w:rsidR="00EE0ADB">
        <w:t>‘</w:t>
      </w:r>
      <w:r w:rsidRPr="00075571">
        <w:t>critical few</w:t>
      </w:r>
      <w:r w:rsidR="00EE0ADB">
        <w:t>’</w:t>
      </w:r>
      <w:r w:rsidRPr="00075571">
        <w:t>).</w:t>
      </w:r>
      <w:r w:rsidR="00AD0D58">
        <w:t xml:space="preserve"> (p. </w:t>
      </w:r>
      <w:r w:rsidRPr="00075571">
        <w:t>409)</w:t>
      </w:r>
    </w:p>
    <w:p w14:paraId="67C71586" w14:textId="77777777" w:rsidR="009636B7" w:rsidRPr="00075571" w:rsidRDefault="009636B7" w:rsidP="0012387C"/>
    <w:p w14:paraId="5B91B475" w14:textId="77777777" w:rsidR="009636B7" w:rsidRPr="00075571" w:rsidRDefault="009636B7" w:rsidP="0012387C">
      <w:pPr>
        <w:keepLines/>
      </w:pPr>
      <w:r w:rsidRPr="00075571">
        <w:lastRenderedPageBreak/>
        <w:t xml:space="preserve">According to this definition, in Aotearoa </w:t>
      </w:r>
      <w:r>
        <w:t>New Zealand</w:t>
      </w:r>
      <w:r w:rsidRPr="00075571">
        <w:t xml:space="preserve">, </w:t>
      </w:r>
      <w:r>
        <w:t xml:space="preserve">the approach within </w:t>
      </w:r>
      <w:r w:rsidRPr="00075571">
        <w:t>community FMHS</w:t>
      </w:r>
      <w:r>
        <w:t>s</w:t>
      </w:r>
      <w:r w:rsidRPr="00075571">
        <w:t xml:space="preserve"> </w:t>
      </w:r>
      <w:r>
        <w:t xml:space="preserve">is </w:t>
      </w:r>
      <w:r w:rsidRPr="00075571">
        <w:t xml:space="preserve">most similar to </w:t>
      </w:r>
      <w:r>
        <w:t xml:space="preserve">this </w:t>
      </w:r>
      <w:r w:rsidR="00EE0ADB">
        <w:t>‘</w:t>
      </w:r>
      <w:r w:rsidRPr="00075571">
        <w:t>hybrid</w:t>
      </w:r>
      <w:r w:rsidR="00EE0ADB">
        <w:t>’</w:t>
      </w:r>
      <w:r w:rsidRPr="00075571">
        <w:t xml:space="preserve"> </w:t>
      </w:r>
      <w:r w:rsidRPr="00B96FF3">
        <w:t>approach</w:t>
      </w:r>
      <w:r w:rsidRPr="00075571">
        <w:t>, as previously indicated, as they combine integrated consultation and liaison services with parallel case management of a small group of individuals</w:t>
      </w:r>
      <w:r>
        <w:t>;</w:t>
      </w:r>
      <w:r w:rsidRPr="00075571">
        <w:t xml:space="preserve"> mainly those designated as special and restricted patients under the Mental Health </w:t>
      </w:r>
      <w:r>
        <w:t xml:space="preserve">(Compulsory Assessment and Treatment) </w:t>
      </w:r>
      <w:r w:rsidRPr="00075571">
        <w:t>Act</w:t>
      </w:r>
      <w:r>
        <w:t xml:space="preserve"> 1992</w:t>
      </w:r>
      <w:r w:rsidRPr="00075571">
        <w:t xml:space="preserve"> (Skipworth </w:t>
      </w:r>
      <w:r>
        <w:t>and</w:t>
      </w:r>
      <w:r w:rsidRPr="00075571">
        <w:t xml:space="preserve"> Lindqvist 2007).</w:t>
      </w:r>
    </w:p>
    <w:p w14:paraId="7FC4D33A" w14:textId="77777777" w:rsidR="009636B7" w:rsidRPr="00075571" w:rsidRDefault="009636B7" w:rsidP="0012387C"/>
    <w:p w14:paraId="3CE85966" w14:textId="77777777" w:rsidR="009636B7" w:rsidRPr="00075571" w:rsidRDefault="009636B7" w:rsidP="0012387C">
      <w:r w:rsidRPr="00075571">
        <w:t xml:space="preserve">It is important to note in this discussion that the terminology of </w:t>
      </w:r>
      <w:r w:rsidR="00EE0ADB">
        <w:t>‘</w:t>
      </w:r>
      <w:r w:rsidRPr="00075571">
        <w:t>integrated</w:t>
      </w:r>
      <w:r w:rsidR="00EE0ADB">
        <w:t>’</w:t>
      </w:r>
      <w:r w:rsidRPr="00075571">
        <w:t xml:space="preserve"> versus </w:t>
      </w:r>
      <w:r w:rsidR="00EE0ADB">
        <w:t>‘</w:t>
      </w:r>
      <w:r w:rsidRPr="00075571">
        <w:t>parallel</w:t>
      </w:r>
      <w:r w:rsidR="00EE0ADB">
        <w:t>’</w:t>
      </w:r>
      <w:r w:rsidRPr="00075571">
        <w:t xml:space="preserve"> may not be useful in clinical practice. As Snowden </w:t>
      </w:r>
      <w:r w:rsidR="00AD0D58">
        <w:t>et al</w:t>
      </w:r>
      <w:r w:rsidRPr="00075571">
        <w:t xml:space="preserve"> (1999) argue</w:t>
      </w:r>
      <w:r>
        <w:t>:</w:t>
      </w:r>
    </w:p>
    <w:p w14:paraId="38BA6550" w14:textId="77777777" w:rsidR="009636B7" w:rsidRPr="00075571" w:rsidRDefault="009636B7" w:rsidP="0012387C">
      <w:pPr>
        <w:pStyle w:val="Quote"/>
      </w:pPr>
      <w:r w:rsidRPr="00075571">
        <w:t xml:space="preserve">the integrated/parallel debate has become confused because of terminology. Is it the patient, the service, or the organizational structure that is parallel? </w:t>
      </w:r>
      <w:r>
        <w:t>…</w:t>
      </w:r>
      <w:r w:rsidRPr="00075571">
        <w:t xml:space="preserve"> The debate about the merits of parallel care is in many ways meaningless as it does not describe what is being provided. Those responsible for commissioning services misunderstand what the label means, especially as integration of mental health services can also be used to refer to integration of health and social services, not specialist and local services.</w:t>
      </w:r>
      <w:r w:rsidR="00AD0D58">
        <w:t xml:space="preserve"> (p. </w:t>
      </w:r>
      <w:r w:rsidRPr="00075571">
        <w:t>592)</w:t>
      </w:r>
    </w:p>
    <w:p w14:paraId="61CD7DEF" w14:textId="77777777" w:rsidR="009636B7" w:rsidRPr="00075571" w:rsidRDefault="009636B7" w:rsidP="0012387C"/>
    <w:p w14:paraId="23652BCB" w14:textId="77777777" w:rsidR="009636B7" w:rsidRDefault="009636B7" w:rsidP="0012387C">
      <w:r w:rsidRPr="00075571">
        <w:t xml:space="preserve">Snowden </w:t>
      </w:r>
      <w:r w:rsidR="00AD0D58">
        <w:t>et al</w:t>
      </w:r>
      <w:r w:rsidRPr="00075571">
        <w:t xml:space="preserve"> (1999) thus offer an alternative way to describe the various combinations of community FMHS</w:t>
      </w:r>
      <w:r>
        <w:t>s</w:t>
      </w:r>
      <w:r w:rsidRPr="00075571">
        <w:t xml:space="preserve"> according to level of risk, as discussed below in relation to the rehabilitation approach.</w:t>
      </w:r>
    </w:p>
    <w:p w14:paraId="7B4DC8C9" w14:textId="77777777" w:rsidR="0012387C" w:rsidRPr="00075571" w:rsidRDefault="0012387C" w:rsidP="0012387C"/>
    <w:p w14:paraId="721CB024" w14:textId="77777777" w:rsidR="00EE0ADB" w:rsidRDefault="009636B7" w:rsidP="0012387C">
      <w:pPr>
        <w:pStyle w:val="Heading4"/>
      </w:pPr>
      <w:r w:rsidRPr="00075571">
        <w:t xml:space="preserve">Forensic </w:t>
      </w:r>
      <w:r>
        <w:t>m</w:t>
      </w:r>
      <w:r w:rsidRPr="00075571">
        <w:t xml:space="preserve">ental </w:t>
      </w:r>
      <w:r>
        <w:t>h</w:t>
      </w:r>
      <w:r w:rsidRPr="00075571">
        <w:t xml:space="preserve">ealth </w:t>
      </w:r>
      <w:r>
        <w:t>c</w:t>
      </w:r>
      <w:r w:rsidRPr="00075571">
        <w:t xml:space="preserve">ase </w:t>
      </w:r>
      <w:r>
        <w:t>m</w:t>
      </w:r>
      <w:r w:rsidRPr="00075571">
        <w:t>anagement</w:t>
      </w:r>
    </w:p>
    <w:p w14:paraId="519E4F49" w14:textId="77777777" w:rsidR="009636B7" w:rsidRPr="00075571" w:rsidRDefault="009636B7" w:rsidP="0012387C">
      <w:r w:rsidRPr="00075571">
        <w:t xml:space="preserve">Literature on FMHS case management structures, particularly forensic assertive community treatment (FACT), comprised a substantial segment of the review results. Forensic case management structures are similar to GMHS case management </w:t>
      </w:r>
      <w:r>
        <w:t xml:space="preserve">structures </w:t>
      </w:r>
      <w:r w:rsidRPr="00075571">
        <w:t xml:space="preserve">in that they typically encompass </w:t>
      </w:r>
      <w:r w:rsidR="00EE0ADB">
        <w:t>‘</w:t>
      </w:r>
      <w:r w:rsidRPr="00075571">
        <w:t>assessment, individual service planning, implementation, and review</w:t>
      </w:r>
      <w:r w:rsidR="00EE0ADB">
        <w:t>’</w:t>
      </w:r>
      <w:r w:rsidRPr="00075571">
        <w:t xml:space="preserve"> (Kelly</w:t>
      </w:r>
      <w:r>
        <w:t xml:space="preserve"> </w:t>
      </w:r>
      <w:r w:rsidR="00AD0D58">
        <w:t>et al</w:t>
      </w:r>
      <w:r w:rsidRPr="00075571">
        <w:t xml:space="preserve"> 2002</w:t>
      </w:r>
      <w:r w:rsidR="005054ED">
        <w:t>, p. </w:t>
      </w:r>
      <w:r w:rsidRPr="00075571">
        <w:t xml:space="preserve">208). Case managers play a critical role in community mental health by acting as liaisons who coordinate </w:t>
      </w:r>
      <w:r w:rsidR="00EE0ADB">
        <w:t>‘</w:t>
      </w:r>
      <w:r w:rsidRPr="00075571">
        <w:t>mental health services with healthcare, housing, transportation, employment, social relationships, and community participation</w:t>
      </w:r>
      <w:r w:rsidR="00EE0ADB">
        <w:t>’</w:t>
      </w:r>
      <w:r>
        <w:t>,</w:t>
      </w:r>
      <w:r w:rsidRPr="00075571">
        <w:t xml:space="preserve"> which are </w:t>
      </w:r>
      <w:r w:rsidR="00EE0ADB">
        <w:t>‘</w:t>
      </w:r>
      <w:r w:rsidRPr="00075571">
        <w:t>essential components for successful community re-entry and integral in managing mental health symptoms</w:t>
      </w:r>
      <w:r w:rsidR="00EE0ADB">
        <w:t>’</w:t>
      </w:r>
      <w:r w:rsidRPr="00075571">
        <w:t xml:space="preserve"> for </w:t>
      </w:r>
      <w:r>
        <w:t xml:space="preserve">FMHS </w:t>
      </w:r>
      <w:r w:rsidRPr="00075571">
        <w:t>users in the community (Leutwyler</w:t>
      </w:r>
      <w:r>
        <w:t xml:space="preserve"> </w:t>
      </w:r>
      <w:r w:rsidR="00AD0D58">
        <w:t>et al</w:t>
      </w:r>
      <w:r w:rsidRPr="00075571">
        <w:t xml:space="preserve"> 201</w:t>
      </w:r>
      <w:r>
        <w:t>7</w:t>
      </w:r>
      <w:r w:rsidR="005054ED">
        <w:t>, p. </w:t>
      </w:r>
      <w:r w:rsidRPr="00075571">
        <w:t>168). Effective case management has been shown to reduce rates of rehospitalisation and recidivism, and increase engagement with community FMHS</w:t>
      </w:r>
      <w:r>
        <w:t>s</w:t>
      </w:r>
      <w:r w:rsidRPr="00075571">
        <w:t xml:space="preserve"> (Kelly </w:t>
      </w:r>
      <w:r w:rsidR="00AD0D58">
        <w:t>et al</w:t>
      </w:r>
      <w:r w:rsidRPr="00075571">
        <w:t xml:space="preserve"> 2002; Leutwyler </w:t>
      </w:r>
      <w:r w:rsidR="00AD0D58">
        <w:t>et al</w:t>
      </w:r>
      <w:r w:rsidRPr="00075571">
        <w:t xml:space="preserve"> 201</w:t>
      </w:r>
      <w:r>
        <w:t>7</w:t>
      </w:r>
      <w:r w:rsidRPr="00075571">
        <w:t>; Pearsall</w:t>
      </w:r>
      <w:r>
        <w:t xml:space="preserve"> </w:t>
      </w:r>
      <w:r w:rsidR="00AD0D58">
        <w:t>et al</w:t>
      </w:r>
      <w:r w:rsidRPr="00075571">
        <w:t xml:space="preserve"> 2014).</w:t>
      </w:r>
    </w:p>
    <w:p w14:paraId="41548740" w14:textId="77777777" w:rsidR="009636B7" w:rsidRPr="00075571" w:rsidRDefault="009636B7" w:rsidP="0012387C"/>
    <w:p w14:paraId="62D57305" w14:textId="77777777" w:rsidR="00EE0ADB" w:rsidRDefault="009636B7" w:rsidP="0012387C">
      <w:r w:rsidRPr="00075571">
        <w:t>The FMHS context differs from</w:t>
      </w:r>
      <w:r>
        <w:t xml:space="preserve"> the</w:t>
      </w:r>
      <w:r w:rsidRPr="00075571">
        <w:t xml:space="preserve"> GMHS context in that it requires a focus on risk/harm minimi</w:t>
      </w:r>
      <w:r>
        <w:t>s</w:t>
      </w:r>
      <w:r w:rsidRPr="00075571">
        <w:t xml:space="preserve">ation and </w:t>
      </w:r>
      <w:r w:rsidRPr="00F45309">
        <w:t>recidi</w:t>
      </w:r>
      <w:r>
        <w:t>vi</w:t>
      </w:r>
      <w:r w:rsidRPr="00F45309">
        <w:t>sm</w:t>
      </w:r>
      <w:r w:rsidRPr="00075571">
        <w:t xml:space="preserve"> reduction. There are a number of general structures of forensic case management, including FACT, forensic intensive case management (FICM) and integrated dual diagnosis treatment (IDDT</w:t>
      </w:r>
      <w:r>
        <w:t>)</w:t>
      </w:r>
      <w:r w:rsidRPr="00075571">
        <w:t xml:space="preserve"> </w:t>
      </w:r>
      <w:r>
        <w:t>(</w:t>
      </w:r>
      <w:r w:rsidRPr="00075571">
        <w:t xml:space="preserve">Jennings 2009), as well as specific localised approaches, for example the Forensicare approach in Victoria, Australia (Kelly </w:t>
      </w:r>
      <w:r w:rsidR="00AD0D58">
        <w:t>et al</w:t>
      </w:r>
      <w:r w:rsidRPr="00075571">
        <w:t xml:space="preserve"> 2002) and the forensic continuum structure of the Arkansas </w:t>
      </w:r>
      <w:r w:rsidRPr="00DD29A3">
        <w:t>Partnership</w:t>
      </w:r>
      <w:r w:rsidRPr="00075571">
        <w:t xml:space="preserve"> Program in the United States, which has also been adapted for the U</w:t>
      </w:r>
      <w:r>
        <w:t xml:space="preserve">nited </w:t>
      </w:r>
      <w:r w:rsidRPr="00075571">
        <w:t>K</w:t>
      </w:r>
      <w:r>
        <w:t>ingdom</w:t>
      </w:r>
      <w:r w:rsidRPr="00075571">
        <w:t xml:space="preserve"> context (Jennings 2009; Smith</w:t>
      </w:r>
      <w:r>
        <w:t xml:space="preserve"> </w:t>
      </w:r>
      <w:r w:rsidR="00AD0D58">
        <w:t>et al</w:t>
      </w:r>
      <w:r w:rsidRPr="00075571">
        <w:t xml:space="preserve"> 2010). However, </w:t>
      </w:r>
      <w:r w:rsidR="00EE0ADB">
        <w:t>‘</w:t>
      </w:r>
      <w:r w:rsidRPr="00075571">
        <w:t xml:space="preserve">no international, national, or </w:t>
      </w:r>
      <w:r w:rsidRPr="00DD29A3">
        <w:t>state-wide</w:t>
      </w:r>
      <w:r w:rsidRPr="00075571">
        <w:t xml:space="preserve"> guidelines exist to ensure that formerly incarcerated individuals with SMI [serious mental illness] receive case management upon community re-entry despite evidence that such services can prevent further criminal justice involvement</w:t>
      </w:r>
      <w:r w:rsidR="00EE0ADB">
        <w:t>’</w:t>
      </w:r>
      <w:r w:rsidRPr="00075571">
        <w:t xml:space="preserve"> (Leutwyler </w:t>
      </w:r>
      <w:r w:rsidR="00AD0D58">
        <w:t>et al</w:t>
      </w:r>
      <w:r w:rsidRPr="00075571">
        <w:t xml:space="preserve"> 201</w:t>
      </w:r>
      <w:r>
        <w:t>7</w:t>
      </w:r>
      <w:r w:rsidR="005054ED">
        <w:t>, p. </w:t>
      </w:r>
      <w:r w:rsidRPr="00075571">
        <w:t>168).</w:t>
      </w:r>
    </w:p>
    <w:p w14:paraId="31AA7FAD" w14:textId="77777777" w:rsidR="0012387C" w:rsidRDefault="0012387C" w:rsidP="0012387C"/>
    <w:p w14:paraId="74F0E929" w14:textId="77777777" w:rsidR="009636B7" w:rsidRPr="00075571" w:rsidRDefault="009636B7" w:rsidP="0012387C">
      <w:pPr>
        <w:pStyle w:val="Heading4"/>
      </w:pPr>
      <w:r w:rsidRPr="00075571">
        <w:lastRenderedPageBreak/>
        <w:t xml:space="preserve">Forensic </w:t>
      </w:r>
      <w:r>
        <w:t>a</w:t>
      </w:r>
      <w:r w:rsidRPr="00075571">
        <w:t xml:space="preserve">ssertive </w:t>
      </w:r>
      <w:r>
        <w:t>c</w:t>
      </w:r>
      <w:r w:rsidRPr="00075571">
        <w:t xml:space="preserve">ommunity </w:t>
      </w:r>
      <w:r>
        <w:t>t</w:t>
      </w:r>
      <w:r w:rsidRPr="00075571">
        <w:t>reatment</w:t>
      </w:r>
    </w:p>
    <w:p w14:paraId="592DB783" w14:textId="77777777" w:rsidR="009636B7" w:rsidRPr="00075571" w:rsidRDefault="009636B7" w:rsidP="0012387C">
      <w:r w:rsidRPr="00075571">
        <w:t>Forensic assertive community treatment (FACT) is an approach to case management that has been found effective</w:t>
      </w:r>
      <w:r>
        <w:t xml:space="preserve"> – </w:t>
      </w:r>
      <w:r w:rsidRPr="00075571">
        <w:t>albeit with limited evidence</w:t>
      </w:r>
      <w:r>
        <w:t xml:space="preserve"> – </w:t>
      </w:r>
      <w:r w:rsidRPr="00075571">
        <w:t xml:space="preserve">in improving mental health stabilisation and community tenure, and reducing rehospitalisation (Jennings 2009; </w:t>
      </w:r>
      <w:r w:rsidRPr="000105F1">
        <w:t>Kelly</w:t>
      </w:r>
      <w:r>
        <w:t xml:space="preserve"> </w:t>
      </w:r>
      <w:r w:rsidR="00AD0D58">
        <w:t>et al</w:t>
      </w:r>
      <w:r w:rsidRPr="00075571">
        <w:t xml:space="preserve"> 2017; Lamberti </w:t>
      </w:r>
      <w:r>
        <w:t>and</w:t>
      </w:r>
      <w:r w:rsidRPr="00075571">
        <w:t xml:space="preserve"> Weisman 2010; Lamberti</w:t>
      </w:r>
      <w:r>
        <w:t xml:space="preserve"> </w:t>
      </w:r>
      <w:r w:rsidR="00AD0D58">
        <w:t>et al</w:t>
      </w:r>
      <w:r w:rsidRPr="00075571">
        <w:t xml:space="preserve"> 2004; Lamberti </w:t>
      </w:r>
      <w:r w:rsidR="00AD0D58">
        <w:t>et al</w:t>
      </w:r>
      <w:r w:rsidRPr="00075571">
        <w:t xml:space="preserve"> 2017). It has also shown promise in reducing recidivism among service users, though to varying degrees and with somewhat conflicting results (Jennings 2009; Leutwyler </w:t>
      </w:r>
      <w:r w:rsidR="00AD0D58">
        <w:t>et al</w:t>
      </w:r>
      <w:r w:rsidRPr="00075571">
        <w:t xml:space="preserve"> 201</w:t>
      </w:r>
      <w:r>
        <w:t>7</w:t>
      </w:r>
      <w:r w:rsidRPr="00075571">
        <w:t>; Marquant</w:t>
      </w:r>
      <w:r>
        <w:t xml:space="preserve"> </w:t>
      </w:r>
      <w:r w:rsidR="00AD0D58">
        <w:t>et al</w:t>
      </w:r>
      <w:r w:rsidRPr="00075571">
        <w:t xml:space="preserve"> 2016). It adapts the broader evidence-based structure of assertive community treatment (ACT), which</w:t>
      </w:r>
      <w:r>
        <w:t>:</w:t>
      </w:r>
    </w:p>
    <w:p w14:paraId="49E612E7" w14:textId="77777777" w:rsidR="009636B7" w:rsidRPr="00075571" w:rsidRDefault="009636B7" w:rsidP="0012387C">
      <w:pPr>
        <w:pStyle w:val="Quote"/>
      </w:pPr>
      <w:r w:rsidRPr="00075571">
        <w:t xml:space="preserve">calls for a </w:t>
      </w:r>
      <w:r w:rsidR="00EE0ADB">
        <w:t>‘</w:t>
      </w:r>
      <w:r w:rsidRPr="00075571">
        <w:t>total team approach</w:t>
      </w:r>
      <w:r w:rsidR="00EE0ADB">
        <w:t>’</w:t>
      </w:r>
      <w:r w:rsidRPr="00075571">
        <w:t xml:space="preserve"> by an interdisciplinary team (typically consisting of a psychiatrist, mental health nurse, social worker and/or other mental health professionals), who are dedicated to closely monitoring and supporting a specific, small caseload of persons with severe mental illness in real life community settings. Since ACT provides intensive around-the-clock assistance, it is a labor intensive methodology and is therefore usually reserved for individuals with the most severe and persistent psychiatric disorders, who are at greatest risk for homelessness and re-hospitalization.</w:t>
      </w:r>
      <w:r w:rsidR="00AD0D58">
        <w:t xml:space="preserve"> (p. </w:t>
      </w:r>
      <w:r w:rsidRPr="00075571">
        <w:t>13)</w:t>
      </w:r>
    </w:p>
    <w:p w14:paraId="1A6FFA7E" w14:textId="77777777" w:rsidR="009636B7" w:rsidRPr="00075571" w:rsidRDefault="009636B7" w:rsidP="0012387C"/>
    <w:p w14:paraId="54E96DB1" w14:textId="77777777" w:rsidR="009636B7" w:rsidRPr="00075571" w:rsidRDefault="009636B7" w:rsidP="0012387C">
      <w:r w:rsidRPr="00075571">
        <w:t xml:space="preserve">Marquant </w:t>
      </w:r>
      <w:r w:rsidR="00AD0D58">
        <w:t>et al</w:t>
      </w:r>
      <w:r w:rsidRPr="00075571">
        <w:t xml:space="preserve"> (2016) further identify the following six elements as the key components of ACT: (a) home-based treatment, (b) involvement of a psychiatrist, (c)</w:t>
      </w:r>
      <w:r w:rsidR="0012387C">
        <w:t> </w:t>
      </w:r>
      <w:r w:rsidRPr="00075571">
        <w:t>small caseload, (d) IDDT specialists, (e) integrated vocational therapy, and (f) 24/7 service delivery</w:t>
      </w:r>
      <w:r w:rsidR="00AD0D58">
        <w:t xml:space="preserve"> (p. </w:t>
      </w:r>
      <w:r w:rsidRPr="00075571">
        <w:t>873). These elements may have significant cost and resourcing implications.</w:t>
      </w:r>
    </w:p>
    <w:p w14:paraId="1A2208CD" w14:textId="77777777" w:rsidR="009636B7" w:rsidRPr="00075571" w:rsidRDefault="009636B7" w:rsidP="0012387C"/>
    <w:p w14:paraId="26B870B9" w14:textId="77777777" w:rsidR="00EE0ADB" w:rsidRDefault="009636B7" w:rsidP="0012387C">
      <w:r w:rsidRPr="00075571">
        <w:t xml:space="preserve">Akin to the broader ACT approach, in </w:t>
      </w:r>
      <w:r>
        <w:t xml:space="preserve">the </w:t>
      </w:r>
      <w:r w:rsidRPr="00075571">
        <w:t>FACT</w:t>
      </w:r>
      <w:r>
        <w:t xml:space="preserve"> context</w:t>
      </w:r>
      <w:r w:rsidRPr="00075571">
        <w:t xml:space="preserve">, a multidisciplinary team provides individualised, comprehensive, ongoing support to </w:t>
      </w:r>
      <w:r>
        <w:t xml:space="preserve">FMHS </w:t>
      </w:r>
      <w:r w:rsidRPr="00075571">
        <w:t xml:space="preserve">users that is </w:t>
      </w:r>
      <w:r w:rsidR="00EE0ADB">
        <w:t>‘</w:t>
      </w:r>
      <w:r w:rsidRPr="00075571">
        <w:t>time unlimited</w:t>
      </w:r>
      <w:r w:rsidR="00EE0ADB">
        <w:t>’</w:t>
      </w:r>
      <w:r w:rsidRPr="00075571">
        <w:t xml:space="preserve"> to monitor service users</w:t>
      </w:r>
      <w:r w:rsidR="00EE0ADB">
        <w:t>’</w:t>
      </w:r>
      <w:r w:rsidRPr="00075571">
        <w:t xml:space="preserve"> mental health symptoms as they fluctuate over time (Leutwyler </w:t>
      </w:r>
      <w:r w:rsidR="00AD0D58">
        <w:t>et al</w:t>
      </w:r>
      <w:r w:rsidRPr="00075571">
        <w:t xml:space="preserve"> 201</w:t>
      </w:r>
      <w:r>
        <w:t>7</w:t>
      </w:r>
      <w:r w:rsidRPr="00075571">
        <w:t xml:space="preserve">). The proliferation of FACT since the 1990s has led to a fair amount of diversity in approaches (Jennings 2009; Kelly </w:t>
      </w:r>
      <w:r w:rsidR="00AD0D58">
        <w:t>et al</w:t>
      </w:r>
      <w:r w:rsidRPr="00075571">
        <w:t xml:space="preserve"> 2017; Lamberti </w:t>
      </w:r>
      <w:r w:rsidR="00AD0D58">
        <w:t>et al</w:t>
      </w:r>
      <w:r w:rsidRPr="00075571">
        <w:t xml:space="preserve"> 2017) and a consequent lack of standardi</w:t>
      </w:r>
      <w:r>
        <w:t>s</w:t>
      </w:r>
      <w:r w:rsidRPr="00075571">
        <w:t xml:space="preserve">ation or guidelines governing practice. Lamberti </w:t>
      </w:r>
      <w:r w:rsidR="00AD0D58">
        <w:t>et al</w:t>
      </w:r>
      <w:r w:rsidRPr="00075571">
        <w:t xml:space="preserve"> (2004) thus restricted the definition of FACT to</w:t>
      </w:r>
      <w:r>
        <w:t>:</w:t>
      </w:r>
    </w:p>
    <w:p w14:paraId="0CC9314B" w14:textId="77777777" w:rsidR="009636B7" w:rsidRPr="00075571" w:rsidRDefault="009636B7" w:rsidP="0012387C">
      <w:pPr>
        <w:pStyle w:val="Quote"/>
      </w:pPr>
      <w:r w:rsidRPr="00075571">
        <w:t>those programs that (1) specifically serve persons with severe mental illness and histories of arrest and incarceration; (2) whose primary source of referrals is the criminal justice system; and (3) are closely coordinated with the criminal justice system. (as cited in Jennings 2009</w:t>
      </w:r>
      <w:r w:rsidR="005054ED">
        <w:t>, p. </w:t>
      </w:r>
      <w:r w:rsidRPr="00075571">
        <w:t>14)</w:t>
      </w:r>
    </w:p>
    <w:p w14:paraId="1D74B3AF" w14:textId="77777777" w:rsidR="009636B7" w:rsidRPr="00075571" w:rsidRDefault="009636B7" w:rsidP="0012387C"/>
    <w:p w14:paraId="211E0536" w14:textId="77777777" w:rsidR="009636B7" w:rsidRPr="00075571" w:rsidRDefault="009636B7" w:rsidP="0012387C">
      <w:r w:rsidRPr="00075571">
        <w:t>Despite this more concrete definition of FACT, there remains significant variability in the delivery of FACT services</w:t>
      </w:r>
      <w:r>
        <w:t xml:space="preserve">, and </w:t>
      </w:r>
      <w:r w:rsidRPr="00075571">
        <w:t>a lack of practice guidelines (Cuddeback</w:t>
      </w:r>
      <w:r>
        <w:t xml:space="preserve"> </w:t>
      </w:r>
      <w:r w:rsidR="00AD0D58">
        <w:t>et al</w:t>
      </w:r>
      <w:r w:rsidRPr="00075571">
        <w:t xml:space="preserve"> 2008), and there is little consensus concerning a program</w:t>
      </w:r>
      <w:r>
        <w:t>me</w:t>
      </w:r>
      <w:r w:rsidRPr="00075571">
        <w:t xml:space="preserve"> structure for FACT (Cuddeback</w:t>
      </w:r>
      <w:r>
        <w:t xml:space="preserve"> </w:t>
      </w:r>
      <w:r w:rsidR="00AD0D58">
        <w:t>et al</w:t>
      </w:r>
      <w:r w:rsidRPr="00075571">
        <w:t xml:space="preserve"> 2009). However, in a study of the characteristics of 28 FACT programmes, Cuddeback </w:t>
      </w:r>
      <w:r w:rsidR="00AD0D58">
        <w:t>et al</w:t>
      </w:r>
      <w:r w:rsidRPr="00075571">
        <w:t xml:space="preserve"> (2009) found practitioners generally agreed upon the following five aspects of service delivery</w:t>
      </w:r>
      <w:r>
        <w:t>.</w:t>
      </w:r>
    </w:p>
    <w:p w14:paraId="17BAAAC8" w14:textId="77777777" w:rsidR="009636B7" w:rsidRPr="00075571" w:rsidRDefault="00EE0ADB" w:rsidP="0012387C">
      <w:pPr>
        <w:pStyle w:val="Number"/>
        <w:keepNext/>
      </w:pPr>
      <w:r>
        <w:lastRenderedPageBreak/>
        <w:t>‘</w:t>
      </w:r>
      <w:r w:rsidR="009636B7" w:rsidRPr="00075571">
        <w:t>Staffing of FACT teams is of critical importance</w:t>
      </w:r>
      <w:r>
        <w:t>’</w:t>
      </w:r>
      <w:r w:rsidR="009636B7">
        <w:t xml:space="preserve"> – </w:t>
      </w:r>
      <w:r w:rsidR="009636B7" w:rsidRPr="00075571">
        <w:t xml:space="preserve">clinical expertise and special skills are required to work with and advocate for </w:t>
      </w:r>
      <w:r w:rsidR="009636B7">
        <w:t xml:space="preserve">FMHS </w:t>
      </w:r>
      <w:r w:rsidR="009636B7" w:rsidRPr="00075571">
        <w:t>users and to liaise with various services (</w:t>
      </w:r>
      <w:r w:rsidR="009636B7">
        <w:t>eg</w:t>
      </w:r>
      <w:r w:rsidR="009636B7" w:rsidRPr="00075571">
        <w:t>, police, courts, probation</w:t>
      </w:r>
      <w:r w:rsidR="009636B7">
        <w:t xml:space="preserve"> and </w:t>
      </w:r>
      <w:r w:rsidR="009636B7" w:rsidRPr="00075571">
        <w:t>corrections</w:t>
      </w:r>
      <w:r w:rsidR="009636B7">
        <w:t>)</w:t>
      </w:r>
      <w:r w:rsidR="00AD0D58">
        <w:t xml:space="preserve"> (p. </w:t>
      </w:r>
      <w:r w:rsidR="009636B7" w:rsidRPr="00075571">
        <w:t>232).</w:t>
      </w:r>
    </w:p>
    <w:p w14:paraId="6F367D0A" w14:textId="77777777" w:rsidR="009636B7" w:rsidRPr="00075571" w:rsidRDefault="00EE0ADB" w:rsidP="0012387C">
      <w:pPr>
        <w:pStyle w:val="Number"/>
        <w:keepLines/>
      </w:pPr>
      <w:r>
        <w:t>‘</w:t>
      </w:r>
      <w:r w:rsidR="009636B7" w:rsidRPr="00075571">
        <w:t>FACT consumers are not necessarily different from traditional ACT service users, but their current needs are</w:t>
      </w:r>
      <w:r>
        <w:t>’</w:t>
      </w:r>
      <w:r w:rsidR="009636B7">
        <w:t xml:space="preserve"> – </w:t>
      </w:r>
      <w:r w:rsidR="009636B7" w:rsidRPr="00075571">
        <w:t xml:space="preserve">while demographics or clinical issues between the two service user groups may be similar, the legal involvement of FACT service users as well as the prevalence of substance abuse issues </w:t>
      </w:r>
      <w:r w:rsidR="009636B7">
        <w:t>in this group represent significant differences</w:t>
      </w:r>
      <w:r w:rsidR="009636B7" w:rsidRPr="00075571">
        <w:t xml:space="preserve">. </w:t>
      </w:r>
      <w:r w:rsidR="009636B7">
        <w:t>For FACT service users</w:t>
      </w:r>
      <w:r w:rsidR="009636B7" w:rsidRPr="00075571">
        <w:t xml:space="preserve">, IDDT is particularly important. Forensic consumers also experience greater hardship obtaining housing and may be more </w:t>
      </w:r>
      <w:r>
        <w:t>‘</w:t>
      </w:r>
      <w:r w:rsidR="009636B7" w:rsidRPr="00075571">
        <w:t>challenging</w:t>
      </w:r>
      <w:r>
        <w:t>’</w:t>
      </w:r>
      <w:r w:rsidR="009636B7" w:rsidRPr="00075571">
        <w:t xml:space="preserve"> to serve (pp. 232–233).</w:t>
      </w:r>
    </w:p>
    <w:p w14:paraId="1867E64A" w14:textId="77777777" w:rsidR="00EE0ADB" w:rsidRDefault="00EE0ADB" w:rsidP="0012387C">
      <w:pPr>
        <w:pStyle w:val="Number"/>
      </w:pPr>
      <w:r>
        <w:t>‘</w:t>
      </w:r>
      <w:r w:rsidR="009636B7" w:rsidRPr="00075571">
        <w:t>FACT teams must be able to successfully interface with the criminal justice system</w:t>
      </w:r>
      <w:r>
        <w:t>’</w:t>
      </w:r>
      <w:r w:rsidR="009636B7">
        <w:t xml:space="preserve"> – </w:t>
      </w:r>
      <w:r w:rsidR="009636B7" w:rsidRPr="00075571">
        <w:t xml:space="preserve">FACT teams interface between the mental health system and the criminal justice system and must be able to negotiate </w:t>
      </w:r>
      <w:r w:rsidR="009636B7">
        <w:t>the two</w:t>
      </w:r>
      <w:r w:rsidR="009636B7" w:rsidRPr="00075571">
        <w:t xml:space="preserve">, despite their seemingly contradictory goals (therapeutic concerns </w:t>
      </w:r>
      <w:r w:rsidR="009636B7">
        <w:t>versus</w:t>
      </w:r>
      <w:r w:rsidR="009636B7" w:rsidRPr="00075571">
        <w:t xml:space="preserve"> law enforcement). FACT teams must have strong relationships with both sectors to function successfully.</w:t>
      </w:r>
    </w:p>
    <w:p w14:paraId="64FA6FE2" w14:textId="77777777" w:rsidR="00EE0ADB" w:rsidRDefault="00EE0ADB" w:rsidP="0012387C">
      <w:pPr>
        <w:pStyle w:val="Number"/>
      </w:pPr>
      <w:r>
        <w:t>‘</w:t>
      </w:r>
      <w:r w:rsidR="009636B7" w:rsidRPr="00075571">
        <w:t>FACT programs need front doors as well as back doors</w:t>
      </w:r>
      <w:r>
        <w:t>’</w:t>
      </w:r>
      <w:r w:rsidR="009636B7">
        <w:t xml:space="preserve"> – </w:t>
      </w:r>
      <w:r w:rsidR="009636B7" w:rsidRPr="00075571">
        <w:t xml:space="preserve">FACT teams must have a means of both acquiring referrals and discharging service users from a team as clinically indicated. This is </w:t>
      </w:r>
      <w:r w:rsidR="00F74BB4" w:rsidRPr="00075571">
        <w:t>notably</w:t>
      </w:r>
      <w:r w:rsidR="009636B7" w:rsidRPr="00075571">
        <w:t xml:space="preserve"> different from the traditional ACT approach, which provides time-unlimited services.</w:t>
      </w:r>
    </w:p>
    <w:p w14:paraId="76A32A7B" w14:textId="77777777" w:rsidR="00EE0ADB" w:rsidRDefault="00EE0ADB" w:rsidP="0012387C">
      <w:pPr>
        <w:pStyle w:val="Number"/>
      </w:pPr>
      <w:r>
        <w:t>‘</w:t>
      </w:r>
      <w:r w:rsidR="009636B7" w:rsidRPr="00075571">
        <w:t>Sustainable funding is a significant challenge</w:t>
      </w:r>
      <w:r>
        <w:t>’</w:t>
      </w:r>
      <w:r w:rsidR="009636B7">
        <w:t xml:space="preserve"> – </w:t>
      </w:r>
      <w:r w:rsidR="009636B7" w:rsidRPr="00075571">
        <w:t xml:space="preserve">Particularly in the </w:t>
      </w:r>
      <w:r w:rsidR="009636B7">
        <w:t>United States</w:t>
      </w:r>
      <w:r w:rsidR="009636B7" w:rsidRPr="00075571">
        <w:t xml:space="preserve"> context, the FACT program</w:t>
      </w:r>
      <w:r w:rsidR="009636B7">
        <w:t>me</w:t>
      </w:r>
      <w:r w:rsidR="009636B7" w:rsidRPr="00075571">
        <w:t>s surveyed in this study were started by seed money from various government and private foundation grants. After these funds were exhausted, program</w:t>
      </w:r>
      <w:r w:rsidR="009636B7">
        <w:t>me</w:t>
      </w:r>
      <w:r w:rsidR="009636B7" w:rsidRPr="00075571">
        <w:t>s experienced challenges obtaining additional funding. Long-term funding is required to ensure sustainability of services. This may be less of an issue in contexts where funding for such services is included in regional or national government-provided health service budgets.</w:t>
      </w:r>
    </w:p>
    <w:p w14:paraId="6CA1BAC6" w14:textId="77777777" w:rsidR="009636B7" w:rsidRPr="00075571" w:rsidRDefault="009636B7" w:rsidP="0012387C"/>
    <w:p w14:paraId="13873525" w14:textId="77777777" w:rsidR="00EE0ADB" w:rsidRDefault="009636B7" w:rsidP="0012387C">
      <w:r w:rsidRPr="00075571">
        <w:t>Further research is needed to confirm the efficacy of ACT approaches among the forensic mental health population, particularly in relation to the reduction of reoffending, and to establish best</w:t>
      </w:r>
      <w:r>
        <w:t>-</w:t>
      </w:r>
      <w:r w:rsidRPr="00075571">
        <w:t xml:space="preserve">practice guidelines (Cuddeback </w:t>
      </w:r>
      <w:r w:rsidR="00AD0D58">
        <w:t>et al</w:t>
      </w:r>
      <w:r w:rsidRPr="00075571">
        <w:t xml:space="preserve"> 2009; Jennings 2009; Kelly </w:t>
      </w:r>
      <w:r w:rsidR="00AD0D58">
        <w:t>et al</w:t>
      </w:r>
      <w:r w:rsidRPr="00075571">
        <w:t xml:space="preserve"> 2017; Leutwyler </w:t>
      </w:r>
      <w:r w:rsidR="00AD0D58">
        <w:t>et al</w:t>
      </w:r>
      <w:r w:rsidRPr="00075571">
        <w:t xml:space="preserve"> 201</w:t>
      </w:r>
      <w:r>
        <w:t>7</w:t>
      </w:r>
      <w:r w:rsidRPr="00075571">
        <w:t xml:space="preserve">; Marquant </w:t>
      </w:r>
      <w:r w:rsidR="00AD0D58">
        <w:t>et al</w:t>
      </w:r>
      <w:r w:rsidRPr="00075571">
        <w:t xml:space="preserve"> 2016).</w:t>
      </w:r>
    </w:p>
    <w:p w14:paraId="450E7F9E" w14:textId="77777777" w:rsidR="0012387C" w:rsidRDefault="0012387C" w:rsidP="0012387C"/>
    <w:p w14:paraId="5842AC8F" w14:textId="77777777" w:rsidR="009636B7" w:rsidRPr="00075571" w:rsidRDefault="009636B7" w:rsidP="0012387C">
      <w:pPr>
        <w:pStyle w:val="Heading4"/>
      </w:pPr>
      <w:r w:rsidRPr="00075571">
        <w:t xml:space="preserve">Forensic </w:t>
      </w:r>
      <w:r>
        <w:t>m</w:t>
      </w:r>
      <w:r w:rsidRPr="00075571">
        <w:t xml:space="preserve">ental </w:t>
      </w:r>
      <w:r>
        <w:t>h</w:t>
      </w:r>
      <w:r w:rsidRPr="00075571">
        <w:t xml:space="preserve">ealth </w:t>
      </w:r>
      <w:r>
        <w:t>l</w:t>
      </w:r>
      <w:r w:rsidRPr="00075571">
        <w:t xml:space="preserve">iaison </w:t>
      </w:r>
      <w:r>
        <w:t>a</w:t>
      </w:r>
      <w:r w:rsidRPr="00075571">
        <w:t>pproach</w:t>
      </w:r>
    </w:p>
    <w:p w14:paraId="10E2D3D3" w14:textId="77777777" w:rsidR="0012387C" w:rsidRDefault="009636B7" w:rsidP="0012387C">
      <w:r w:rsidRPr="00075571">
        <w:t>In a discussion of the U</w:t>
      </w:r>
      <w:r>
        <w:t xml:space="preserve">nited </w:t>
      </w:r>
      <w:r w:rsidRPr="00075571">
        <w:t>K</w:t>
      </w:r>
      <w:r>
        <w:t>ingdom</w:t>
      </w:r>
      <w:r w:rsidRPr="00075571">
        <w:t xml:space="preserve"> context, Natarajan </w:t>
      </w:r>
      <w:r w:rsidR="00AD0D58">
        <w:t>et al</w:t>
      </w:r>
      <w:r w:rsidRPr="00075571">
        <w:t xml:space="preserve"> (2012) describe an increase in what is referred to as a liaison approach </w:t>
      </w:r>
      <w:r w:rsidRPr="009712D8">
        <w:t>to service delive</w:t>
      </w:r>
      <w:r w:rsidRPr="00075571">
        <w:t xml:space="preserve">ry or </w:t>
      </w:r>
      <w:r>
        <w:t xml:space="preserve">the </w:t>
      </w:r>
      <w:r w:rsidR="00EE0ADB">
        <w:t>‘</w:t>
      </w:r>
      <w:r w:rsidRPr="00075571">
        <w:t>way of working</w:t>
      </w:r>
      <w:r w:rsidR="00EE0ADB">
        <w:t>’</w:t>
      </w:r>
      <w:r>
        <w:t>,</w:t>
      </w:r>
      <w:r w:rsidRPr="00075571">
        <w:t xml:space="preserve"> which differs from standard community FMHS provision. While acting as consultants for other services/sectors is a part of </w:t>
      </w:r>
      <w:r>
        <w:t xml:space="preserve">the work of </w:t>
      </w:r>
      <w:r w:rsidRPr="00075571">
        <w:t>most community FMHS</w:t>
      </w:r>
      <w:r>
        <w:t>s</w:t>
      </w:r>
      <w:r w:rsidRPr="00075571">
        <w:t xml:space="preserve">, liaison services specifically </w:t>
      </w:r>
      <w:r w:rsidR="00EE0ADB">
        <w:t>‘</w:t>
      </w:r>
      <w:r w:rsidRPr="00075571">
        <w:t>aspire to provide advice, education, support, training and expertise</w:t>
      </w:r>
      <w:r w:rsidR="00EE0ADB">
        <w:t>’</w:t>
      </w:r>
      <w:r w:rsidRPr="00075571">
        <w:t xml:space="preserve"> (Natarajan </w:t>
      </w:r>
      <w:r w:rsidR="00AD0D58">
        <w:t>et al</w:t>
      </w:r>
      <w:r w:rsidRPr="00075571">
        <w:t xml:space="preserve"> 2012</w:t>
      </w:r>
      <w:r w:rsidR="005054ED">
        <w:t>, p. </w:t>
      </w:r>
      <w:r w:rsidRPr="00075571">
        <w:t xml:space="preserve">410). However, </w:t>
      </w:r>
      <w:r w:rsidR="00EE0ADB">
        <w:t>‘</w:t>
      </w:r>
      <w:r w:rsidRPr="00075571">
        <w:t>the responsible clinician role remains with the general adult service, engendering continuity of care</w:t>
      </w:r>
      <w:r w:rsidR="00EE0ADB">
        <w:t>’</w:t>
      </w:r>
      <w:r w:rsidRPr="00075571">
        <w:t xml:space="preserve"> (Natarajan </w:t>
      </w:r>
      <w:r w:rsidR="00AD0D58">
        <w:t>et al</w:t>
      </w:r>
      <w:r w:rsidRPr="00075571">
        <w:t xml:space="preserve"> 2012</w:t>
      </w:r>
      <w:r w:rsidR="005054ED">
        <w:t>, p. </w:t>
      </w:r>
      <w:r w:rsidRPr="00075571">
        <w:t xml:space="preserve">411). As illustrated in a case study of the Wolverhampton Mental Health Services Forensic Liaison Scheme, Natarajan </w:t>
      </w:r>
      <w:r w:rsidR="00AD0D58">
        <w:t>et al</w:t>
      </w:r>
      <w:r w:rsidRPr="00075571">
        <w:t xml:space="preserve"> identify five principles of the liaison structure: </w:t>
      </w:r>
      <w:r w:rsidR="00EE0ADB">
        <w:t>‘</w:t>
      </w:r>
      <w:r w:rsidRPr="00075571">
        <w:t>shared care, low threshold for referral, early intervention, good collaborative risk management, and good communication between services</w:t>
      </w:r>
      <w:r w:rsidR="00EE0ADB">
        <w:t>’</w:t>
      </w:r>
      <w:r w:rsidR="00AD0D58">
        <w:t xml:space="preserve"> (p. </w:t>
      </w:r>
      <w:r w:rsidRPr="00075571">
        <w:t xml:space="preserve">410). Natarajan </w:t>
      </w:r>
      <w:r w:rsidR="00AD0D58">
        <w:t>et al</w:t>
      </w:r>
      <w:r w:rsidRPr="00075571">
        <w:t xml:space="preserve"> further highlight several advantages to working in a liaison approach</w:t>
      </w:r>
      <w:r>
        <w:t>;</w:t>
      </w:r>
      <w:r w:rsidRPr="00075571">
        <w:t xml:space="preserve"> particularly:</w:t>
      </w:r>
    </w:p>
    <w:p w14:paraId="68E51260" w14:textId="77777777" w:rsidR="009636B7" w:rsidRPr="00075571" w:rsidRDefault="009636B7" w:rsidP="0012387C">
      <w:pPr>
        <w:pStyle w:val="Bullet"/>
      </w:pPr>
      <w:r>
        <w:lastRenderedPageBreak/>
        <w:t>c</w:t>
      </w:r>
      <w:r w:rsidRPr="00075571">
        <w:t>ontinuity of care for mentally disordered offenders between mental health services (both tertiary and secondary) and the criminal justice system, facilitating good multi-agency working</w:t>
      </w:r>
    </w:p>
    <w:p w14:paraId="36FEED14" w14:textId="77777777" w:rsidR="009636B7" w:rsidRPr="00075571" w:rsidRDefault="009636B7" w:rsidP="0012387C">
      <w:pPr>
        <w:pStyle w:val="Bullet"/>
      </w:pPr>
      <w:r>
        <w:t>r</w:t>
      </w:r>
      <w:r w:rsidRPr="00075571">
        <w:t>apid access to expert advice regarding risk assessment and management</w:t>
      </w:r>
    </w:p>
    <w:p w14:paraId="6CD9E9EF" w14:textId="77777777" w:rsidR="009636B7" w:rsidRPr="00075571" w:rsidRDefault="009636B7" w:rsidP="0012387C">
      <w:pPr>
        <w:pStyle w:val="Bullet"/>
      </w:pPr>
      <w:r>
        <w:t>o</w:t>
      </w:r>
      <w:r w:rsidRPr="00075571">
        <w:t>versight of secure admissions to allow for appropriate admissions and timely discharge</w:t>
      </w:r>
    </w:p>
    <w:p w14:paraId="7EF07593" w14:textId="77777777" w:rsidR="009636B7" w:rsidRPr="00075571" w:rsidRDefault="009636B7" w:rsidP="0012387C">
      <w:pPr>
        <w:pStyle w:val="Bullet"/>
      </w:pPr>
      <w:r>
        <w:t>g</w:t>
      </w:r>
      <w:r w:rsidRPr="00075571">
        <w:t>ood productive working relationships between FMHS</w:t>
      </w:r>
      <w:r>
        <w:t>s</w:t>
      </w:r>
      <w:r w:rsidRPr="00075571">
        <w:t xml:space="preserve"> and local services through partnership and improved communication</w:t>
      </w:r>
    </w:p>
    <w:p w14:paraId="69DB7D10" w14:textId="77777777" w:rsidR="009636B7" w:rsidRPr="00075571" w:rsidRDefault="009636B7" w:rsidP="0012387C">
      <w:pPr>
        <w:pStyle w:val="Bullet"/>
      </w:pPr>
      <w:r>
        <w:t>e</w:t>
      </w:r>
      <w:r w:rsidRPr="00075571">
        <w:t xml:space="preserve">nsuring local accountability and involvement by empowering local clinicians in complex case management, </w:t>
      </w:r>
      <w:r>
        <w:t xml:space="preserve">bringing </w:t>
      </w:r>
      <w:r w:rsidRPr="00075571">
        <w:t xml:space="preserve">significant increases in </w:t>
      </w:r>
      <w:r>
        <w:t xml:space="preserve">the </w:t>
      </w:r>
      <w:r w:rsidRPr="00075571">
        <w:t>confidence and competence of local service staff in risk assessment and management</w:t>
      </w:r>
    </w:p>
    <w:p w14:paraId="2459C7F9" w14:textId="77777777" w:rsidR="009636B7" w:rsidRPr="00075571" w:rsidRDefault="009636B7" w:rsidP="0012387C">
      <w:pPr>
        <w:pStyle w:val="Bullet"/>
      </w:pPr>
      <w:r>
        <w:t>a</w:t>
      </w:r>
      <w:r w:rsidRPr="00075571">
        <w:t>n overall achievement of health and economic benefits through service integration/alignment.</w:t>
      </w:r>
      <w:r w:rsidR="00AD0D58">
        <w:t xml:space="preserve"> (p. </w:t>
      </w:r>
      <w:r w:rsidRPr="00075571">
        <w:t>411)</w:t>
      </w:r>
    </w:p>
    <w:p w14:paraId="23596A49" w14:textId="77777777" w:rsidR="009636B7" w:rsidRPr="00075571" w:rsidRDefault="009636B7" w:rsidP="0012387C"/>
    <w:p w14:paraId="384F294B" w14:textId="77777777" w:rsidR="00EE0ADB" w:rsidRDefault="009636B7" w:rsidP="0012387C">
      <w:r w:rsidRPr="00075571">
        <w:t xml:space="preserve">Overall, Natarajan </w:t>
      </w:r>
      <w:r w:rsidR="00AD0D58">
        <w:t>et al</w:t>
      </w:r>
      <w:r w:rsidRPr="00075571">
        <w:t xml:space="preserve"> (2012) argue </w:t>
      </w:r>
      <w:r>
        <w:t xml:space="preserve">that </w:t>
      </w:r>
      <w:r w:rsidRPr="00075571">
        <w:t>the liaison structure is appropriate for the FMH</w:t>
      </w:r>
      <w:r>
        <w:t>S user</w:t>
      </w:r>
      <w:r w:rsidRPr="00075571">
        <w:t xml:space="preserve"> population particularly in </w:t>
      </w:r>
      <w:r>
        <w:t xml:space="preserve">terms of </w:t>
      </w:r>
      <w:r w:rsidRPr="00075571">
        <w:t>its capability to address risk to the community while being cost-effective, reducing inappropriate referrals to FMHS</w:t>
      </w:r>
      <w:r>
        <w:t>s</w:t>
      </w:r>
      <w:r w:rsidRPr="00075571">
        <w:t>, empowering non-forensic mental health clinicians and facilitating continuity of care.</w:t>
      </w:r>
    </w:p>
    <w:p w14:paraId="4FEFF39E" w14:textId="77777777" w:rsidR="0012387C" w:rsidRDefault="0012387C" w:rsidP="0012387C"/>
    <w:p w14:paraId="4361D847" w14:textId="77777777" w:rsidR="009636B7" w:rsidRPr="00075571" w:rsidRDefault="009636B7" w:rsidP="0012387C">
      <w:pPr>
        <w:pStyle w:val="Heading4"/>
      </w:pPr>
      <w:r w:rsidRPr="00075571">
        <w:t>Non</w:t>
      </w:r>
      <w:r>
        <w:t>-</w:t>
      </w:r>
      <w:r w:rsidRPr="00075571">
        <w:t xml:space="preserve">custodial </w:t>
      </w:r>
      <w:r>
        <w:t>s</w:t>
      </w:r>
      <w:r w:rsidRPr="00075571">
        <w:t xml:space="preserve">entences and </w:t>
      </w:r>
      <w:r>
        <w:t>c</w:t>
      </w:r>
      <w:r w:rsidRPr="00075571">
        <w:t xml:space="preserve">onditional </w:t>
      </w:r>
      <w:r>
        <w:t>r</w:t>
      </w:r>
      <w:r w:rsidRPr="00075571">
        <w:t>elease</w:t>
      </w:r>
    </w:p>
    <w:p w14:paraId="1BB2FA81" w14:textId="77777777" w:rsidR="00EE0ADB" w:rsidRDefault="009636B7" w:rsidP="0012387C">
      <w:r w:rsidRPr="00075571">
        <w:t>A subset of the literature pertaining to community FMHS</w:t>
      </w:r>
      <w:r>
        <w:t>s</w:t>
      </w:r>
      <w:r w:rsidRPr="00075571">
        <w:t xml:space="preserve"> provides examples of service structures or programmes specifically for FMHS users who receive non</w:t>
      </w:r>
      <w:r>
        <w:t>-</w:t>
      </w:r>
      <w:r w:rsidRPr="00075571">
        <w:t>custodial sentences via CTO or similar means, or who enter FMHS</w:t>
      </w:r>
      <w:r>
        <w:t>s</w:t>
      </w:r>
      <w:r w:rsidRPr="00075571">
        <w:t xml:space="preserve"> after conditional release. As noted above, in the Aotearoa </w:t>
      </w:r>
      <w:r>
        <w:t>New Zealand</w:t>
      </w:r>
      <w:r w:rsidRPr="00075571">
        <w:t xml:space="preserve"> context, service users who receive CTOs generally fall under the auspices of GMHS</w:t>
      </w:r>
      <w:r>
        <w:t>s</w:t>
      </w:r>
      <w:r w:rsidRPr="00075571">
        <w:t xml:space="preserve">, unless their </w:t>
      </w:r>
      <w:r>
        <w:t>clinical history indicates a need for</w:t>
      </w:r>
      <w:r w:rsidRPr="00075571" w:rsidDel="00977D2B">
        <w:t xml:space="preserve"> </w:t>
      </w:r>
      <w:r w:rsidRPr="00075571">
        <w:t xml:space="preserve">ongoing </w:t>
      </w:r>
      <w:r>
        <w:t xml:space="preserve">FMHS </w:t>
      </w:r>
      <w:r w:rsidRPr="00075571">
        <w:t xml:space="preserve">involvement. As such, the majority of FMHS users in Aotearoa </w:t>
      </w:r>
      <w:r>
        <w:t>New Zealand</w:t>
      </w:r>
      <w:r w:rsidRPr="00075571">
        <w:t xml:space="preserve"> are either imprisoned or institutionalised in a forensic mental health hospital (Skipworth </w:t>
      </w:r>
      <w:r>
        <w:t>and</w:t>
      </w:r>
      <w:r w:rsidRPr="00075571">
        <w:t xml:space="preserve"> Lindqvist 2007). However, in other international contexts</w:t>
      </w:r>
      <w:r>
        <w:t>,</w:t>
      </w:r>
      <w:r w:rsidRPr="00075571">
        <w:t xml:space="preserve"> such as the United Kingdom, CTOs are more frequently employed for the FMHS population</w:t>
      </w:r>
      <w:r>
        <w:t>,</w:t>
      </w:r>
      <w:r w:rsidRPr="00075571">
        <w:t xml:space="preserve"> due to the legislation, and are often supervised either by the probation service and/or GMHS</w:t>
      </w:r>
      <w:r>
        <w:t>s</w:t>
      </w:r>
      <w:r w:rsidRPr="00075571">
        <w:t xml:space="preserve"> or jointly with community FMHS</w:t>
      </w:r>
      <w:r>
        <w:t>s</w:t>
      </w:r>
      <w:r w:rsidRPr="00075571">
        <w:t xml:space="preserve"> where clinically indicated (Clarke 2013; Lamberti</w:t>
      </w:r>
      <w:r>
        <w:t xml:space="preserve"> </w:t>
      </w:r>
      <w:r w:rsidR="00AD0D58">
        <w:t>et al</w:t>
      </w:r>
      <w:r w:rsidRPr="00075571">
        <w:t xml:space="preserve"> 2011; Roskes</w:t>
      </w:r>
      <w:r>
        <w:t xml:space="preserve"> </w:t>
      </w:r>
      <w:r w:rsidR="00AD0D58">
        <w:t>et al</w:t>
      </w:r>
      <w:r w:rsidRPr="00075571">
        <w:t xml:space="preserve"> 1999).</w:t>
      </w:r>
    </w:p>
    <w:p w14:paraId="3C40F11E" w14:textId="77777777" w:rsidR="009636B7" w:rsidRPr="00075571" w:rsidRDefault="009636B7" w:rsidP="0012387C"/>
    <w:p w14:paraId="226EE5F7" w14:textId="77777777" w:rsidR="009636B7" w:rsidRDefault="009636B7" w:rsidP="0012387C">
      <w:r>
        <w:t>V</w:t>
      </w:r>
      <w:r w:rsidRPr="00075571">
        <w:t xml:space="preserve">arious evidence-based approaches </w:t>
      </w:r>
      <w:r>
        <w:t>us</w:t>
      </w:r>
      <w:r w:rsidRPr="00075571">
        <w:t xml:space="preserve">ed with the prisoner/probationer population may be applied to </w:t>
      </w:r>
      <w:r>
        <w:t xml:space="preserve">FMHS </w:t>
      </w:r>
      <w:r w:rsidRPr="00075571">
        <w:t>users after conditional release</w:t>
      </w:r>
      <w:r>
        <w:t>;</w:t>
      </w:r>
      <w:r w:rsidRPr="00075571">
        <w:t xml:space="preserve"> for example</w:t>
      </w:r>
      <w:r>
        <w:t>,</w:t>
      </w:r>
      <w:r w:rsidRPr="00075571">
        <w:t xml:space="preserve"> mental health courts, FACT, the RNR model, informed supervision practices, HOPE probation and the Passageway residential approach (Gowensmith </w:t>
      </w:r>
      <w:r w:rsidR="00AD0D58">
        <w:t>et al</w:t>
      </w:r>
      <w:r w:rsidRPr="00075571">
        <w:t xml:space="preserve"> 2016; Lamberti </w:t>
      </w:r>
      <w:r>
        <w:t>and</w:t>
      </w:r>
      <w:r w:rsidRPr="00075571">
        <w:t xml:space="preserve"> Weisman 2010; Lamberti </w:t>
      </w:r>
      <w:r w:rsidR="00AD0D58">
        <w:t>et al</w:t>
      </w:r>
      <w:r w:rsidRPr="00075571">
        <w:t xml:space="preserve"> 2011; Landess </w:t>
      </w:r>
      <w:r>
        <w:t>and</w:t>
      </w:r>
      <w:r w:rsidRPr="00075571">
        <w:t xml:space="preserve"> Holoyda 2017; Melnick 2016). A more detailed discussion of these models and the broader role of probation services is provided in the prison literature review.</w:t>
      </w:r>
    </w:p>
    <w:p w14:paraId="1378F4F2" w14:textId="77777777" w:rsidR="0012387C" w:rsidRPr="00075571" w:rsidRDefault="0012387C" w:rsidP="0012387C"/>
    <w:p w14:paraId="2259B4F1" w14:textId="77777777" w:rsidR="009636B7" w:rsidRPr="00075571" w:rsidRDefault="009636B7" w:rsidP="0012387C">
      <w:pPr>
        <w:pStyle w:val="Heading3"/>
      </w:pPr>
      <w:bookmarkStart w:id="97" w:name="_Toc16805639"/>
      <w:r w:rsidRPr="00075571">
        <w:lastRenderedPageBreak/>
        <w:t xml:space="preserve">Therapeutic </w:t>
      </w:r>
      <w:r>
        <w:t>s</w:t>
      </w:r>
      <w:r w:rsidRPr="00075571">
        <w:t xml:space="preserve">ecurity, </w:t>
      </w:r>
      <w:r>
        <w:t>r</w:t>
      </w:r>
      <w:r w:rsidRPr="00075571">
        <w:t xml:space="preserve">ehabilitation </w:t>
      </w:r>
      <w:r>
        <w:t>and</w:t>
      </w:r>
      <w:r w:rsidRPr="00075571">
        <w:t xml:space="preserve"> </w:t>
      </w:r>
      <w:r>
        <w:t>r</w:t>
      </w:r>
      <w:r w:rsidRPr="00075571">
        <w:t>ecovery</w:t>
      </w:r>
      <w:bookmarkEnd w:id="97"/>
    </w:p>
    <w:p w14:paraId="667F50E6" w14:textId="77777777" w:rsidR="009636B7" w:rsidRPr="00075571" w:rsidRDefault="009636B7" w:rsidP="0012387C">
      <w:pPr>
        <w:pStyle w:val="Heading4"/>
      </w:pPr>
      <w:r w:rsidRPr="00075571">
        <w:t xml:space="preserve">Therapeutic </w:t>
      </w:r>
      <w:r>
        <w:t>s</w:t>
      </w:r>
      <w:r w:rsidRPr="00075571">
        <w:t>ecurity</w:t>
      </w:r>
    </w:p>
    <w:p w14:paraId="3D4F6F1B" w14:textId="77777777" w:rsidR="00EE0ADB" w:rsidRDefault="009636B7" w:rsidP="0012387C">
      <w:pPr>
        <w:rPr>
          <w:lang w:eastAsia="en-NZ"/>
        </w:rPr>
      </w:pPr>
      <w:r w:rsidRPr="00075571">
        <w:rPr>
          <w:lang w:eastAsia="en-NZ"/>
        </w:rPr>
        <w:t>As previously indicated, FMHS</w:t>
      </w:r>
      <w:r>
        <w:rPr>
          <w:lang w:eastAsia="en-NZ"/>
        </w:rPr>
        <w:t>s</w:t>
      </w:r>
      <w:r w:rsidRPr="00075571">
        <w:rPr>
          <w:lang w:eastAsia="en-NZ"/>
        </w:rPr>
        <w:t xml:space="preserve"> in </w:t>
      </w:r>
      <w:r>
        <w:rPr>
          <w:lang w:eastAsia="en-NZ"/>
        </w:rPr>
        <w:t>Aotearoa</w:t>
      </w:r>
      <w:r>
        <w:t xml:space="preserve"> New Zealand</w:t>
      </w:r>
      <w:r w:rsidRPr="00075571">
        <w:t xml:space="preserve"> </w:t>
      </w:r>
      <w:r w:rsidRPr="00075571">
        <w:rPr>
          <w:lang w:eastAsia="en-NZ"/>
        </w:rPr>
        <w:t>have a responsibility for the direct clinical management of a small group of individuals</w:t>
      </w:r>
      <w:r>
        <w:rPr>
          <w:lang w:eastAsia="en-NZ"/>
        </w:rPr>
        <w:t>;</w:t>
      </w:r>
      <w:r w:rsidRPr="00075571">
        <w:rPr>
          <w:lang w:eastAsia="en-NZ"/>
        </w:rPr>
        <w:t xml:space="preserve"> mainly those designated as special and restricted patients under the </w:t>
      </w:r>
      <w:r w:rsidRPr="00B96FF3">
        <w:t>Mental Health (Compulsory Assessment and Treatment) Act 1992</w:t>
      </w:r>
      <w:r w:rsidRPr="00075571" w:rsidDel="00717F7B">
        <w:rPr>
          <w:lang w:eastAsia="en-NZ"/>
        </w:rPr>
        <w:t xml:space="preserve"> </w:t>
      </w:r>
      <w:r w:rsidRPr="00075571">
        <w:rPr>
          <w:lang w:eastAsia="en-NZ"/>
        </w:rPr>
        <w:t xml:space="preserve">(Skipworth </w:t>
      </w:r>
      <w:r>
        <w:rPr>
          <w:lang w:eastAsia="en-NZ"/>
        </w:rPr>
        <w:t>and</w:t>
      </w:r>
      <w:r w:rsidRPr="00075571">
        <w:rPr>
          <w:lang w:eastAsia="en-NZ"/>
        </w:rPr>
        <w:t xml:space="preserve"> Lindqvist 2007). </w:t>
      </w:r>
      <w:r>
        <w:rPr>
          <w:lang w:eastAsia="en-NZ"/>
        </w:rPr>
        <w:t>C</w:t>
      </w:r>
      <w:r w:rsidRPr="00075571">
        <w:rPr>
          <w:lang w:eastAsia="en-NZ"/>
        </w:rPr>
        <w:t xml:space="preserve">ase management support </w:t>
      </w:r>
      <w:r>
        <w:rPr>
          <w:lang w:eastAsia="en-NZ"/>
        </w:rPr>
        <w:t xml:space="preserve">for this group </w:t>
      </w:r>
      <w:r w:rsidRPr="00075571">
        <w:rPr>
          <w:lang w:eastAsia="en-NZ"/>
        </w:rPr>
        <w:t>is staggered and gradual</w:t>
      </w:r>
      <w:r>
        <w:rPr>
          <w:lang w:eastAsia="en-NZ"/>
        </w:rPr>
        <w:t>,</w:t>
      </w:r>
      <w:r w:rsidRPr="00075571">
        <w:rPr>
          <w:lang w:eastAsia="en-NZ"/>
        </w:rPr>
        <w:t xml:space="preserve"> in accordance with the transition from very structured inpatient FMHS environments toward eventual transfer of care to GMHS</w:t>
      </w:r>
      <w:r>
        <w:rPr>
          <w:lang w:eastAsia="en-NZ"/>
        </w:rPr>
        <w:t>s</w:t>
      </w:r>
      <w:r w:rsidRPr="00075571">
        <w:rPr>
          <w:lang w:eastAsia="en-NZ"/>
        </w:rPr>
        <w:t xml:space="preserve"> at the point of discharge. This </w:t>
      </w:r>
      <w:r>
        <w:rPr>
          <w:lang w:eastAsia="en-NZ"/>
        </w:rPr>
        <w:t xml:space="preserve">approach – </w:t>
      </w:r>
      <w:r w:rsidRPr="00075571">
        <w:rPr>
          <w:lang w:eastAsia="en-NZ"/>
        </w:rPr>
        <w:t>as is the case with FMHS</w:t>
      </w:r>
      <w:r>
        <w:rPr>
          <w:lang w:eastAsia="en-NZ"/>
        </w:rPr>
        <w:t>s</w:t>
      </w:r>
      <w:r w:rsidRPr="00075571">
        <w:rPr>
          <w:lang w:eastAsia="en-NZ"/>
        </w:rPr>
        <w:t xml:space="preserve"> more broadly</w:t>
      </w:r>
      <w:r>
        <w:rPr>
          <w:lang w:eastAsia="en-NZ"/>
        </w:rPr>
        <w:t xml:space="preserve"> – </w:t>
      </w:r>
      <w:r w:rsidRPr="00075571">
        <w:rPr>
          <w:lang w:eastAsia="en-NZ"/>
        </w:rPr>
        <w:t>developed in the early 1990s</w:t>
      </w:r>
      <w:r>
        <w:rPr>
          <w:lang w:eastAsia="en-NZ"/>
        </w:rPr>
        <w:t>,</w:t>
      </w:r>
      <w:r w:rsidRPr="00075571">
        <w:rPr>
          <w:lang w:eastAsia="en-NZ"/>
        </w:rPr>
        <w:t xml:space="preserve"> largely following the recommendations of the Mason Report (1988)</w:t>
      </w:r>
      <w:r>
        <w:rPr>
          <w:lang w:eastAsia="en-NZ"/>
        </w:rPr>
        <w:t>,</w:t>
      </w:r>
      <w:r w:rsidRPr="00075571">
        <w:rPr>
          <w:lang w:eastAsia="en-NZ"/>
        </w:rPr>
        <w:t xml:space="preserve"> and </w:t>
      </w:r>
      <w:r>
        <w:rPr>
          <w:lang w:eastAsia="en-NZ"/>
        </w:rPr>
        <w:t xml:space="preserve">has </w:t>
      </w:r>
      <w:r w:rsidRPr="00075571">
        <w:rPr>
          <w:lang w:eastAsia="en-NZ"/>
        </w:rPr>
        <w:t>remained relatively unchanged since that time.</w:t>
      </w:r>
    </w:p>
    <w:p w14:paraId="2B6639B3" w14:textId="77777777" w:rsidR="009636B7" w:rsidRPr="00075571" w:rsidRDefault="009636B7" w:rsidP="0012387C">
      <w:pPr>
        <w:rPr>
          <w:lang w:eastAsia="en-NZ"/>
        </w:rPr>
      </w:pPr>
    </w:p>
    <w:p w14:paraId="0BC0482B" w14:textId="77777777" w:rsidR="00EE0ADB" w:rsidRDefault="009636B7" w:rsidP="0012387C">
      <w:pPr>
        <w:rPr>
          <w:rFonts w:eastAsia="Calibri"/>
          <w:lang w:eastAsia="en-NZ"/>
        </w:rPr>
      </w:pPr>
      <w:r w:rsidRPr="00075571">
        <w:rPr>
          <w:rFonts w:eastAsia="Calibri"/>
          <w:lang w:eastAsia="en-NZ"/>
        </w:rPr>
        <w:t xml:space="preserve">Kennedy </w:t>
      </w:r>
      <w:r w:rsidR="00AD0D58">
        <w:rPr>
          <w:rFonts w:eastAsia="Calibri"/>
          <w:lang w:eastAsia="en-NZ"/>
        </w:rPr>
        <w:t>et al</w:t>
      </w:r>
      <w:r w:rsidRPr="00075571">
        <w:rPr>
          <w:rFonts w:eastAsia="Calibri"/>
          <w:lang w:eastAsia="en-NZ"/>
        </w:rPr>
        <w:t xml:space="preserve"> (</w:t>
      </w:r>
      <w:r>
        <w:rPr>
          <w:rFonts w:eastAsia="Calibri"/>
          <w:lang w:eastAsia="en-NZ"/>
        </w:rPr>
        <w:t>f</w:t>
      </w:r>
      <w:r w:rsidRPr="00075571">
        <w:rPr>
          <w:rFonts w:eastAsia="Calibri"/>
          <w:lang w:eastAsia="en-NZ"/>
        </w:rPr>
        <w:t xml:space="preserve">orthcoming) explain how </w:t>
      </w:r>
      <w:r>
        <w:rPr>
          <w:rFonts w:eastAsia="Calibri"/>
          <w:lang w:eastAsia="en-NZ"/>
        </w:rPr>
        <w:t>case management support</w:t>
      </w:r>
      <w:r w:rsidRPr="00075571">
        <w:rPr>
          <w:rFonts w:eastAsia="Calibri"/>
          <w:lang w:eastAsia="en-NZ"/>
        </w:rPr>
        <w:t xml:space="preserve"> may be conceptualised in relation to stratified levels of therapeutic security in community FMHS provision, similarly to the inpatient context:</w:t>
      </w:r>
    </w:p>
    <w:p w14:paraId="6A9D5FAD" w14:textId="77777777" w:rsidR="009636B7" w:rsidRPr="00075571" w:rsidRDefault="009636B7" w:rsidP="0012387C">
      <w:pPr>
        <w:pStyle w:val="Quote"/>
        <w:ind w:right="425"/>
        <w:rPr>
          <w:rFonts w:eastAsia="Calibri"/>
          <w:lang w:eastAsia="en-NZ"/>
        </w:rPr>
      </w:pPr>
      <w:r w:rsidRPr="00075571">
        <w:rPr>
          <w:rFonts w:eastAsia="Calibri"/>
          <w:lang w:eastAsia="en-NZ"/>
        </w:rPr>
        <w:t>In much the same way that forensic hospital pathways are designed as stratified levels of therapeutic security, community support is often organised into a stratified series of levels of support. Sustainable step-down places in the community typically include community houses with 24-hour nurse care, 24</w:t>
      </w:r>
      <w:r w:rsidR="0012387C">
        <w:rPr>
          <w:rFonts w:eastAsia="Calibri"/>
          <w:lang w:eastAsia="en-NZ"/>
        </w:rPr>
        <w:noBreakHyphen/>
      </w:r>
      <w:r w:rsidRPr="00075571">
        <w:rPr>
          <w:rFonts w:eastAsia="Calibri"/>
          <w:lang w:eastAsia="en-NZ"/>
        </w:rPr>
        <w:t>hour social care, daytime social care and supported independent living. Many of these are provided in partnerships between the public and independent sectors. Some highly dependent patients may be successfully accommodated in bespoke community packages in which high levels of relational therapeutic security are provided, with procedural security measures mandated by conditional discharge, in the absence of any unusual physical security measures.</w:t>
      </w:r>
      <w:r w:rsidR="00AD0D58">
        <w:rPr>
          <w:rFonts w:eastAsia="Calibri"/>
          <w:lang w:eastAsia="en-NZ"/>
        </w:rPr>
        <w:t xml:space="preserve"> (p. </w:t>
      </w:r>
      <w:r w:rsidRPr="00075571">
        <w:rPr>
          <w:rFonts w:eastAsia="Calibri"/>
          <w:lang w:eastAsia="en-NZ"/>
        </w:rPr>
        <w:t>16)</w:t>
      </w:r>
    </w:p>
    <w:p w14:paraId="326C69AF" w14:textId="77777777" w:rsidR="009636B7" w:rsidRPr="00075571" w:rsidRDefault="009636B7" w:rsidP="0012387C">
      <w:pPr>
        <w:rPr>
          <w:rFonts w:eastAsia="Calibri"/>
          <w:lang w:eastAsia="en-NZ"/>
        </w:rPr>
      </w:pPr>
    </w:p>
    <w:p w14:paraId="041F1F64" w14:textId="77777777" w:rsidR="009636B7" w:rsidRDefault="009636B7" w:rsidP="0012387C">
      <w:pPr>
        <w:ind w:right="142"/>
      </w:pPr>
      <w:r w:rsidRPr="00075571">
        <w:t>Forensic mental health services thus support GMHS</w:t>
      </w:r>
      <w:r>
        <w:t>s</w:t>
      </w:r>
      <w:r w:rsidRPr="00075571">
        <w:t xml:space="preserve"> in the ongoing management of people who </w:t>
      </w:r>
      <w:r>
        <w:t xml:space="preserve">interact </w:t>
      </w:r>
      <w:r w:rsidRPr="00075571">
        <w:t xml:space="preserve">with the criminal justice system or present with a high level of perceived risk. </w:t>
      </w:r>
      <w:r>
        <w:t>In this regard, the FMHS role is not case management but the provision of advice, in a consultation and liaison role</w:t>
      </w:r>
      <w:r w:rsidRPr="00075571">
        <w:t xml:space="preserve">. Pivotal to this role is advice on the assessment, monitoring, and management of risk, if it comprises a central focus of the broader rehabilitation approach (Malik </w:t>
      </w:r>
      <w:r w:rsidR="00AD0D58">
        <w:t>et al</w:t>
      </w:r>
      <w:r w:rsidRPr="00075571">
        <w:t xml:space="preserve"> 2007; Mohan </w:t>
      </w:r>
      <w:r w:rsidR="00AD0D58">
        <w:t>et al</w:t>
      </w:r>
      <w:r w:rsidRPr="00075571">
        <w:t xml:space="preserve"> 2004</w:t>
      </w:r>
      <w:r>
        <w:t>a</w:t>
      </w:r>
      <w:r w:rsidRPr="00075571">
        <w:t xml:space="preserve">; Puri </w:t>
      </w:r>
      <w:r>
        <w:t>and</w:t>
      </w:r>
      <w:r w:rsidRPr="00075571">
        <w:t xml:space="preserve"> Kenney-Herbert 2018). </w:t>
      </w:r>
      <w:r>
        <w:t>If the team receiving the advice works to a model of care that emphasises therapeutic security, the advice is more likely to be successfully integrated</w:t>
      </w:r>
      <w:r w:rsidRPr="00075571">
        <w:t>.</w:t>
      </w:r>
    </w:p>
    <w:p w14:paraId="3903F760" w14:textId="77777777" w:rsidR="0012387C" w:rsidRPr="00075571" w:rsidRDefault="0012387C" w:rsidP="0012387C"/>
    <w:p w14:paraId="6835F29E" w14:textId="77777777" w:rsidR="00EE0ADB" w:rsidRDefault="009636B7" w:rsidP="0012387C">
      <w:pPr>
        <w:pStyle w:val="Heading4"/>
      </w:pPr>
      <w:r w:rsidRPr="00075571">
        <w:lastRenderedPageBreak/>
        <w:t>Rehabilitation</w:t>
      </w:r>
    </w:p>
    <w:p w14:paraId="78A981F1" w14:textId="77777777" w:rsidR="009636B7" w:rsidRPr="00075571" w:rsidRDefault="009636B7" w:rsidP="0012387C">
      <w:pPr>
        <w:keepNext/>
        <w:keepLines/>
      </w:pPr>
      <w:r w:rsidRPr="00075571">
        <w:t>Although</w:t>
      </w:r>
      <w:r>
        <w:t>,</w:t>
      </w:r>
      <w:r w:rsidRPr="00075571">
        <w:t xml:space="preserve"> in the community FMH</w:t>
      </w:r>
      <w:r>
        <w:t>S</w:t>
      </w:r>
      <w:r w:rsidRPr="00075571">
        <w:t xml:space="preserve"> literature</w:t>
      </w:r>
      <w:r>
        <w:t>,</w:t>
      </w:r>
      <w:r w:rsidRPr="00075571">
        <w:t xml:space="preserve"> </w:t>
      </w:r>
      <w:r>
        <w:t xml:space="preserve">risk </w:t>
      </w:r>
      <w:r w:rsidRPr="00075571">
        <w:t xml:space="preserve">attracts proportionately less attention than </w:t>
      </w:r>
      <w:r>
        <w:t xml:space="preserve">it does in </w:t>
      </w:r>
      <w:r w:rsidRPr="00075571">
        <w:t xml:space="preserve">the </w:t>
      </w:r>
      <w:r>
        <w:t xml:space="preserve">literature on </w:t>
      </w:r>
      <w:r w:rsidRPr="00075571">
        <w:t xml:space="preserve">inpatient </w:t>
      </w:r>
      <w:r>
        <w:t>services</w:t>
      </w:r>
      <w:r w:rsidRPr="00075571">
        <w:t>, risk remains a central concern in community FMHS</w:t>
      </w:r>
      <w:r>
        <w:t>s.</w:t>
      </w:r>
      <w:r w:rsidRPr="00075571">
        <w:t xml:space="preserve"> </w:t>
      </w:r>
      <w:r>
        <w:t xml:space="preserve">It is </w:t>
      </w:r>
      <w:r w:rsidRPr="00075571">
        <w:t xml:space="preserve">most commonly discussed through the lens of </w:t>
      </w:r>
      <w:r w:rsidRPr="00DD29A3">
        <w:t>recidivism</w:t>
      </w:r>
      <w:r w:rsidRPr="00075571">
        <w:t xml:space="preserve"> (Blackburn 2004; Puri </w:t>
      </w:r>
      <w:r>
        <w:t>and</w:t>
      </w:r>
      <w:r w:rsidRPr="00075571">
        <w:t xml:space="preserve"> Kenney-Herbert 2018). Many of the models of risk assessment and management thus apply to the community context (</w:t>
      </w:r>
      <w:r>
        <w:t>eg</w:t>
      </w:r>
      <w:r w:rsidRPr="00075571">
        <w:t>, the RNR model</w:t>
      </w:r>
      <w:r>
        <w:t>)</w:t>
      </w:r>
      <w:r w:rsidRPr="00075571">
        <w:t xml:space="preserve"> </w:t>
      </w:r>
      <w:r>
        <w:t>(</w:t>
      </w:r>
      <w:r w:rsidRPr="00075571">
        <w:t xml:space="preserve">Gowensmith </w:t>
      </w:r>
      <w:r w:rsidR="00AD0D58">
        <w:t>et al</w:t>
      </w:r>
      <w:r w:rsidRPr="00075571">
        <w:t xml:space="preserve"> 2016; Mitchell 2015), and/or have been designed to integrate with community FMHS approaches to care. For example, Kelly </w:t>
      </w:r>
      <w:r w:rsidR="00AD0D58">
        <w:t>et al</w:t>
      </w:r>
      <w:r w:rsidRPr="00075571">
        <w:t xml:space="preserve"> (2002) detail the Forensicare Risk Management Model, a holistic, three-pronged practice approach (</w:t>
      </w:r>
      <w:r>
        <w:t xml:space="preserve">involving </w:t>
      </w:r>
      <w:r w:rsidRPr="00075571">
        <w:t>risk profile, risk assessment and risk management plans) designed for use in the Australian context to conduct risk assessment and management in community FMHS</w:t>
      </w:r>
      <w:r>
        <w:t>s</w:t>
      </w:r>
      <w:r w:rsidRPr="00075571">
        <w:t>, which follows the Forensicare case management model of care.</w:t>
      </w:r>
    </w:p>
    <w:p w14:paraId="19EB05FF" w14:textId="77777777" w:rsidR="009636B7" w:rsidRPr="00075571" w:rsidRDefault="009636B7" w:rsidP="0012387C"/>
    <w:p w14:paraId="6851BC76" w14:textId="77777777" w:rsidR="00EE0ADB" w:rsidRDefault="009636B7" w:rsidP="0012387C">
      <w:r w:rsidRPr="00075571">
        <w:t xml:space="preserve">Risk may be further </w:t>
      </w:r>
      <w:r>
        <w:t>us</w:t>
      </w:r>
      <w:r w:rsidRPr="00075571">
        <w:t>ed to reconceptualise the structure of service delivery. For example, in a review of forensic mental health community caseloads in a U</w:t>
      </w:r>
      <w:r>
        <w:t xml:space="preserve">nited </w:t>
      </w:r>
      <w:r w:rsidRPr="00075571">
        <w:t>K</w:t>
      </w:r>
      <w:r>
        <w:t>ingdom</w:t>
      </w:r>
      <w:r w:rsidRPr="00075571">
        <w:t xml:space="preserve"> mental health service, Snowden </w:t>
      </w:r>
      <w:r w:rsidR="00AD0D58">
        <w:t>et al</w:t>
      </w:r>
      <w:r w:rsidRPr="00075571">
        <w:t xml:space="preserve"> (1999) identified four </w:t>
      </w:r>
      <w:r w:rsidRPr="0042677F">
        <w:t>approaches</w:t>
      </w:r>
      <w:r w:rsidRPr="00075571">
        <w:t xml:space="preserve"> of service provision (</w:t>
      </w:r>
      <w:r>
        <w:t>ie</w:t>
      </w:r>
      <w:r w:rsidRPr="00075571">
        <w:t xml:space="preserve">, levels of care) in the management of FMHS users, based on the level of specialist care required as well as the level of risk (see </w:t>
      </w:r>
      <w:r w:rsidR="0012387C">
        <w:fldChar w:fldCharType="begin"/>
      </w:r>
      <w:r w:rsidR="0012387C">
        <w:instrText xml:space="preserve"> REF _Ref89852726 \h </w:instrText>
      </w:r>
      <w:r w:rsidR="0012387C">
        <w:fldChar w:fldCharType="separate"/>
      </w:r>
      <w:r w:rsidR="00F73238">
        <w:t>Figure </w:t>
      </w:r>
      <w:r w:rsidR="00F73238">
        <w:rPr>
          <w:noProof/>
        </w:rPr>
        <w:t>7</w:t>
      </w:r>
      <w:r w:rsidR="0012387C">
        <w:fldChar w:fldCharType="end"/>
      </w:r>
      <w:r w:rsidRPr="00075571">
        <w:t>). In this framework, FMHS</w:t>
      </w:r>
      <w:r>
        <w:t>s</w:t>
      </w:r>
      <w:r w:rsidRPr="00075571">
        <w:t xml:space="preserve"> are indicated for service users requiring Level 2–4 care (moderate to high risk), </w:t>
      </w:r>
      <w:r>
        <w:t>but as the risk increases the responsibility moves from being jointly managed by FMHSs and general mental health services, to FMHSs taking full responsibility.</w:t>
      </w:r>
      <w:r w:rsidRPr="00075571">
        <w:t xml:space="preserve"> This framework provides an alternative, more comprehensive way to conceptualise the approaches to care community FMHS</w:t>
      </w:r>
      <w:r>
        <w:t>s use</w:t>
      </w:r>
      <w:r w:rsidRPr="00075571">
        <w:t>.</w:t>
      </w:r>
    </w:p>
    <w:p w14:paraId="22B7D6E2" w14:textId="77777777" w:rsidR="0012387C" w:rsidRDefault="0012387C" w:rsidP="0012387C"/>
    <w:p w14:paraId="01BB51AE" w14:textId="77777777" w:rsidR="009636B7" w:rsidRPr="00075571" w:rsidRDefault="0012387C" w:rsidP="0012387C">
      <w:pPr>
        <w:pStyle w:val="Figure"/>
      </w:pPr>
      <w:bookmarkStart w:id="98" w:name="_Ref89852726"/>
      <w:bookmarkStart w:id="99" w:name="_Toc88823331"/>
      <w:bookmarkStart w:id="100" w:name="_Toc90026032"/>
      <w:r>
        <w:t>Figure </w:t>
      </w:r>
      <w:r w:rsidR="002C1FB3">
        <w:fldChar w:fldCharType="begin"/>
      </w:r>
      <w:r w:rsidR="002C1FB3">
        <w:instrText xml:space="preserve"> SEQ Figure \* ARABIC </w:instrText>
      </w:r>
      <w:r w:rsidR="002C1FB3">
        <w:fldChar w:fldCharType="separate"/>
      </w:r>
      <w:r w:rsidR="00F73238">
        <w:rPr>
          <w:noProof/>
        </w:rPr>
        <w:t>7</w:t>
      </w:r>
      <w:r w:rsidR="002C1FB3">
        <w:rPr>
          <w:noProof/>
        </w:rPr>
        <w:fldChar w:fldCharType="end"/>
      </w:r>
      <w:bookmarkEnd w:id="98"/>
      <w:r w:rsidR="009636B7" w:rsidRPr="00075571">
        <w:t>: The four levels of community management of mentally disordered offenders</w:t>
      </w:r>
      <w:bookmarkEnd w:id="99"/>
      <w:bookmarkEnd w:id="100"/>
    </w:p>
    <w:p w14:paraId="0A392ED2" w14:textId="77777777" w:rsidR="009636B7" w:rsidRPr="0012387C" w:rsidRDefault="009636B7" w:rsidP="0012387C">
      <w:r w:rsidRPr="00231680">
        <w:rPr>
          <w:noProof/>
          <w:lang w:eastAsia="en-NZ"/>
        </w:rPr>
        <w:drawing>
          <wp:inline distT="0" distB="0" distL="0" distR="0" wp14:anchorId="16711753" wp14:editId="0B987BEF">
            <wp:extent cx="5173609" cy="2701637"/>
            <wp:effectExtent l="0" t="0" r="8255" b="3810"/>
            <wp:docPr id="17" name="Picture 17" title="Figure 7: The four levels of community management of mentally disordered offe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3609" cy="2701637"/>
                    </a:xfrm>
                    <a:prstGeom prst="rect">
                      <a:avLst/>
                    </a:prstGeom>
                    <a:noFill/>
                  </pic:spPr>
                </pic:pic>
              </a:graphicData>
            </a:graphic>
          </wp:inline>
        </w:drawing>
      </w:r>
    </w:p>
    <w:p w14:paraId="4EC5E104" w14:textId="77777777" w:rsidR="00EE0ADB" w:rsidRDefault="009636B7" w:rsidP="0012387C">
      <w:pPr>
        <w:pStyle w:val="Note"/>
      </w:pPr>
      <w:bookmarkStart w:id="101" w:name="_Toc88823332"/>
      <w:r w:rsidRPr="00717F7B">
        <w:t>Note:</w:t>
      </w:r>
      <w:r>
        <w:t xml:space="preserve"> </w:t>
      </w:r>
      <w:r w:rsidRPr="00717F7B">
        <w:t>The</w:t>
      </w:r>
      <w:r>
        <w:t xml:space="preserve"> a</w:t>
      </w:r>
      <w:r w:rsidRPr="00075571">
        <w:t xml:space="preserve">bbreviations </w:t>
      </w:r>
      <w:r w:rsidR="00EE0ADB">
        <w:t>‘</w:t>
      </w:r>
      <w:r w:rsidRPr="00075571">
        <w:t>CPN</w:t>
      </w:r>
      <w:r w:rsidR="00EE0ADB">
        <w:t>’</w:t>
      </w:r>
      <w:r w:rsidRPr="00075571">
        <w:t xml:space="preserve"> (community psychiatric nurse) and </w:t>
      </w:r>
      <w:r w:rsidR="00EE0ADB">
        <w:t>‘</w:t>
      </w:r>
      <w:r w:rsidRPr="00075571">
        <w:t>CMHT</w:t>
      </w:r>
      <w:r w:rsidR="00EE0ADB">
        <w:t>’</w:t>
      </w:r>
      <w:r w:rsidRPr="00075571">
        <w:t xml:space="preserve"> (community mental health team) reflect the U</w:t>
      </w:r>
      <w:r>
        <w:t xml:space="preserve">nited </w:t>
      </w:r>
      <w:r w:rsidRPr="00075571">
        <w:t>K</w:t>
      </w:r>
      <w:r>
        <w:t>ingdom</w:t>
      </w:r>
      <w:r w:rsidRPr="00075571">
        <w:t xml:space="preserve"> context</w:t>
      </w:r>
      <w:r>
        <w:t xml:space="preserve"> of the source</w:t>
      </w:r>
      <w:r w:rsidRPr="00075571">
        <w:t>. In the</w:t>
      </w:r>
      <w:r>
        <w:t xml:space="preserve"> Aotearoa</w:t>
      </w:r>
      <w:r w:rsidRPr="00075571">
        <w:t xml:space="preserve"> </w:t>
      </w:r>
      <w:r>
        <w:t>New Zealand</w:t>
      </w:r>
      <w:r w:rsidRPr="00075571">
        <w:t xml:space="preserve"> context, </w:t>
      </w:r>
      <w:r w:rsidR="00EE0ADB">
        <w:t>‘</w:t>
      </w:r>
      <w:r w:rsidRPr="00075571">
        <w:t>CHMT</w:t>
      </w:r>
      <w:r w:rsidR="00EE0ADB">
        <w:t>’</w:t>
      </w:r>
      <w:r w:rsidRPr="00075571">
        <w:t xml:space="preserve"> equates to </w:t>
      </w:r>
      <w:r w:rsidR="00EE0ADB">
        <w:t>‘</w:t>
      </w:r>
      <w:r w:rsidRPr="00075571">
        <w:t>GMHS</w:t>
      </w:r>
      <w:r w:rsidR="00EE0ADB">
        <w:t>’</w:t>
      </w:r>
      <w:r w:rsidRPr="00075571">
        <w:t>.</w:t>
      </w:r>
      <w:bookmarkEnd w:id="101"/>
    </w:p>
    <w:p w14:paraId="1856462A" w14:textId="77777777" w:rsidR="009636B7" w:rsidRPr="00075571" w:rsidRDefault="009636B7" w:rsidP="0012387C">
      <w:pPr>
        <w:pStyle w:val="Source"/>
      </w:pPr>
      <w:bookmarkStart w:id="102" w:name="_Toc88823333"/>
      <w:r w:rsidRPr="00075571">
        <w:t xml:space="preserve">Source: Mohan </w:t>
      </w:r>
      <w:r w:rsidR="00AD0D58">
        <w:t>et al</w:t>
      </w:r>
      <w:r w:rsidRPr="00075571">
        <w:t xml:space="preserve"> 2004</w:t>
      </w:r>
      <w:r>
        <w:t>a</w:t>
      </w:r>
      <w:r w:rsidR="005054ED">
        <w:t>, p. </w:t>
      </w:r>
      <w:r w:rsidRPr="00075571">
        <w:t>12</w:t>
      </w:r>
      <w:bookmarkEnd w:id="102"/>
    </w:p>
    <w:p w14:paraId="40CE7D25" w14:textId="77777777" w:rsidR="009636B7" w:rsidRPr="00075571" w:rsidRDefault="009636B7" w:rsidP="0012387C"/>
    <w:p w14:paraId="4CA3BDA5" w14:textId="77777777" w:rsidR="009636B7" w:rsidRDefault="009636B7" w:rsidP="0012387C">
      <w:pPr>
        <w:keepLines/>
      </w:pPr>
      <w:r w:rsidRPr="00075571">
        <w:lastRenderedPageBreak/>
        <w:t>Other trends in community FMHS</w:t>
      </w:r>
      <w:r>
        <w:t>s</w:t>
      </w:r>
      <w:r w:rsidRPr="00075571">
        <w:t xml:space="preserve"> also reflect a connection to the broader rehabilitation approach. For example, FACT teams implement the key components of ACT alongside </w:t>
      </w:r>
      <w:r w:rsidRPr="0042677F">
        <w:t>principles</w:t>
      </w:r>
      <w:r w:rsidRPr="00075571">
        <w:t xml:space="preserve"> of forensic rehabilitation models (</w:t>
      </w:r>
      <w:r>
        <w:t>eg</w:t>
      </w:r>
      <w:r w:rsidRPr="00075571">
        <w:t xml:space="preserve">, the RNR model) that target recidivism (Marquant </w:t>
      </w:r>
      <w:r w:rsidR="00AD0D58">
        <w:t>et al</w:t>
      </w:r>
      <w:r w:rsidRPr="00075571">
        <w:t xml:space="preserve"> 2016). Notably, Lamberti </w:t>
      </w:r>
      <w:r w:rsidR="00AD0D58">
        <w:t>et al</w:t>
      </w:r>
      <w:r w:rsidRPr="00075571">
        <w:t xml:space="preserve"> (2004), in a survey of 16</w:t>
      </w:r>
      <w:r w:rsidR="0012387C">
        <w:t> </w:t>
      </w:r>
      <w:r w:rsidRPr="00075571">
        <w:t>FACT programmes, revealed a high number of residential program</w:t>
      </w:r>
      <w:r>
        <w:t>me</w:t>
      </w:r>
      <w:r w:rsidRPr="00075571">
        <w:t xml:space="preserve">s, which is significant </w:t>
      </w:r>
      <w:r w:rsidR="00EE0ADB">
        <w:t>‘</w:t>
      </w:r>
      <w:r w:rsidRPr="00075571">
        <w:t xml:space="preserve">because residential rehabilitation is </w:t>
      </w:r>
      <w:r w:rsidRPr="00075571">
        <w:rPr>
          <w:i/>
          <w:iCs/>
        </w:rPr>
        <w:t>not</w:t>
      </w:r>
      <w:r w:rsidRPr="00075571">
        <w:t xml:space="preserve"> a component in the classic ACT model</w:t>
      </w:r>
      <w:r w:rsidR="00EE0ADB">
        <w:t>’</w:t>
      </w:r>
      <w:r w:rsidRPr="00075571">
        <w:t xml:space="preserve"> (Jennings 2009</w:t>
      </w:r>
      <w:r w:rsidR="005054ED">
        <w:t>, p. </w:t>
      </w:r>
      <w:r w:rsidRPr="00075571">
        <w:t xml:space="preserve">14; original emphasis). Other specific structures may target criminogenic need in their rehabilitative approach. Programmes </w:t>
      </w:r>
      <w:r>
        <w:t>us</w:t>
      </w:r>
      <w:r w:rsidRPr="00075571">
        <w:t>ing IDDT, for instance, which aim to address comorbidity of substance abuse disorders among mental health service users, have been applied to FMH</w:t>
      </w:r>
      <w:r>
        <w:t>S user</w:t>
      </w:r>
      <w:r w:rsidRPr="00075571">
        <w:t xml:space="preserve"> populations generally and specifically among persons recovering from co-occurring disabilities (Jennings 2009; Smith </w:t>
      </w:r>
      <w:r w:rsidR="00AD0D58">
        <w:t>et al</w:t>
      </w:r>
      <w:r w:rsidRPr="00075571">
        <w:t xml:space="preserve"> 2010).</w:t>
      </w:r>
    </w:p>
    <w:p w14:paraId="40AF4E8A" w14:textId="77777777" w:rsidR="0012387C" w:rsidRPr="00075571" w:rsidRDefault="0012387C" w:rsidP="0012387C"/>
    <w:p w14:paraId="2064D7AE" w14:textId="77777777" w:rsidR="009636B7" w:rsidRPr="00075571" w:rsidRDefault="009636B7" w:rsidP="0012387C">
      <w:pPr>
        <w:pStyle w:val="Heading4"/>
      </w:pPr>
      <w:r w:rsidRPr="00075571">
        <w:t>Recovery-</w:t>
      </w:r>
      <w:r>
        <w:t>o</w:t>
      </w:r>
      <w:r w:rsidRPr="00075571">
        <w:t xml:space="preserve">riented </w:t>
      </w:r>
      <w:r>
        <w:t>a</w:t>
      </w:r>
      <w:r w:rsidRPr="00075571">
        <w:t>pproach</w:t>
      </w:r>
    </w:p>
    <w:p w14:paraId="57B2F5FE" w14:textId="77777777" w:rsidR="00EE0ADB" w:rsidRDefault="009636B7" w:rsidP="0012387C">
      <w:r w:rsidRPr="00075571">
        <w:t xml:space="preserve">An emphasis in the literature on structures of clinical engagement </w:t>
      </w:r>
      <w:r>
        <w:t xml:space="preserve">that </w:t>
      </w:r>
      <w:r w:rsidRPr="00075571">
        <w:t xml:space="preserve">are intensive, proactive and </w:t>
      </w:r>
      <w:r w:rsidR="00EE0ADB">
        <w:t>‘</w:t>
      </w:r>
      <w:r w:rsidRPr="00075571">
        <w:t>assertive</w:t>
      </w:r>
      <w:r w:rsidR="00EE0ADB">
        <w:t>’</w:t>
      </w:r>
      <w:r w:rsidRPr="00075571">
        <w:t xml:space="preserve"> tends to </w:t>
      </w:r>
      <w:r w:rsidRPr="0042677F">
        <w:t>minimali</w:t>
      </w:r>
      <w:r>
        <w:t>s</w:t>
      </w:r>
      <w:r w:rsidRPr="0042677F">
        <w:t>e</w:t>
      </w:r>
      <w:r w:rsidRPr="00075571">
        <w:t xml:space="preserve"> the role of recovery in such structures. There is, though more recent, </w:t>
      </w:r>
      <w:r>
        <w:t>focus on</w:t>
      </w:r>
      <w:r w:rsidRPr="00075571">
        <w:t xml:space="preserve"> recovery in FMHS community structures. Alternative models to and variations of FACT have been developed to address its limitations</w:t>
      </w:r>
      <w:r>
        <w:t>:</w:t>
      </w:r>
      <w:r w:rsidRPr="00075571">
        <w:t xml:space="preserve"> </w:t>
      </w:r>
      <w:r>
        <w:t>f</w:t>
      </w:r>
      <w:r w:rsidRPr="00075571">
        <w:t xml:space="preserve">or example, a lower-cost variation to FICM with flexible ACT, which was developed and has been widely implemented in the Netherlands (Bond </w:t>
      </w:r>
      <w:r>
        <w:t>and</w:t>
      </w:r>
      <w:r w:rsidRPr="00075571">
        <w:t xml:space="preserve"> Drake, 2007; </w:t>
      </w:r>
      <w:r>
        <w:t>v</w:t>
      </w:r>
      <w:r w:rsidRPr="00075571">
        <w:t xml:space="preserve">an Veldhuizen 2007) and, more recently, adapted for use in the United Kingdom (Firn </w:t>
      </w:r>
      <w:r w:rsidR="00AD0D58">
        <w:t>et al</w:t>
      </w:r>
      <w:r w:rsidRPr="00075571">
        <w:t xml:space="preserve"> 2013; Sood </w:t>
      </w:r>
      <w:r w:rsidR="00AD0D58">
        <w:t>et al</w:t>
      </w:r>
      <w:r w:rsidRPr="00075571">
        <w:t xml:space="preserve"> 2017). As Firn </w:t>
      </w:r>
      <w:r w:rsidR="00AD0D58">
        <w:t>et al</w:t>
      </w:r>
      <w:r w:rsidRPr="00075571">
        <w:t xml:space="preserve"> (2013) explain</w:t>
      </w:r>
      <w:r>
        <w:t>:</w:t>
      </w:r>
    </w:p>
    <w:p w14:paraId="0793EB91" w14:textId="77777777" w:rsidR="009636B7" w:rsidRPr="00075571" w:rsidRDefault="009636B7" w:rsidP="0012387C">
      <w:pPr>
        <w:pStyle w:val="Quote"/>
      </w:pPr>
      <w:r w:rsidRPr="00075571">
        <w:t>in this model, care is delivered by one team for the sector with approximately 90% receiving recovery-oriented individual case management in a multi-disciplinary team with a flexible 10% receiving an AO [assertive outreach] level of service according to need from the same team using AO principles of shared caseload, daily planning and frequent visits. Service users move between the two levels according to need with a simple team-based decision. (pp. 997–998)</w:t>
      </w:r>
    </w:p>
    <w:p w14:paraId="50C0C86E" w14:textId="77777777" w:rsidR="009636B7" w:rsidRPr="00075571" w:rsidRDefault="009636B7" w:rsidP="0012387C"/>
    <w:p w14:paraId="0ED60AFE" w14:textId="77777777" w:rsidR="00EE0ADB" w:rsidRDefault="009636B7" w:rsidP="0012387C">
      <w:r w:rsidRPr="00075571">
        <w:t xml:space="preserve">Preliminary evidence suggests flexible ACT is as effective as traditional FACT in clinical outcomes (Firn </w:t>
      </w:r>
      <w:r w:rsidR="00AD0D58">
        <w:t>et al</w:t>
      </w:r>
      <w:r w:rsidRPr="00075571">
        <w:t xml:space="preserve"> 2013; Sood </w:t>
      </w:r>
      <w:r w:rsidR="00AD0D58">
        <w:t>et al</w:t>
      </w:r>
      <w:r w:rsidRPr="00075571">
        <w:t xml:space="preserve"> 2017).</w:t>
      </w:r>
    </w:p>
    <w:p w14:paraId="44705C62" w14:textId="77777777" w:rsidR="009636B7" w:rsidRPr="00075571" w:rsidRDefault="009636B7" w:rsidP="0012387C"/>
    <w:p w14:paraId="2594F897" w14:textId="77777777" w:rsidR="009636B7" w:rsidRPr="00075571" w:rsidRDefault="009636B7" w:rsidP="0012387C">
      <w:r w:rsidRPr="00075571">
        <w:t>In keeping with broader trends in FMHS</w:t>
      </w:r>
      <w:r>
        <w:t>s</w:t>
      </w:r>
      <w:r w:rsidRPr="00075571">
        <w:t xml:space="preserve"> in recent decades, community approaches to care are draw</w:t>
      </w:r>
      <w:r>
        <w:t>ing</w:t>
      </w:r>
      <w:r w:rsidRPr="00075571">
        <w:t xml:space="preserve"> upon </w:t>
      </w:r>
      <w:r>
        <w:t xml:space="preserve">principles </w:t>
      </w:r>
      <w:r w:rsidRPr="00075571">
        <w:t xml:space="preserve">of the recovery-oriented approach with increasing consistency. Particularly, the good lives approach has been </w:t>
      </w:r>
      <w:r>
        <w:t>us</w:t>
      </w:r>
      <w:r w:rsidRPr="00075571">
        <w:t>ed in the community context</w:t>
      </w:r>
      <w:r>
        <w:t>,</w:t>
      </w:r>
      <w:r w:rsidRPr="00075571">
        <w:t xml:space="preserve"> </w:t>
      </w:r>
      <w:r>
        <w:t xml:space="preserve">and there is </w:t>
      </w:r>
      <w:r w:rsidRPr="00075571">
        <w:t xml:space="preserve">evidence of </w:t>
      </w:r>
      <w:r>
        <w:t xml:space="preserve">its </w:t>
      </w:r>
      <w:r w:rsidRPr="00075571">
        <w:t>effectiveness in enhancing psychological wellbeing and general quality of life, increasing service user engagement, and managing risk of recidivism (</w:t>
      </w:r>
      <w:r w:rsidRPr="0008391B">
        <w:t>Barnett</w:t>
      </w:r>
      <w:r>
        <w:t xml:space="preserve"> </w:t>
      </w:r>
      <w:r w:rsidR="00AD0D58">
        <w:t>et al</w:t>
      </w:r>
      <w:r w:rsidRPr="00075571">
        <w:t xml:space="preserve"> 2014; Harkins</w:t>
      </w:r>
      <w:r>
        <w:t xml:space="preserve"> </w:t>
      </w:r>
      <w:r w:rsidR="00AD0D58">
        <w:t>et al</w:t>
      </w:r>
      <w:r w:rsidRPr="00075571">
        <w:t xml:space="preserve"> 2012; Mitchell 2015; Ward </w:t>
      </w:r>
      <w:r>
        <w:t>and</w:t>
      </w:r>
      <w:r w:rsidRPr="00075571">
        <w:t xml:space="preserve"> Attwell 2014). In contrast to the inpatient context, however, such approaches are typically used in targeted outpatient programming or interventions (</w:t>
      </w:r>
      <w:r>
        <w:t>eg</w:t>
      </w:r>
      <w:r w:rsidRPr="00075571">
        <w:t>, for sex offenders</w:t>
      </w:r>
      <w:r>
        <w:t>)</w:t>
      </w:r>
      <w:r w:rsidRPr="00075571">
        <w:t xml:space="preserve"> </w:t>
      </w:r>
      <w:r>
        <w:t>(</w:t>
      </w:r>
      <w:r w:rsidRPr="00075571">
        <w:t xml:space="preserve">Harkins </w:t>
      </w:r>
      <w:r w:rsidR="00AD0D58">
        <w:t>et al</w:t>
      </w:r>
      <w:r w:rsidRPr="00075571">
        <w:t xml:space="preserve"> 2012)</w:t>
      </w:r>
      <w:r>
        <w:t xml:space="preserve"> – </w:t>
      </w:r>
      <w:r w:rsidRPr="00075571">
        <w:t>that is, one aspect of community FMHS</w:t>
      </w:r>
      <w:r>
        <w:t>s</w:t>
      </w:r>
      <w:r w:rsidRPr="00075571">
        <w:t>, rather than to inform the structure or principles of service delivery more generally.</w:t>
      </w:r>
    </w:p>
    <w:p w14:paraId="5F117C4A" w14:textId="77777777" w:rsidR="009636B7" w:rsidRPr="00075571" w:rsidRDefault="009636B7" w:rsidP="0012387C"/>
    <w:p w14:paraId="3CDA0F01" w14:textId="77777777" w:rsidR="00EE0ADB" w:rsidRDefault="009636B7" w:rsidP="0012387C">
      <w:pPr>
        <w:keepNext/>
        <w:keepLines/>
      </w:pPr>
      <w:r w:rsidRPr="00075571">
        <w:lastRenderedPageBreak/>
        <w:t>Another structure supporting a recovery-orientated model of care in community FMHS</w:t>
      </w:r>
      <w:r>
        <w:t>s</w:t>
      </w:r>
      <w:r w:rsidRPr="00075571">
        <w:t xml:space="preserve"> is recovery learning college</w:t>
      </w:r>
      <w:r>
        <w:t>s</w:t>
      </w:r>
      <w:r w:rsidRPr="00075571">
        <w:t>, which originated in the United States and have recently been adopted in the United Kingdom (Frayn</w:t>
      </w:r>
      <w:r>
        <w:t xml:space="preserve"> </w:t>
      </w:r>
      <w:r w:rsidR="00AD0D58">
        <w:t>et al</w:t>
      </w:r>
      <w:r w:rsidRPr="00075571">
        <w:t xml:space="preserve"> 2016). While limited evidence exists of their use in forensic mental health contexts, recovery colleges are well documented in non-forensic community mental health settings (Frayn </w:t>
      </w:r>
      <w:r w:rsidR="00AD0D58">
        <w:t>et al</w:t>
      </w:r>
      <w:r w:rsidRPr="00075571">
        <w:t xml:space="preserve"> 2016). Recovery colleges embody </w:t>
      </w:r>
      <w:r w:rsidR="00EE0ADB">
        <w:t>‘</w:t>
      </w:r>
      <w:r w:rsidRPr="00075571">
        <w:t>the core principles of recovery-focused services, with an emphasis on self-efficacy and self-management, inspiration and hope provided by learning from others with similar experiences</w:t>
      </w:r>
      <w:r w:rsidR="00EE0ADB">
        <w:t>’</w:t>
      </w:r>
      <w:r w:rsidRPr="00075571">
        <w:t xml:space="preserve"> (Frayn </w:t>
      </w:r>
      <w:r w:rsidR="00AD0D58">
        <w:t>et al</w:t>
      </w:r>
      <w:r w:rsidRPr="00075571">
        <w:t xml:space="preserve"> 2016</w:t>
      </w:r>
      <w:r w:rsidR="005054ED">
        <w:t>, p. </w:t>
      </w:r>
      <w:r w:rsidRPr="00075571">
        <w:t>29). Recovery colleges may be designed for the various levels of security spanning inpatient and community FMHS</w:t>
      </w:r>
      <w:r>
        <w:t>s</w:t>
      </w:r>
      <w:r w:rsidRPr="00075571">
        <w:t xml:space="preserve">. Frayn </w:t>
      </w:r>
      <w:r w:rsidR="00AD0D58">
        <w:t>et al</w:t>
      </w:r>
      <w:r w:rsidRPr="00075571">
        <w:t xml:space="preserve"> (2016) </w:t>
      </w:r>
      <w:r>
        <w:t xml:space="preserve">state that a recovery college has the following </w:t>
      </w:r>
      <w:r w:rsidRPr="00075571">
        <w:t>defining features</w:t>
      </w:r>
      <w:r>
        <w:t>.</w:t>
      </w:r>
    </w:p>
    <w:p w14:paraId="147E7754" w14:textId="77777777" w:rsidR="00EE0ADB" w:rsidRDefault="009636B7" w:rsidP="0012387C">
      <w:pPr>
        <w:pStyle w:val="Number"/>
      </w:pPr>
      <w:r>
        <w:t>There is c</w:t>
      </w:r>
      <w:r w:rsidRPr="00075571">
        <w:t>o-production between people with personal and professional experience of mental health problems.</w:t>
      </w:r>
    </w:p>
    <w:p w14:paraId="52B47C73" w14:textId="77777777" w:rsidR="009636B7" w:rsidRPr="00075571" w:rsidRDefault="009636B7" w:rsidP="0012387C">
      <w:pPr>
        <w:pStyle w:val="Number"/>
      </w:pPr>
      <w:r w:rsidRPr="00075571">
        <w:t>There is a physical base (building) with classrooms and a library where people can do their own research.</w:t>
      </w:r>
    </w:p>
    <w:p w14:paraId="711724B0" w14:textId="77777777" w:rsidR="00EE0ADB" w:rsidRDefault="009636B7" w:rsidP="0012387C">
      <w:pPr>
        <w:pStyle w:val="Number"/>
      </w:pPr>
      <w:r w:rsidRPr="00075571">
        <w:t xml:space="preserve">It operates on college principles. People attend as students rather than patients and select their own courses. Risk assessments are not conducted by the college to see if people are </w:t>
      </w:r>
      <w:r w:rsidR="00EE0ADB">
        <w:t>‘</w:t>
      </w:r>
      <w:r w:rsidRPr="00075571">
        <w:t>suitable</w:t>
      </w:r>
      <w:r w:rsidR="00EE0ADB">
        <w:t>’</w:t>
      </w:r>
      <w:r w:rsidRPr="00075571">
        <w:t xml:space="preserve"> to attend.</w:t>
      </w:r>
    </w:p>
    <w:p w14:paraId="1FE756C5" w14:textId="77777777" w:rsidR="00EE0ADB" w:rsidRDefault="009636B7" w:rsidP="0012387C">
      <w:pPr>
        <w:pStyle w:val="Number"/>
      </w:pPr>
      <w:r w:rsidRPr="00075571">
        <w:t>It must reflect recovery principles in all aspects of its culture and operation.</w:t>
      </w:r>
    </w:p>
    <w:p w14:paraId="08F88D86" w14:textId="77777777" w:rsidR="009636B7" w:rsidRPr="00075571" w:rsidRDefault="009636B7" w:rsidP="0012387C">
      <w:pPr>
        <w:pStyle w:val="Number"/>
      </w:pPr>
      <w:r w:rsidRPr="00075571">
        <w:t xml:space="preserve">There is a </w:t>
      </w:r>
      <w:r>
        <w:t>p</w:t>
      </w:r>
      <w:r w:rsidRPr="00075571">
        <w:t xml:space="preserve">ersonal </w:t>
      </w:r>
      <w:r>
        <w:t>t</w:t>
      </w:r>
      <w:r w:rsidRPr="00075571">
        <w:t>utor who offers information, advice and guidance.</w:t>
      </w:r>
    </w:p>
    <w:p w14:paraId="425A0BDF" w14:textId="77777777" w:rsidR="009636B7" w:rsidRPr="00075571" w:rsidRDefault="009636B7" w:rsidP="0012387C">
      <w:pPr>
        <w:pStyle w:val="Number"/>
      </w:pPr>
      <w:r w:rsidRPr="00075571">
        <w:t>It is for everyone in the community.</w:t>
      </w:r>
    </w:p>
    <w:p w14:paraId="13863AB6" w14:textId="77777777" w:rsidR="009636B7" w:rsidRPr="00075571" w:rsidRDefault="009636B7" w:rsidP="0012387C">
      <w:pPr>
        <w:pStyle w:val="Number"/>
      </w:pPr>
      <w:r w:rsidRPr="00075571">
        <w:t xml:space="preserve">The </w:t>
      </w:r>
      <w:r>
        <w:t>c</w:t>
      </w:r>
      <w:r w:rsidRPr="00075571">
        <w:t>ollege is not a substitute for traditional assessment and treatment, or for mainstream colleges.</w:t>
      </w:r>
    </w:p>
    <w:p w14:paraId="1F8723A6" w14:textId="77777777" w:rsidR="009636B7" w:rsidRPr="00075571" w:rsidRDefault="009636B7" w:rsidP="0012387C"/>
    <w:p w14:paraId="1E6F4E61" w14:textId="77777777" w:rsidR="00EE0ADB" w:rsidRDefault="009636B7" w:rsidP="0012387C">
      <w:r w:rsidRPr="00075571">
        <w:t>It is important to note here that recovery colleges do not provide a holistic model of care for community FMHS</w:t>
      </w:r>
      <w:r>
        <w:t>s</w:t>
      </w:r>
      <w:r w:rsidRPr="00075571">
        <w:t>, as they do not provide clinical care. As such, recovery colleges should be seen as</w:t>
      </w:r>
      <w:r>
        <w:t xml:space="preserve"> </w:t>
      </w:r>
      <w:r w:rsidRPr="00075571">
        <w:t>complementary education-based service</w:t>
      </w:r>
      <w:r>
        <w:t>s</w:t>
      </w:r>
      <w:r w:rsidRPr="00075571">
        <w:t xml:space="preserve"> that may be incorporated into broader FMHS</w:t>
      </w:r>
      <w:r>
        <w:t>s</w:t>
      </w:r>
      <w:r w:rsidRPr="00075571">
        <w:t xml:space="preserve"> to build patient self-sufficiency and support long-term outcomes.</w:t>
      </w:r>
    </w:p>
    <w:p w14:paraId="2F1EA61F" w14:textId="77777777" w:rsidR="009636B7" w:rsidRPr="00075571" w:rsidRDefault="009636B7" w:rsidP="0012387C"/>
    <w:p w14:paraId="45D7C6A8" w14:textId="77777777" w:rsidR="009636B7" w:rsidRPr="00075571" w:rsidRDefault="009636B7" w:rsidP="0012387C">
      <w:r w:rsidRPr="00075571">
        <w:t xml:space="preserve">Of particular relevance to the </w:t>
      </w:r>
      <w:r>
        <w:t>Aotearoa New Zealand</w:t>
      </w:r>
      <w:r w:rsidRPr="00075571">
        <w:t xml:space="preserve"> context</w:t>
      </w:r>
      <w:bookmarkStart w:id="103" w:name="_Hlk87610912"/>
      <w:r w:rsidRPr="00075571">
        <w:t xml:space="preserve">, Skipworth </w:t>
      </w:r>
      <w:r>
        <w:t>and</w:t>
      </w:r>
      <w:r w:rsidRPr="00075571">
        <w:t xml:space="preserve"> Humberstone </w:t>
      </w:r>
      <w:r>
        <w:t>(</w:t>
      </w:r>
      <w:r w:rsidRPr="00075571">
        <w:t>200</w:t>
      </w:r>
      <w:r>
        <w:t xml:space="preserve">2) </w:t>
      </w:r>
      <w:bookmarkEnd w:id="103"/>
      <w:r>
        <w:t xml:space="preserve">developed a recovery-focused </w:t>
      </w:r>
      <w:r w:rsidRPr="00075571">
        <w:t>community</w:t>
      </w:r>
      <w:r>
        <w:t xml:space="preserve"> FMHS model of care based on </w:t>
      </w:r>
      <w:r w:rsidRPr="00075571">
        <w:t>10 person</w:t>
      </w:r>
      <w:r>
        <w:t>-</w:t>
      </w:r>
      <w:r w:rsidRPr="00075571">
        <w:t xml:space="preserve"> and family-oriented principles governing the structuring of care</w:t>
      </w:r>
      <w:r>
        <w:t>. These are:</w:t>
      </w:r>
    </w:p>
    <w:p w14:paraId="01ECFB3E" w14:textId="77777777" w:rsidR="00EE0ADB" w:rsidRDefault="009636B7" w:rsidP="0012387C">
      <w:pPr>
        <w:pStyle w:val="Number"/>
        <w:numPr>
          <w:ilvl w:val="3"/>
          <w:numId w:val="25"/>
        </w:numPr>
      </w:pPr>
      <w:r w:rsidRPr="00075571">
        <w:t>The service must be located in the community</w:t>
      </w:r>
      <w:r>
        <w:t>,</w:t>
      </w:r>
      <w:r w:rsidRPr="00075571">
        <w:t xml:space="preserve"> for both philosophical and practical reasons (</w:t>
      </w:r>
      <w:r>
        <w:t>eg</w:t>
      </w:r>
      <w:r w:rsidRPr="00075571">
        <w:t>, visibility, accountability, access, community integration).</w:t>
      </w:r>
    </w:p>
    <w:p w14:paraId="7B6F35B0" w14:textId="77777777" w:rsidR="009636B7" w:rsidRPr="00075571" w:rsidRDefault="009636B7" w:rsidP="0012387C">
      <w:pPr>
        <w:pStyle w:val="Number"/>
        <w:numPr>
          <w:ilvl w:val="3"/>
          <w:numId w:val="25"/>
        </w:numPr>
      </w:pPr>
      <w:r w:rsidRPr="00075571">
        <w:t>All members of the service must be mobile</w:t>
      </w:r>
      <w:r>
        <w:t>,</w:t>
      </w:r>
      <w:r w:rsidRPr="00075571">
        <w:t xml:space="preserve"> to ensure </w:t>
      </w:r>
      <w:r w:rsidRPr="00A537F0">
        <w:t>accessibility</w:t>
      </w:r>
      <w:r w:rsidRPr="00075571">
        <w:t xml:space="preserve"> and facilitate comprehensive assessment.</w:t>
      </w:r>
    </w:p>
    <w:p w14:paraId="746B9BAB" w14:textId="77777777" w:rsidR="009636B7" w:rsidRPr="00075571" w:rsidRDefault="009636B7" w:rsidP="0012387C">
      <w:pPr>
        <w:pStyle w:val="Number"/>
        <w:numPr>
          <w:ilvl w:val="3"/>
          <w:numId w:val="25"/>
        </w:numPr>
      </w:pPr>
      <w:r w:rsidRPr="00075571">
        <w:t>The service must be accessible during weekends and after</w:t>
      </w:r>
      <w:r>
        <w:t xml:space="preserve"> </w:t>
      </w:r>
      <w:r w:rsidRPr="00075571">
        <w:t>hours</w:t>
      </w:r>
      <w:r>
        <w:t>,</w:t>
      </w:r>
      <w:r w:rsidRPr="00075571">
        <w:t xml:space="preserve"> to meet patients</w:t>
      </w:r>
      <w:r w:rsidR="00EE0ADB">
        <w:t>’</w:t>
      </w:r>
      <w:r w:rsidRPr="00075571">
        <w:t xml:space="preserve"> needs and provide continuity of care.</w:t>
      </w:r>
    </w:p>
    <w:p w14:paraId="5F3FF444" w14:textId="77777777" w:rsidR="009636B7" w:rsidRPr="00075571" w:rsidRDefault="009636B7" w:rsidP="0012387C">
      <w:pPr>
        <w:pStyle w:val="Number"/>
        <w:numPr>
          <w:ilvl w:val="3"/>
          <w:numId w:val="25"/>
        </w:numPr>
      </w:pPr>
      <w:r w:rsidRPr="00075571">
        <w:t>The service must provide culturally informed care (</w:t>
      </w:r>
      <w:r>
        <w:t>eg</w:t>
      </w:r>
      <w:r w:rsidRPr="00075571">
        <w:t xml:space="preserve"> for Māori).</w:t>
      </w:r>
    </w:p>
    <w:p w14:paraId="338ACC5D" w14:textId="77777777" w:rsidR="009636B7" w:rsidRPr="00075571" w:rsidRDefault="009636B7" w:rsidP="00797E99">
      <w:pPr>
        <w:pStyle w:val="Number"/>
        <w:numPr>
          <w:ilvl w:val="3"/>
          <w:numId w:val="25"/>
        </w:numPr>
      </w:pPr>
      <w:r w:rsidRPr="00075571">
        <w:t xml:space="preserve">An effective therapeutic alliance must be formed between the service user and </w:t>
      </w:r>
      <w:r>
        <w:t xml:space="preserve">the </w:t>
      </w:r>
      <w:r w:rsidRPr="00075571">
        <w:t>FMH</w:t>
      </w:r>
      <w:r>
        <w:t>S</w:t>
      </w:r>
      <w:r w:rsidRPr="00075571">
        <w:t xml:space="preserve"> team</w:t>
      </w:r>
      <w:r>
        <w:t>, who must</w:t>
      </w:r>
      <w:r w:rsidRPr="00075571">
        <w:t xml:space="preserve"> work collaboratively </w:t>
      </w:r>
      <w:r>
        <w:t xml:space="preserve">to </w:t>
      </w:r>
      <w:r w:rsidRPr="00075571">
        <w:t>shared goals.</w:t>
      </w:r>
    </w:p>
    <w:p w14:paraId="6ECEE8B2" w14:textId="77777777" w:rsidR="009636B7" w:rsidRPr="00075571" w:rsidRDefault="009636B7" w:rsidP="00F97D8A">
      <w:pPr>
        <w:pStyle w:val="Number"/>
        <w:keepNext/>
        <w:numPr>
          <w:ilvl w:val="3"/>
          <w:numId w:val="25"/>
        </w:numPr>
      </w:pPr>
      <w:r w:rsidRPr="00075571">
        <w:lastRenderedPageBreak/>
        <w:t>The service must be able to provide a high frequency of contacts with service users</w:t>
      </w:r>
      <w:r>
        <w:t>,</w:t>
      </w:r>
      <w:r w:rsidRPr="00075571">
        <w:t xml:space="preserve"> to support rehabilitation and risk management.</w:t>
      </w:r>
    </w:p>
    <w:p w14:paraId="12C1D77F" w14:textId="77777777" w:rsidR="009636B7" w:rsidRPr="00075571" w:rsidRDefault="009636B7" w:rsidP="0012387C">
      <w:pPr>
        <w:pStyle w:val="Number"/>
        <w:numPr>
          <w:ilvl w:val="3"/>
          <w:numId w:val="25"/>
        </w:numPr>
      </w:pPr>
      <w:r>
        <w:t>S</w:t>
      </w:r>
      <w:r w:rsidRPr="00075571">
        <w:t>ervice users must have unobstructed access to services, including access to rehospitalisation.</w:t>
      </w:r>
    </w:p>
    <w:p w14:paraId="3174ED18" w14:textId="77777777" w:rsidR="009636B7" w:rsidRPr="00075571" w:rsidRDefault="009636B7" w:rsidP="0012387C">
      <w:pPr>
        <w:pStyle w:val="Number"/>
        <w:numPr>
          <w:ilvl w:val="3"/>
          <w:numId w:val="25"/>
        </w:numPr>
      </w:pPr>
      <w:r w:rsidRPr="00075571">
        <w:t>The service should work with the service user</w:t>
      </w:r>
      <w:r w:rsidR="00EE0ADB">
        <w:t>’</w:t>
      </w:r>
      <w:r w:rsidRPr="00075571">
        <w:t>s family and significant social network.</w:t>
      </w:r>
    </w:p>
    <w:p w14:paraId="6DB86FE8" w14:textId="77777777" w:rsidR="00EE0ADB" w:rsidRDefault="009636B7" w:rsidP="0012387C">
      <w:pPr>
        <w:pStyle w:val="Number"/>
        <w:numPr>
          <w:ilvl w:val="3"/>
          <w:numId w:val="25"/>
        </w:numPr>
      </w:pPr>
      <w:r w:rsidRPr="00075571">
        <w:t>The service must understand and incorporate recovery as a philosophy of care.</w:t>
      </w:r>
    </w:p>
    <w:p w14:paraId="57AA0E57" w14:textId="77777777" w:rsidR="009636B7" w:rsidRDefault="009636B7" w:rsidP="0012387C">
      <w:pPr>
        <w:pStyle w:val="Number"/>
        <w:numPr>
          <w:ilvl w:val="3"/>
          <w:numId w:val="25"/>
        </w:numPr>
      </w:pPr>
      <w:r w:rsidRPr="00075571">
        <w:t xml:space="preserve">The service must deliver care based on individual risk management and rehabilitation plans. (Skipworth </w:t>
      </w:r>
      <w:r>
        <w:t>and</w:t>
      </w:r>
      <w:r w:rsidRPr="00075571">
        <w:t xml:space="preserve"> Humberstone</w:t>
      </w:r>
      <w:r>
        <w:t xml:space="preserve">, </w:t>
      </w:r>
      <w:r w:rsidRPr="00075571">
        <w:t>200</w:t>
      </w:r>
      <w:r>
        <w:t xml:space="preserve">2, </w:t>
      </w:r>
      <w:r w:rsidRPr="00075571">
        <w:t>pp. 49–52)</w:t>
      </w:r>
    </w:p>
    <w:p w14:paraId="31F51193" w14:textId="77777777" w:rsidR="00F97D8A" w:rsidRPr="00075571" w:rsidRDefault="00F97D8A" w:rsidP="00F97D8A"/>
    <w:p w14:paraId="21AFF272" w14:textId="77777777" w:rsidR="009636B7" w:rsidRPr="00075571" w:rsidRDefault="009636B7" w:rsidP="00797E99">
      <w:pPr>
        <w:pStyle w:val="Heading2"/>
      </w:pPr>
      <w:bookmarkStart w:id="104" w:name="_Toc16805640"/>
      <w:bookmarkStart w:id="105" w:name="_Toc88823234"/>
      <w:bookmarkStart w:id="106" w:name="_Toc90026003"/>
      <w:r w:rsidRPr="00075571">
        <w:t>Summary</w:t>
      </w:r>
      <w:bookmarkEnd w:id="104"/>
      <w:bookmarkEnd w:id="105"/>
      <w:bookmarkEnd w:id="106"/>
    </w:p>
    <w:p w14:paraId="75F4C22C" w14:textId="77777777" w:rsidR="00EE0ADB" w:rsidRDefault="009636B7" w:rsidP="00797E99">
      <w:r w:rsidRPr="001A28C6">
        <w:t xml:space="preserve">While the majority of </w:t>
      </w:r>
      <w:r>
        <w:t xml:space="preserve">FMHS </w:t>
      </w:r>
      <w:r w:rsidRPr="001A28C6">
        <w:t>users will eventually be discharged to GMHS</w:t>
      </w:r>
      <w:r>
        <w:t>s</w:t>
      </w:r>
      <w:r w:rsidRPr="001A28C6">
        <w:t>, a small group of individuals in the community</w:t>
      </w:r>
      <w:r>
        <w:t xml:space="preserve"> will require ongoing FMHSs</w:t>
      </w:r>
      <w:r w:rsidRPr="001A28C6">
        <w:t>. Consequently, community FMHS</w:t>
      </w:r>
      <w:r>
        <w:t>s</w:t>
      </w:r>
      <w:r w:rsidRPr="001A28C6">
        <w:t xml:space="preserve"> provide a range of services</w:t>
      </w:r>
      <w:r>
        <w:t>,</w:t>
      </w:r>
      <w:r w:rsidRPr="001A28C6">
        <w:t xml:space="preserve"> including consultation and liaison as well as various specialist interventions. These services may be integrated with or parallel to GMHS</w:t>
      </w:r>
      <w:r>
        <w:t>s</w:t>
      </w:r>
      <w:r w:rsidRPr="001A28C6">
        <w:t>. Within the various models of community FMHS</w:t>
      </w:r>
      <w:r>
        <w:t>s</w:t>
      </w:r>
      <w:r w:rsidRPr="001A28C6">
        <w:t xml:space="preserve">, case management and particularly </w:t>
      </w:r>
      <w:r>
        <w:t>FACT</w:t>
      </w:r>
      <w:r w:rsidRPr="001A28C6">
        <w:t xml:space="preserve"> have the mos</w:t>
      </w:r>
      <w:r w:rsidRPr="00E42BE0">
        <w:t xml:space="preserve">t robust evidence base and are most relevant to the </w:t>
      </w:r>
      <w:r>
        <w:t>Aotearoa New Zealand</w:t>
      </w:r>
      <w:r w:rsidRPr="00075571">
        <w:t xml:space="preserve"> </w:t>
      </w:r>
      <w:r w:rsidRPr="001A28C6">
        <w:t xml:space="preserve">context. In terms of overarching themes, discussions of therapeutic security, rehabilitation and recovery </w:t>
      </w:r>
      <w:r>
        <w:t xml:space="preserve">prevail </w:t>
      </w:r>
      <w:r w:rsidRPr="001A28C6">
        <w:t>in the community literature, albeit less directly so. Key here is the need to continue attending to service users</w:t>
      </w:r>
      <w:r w:rsidR="00EE0ADB">
        <w:t>’</w:t>
      </w:r>
      <w:r w:rsidRPr="001A28C6">
        <w:t xml:space="preserve"> criminogenic and therapeutic needs to reduce </w:t>
      </w:r>
      <w:r>
        <w:t xml:space="preserve">their </w:t>
      </w:r>
      <w:r w:rsidRPr="001A28C6">
        <w:t xml:space="preserve">risk of reoffending. Notably, evidence concerning models of care among </w:t>
      </w:r>
      <w:r w:rsidRPr="00E42BE0">
        <w:t xml:space="preserve">priority </w:t>
      </w:r>
      <w:r w:rsidRPr="0043256B">
        <w:t>populations within community FMHS</w:t>
      </w:r>
      <w:r>
        <w:t>s</w:t>
      </w:r>
      <w:r w:rsidRPr="0043256B">
        <w:t xml:space="preserve"> was largely absent</w:t>
      </w:r>
      <w:r>
        <w:t xml:space="preserve"> from the literature</w:t>
      </w:r>
      <w:r w:rsidRPr="0043256B">
        <w:t xml:space="preserve">, highlighting the need </w:t>
      </w:r>
      <w:r w:rsidRPr="00F45309">
        <w:t>for further research in this area.</w:t>
      </w:r>
    </w:p>
    <w:p w14:paraId="49CA0C1E" w14:textId="77777777" w:rsidR="00797E99" w:rsidRDefault="00797E99" w:rsidP="00797E99"/>
    <w:p w14:paraId="673FB7BC" w14:textId="77777777" w:rsidR="009636B7" w:rsidRPr="00F45309" w:rsidRDefault="009636B7" w:rsidP="00797E99">
      <w:pPr>
        <w:pStyle w:val="Heading1"/>
      </w:pPr>
      <w:bookmarkStart w:id="107" w:name="_Toc88823235"/>
      <w:bookmarkStart w:id="108" w:name="_Toc90026004"/>
      <w:r w:rsidRPr="00797E99">
        <w:rPr>
          <w:b w:val="0"/>
          <w:bCs/>
        </w:rPr>
        <w:lastRenderedPageBreak/>
        <w:t>Section 4:</w:t>
      </w:r>
      <w:r w:rsidRPr="00797E99">
        <w:rPr>
          <w:b w:val="0"/>
        </w:rPr>
        <w:br/>
      </w:r>
      <w:r w:rsidRPr="00E42BE0">
        <w:t>Pr</w:t>
      </w:r>
      <w:r w:rsidRPr="0043256B">
        <w:t>ison</w:t>
      </w:r>
      <w:r w:rsidRPr="00F45309">
        <w:t xml:space="preserve"> </w:t>
      </w:r>
      <w:r>
        <w:t>r</w:t>
      </w:r>
      <w:r w:rsidRPr="00F45309">
        <w:t>eview</w:t>
      </w:r>
      <w:bookmarkEnd w:id="107"/>
      <w:bookmarkEnd w:id="108"/>
    </w:p>
    <w:p w14:paraId="12788329" w14:textId="77777777" w:rsidR="009636B7" w:rsidRPr="00DD29A3" w:rsidRDefault="009636B7" w:rsidP="003D0BB1">
      <w:pPr>
        <w:pStyle w:val="Heading2"/>
      </w:pPr>
      <w:bookmarkStart w:id="109" w:name="_Toc16805642"/>
      <w:bookmarkStart w:id="110" w:name="_Toc88823236"/>
      <w:bookmarkStart w:id="111" w:name="_Toc90026005"/>
      <w:r w:rsidRPr="00DD29A3">
        <w:t>Introduction</w:t>
      </w:r>
      <w:bookmarkEnd w:id="109"/>
      <w:bookmarkEnd w:id="110"/>
      <w:bookmarkEnd w:id="111"/>
    </w:p>
    <w:p w14:paraId="344C89E5" w14:textId="77777777" w:rsidR="00EE0ADB" w:rsidRDefault="009636B7" w:rsidP="003D0BB1">
      <w:r w:rsidRPr="00482A5B">
        <w:t>In keeping with the broader trends in FMHS</w:t>
      </w:r>
      <w:r>
        <w:t>s</w:t>
      </w:r>
      <w:r w:rsidRPr="00482A5B">
        <w:t>, prison mental health services (PMHS</w:t>
      </w:r>
      <w:r>
        <w:t>s</w:t>
      </w:r>
      <w:r w:rsidRPr="00482A5B">
        <w:t>) have received increasing attention over the past three decades</w:t>
      </w:r>
      <w:r>
        <w:t>,</w:t>
      </w:r>
      <w:r w:rsidRPr="00482A5B">
        <w:t xml:space="preserve"> both within </w:t>
      </w:r>
      <w:r>
        <w:t>Aotearoa New Zealand</w:t>
      </w:r>
      <w:r w:rsidRPr="00075571">
        <w:t xml:space="preserve"> </w:t>
      </w:r>
      <w:r w:rsidRPr="001A28C6">
        <w:t>and internationally. From the 1980s onward, due to the findings of pivotal inquiries such as the Butler Report (</w:t>
      </w:r>
      <w:r w:rsidRPr="000329FE">
        <w:t xml:space="preserve">Home Office </w:t>
      </w:r>
      <w:r>
        <w:t>and</w:t>
      </w:r>
      <w:r w:rsidRPr="000329FE">
        <w:t xml:space="preserve"> Department of Health and Social Security</w:t>
      </w:r>
      <w:r>
        <w:t xml:space="preserve"> </w:t>
      </w:r>
      <w:r w:rsidRPr="001A28C6">
        <w:t xml:space="preserve">1975) in the United Kingdom and the Mason Report (1988) in </w:t>
      </w:r>
      <w:r>
        <w:t>Aotearoa New Zealand</w:t>
      </w:r>
      <w:r w:rsidRPr="001A28C6">
        <w:t xml:space="preserve">, it has become increasingly clear that </w:t>
      </w:r>
      <w:r w:rsidR="00EE0ADB">
        <w:t>‘</w:t>
      </w:r>
      <w:r w:rsidRPr="001A28C6">
        <w:t>the responsibility for the mental health of prisoners in New Zealand and also allied countries is with healthcare services</w:t>
      </w:r>
      <w:r w:rsidR="00EE0ADB">
        <w:t>’</w:t>
      </w:r>
      <w:r w:rsidRPr="001A28C6">
        <w:t xml:space="preserve"> (Brinded </w:t>
      </w:r>
      <w:r>
        <w:t>and</w:t>
      </w:r>
      <w:r w:rsidRPr="001A28C6">
        <w:t xml:space="preserve"> Evans 200</w:t>
      </w:r>
      <w:r w:rsidRPr="00E42BE0">
        <w:t>7</w:t>
      </w:r>
      <w:r w:rsidR="005054ED">
        <w:t>, p. </w:t>
      </w:r>
      <w:r w:rsidRPr="0043256B">
        <w:t>424). Subsequent legislation</w:t>
      </w:r>
      <w:r>
        <w:t>,</w:t>
      </w:r>
      <w:r w:rsidRPr="0043256B">
        <w:t xml:space="preserve"> particularly from the mid</w:t>
      </w:r>
      <w:r w:rsidR="003D0BB1">
        <w:noBreakHyphen/>
      </w:r>
      <w:r w:rsidRPr="0043256B">
        <w:t>1990s onward</w:t>
      </w:r>
      <w:r>
        <w:t>,</w:t>
      </w:r>
      <w:r w:rsidRPr="0043256B">
        <w:t xml:space="preserve"> has thus underscored the need for prisoners with mental illness to be </w:t>
      </w:r>
      <w:r w:rsidR="00EE0ADB">
        <w:t>‘</w:t>
      </w:r>
      <w:r w:rsidRPr="0043256B">
        <w:t>seen as pat</w:t>
      </w:r>
      <w:r w:rsidRPr="00DD29A3">
        <w:t>ients</w:t>
      </w:r>
      <w:r w:rsidR="00EE0ADB">
        <w:t>’</w:t>
      </w:r>
      <w:r w:rsidRPr="00DD29A3">
        <w:t xml:space="preserve"> and receive the same level and quality of mental health care as provided in the community (Forrester </w:t>
      </w:r>
      <w:r w:rsidR="00AD0D58">
        <w:t>et al</w:t>
      </w:r>
      <w:r w:rsidRPr="00DD29A3">
        <w:t xml:space="preserve"> 2013</w:t>
      </w:r>
      <w:r>
        <w:t>b</w:t>
      </w:r>
      <w:r w:rsidR="005054ED">
        <w:t>, p. </w:t>
      </w:r>
      <w:r w:rsidRPr="00DD29A3">
        <w:t>327).</w:t>
      </w:r>
    </w:p>
    <w:p w14:paraId="7752F366" w14:textId="77777777" w:rsidR="009636B7" w:rsidRPr="000329FE" w:rsidRDefault="009636B7" w:rsidP="003D0BB1"/>
    <w:p w14:paraId="44508EC2" w14:textId="77777777" w:rsidR="00EE0ADB" w:rsidRDefault="009636B7" w:rsidP="003D0BB1">
      <w:r w:rsidRPr="000329FE">
        <w:t xml:space="preserve">More recent legislation, such as the </w:t>
      </w:r>
      <w:r>
        <w:t xml:space="preserve">revised </w:t>
      </w:r>
      <w:r w:rsidRPr="000329FE">
        <w:t>United Nations minimum standards for the treatment of prisoners in 2015, which have subsequently been adapted for mental health populations by the World Psychiatric Association, as well as other international conventions</w:t>
      </w:r>
      <w:r>
        <w:t>,</w:t>
      </w:r>
      <w:r w:rsidRPr="000329FE">
        <w:t xml:space="preserve"> </w:t>
      </w:r>
      <w:r>
        <w:t xml:space="preserve">has </w:t>
      </w:r>
      <w:r w:rsidRPr="000329FE">
        <w:t xml:space="preserve">confirmed </w:t>
      </w:r>
      <w:r w:rsidR="00EE0ADB">
        <w:t>‘</w:t>
      </w:r>
      <w:r w:rsidRPr="000329FE">
        <w:t xml:space="preserve">the central role of the concept of </w:t>
      </w:r>
      <w:r w:rsidRPr="000329FE">
        <w:rPr>
          <w:i/>
          <w:iCs/>
        </w:rPr>
        <w:t>equivalence</w:t>
      </w:r>
      <w:r w:rsidRPr="000329FE">
        <w:t xml:space="preserve"> in enabling improvements within prison healthcare</w:t>
      </w:r>
      <w:r w:rsidR="00EE0ADB">
        <w:t>’</w:t>
      </w:r>
      <w:r w:rsidRPr="000329FE">
        <w:t xml:space="preserve"> (Forrester </w:t>
      </w:r>
      <w:r w:rsidR="00AD0D58">
        <w:t>et al</w:t>
      </w:r>
      <w:r w:rsidRPr="000329FE">
        <w:t xml:space="preserve"> 2018</w:t>
      </w:r>
      <w:r w:rsidR="005054ED">
        <w:t>, p. </w:t>
      </w:r>
      <w:r w:rsidRPr="000329FE">
        <w:t xml:space="preserve">102; see also Nicholls </w:t>
      </w:r>
      <w:r w:rsidR="00AD0D58">
        <w:t>et al</w:t>
      </w:r>
      <w:r w:rsidRPr="000329FE">
        <w:t xml:space="preserve"> 2018; Romilly </w:t>
      </w:r>
      <w:r>
        <w:t>and</w:t>
      </w:r>
      <w:r w:rsidRPr="000329FE">
        <w:t xml:space="preserve"> Bartlett 2010; Senior </w:t>
      </w:r>
      <w:r>
        <w:t>and</w:t>
      </w:r>
      <w:r w:rsidRPr="000329FE">
        <w:t xml:space="preserve"> Shaw 2013; Shaw </w:t>
      </w:r>
      <w:r>
        <w:t>and</w:t>
      </w:r>
      <w:r w:rsidRPr="000329FE">
        <w:t xml:space="preserve"> Humber 2004; V</w:t>
      </w:r>
      <w:r w:rsidRPr="000329FE">
        <w:rPr>
          <w:rFonts w:cs="Segoe UI"/>
        </w:rPr>
        <w:t>ö</w:t>
      </w:r>
      <w:r w:rsidRPr="000329FE">
        <w:t xml:space="preserve">llm </w:t>
      </w:r>
      <w:r w:rsidR="00AD0D58">
        <w:t>et al</w:t>
      </w:r>
      <w:r w:rsidRPr="000329FE">
        <w:t xml:space="preserve"> 2018). Indeed, this concept has driven significant service changes in PMHS</w:t>
      </w:r>
      <w:r>
        <w:t>s</w:t>
      </w:r>
      <w:r w:rsidRPr="000329FE">
        <w:t>, such as, in the U</w:t>
      </w:r>
      <w:r>
        <w:t xml:space="preserve">nited </w:t>
      </w:r>
      <w:r w:rsidRPr="000329FE">
        <w:t>K</w:t>
      </w:r>
      <w:r>
        <w:t>ingdom</w:t>
      </w:r>
      <w:r w:rsidRPr="000329FE">
        <w:t>, the transfer of prison health</w:t>
      </w:r>
      <w:r>
        <w:t xml:space="preserve"> </w:t>
      </w:r>
      <w:r w:rsidRPr="000329FE">
        <w:t xml:space="preserve">care from the Home Office to the National Health Service, completed in 2006 (Forrester </w:t>
      </w:r>
      <w:r w:rsidR="00AD0D58">
        <w:t>et al</w:t>
      </w:r>
      <w:r w:rsidRPr="000329FE">
        <w:t xml:space="preserve"> 2018; Senior </w:t>
      </w:r>
      <w:r>
        <w:t>and</w:t>
      </w:r>
      <w:r w:rsidRPr="000329FE">
        <w:t xml:space="preserve"> Shaw 2013). However, current evidence suggests equity has yet to be fully realised, and the need for service improvement is ongoing (Forrester </w:t>
      </w:r>
      <w:r w:rsidR="00AD0D58">
        <w:t>et al</w:t>
      </w:r>
      <w:r w:rsidRPr="000329FE">
        <w:t xml:space="preserve"> 2013</w:t>
      </w:r>
      <w:r>
        <w:t>b</w:t>
      </w:r>
      <w:r w:rsidRPr="000329FE">
        <w:t>).</w:t>
      </w:r>
    </w:p>
    <w:p w14:paraId="6181884F" w14:textId="77777777" w:rsidR="009636B7" w:rsidRPr="000329FE" w:rsidRDefault="009636B7" w:rsidP="003D0BB1"/>
    <w:p w14:paraId="415724C0" w14:textId="77777777" w:rsidR="009636B7" w:rsidRPr="000329FE" w:rsidRDefault="009636B7" w:rsidP="003D0BB1">
      <w:r w:rsidRPr="000329FE">
        <w:t>At the same time, these shifts in service delivery have led to the establishment of an in</w:t>
      </w:r>
      <w:r w:rsidR="003D0BB1">
        <w:noBreakHyphen/>
      </w:r>
      <w:r w:rsidRPr="000329FE">
        <w:t>reach model, where services are provided by multidisciplinary, specialist mental health teams that interface between FMHS</w:t>
      </w:r>
      <w:r>
        <w:t>s</w:t>
      </w:r>
      <w:r w:rsidRPr="000329FE">
        <w:t xml:space="preserve"> and PMHS</w:t>
      </w:r>
      <w:r>
        <w:t>s</w:t>
      </w:r>
      <w:r w:rsidRPr="000329FE">
        <w:t xml:space="preserve">, as is also the case in </w:t>
      </w:r>
      <w:r>
        <w:t>Aotearoa New Zealand</w:t>
      </w:r>
      <w:r w:rsidRPr="001A28C6">
        <w:t>. In other jurisdictions, however, PMHS</w:t>
      </w:r>
      <w:r>
        <w:t>s</w:t>
      </w:r>
      <w:r w:rsidRPr="001A28C6">
        <w:t xml:space="preserve"> are provided solely by corrections services and, in many cases, are still being developed (Forrester </w:t>
      </w:r>
      <w:r w:rsidR="00AD0D58">
        <w:t>et al</w:t>
      </w:r>
      <w:r w:rsidRPr="001A28C6">
        <w:t xml:space="preserve"> 2018). Here, it is important to </w:t>
      </w:r>
      <w:r>
        <w:t xml:space="preserve">note that </w:t>
      </w:r>
      <w:r w:rsidRPr="001A28C6">
        <w:t>this review focuses on prison models of care</w:t>
      </w:r>
      <w:r w:rsidRPr="00E42BE0">
        <w:t>,</w:t>
      </w:r>
      <w:r w:rsidRPr="0043256B">
        <w:t xml:space="preserve"> which are provided by specialist mental health services for prisoners w</w:t>
      </w:r>
      <w:r w:rsidRPr="00DD29A3">
        <w:t>ho present with severe,</w:t>
      </w:r>
      <w:r w:rsidRPr="00482A5B">
        <w:t xml:space="preserve"> acute and/or enduring mental illness. That is, this review examines models of care for PMHS</w:t>
      </w:r>
      <w:r>
        <w:t xml:space="preserve">s that </w:t>
      </w:r>
      <w:r w:rsidRPr="000329FE">
        <w:t>interface with FMHS</w:t>
      </w:r>
      <w:r>
        <w:t>s</w:t>
      </w:r>
      <w:r w:rsidRPr="000329FE">
        <w:t xml:space="preserve">, are </w:t>
      </w:r>
      <w:r>
        <w:t>us</w:t>
      </w:r>
      <w:r w:rsidRPr="000329FE">
        <w:t>ed by service users who fall under the purview of FMHS</w:t>
      </w:r>
      <w:r>
        <w:t>s</w:t>
      </w:r>
      <w:r w:rsidRPr="000329FE">
        <w:t>, and/or are typically administered by secondary or tertiary mental health service providers (</w:t>
      </w:r>
      <w:r>
        <w:t>ie</w:t>
      </w:r>
      <w:r w:rsidRPr="000329FE">
        <w:t>, FMHS</w:t>
      </w:r>
      <w:r>
        <w:t>s</w:t>
      </w:r>
      <w:r w:rsidRPr="000329FE">
        <w:t>). This review does not discuss primary PMHS provision or programmes for prisoners in general (</w:t>
      </w:r>
      <w:r>
        <w:t>eg</w:t>
      </w:r>
      <w:r w:rsidRPr="000329FE">
        <w:t xml:space="preserve">, </w:t>
      </w:r>
      <w:r>
        <w:t xml:space="preserve">AOD </w:t>
      </w:r>
      <w:r w:rsidRPr="000329FE">
        <w:t xml:space="preserve">services), or those whose mental health </w:t>
      </w:r>
      <w:r w:rsidRPr="000329FE">
        <w:lastRenderedPageBreak/>
        <w:t>needs do not require FMHS intervention.</w:t>
      </w:r>
      <w:r w:rsidRPr="003D0BB1">
        <w:rPr>
          <w:rStyle w:val="FootnoteReference"/>
        </w:rPr>
        <w:footnoteReference w:id="27"/>
      </w:r>
      <w:r w:rsidRPr="001A28C6">
        <w:t xml:space="preserve"> In </w:t>
      </w:r>
      <w:r>
        <w:t>Aotearoa New Zealand</w:t>
      </w:r>
      <w:r w:rsidRPr="001A28C6">
        <w:t xml:space="preserve">, primary mental health services </w:t>
      </w:r>
      <w:r w:rsidRPr="009E213B">
        <w:t xml:space="preserve">and specialist programmes for the general prison population, including those provided in special treatment units, are the responsibility of </w:t>
      </w:r>
      <w:r w:rsidRPr="00E42BE0">
        <w:t>Ara Poutama</w:t>
      </w:r>
      <w:r w:rsidRPr="00DD29A3">
        <w:t>. Due to the high relevance of the M</w:t>
      </w:r>
      <w:r w:rsidRPr="00DD29A3">
        <w:rPr>
          <w:rFonts w:cs="Segoe UI"/>
        </w:rPr>
        <w:t>ā</w:t>
      </w:r>
      <w:r w:rsidRPr="00482A5B">
        <w:t xml:space="preserve">ori- and </w:t>
      </w:r>
      <w:r>
        <w:t>Pacific</w:t>
      </w:r>
      <w:r w:rsidRPr="00482A5B">
        <w:t xml:space="preserve">-focused services delivered by </w:t>
      </w:r>
      <w:r w:rsidRPr="000329FE">
        <w:t>Ara Poutama, the decision was made to include the</w:t>
      </w:r>
      <w:r>
        <w:t>se</w:t>
      </w:r>
      <w:r w:rsidRPr="000329FE">
        <w:t xml:space="preserve"> services within </w:t>
      </w:r>
      <w:r>
        <w:t xml:space="preserve">this </w:t>
      </w:r>
      <w:r w:rsidRPr="000329FE">
        <w:t>review</w:t>
      </w:r>
      <w:r>
        <w:t>,</w:t>
      </w:r>
      <w:r w:rsidRPr="000329FE">
        <w:t xml:space="preserve"> even though they lay outside of FMHS provision. Finally, although it is important to acknowledge the body of research on the role of probation services in the provision of mental health services </w:t>
      </w:r>
      <w:r>
        <w:t>following prisoners</w:t>
      </w:r>
      <w:r w:rsidR="00EE0ADB">
        <w:t>’</w:t>
      </w:r>
      <w:r>
        <w:t xml:space="preserve"> </w:t>
      </w:r>
      <w:r w:rsidRPr="000329FE">
        <w:t>release, it was beyond the scope of this review to delve into probation service models in detail.</w:t>
      </w:r>
    </w:p>
    <w:p w14:paraId="4729C2B9" w14:textId="77777777" w:rsidR="009636B7" w:rsidRPr="000329FE" w:rsidRDefault="009636B7" w:rsidP="003D0BB1"/>
    <w:p w14:paraId="28201F68" w14:textId="77777777" w:rsidR="009636B7" w:rsidRPr="000329FE" w:rsidRDefault="009636B7" w:rsidP="003D0BB1">
      <w:r w:rsidRPr="000329FE">
        <w:t xml:space="preserve">Overall, as Kennedy </w:t>
      </w:r>
      <w:r w:rsidR="00AD0D58">
        <w:t>et al</w:t>
      </w:r>
      <w:r w:rsidRPr="000329FE">
        <w:t xml:space="preserve"> (</w:t>
      </w:r>
      <w:r>
        <w:t>f</w:t>
      </w:r>
      <w:r w:rsidRPr="000329FE">
        <w:t xml:space="preserve">orthcoming) avow, </w:t>
      </w:r>
      <w:r w:rsidR="00EE0ADB">
        <w:t>‘</w:t>
      </w:r>
      <w:r w:rsidRPr="000329FE">
        <w:t>sentenced prisoners with mental health needs require a reliable system for continuity and monitoring of care and treatment under the challenging conditions that prevail in most prisons</w:t>
      </w:r>
      <w:r w:rsidR="00EE0ADB">
        <w:t>’</w:t>
      </w:r>
      <w:r w:rsidR="00AD0D58">
        <w:t xml:space="preserve"> (p. </w:t>
      </w:r>
      <w:r w:rsidRPr="000329FE">
        <w:t xml:space="preserve">10). Current evidence suggests the prison population requires </w:t>
      </w:r>
      <w:r w:rsidR="00EE0ADB">
        <w:t>‘</w:t>
      </w:r>
      <w:r w:rsidRPr="000329FE">
        <w:t>wrap around, holistic services</w:t>
      </w:r>
      <w:r w:rsidR="00EE0ADB">
        <w:t>’</w:t>
      </w:r>
      <w:r>
        <w:t>,</w:t>
      </w:r>
      <w:r w:rsidRPr="000329FE">
        <w:t xml:space="preserve"> which provide continuity of care from initial screening through to discharge planning and transition/reintegration to community (Nicholls </w:t>
      </w:r>
      <w:r w:rsidR="00AD0D58">
        <w:t>et al</w:t>
      </w:r>
      <w:r w:rsidRPr="000329FE">
        <w:t xml:space="preserve"> 2018</w:t>
      </w:r>
      <w:r w:rsidR="005054ED">
        <w:t>, p. </w:t>
      </w:r>
      <w:r w:rsidRPr="000329FE">
        <w:t xml:space="preserve">3). As </w:t>
      </w:r>
      <w:r>
        <w:t xml:space="preserve">this report </w:t>
      </w:r>
      <w:r w:rsidRPr="000329FE">
        <w:t>will further discuss, a number of models exist that provide for this process, either in part or whole.</w:t>
      </w:r>
    </w:p>
    <w:p w14:paraId="73619758" w14:textId="77777777" w:rsidR="009636B7" w:rsidRPr="000329FE" w:rsidRDefault="009636B7" w:rsidP="003D0BB1"/>
    <w:p w14:paraId="01F7FE83" w14:textId="77777777" w:rsidR="00EE0ADB" w:rsidRDefault="009636B7" w:rsidP="003D0BB1">
      <w:r w:rsidRPr="000329FE">
        <w:t xml:space="preserve">In this systematic review, the researchers sought to identify literature describing the various models of care </w:t>
      </w:r>
      <w:r>
        <w:t>us</w:t>
      </w:r>
      <w:r w:rsidRPr="000329FE">
        <w:t>ed to deliver mental health services for prisoners</w:t>
      </w:r>
      <w:r>
        <w:t>,</w:t>
      </w:r>
      <w:r w:rsidRPr="000329FE">
        <w:t xml:space="preserve"> both within prisons and </w:t>
      </w:r>
      <w:r>
        <w:t xml:space="preserve">after </w:t>
      </w:r>
      <w:r w:rsidRPr="000329FE">
        <w:t xml:space="preserve">release. In keeping with the prior reviews, the researchers included literature on approaches, frameworks and programme models to identify models of care, as the literature addressing </w:t>
      </w:r>
      <w:r w:rsidR="00EE0ADB">
        <w:t>‘</w:t>
      </w:r>
      <w:r w:rsidRPr="000329FE">
        <w:t>models of care</w:t>
      </w:r>
      <w:r w:rsidR="00EE0ADB">
        <w:t>’</w:t>
      </w:r>
      <w:r w:rsidRPr="000329FE">
        <w:t xml:space="preserve"> directly is limited. However, as noted above, </w:t>
      </w:r>
      <w:r>
        <w:t xml:space="preserve">the researchers excluded </w:t>
      </w:r>
      <w:r w:rsidRPr="000329FE">
        <w:t xml:space="preserve">the literature on primary mental health services in prisons. </w:t>
      </w:r>
      <w:r>
        <w:t>L</w:t>
      </w:r>
      <w:r w:rsidRPr="000329FE">
        <w:t xml:space="preserve">iterature on mental health services </w:t>
      </w:r>
      <w:r>
        <w:t xml:space="preserve">that </w:t>
      </w:r>
      <w:r w:rsidRPr="000329FE">
        <w:t xml:space="preserve">engage individuals prior to </w:t>
      </w:r>
      <w:r>
        <w:t xml:space="preserve">their </w:t>
      </w:r>
      <w:r w:rsidRPr="000329FE">
        <w:t>entry to prison (</w:t>
      </w:r>
      <w:r>
        <w:t>ie</w:t>
      </w:r>
      <w:r w:rsidRPr="000329FE">
        <w:t>, during the judicial process</w:t>
      </w:r>
      <w:r>
        <w:t xml:space="preserve"> – </w:t>
      </w:r>
      <w:r w:rsidRPr="000329FE">
        <w:t xml:space="preserve">though there may be overlap in both </w:t>
      </w:r>
      <w:r>
        <w:t xml:space="preserve">the </w:t>
      </w:r>
      <w:r w:rsidRPr="000329FE">
        <w:t xml:space="preserve">population and </w:t>
      </w:r>
      <w:r>
        <w:t xml:space="preserve">the </w:t>
      </w:r>
      <w:r w:rsidRPr="000329FE">
        <w:t>service delivery</w:t>
      </w:r>
      <w:r>
        <w:t xml:space="preserve"> involved</w:t>
      </w:r>
      <w:r w:rsidRPr="000329FE">
        <w:t>) is not discussed here, but rather in the court</w:t>
      </w:r>
      <w:r>
        <w:t>s</w:t>
      </w:r>
      <w:r w:rsidRPr="000329FE">
        <w:t xml:space="preserve"> </w:t>
      </w:r>
      <w:r>
        <w:t>section</w:t>
      </w:r>
      <w:r w:rsidRPr="000329FE">
        <w:t>.</w:t>
      </w:r>
    </w:p>
    <w:p w14:paraId="21EB9EAA" w14:textId="77777777" w:rsidR="009636B7" w:rsidRPr="000329FE" w:rsidRDefault="009636B7" w:rsidP="003D0BB1"/>
    <w:p w14:paraId="6732A6A4" w14:textId="77777777" w:rsidR="00EE0ADB" w:rsidRDefault="009636B7" w:rsidP="003D0BB1">
      <w:r w:rsidRPr="000329FE">
        <w:t>This review is organised into three main sections. The first discusses the structure and key components of the most dominant model of PMHS provision</w:t>
      </w:r>
      <w:r>
        <w:t xml:space="preserve"> – </w:t>
      </w:r>
      <w:r w:rsidRPr="000329FE">
        <w:t>the in-reach model. The next, in keeping with the other reviews, examines the overarching themes of therapeutic security, rehabilitation and recovery, identifying additional models as they pertain to these themes (</w:t>
      </w:r>
      <w:r>
        <w:t>eg</w:t>
      </w:r>
      <w:r w:rsidRPr="000329FE">
        <w:t>, high support units</w:t>
      </w:r>
      <w:r w:rsidR="00EE0ADB">
        <w:t xml:space="preserve"> </w:t>
      </w:r>
      <w:r>
        <w:t xml:space="preserve">and </w:t>
      </w:r>
      <w:r w:rsidRPr="000329FE">
        <w:t>therapeutic communities). Notably, these themes present somewhat differently within the prison context, largely due to the rigidity with which the prison environment shapes the delivery and conceptualisation of care, and the tensions inherent in the opposing goals of incarceration and health care. The final section addresses approaches for priority populations (</w:t>
      </w:r>
      <w:r>
        <w:t>ie</w:t>
      </w:r>
      <w:r w:rsidRPr="000329FE">
        <w:t xml:space="preserve">, Māori, </w:t>
      </w:r>
      <w:r>
        <w:t>Pacific peoples</w:t>
      </w:r>
      <w:r w:rsidRPr="000329FE">
        <w:t>, other indigenous groups and women).</w:t>
      </w:r>
    </w:p>
    <w:p w14:paraId="1D2FCBFB" w14:textId="77777777" w:rsidR="003D0BB1" w:rsidRDefault="003D0BB1" w:rsidP="003D0BB1"/>
    <w:p w14:paraId="4DB10CF6" w14:textId="77777777" w:rsidR="009636B7" w:rsidRPr="000329FE" w:rsidRDefault="009636B7" w:rsidP="003D0BB1">
      <w:pPr>
        <w:pStyle w:val="Heading2"/>
      </w:pPr>
      <w:bookmarkStart w:id="112" w:name="_Toc16805643"/>
      <w:bookmarkStart w:id="113" w:name="_Toc88823237"/>
      <w:bookmarkStart w:id="114" w:name="_Toc90026006"/>
      <w:r w:rsidRPr="000329FE">
        <w:lastRenderedPageBreak/>
        <w:t>Methodology</w:t>
      </w:r>
      <w:bookmarkEnd w:id="112"/>
      <w:bookmarkEnd w:id="113"/>
      <w:bookmarkEnd w:id="114"/>
    </w:p>
    <w:p w14:paraId="1C4B1CB9" w14:textId="77777777" w:rsidR="009636B7" w:rsidRPr="001A28C6" w:rsidRDefault="009636B7" w:rsidP="003D0BB1">
      <w:r w:rsidRPr="000329FE">
        <w:t xml:space="preserve">Searches </w:t>
      </w:r>
      <w:r>
        <w:t>us</w:t>
      </w:r>
      <w:r w:rsidRPr="000329FE">
        <w:t>ed the following search string, along with various combinations of these keywords: (forensic OR criminal) AND (</w:t>
      </w:r>
      <w:r w:rsidR="00EE0ADB">
        <w:t>‘</w:t>
      </w:r>
      <w:r w:rsidRPr="000329FE">
        <w:t>mental health</w:t>
      </w:r>
      <w:r w:rsidR="00EE0ADB">
        <w:t>’</w:t>
      </w:r>
      <w:r w:rsidRPr="000329FE">
        <w:t xml:space="preserve"> OR </w:t>
      </w:r>
      <w:r w:rsidR="00EE0ADB">
        <w:t>‘</w:t>
      </w:r>
      <w:r w:rsidRPr="000329FE">
        <w:t>mental illness</w:t>
      </w:r>
      <w:r w:rsidR="00EE0ADB">
        <w:t>’</w:t>
      </w:r>
      <w:r w:rsidRPr="000329FE">
        <w:t xml:space="preserve"> OR psychiatr* OR </w:t>
      </w:r>
      <w:r w:rsidR="00EE0ADB">
        <w:t>‘</w:t>
      </w:r>
      <w:r w:rsidRPr="000329FE">
        <w:t>serious and enduring mental illness</w:t>
      </w:r>
      <w:r w:rsidR="00EE0ADB">
        <w:t>’</w:t>
      </w:r>
      <w:r w:rsidRPr="000329FE">
        <w:t xml:space="preserve"> OR </w:t>
      </w:r>
      <w:r w:rsidR="00EE0ADB">
        <w:t>‘</w:t>
      </w:r>
      <w:r w:rsidRPr="000329FE">
        <w:t>mentally-disordered offender</w:t>
      </w:r>
      <w:r w:rsidR="00EE0ADB">
        <w:t>’</w:t>
      </w:r>
      <w:r w:rsidRPr="000329FE">
        <w:t xml:space="preserve">) AND (framework OR </w:t>
      </w:r>
      <w:r w:rsidR="00EE0ADB">
        <w:t>‘</w:t>
      </w:r>
      <w:r w:rsidRPr="000329FE">
        <w:t>model of care</w:t>
      </w:r>
      <w:r w:rsidR="00EE0ADB">
        <w:t>’</w:t>
      </w:r>
      <w:r w:rsidRPr="000329FE">
        <w:t xml:space="preserve"> OR model OR service* or guideline*) AND (prison* OR probation OR jail OR gaol). After the initial searches, </w:t>
      </w:r>
      <w:r>
        <w:t xml:space="preserve">the researchers added </w:t>
      </w:r>
      <w:r w:rsidR="00EE0ADB">
        <w:t>‘</w:t>
      </w:r>
      <w:r w:rsidRPr="000329FE">
        <w:t>in-reach</w:t>
      </w:r>
      <w:r w:rsidR="00EE0ADB">
        <w:t>’</w:t>
      </w:r>
      <w:r w:rsidRPr="000329FE">
        <w:t xml:space="preserve"> as a keyword</w:t>
      </w:r>
      <w:r>
        <w:t>,</w:t>
      </w:r>
      <w:r w:rsidRPr="000329FE">
        <w:t xml:space="preserve"> to capture literature that </w:t>
      </w:r>
      <w:r>
        <w:t xml:space="preserve">might </w:t>
      </w:r>
      <w:r w:rsidRPr="000329FE">
        <w:t xml:space="preserve">more directly relate to the </w:t>
      </w:r>
      <w:r>
        <w:t>Aotearoa New Zealand</w:t>
      </w:r>
      <w:r w:rsidRPr="001A28C6">
        <w:t xml:space="preserve"> context.</w:t>
      </w:r>
    </w:p>
    <w:p w14:paraId="0899B981" w14:textId="77777777" w:rsidR="00EE0ADB" w:rsidRDefault="00EE0ADB" w:rsidP="003D0BB1"/>
    <w:p w14:paraId="0C6E4A9B" w14:textId="77777777" w:rsidR="00EE0ADB" w:rsidRDefault="009636B7" w:rsidP="003D0BB1">
      <w:r w:rsidRPr="00075571">
        <w:t xml:space="preserve">The </w:t>
      </w:r>
      <w:r>
        <w:t xml:space="preserve">researchers limited </w:t>
      </w:r>
      <w:r w:rsidRPr="00075571">
        <w:t xml:space="preserve">results </w:t>
      </w:r>
      <w:r>
        <w:t xml:space="preserve">(as they did in </w:t>
      </w:r>
      <w:r w:rsidRPr="00075571">
        <w:t>the prior reviews</w:t>
      </w:r>
      <w:r>
        <w:t>)</w:t>
      </w:r>
      <w:r w:rsidRPr="00075571">
        <w:t xml:space="preserve"> to English-language documents from 1990</w:t>
      </w:r>
      <w:r>
        <w:t xml:space="preserve"> to </w:t>
      </w:r>
      <w:r w:rsidRPr="00075571">
        <w:t xml:space="preserve">2019. Where possible, </w:t>
      </w:r>
      <w:r>
        <w:t xml:space="preserve">they further limited </w:t>
      </w:r>
      <w:r w:rsidRPr="00075571">
        <w:t xml:space="preserve">results to peer-reviewed articles, excluding reviews/notes. </w:t>
      </w:r>
      <w:r>
        <w:t>The researchers reviewed r</w:t>
      </w:r>
      <w:r w:rsidRPr="00075571">
        <w:t xml:space="preserve">esults first by title and then by abstract to determine relevance. After preliminary exclusions, </w:t>
      </w:r>
      <w:r>
        <w:t xml:space="preserve">they then screened </w:t>
      </w:r>
      <w:r w:rsidRPr="00075571">
        <w:t xml:space="preserve">full-text articles to confirm </w:t>
      </w:r>
      <w:r>
        <w:t xml:space="preserve">their </w:t>
      </w:r>
      <w:r w:rsidRPr="00075571">
        <w:t>relevance</w:t>
      </w:r>
      <w:r>
        <w:t>,</w:t>
      </w:r>
      <w:r w:rsidRPr="00075571">
        <w:t xml:space="preserve"> to arrive at the </w:t>
      </w:r>
      <w:r w:rsidRPr="00A537F0">
        <w:t>results</w:t>
      </w:r>
      <w:r w:rsidRPr="00075571">
        <w:t xml:space="preserve"> retained. </w:t>
      </w:r>
      <w:r>
        <w:t>The researchers limited r</w:t>
      </w:r>
      <w:r w:rsidRPr="00075571">
        <w:t>esults to literature describing mental health models of care and/or services provided for the prisoner population in prisons or while transitioning</w:t>
      </w:r>
      <w:r>
        <w:t xml:space="preserve"> to </w:t>
      </w:r>
      <w:r w:rsidRPr="00075571">
        <w:t>/</w:t>
      </w:r>
      <w:r>
        <w:t xml:space="preserve"> </w:t>
      </w:r>
      <w:r w:rsidRPr="00075571">
        <w:t xml:space="preserve">reintegrating </w:t>
      </w:r>
      <w:r>
        <w:t>in</w:t>
      </w:r>
      <w:r w:rsidRPr="00075571">
        <w:t xml:space="preserve">to the community. </w:t>
      </w:r>
      <w:r>
        <w:t>They excluded l</w:t>
      </w:r>
      <w:r w:rsidRPr="00075571">
        <w:t xml:space="preserve">iterature relating to processes prior to incarceration, including court diversion, conditional release, </w:t>
      </w:r>
      <w:r>
        <w:t xml:space="preserve">findings of </w:t>
      </w:r>
      <w:r w:rsidRPr="00075571">
        <w:t xml:space="preserve">not </w:t>
      </w:r>
      <w:r w:rsidRPr="00A537F0">
        <w:t>guilty</w:t>
      </w:r>
      <w:r w:rsidRPr="00075571">
        <w:t xml:space="preserve"> by reason of insanity, and community treatment orders.</w:t>
      </w:r>
    </w:p>
    <w:p w14:paraId="7E30CD62" w14:textId="77777777" w:rsidR="009636B7" w:rsidRPr="001A28C6" w:rsidRDefault="009636B7" w:rsidP="003D0BB1"/>
    <w:p w14:paraId="314427D5" w14:textId="77777777" w:rsidR="00EE0ADB" w:rsidRDefault="009636B7" w:rsidP="003D0BB1">
      <w:r w:rsidRPr="00075571">
        <w:t>A large portion of the search results pertained to determining prisoners</w:t>
      </w:r>
      <w:r w:rsidR="00EE0ADB">
        <w:t>’</w:t>
      </w:r>
      <w:r w:rsidRPr="00075571">
        <w:t xml:space="preserve"> mental health needs, </w:t>
      </w:r>
      <w:r w:rsidRPr="00A537F0">
        <w:t>characteristics</w:t>
      </w:r>
      <w:r w:rsidRPr="00075571">
        <w:t xml:space="preserve"> and outcomes in various contexts. </w:t>
      </w:r>
      <w:r>
        <w:t>S</w:t>
      </w:r>
      <w:r w:rsidRPr="00075571">
        <w:t xml:space="preserve">uch data </w:t>
      </w:r>
      <w:r>
        <w:t>was</w:t>
      </w:r>
      <w:r w:rsidRPr="00075571">
        <w:t xml:space="preserve"> beyond the scope of this review. Additionally, </w:t>
      </w:r>
      <w:r>
        <w:t xml:space="preserve">as they had done in </w:t>
      </w:r>
      <w:r w:rsidRPr="00075571">
        <w:t xml:space="preserve">the community review, </w:t>
      </w:r>
      <w:r>
        <w:t xml:space="preserve">researchers found </w:t>
      </w:r>
      <w:r w:rsidRPr="00075571">
        <w:t xml:space="preserve">limited </w:t>
      </w:r>
      <w:r>
        <w:t xml:space="preserve">(though slightly more robust) </w:t>
      </w:r>
      <w:r w:rsidRPr="00075571">
        <w:t xml:space="preserve">literature on models of care addressing priority populations </w:t>
      </w:r>
      <w:r w:rsidRPr="001A28C6">
        <w:t>(</w:t>
      </w:r>
      <w:r>
        <w:t>ie</w:t>
      </w:r>
      <w:r w:rsidRPr="001A28C6">
        <w:t xml:space="preserve">, Māori, </w:t>
      </w:r>
      <w:r>
        <w:t>Pacific peoples</w:t>
      </w:r>
      <w:r w:rsidRPr="001A28C6">
        <w:t xml:space="preserve">, other </w:t>
      </w:r>
      <w:r w:rsidRPr="009E213B">
        <w:t>indigenous groups and women</w:t>
      </w:r>
      <w:r w:rsidRPr="00E42BE0">
        <w:t xml:space="preserve">). </w:t>
      </w:r>
      <w:r w:rsidRPr="00075571">
        <w:t xml:space="preserve">Most notably, in comparison to the other reviews, literature on therapeutic security, recovery and rehabilitation (including risk assessment and management) comprised a much smaller portion of the </w:t>
      </w:r>
      <w:r w:rsidRPr="00A537F0">
        <w:t>discussion and</w:t>
      </w:r>
      <w:r w:rsidRPr="00075571">
        <w:t xml:space="preserve"> arose mainly in relation to post-release planning and interventions.</w:t>
      </w:r>
    </w:p>
    <w:p w14:paraId="1EB8DA57" w14:textId="77777777" w:rsidR="009636B7" w:rsidRPr="00075571" w:rsidRDefault="009636B7" w:rsidP="003D0BB1"/>
    <w:p w14:paraId="349D0BC8" w14:textId="77777777" w:rsidR="009636B7" w:rsidRDefault="009636B7" w:rsidP="003D0BB1">
      <w:r w:rsidRPr="00075571">
        <w:t xml:space="preserve">In keeping with the prior reviews, the </w:t>
      </w:r>
      <w:r>
        <w:t xml:space="preserve">researchers refined the </w:t>
      </w:r>
      <w:r w:rsidRPr="00075571">
        <w:t xml:space="preserve">search strategy and limited </w:t>
      </w:r>
      <w:r>
        <w:t xml:space="preserve">it </w:t>
      </w:r>
      <w:r w:rsidRPr="00075571">
        <w:t xml:space="preserve">to three databases: Scopus, ScienceDirect and Google Scholar. Finally, </w:t>
      </w:r>
      <w:r>
        <w:t xml:space="preserve">they expanded </w:t>
      </w:r>
      <w:r w:rsidRPr="00075571">
        <w:t xml:space="preserve">the search to include literature sent directly to the research team via </w:t>
      </w:r>
      <w:r>
        <w:t>Ministry of Health</w:t>
      </w:r>
      <w:r w:rsidRPr="00075571">
        <w:t xml:space="preserve"> advisors as well as the researchers and their professional network</w:t>
      </w:r>
      <w:r>
        <w:t>;</w:t>
      </w:r>
      <w:r w:rsidRPr="00075571">
        <w:t xml:space="preserve"> </w:t>
      </w:r>
      <w:r w:rsidR="003D0BB1">
        <w:fldChar w:fldCharType="begin"/>
      </w:r>
      <w:r w:rsidR="003D0BB1">
        <w:instrText xml:space="preserve"> REF _Ref89854413 \h </w:instrText>
      </w:r>
      <w:r w:rsidR="003D0BB1">
        <w:fldChar w:fldCharType="separate"/>
      </w:r>
      <w:r w:rsidR="00F73238">
        <w:t>Figure </w:t>
      </w:r>
      <w:r w:rsidR="00F73238">
        <w:rPr>
          <w:noProof/>
        </w:rPr>
        <w:t>8</w:t>
      </w:r>
      <w:r w:rsidR="003D0BB1">
        <w:fldChar w:fldCharType="end"/>
      </w:r>
      <w:r w:rsidRPr="00075571">
        <w:t xml:space="preserve"> </w:t>
      </w:r>
      <w:r>
        <w:t xml:space="preserve">summarises the </w:t>
      </w:r>
      <w:r w:rsidRPr="00075571">
        <w:t>results.</w:t>
      </w:r>
    </w:p>
    <w:p w14:paraId="07D9B8C6" w14:textId="77777777" w:rsidR="009636B7" w:rsidRDefault="009636B7" w:rsidP="003D0BB1"/>
    <w:p w14:paraId="4692317C" w14:textId="77777777" w:rsidR="009636B7" w:rsidRPr="00075571" w:rsidRDefault="003D0BB1" w:rsidP="003D0BB1">
      <w:pPr>
        <w:pStyle w:val="Figure"/>
      </w:pPr>
      <w:bookmarkStart w:id="115" w:name="_Ref89854413"/>
      <w:bookmarkStart w:id="116" w:name="_Toc88823334"/>
      <w:bookmarkStart w:id="117" w:name="_Toc90026033"/>
      <w:r>
        <w:lastRenderedPageBreak/>
        <w:t>Figure </w:t>
      </w:r>
      <w:r w:rsidR="002C1FB3">
        <w:fldChar w:fldCharType="begin"/>
      </w:r>
      <w:r w:rsidR="002C1FB3">
        <w:instrText xml:space="preserve"> SEQ Figure \* ARABIC </w:instrText>
      </w:r>
      <w:r w:rsidR="002C1FB3">
        <w:fldChar w:fldCharType="separate"/>
      </w:r>
      <w:r w:rsidR="00F73238">
        <w:rPr>
          <w:noProof/>
        </w:rPr>
        <w:t>8</w:t>
      </w:r>
      <w:r w:rsidR="002C1FB3">
        <w:rPr>
          <w:noProof/>
        </w:rPr>
        <w:fldChar w:fldCharType="end"/>
      </w:r>
      <w:bookmarkEnd w:id="115"/>
      <w:r w:rsidR="009636B7" w:rsidRPr="00075571">
        <w:t>:</w:t>
      </w:r>
      <w:r w:rsidR="009636B7" w:rsidRPr="00075571">
        <w:rPr>
          <w:i/>
          <w:iCs/>
        </w:rPr>
        <w:t xml:space="preserve"> </w:t>
      </w:r>
      <w:r w:rsidR="009636B7" w:rsidRPr="00075571">
        <w:t>Prison systematic review results</w:t>
      </w:r>
      <w:bookmarkEnd w:id="116"/>
      <w:bookmarkEnd w:id="117"/>
    </w:p>
    <w:p w14:paraId="71814CAB" w14:textId="77777777" w:rsidR="009636B7" w:rsidRPr="00075571" w:rsidRDefault="003D0BB1" w:rsidP="003D0BB1">
      <w:r>
        <w:rPr>
          <w:noProof/>
          <w:lang w:eastAsia="en-NZ"/>
        </w:rPr>
        <w:drawing>
          <wp:inline distT="0" distB="0" distL="0" distR="0" wp14:anchorId="73D73CD0" wp14:editId="2344F239">
            <wp:extent cx="3233650" cy="3097155"/>
            <wp:effectExtent l="0" t="0" r="5080" b="8255"/>
            <wp:docPr id="13" name="Picture 13" title="Figure 8: Prison systematic review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4276" cy="3097754"/>
                    </a:xfrm>
                    <a:prstGeom prst="rect">
                      <a:avLst/>
                    </a:prstGeom>
                    <a:noFill/>
                  </pic:spPr>
                </pic:pic>
              </a:graphicData>
            </a:graphic>
          </wp:inline>
        </w:drawing>
      </w:r>
    </w:p>
    <w:p w14:paraId="0867282C" w14:textId="77777777" w:rsidR="00EE0ADB" w:rsidRDefault="009636B7" w:rsidP="003D0BB1">
      <w:pPr>
        <w:pStyle w:val="Note"/>
        <w:ind w:left="284" w:hanging="284"/>
      </w:pPr>
      <w:bookmarkStart w:id="118" w:name="_Toc88823335"/>
      <w:r w:rsidRPr="00075571">
        <w:t>*</w:t>
      </w:r>
      <w:r w:rsidR="003D0BB1">
        <w:tab/>
      </w:r>
      <w:r w:rsidRPr="00075571">
        <w:t xml:space="preserve">After removing repetition of results </w:t>
      </w:r>
      <w:r>
        <w:t xml:space="preserve">in </w:t>
      </w:r>
      <w:r w:rsidRPr="00075571">
        <w:t>prior step(s).</w:t>
      </w:r>
      <w:bookmarkEnd w:id="118"/>
    </w:p>
    <w:p w14:paraId="787CD0C2" w14:textId="77777777" w:rsidR="003D0BB1" w:rsidRPr="003D0BB1" w:rsidRDefault="003D0BB1" w:rsidP="003D0BB1"/>
    <w:p w14:paraId="6761AC31" w14:textId="77777777" w:rsidR="009636B7" w:rsidRPr="00075571" w:rsidRDefault="009636B7" w:rsidP="003D0BB1">
      <w:pPr>
        <w:pStyle w:val="Heading2"/>
      </w:pPr>
      <w:bookmarkStart w:id="119" w:name="_Toc16805644"/>
      <w:bookmarkStart w:id="120" w:name="_Toc88823238"/>
      <w:bookmarkStart w:id="121" w:name="_Toc90026007"/>
      <w:r w:rsidRPr="00075571">
        <w:t xml:space="preserve">Review </w:t>
      </w:r>
      <w:r>
        <w:t>f</w:t>
      </w:r>
      <w:r w:rsidRPr="00075571">
        <w:t>indings</w:t>
      </w:r>
      <w:bookmarkEnd w:id="119"/>
      <w:bookmarkEnd w:id="120"/>
      <w:bookmarkEnd w:id="121"/>
    </w:p>
    <w:p w14:paraId="2917CE9C" w14:textId="77777777" w:rsidR="009636B7" w:rsidRPr="00075571" w:rsidRDefault="009636B7" w:rsidP="003D0BB1">
      <w:pPr>
        <w:pStyle w:val="Heading3"/>
      </w:pPr>
      <w:bookmarkStart w:id="122" w:name="_Toc16805645"/>
      <w:r w:rsidRPr="00075571">
        <w:t>In-</w:t>
      </w:r>
      <w:r>
        <w:t>r</w:t>
      </w:r>
      <w:r w:rsidRPr="00075571">
        <w:t xml:space="preserve">each </w:t>
      </w:r>
      <w:r>
        <w:t>s</w:t>
      </w:r>
      <w:r w:rsidRPr="00075571">
        <w:t>ervices</w:t>
      </w:r>
      <w:bookmarkEnd w:id="122"/>
    </w:p>
    <w:p w14:paraId="115E055A" w14:textId="77777777" w:rsidR="00EE0ADB" w:rsidRDefault="009636B7" w:rsidP="003D0BB1">
      <w:r w:rsidRPr="00075571">
        <w:t>Prison mental health service provision comes in varying forms</w:t>
      </w:r>
      <w:r>
        <w:t>,</w:t>
      </w:r>
      <w:r w:rsidRPr="00075571">
        <w:t xml:space="preserve"> dependent upon who is providing care (</w:t>
      </w:r>
      <w:r>
        <w:t>ie</w:t>
      </w:r>
      <w:r w:rsidRPr="00075571">
        <w:t xml:space="preserve">, corrections </w:t>
      </w:r>
      <w:r>
        <w:t>or</w:t>
      </w:r>
      <w:r w:rsidRPr="00075571">
        <w:t xml:space="preserve"> mental health services). The majority of the literature reviewed focused on in-reach services as described above, and particularly those developed in the United Kingdom (Armitage</w:t>
      </w:r>
      <w:r>
        <w:t xml:space="preserve"> </w:t>
      </w:r>
      <w:r w:rsidR="00AD0D58">
        <w:t>et al</w:t>
      </w:r>
      <w:r w:rsidRPr="00075571">
        <w:t xml:space="preserve"> 2003; Brooker </w:t>
      </w:r>
      <w:r>
        <w:t>and</w:t>
      </w:r>
      <w:r w:rsidRPr="00075571">
        <w:t xml:space="preserve"> Webster 2017; Cumming 2018; Forrester </w:t>
      </w:r>
      <w:r w:rsidR="00AD0D58">
        <w:t>et al</w:t>
      </w:r>
      <w:r w:rsidRPr="00075571">
        <w:t xml:space="preserve"> 2013</w:t>
      </w:r>
      <w:r>
        <w:t>b</w:t>
      </w:r>
      <w:r w:rsidRPr="00075571">
        <w:t>; Forrester</w:t>
      </w:r>
      <w:r>
        <w:t xml:space="preserve"> </w:t>
      </w:r>
      <w:r w:rsidR="00AD0D58">
        <w:t>et al</w:t>
      </w:r>
      <w:r w:rsidRPr="00075571">
        <w:t xml:space="preserve"> 2014; Forrester </w:t>
      </w:r>
      <w:r w:rsidR="00AD0D58">
        <w:t>et al</w:t>
      </w:r>
      <w:r w:rsidRPr="00075571">
        <w:t xml:space="preserve"> 2018; Harty</w:t>
      </w:r>
      <w:r>
        <w:t xml:space="preserve"> </w:t>
      </w:r>
      <w:r w:rsidR="00AD0D58">
        <w:t>et al</w:t>
      </w:r>
      <w:r w:rsidRPr="00075571">
        <w:t xml:space="preserve"> 2012; Senior </w:t>
      </w:r>
      <w:r>
        <w:t>and</w:t>
      </w:r>
      <w:r w:rsidRPr="00075571">
        <w:t xml:space="preserve"> Shaw 2013; Senior </w:t>
      </w:r>
      <w:r w:rsidR="00AD0D58">
        <w:t>et al</w:t>
      </w:r>
      <w:r w:rsidRPr="00075571">
        <w:t xml:space="preserve"> 2013) and, to a lesser extent, </w:t>
      </w:r>
      <w:r>
        <w:t xml:space="preserve">Aotearoa New Zealand </w:t>
      </w:r>
      <w:r w:rsidRPr="00075571">
        <w:t xml:space="preserve">(McKenna </w:t>
      </w:r>
      <w:r w:rsidR="00AD0D58">
        <w:t>et al</w:t>
      </w:r>
      <w:r w:rsidRPr="00075571">
        <w:t xml:space="preserve"> 2015; McKenna </w:t>
      </w:r>
      <w:r w:rsidR="00AD0D58">
        <w:t>et al</w:t>
      </w:r>
      <w:r w:rsidRPr="00075571">
        <w:t xml:space="preserve"> 2018; Pillai </w:t>
      </w:r>
      <w:r w:rsidR="00AD0D58">
        <w:t>et al</w:t>
      </w:r>
      <w:r w:rsidRPr="00075571">
        <w:t xml:space="preserve"> 2016). In-reach models have generally been adapted from an integrated, community-based approach and similarly aim to achieve the level and quality of care provided in community mental health services (Senior 2005).</w:t>
      </w:r>
    </w:p>
    <w:p w14:paraId="5EFFF688" w14:textId="77777777" w:rsidR="009636B7" w:rsidRPr="00075571" w:rsidRDefault="009636B7" w:rsidP="003D0BB1"/>
    <w:p w14:paraId="1CA19906" w14:textId="77777777" w:rsidR="009636B7" w:rsidRPr="00075571" w:rsidRDefault="009636B7" w:rsidP="003D0BB1">
      <w:r w:rsidRPr="00075571">
        <w:t xml:space="preserve">As indicated in </w:t>
      </w:r>
      <w:r>
        <w:t>Section 1 of this document</w:t>
      </w:r>
      <w:r w:rsidRPr="00075571">
        <w:t xml:space="preserve">, the prison in-reach model of care within </w:t>
      </w:r>
      <w:r>
        <w:t>Aotearoa New Zealand</w:t>
      </w:r>
      <w:r w:rsidRPr="00075571">
        <w:t xml:space="preserve"> emphasises five key elements within service provision: (a) screening, (b) triage, (c) assessment, (d) intervention and (e) reintegration (STAIR</w:t>
      </w:r>
      <w:r>
        <w:t>)</w:t>
      </w:r>
      <w:r w:rsidRPr="00075571">
        <w:t xml:space="preserve"> </w:t>
      </w:r>
      <w:r>
        <w:t>(</w:t>
      </w:r>
      <w:r w:rsidRPr="00075571">
        <w:t xml:space="preserve">Forrester </w:t>
      </w:r>
      <w:r w:rsidR="00AD0D58">
        <w:t>et al</w:t>
      </w:r>
      <w:r w:rsidRPr="00075571">
        <w:t xml:space="preserve"> 2018; McKenna </w:t>
      </w:r>
      <w:r w:rsidR="00AD0D58">
        <w:t>et al</w:t>
      </w:r>
      <w:r w:rsidRPr="00075571">
        <w:t xml:space="preserve"> 2015; Nicholls </w:t>
      </w:r>
      <w:r w:rsidR="00AD0D58">
        <w:t>et al</w:t>
      </w:r>
      <w:r w:rsidRPr="00075571">
        <w:t xml:space="preserve"> 2018; Ogloff 2002). Each of these elements is described below in more detail.</w:t>
      </w:r>
    </w:p>
    <w:p w14:paraId="7E7837F1" w14:textId="77777777" w:rsidR="009636B7" w:rsidRPr="00075571" w:rsidRDefault="009636B7" w:rsidP="003D0BB1"/>
    <w:p w14:paraId="650724AA" w14:textId="77777777" w:rsidR="009636B7" w:rsidRPr="00075571" w:rsidRDefault="009636B7" w:rsidP="003D0BB1">
      <w:pPr>
        <w:pStyle w:val="Heading4"/>
      </w:pPr>
      <w:r w:rsidRPr="00075571">
        <w:lastRenderedPageBreak/>
        <w:t>Screening</w:t>
      </w:r>
    </w:p>
    <w:p w14:paraId="5E16815F" w14:textId="77777777" w:rsidR="00EE0ADB" w:rsidRDefault="009636B7" w:rsidP="003D0BB1">
      <w:pPr>
        <w:keepLines/>
      </w:pPr>
      <w:r w:rsidRPr="00075571">
        <w:t>Screening prisoners upon entry or reception to prison</w:t>
      </w:r>
      <w:r>
        <w:t>,</w:t>
      </w:r>
      <w:r w:rsidRPr="00075571">
        <w:t xml:space="preserve"> to address immediate safety issues and identify </w:t>
      </w:r>
      <w:r>
        <w:t xml:space="preserve">their </w:t>
      </w:r>
      <w:r w:rsidRPr="00075571">
        <w:t>mental health needs</w:t>
      </w:r>
      <w:r>
        <w:t>,</w:t>
      </w:r>
      <w:r w:rsidRPr="00075571">
        <w:t xml:space="preserve"> </w:t>
      </w:r>
      <w:r>
        <w:t xml:space="preserve">is considered best practice internationally. This </w:t>
      </w:r>
      <w:r w:rsidRPr="00075571">
        <w:t>facilitat</w:t>
      </w:r>
      <w:r>
        <w:t>es</w:t>
      </w:r>
      <w:r w:rsidRPr="00075571">
        <w:t xml:space="preserve"> early intervention and/or transfer to FMHS</w:t>
      </w:r>
      <w:r>
        <w:t>s</w:t>
      </w:r>
      <w:r w:rsidRPr="00075571">
        <w:t xml:space="preserve"> as required (Dressing </w:t>
      </w:r>
      <w:r>
        <w:t>and</w:t>
      </w:r>
      <w:r w:rsidRPr="00075571">
        <w:t xml:space="preserve"> Salize 2009). </w:t>
      </w:r>
      <w:r>
        <w:t xml:space="preserve">Nicholls </w:t>
      </w:r>
      <w:r w:rsidR="00AD0D58">
        <w:t>et al</w:t>
      </w:r>
      <w:r>
        <w:t xml:space="preserve"> (2018) state:</w:t>
      </w:r>
    </w:p>
    <w:p w14:paraId="206DFDC5" w14:textId="77777777" w:rsidR="009636B7" w:rsidRPr="00DD29A3" w:rsidRDefault="009636B7" w:rsidP="003D0BB1">
      <w:pPr>
        <w:pStyle w:val="Quote"/>
      </w:pPr>
      <w:r w:rsidRPr="001A28C6">
        <w:t>screening entails an investigation by trained mental health workers using validated tools to identify subpopulations or individuals who have some targeted problem, in this case mental illness, substance disorders, and/or are considered to be at risk of adverse events (</w:t>
      </w:r>
      <w:r>
        <w:t>eg</w:t>
      </w:r>
      <w:r w:rsidRPr="001A28C6">
        <w:t>, suicide, violence, victimization, non-</w:t>
      </w:r>
      <w:r w:rsidRPr="00E42BE0">
        <w:t>suicidal self-injury).</w:t>
      </w:r>
      <w:r w:rsidR="00AD0D58">
        <w:t xml:space="preserve"> (p. </w:t>
      </w:r>
      <w:r w:rsidRPr="00E42BE0">
        <w:t>14)</w:t>
      </w:r>
    </w:p>
    <w:p w14:paraId="36AD2364" w14:textId="77777777" w:rsidR="009636B7" w:rsidRPr="00482A5B" w:rsidRDefault="009636B7" w:rsidP="003D0BB1"/>
    <w:p w14:paraId="2B338F57" w14:textId="77777777" w:rsidR="009636B7" w:rsidRDefault="009636B7" w:rsidP="003D0BB1">
      <w:r w:rsidRPr="00075571">
        <w:t>Several screening tools have been developed for this purpose (Adams</w:t>
      </w:r>
      <w:r>
        <w:t xml:space="preserve"> </w:t>
      </w:r>
      <w:r w:rsidR="00AD0D58">
        <w:t>et al</w:t>
      </w:r>
      <w:r>
        <w:t xml:space="preserve"> </w:t>
      </w:r>
      <w:r w:rsidRPr="00075571">
        <w:t xml:space="preserve">2009; Forrester </w:t>
      </w:r>
      <w:r w:rsidR="00AD0D58">
        <w:t>et al</w:t>
      </w:r>
      <w:r w:rsidRPr="00075571">
        <w:t xml:space="preserve"> 2018; Nicholls </w:t>
      </w:r>
      <w:r w:rsidR="00AD0D58">
        <w:t>et al</w:t>
      </w:r>
      <w:r w:rsidRPr="00075571">
        <w:t xml:space="preserve"> 2018; Ogloff 2002; Pillai </w:t>
      </w:r>
      <w:r w:rsidR="00AD0D58">
        <w:t>et al</w:t>
      </w:r>
      <w:r w:rsidRPr="00075571">
        <w:t xml:space="preserve"> 2016; Slade</w:t>
      </w:r>
      <w:r>
        <w:t xml:space="preserve"> </w:t>
      </w:r>
      <w:r w:rsidR="00AD0D58">
        <w:t>et al</w:t>
      </w:r>
      <w:r>
        <w:t xml:space="preserve"> </w:t>
      </w:r>
      <w:r w:rsidRPr="00075571">
        <w:t>2016). In-depth review of screening tools was beyond the scope of this review.</w:t>
      </w:r>
    </w:p>
    <w:p w14:paraId="740ED88A" w14:textId="77777777" w:rsidR="003D0BB1" w:rsidRPr="00075571" w:rsidRDefault="003D0BB1" w:rsidP="003D0BB1"/>
    <w:p w14:paraId="78962176" w14:textId="77777777" w:rsidR="009636B7" w:rsidRPr="00075571" w:rsidRDefault="009636B7" w:rsidP="003D0BB1">
      <w:pPr>
        <w:pStyle w:val="Heading4"/>
      </w:pPr>
      <w:r w:rsidRPr="00075571">
        <w:t>Triage</w:t>
      </w:r>
    </w:p>
    <w:p w14:paraId="328EAB79" w14:textId="77777777" w:rsidR="009636B7" w:rsidRDefault="009636B7" w:rsidP="003D0BB1">
      <w:r w:rsidRPr="00075571">
        <w:t xml:space="preserve">Triage is defined </w:t>
      </w:r>
      <w:r w:rsidR="00EE0ADB">
        <w:t>‘</w:t>
      </w:r>
      <w:r w:rsidRPr="001A28C6">
        <w:t>as a strategy for deciding how to prioritize mental health resources (</w:t>
      </w:r>
      <w:r>
        <w:t>ie</w:t>
      </w:r>
      <w:r w:rsidRPr="001A28C6">
        <w:t>, for assessment, treatments) to those with greatest need/urgency</w:t>
      </w:r>
      <w:r w:rsidR="00EE0ADB">
        <w:t>’</w:t>
      </w:r>
      <w:r w:rsidRPr="001A28C6">
        <w:t xml:space="preserve"> (Nicholls </w:t>
      </w:r>
      <w:r w:rsidR="00AD0D58">
        <w:t>et al</w:t>
      </w:r>
      <w:r w:rsidRPr="001A28C6">
        <w:t xml:space="preserve"> 2018</w:t>
      </w:r>
      <w:r w:rsidR="005054ED">
        <w:t>, p. </w:t>
      </w:r>
      <w:r w:rsidRPr="001A28C6">
        <w:t>17).</w:t>
      </w:r>
      <w:r w:rsidRPr="00075571">
        <w:t xml:space="preserve"> Triage is typically the second stage of assessment for all prisoners. However, fewer tools exist for this purpose</w:t>
      </w:r>
      <w:r>
        <w:t>,</w:t>
      </w:r>
      <w:r w:rsidRPr="00075571">
        <w:t xml:space="preserve"> and the majority focus mainly on physical health, rather than mental health (Forrester </w:t>
      </w:r>
      <w:r w:rsidR="00AD0D58">
        <w:t>et al</w:t>
      </w:r>
      <w:r w:rsidRPr="00075571">
        <w:t xml:space="preserve"> 2018). Forrester </w:t>
      </w:r>
      <w:r w:rsidR="00AD0D58">
        <w:t>et al</w:t>
      </w:r>
      <w:r w:rsidRPr="00075571">
        <w:t xml:space="preserve"> (2018) thus recommend </w:t>
      </w:r>
      <w:r w:rsidR="00EE0ADB">
        <w:t>‘</w:t>
      </w:r>
      <w:r w:rsidRPr="00075571">
        <w:t xml:space="preserve">assessment and mental </w:t>
      </w:r>
      <w:r w:rsidRPr="00A537F0">
        <w:t>health</w:t>
      </w:r>
      <w:r w:rsidRPr="00075571">
        <w:t xml:space="preserve"> triaging within a number of days (between 3 and 7 days) following prison reception</w:t>
      </w:r>
      <w:r w:rsidR="00EE0ADB">
        <w:t>’</w:t>
      </w:r>
      <w:r>
        <w:t>,</w:t>
      </w:r>
      <w:r w:rsidRPr="00075571">
        <w:t xml:space="preserve"> after which mental health teams should triage referrals and </w:t>
      </w:r>
      <w:r w:rsidR="00EE0ADB">
        <w:t>‘</w:t>
      </w:r>
      <w:r w:rsidRPr="00075571">
        <w:t>allocate them to the appropriate service or individual in accordance with their presenting need (</w:t>
      </w:r>
      <w:r>
        <w:t>eg</w:t>
      </w:r>
      <w:r w:rsidRPr="00075571">
        <w:t>, common mental disorder, severe enduring mental illness, acute mental health problem)</w:t>
      </w:r>
      <w:r w:rsidR="00EE0ADB">
        <w:t>’</w:t>
      </w:r>
      <w:r w:rsidR="00AD0D58">
        <w:t xml:space="preserve"> (p. </w:t>
      </w:r>
      <w:r w:rsidRPr="00075571">
        <w:t>105). At this stage, a common challenge is delays in hospital transfer following referral due to capacity shortages, which affect prisoners</w:t>
      </w:r>
      <w:r w:rsidR="00EE0ADB">
        <w:t>’</w:t>
      </w:r>
      <w:r w:rsidRPr="00075571">
        <w:t xml:space="preserve"> access to FMHS inpatient units. In response to this trend, in the United Kingdom, a limit of 14 days to hospital transfer was proposed in 2009, and programmes have been developed to reduce transfer times for acutely mentally ill prisoners (Forrester </w:t>
      </w:r>
      <w:r w:rsidR="00AD0D58">
        <w:t>et al</w:t>
      </w:r>
      <w:r w:rsidRPr="00075571">
        <w:t xml:space="preserve"> 2013</w:t>
      </w:r>
      <w:r>
        <w:t>a</w:t>
      </w:r>
      <w:r w:rsidRPr="00075571">
        <w:t>).</w:t>
      </w:r>
    </w:p>
    <w:p w14:paraId="26550153" w14:textId="77777777" w:rsidR="003D0BB1" w:rsidRPr="00075571" w:rsidRDefault="003D0BB1" w:rsidP="003D0BB1"/>
    <w:p w14:paraId="262081C1" w14:textId="77777777" w:rsidR="009636B7" w:rsidRPr="00075571" w:rsidRDefault="009636B7" w:rsidP="003D0BB1">
      <w:pPr>
        <w:pStyle w:val="Heading4"/>
      </w:pPr>
      <w:r w:rsidRPr="00075571">
        <w:t>Assessment</w:t>
      </w:r>
    </w:p>
    <w:p w14:paraId="481E9038" w14:textId="77777777" w:rsidR="009636B7" w:rsidRDefault="009636B7" w:rsidP="003D0BB1">
      <w:r w:rsidRPr="00075571">
        <w:t xml:space="preserve">Mental health assessment involves </w:t>
      </w:r>
      <w:r w:rsidR="00EE0ADB">
        <w:t>‘</w:t>
      </w:r>
      <w:r w:rsidRPr="001A28C6">
        <w:t>detailed evaluation by a specialized mental health professional (</w:t>
      </w:r>
      <w:r>
        <w:t>eg</w:t>
      </w:r>
      <w:r w:rsidRPr="001A28C6">
        <w:t>, psychiatrist), a referral to necessary mental health services, and establishing of a detailed treatment plan</w:t>
      </w:r>
      <w:r w:rsidR="00EE0ADB">
        <w:t>’</w:t>
      </w:r>
      <w:r w:rsidRPr="001A28C6">
        <w:t xml:space="preserve"> (Nicholls </w:t>
      </w:r>
      <w:r w:rsidR="00AD0D58">
        <w:t>et al</w:t>
      </w:r>
      <w:r w:rsidRPr="001A28C6">
        <w:t xml:space="preserve"> 2018). Assessment at this stage provides a more in-depth clinical view of </w:t>
      </w:r>
      <w:r>
        <w:t xml:space="preserve">a </w:t>
      </w:r>
      <w:r w:rsidRPr="001A28C6">
        <w:t>prisoner</w:t>
      </w:r>
      <w:r w:rsidR="00EE0ADB">
        <w:t>’</w:t>
      </w:r>
      <w:r w:rsidRPr="001A28C6">
        <w:t xml:space="preserve">s mental health needs than </w:t>
      </w:r>
      <w:r>
        <w:t xml:space="preserve">that </w:t>
      </w:r>
      <w:r w:rsidRPr="001A28C6">
        <w:t xml:space="preserve">achieved in the prior steps. Assessment tools in the prison setting are typically similar to </w:t>
      </w:r>
      <w:r>
        <w:t xml:space="preserve">those in </w:t>
      </w:r>
      <w:r w:rsidRPr="001A28C6">
        <w:t xml:space="preserve">hospital and community settings, though the correctional population may provide </w:t>
      </w:r>
      <w:r w:rsidR="00EE0ADB">
        <w:t>‘</w:t>
      </w:r>
      <w:r w:rsidRPr="001A28C6">
        <w:t>unique d</w:t>
      </w:r>
      <w:r w:rsidRPr="00E42BE0">
        <w:t>iagnostic challenges</w:t>
      </w:r>
      <w:r w:rsidR="00EE0ADB">
        <w:t>’</w:t>
      </w:r>
      <w:r w:rsidRPr="00E42BE0">
        <w:t xml:space="preserve"> that must be taken into account</w:t>
      </w:r>
      <w:r>
        <w:t>,</w:t>
      </w:r>
      <w:r w:rsidRPr="00E42BE0">
        <w:t xml:space="preserve"> related to the complexity of how mental disorders present in the correctional setting (Nicholls </w:t>
      </w:r>
      <w:r w:rsidR="00AD0D58">
        <w:t>et al</w:t>
      </w:r>
      <w:r w:rsidRPr="00E42BE0">
        <w:t xml:space="preserve"> 2018).</w:t>
      </w:r>
    </w:p>
    <w:p w14:paraId="578F9CA5" w14:textId="77777777" w:rsidR="003D0BB1" w:rsidRPr="00075571" w:rsidRDefault="003D0BB1" w:rsidP="003D0BB1"/>
    <w:p w14:paraId="3B7939C9" w14:textId="77777777" w:rsidR="009636B7" w:rsidRPr="00075571" w:rsidRDefault="009636B7" w:rsidP="003D0BB1">
      <w:pPr>
        <w:pStyle w:val="Heading4"/>
      </w:pPr>
      <w:r w:rsidRPr="00075571">
        <w:lastRenderedPageBreak/>
        <w:t>Intervention</w:t>
      </w:r>
    </w:p>
    <w:p w14:paraId="34AAB7AD" w14:textId="77777777" w:rsidR="00EE0ADB" w:rsidRDefault="009636B7" w:rsidP="003D0BB1">
      <w:r w:rsidRPr="00075571">
        <w:t xml:space="preserve">Once the appropriate course of treatment has been determined, in-reach services may continue to provide care within the prison, often in </w:t>
      </w:r>
      <w:r w:rsidR="00EE0ADB">
        <w:t>‘</w:t>
      </w:r>
      <w:r w:rsidRPr="00075571">
        <w:t>wing-based</w:t>
      </w:r>
      <w:r w:rsidR="00EE0ADB">
        <w:t>’</w:t>
      </w:r>
      <w:r w:rsidRPr="00075571">
        <w:t xml:space="preserve"> mental health units (Forrester </w:t>
      </w:r>
      <w:r w:rsidR="00AD0D58">
        <w:t>et al</w:t>
      </w:r>
      <w:r w:rsidRPr="00075571">
        <w:t xml:space="preserve"> 2018). </w:t>
      </w:r>
      <w:r>
        <w:t xml:space="preserve">Such </w:t>
      </w:r>
      <w:r w:rsidRPr="00075571">
        <w:t xml:space="preserve">units provide 24-hour care within the prison, </w:t>
      </w:r>
      <w:r w:rsidR="00EE0ADB">
        <w:t>‘</w:t>
      </w:r>
      <w:r w:rsidRPr="001A28C6">
        <w:t>often managing a mixture of physical and mental health problems, including people with acute mental illness whose behaviour or risk of self-harm cannot be supported in the wider prison</w:t>
      </w:r>
      <w:r w:rsidR="00EE0ADB">
        <w:t>’</w:t>
      </w:r>
      <w:r w:rsidR="00AD0D58">
        <w:t xml:space="preserve"> (p. </w:t>
      </w:r>
      <w:r w:rsidRPr="001A28C6">
        <w:t xml:space="preserve">105). Alternatively, prisoners may be transferred to a forensic </w:t>
      </w:r>
      <w:r w:rsidRPr="00E42BE0">
        <w:t xml:space="preserve">mental health </w:t>
      </w:r>
      <w:r w:rsidRPr="00DD29A3">
        <w:t>hospital outside the prison to receive treatment. Speaking of the U</w:t>
      </w:r>
      <w:r>
        <w:t xml:space="preserve">nited </w:t>
      </w:r>
      <w:r w:rsidRPr="00DD29A3">
        <w:t>K</w:t>
      </w:r>
      <w:r>
        <w:t>ingdom</w:t>
      </w:r>
      <w:r w:rsidRPr="00DD29A3">
        <w:t xml:space="preserve"> context, Forrester </w:t>
      </w:r>
      <w:r w:rsidR="00AD0D58">
        <w:t>et al</w:t>
      </w:r>
      <w:r w:rsidRPr="00DD29A3">
        <w:t xml:space="preserve"> </w:t>
      </w:r>
      <w:r>
        <w:t xml:space="preserve">(2018) </w:t>
      </w:r>
      <w:r w:rsidRPr="00DD29A3">
        <w:t xml:space="preserve">further explain that whether a prisoner is treated in a prison inpatient unit or </w:t>
      </w:r>
      <w:r w:rsidRPr="00482A5B">
        <w:t>FMHS depends largely on the jurisdiction</w:t>
      </w:r>
      <w:r w:rsidR="00EE0ADB">
        <w:t>’</w:t>
      </w:r>
      <w:r w:rsidRPr="00482A5B">
        <w:t>s legislative framework. Where some jurisdictions enable treatment in prison settings, others (</w:t>
      </w:r>
      <w:r>
        <w:t>eg</w:t>
      </w:r>
      <w:r w:rsidRPr="00482A5B">
        <w:t>, Engl</w:t>
      </w:r>
      <w:r w:rsidRPr="007934CA">
        <w:t xml:space="preserve">and and Wales) </w:t>
      </w:r>
      <w:r w:rsidR="00EE0ADB">
        <w:t>‘</w:t>
      </w:r>
      <w:r w:rsidRPr="007934CA">
        <w:t>specifically exclude compulsory treatment in prisons, and instead require people who need treatment under compulsion to be transferred to secure hospital settings where they can be further managed using mental health legislation</w:t>
      </w:r>
      <w:r w:rsidR="00EE0ADB">
        <w:t>’</w:t>
      </w:r>
      <w:r w:rsidR="00AD0D58">
        <w:t xml:space="preserve"> (p. </w:t>
      </w:r>
      <w:r w:rsidRPr="007934CA">
        <w:t>105).</w:t>
      </w:r>
    </w:p>
    <w:p w14:paraId="145531A8" w14:textId="77777777" w:rsidR="009636B7" w:rsidRPr="000329FE" w:rsidRDefault="009636B7" w:rsidP="003D0BB1"/>
    <w:p w14:paraId="235EAA4A" w14:textId="77777777" w:rsidR="00EE0ADB" w:rsidRDefault="009636B7" w:rsidP="003D0BB1">
      <w:r w:rsidRPr="00075571">
        <w:t>Within the</w:t>
      </w:r>
      <w:r>
        <w:t xml:space="preserve"> Aotearoa</w:t>
      </w:r>
      <w:r w:rsidRPr="00075571">
        <w:t xml:space="preserve"> </w:t>
      </w:r>
      <w:r>
        <w:t>New Zealand</w:t>
      </w:r>
      <w:r w:rsidRPr="00075571">
        <w:t xml:space="preserve"> context, specific in-reach interventions may include:</w:t>
      </w:r>
    </w:p>
    <w:p w14:paraId="01B78B77" w14:textId="77777777" w:rsidR="009636B7" w:rsidRPr="000329FE" w:rsidRDefault="009636B7" w:rsidP="003D0BB1">
      <w:pPr>
        <w:pStyle w:val="Quote"/>
      </w:pPr>
      <w:r w:rsidRPr="001A28C6">
        <w:t>medication management, psycho-education, psycho-social therapies, motivational interviewing, facilitation of family involvement, alcohol and substance misuse treatment, physical health support, referral to specialist agencies, addressing housing/financial needs, addressing educational needs and cultural support</w:t>
      </w:r>
      <w:r w:rsidRPr="00E42BE0">
        <w:rPr>
          <w:position w:val="6"/>
        </w:rPr>
        <w:t xml:space="preserve"> </w:t>
      </w:r>
      <w:r w:rsidRPr="0043256B">
        <w:t>for Mā</w:t>
      </w:r>
      <w:r w:rsidRPr="00DD29A3">
        <w:rPr>
          <w:rFonts w:ascii="Times New Roman" w:hAnsi="Times New Roman"/>
        </w:rPr>
        <w:t>o</w:t>
      </w:r>
      <w:r w:rsidRPr="00DD29A3">
        <w:t xml:space="preserve">ri </w:t>
      </w:r>
      <w:r>
        <w:t>(</w:t>
      </w:r>
      <w:r w:rsidRPr="00482A5B">
        <w:t>50</w:t>
      </w:r>
      <w:r>
        <w:t xml:space="preserve"> percent</w:t>
      </w:r>
      <w:r w:rsidRPr="00A537F0">
        <w:t xml:space="preserve"> of the prison population) and Pacific Island peoples </w:t>
      </w:r>
      <w:r w:rsidRPr="000329FE">
        <w:t>11</w:t>
      </w:r>
      <w:r>
        <w:t xml:space="preserve"> percent</w:t>
      </w:r>
      <w:r w:rsidRPr="000329FE">
        <w:t xml:space="preserve">) (McKenna </w:t>
      </w:r>
      <w:r w:rsidR="00AD0D58">
        <w:t>et al</w:t>
      </w:r>
      <w:r w:rsidRPr="000329FE">
        <w:t xml:space="preserve"> 2015</w:t>
      </w:r>
      <w:r w:rsidR="005054ED">
        <w:t>, p. </w:t>
      </w:r>
      <w:r w:rsidRPr="000329FE">
        <w:t>286).</w:t>
      </w:r>
    </w:p>
    <w:p w14:paraId="796DF8A4" w14:textId="77777777" w:rsidR="009636B7" w:rsidRPr="000329FE" w:rsidRDefault="009636B7" w:rsidP="003D0BB1"/>
    <w:p w14:paraId="0AE8B66D" w14:textId="77777777" w:rsidR="00EE0ADB" w:rsidRDefault="009636B7" w:rsidP="003D0BB1">
      <w:r w:rsidRPr="000329FE">
        <w:t>These services thus require access to care from a range of professionals</w:t>
      </w:r>
      <w:r>
        <w:t>,</w:t>
      </w:r>
      <w:r w:rsidRPr="000329FE">
        <w:t xml:space="preserve"> in keeping with the broader multidisciplinary team model (Nicholls </w:t>
      </w:r>
      <w:r w:rsidR="00AD0D58">
        <w:t>et al</w:t>
      </w:r>
      <w:r w:rsidRPr="000329FE">
        <w:t xml:space="preserve"> 2018). Interventions should follow evidence-based best practices, guidelines and standards to provide services </w:t>
      </w:r>
      <w:r>
        <w:t xml:space="preserve">equivalent to those provided </w:t>
      </w:r>
      <w:r w:rsidRPr="000329FE">
        <w:t>to community care, in keeping with international health policy.</w:t>
      </w:r>
    </w:p>
    <w:p w14:paraId="1CAB2DF8" w14:textId="77777777" w:rsidR="003D0BB1" w:rsidRDefault="003D0BB1" w:rsidP="003D0BB1"/>
    <w:p w14:paraId="6E0F49AC" w14:textId="77777777" w:rsidR="009636B7" w:rsidRPr="00075571" w:rsidRDefault="009636B7" w:rsidP="003D0BB1">
      <w:pPr>
        <w:pStyle w:val="Heading4"/>
      </w:pPr>
      <w:r w:rsidRPr="00075571">
        <w:t>Reintegration</w:t>
      </w:r>
    </w:p>
    <w:p w14:paraId="5B8A4FBB" w14:textId="77777777" w:rsidR="009636B7" w:rsidRDefault="009636B7" w:rsidP="003D0BB1">
      <w:r>
        <w:t>Discussing the impact high-quality PMHSs can have on prisoners</w:t>
      </w:r>
      <w:r w:rsidR="00EE0ADB">
        <w:t>’</w:t>
      </w:r>
      <w:r>
        <w:t xml:space="preserve"> successful reintegration, Forrester </w:t>
      </w:r>
      <w:r w:rsidR="00AD0D58">
        <w:t>et al</w:t>
      </w:r>
      <w:r>
        <w:t xml:space="preserve"> (2018) state:</w:t>
      </w:r>
    </w:p>
    <w:p w14:paraId="6421A9B3" w14:textId="77777777" w:rsidR="00EE0ADB" w:rsidRDefault="009636B7" w:rsidP="003D0BB1">
      <w:pPr>
        <w:pStyle w:val="Quote"/>
      </w:pPr>
      <w:r w:rsidRPr="001A28C6">
        <w:t>There is good evidence that the period of transition from institutional to community living is a vulnerable period, with problematic onward health engagement and increased mortality currently.</w:t>
      </w:r>
      <w:r w:rsidRPr="009E213B">
        <w:rPr>
          <w:color w:val="0000FF"/>
          <w:position w:val="8"/>
        </w:rPr>
        <w:t xml:space="preserve"> </w:t>
      </w:r>
      <w:r w:rsidRPr="009E213B">
        <w:t>Intervention, however, can improve subsequent health engagement.</w:t>
      </w:r>
      <w:r w:rsidRPr="00E42BE0">
        <w:rPr>
          <w:color w:val="0000FF"/>
          <w:position w:val="8"/>
        </w:rPr>
        <w:t xml:space="preserve"> </w:t>
      </w:r>
      <w:r w:rsidRPr="0043256B">
        <w:t>Good quality mental health</w:t>
      </w:r>
      <w:r w:rsidRPr="00DD29A3">
        <w:t xml:space="preserve"> care in prison, offering continuity of care beyond the gates, is therefore important from an individual, social and economic perspec</w:t>
      </w:r>
      <w:r w:rsidRPr="00482A5B">
        <w:t xml:space="preserve">tive. (Forrester </w:t>
      </w:r>
      <w:r w:rsidR="00AD0D58">
        <w:t>et al</w:t>
      </w:r>
      <w:r w:rsidRPr="00482A5B">
        <w:t xml:space="preserve"> 2018</w:t>
      </w:r>
      <w:r w:rsidR="005054ED">
        <w:t>, p. </w:t>
      </w:r>
      <w:r w:rsidRPr="00482A5B">
        <w:t>106)</w:t>
      </w:r>
    </w:p>
    <w:p w14:paraId="7A782006" w14:textId="77777777" w:rsidR="009636B7" w:rsidRPr="00075571" w:rsidRDefault="009636B7" w:rsidP="003D0BB1"/>
    <w:p w14:paraId="6D718AE0" w14:textId="77777777" w:rsidR="009636B7" w:rsidRPr="000329FE" w:rsidRDefault="009636B7" w:rsidP="005752F5">
      <w:pPr>
        <w:keepNext/>
        <w:keepLines/>
        <w:rPr>
          <w:rFonts w:eastAsia="Calibri"/>
        </w:rPr>
      </w:pPr>
      <w:r w:rsidRPr="001A28C6">
        <w:lastRenderedPageBreak/>
        <w:t>McKenna</w:t>
      </w:r>
      <w:r>
        <w:t xml:space="preserve"> </w:t>
      </w:r>
      <w:r w:rsidR="00AD0D58">
        <w:t>et al</w:t>
      </w:r>
      <w:r w:rsidRPr="001A28C6">
        <w:t xml:space="preserve"> (2017) similarly state, </w:t>
      </w:r>
      <w:r w:rsidR="00EE0ADB">
        <w:t>‘</w:t>
      </w:r>
      <w:r w:rsidRPr="001A28C6">
        <w:t xml:space="preserve">release planning constitutes an opportunity for </w:t>
      </w:r>
      <w:r w:rsidR="00EE0ADB">
        <w:t>‘</w:t>
      </w:r>
      <w:r w:rsidRPr="0043256B">
        <w:t>critical time intervention</w:t>
      </w:r>
      <w:r w:rsidRPr="00DD29A3">
        <w:t>,</w:t>
      </w:r>
      <w:r w:rsidR="00EE0ADB">
        <w:t>’</w:t>
      </w:r>
      <w:r w:rsidRPr="00DD29A3">
        <w:t xml:space="preserve"> focusing on ensuring continuity of care across a range of providers as the prisoner transitions through the gate</w:t>
      </w:r>
      <w:r w:rsidR="00EE0ADB">
        <w:t>’</w:t>
      </w:r>
      <w:r w:rsidR="00AD0D58">
        <w:t xml:space="preserve"> (p. </w:t>
      </w:r>
      <w:r w:rsidRPr="00A537F0">
        <w:t>3; see also Angell</w:t>
      </w:r>
      <w:r>
        <w:t xml:space="preserve"> </w:t>
      </w:r>
      <w:r w:rsidR="00AD0D58">
        <w:t>et al</w:t>
      </w:r>
      <w:r w:rsidRPr="00A537F0">
        <w:t xml:space="preserve"> 2014; Smith </w:t>
      </w:r>
      <w:r w:rsidR="00AD0D58">
        <w:t>et al</w:t>
      </w:r>
      <w:r w:rsidRPr="00A537F0">
        <w:t xml:space="preserve"> 2018). Indeed, </w:t>
      </w:r>
      <w:r>
        <w:t xml:space="preserve">the literature highlights that </w:t>
      </w:r>
      <w:r w:rsidRPr="00A537F0">
        <w:t>providing care during transition to facilit</w:t>
      </w:r>
      <w:r w:rsidRPr="000329FE">
        <w:t xml:space="preserve">ate community reintegration and coordinate support </w:t>
      </w:r>
      <w:r>
        <w:t>after prisoners</w:t>
      </w:r>
      <w:r w:rsidR="00EE0ADB">
        <w:t>’</w:t>
      </w:r>
      <w:r>
        <w:t xml:space="preserve"> </w:t>
      </w:r>
      <w:r w:rsidRPr="000329FE">
        <w:t xml:space="preserve">release is a key component of </w:t>
      </w:r>
      <w:r>
        <w:t>PMHSs</w:t>
      </w:r>
      <w:r w:rsidRPr="000329FE">
        <w:t xml:space="preserve"> (Hancock</w:t>
      </w:r>
      <w:r>
        <w:t xml:space="preserve"> </w:t>
      </w:r>
      <w:r w:rsidR="00AD0D58">
        <w:t>et al</w:t>
      </w:r>
      <w:r w:rsidRPr="000329FE">
        <w:t xml:space="preserve"> 2018; </w:t>
      </w:r>
      <w:r w:rsidRPr="001B7479">
        <w:t>Hopkin</w:t>
      </w:r>
      <w:r>
        <w:t xml:space="preserve"> </w:t>
      </w:r>
      <w:r w:rsidR="00AD0D58">
        <w:t>et al</w:t>
      </w:r>
      <w:r w:rsidRPr="000329FE">
        <w:t xml:space="preserve"> 2018; Pearsall 2016; Sheehan </w:t>
      </w:r>
      <w:r>
        <w:t>and</w:t>
      </w:r>
      <w:r w:rsidRPr="000329FE">
        <w:t xml:space="preserve"> Ogloff 2014; Smith-Merry</w:t>
      </w:r>
      <w:r>
        <w:t xml:space="preserve"> </w:t>
      </w:r>
      <w:r w:rsidR="00AD0D58">
        <w:t>et al</w:t>
      </w:r>
      <w:r w:rsidRPr="000329FE">
        <w:t xml:space="preserve"> 2018; McKenna </w:t>
      </w:r>
      <w:r w:rsidR="00AD0D58">
        <w:t>et al</w:t>
      </w:r>
      <w:r w:rsidRPr="000329FE">
        <w:t xml:space="preserve"> 2017). At the same time, </w:t>
      </w:r>
      <w:r w:rsidR="00EE0ADB">
        <w:t>‘</w:t>
      </w:r>
      <w:r w:rsidRPr="000329FE">
        <w:rPr>
          <w:rFonts w:eastAsia="Calibri"/>
        </w:rPr>
        <w:t>reintegration is widely acknowledged to be the least well-developed component of correctional service planning despite being recognised as an essential aspect of services, particularly for mentally-disordered offenders</w:t>
      </w:r>
      <w:r w:rsidR="00EE0ADB">
        <w:rPr>
          <w:rFonts w:eastAsia="Calibri"/>
        </w:rPr>
        <w:t>’</w:t>
      </w:r>
      <w:r w:rsidRPr="000329FE">
        <w:rPr>
          <w:rFonts w:eastAsia="Calibri"/>
        </w:rPr>
        <w:t xml:space="preserve"> (Nicholls </w:t>
      </w:r>
      <w:r w:rsidR="00AD0D58">
        <w:rPr>
          <w:rFonts w:eastAsia="Calibri"/>
        </w:rPr>
        <w:t>et al</w:t>
      </w:r>
      <w:r w:rsidRPr="000329FE">
        <w:rPr>
          <w:rFonts w:eastAsia="Calibri"/>
        </w:rPr>
        <w:t xml:space="preserve"> 2018</w:t>
      </w:r>
      <w:r w:rsidR="005054ED">
        <w:rPr>
          <w:rFonts w:eastAsia="Calibri"/>
        </w:rPr>
        <w:t>, p. </w:t>
      </w:r>
      <w:r w:rsidRPr="000329FE">
        <w:rPr>
          <w:rFonts w:eastAsia="Calibri"/>
        </w:rPr>
        <w:t>30), a deficit that has significant implications in prisoners</w:t>
      </w:r>
      <w:r w:rsidR="00EE0ADB">
        <w:rPr>
          <w:rFonts w:eastAsia="Calibri"/>
        </w:rPr>
        <w:t>’</w:t>
      </w:r>
      <w:r w:rsidRPr="000329FE">
        <w:rPr>
          <w:rFonts w:eastAsia="Calibri"/>
        </w:rPr>
        <w:t xml:space="preserve"> risks of recidivism and long-term health outcomes.</w:t>
      </w:r>
    </w:p>
    <w:p w14:paraId="37E9A797" w14:textId="77777777" w:rsidR="009636B7" w:rsidRPr="000329FE" w:rsidRDefault="009636B7" w:rsidP="005752F5"/>
    <w:p w14:paraId="19CF1B35" w14:textId="77777777" w:rsidR="009636B7" w:rsidRPr="000329FE" w:rsidRDefault="009636B7" w:rsidP="005752F5">
      <w:r w:rsidRPr="000329FE">
        <w:t xml:space="preserve">In terms of reintegration services, the first step in this process is to conduct pre-release planning in the months before release that sets in place an individualised re-entry plan, including provisions for supervision, medication </w:t>
      </w:r>
      <w:r>
        <w:t xml:space="preserve">and </w:t>
      </w:r>
      <w:r w:rsidRPr="000329FE">
        <w:t xml:space="preserve">programmes and mobilises resources for community reintegration. Best practices indicate this should occur </w:t>
      </w:r>
      <w:r>
        <w:t xml:space="preserve">three </w:t>
      </w:r>
      <w:r w:rsidRPr="000329FE">
        <w:t>months prior to release, though in some services referrals to community mental health teams currently do not occur until closer to release (</w:t>
      </w:r>
      <w:r>
        <w:t>ie</w:t>
      </w:r>
      <w:r w:rsidRPr="000329FE">
        <w:t xml:space="preserve">, </w:t>
      </w:r>
      <w:r>
        <w:t xml:space="preserve">six </w:t>
      </w:r>
      <w:r w:rsidRPr="000329FE">
        <w:t>weeks prior).</w:t>
      </w:r>
    </w:p>
    <w:p w14:paraId="39538171" w14:textId="77777777" w:rsidR="00EE0ADB" w:rsidRDefault="00EE0ADB" w:rsidP="005752F5"/>
    <w:p w14:paraId="5399A6F0" w14:textId="77777777" w:rsidR="00EE0ADB" w:rsidRDefault="009636B7" w:rsidP="005752F5">
      <w:r w:rsidRPr="000329FE">
        <w:t>Pre-release planning includes engaging with community mental health services and social care agencies (</w:t>
      </w:r>
      <w:r>
        <w:t>eg</w:t>
      </w:r>
      <w:r w:rsidRPr="000329FE">
        <w:t xml:space="preserve">, </w:t>
      </w:r>
      <w:r>
        <w:t>housing and employment support)</w:t>
      </w:r>
      <w:r w:rsidRPr="000329FE">
        <w:t xml:space="preserve"> </w:t>
      </w:r>
      <w:r>
        <w:t>(</w:t>
      </w:r>
      <w:r w:rsidRPr="000329FE">
        <w:t xml:space="preserve">McKenna </w:t>
      </w:r>
      <w:r w:rsidR="00AD0D58">
        <w:t>et al</w:t>
      </w:r>
      <w:r w:rsidRPr="000329FE">
        <w:t xml:space="preserve"> 2015). This step should also include face-to-face contact and relationship building between the prisoner and the service liaison(s)</w:t>
      </w:r>
      <w:r>
        <w:t>,</w:t>
      </w:r>
      <w:r w:rsidRPr="000329FE">
        <w:t xml:space="preserve"> to provide continuity of care and promote service engagement (McKenna </w:t>
      </w:r>
      <w:r w:rsidR="00AD0D58">
        <w:t>et al</w:t>
      </w:r>
      <w:r w:rsidRPr="000329FE">
        <w:t xml:space="preserve"> 2015). Indeed</w:t>
      </w:r>
      <w:r w:rsidRPr="00075571">
        <w:t xml:space="preserve">, evidence suggests the importance of integrated services for prisoners </w:t>
      </w:r>
      <w:r>
        <w:t xml:space="preserve">after their </w:t>
      </w:r>
      <w:r w:rsidRPr="00075571">
        <w:t>release and in community mental health more broadly</w:t>
      </w:r>
      <w:r>
        <w:t xml:space="preserve"> that </w:t>
      </w:r>
      <w:r w:rsidRPr="00075571">
        <w:t>link together criminal justice, mental health, probation</w:t>
      </w:r>
      <w:r w:rsidRPr="005752F5">
        <w:rPr>
          <w:rStyle w:val="FootnoteReference"/>
        </w:rPr>
        <w:footnoteReference w:id="28"/>
      </w:r>
      <w:r w:rsidRPr="00075571">
        <w:t xml:space="preserve"> and social/support services to facilitate community re-entry.</w:t>
      </w:r>
      <w:r w:rsidRPr="005752F5">
        <w:rPr>
          <w:rStyle w:val="FootnoteReference"/>
        </w:rPr>
        <w:footnoteReference w:id="29"/>
      </w:r>
      <w:r w:rsidRPr="00075571">
        <w:t xml:space="preserve"> Dlugacz (2014) further specifies six areas that should be assessed in re-entry planning to determine prisoners</w:t>
      </w:r>
      <w:r w:rsidR="00EE0ADB">
        <w:t>’</w:t>
      </w:r>
      <w:r w:rsidRPr="00075571">
        <w:t xml:space="preserve"> needs: (a) clinical</w:t>
      </w:r>
      <w:r>
        <w:t xml:space="preserve"> factors</w:t>
      </w:r>
      <w:r w:rsidRPr="00075571">
        <w:t xml:space="preserve"> (medical/psychiatric diagnoses and substance abuse), (b) social support and connectedness, (c) housing, (d) </w:t>
      </w:r>
      <w:r w:rsidRPr="007934CA">
        <w:t>financial</w:t>
      </w:r>
      <w:r>
        <w:t xml:space="preserve"> factors</w:t>
      </w:r>
      <w:r w:rsidRPr="00075571">
        <w:t xml:space="preserve"> (</w:t>
      </w:r>
      <w:r>
        <w:t>eg</w:t>
      </w:r>
      <w:r w:rsidRPr="00075571">
        <w:t xml:space="preserve">, </w:t>
      </w:r>
      <w:r w:rsidRPr="007934CA">
        <w:t>employment</w:t>
      </w:r>
      <w:r w:rsidRPr="00075571">
        <w:t>/</w:t>
      </w:r>
      <w:r w:rsidR="005752F5">
        <w:t xml:space="preserve"> </w:t>
      </w:r>
      <w:r w:rsidRPr="00075571">
        <w:t>benefits program</w:t>
      </w:r>
      <w:r>
        <w:t>me</w:t>
      </w:r>
      <w:r w:rsidRPr="00075571">
        <w:t>s), (e) motivation and (g) risk factors.</w:t>
      </w:r>
    </w:p>
    <w:p w14:paraId="48A62BB0" w14:textId="77777777" w:rsidR="005752F5" w:rsidRDefault="005752F5" w:rsidP="005752F5"/>
    <w:p w14:paraId="29E6EB5C" w14:textId="77777777" w:rsidR="009636B7" w:rsidRPr="00075571" w:rsidRDefault="009636B7" w:rsidP="005752F5">
      <w:pPr>
        <w:pStyle w:val="Heading3"/>
      </w:pPr>
      <w:bookmarkStart w:id="123" w:name="_Toc16805646"/>
      <w:r w:rsidRPr="00075571">
        <w:lastRenderedPageBreak/>
        <w:t xml:space="preserve">Therapeutic </w:t>
      </w:r>
      <w:r>
        <w:t>s</w:t>
      </w:r>
      <w:r w:rsidRPr="00075571">
        <w:t xml:space="preserve">ecurity, </w:t>
      </w:r>
      <w:r>
        <w:t>r</w:t>
      </w:r>
      <w:r w:rsidRPr="00075571">
        <w:t xml:space="preserve">ehabilitation </w:t>
      </w:r>
      <w:r>
        <w:t>and</w:t>
      </w:r>
      <w:r w:rsidRPr="00075571">
        <w:t xml:space="preserve"> </w:t>
      </w:r>
      <w:r>
        <w:t>r</w:t>
      </w:r>
      <w:r w:rsidRPr="00075571">
        <w:t>ecovery</w:t>
      </w:r>
      <w:bookmarkEnd w:id="123"/>
    </w:p>
    <w:p w14:paraId="1ADFFBE5" w14:textId="77777777" w:rsidR="00EE0ADB" w:rsidRDefault="009636B7" w:rsidP="005752F5">
      <w:pPr>
        <w:keepNext/>
        <w:keepLines/>
      </w:pPr>
      <w:r w:rsidRPr="00075571">
        <w:t xml:space="preserve">In contrast to the other reviews, the discussion of therapeutic security, rehabilitation and recovery was largely absent in the literature. </w:t>
      </w:r>
      <w:r w:rsidRPr="001A28C6">
        <w:t>Giblin</w:t>
      </w:r>
      <w:r>
        <w:t xml:space="preserve"> </w:t>
      </w:r>
      <w:r w:rsidR="00AD0D58">
        <w:t>et al</w:t>
      </w:r>
      <w:r w:rsidRPr="00DD29A3">
        <w:t xml:space="preserve"> (2012) discuss the application of stratified therapeutic security to an in-reach prison service through the creation of a </w:t>
      </w:r>
      <w:r w:rsidR="00EE0ADB">
        <w:t>‘</w:t>
      </w:r>
      <w:r w:rsidRPr="00DD29A3">
        <w:t>high support unit</w:t>
      </w:r>
      <w:r w:rsidR="00EE0ADB">
        <w:t>’</w:t>
      </w:r>
      <w:r w:rsidRPr="00DD29A3">
        <w:t xml:space="preserve"> aimed at </w:t>
      </w:r>
      <w:r w:rsidR="00EE0ADB">
        <w:t>‘</w:t>
      </w:r>
      <w:r w:rsidRPr="00DD29A3">
        <w:t>accommodating prisoners with increased mental health need in a purposeful environment and segregated fro</w:t>
      </w:r>
      <w:r w:rsidRPr="00482A5B">
        <w:t>m the main prison population [which] improves therapeutic assessment and treatment where necessary, in a safer environment</w:t>
      </w:r>
      <w:r w:rsidR="00EE0ADB">
        <w:t>’</w:t>
      </w:r>
      <w:r w:rsidR="00AD0D58">
        <w:t xml:space="preserve"> (p. </w:t>
      </w:r>
      <w:r w:rsidRPr="00482A5B">
        <w:t>3). Notably, these units differ from wing-based units</w:t>
      </w:r>
      <w:r>
        <w:t>,</w:t>
      </w:r>
      <w:r w:rsidRPr="00482A5B">
        <w:t xml:space="preserve"> as they are </w:t>
      </w:r>
      <w:r w:rsidR="00EE0ADB">
        <w:t>‘</w:t>
      </w:r>
      <w:r w:rsidRPr="00482A5B">
        <w:t>functional and dynamic</w:t>
      </w:r>
      <w:r w:rsidR="00EE0ADB">
        <w:t>’</w:t>
      </w:r>
      <w:r w:rsidRPr="00482A5B">
        <w:t xml:space="preserve"> and feature </w:t>
      </w:r>
      <w:r w:rsidR="00EE0ADB">
        <w:t>‘</w:t>
      </w:r>
      <w:r w:rsidRPr="00482A5B">
        <w:t>increased relational sec</w:t>
      </w:r>
      <w:r w:rsidRPr="000329FE">
        <w:t>urity (staff to prisoner ratios) in addition to improved environmental security</w:t>
      </w:r>
      <w:r w:rsidR="00EE0ADB">
        <w:t>’</w:t>
      </w:r>
      <w:r w:rsidRPr="000329FE">
        <w:t xml:space="preserve"> (Giblin </w:t>
      </w:r>
      <w:r w:rsidR="00AD0D58">
        <w:t>et al</w:t>
      </w:r>
      <w:r w:rsidRPr="000329FE">
        <w:t xml:space="preserve"> 2012</w:t>
      </w:r>
      <w:r w:rsidR="005054ED">
        <w:t>, p. </w:t>
      </w:r>
      <w:r w:rsidRPr="000329FE">
        <w:t xml:space="preserve">7). Giblin </w:t>
      </w:r>
      <w:r w:rsidR="00AD0D58">
        <w:t>et al</w:t>
      </w:r>
      <w:r w:rsidRPr="000329FE">
        <w:t xml:space="preserve"> recommend the additional development of a </w:t>
      </w:r>
      <w:r w:rsidR="00EE0ADB">
        <w:t>‘</w:t>
      </w:r>
      <w:r w:rsidRPr="000329FE">
        <w:t>low support unit</w:t>
      </w:r>
      <w:r w:rsidR="00EE0ADB">
        <w:t>’</w:t>
      </w:r>
      <w:r>
        <w:t>,</w:t>
      </w:r>
      <w:r w:rsidRPr="000329FE">
        <w:t xml:space="preserve"> which would further stratify the service, </w:t>
      </w:r>
      <w:r>
        <w:t xml:space="preserve">bringing it </w:t>
      </w:r>
      <w:r w:rsidRPr="000329FE">
        <w:t>more in line with the goal to provide care in the least restrictive environment.</w:t>
      </w:r>
    </w:p>
    <w:p w14:paraId="1DCF4102" w14:textId="77777777" w:rsidR="009636B7" w:rsidRPr="00075571" w:rsidRDefault="009636B7" w:rsidP="005752F5"/>
    <w:p w14:paraId="32FDA1C6" w14:textId="77777777" w:rsidR="00EE0ADB" w:rsidRDefault="009636B7" w:rsidP="005752F5">
      <w:r w:rsidRPr="001A28C6">
        <w:t>Regarding the latter two concepts, rehabilitation and recovery-oriented approaches</w:t>
      </w:r>
      <w:r w:rsidRPr="009E213B">
        <w:t xml:space="preserve"> have not been developed fully</w:t>
      </w:r>
      <w:r w:rsidRPr="00E42BE0">
        <w:t xml:space="preserve"> in the </w:t>
      </w:r>
      <w:r w:rsidRPr="0043256B">
        <w:t>prison context</w:t>
      </w:r>
      <w:r>
        <w:t>,</w:t>
      </w:r>
      <w:r w:rsidRPr="0043256B">
        <w:t xml:space="preserve"> and are discussed primarily in</w:t>
      </w:r>
      <w:r w:rsidRPr="00DD29A3">
        <w:t xml:space="preserve"> relation to risk managemen</w:t>
      </w:r>
      <w:r w:rsidRPr="00482A5B">
        <w:t>t/criminogenic need and holistic services/programming</w:t>
      </w:r>
      <w:r w:rsidRPr="00A537F0">
        <w:t xml:space="preserve">. Here, limited research </w:t>
      </w:r>
      <w:r w:rsidRPr="007934CA">
        <w:t>suggests</w:t>
      </w:r>
      <w:r w:rsidRPr="000329FE">
        <w:t xml:space="preserve"> the utility of programming models to reduce recidivism among prisoners </w:t>
      </w:r>
      <w:r>
        <w:t xml:space="preserve">after their </w:t>
      </w:r>
      <w:r w:rsidRPr="000329FE">
        <w:t>release (</w:t>
      </w:r>
      <w:r>
        <w:t>eg</w:t>
      </w:r>
      <w:r w:rsidRPr="000329FE">
        <w:t xml:space="preserve">, </w:t>
      </w:r>
      <w:r w:rsidRPr="00075571">
        <w:t>Skeem</w:t>
      </w:r>
      <w:r>
        <w:t xml:space="preserve"> </w:t>
      </w:r>
      <w:r w:rsidR="00AD0D58">
        <w:t>et al</w:t>
      </w:r>
      <w:r w:rsidRPr="00075571">
        <w:t xml:space="preserve"> 2011), such as the RNR model</w:t>
      </w:r>
      <w:r w:rsidRPr="001A28C6">
        <w:t xml:space="preserve"> (</w:t>
      </w:r>
      <w:r w:rsidRPr="00075571">
        <w:t xml:space="preserve">Barnett </w:t>
      </w:r>
      <w:r w:rsidR="00AD0D58">
        <w:t>et al</w:t>
      </w:r>
      <w:r w:rsidRPr="00075571">
        <w:t xml:space="preserve"> 2014; Dlugacz 2014; Skeem</w:t>
      </w:r>
      <w:r>
        <w:t xml:space="preserve"> </w:t>
      </w:r>
      <w:r w:rsidR="00AD0D58">
        <w:t>et al</w:t>
      </w:r>
      <w:r w:rsidRPr="00075571">
        <w:t xml:space="preserve"> 2015).</w:t>
      </w:r>
    </w:p>
    <w:p w14:paraId="4733FDAC" w14:textId="77777777" w:rsidR="009636B7" w:rsidRPr="00075571" w:rsidRDefault="009636B7" w:rsidP="005752F5"/>
    <w:p w14:paraId="30979A09" w14:textId="77777777" w:rsidR="00EE0ADB" w:rsidRDefault="009636B7" w:rsidP="005752F5">
      <w:r w:rsidRPr="00075571">
        <w:t xml:space="preserve">In terms of recovery, Dlugacz (2014) suggests re-entry </w:t>
      </w:r>
      <w:r w:rsidRPr="007934CA">
        <w:t>planning</w:t>
      </w:r>
      <w:r w:rsidRPr="00075571">
        <w:t xml:space="preserve"> </w:t>
      </w:r>
      <w:r w:rsidR="00EE0ADB">
        <w:t>‘</w:t>
      </w:r>
      <w:r w:rsidRPr="00075571">
        <w:t>should be congruent with cognitive, motivational and recovery approaches – appropriately individualized and based on positive reinforcement</w:t>
      </w:r>
      <w:r w:rsidR="00EE0ADB">
        <w:t>’</w:t>
      </w:r>
      <w:r w:rsidR="00AD0D58">
        <w:t xml:space="preserve"> (p. </w:t>
      </w:r>
      <w:r w:rsidRPr="00075571">
        <w:t xml:space="preserve">15). Powitzky (2011) proposes a correctional mental health recovery model which adapts best practices from community settings, such as </w:t>
      </w:r>
      <w:r w:rsidR="00EE0ADB">
        <w:t>‘</w:t>
      </w:r>
      <w:r w:rsidRPr="00075571">
        <w:t>illness management and recovery, supported employment, family psychoeducation, assertive community treatment, integrated treatment for co</w:t>
      </w:r>
      <w:r w:rsidR="005752F5">
        <w:noBreakHyphen/>
      </w:r>
      <w:r w:rsidRPr="007934CA">
        <w:t>occurring</w:t>
      </w:r>
      <w:r w:rsidRPr="00075571">
        <w:t xml:space="preserve"> disorders, and medication management</w:t>
      </w:r>
      <w:r w:rsidR="00EE0ADB">
        <w:t>’</w:t>
      </w:r>
      <w:r w:rsidR="00AD0D58">
        <w:t xml:space="preserve"> (p. </w:t>
      </w:r>
      <w:r w:rsidRPr="00075571">
        <w:t xml:space="preserve">44). Powitzky further recommends </w:t>
      </w:r>
      <w:r>
        <w:t xml:space="preserve">that </w:t>
      </w:r>
      <w:r w:rsidRPr="00075571">
        <w:t xml:space="preserve">individualised plans called </w:t>
      </w:r>
      <w:r w:rsidR="00EE0ADB">
        <w:t>‘</w:t>
      </w:r>
      <w:r w:rsidRPr="00075571">
        <w:t>treatment tracks</w:t>
      </w:r>
      <w:r w:rsidR="00EE0ADB">
        <w:t>’</w:t>
      </w:r>
      <w:r w:rsidRPr="00075571">
        <w:t xml:space="preserve"> </w:t>
      </w:r>
      <w:r w:rsidR="00EE0ADB">
        <w:t>‘</w:t>
      </w:r>
      <w:r w:rsidRPr="00075571">
        <w:t>be developed with specified treatment objectives to be accompanied through evidence-based treatment protocols</w:t>
      </w:r>
      <w:r w:rsidR="00EE0ADB">
        <w:t>’</w:t>
      </w:r>
      <w:r w:rsidR="00AD0D58">
        <w:t xml:space="preserve"> (p. </w:t>
      </w:r>
      <w:r w:rsidRPr="00075571">
        <w:t>45). However, specific details on the application of this proposed model are lacking.</w:t>
      </w:r>
    </w:p>
    <w:p w14:paraId="42FD09FC" w14:textId="77777777" w:rsidR="009636B7" w:rsidRPr="00075571" w:rsidRDefault="009636B7" w:rsidP="005752F5"/>
    <w:p w14:paraId="0074E3AA" w14:textId="77777777" w:rsidR="009636B7" w:rsidRPr="00075571" w:rsidRDefault="009636B7" w:rsidP="005752F5">
      <w:r w:rsidRPr="00075571">
        <w:t xml:space="preserve">One reason for the </w:t>
      </w:r>
      <w:r w:rsidRPr="007934CA">
        <w:t>dearth</w:t>
      </w:r>
      <w:r w:rsidRPr="00075571">
        <w:t xml:space="preserve"> in the literature on rehabilitation and recovery within prison FMHS</w:t>
      </w:r>
      <w:r>
        <w:t>s</w:t>
      </w:r>
      <w:r w:rsidRPr="00075571">
        <w:t xml:space="preserve"> is likely due to the limitations of the prison environment</w:t>
      </w:r>
      <w:r>
        <w:t>,</w:t>
      </w:r>
      <w:r w:rsidRPr="00075571">
        <w:t xml:space="preserve"> which, by its very nature, is somewhat contrary to the goals of rehabilitation and recovery articulated in other mental health service contexts. As V</w:t>
      </w:r>
      <w:r w:rsidRPr="001A28C6">
        <w:rPr>
          <w:rFonts w:cs="Segoe UI"/>
        </w:rPr>
        <w:t>ö</w:t>
      </w:r>
      <w:r w:rsidRPr="00075571">
        <w:t xml:space="preserve">llm </w:t>
      </w:r>
      <w:r w:rsidR="00AD0D58">
        <w:t>et al</w:t>
      </w:r>
      <w:r w:rsidRPr="00075571">
        <w:t xml:space="preserve"> (2018) avow</w:t>
      </w:r>
      <w:r>
        <w:t>:</w:t>
      </w:r>
    </w:p>
    <w:p w14:paraId="1F4E9F71" w14:textId="77777777" w:rsidR="009636B7" w:rsidRPr="00075571" w:rsidRDefault="009636B7" w:rsidP="005752F5">
      <w:pPr>
        <w:pStyle w:val="Quote"/>
      </w:pPr>
      <w:r w:rsidRPr="00075571">
        <w:t>prisons are arguably places not conducive to mental well-being. Imprisonment is by its very nature and design associated with the deprivation of liberty, restrictions to one</w:t>
      </w:r>
      <w:r w:rsidR="00EE0ADB">
        <w:t>’</w:t>
      </w:r>
      <w:r w:rsidRPr="00075571">
        <w:t>s lifestyle and autonomy, a loss of employment and accommodation, and, importantly, of relationships, including with partners, parents and children. The environment itself may be perceived as harsh and unsupportive and some prisoners, in particular those with sexual offences, may experience bullying and victimization.</w:t>
      </w:r>
      <w:r w:rsidR="00AD0D58">
        <w:t xml:space="preserve"> (p. </w:t>
      </w:r>
      <w:r w:rsidRPr="00075571">
        <w:t>65)</w:t>
      </w:r>
    </w:p>
    <w:p w14:paraId="26476BC0" w14:textId="77777777" w:rsidR="009636B7" w:rsidRPr="00075571" w:rsidRDefault="009636B7" w:rsidP="005752F5"/>
    <w:p w14:paraId="1CFD5E7C" w14:textId="77777777" w:rsidR="009636B7" w:rsidRDefault="009636B7" w:rsidP="005752F5">
      <w:pPr>
        <w:keepLines/>
      </w:pPr>
      <w:r w:rsidRPr="00075571">
        <w:lastRenderedPageBreak/>
        <w:t>The demands of the prison environment (</w:t>
      </w:r>
      <w:r>
        <w:t xml:space="preserve">such as </w:t>
      </w:r>
      <w:r w:rsidRPr="00075571">
        <w:t xml:space="preserve">lockdowns </w:t>
      </w:r>
      <w:r>
        <w:t xml:space="preserve">and </w:t>
      </w:r>
      <w:r w:rsidRPr="00075571">
        <w:t>scheduling) may inhibit or interfere with mental health service delivery in various ways</w:t>
      </w:r>
      <w:r>
        <w:t xml:space="preserve">; for example, by </w:t>
      </w:r>
      <w:r w:rsidRPr="00075571">
        <w:t xml:space="preserve">hampering access to assessment/interventions and restricting medication administration time (Brinded </w:t>
      </w:r>
      <w:r>
        <w:t>and</w:t>
      </w:r>
      <w:r w:rsidRPr="00075571">
        <w:t xml:space="preserve"> Evans 2007). Such challenges may preclude the adoption of a recovery-oriented approach within </w:t>
      </w:r>
      <w:r>
        <w:t xml:space="preserve">the </w:t>
      </w:r>
      <w:r w:rsidRPr="00075571">
        <w:t>system. Further investigation is needed to understand better the utility and application of the concepts of therapeutic security, rehabilitation and recovery-oriented approaches within PMHS models of care.</w:t>
      </w:r>
    </w:p>
    <w:p w14:paraId="3F1E7FF2" w14:textId="77777777" w:rsidR="005752F5" w:rsidRPr="00075571" w:rsidRDefault="005752F5" w:rsidP="005752F5"/>
    <w:p w14:paraId="101F2E49" w14:textId="77777777" w:rsidR="009636B7" w:rsidRPr="00075571" w:rsidRDefault="009636B7" w:rsidP="005752F5">
      <w:pPr>
        <w:pStyle w:val="Heading3"/>
      </w:pPr>
      <w:bookmarkStart w:id="124" w:name="_Toc16805647"/>
      <w:r w:rsidRPr="00075571">
        <w:t xml:space="preserve">Priority </w:t>
      </w:r>
      <w:r>
        <w:t>p</w:t>
      </w:r>
      <w:r w:rsidRPr="00075571">
        <w:t>opulations</w:t>
      </w:r>
      <w:bookmarkEnd w:id="124"/>
    </w:p>
    <w:p w14:paraId="173F6DB4" w14:textId="77777777" w:rsidR="009636B7" w:rsidRDefault="009636B7" w:rsidP="005752F5">
      <w:r w:rsidRPr="00075571">
        <w:t>Of the areas reviewed, prisons offer the most comprehensive culturally</w:t>
      </w:r>
      <w:r>
        <w:t xml:space="preserve"> </w:t>
      </w:r>
      <w:r w:rsidRPr="00075571">
        <w:t xml:space="preserve">based services for Māori and </w:t>
      </w:r>
      <w:r>
        <w:t>Pacific peoples</w:t>
      </w:r>
      <w:r w:rsidRPr="00075571">
        <w:t xml:space="preserve"> within</w:t>
      </w:r>
      <w:r>
        <w:t xml:space="preserve"> Aotearoa</w:t>
      </w:r>
      <w:r w:rsidRPr="00075571">
        <w:t xml:space="preserve"> </w:t>
      </w:r>
      <w:r>
        <w:t>New Zealand</w:t>
      </w:r>
      <w:r w:rsidRPr="00075571">
        <w:t>, though these are provided by Ara Poutama as opposed to FMHS</w:t>
      </w:r>
      <w:r>
        <w:t>s</w:t>
      </w:r>
      <w:r w:rsidRPr="00075571">
        <w:t xml:space="preserve">. That being said, the majority of documented services/programming have targeted the male prisoner population, and the literature indicates </w:t>
      </w:r>
      <w:r>
        <w:t xml:space="preserve">that </w:t>
      </w:r>
      <w:r w:rsidRPr="00075571">
        <w:t xml:space="preserve">few culture-focused programmes have historically been available for women, though recent </w:t>
      </w:r>
      <w:r w:rsidRPr="007934CA">
        <w:t>initiatives</w:t>
      </w:r>
      <w:r w:rsidRPr="00075571">
        <w:t xml:space="preserve"> seek to remedy this gap (Thakker 2013).</w:t>
      </w:r>
    </w:p>
    <w:p w14:paraId="77605B4B" w14:textId="77777777" w:rsidR="005752F5" w:rsidRPr="00075571" w:rsidRDefault="005752F5" w:rsidP="005752F5"/>
    <w:p w14:paraId="469B4255" w14:textId="77777777" w:rsidR="00EE0ADB" w:rsidRDefault="009636B7" w:rsidP="005752F5">
      <w:pPr>
        <w:pStyle w:val="Heading4"/>
      </w:pPr>
      <w:r w:rsidRPr="00075571">
        <w:t>Māori</w:t>
      </w:r>
    </w:p>
    <w:p w14:paraId="4D4C9AE8" w14:textId="77777777" w:rsidR="00EE0ADB" w:rsidRDefault="009636B7" w:rsidP="005752F5">
      <w:r w:rsidRPr="00075571">
        <w:t xml:space="preserve">In </w:t>
      </w:r>
      <w:r>
        <w:t>Aotearoa New Zealand</w:t>
      </w:r>
      <w:r w:rsidRPr="00075571">
        <w:t>, similar</w:t>
      </w:r>
      <w:r>
        <w:t xml:space="preserve">ly </w:t>
      </w:r>
      <w:r w:rsidR="00F74BB4">
        <w:t>with</w:t>
      </w:r>
      <w:r w:rsidR="00F74BB4" w:rsidRPr="00075571">
        <w:t xml:space="preserve"> both</w:t>
      </w:r>
      <w:r w:rsidRPr="00075571">
        <w:t xml:space="preserve"> forensic and general mental health services, cultural services are offered to all Māori prisoners</w:t>
      </w:r>
      <w:r>
        <w:t xml:space="preserve">; these are </w:t>
      </w:r>
      <w:r w:rsidRPr="00075571">
        <w:t xml:space="preserve">employed with varying levels of engagement. </w:t>
      </w:r>
      <w:r>
        <w:t>Prisons may employ c</w:t>
      </w:r>
      <w:r w:rsidRPr="00075571">
        <w:t xml:space="preserve">ultural advisors to perform cultural screens and assessments, assist in building relationships, engage whānau, provide cultural programming and offer one-on-one support (Cavney </w:t>
      </w:r>
      <w:r>
        <w:t>and</w:t>
      </w:r>
      <w:r w:rsidRPr="00075571">
        <w:t xml:space="preserve"> Hatters Friedman 2018; Sweetman 2017).</w:t>
      </w:r>
      <w:r w:rsidRPr="005752F5">
        <w:rPr>
          <w:rStyle w:val="FootnoteReference"/>
        </w:rPr>
        <w:footnoteReference w:id="30"/>
      </w:r>
      <w:r w:rsidRPr="00075571">
        <w:t xml:space="preserve"> Within the multidisciplinary in-reach team, a cultural advisor may perform cultural assessments to support the screening and triaging process </w:t>
      </w:r>
      <w:r>
        <w:t xml:space="preserve">and </w:t>
      </w:r>
      <w:r w:rsidRPr="00075571">
        <w:t xml:space="preserve">to determine </w:t>
      </w:r>
      <w:r>
        <w:t xml:space="preserve">a </w:t>
      </w:r>
      <w:r w:rsidRPr="00075571">
        <w:t>prisoner</w:t>
      </w:r>
      <w:r w:rsidR="00EE0ADB">
        <w:t>’</w:t>
      </w:r>
      <w:r w:rsidRPr="00075571">
        <w:t xml:space="preserve">s specific cultural needs and whether he/she may benefit from further engagement with cultural services and/or </w:t>
      </w:r>
      <w:r>
        <w:t>k</w:t>
      </w:r>
      <w:r w:rsidRPr="00075571">
        <w:t>aupapa Māori units or programmes (</w:t>
      </w:r>
      <w:r>
        <w:t>eg</w:t>
      </w:r>
      <w:r w:rsidRPr="00075571">
        <w:t>, Māori focus units or inpatient units).</w:t>
      </w:r>
    </w:p>
    <w:p w14:paraId="0EDFA2EE" w14:textId="77777777" w:rsidR="009636B7" w:rsidRPr="00075571" w:rsidRDefault="009636B7" w:rsidP="005752F5"/>
    <w:p w14:paraId="347A4679" w14:textId="77777777" w:rsidR="00EE0ADB" w:rsidRDefault="009636B7" w:rsidP="005752F5">
      <w:r w:rsidRPr="00075571">
        <w:t>In terms of the broader M</w:t>
      </w:r>
      <w:r w:rsidRPr="00075571">
        <w:rPr>
          <w:rFonts w:cs="Segoe UI"/>
        </w:rPr>
        <w:t>ā</w:t>
      </w:r>
      <w:r w:rsidRPr="00075571">
        <w:t xml:space="preserve">ori-focused services offered, </w:t>
      </w:r>
      <w:r>
        <w:t xml:space="preserve">Ara Poutama runs </w:t>
      </w:r>
      <w:r w:rsidRPr="00075571">
        <w:t>five Te</w:t>
      </w:r>
      <w:r w:rsidR="00F74BB4">
        <w:t> </w:t>
      </w:r>
      <w:r w:rsidRPr="00075571">
        <w:t>Tirohanga units (formerly Māori focus units), two Whare Oranga Ake</w:t>
      </w:r>
      <w:r>
        <w:t xml:space="preserve"> units</w:t>
      </w:r>
      <w:r w:rsidRPr="00075571">
        <w:t xml:space="preserve"> (transition units) </w:t>
      </w:r>
      <w:r>
        <w:t xml:space="preserve">and </w:t>
      </w:r>
      <w:r w:rsidRPr="00075571">
        <w:t xml:space="preserve">Māori therapeutic programmes. These services are delivered by Māori for Māori, </w:t>
      </w:r>
      <w:r>
        <w:t>us</w:t>
      </w:r>
      <w:r w:rsidRPr="00075571">
        <w:t xml:space="preserve">ing </w:t>
      </w:r>
      <w:r w:rsidR="00EE0ADB">
        <w:t>‘</w:t>
      </w:r>
      <w:r w:rsidRPr="00075571">
        <w:t>Māori philosophy, values, knowledge and practices to foster the regeneration of Māori identity and values to encourage offender motivation to address their offending needs</w:t>
      </w:r>
      <w:r w:rsidR="00EE0ADB">
        <w:t>’</w:t>
      </w:r>
      <w:r w:rsidRPr="00075571">
        <w:t xml:space="preserve"> (</w:t>
      </w:r>
      <w:r>
        <w:t>Department of Corrections</w:t>
      </w:r>
      <w:r w:rsidRPr="00075571">
        <w:t xml:space="preserve"> 2019b, np; see also Campbell 2016, 2018; </w:t>
      </w:r>
      <w:r>
        <w:t>Department of Corrections</w:t>
      </w:r>
      <w:r w:rsidRPr="00075571">
        <w:t xml:space="preserve"> 2009, 2014; Hape 2017).</w:t>
      </w:r>
    </w:p>
    <w:p w14:paraId="51EE6AC5" w14:textId="77777777" w:rsidR="009636B7" w:rsidRPr="00075571" w:rsidRDefault="009636B7" w:rsidP="005752F5"/>
    <w:p w14:paraId="4282E71A" w14:textId="77777777" w:rsidR="00EE0ADB" w:rsidRDefault="009636B7" w:rsidP="005752F5">
      <w:pPr>
        <w:keepNext/>
        <w:keepLines/>
      </w:pPr>
      <w:r w:rsidRPr="00075571">
        <w:lastRenderedPageBreak/>
        <w:t xml:space="preserve">These programmes have emerged over the past three decades in keeping with the broader creation and implementation of </w:t>
      </w:r>
      <w:r>
        <w:t>k</w:t>
      </w:r>
      <w:r w:rsidRPr="00075571">
        <w:t>aupapa Māori (</w:t>
      </w:r>
      <w:r w:rsidR="00EE0ADB">
        <w:t>‘</w:t>
      </w:r>
      <w:r w:rsidRPr="00075571">
        <w:t>by Māori for Māori</w:t>
      </w:r>
      <w:r w:rsidR="00EE0ADB">
        <w:t>’</w:t>
      </w:r>
      <w:r w:rsidRPr="00075571">
        <w:t>) services within public institutions, and largely following the recommendations of the Mason Report (1988), which published the first documented cultural assessment in a prison.</w:t>
      </w:r>
      <w:r w:rsidRPr="005752F5">
        <w:rPr>
          <w:rStyle w:val="FootnoteReference"/>
        </w:rPr>
        <w:footnoteReference w:id="31"/>
      </w:r>
      <w:r w:rsidR="005752F5">
        <w:t xml:space="preserve"> </w:t>
      </w:r>
      <w:r w:rsidRPr="00075571">
        <w:t xml:space="preserve">Te Tirohanga </w:t>
      </w:r>
      <w:r>
        <w:t xml:space="preserve">units </w:t>
      </w:r>
      <w:r w:rsidRPr="00075571">
        <w:t>have their own culturally</w:t>
      </w:r>
      <w:r>
        <w:t xml:space="preserve"> </w:t>
      </w:r>
      <w:r w:rsidRPr="00075571">
        <w:t xml:space="preserve">informed model of care, which incorporates </w:t>
      </w:r>
      <w:r>
        <w:t>t</w:t>
      </w:r>
      <w:r w:rsidRPr="00075571">
        <w:t xml:space="preserve">ikanga Māori and cultural programming (Brinded </w:t>
      </w:r>
      <w:r>
        <w:t>and</w:t>
      </w:r>
      <w:r w:rsidRPr="00075571">
        <w:t xml:space="preserve"> Evans 2007; Cavney </w:t>
      </w:r>
      <w:r>
        <w:t>and</w:t>
      </w:r>
      <w:r w:rsidRPr="00075571">
        <w:t xml:space="preserve"> Hatters Friedman 2018; </w:t>
      </w:r>
      <w:r>
        <w:t>Department of Corrections</w:t>
      </w:r>
      <w:r w:rsidRPr="00075571">
        <w:t xml:space="preserve"> 2009; Thakker 2013). Preliminary evidence has shown </w:t>
      </w:r>
      <w:r w:rsidRPr="007934CA">
        <w:t>positive</w:t>
      </w:r>
      <w:r w:rsidRPr="00075571">
        <w:t xml:space="preserve"> outcomes from both Te Tirohanga and Māori therapeutic programmes, including the fostering of a positive and prosocial environment, the development of prisoners</w:t>
      </w:r>
      <w:r w:rsidR="00EE0ADB">
        <w:t>’</w:t>
      </w:r>
      <w:r w:rsidRPr="00075571">
        <w:t xml:space="preserve"> sense of cultural identity and knowledge, and a marginal reduction in reconvictions and reimprisonments (</w:t>
      </w:r>
      <w:r>
        <w:t>Department of Corrections</w:t>
      </w:r>
      <w:r w:rsidRPr="00075571">
        <w:t xml:space="preserve"> 2009; see also </w:t>
      </w:r>
      <w:bookmarkStart w:id="125" w:name="_Hlk32339043"/>
      <w:r w:rsidRPr="00075571">
        <w:t>Hughes 2018; Johnston 2018).</w:t>
      </w:r>
      <w:bookmarkEnd w:id="125"/>
    </w:p>
    <w:p w14:paraId="32E89AA0" w14:textId="77777777" w:rsidR="009636B7" w:rsidRPr="00E42BE0" w:rsidRDefault="009636B7" w:rsidP="005752F5"/>
    <w:p w14:paraId="2080BF39" w14:textId="77777777" w:rsidR="00EE0ADB" w:rsidRDefault="009636B7" w:rsidP="005752F5">
      <w:r w:rsidRPr="00075571">
        <w:t xml:space="preserve">Further evidence suggests </w:t>
      </w:r>
      <w:r>
        <w:t xml:space="preserve">that </w:t>
      </w:r>
      <w:r w:rsidRPr="00075571">
        <w:t xml:space="preserve">complementary mental health services, such as psychologist services, are also yielding positive outcomes for </w:t>
      </w:r>
      <w:bookmarkStart w:id="126" w:name="_Hlk32339052"/>
      <w:r w:rsidRPr="00075571">
        <w:t>Māori (Castell</w:t>
      </w:r>
      <w:r>
        <w:t xml:space="preserve"> </w:t>
      </w:r>
      <w:r w:rsidR="00AD0D58">
        <w:t>et al</w:t>
      </w:r>
      <w:r w:rsidRPr="00075571">
        <w:t xml:space="preserve"> 2018). </w:t>
      </w:r>
      <w:bookmarkEnd w:id="126"/>
      <w:r w:rsidRPr="00075571">
        <w:t>It is important to acknowledge that while comm</w:t>
      </w:r>
      <w:r>
        <w:t>on</w:t>
      </w:r>
      <w:r w:rsidRPr="00075571">
        <w:t xml:space="preserve">alities exist in terms of </w:t>
      </w:r>
      <w:r w:rsidR="00EE0ADB">
        <w:t>‘</w:t>
      </w:r>
      <w:r w:rsidRPr="00075571">
        <w:t>what works for Māori</w:t>
      </w:r>
      <w:r w:rsidR="00EE0ADB">
        <w:t>’</w:t>
      </w:r>
      <w:r w:rsidRPr="00075571">
        <w:t xml:space="preserve"> </w:t>
      </w:r>
      <w:r>
        <w:t xml:space="preserve">– </w:t>
      </w:r>
      <w:r w:rsidRPr="00075571">
        <w:t>for example</w:t>
      </w:r>
      <w:r>
        <w:t>,</w:t>
      </w:r>
      <w:r w:rsidRPr="00075571">
        <w:t xml:space="preserve"> the centrality of whānau </w:t>
      </w:r>
      <w:r>
        <w:t xml:space="preserve">– </w:t>
      </w:r>
      <w:r w:rsidR="00EE0ADB">
        <w:t>‘</w:t>
      </w:r>
      <w:r w:rsidRPr="00075571">
        <w:t>tailoring programmes for Māori also [must keep] in focus the vital role of the individual case,</w:t>
      </w:r>
      <w:r w:rsidR="00EE0ADB">
        <w:t>’</w:t>
      </w:r>
      <w:r w:rsidRPr="00075571">
        <w:t xml:space="preserve"> to meet individuals</w:t>
      </w:r>
      <w:r w:rsidR="00EE0ADB">
        <w:t>’</w:t>
      </w:r>
      <w:r w:rsidRPr="00075571">
        <w:t xml:space="preserve"> complex needs (</w:t>
      </w:r>
      <w:bookmarkStart w:id="127" w:name="_Hlk32339057"/>
      <w:r w:rsidRPr="00075571">
        <w:t xml:space="preserve">Williams </w:t>
      </w:r>
      <w:r>
        <w:t>and</w:t>
      </w:r>
      <w:r w:rsidRPr="00075571">
        <w:t xml:space="preserve"> Cram 2012 p.</w:t>
      </w:r>
      <w:r w:rsidR="005752F5">
        <w:t> </w:t>
      </w:r>
      <w:r w:rsidRPr="00075571">
        <w:t>5).</w:t>
      </w:r>
      <w:bookmarkEnd w:id="127"/>
    </w:p>
    <w:p w14:paraId="0634B20C" w14:textId="77777777" w:rsidR="005752F5" w:rsidRDefault="005752F5" w:rsidP="005752F5"/>
    <w:p w14:paraId="2E9F1CA6" w14:textId="77777777" w:rsidR="009636B7" w:rsidRPr="00075571" w:rsidRDefault="009636B7" w:rsidP="005752F5">
      <w:pPr>
        <w:pStyle w:val="Heading4"/>
      </w:pPr>
      <w:r>
        <w:t>Pacific peoples</w:t>
      </w:r>
    </w:p>
    <w:p w14:paraId="291ADF2D" w14:textId="77777777" w:rsidR="00EE0ADB" w:rsidRDefault="009636B7" w:rsidP="005752F5">
      <w:r w:rsidRPr="00075571">
        <w:t xml:space="preserve">Another important culture-based approach is the Saili Matagi therapeutic programme for </w:t>
      </w:r>
      <w:r>
        <w:t xml:space="preserve">Pacific </w:t>
      </w:r>
      <w:r w:rsidRPr="00075571">
        <w:t>prisoners</w:t>
      </w:r>
      <w:r>
        <w:t>,</w:t>
      </w:r>
      <w:r w:rsidRPr="00075571">
        <w:t xml:space="preserve"> created in 2003. A review of the programme in 2004 recommended the creation of what would become the Pacific Focus Unit at Spring Hill Corrections Facility, which </w:t>
      </w:r>
      <w:r>
        <w:t>us</w:t>
      </w:r>
      <w:r w:rsidRPr="00075571">
        <w:t xml:space="preserve">es elements of </w:t>
      </w:r>
      <w:r>
        <w:t xml:space="preserve">Pacific </w:t>
      </w:r>
      <w:r w:rsidRPr="00075571">
        <w:t xml:space="preserve">culture to inform its design and model of care, and continues to run the programme (King </w:t>
      </w:r>
      <w:r>
        <w:t>and</w:t>
      </w:r>
      <w:r w:rsidRPr="00075571">
        <w:t xml:space="preserve"> Bourke 2017; see also Thakker 2013). This model has a significant criminogenic focus and, while it may have indirect health benefits, does not explicitly focus on mental health. At this time, more research is needed to document the innovations and efficacy of the Saili Matagi programme and the Pacific Focus Unit more broadly.</w:t>
      </w:r>
    </w:p>
    <w:p w14:paraId="06F09725" w14:textId="77777777" w:rsidR="005752F5" w:rsidRDefault="005752F5" w:rsidP="005752F5"/>
    <w:p w14:paraId="56E31918" w14:textId="77777777" w:rsidR="009636B7" w:rsidRPr="00075571" w:rsidRDefault="009636B7" w:rsidP="005752F5">
      <w:pPr>
        <w:pStyle w:val="Heading4"/>
      </w:pPr>
      <w:r w:rsidRPr="00075571">
        <w:t xml:space="preserve">Other </w:t>
      </w:r>
      <w:r>
        <w:t>i</w:t>
      </w:r>
      <w:r w:rsidRPr="00075571">
        <w:t xml:space="preserve">ndigenous </w:t>
      </w:r>
      <w:r>
        <w:t>g</w:t>
      </w:r>
      <w:r w:rsidRPr="00075571">
        <w:t>roups</w:t>
      </w:r>
    </w:p>
    <w:p w14:paraId="61467F77" w14:textId="77777777" w:rsidR="00EE0ADB" w:rsidRDefault="009636B7" w:rsidP="005752F5">
      <w:r w:rsidRPr="00075571">
        <w:t xml:space="preserve">Outside of </w:t>
      </w:r>
      <w:r>
        <w:t>Aotearoa New Zealand</w:t>
      </w:r>
      <w:r w:rsidRPr="00075571">
        <w:t xml:space="preserve">, limited documentation is available on programmes for indigenous or aboriginal prisoner populations </w:t>
      </w:r>
      <w:r>
        <w:t xml:space="preserve">that </w:t>
      </w:r>
      <w:r w:rsidRPr="00075571">
        <w:t xml:space="preserve">similarly </w:t>
      </w:r>
      <w:r>
        <w:t>us</w:t>
      </w:r>
      <w:r w:rsidRPr="00075571">
        <w:t>e cultural concepts and values to inform service delivery. Generally, these programmes are administered within the larger prison environment, as indigenous-focused units and/or cultural services within prisons</w:t>
      </w:r>
      <w:r>
        <w:t>, and</w:t>
      </w:r>
      <w:r w:rsidRPr="00075571">
        <w:t xml:space="preserve"> are not, proportionately, as readily accessible </w:t>
      </w:r>
      <w:r>
        <w:t xml:space="preserve">as they are in Aotearoa New Zealand; </w:t>
      </w:r>
      <w:r w:rsidRPr="00075571">
        <w:t>nor offered on the same scale.</w:t>
      </w:r>
    </w:p>
    <w:p w14:paraId="6894D896" w14:textId="77777777" w:rsidR="009636B7" w:rsidRPr="00075571" w:rsidRDefault="009636B7" w:rsidP="005752F5"/>
    <w:p w14:paraId="3145E2F6" w14:textId="77777777" w:rsidR="00EE0ADB" w:rsidRDefault="009636B7" w:rsidP="00E60811">
      <w:pPr>
        <w:keepNext/>
        <w:keepLines/>
      </w:pPr>
      <w:r w:rsidRPr="00075571">
        <w:lastRenderedPageBreak/>
        <w:t>One exception to this trend is the Canadian model of the healing lodge, a kind of therapeutic community</w:t>
      </w:r>
      <w:r w:rsidRPr="00E60811">
        <w:rPr>
          <w:rStyle w:val="FootnoteReference"/>
        </w:rPr>
        <w:footnoteReference w:id="32"/>
      </w:r>
      <w:r w:rsidRPr="00075571">
        <w:t xml:space="preserve"> in which prisoners </w:t>
      </w:r>
      <w:r w:rsidR="00EE0ADB">
        <w:t>‘</w:t>
      </w:r>
      <w:r w:rsidRPr="00075571">
        <w:t>reside in a culture-focused community which is structured around Aboriginal values and practices</w:t>
      </w:r>
      <w:r w:rsidR="00EE0ADB">
        <w:t>’</w:t>
      </w:r>
      <w:r w:rsidRPr="00075571">
        <w:t xml:space="preserve"> outside the mainstream prison environment (Thakker 2013</w:t>
      </w:r>
      <w:r w:rsidR="005054ED">
        <w:t>, p. </w:t>
      </w:r>
      <w:r w:rsidRPr="00075571">
        <w:t xml:space="preserve">398). </w:t>
      </w:r>
      <w:r>
        <w:t>I</w:t>
      </w:r>
      <w:r w:rsidRPr="00075571">
        <w:t xml:space="preserve">n one of the few examples </w:t>
      </w:r>
      <w:r>
        <w:t xml:space="preserve">the researchers found </w:t>
      </w:r>
      <w:r w:rsidRPr="00075571">
        <w:t>of women-focused cultural programming, the Okimaw Ohci Healing Lodge:</w:t>
      </w:r>
    </w:p>
    <w:p w14:paraId="6120C37E" w14:textId="77777777" w:rsidR="009636B7" w:rsidRPr="00075571" w:rsidRDefault="009636B7" w:rsidP="00E60811">
      <w:pPr>
        <w:pStyle w:val="Quote"/>
      </w:pPr>
      <w:r w:rsidRPr="00075571">
        <w:t>was developed in recognition of the heightened levels of past victimization encountered by indigenous female prisoners and the distinct needs of these women. The structured programme adopts culturally derived individual and interpersonal (</w:t>
      </w:r>
      <w:r>
        <w:t>ie</w:t>
      </w:r>
      <w:r w:rsidRPr="00075571">
        <w:t xml:space="preserve"> parenting and community) healing practices. Application of indigenous spirituality, role definition, ritual and symbolism is designed to engender empowerment and positive life change. (Moloney </w:t>
      </w:r>
      <w:r>
        <w:t>and</w:t>
      </w:r>
      <w:r w:rsidRPr="00075571">
        <w:t xml:space="preserve"> Moller 2009</w:t>
      </w:r>
      <w:r w:rsidR="005054ED">
        <w:t>, p. </w:t>
      </w:r>
      <w:r w:rsidRPr="00075571">
        <w:t>432)</w:t>
      </w:r>
    </w:p>
    <w:p w14:paraId="40F8A798" w14:textId="77777777" w:rsidR="009636B7" w:rsidRPr="00075571" w:rsidRDefault="009636B7" w:rsidP="00E60811"/>
    <w:p w14:paraId="1E423E80" w14:textId="77777777" w:rsidR="009636B7" w:rsidRDefault="009636B7" w:rsidP="00E60811">
      <w:r w:rsidRPr="00075571">
        <w:t xml:space="preserve">Such a model may prove useful in considering the needs of female Māori and </w:t>
      </w:r>
      <w:r>
        <w:t xml:space="preserve">Pacific </w:t>
      </w:r>
      <w:r w:rsidRPr="00075571">
        <w:t xml:space="preserve">prisoners in </w:t>
      </w:r>
      <w:r>
        <w:t>Aotearoa New Zealand</w:t>
      </w:r>
      <w:r w:rsidRPr="00075571">
        <w:t>.</w:t>
      </w:r>
    </w:p>
    <w:p w14:paraId="6E646487" w14:textId="77777777" w:rsidR="005752F5" w:rsidRPr="00075571" w:rsidRDefault="005752F5" w:rsidP="00E60811"/>
    <w:p w14:paraId="1C717972" w14:textId="77777777" w:rsidR="009636B7" w:rsidRPr="00075571" w:rsidRDefault="009636B7" w:rsidP="00E60811">
      <w:pPr>
        <w:pStyle w:val="Heading4"/>
      </w:pPr>
      <w:r w:rsidRPr="00075571">
        <w:t>Women</w:t>
      </w:r>
    </w:p>
    <w:p w14:paraId="484CBB31" w14:textId="77777777" w:rsidR="00EE0ADB" w:rsidRDefault="009636B7" w:rsidP="00E60811">
      <w:r w:rsidRPr="00075571">
        <w:t xml:space="preserve">International evidence from multiple jurisdictions suggests a </w:t>
      </w:r>
      <w:r w:rsidR="00EE0ADB">
        <w:t>‘</w:t>
      </w:r>
      <w:r w:rsidRPr="00075571">
        <w:t>disproportionate burden</w:t>
      </w:r>
      <w:r w:rsidR="00EE0ADB">
        <w:t>’</w:t>
      </w:r>
      <w:r w:rsidRPr="00075571">
        <w:t xml:space="preserve"> of mental health problems among female prisoners, underscoring the need for gender-responsive programming in prisons (Nicholls </w:t>
      </w:r>
      <w:r w:rsidR="00AD0D58">
        <w:t>et al</w:t>
      </w:r>
      <w:r w:rsidRPr="00075571">
        <w:t xml:space="preserve"> 2018</w:t>
      </w:r>
      <w:r w:rsidR="005054ED">
        <w:t>, p. </w:t>
      </w:r>
      <w:r w:rsidRPr="00075571">
        <w:t xml:space="preserve">10). Yet there is a </w:t>
      </w:r>
      <w:r w:rsidRPr="004034BB">
        <w:t>dearth</w:t>
      </w:r>
      <w:r w:rsidRPr="00075571">
        <w:t xml:space="preserve"> of literature describing models of care for female prisoners. Where the literature has focused on women, the trend has been to describe the prisoner population and to note specific trends </w:t>
      </w:r>
      <w:r>
        <w:t>within it</w:t>
      </w:r>
      <w:r w:rsidRPr="00075571">
        <w:t>, including types of offending, prevalence of mental health diagnoses, incidence of trauma backgrounds, the need for trauma-informed approaches and interventions, and recidivism. There is also a body of literature on gender-sensitive risk assessment tools and interventions.</w:t>
      </w:r>
      <w:r w:rsidRPr="00E60811">
        <w:rPr>
          <w:rStyle w:val="FootnoteReference"/>
        </w:rPr>
        <w:footnoteReference w:id="33"/>
      </w:r>
      <w:r w:rsidRPr="00075571">
        <w:t xml:space="preserve"> However</w:t>
      </w:r>
      <w:r>
        <w:t>:</w:t>
      </w:r>
    </w:p>
    <w:p w14:paraId="42B62A28" w14:textId="77777777" w:rsidR="009636B7" w:rsidRPr="00075571" w:rsidRDefault="009636B7" w:rsidP="00E60811">
      <w:pPr>
        <w:pStyle w:val="Quote"/>
      </w:pPr>
      <w:r w:rsidRPr="00075571">
        <w:t xml:space="preserve">many questions remain largely unanswered: </w:t>
      </w:r>
      <w:r>
        <w:t>…</w:t>
      </w:r>
      <w:r w:rsidRPr="00075571">
        <w:t xml:space="preserve"> are there differences for prison or treatment staff in working with males compared to females; do treatment models work the same for female offenders as male offenders; and are existing gender-responsive programs effective? (de Vogel </w:t>
      </w:r>
      <w:r>
        <w:t>and</w:t>
      </w:r>
      <w:r w:rsidRPr="00075571">
        <w:t xml:space="preserve"> Nicholls 2016</w:t>
      </w:r>
      <w:r w:rsidR="005054ED">
        <w:t>, p. </w:t>
      </w:r>
      <w:r w:rsidRPr="00075571">
        <w:t>2)</w:t>
      </w:r>
    </w:p>
    <w:p w14:paraId="617C14D3" w14:textId="77777777" w:rsidR="009636B7" w:rsidRPr="00075571" w:rsidRDefault="009636B7" w:rsidP="00E60811"/>
    <w:p w14:paraId="7037C9C0" w14:textId="77777777" w:rsidR="00EE0ADB" w:rsidRDefault="009636B7" w:rsidP="00E60811">
      <w:r>
        <w:t>d</w:t>
      </w:r>
      <w:r w:rsidRPr="00075571">
        <w:t xml:space="preserve">e Vogel and Nicholls (2016) underscore that the </w:t>
      </w:r>
      <w:r w:rsidR="00EE0ADB">
        <w:t>‘</w:t>
      </w:r>
      <w:r w:rsidRPr="00075571">
        <w:t>extant research findings have been slow to be integrated into service delivery</w:t>
      </w:r>
      <w:r w:rsidR="00EE0ADB">
        <w:t>’</w:t>
      </w:r>
      <w:r w:rsidRPr="00075571">
        <w:t xml:space="preserve">, highlighting the urgent need for </w:t>
      </w:r>
      <w:r w:rsidR="00EE0ADB">
        <w:t>‘</w:t>
      </w:r>
      <w:r w:rsidRPr="00075571">
        <w:t>gender-informed approaches in daily practice and in policymaking</w:t>
      </w:r>
      <w:r w:rsidR="00EE0ADB">
        <w:t>’</w:t>
      </w:r>
      <w:r w:rsidR="00AD0D58">
        <w:t xml:space="preserve"> (p. </w:t>
      </w:r>
      <w:r w:rsidRPr="00075571">
        <w:t>2).</w:t>
      </w:r>
    </w:p>
    <w:p w14:paraId="2743C88E" w14:textId="77777777" w:rsidR="009636B7" w:rsidRPr="00075571" w:rsidRDefault="009636B7" w:rsidP="00E60811"/>
    <w:p w14:paraId="6E71C886" w14:textId="77777777" w:rsidR="009636B7" w:rsidRPr="00075571" w:rsidRDefault="009636B7" w:rsidP="00E60811">
      <w:r w:rsidRPr="00075571">
        <w:t>Writing in the U</w:t>
      </w:r>
      <w:r>
        <w:t xml:space="preserve">nited </w:t>
      </w:r>
      <w:r w:rsidRPr="00075571">
        <w:t>K</w:t>
      </w:r>
      <w:r>
        <w:t>ingdom</w:t>
      </w:r>
      <w:r w:rsidRPr="00075571">
        <w:t xml:space="preserve"> context</w:t>
      </w:r>
      <w:r>
        <w:t xml:space="preserve"> in 2014</w:t>
      </w:r>
      <w:r w:rsidRPr="00075571">
        <w:t>, Bartlett</w:t>
      </w:r>
      <w:r>
        <w:t xml:space="preserve"> </w:t>
      </w:r>
      <w:r w:rsidR="00AD0D58">
        <w:t>et al</w:t>
      </w:r>
      <w:r w:rsidRPr="00075571">
        <w:t xml:space="preserve"> (2014) similarly underscore</w:t>
      </w:r>
      <w:r>
        <w:t>d</w:t>
      </w:r>
      <w:r w:rsidRPr="00075571">
        <w:t xml:space="preserve"> the need for gender-responsive models of care in prisons in relation to the gender-specific policy development occurring in England and Wales</w:t>
      </w:r>
      <w:r>
        <w:t xml:space="preserve"> at that time</w:t>
      </w:r>
      <w:r w:rsidRPr="00075571">
        <w:t>. The authors specify:</w:t>
      </w:r>
    </w:p>
    <w:p w14:paraId="1E26ADD3" w14:textId="77777777" w:rsidR="009636B7" w:rsidRPr="00075571" w:rsidRDefault="009636B7" w:rsidP="00E60811">
      <w:pPr>
        <w:pStyle w:val="Quote"/>
        <w:keepNext/>
        <w:keepLines/>
      </w:pPr>
      <w:r w:rsidRPr="00075571">
        <w:lastRenderedPageBreak/>
        <w:t>In prison, an invigorated, gender-sensitive service model implies a number of key components: First, all women offenders need registration with a GP to ensure access to routine health care on release. Second, systematic recording of sexual and physical trauma histories would alert services to unmet need. Third, fully integrated, gender-specific, substance misuse services across health care should recognise links with offending and sex-working, sexual exploitation and sexual abuse</w:t>
      </w:r>
      <w:r>
        <w:t xml:space="preserve"> …</w:t>
      </w:r>
      <w:r w:rsidRPr="00075571">
        <w:t xml:space="preserve"> Fourth, the unexpected release of prisoners (</w:t>
      </w:r>
      <w:r>
        <w:t>eg</w:t>
      </w:r>
      <w:r w:rsidRPr="00075571">
        <w:t xml:space="preserve"> following discontinuation of cases or community sentencing), combined with a reluctance of some community teams to manage women with complex needs, continues to undermine the work of prison mental health teams. Discussion of what happens inside prison </w:t>
      </w:r>
      <w:r>
        <w:t>…</w:t>
      </w:r>
      <w:r w:rsidRPr="00075571">
        <w:t xml:space="preserve"> should shift to the adequacy of external community services to assist women offenders on release and to stay out of prison.</w:t>
      </w:r>
      <w:r w:rsidR="00AD0D58">
        <w:t xml:space="preserve"> (p. </w:t>
      </w:r>
      <w:r w:rsidRPr="00075571">
        <w:t>630)</w:t>
      </w:r>
    </w:p>
    <w:p w14:paraId="4CE735EB" w14:textId="77777777" w:rsidR="009636B7" w:rsidRPr="00075571" w:rsidRDefault="009636B7" w:rsidP="00E60811"/>
    <w:p w14:paraId="5D0C5009" w14:textId="77777777" w:rsidR="00EE0ADB" w:rsidRDefault="009636B7" w:rsidP="00E60811">
      <w:r w:rsidRPr="00075571">
        <w:t xml:space="preserve">Bartlett </w:t>
      </w:r>
      <w:r w:rsidR="00AD0D58">
        <w:t>et al</w:t>
      </w:r>
      <w:r w:rsidRPr="00075571">
        <w:t xml:space="preserve"> (2014) further recommend</w:t>
      </w:r>
      <w:r>
        <w:t>ed that</w:t>
      </w:r>
      <w:r w:rsidRPr="00075571">
        <w:t xml:space="preserve"> continuity of care be achieved through the creation of community-based psychological and physical </w:t>
      </w:r>
      <w:r w:rsidR="00EE0ADB">
        <w:t>‘</w:t>
      </w:r>
      <w:r w:rsidRPr="00075571">
        <w:t>holding networks</w:t>
      </w:r>
      <w:r w:rsidR="00EE0ADB">
        <w:t>’</w:t>
      </w:r>
      <w:r>
        <w:t>,</w:t>
      </w:r>
      <w:r w:rsidRPr="00075571">
        <w:t xml:space="preserve"> which liaise between the various teams and agencies of the criminal justice system and coordinate potentially co-located health interventions, accommodation and employment and training opportunities (pp. 631–2).</w:t>
      </w:r>
    </w:p>
    <w:p w14:paraId="3C67570A" w14:textId="77777777" w:rsidR="009636B7" w:rsidRPr="00075571" w:rsidRDefault="009636B7" w:rsidP="00E60811"/>
    <w:p w14:paraId="6382F871" w14:textId="77777777" w:rsidR="009636B7" w:rsidRPr="00075571" w:rsidRDefault="009636B7" w:rsidP="00E60811">
      <w:r w:rsidRPr="00075571">
        <w:t>Moloney and Moller (2009) provide several examples of good gender-responsive practice in Canadian, Australian and U</w:t>
      </w:r>
      <w:r>
        <w:t xml:space="preserve">nited </w:t>
      </w:r>
      <w:r w:rsidRPr="00075571">
        <w:t>K</w:t>
      </w:r>
      <w:r>
        <w:t>ingdom</w:t>
      </w:r>
      <w:r w:rsidRPr="00075571">
        <w:t xml:space="preserve"> programmes and policies, all of which attend to female prisoners</w:t>
      </w:r>
      <w:r w:rsidR="00EE0ADB">
        <w:t>’</w:t>
      </w:r>
      <w:r w:rsidRPr="00075571">
        <w:t xml:space="preserve"> trauma and mental health needs through various mechanisms including counselling and education and awareness, intervention-oriented, cultural and research programmes. Three of these examples provide what can be described as an overarching holistic, gender-oriented model of care in tailored environments: the Okimaw Ohci Healing lodge in Canada (</w:t>
      </w:r>
      <w:r>
        <w:t>mentioned above</w:t>
      </w:r>
      <w:r w:rsidRPr="00075571">
        <w:t xml:space="preserve">), the Boronia Pre-Release Centre for Women in Western Australia and the Together Women Programme in the United Kingdom. Common to </w:t>
      </w:r>
      <w:r>
        <w:t xml:space="preserve">these </w:t>
      </w:r>
      <w:r w:rsidRPr="00075571">
        <w:t>models is a focus on the interconnection between trauma, mental illness, substance abuse and offending; developing women</w:t>
      </w:r>
      <w:r w:rsidR="00EE0ADB">
        <w:t>’</w:t>
      </w:r>
      <w:r w:rsidRPr="00075571">
        <w:t xml:space="preserve">s skills and self-sufficiency; and addressing the needs of women </w:t>
      </w:r>
      <w:r>
        <w:t xml:space="preserve">alongside the needs of </w:t>
      </w:r>
      <w:r w:rsidRPr="00075571">
        <w:t>their children/families.</w:t>
      </w:r>
    </w:p>
    <w:p w14:paraId="3281F0C7" w14:textId="77777777" w:rsidR="009636B7" w:rsidRPr="00075571" w:rsidRDefault="009636B7" w:rsidP="00E60811"/>
    <w:p w14:paraId="3DFEC115" w14:textId="77777777" w:rsidR="00EE0ADB" w:rsidRDefault="009636B7" w:rsidP="00E60811">
      <w:r w:rsidRPr="00075571">
        <w:t xml:space="preserve">Within </w:t>
      </w:r>
      <w:r>
        <w:t>Aotearoa New Zealand</w:t>
      </w:r>
      <w:r w:rsidRPr="00075571">
        <w:t xml:space="preserve">, </w:t>
      </w:r>
      <w:r>
        <w:t xml:space="preserve">Ara Poutama has </w:t>
      </w:r>
      <w:r w:rsidRPr="00075571">
        <w:t>recent</w:t>
      </w:r>
      <w:r>
        <w:t>ly allocated</w:t>
      </w:r>
      <w:r w:rsidRPr="00075571">
        <w:t xml:space="preserve"> funding to increasing social work and counselling services for women to support them </w:t>
      </w:r>
      <w:r w:rsidR="00EE0ADB">
        <w:t>‘</w:t>
      </w:r>
      <w:r w:rsidRPr="00075571">
        <w:t>to manage their trauma related needs</w:t>
      </w:r>
      <w:r w:rsidR="00EE0ADB">
        <w:t>’</w:t>
      </w:r>
      <w:r w:rsidRPr="00075571">
        <w:t xml:space="preserve"> and provide </w:t>
      </w:r>
      <w:r w:rsidR="00EE0ADB">
        <w:t>‘</w:t>
      </w:r>
      <w:r w:rsidRPr="00075571">
        <w:t>practical assistance relating to family and parenting issues</w:t>
      </w:r>
      <w:r w:rsidR="00EE0ADB">
        <w:t>’</w:t>
      </w:r>
      <w:r w:rsidRPr="00075571">
        <w:t xml:space="preserve"> (Frame-Reid </w:t>
      </w:r>
      <w:r>
        <w:t>and</w:t>
      </w:r>
      <w:r w:rsidRPr="00075571">
        <w:t xml:space="preserve"> Thurston 2016</w:t>
      </w:r>
      <w:r w:rsidR="005054ED">
        <w:t>, p. </w:t>
      </w:r>
      <w:r w:rsidRPr="00075571">
        <w:t xml:space="preserve">39). Such services aim to provide female prisoners with opportunities </w:t>
      </w:r>
      <w:r w:rsidR="00EE0ADB">
        <w:t>‘</w:t>
      </w:r>
      <w:r w:rsidRPr="00075571">
        <w:t>to develop resilience, establish practical tools and strategies for managing their complex situation, and improve their own responses to external barriers</w:t>
      </w:r>
      <w:r w:rsidR="00EE0ADB">
        <w:t>’</w:t>
      </w:r>
      <w:r w:rsidRPr="00075571">
        <w:t xml:space="preserve"> through engaging in rehabilitative programmes and reintegrative opportunities (Frame-Reid </w:t>
      </w:r>
      <w:r>
        <w:t>and</w:t>
      </w:r>
      <w:r w:rsidRPr="00075571">
        <w:t xml:space="preserve"> Thurston 2016</w:t>
      </w:r>
      <w:r w:rsidR="005054ED">
        <w:t>, p. </w:t>
      </w:r>
      <w:r w:rsidRPr="00075571">
        <w:t>39). This suggests a shift toward a more rehabilitative focus, in keeping with best practices.</w:t>
      </w:r>
    </w:p>
    <w:p w14:paraId="714224B5" w14:textId="77777777" w:rsidR="009636B7" w:rsidRPr="00075571" w:rsidRDefault="009636B7" w:rsidP="00E60811"/>
    <w:p w14:paraId="11872B0B" w14:textId="77777777" w:rsidR="00EE0ADB" w:rsidRDefault="009636B7" w:rsidP="00E60811">
      <w:r w:rsidRPr="00075571">
        <w:t>Indeed, this focus has been highlighted in Ara Poutama</w:t>
      </w:r>
      <w:r w:rsidR="00EE0ADB">
        <w:t>’</w:t>
      </w:r>
      <w:r w:rsidRPr="00075571">
        <w:t>s recent (2017) strategy for women</w:t>
      </w:r>
      <w:r>
        <w:t>,</w:t>
      </w:r>
      <w:r w:rsidRPr="00075571">
        <w:t xml:space="preserve"> and its resulting programming. For example, </w:t>
      </w:r>
      <w:r>
        <w:t xml:space="preserve">it has introduced </w:t>
      </w:r>
      <w:r w:rsidRPr="00075571">
        <w:t>Te Mana Wahine, a new cultural programme, in each of</w:t>
      </w:r>
      <w:r>
        <w:t xml:space="preserve"> Aotearoa</w:t>
      </w:r>
      <w:r w:rsidRPr="00075571">
        <w:t xml:space="preserve"> </w:t>
      </w:r>
      <w:r>
        <w:t>New Zealand</w:t>
      </w:r>
      <w:r w:rsidR="00EE0ADB">
        <w:t>’</w:t>
      </w:r>
      <w:r>
        <w:t xml:space="preserve">s </w:t>
      </w:r>
      <w:r w:rsidRPr="00075571">
        <w:t>three women</w:t>
      </w:r>
      <w:r w:rsidR="00EE0ADB">
        <w:t>’</w:t>
      </w:r>
      <w:r w:rsidRPr="00075571">
        <w:t>s prisons (Auckland Regional Women</w:t>
      </w:r>
      <w:r w:rsidR="00EE0ADB">
        <w:t>’</w:t>
      </w:r>
      <w:r w:rsidRPr="00075571">
        <w:t>s Corrections Facility, Arohata Prison and Christchurch Women</w:t>
      </w:r>
      <w:r w:rsidR="00EE0ADB">
        <w:t>’</w:t>
      </w:r>
      <w:r w:rsidRPr="00075571">
        <w:t xml:space="preserve">s Prison). The aim of this programme is to work with the women </w:t>
      </w:r>
      <w:r w:rsidR="00EE0ADB">
        <w:t>‘</w:t>
      </w:r>
      <w:r w:rsidRPr="00075571">
        <w:t>to develop their identity and cultural belonging, and build their connections to wh</w:t>
      </w:r>
      <w:r w:rsidRPr="00075571">
        <w:rPr>
          <w:rFonts w:cs="Segoe UI"/>
        </w:rPr>
        <w:t>ā</w:t>
      </w:r>
      <w:r w:rsidRPr="00075571">
        <w:t>nau and tamariki</w:t>
      </w:r>
      <w:r w:rsidR="00EE0ADB">
        <w:t>’</w:t>
      </w:r>
      <w:r w:rsidRPr="00075571">
        <w:t xml:space="preserve"> (Arts Access Aotearoa 2018, np.).</w:t>
      </w:r>
    </w:p>
    <w:p w14:paraId="098AFF12" w14:textId="77777777" w:rsidR="00E60811" w:rsidRDefault="00E60811" w:rsidP="00E60811"/>
    <w:p w14:paraId="34680040" w14:textId="77777777" w:rsidR="00EE0ADB" w:rsidRDefault="009636B7" w:rsidP="00E60811">
      <w:pPr>
        <w:pStyle w:val="Heading2"/>
      </w:pPr>
      <w:bookmarkStart w:id="128" w:name="_Toc16805648"/>
      <w:bookmarkStart w:id="129" w:name="_Toc88823239"/>
      <w:bookmarkStart w:id="130" w:name="_Toc90026008"/>
      <w:r w:rsidRPr="00075571">
        <w:lastRenderedPageBreak/>
        <w:t>Summary</w:t>
      </w:r>
      <w:bookmarkEnd w:id="128"/>
      <w:bookmarkEnd w:id="129"/>
      <w:bookmarkEnd w:id="130"/>
    </w:p>
    <w:p w14:paraId="14DE5F42" w14:textId="77777777" w:rsidR="00EE0ADB" w:rsidRDefault="009636B7" w:rsidP="00E60811">
      <w:r w:rsidRPr="00075571">
        <w:t>In the prison context, FMHS</w:t>
      </w:r>
      <w:r>
        <w:t>s</w:t>
      </w:r>
      <w:r w:rsidRPr="00075571">
        <w:t xml:space="preserve"> are typically comprised of in-reach services that complement the primary mental health services provided by corrections to the population of prisoners with serious and enduring mental illness. There are five key elements within FMHS provision to this population: screening, triage, assessment, intervention and reintegration. Screening involves </w:t>
      </w:r>
      <w:r>
        <w:t>us</w:t>
      </w:r>
      <w:r w:rsidRPr="00075571">
        <w:t>ing set tools to screen prisoners upon reception to prison</w:t>
      </w:r>
      <w:r>
        <w:t>,</w:t>
      </w:r>
      <w:r w:rsidRPr="00075571">
        <w:t xml:space="preserve"> to identify </w:t>
      </w:r>
      <w:r>
        <w:t xml:space="preserve">their </w:t>
      </w:r>
      <w:r w:rsidRPr="00075571">
        <w:t>mental health needs and an appropriate service pathway. In the triage stage, referrals are made to allocate prisoners to the appropriate service. If referred, assessment involves more detailed evaluation by mental health professionals (</w:t>
      </w:r>
      <w:r>
        <w:t>eg</w:t>
      </w:r>
      <w:r w:rsidRPr="00075571">
        <w:t>, psychiatrists) to determine appropriate action. Once a plan is set, intervention then occurs within prison or inpatient FMHS</w:t>
      </w:r>
      <w:r>
        <w:t>s,</w:t>
      </w:r>
      <w:r w:rsidRPr="00075571">
        <w:t xml:space="preserve"> as clinically indicated. Finally, reintegration focuses on the planning and provision of support services during the period of transition immediately before and after release.</w:t>
      </w:r>
    </w:p>
    <w:p w14:paraId="31F92FCF" w14:textId="77777777" w:rsidR="009636B7" w:rsidRPr="00075571" w:rsidRDefault="009636B7" w:rsidP="00E60811"/>
    <w:p w14:paraId="3FABE0F4" w14:textId="77777777" w:rsidR="00EE0ADB" w:rsidRDefault="009636B7" w:rsidP="00E60811">
      <w:r w:rsidRPr="00075571">
        <w:t xml:space="preserve">One issue highlighted in the literature is the </w:t>
      </w:r>
      <w:r w:rsidRPr="004034BB">
        <w:t>challenge</w:t>
      </w:r>
      <w:r w:rsidRPr="00075571">
        <w:t xml:space="preserve"> incurred in providing mental health services within the prison environment due to </w:t>
      </w:r>
      <w:r>
        <w:t xml:space="preserve">the </w:t>
      </w:r>
      <w:r w:rsidRPr="00075571">
        <w:t>counter-therapeutic nature</w:t>
      </w:r>
      <w:r>
        <w:t xml:space="preserve"> of that environment</w:t>
      </w:r>
      <w:r w:rsidRPr="00075571">
        <w:t>. Further consideration is needed to determine how prison FMHS</w:t>
      </w:r>
      <w:r>
        <w:t>s</w:t>
      </w:r>
      <w:r w:rsidRPr="00075571">
        <w:t xml:space="preserve"> may adopt a more recovery-oriented approach</w:t>
      </w:r>
      <w:r>
        <w:t>,</w:t>
      </w:r>
      <w:r w:rsidRPr="00075571">
        <w:t xml:space="preserve"> akin to </w:t>
      </w:r>
      <w:r>
        <w:t xml:space="preserve">that in </w:t>
      </w:r>
      <w:r w:rsidRPr="00075571">
        <w:t xml:space="preserve">other arms of the service. In terms of priority populations, prison services are particularly well developed for Māori and </w:t>
      </w:r>
      <w:r>
        <w:t xml:space="preserve">Pacific </w:t>
      </w:r>
      <w:r w:rsidRPr="00075571">
        <w:t xml:space="preserve">populations in </w:t>
      </w:r>
      <w:r>
        <w:t>Aotearoa New Zealand</w:t>
      </w:r>
      <w:r w:rsidRPr="00075571">
        <w:t xml:space="preserve">, though the evidence is still in its infancy. Further attention is needed </w:t>
      </w:r>
      <w:r>
        <w:t xml:space="preserve">on </w:t>
      </w:r>
      <w:r w:rsidRPr="00075571">
        <w:t xml:space="preserve">the adoption of gender-responsive practice </w:t>
      </w:r>
      <w:r>
        <w:t xml:space="preserve">that </w:t>
      </w:r>
      <w:r w:rsidRPr="00075571">
        <w:t>attends to female prisoners</w:t>
      </w:r>
      <w:r w:rsidR="00EE0ADB">
        <w:t>’</w:t>
      </w:r>
      <w:r w:rsidRPr="00075571">
        <w:t xml:space="preserve"> trauma and mental health needs.</w:t>
      </w:r>
    </w:p>
    <w:p w14:paraId="3FE1D8CB" w14:textId="77777777" w:rsidR="009636B7" w:rsidRPr="001A28C6" w:rsidRDefault="009636B7" w:rsidP="00E60811"/>
    <w:p w14:paraId="5646A9A7" w14:textId="77777777" w:rsidR="009636B7" w:rsidRPr="00482A5B" w:rsidRDefault="009636B7" w:rsidP="00E60811">
      <w:pPr>
        <w:pStyle w:val="Heading1"/>
      </w:pPr>
      <w:bookmarkStart w:id="131" w:name="_Toc88823240"/>
      <w:bookmarkStart w:id="132" w:name="_Toc90026009"/>
      <w:r w:rsidRPr="00E60811">
        <w:rPr>
          <w:b w:val="0"/>
        </w:rPr>
        <w:lastRenderedPageBreak/>
        <w:t>Section 5:</w:t>
      </w:r>
      <w:r w:rsidRPr="00E60811">
        <w:rPr>
          <w:b w:val="0"/>
        </w:rPr>
        <w:br/>
      </w:r>
      <w:r w:rsidRPr="00DD29A3">
        <w:t xml:space="preserve">Courts </w:t>
      </w:r>
      <w:r>
        <w:t>r</w:t>
      </w:r>
      <w:r w:rsidRPr="00DD29A3">
        <w:t>eview</w:t>
      </w:r>
      <w:bookmarkEnd w:id="131"/>
      <w:bookmarkEnd w:id="132"/>
    </w:p>
    <w:p w14:paraId="6FE75790" w14:textId="77777777" w:rsidR="009636B7" w:rsidRPr="00075571" w:rsidRDefault="009636B7" w:rsidP="00C82E84">
      <w:pPr>
        <w:pStyle w:val="Heading2"/>
      </w:pPr>
      <w:bookmarkStart w:id="133" w:name="_Toc16805650"/>
      <w:bookmarkStart w:id="134" w:name="_Toc88823241"/>
      <w:bookmarkStart w:id="135" w:name="_Toc90026010"/>
      <w:r w:rsidRPr="00075571">
        <w:t>Introduction</w:t>
      </w:r>
      <w:bookmarkEnd w:id="133"/>
      <w:bookmarkEnd w:id="134"/>
      <w:bookmarkEnd w:id="135"/>
    </w:p>
    <w:p w14:paraId="19171EBC" w14:textId="77777777" w:rsidR="00EE0ADB" w:rsidRDefault="009636B7" w:rsidP="00C82E84">
      <w:r w:rsidRPr="00075571">
        <w:t xml:space="preserve">As Kennedy </w:t>
      </w:r>
      <w:r w:rsidR="00AD0D58">
        <w:t>et al</w:t>
      </w:r>
      <w:r w:rsidRPr="00075571">
        <w:t xml:space="preserve"> (</w:t>
      </w:r>
      <w:r>
        <w:t>f</w:t>
      </w:r>
      <w:r w:rsidRPr="00075571">
        <w:t>orthcoming) explain,</w:t>
      </w:r>
      <w:r w:rsidRPr="001A28C6">
        <w:t xml:space="preserve"> </w:t>
      </w:r>
      <w:r w:rsidR="00EE0ADB">
        <w:t>‘</w:t>
      </w:r>
      <w:r w:rsidRPr="001A28C6">
        <w:t>any population-based forensic mental health service should be grounded in a systematic in-reach service to the criminal justice system</w:t>
      </w:r>
      <w:r w:rsidR="00EE0ADB">
        <w:t>’</w:t>
      </w:r>
      <w:r w:rsidR="00AD0D58">
        <w:t xml:space="preserve"> (p. </w:t>
      </w:r>
      <w:r w:rsidRPr="001A28C6">
        <w:t xml:space="preserve">9). This includes mechanisms that provide means for assessment and treatment of individuals with severe mental illness during engagement with police and the courts, as well as during remand </w:t>
      </w:r>
      <w:r>
        <w:t xml:space="preserve">and </w:t>
      </w:r>
      <w:r w:rsidRPr="001A28C6">
        <w:t xml:space="preserve">incarceration and </w:t>
      </w:r>
      <w:r>
        <w:t>after a prisoner</w:t>
      </w:r>
      <w:r w:rsidR="00EE0ADB">
        <w:t>’</w:t>
      </w:r>
      <w:r>
        <w:t xml:space="preserve">s </w:t>
      </w:r>
      <w:r w:rsidRPr="001A28C6">
        <w:t>release (</w:t>
      </w:r>
      <w:r>
        <w:t>ie</w:t>
      </w:r>
      <w:r w:rsidRPr="001A28C6">
        <w:t>, probation). This review focuses on FMHS</w:t>
      </w:r>
      <w:r>
        <w:t>s</w:t>
      </w:r>
      <w:r w:rsidRPr="001A28C6">
        <w:t xml:space="preserve"> provided within the courts, which are typically described as either court diversion or court liaison</w:t>
      </w:r>
      <w:r w:rsidRPr="00E42BE0">
        <w:t xml:space="preserve"> schemes, or a combination of the two.</w:t>
      </w:r>
    </w:p>
    <w:p w14:paraId="2702C9AC" w14:textId="77777777" w:rsidR="009636B7" w:rsidRPr="00DD29A3" w:rsidRDefault="009636B7" w:rsidP="00C82E84"/>
    <w:p w14:paraId="30FF87E1" w14:textId="77777777" w:rsidR="00EE0ADB" w:rsidRDefault="009636B7" w:rsidP="00C82E84">
      <w:r>
        <w:t>T</w:t>
      </w:r>
      <w:r w:rsidRPr="00482A5B">
        <w:t xml:space="preserve">here is a large amount of variation in court services between jurisdictions. Even when services follow the same overarching model, such as in </w:t>
      </w:r>
      <w:r>
        <w:t>Aotearoa New Zealand</w:t>
      </w:r>
      <w:r w:rsidRPr="001A28C6">
        <w:t xml:space="preserve">, </w:t>
      </w:r>
      <w:r>
        <w:t xml:space="preserve">there </w:t>
      </w:r>
      <w:r w:rsidRPr="001A28C6">
        <w:t xml:space="preserve">may still </w:t>
      </w:r>
      <w:r>
        <w:t xml:space="preserve">be variation </w:t>
      </w:r>
      <w:r w:rsidRPr="001A28C6">
        <w:t xml:space="preserve">between regions. However, </w:t>
      </w:r>
      <w:r w:rsidRPr="00075571">
        <w:t xml:space="preserve">in keeping with broader FMHS provision, </w:t>
      </w:r>
      <w:r w:rsidR="00EE0ADB">
        <w:t>‘</w:t>
      </w:r>
      <w:r w:rsidRPr="00075571">
        <w:t>all services are aimed at meeting both mental health and criminal justice outcomes</w:t>
      </w:r>
      <w:r w:rsidR="00EE0ADB">
        <w:t>’</w:t>
      </w:r>
      <w:r w:rsidRPr="00075571">
        <w:t xml:space="preserve"> (McKenna </w:t>
      </w:r>
      <w:r>
        <w:t>and</w:t>
      </w:r>
      <w:r w:rsidRPr="00075571">
        <w:t xml:space="preserve"> Seaton 2007</w:t>
      </w:r>
      <w:r w:rsidR="005054ED">
        <w:t>, p. </w:t>
      </w:r>
      <w:r w:rsidRPr="00075571">
        <w:t>450).</w:t>
      </w:r>
    </w:p>
    <w:p w14:paraId="560C85A6" w14:textId="77777777" w:rsidR="009636B7" w:rsidRPr="00075571" w:rsidRDefault="009636B7" w:rsidP="00C82E84"/>
    <w:p w14:paraId="39701303" w14:textId="77777777" w:rsidR="009636B7" w:rsidRPr="001A28C6" w:rsidRDefault="009636B7" w:rsidP="00C82E84">
      <w:r w:rsidRPr="001A28C6">
        <w:t xml:space="preserve">In this systematic review, the researchers sought to identify literature describing the various models of care </w:t>
      </w:r>
      <w:r>
        <w:t>us</w:t>
      </w:r>
      <w:r w:rsidRPr="001A28C6">
        <w:t>ed to deliver mental health services for justice-involved</w:t>
      </w:r>
      <w:r w:rsidRPr="009E213B">
        <w:t xml:space="preserve"> </w:t>
      </w:r>
      <w:r w:rsidRPr="00E42BE0">
        <w:t>service users moving through the criminal justice system (</w:t>
      </w:r>
      <w:r>
        <w:t>ie</w:t>
      </w:r>
      <w:r w:rsidRPr="00E42BE0">
        <w:t xml:space="preserve">, </w:t>
      </w:r>
      <w:r>
        <w:t xml:space="preserve">the </w:t>
      </w:r>
      <w:r w:rsidRPr="00E42BE0">
        <w:t xml:space="preserve">courts). Notably, the literature did not adhere to the language of the </w:t>
      </w:r>
      <w:r w:rsidR="00EE0ADB">
        <w:t>‘</w:t>
      </w:r>
      <w:r w:rsidRPr="00E42BE0">
        <w:t>model of care</w:t>
      </w:r>
      <w:r w:rsidR="00EE0ADB">
        <w:t>’</w:t>
      </w:r>
      <w:r w:rsidRPr="00E42BE0">
        <w:t xml:space="preserve"> in the court conte</w:t>
      </w:r>
      <w:r w:rsidRPr="00DD29A3">
        <w:t>xt, but rather outlined</w:t>
      </w:r>
      <w:r w:rsidRPr="00482A5B">
        <w:t xml:space="preserve"> (</w:t>
      </w:r>
      <w:r w:rsidRPr="00A537F0">
        <w:t>most often indirectly)</w:t>
      </w:r>
      <w:r>
        <w:t xml:space="preserve"> </w:t>
      </w:r>
      <w:r w:rsidRPr="004034BB">
        <w:t>various models, schemes or aspects of service provision</w:t>
      </w:r>
      <w:r>
        <w:t>,</w:t>
      </w:r>
      <w:r w:rsidRPr="004034BB">
        <w:t xml:space="preserve"> particularly in relation to the determination of legal statuses, processes and/or services engaged.</w:t>
      </w:r>
      <w:r w:rsidRPr="00075571">
        <w:t xml:space="preserve"> </w:t>
      </w:r>
      <w:r w:rsidRPr="001A28C6">
        <w:t xml:space="preserve">This review does not cover the period of mental health service engagement prior to </w:t>
      </w:r>
      <w:r>
        <w:t>a person</w:t>
      </w:r>
      <w:r w:rsidR="00EE0ADB">
        <w:t>’</w:t>
      </w:r>
      <w:r>
        <w:t xml:space="preserve">s </w:t>
      </w:r>
      <w:r w:rsidRPr="001A28C6">
        <w:t>entry into the court system (</w:t>
      </w:r>
      <w:r>
        <w:t>ie</w:t>
      </w:r>
      <w:r w:rsidRPr="001A28C6">
        <w:t>, while in police custody)</w:t>
      </w:r>
      <w:r w:rsidRPr="00C82E84">
        <w:rPr>
          <w:rStyle w:val="FootnoteReference"/>
        </w:rPr>
        <w:footnoteReference w:id="34"/>
      </w:r>
      <w:r w:rsidRPr="001A28C6">
        <w:t xml:space="preserve"> </w:t>
      </w:r>
      <w:r>
        <w:t xml:space="preserve">or </w:t>
      </w:r>
      <w:r w:rsidRPr="001A28C6">
        <w:t>during incarceration/institutionalisation (including remand)</w:t>
      </w:r>
      <w:r>
        <w:t>;</w:t>
      </w:r>
      <w:r w:rsidRPr="001A28C6">
        <w:t xml:space="preserve"> nor </w:t>
      </w:r>
      <w:r>
        <w:t xml:space="preserve">does it cover the </w:t>
      </w:r>
      <w:r w:rsidRPr="001A28C6">
        <w:t xml:space="preserve">post-release </w:t>
      </w:r>
      <w:r>
        <w:t xml:space="preserve">period </w:t>
      </w:r>
      <w:r w:rsidRPr="001A28C6">
        <w:t>(</w:t>
      </w:r>
      <w:r>
        <w:t>ie</w:t>
      </w:r>
      <w:r w:rsidRPr="001A28C6">
        <w:t xml:space="preserve">, </w:t>
      </w:r>
      <w:r>
        <w:t xml:space="preserve">when a person is </w:t>
      </w:r>
      <w:r w:rsidRPr="001A28C6">
        <w:t xml:space="preserve">on probation). </w:t>
      </w:r>
      <w:r>
        <w:t>F</w:t>
      </w:r>
      <w:r w:rsidRPr="001A28C6">
        <w:t>urther</w:t>
      </w:r>
      <w:r>
        <w:t>, it was</w:t>
      </w:r>
      <w:r w:rsidRPr="001A28C6">
        <w:t xml:space="preserve"> beyond the scope of this review to examine specific mental health legislation</w:t>
      </w:r>
      <w:r>
        <w:t>,</w:t>
      </w:r>
      <w:r w:rsidRPr="001A28C6">
        <w:t xml:space="preserve"> including legal statuses and definitions (eg, fitness to stand trial, not guilty by reason of insanity, etc).</w:t>
      </w:r>
      <w:r w:rsidRPr="00C82E84">
        <w:rPr>
          <w:rStyle w:val="FootnoteReference"/>
        </w:rPr>
        <w:footnoteReference w:id="35"/>
      </w:r>
    </w:p>
    <w:p w14:paraId="1B962E89" w14:textId="77777777" w:rsidR="009636B7" w:rsidRPr="001A28C6" w:rsidRDefault="009636B7" w:rsidP="00C82E84"/>
    <w:p w14:paraId="6B840C71" w14:textId="77777777" w:rsidR="00EE0ADB" w:rsidRDefault="009636B7" w:rsidP="00C82E84">
      <w:pPr>
        <w:keepNext/>
        <w:keepLines/>
      </w:pPr>
      <w:r w:rsidRPr="00E42BE0">
        <w:lastRenderedPageBreak/>
        <w:t xml:space="preserve">This review is organised in </w:t>
      </w:r>
      <w:r w:rsidRPr="0043256B">
        <w:t>three</w:t>
      </w:r>
      <w:r w:rsidRPr="00DD29A3">
        <w:t xml:space="preserve"> sections. The first discusses the consultation role of mental hea</w:t>
      </w:r>
      <w:r w:rsidRPr="00482A5B">
        <w:t xml:space="preserve">lth professionals in court proceedings. This is followed by an examination of the various models of mental health service provision in the courts, broadly categorised into diversion, liaison or combined (diversion and liaison) schemes. </w:t>
      </w:r>
      <w:r w:rsidRPr="000329FE">
        <w:t>Finally, in keeping with the prior reviews, the third section examine</w:t>
      </w:r>
      <w:r>
        <w:t>s</w:t>
      </w:r>
      <w:r w:rsidRPr="000329FE">
        <w:t xml:space="preserve"> services for </w:t>
      </w:r>
      <w:r w:rsidRPr="00075571">
        <w:t xml:space="preserve">priority </w:t>
      </w:r>
      <w:r w:rsidRPr="001A28C6">
        <w:t>populations. Notably, in terms of its relationship to models of care, discussion on therapeutic security, rehabilitation and recovery was largely absent in the literature (and thus is not included in this review).</w:t>
      </w:r>
    </w:p>
    <w:p w14:paraId="43DE409D" w14:textId="77777777" w:rsidR="00C82E84" w:rsidRDefault="00C82E84" w:rsidP="00C82E84"/>
    <w:p w14:paraId="4061A0BA" w14:textId="77777777" w:rsidR="009636B7" w:rsidRPr="00075571" w:rsidRDefault="009636B7" w:rsidP="00C82E84">
      <w:pPr>
        <w:pStyle w:val="Heading2"/>
      </w:pPr>
      <w:bookmarkStart w:id="136" w:name="_Toc16805651"/>
      <w:bookmarkStart w:id="137" w:name="_Toc88823242"/>
      <w:bookmarkStart w:id="138" w:name="_Toc90026011"/>
      <w:r w:rsidRPr="00075571">
        <w:t>Methodology</w:t>
      </w:r>
      <w:bookmarkEnd w:id="136"/>
      <w:bookmarkEnd w:id="137"/>
      <w:bookmarkEnd w:id="138"/>
    </w:p>
    <w:p w14:paraId="7C5FC34D" w14:textId="77777777" w:rsidR="00EE0ADB" w:rsidRDefault="009636B7" w:rsidP="00C82E84">
      <w:r w:rsidRPr="001A28C6">
        <w:t xml:space="preserve">Searches </w:t>
      </w:r>
      <w:r>
        <w:t>us</w:t>
      </w:r>
      <w:r w:rsidRPr="009E213B">
        <w:t>ed the following search string, along with various combinations of these keywords: (forensic OR criminal) AND (</w:t>
      </w:r>
      <w:r w:rsidR="00EE0ADB">
        <w:t>‘</w:t>
      </w:r>
      <w:r w:rsidRPr="009E213B">
        <w:t>mental health</w:t>
      </w:r>
      <w:r w:rsidR="00EE0ADB">
        <w:t>’</w:t>
      </w:r>
      <w:r w:rsidRPr="009E213B">
        <w:t xml:space="preserve"> OR </w:t>
      </w:r>
      <w:r w:rsidR="00EE0ADB">
        <w:t>‘</w:t>
      </w:r>
      <w:r w:rsidRPr="009E213B">
        <w:t>mental illness</w:t>
      </w:r>
      <w:r w:rsidR="00EE0ADB">
        <w:t>’</w:t>
      </w:r>
      <w:r w:rsidRPr="009E213B">
        <w:t xml:space="preserve"> </w:t>
      </w:r>
      <w:r w:rsidRPr="00F418FE">
        <w:t>OR psychiatr* OR</w:t>
      </w:r>
      <w:r w:rsidRPr="009E213B">
        <w:t xml:space="preserve"> </w:t>
      </w:r>
      <w:r w:rsidR="00EE0ADB">
        <w:t>‘</w:t>
      </w:r>
      <w:r w:rsidRPr="009E213B">
        <w:t>serious and enduring mental illness</w:t>
      </w:r>
      <w:r w:rsidR="00EE0ADB">
        <w:t>’</w:t>
      </w:r>
      <w:r w:rsidRPr="009E213B">
        <w:t xml:space="preserve"> OR </w:t>
      </w:r>
      <w:r w:rsidR="00EE0ADB">
        <w:t>‘</w:t>
      </w:r>
      <w:r w:rsidRPr="009E213B">
        <w:t>mentally-disordered offender</w:t>
      </w:r>
      <w:r w:rsidR="00EE0ADB">
        <w:t>’</w:t>
      </w:r>
      <w:r w:rsidRPr="009E213B">
        <w:t>) AND (</w:t>
      </w:r>
      <w:r w:rsidR="00EE0ADB">
        <w:t>‘</w:t>
      </w:r>
      <w:r w:rsidRPr="009E213B">
        <w:t>framewo</w:t>
      </w:r>
      <w:r w:rsidRPr="00E42BE0">
        <w:t>rk</w:t>
      </w:r>
      <w:r w:rsidR="00EE0ADB">
        <w:t>’</w:t>
      </w:r>
      <w:r w:rsidRPr="00E42BE0">
        <w:t xml:space="preserve"> OR </w:t>
      </w:r>
      <w:r w:rsidR="00EE0ADB">
        <w:t>‘</w:t>
      </w:r>
      <w:r w:rsidRPr="00E42BE0">
        <w:t>model of care</w:t>
      </w:r>
      <w:r w:rsidR="00EE0ADB">
        <w:t>’</w:t>
      </w:r>
      <w:r w:rsidRPr="00E42BE0">
        <w:t xml:space="preserve"> OR model OR service* or guideline*) AND (court* OR justice).</w:t>
      </w:r>
    </w:p>
    <w:p w14:paraId="00D468F9" w14:textId="77777777" w:rsidR="00C82E84" w:rsidRDefault="00C82E84" w:rsidP="00C82E84"/>
    <w:p w14:paraId="6FCBBFA4" w14:textId="77777777" w:rsidR="00EE0ADB" w:rsidRDefault="009636B7" w:rsidP="00C82E84">
      <w:r w:rsidRPr="00075571">
        <w:t xml:space="preserve">The </w:t>
      </w:r>
      <w:r>
        <w:t xml:space="preserve">researchers limited the </w:t>
      </w:r>
      <w:r w:rsidRPr="00075571">
        <w:t xml:space="preserve">results in the same fashion as </w:t>
      </w:r>
      <w:r>
        <w:t xml:space="preserve">they had done in </w:t>
      </w:r>
      <w:r w:rsidRPr="00075571">
        <w:t>the prior reviews to English-language documents from 1990</w:t>
      </w:r>
      <w:r>
        <w:t xml:space="preserve"> to </w:t>
      </w:r>
      <w:r w:rsidRPr="00075571">
        <w:t xml:space="preserve">2019. Where possible, </w:t>
      </w:r>
      <w:r>
        <w:t xml:space="preserve">they further limited </w:t>
      </w:r>
      <w:r w:rsidRPr="00075571">
        <w:t xml:space="preserve">results to peer-reviewed articles, excluding reviews/notes. </w:t>
      </w:r>
      <w:r>
        <w:t>The researchers reviewed r</w:t>
      </w:r>
      <w:r w:rsidRPr="00075571">
        <w:t xml:space="preserve">esults first by title and then by abstract to determine relevance. After preliminary exclusions, </w:t>
      </w:r>
      <w:r>
        <w:t xml:space="preserve">they then screened </w:t>
      </w:r>
      <w:r w:rsidRPr="00075571">
        <w:t xml:space="preserve">full-text articles to confirm </w:t>
      </w:r>
      <w:r>
        <w:t xml:space="preserve">their </w:t>
      </w:r>
      <w:r w:rsidRPr="00075571">
        <w:t>relevance</w:t>
      </w:r>
      <w:r>
        <w:t>,</w:t>
      </w:r>
      <w:r w:rsidRPr="00075571">
        <w:t xml:space="preserve"> to arrive at the </w:t>
      </w:r>
      <w:r w:rsidRPr="004034BB">
        <w:t>results</w:t>
      </w:r>
      <w:r w:rsidRPr="00075571">
        <w:t xml:space="preserve"> retained. </w:t>
      </w:r>
      <w:r>
        <w:t>The researchers limited r</w:t>
      </w:r>
      <w:r w:rsidRPr="00075571">
        <w:t>esults to literature describing forensic models of care and/or services within the justice system (</w:t>
      </w:r>
      <w:r>
        <w:t>ie</w:t>
      </w:r>
      <w:r w:rsidRPr="00075571">
        <w:t xml:space="preserve">, courts). </w:t>
      </w:r>
      <w:r>
        <w:t>They excluded from the review l</w:t>
      </w:r>
      <w:r w:rsidRPr="00075571">
        <w:t xml:space="preserve">iterature relating to processes prior to </w:t>
      </w:r>
      <w:r>
        <w:t>people</w:t>
      </w:r>
      <w:r w:rsidR="00EE0ADB">
        <w:t>’</w:t>
      </w:r>
      <w:r>
        <w:t xml:space="preserve">s </w:t>
      </w:r>
      <w:r w:rsidRPr="00075571">
        <w:t>arrival in court, such as engagement with police or other social services.</w:t>
      </w:r>
    </w:p>
    <w:p w14:paraId="7683F6B4" w14:textId="77777777" w:rsidR="00C82E84" w:rsidRDefault="00C82E84" w:rsidP="00C82E84"/>
    <w:p w14:paraId="3F9C53FF" w14:textId="77777777" w:rsidR="009636B7" w:rsidRPr="001A28C6" w:rsidRDefault="009636B7" w:rsidP="00C82E84">
      <w:pPr>
        <w:rPr>
          <w:color w:val="000000"/>
        </w:rPr>
      </w:pPr>
      <w:r>
        <w:t>Of the four reviews, t</w:t>
      </w:r>
      <w:r w:rsidRPr="00075571">
        <w:t xml:space="preserve">his review yielded the largest and most diverse body of literature. A large portion of the search results pertained to legal pathways through the justice system, including court diversion, conditional release, </w:t>
      </w:r>
      <w:r>
        <w:t xml:space="preserve">findings of </w:t>
      </w:r>
      <w:r w:rsidRPr="00075571">
        <w:t xml:space="preserve">not guilty by reason of insanity, competency to stand trial and community treatment orders. Within this subset, </w:t>
      </w:r>
      <w:r>
        <w:t xml:space="preserve">researchers excluded </w:t>
      </w:r>
      <w:r w:rsidRPr="00075571">
        <w:t xml:space="preserve">literature </w:t>
      </w:r>
      <w:r>
        <w:t xml:space="preserve">that </w:t>
      </w:r>
      <w:r w:rsidRPr="00075571">
        <w:t>examin</w:t>
      </w:r>
      <w:r>
        <w:t>ed</w:t>
      </w:r>
      <w:r w:rsidRPr="00075571">
        <w:t xml:space="preserve"> legal processes and/or outcomes of various schemes but did not describe the particular role or approach of mental health services. </w:t>
      </w:r>
      <w:r>
        <w:t xml:space="preserve">The absence of </w:t>
      </w:r>
      <w:r w:rsidRPr="00075571">
        <w:t xml:space="preserve">literature describing models of care specifically designed </w:t>
      </w:r>
      <w:r>
        <w:t xml:space="preserve">for </w:t>
      </w:r>
      <w:r w:rsidRPr="00075571">
        <w:t xml:space="preserve">priority populations </w:t>
      </w:r>
      <w:r w:rsidRPr="001A28C6">
        <w:t>(</w:t>
      </w:r>
      <w:r>
        <w:t>ie</w:t>
      </w:r>
      <w:r w:rsidRPr="001A28C6">
        <w:t xml:space="preserve">, Māori, </w:t>
      </w:r>
      <w:r>
        <w:t>Pacific peoples</w:t>
      </w:r>
      <w:r w:rsidRPr="001A28C6">
        <w:t xml:space="preserve">, other </w:t>
      </w:r>
      <w:r w:rsidRPr="009E213B">
        <w:t xml:space="preserve">indigenous groups and </w:t>
      </w:r>
      <w:r w:rsidRPr="00E42BE0">
        <w:t>women</w:t>
      </w:r>
      <w:r w:rsidRPr="0043256B">
        <w:t xml:space="preserve">) </w:t>
      </w:r>
      <w:r w:rsidRPr="00075571">
        <w:t xml:space="preserve">was </w:t>
      </w:r>
      <w:r>
        <w:t>most marked in this review, of the four the researchers undertook</w:t>
      </w:r>
      <w:r w:rsidRPr="00075571">
        <w:t>. Similarly, literature on therapeutic security, recovery and rehabilitation (including risk assessment and management) was the least developed</w:t>
      </w:r>
      <w:r>
        <w:t xml:space="preserve"> in this review</w:t>
      </w:r>
      <w:r w:rsidRPr="00075571">
        <w:t>.</w:t>
      </w:r>
    </w:p>
    <w:p w14:paraId="6B4F3A2C" w14:textId="77777777" w:rsidR="00C82E84" w:rsidRDefault="00C82E84" w:rsidP="00C82E84"/>
    <w:p w14:paraId="59779056" w14:textId="77777777" w:rsidR="009636B7" w:rsidRDefault="009636B7" w:rsidP="00C82E84">
      <w:r w:rsidRPr="00075571">
        <w:t xml:space="preserve">In keeping with the prior reviews, </w:t>
      </w:r>
      <w:r>
        <w:t xml:space="preserve">researchers refined </w:t>
      </w:r>
      <w:r w:rsidRPr="00075571">
        <w:t xml:space="preserve">the search strategy and limited </w:t>
      </w:r>
      <w:r>
        <w:t xml:space="preserve">it </w:t>
      </w:r>
      <w:r w:rsidRPr="00075571">
        <w:t xml:space="preserve">to three databases: Scopus, ScienceDirect and Google Scholar. Finally, the </w:t>
      </w:r>
      <w:r>
        <w:t xml:space="preserve">researchers expanded the </w:t>
      </w:r>
      <w:r w:rsidRPr="00075571">
        <w:t xml:space="preserve">search to include literature sent directly to the research team via </w:t>
      </w:r>
      <w:r>
        <w:t>Ministry of Health</w:t>
      </w:r>
      <w:r w:rsidRPr="00075571">
        <w:t xml:space="preserve"> advisors as well as the researchers and their professional network</w:t>
      </w:r>
      <w:r>
        <w:t>;</w:t>
      </w:r>
      <w:r w:rsidRPr="00075571">
        <w:t xml:space="preserve"> </w:t>
      </w:r>
      <w:r w:rsidR="00C82E84">
        <w:fldChar w:fldCharType="begin"/>
      </w:r>
      <w:r w:rsidR="00C82E84">
        <w:instrText xml:space="preserve"> REF _Ref89858108 \h </w:instrText>
      </w:r>
      <w:r w:rsidR="00C82E84">
        <w:fldChar w:fldCharType="separate"/>
      </w:r>
      <w:r w:rsidR="00F73238">
        <w:t>Figure </w:t>
      </w:r>
      <w:r w:rsidR="00F73238">
        <w:rPr>
          <w:noProof/>
        </w:rPr>
        <w:t>9</w:t>
      </w:r>
      <w:r w:rsidR="00C82E84">
        <w:fldChar w:fldCharType="end"/>
      </w:r>
      <w:r w:rsidRPr="00075571">
        <w:t xml:space="preserve"> </w:t>
      </w:r>
      <w:r>
        <w:t xml:space="preserve">summarises the </w:t>
      </w:r>
      <w:r w:rsidRPr="00075571">
        <w:t>results.</w:t>
      </w:r>
    </w:p>
    <w:p w14:paraId="5AE911E0" w14:textId="77777777" w:rsidR="009636B7" w:rsidRDefault="009636B7" w:rsidP="00C82E84"/>
    <w:p w14:paraId="3A5FA806" w14:textId="77777777" w:rsidR="009636B7" w:rsidRPr="001E5821" w:rsidRDefault="00C82E84" w:rsidP="00C82E84">
      <w:pPr>
        <w:pStyle w:val="Figure"/>
        <w:rPr>
          <w:color w:val="000000"/>
        </w:rPr>
      </w:pPr>
      <w:bookmarkStart w:id="139" w:name="_Ref89858108"/>
      <w:bookmarkStart w:id="140" w:name="_Toc90026034"/>
      <w:r>
        <w:lastRenderedPageBreak/>
        <w:t>Figure </w:t>
      </w:r>
      <w:r w:rsidR="002C1FB3">
        <w:fldChar w:fldCharType="begin"/>
      </w:r>
      <w:r w:rsidR="002C1FB3">
        <w:instrText xml:space="preserve"> SEQ Figure \* ARABIC </w:instrText>
      </w:r>
      <w:r w:rsidR="002C1FB3">
        <w:fldChar w:fldCharType="separate"/>
      </w:r>
      <w:r w:rsidR="00F73238">
        <w:rPr>
          <w:noProof/>
        </w:rPr>
        <w:t>9</w:t>
      </w:r>
      <w:r w:rsidR="002C1FB3">
        <w:rPr>
          <w:noProof/>
        </w:rPr>
        <w:fldChar w:fldCharType="end"/>
      </w:r>
      <w:bookmarkEnd w:id="139"/>
      <w:r w:rsidR="009636B7" w:rsidRPr="001E5821">
        <w:t>:</w:t>
      </w:r>
      <w:r w:rsidR="009636B7" w:rsidRPr="001E5821">
        <w:rPr>
          <w:i/>
          <w:iCs/>
        </w:rPr>
        <w:t xml:space="preserve"> </w:t>
      </w:r>
      <w:r w:rsidR="009636B7" w:rsidRPr="001E5821">
        <w:t>Court systematic review results</w:t>
      </w:r>
      <w:bookmarkEnd w:id="140"/>
    </w:p>
    <w:p w14:paraId="02BDCC5E" w14:textId="77777777" w:rsidR="009636B7" w:rsidRPr="00075571" w:rsidRDefault="00C82E84" w:rsidP="00C82E84">
      <w:r>
        <w:rPr>
          <w:noProof/>
          <w:lang w:eastAsia="en-NZ"/>
        </w:rPr>
        <w:drawing>
          <wp:inline distT="0" distB="0" distL="0" distR="0" wp14:anchorId="270D3586" wp14:editId="40CB0DBA">
            <wp:extent cx="3233650" cy="3521369"/>
            <wp:effectExtent l="0" t="0" r="5080" b="3175"/>
            <wp:docPr id="20" name="Picture 20" title="Figure 9: Court systematic review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34276" cy="3522050"/>
                    </a:xfrm>
                    <a:prstGeom prst="rect">
                      <a:avLst/>
                    </a:prstGeom>
                    <a:noFill/>
                  </pic:spPr>
                </pic:pic>
              </a:graphicData>
            </a:graphic>
          </wp:inline>
        </w:drawing>
      </w:r>
    </w:p>
    <w:p w14:paraId="4655F1FD" w14:textId="77777777" w:rsidR="00EE0ADB" w:rsidRDefault="009636B7" w:rsidP="00C82E84">
      <w:pPr>
        <w:pStyle w:val="Note"/>
        <w:ind w:left="284" w:hanging="284"/>
      </w:pPr>
      <w:bookmarkStart w:id="141" w:name="_Toc88823336"/>
      <w:r w:rsidRPr="00075571">
        <w:t>*</w:t>
      </w:r>
      <w:r w:rsidR="00C82E84">
        <w:tab/>
      </w:r>
      <w:r w:rsidRPr="00075571">
        <w:t xml:space="preserve">After removing repetition of results </w:t>
      </w:r>
      <w:r>
        <w:t xml:space="preserve">in </w:t>
      </w:r>
      <w:r w:rsidRPr="00075571">
        <w:t>prior step(s).</w:t>
      </w:r>
      <w:bookmarkEnd w:id="141"/>
    </w:p>
    <w:p w14:paraId="6A314775" w14:textId="77777777" w:rsidR="00EE0ADB" w:rsidRDefault="009636B7" w:rsidP="00C82E84">
      <w:pPr>
        <w:pStyle w:val="Note"/>
        <w:ind w:left="284" w:hanging="284"/>
      </w:pPr>
      <w:bookmarkStart w:id="142" w:name="_Toc88823337"/>
      <w:r w:rsidRPr="00075571">
        <w:t>**</w:t>
      </w:r>
      <w:r w:rsidR="00C82E84">
        <w:tab/>
      </w:r>
      <w:r w:rsidRPr="00075571">
        <w:t>Grey literature was comprised of reports.</w:t>
      </w:r>
      <w:bookmarkEnd w:id="142"/>
    </w:p>
    <w:p w14:paraId="7F8F4E75" w14:textId="77777777" w:rsidR="00C82E84" w:rsidRPr="00C82E84" w:rsidRDefault="00C82E84" w:rsidP="00C82E84"/>
    <w:p w14:paraId="37C1E17B" w14:textId="77777777" w:rsidR="009636B7" w:rsidRPr="00075571" w:rsidRDefault="009636B7" w:rsidP="00C82E84">
      <w:pPr>
        <w:pStyle w:val="Heading2"/>
      </w:pPr>
      <w:bookmarkStart w:id="143" w:name="_Toc16805652"/>
      <w:bookmarkStart w:id="144" w:name="_Toc88823243"/>
      <w:bookmarkStart w:id="145" w:name="_Toc90026012"/>
      <w:r w:rsidRPr="00075571">
        <w:t xml:space="preserve">Review </w:t>
      </w:r>
      <w:r>
        <w:t>f</w:t>
      </w:r>
      <w:r w:rsidRPr="00075571">
        <w:t>indings</w:t>
      </w:r>
      <w:bookmarkEnd w:id="143"/>
      <w:bookmarkEnd w:id="144"/>
      <w:bookmarkEnd w:id="145"/>
    </w:p>
    <w:p w14:paraId="23F3F2A5" w14:textId="77777777" w:rsidR="009636B7" w:rsidRPr="001A28C6" w:rsidRDefault="009636B7" w:rsidP="00C82E84">
      <w:pPr>
        <w:pStyle w:val="Heading3"/>
      </w:pPr>
      <w:bookmarkStart w:id="146" w:name="_Toc16805653"/>
      <w:r w:rsidRPr="001A28C6">
        <w:t>Consultation</w:t>
      </w:r>
      <w:bookmarkEnd w:id="146"/>
    </w:p>
    <w:p w14:paraId="60B057F1" w14:textId="77777777" w:rsidR="00EE0ADB" w:rsidRDefault="009636B7" w:rsidP="00C82E84">
      <w:pPr>
        <w:keepNext/>
      </w:pPr>
      <w:r w:rsidRPr="00E42BE0">
        <w:t xml:space="preserve">A subset of the literature focuses on </w:t>
      </w:r>
      <w:r w:rsidRPr="0043256B">
        <w:t>describing the specific roles of mental health professionals in the courts</w:t>
      </w:r>
      <w:r>
        <w:t>;</w:t>
      </w:r>
      <w:r w:rsidRPr="0043256B">
        <w:t xml:space="preserve"> namely forensic psychiatrists (</w:t>
      </w:r>
      <w:r w:rsidRPr="00075571">
        <w:t>Dolin 2002</w:t>
      </w:r>
      <w:r>
        <w:t>–</w:t>
      </w:r>
      <w:r w:rsidRPr="00075571">
        <w:t xml:space="preserve">2003; Freckelton 2007; Galpin 2007; Mendelson 1992a, 1992b; Simon </w:t>
      </w:r>
      <w:r>
        <w:t>and</w:t>
      </w:r>
      <w:r w:rsidRPr="00075571">
        <w:t xml:space="preserve"> Wettstein 1997; Tuddenham </w:t>
      </w:r>
      <w:r>
        <w:lastRenderedPageBreak/>
        <w:t>and</w:t>
      </w:r>
      <w:r w:rsidRPr="00075571">
        <w:t xml:space="preserve"> Baird 2007), nurses (</w:t>
      </w:r>
      <w:r w:rsidRPr="001A28C6">
        <w:t xml:space="preserve">Cyr </w:t>
      </w:r>
      <w:r>
        <w:t>and</w:t>
      </w:r>
      <w:r w:rsidRPr="001A28C6">
        <w:t xml:space="preserve"> Paradis 2012; McKenna </w:t>
      </w:r>
      <w:r>
        <w:t>and</w:t>
      </w:r>
      <w:r w:rsidRPr="001A28C6">
        <w:t xml:space="preserve"> Seaton 2007; Tarrant 2014</w:t>
      </w:r>
      <w:r w:rsidRPr="00C82E84">
        <w:t>)</w:t>
      </w:r>
      <w:r w:rsidRPr="00C82E84">
        <w:rPr>
          <w:rStyle w:val="FootnoteReference"/>
        </w:rPr>
        <w:footnoteReference w:id="36"/>
      </w:r>
      <w:r w:rsidRPr="001A28C6">
        <w:t xml:space="preserve"> and social workers (Sheehan 2012).</w:t>
      </w:r>
      <w:r w:rsidRPr="00C82E84">
        <w:rPr>
          <w:rStyle w:val="FootnoteReference"/>
        </w:rPr>
        <w:footnoteReference w:id="37"/>
      </w:r>
    </w:p>
    <w:p w14:paraId="682A94A3" w14:textId="77777777" w:rsidR="009636B7" w:rsidRPr="00E42BE0" w:rsidRDefault="009636B7" w:rsidP="00C82E84">
      <w:pPr>
        <w:keepNext/>
      </w:pPr>
    </w:p>
    <w:p w14:paraId="4495141F" w14:textId="77777777" w:rsidR="00EE0ADB" w:rsidRDefault="009636B7" w:rsidP="00C82E84">
      <w:pPr>
        <w:keepNext/>
        <w:keepLines/>
      </w:pPr>
      <w:r w:rsidRPr="00DD29A3">
        <w:t>In sum, mental health professionals</w:t>
      </w:r>
      <w:r>
        <w:t xml:space="preserve"> – </w:t>
      </w:r>
      <w:r w:rsidRPr="00DD29A3">
        <w:t>primarily nurses, psychologists and psychiatrists</w:t>
      </w:r>
      <w:r>
        <w:t xml:space="preserve"> – </w:t>
      </w:r>
      <w:r w:rsidRPr="00DD29A3">
        <w:t>provide expert advice to the courts as required. This may include conducting mental health screening, assessment and evaluation</w:t>
      </w:r>
      <w:r>
        <w:t>;</w:t>
      </w:r>
      <w:r w:rsidRPr="00DD29A3">
        <w:t xml:space="preserve"> and reporting on individuals</w:t>
      </w:r>
      <w:r w:rsidR="00EE0ADB">
        <w:t>’</w:t>
      </w:r>
      <w:r w:rsidRPr="00DD29A3">
        <w:t xml:space="preserve"> mental health status, needs and service engagement at various stages of the legal process. These services may be provided as part of a diversion/liaison scheme and/or on a consu</w:t>
      </w:r>
      <w:r w:rsidRPr="00482A5B">
        <w:t xml:space="preserve">ltation basis. </w:t>
      </w:r>
      <w:r w:rsidRPr="00A537F0">
        <w:t xml:space="preserve">Pretrial evaluations may take place in </w:t>
      </w:r>
      <w:r>
        <w:t xml:space="preserve">either </w:t>
      </w:r>
      <w:r w:rsidRPr="00A537F0">
        <w:t>inpatient or outpatient contexts, and a range of models exist for this service (Poythress</w:t>
      </w:r>
      <w:r>
        <w:t xml:space="preserve"> </w:t>
      </w:r>
      <w:r w:rsidR="00AD0D58">
        <w:t>et al</w:t>
      </w:r>
      <w:r w:rsidRPr="00A537F0">
        <w:t xml:space="preserve"> 1991). As such, some services have developed protocols for seeking expert advice, which </w:t>
      </w:r>
      <w:r w:rsidRPr="000329FE">
        <w:t>outline the pathway of psychiatric support provided to the courts (eg, Vaughan</w:t>
      </w:r>
      <w:r>
        <w:t xml:space="preserve"> </w:t>
      </w:r>
      <w:r w:rsidR="00AD0D58">
        <w:t>et al</w:t>
      </w:r>
      <w:r w:rsidRPr="000329FE">
        <w:rPr>
          <w:color w:val="000000"/>
        </w:rPr>
        <w:t xml:space="preserve"> 2003). Vaughan </w:t>
      </w:r>
      <w:r w:rsidR="00AD0D58">
        <w:rPr>
          <w:color w:val="000000"/>
        </w:rPr>
        <w:t>et al</w:t>
      </w:r>
      <w:r w:rsidRPr="000329FE">
        <w:rPr>
          <w:color w:val="000000"/>
        </w:rPr>
        <w:t xml:space="preserve"> (2003) emphasise the importance of information sharing between the police, diversion schemes, defence solicitors and forensic psychiatric assessors</w:t>
      </w:r>
      <w:r>
        <w:rPr>
          <w:color w:val="000000"/>
        </w:rPr>
        <w:t>,</w:t>
      </w:r>
      <w:r w:rsidRPr="000329FE">
        <w:rPr>
          <w:color w:val="000000"/>
        </w:rPr>
        <w:t xml:space="preserve"> as well as community and prison FMHS</w:t>
      </w:r>
      <w:r>
        <w:rPr>
          <w:color w:val="000000"/>
        </w:rPr>
        <w:t>s</w:t>
      </w:r>
      <w:r w:rsidRPr="000329FE">
        <w:rPr>
          <w:color w:val="000000"/>
        </w:rPr>
        <w:t xml:space="preserve">. </w:t>
      </w:r>
      <w:r w:rsidRPr="000329FE">
        <w:t>Ultimately, the goal is to assist the court in its decision-making process regarding individuals</w:t>
      </w:r>
      <w:r w:rsidR="00EE0ADB">
        <w:t>’</w:t>
      </w:r>
      <w:r w:rsidRPr="000329FE">
        <w:t xml:space="preserve"> mental health status, needs and pathway</w:t>
      </w:r>
      <w:r>
        <w:t>s</w:t>
      </w:r>
      <w:r w:rsidRPr="000329FE">
        <w:t>, though the decision-making power ultimately rests with the judicial system and not with mental health services.</w:t>
      </w:r>
    </w:p>
    <w:p w14:paraId="2631BA1C" w14:textId="77777777" w:rsidR="009636B7" w:rsidRPr="000329FE" w:rsidRDefault="009636B7" w:rsidP="00C82E84"/>
    <w:p w14:paraId="5CBD9DA3" w14:textId="77777777" w:rsidR="00EE0ADB" w:rsidRDefault="009636B7" w:rsidP="00C82E84">
      <w:r>
        <w:t>P</w:t>
      </w:r>
      <w:r w:rsidRPr="000329FE">
        <w:t xml:space="preserve">rofessionals may provide evidence to the court in the form of testimony and/or written medico-legal reports </w:t>
      </w:r>
      <w:r w:rsidRPr="00075571">
        <w:t>(Bank 1996; Dolin 2002</w:t>
      </w:r>
      <w:r>
        <w:t>–</w:t>
      </w:r>
      <w:r w:rsidRPr="00075571">
        <w:t xml:space="preserve">2003; </w:t>
      </w:r>
      <w:r w:rsidRPr="001A28C6">
        <w:t>Frec</w:t>
      </w:r>
      <w:r w:rsidRPr="009E213B">
        <w:t xml:space="preserve">kelton 2007; Galpin 2007; </w:t>
      </w:r>
      <w:r w:rsidRPr="00E42BE0">
        <w:t xml:space="preserve">Gray </w:t>
      </w:r>
      <w:r>
        <w:t>and</w:t>
      </w:r>
      <w:r w:rsidRPr="00E42BE0">
        <w:t xml:space="preserve"> Williams 2013</w:t>
      </w:r>
      <w:r w:rsidRPr="0043256B">
        <w:t xml:space="preserve">; </w:t>
      </w:r>
      <w:r w:rsidRPr="00DD29A3">
        <w:t>Gunn</w:t>
      </w:r>
      <w:r w:rsidR="00F74BB4">
        <w:t xml:space="preserve"> </w:t>
      </w:r>
      <w:r w:rsidR="00AD0D58">
        <w:t>et al</w:t>
      </w:r>
      <w:r w:rsidRPr="00DD29A3">
        <w:t xml:space="preserve"> 2014;</w:t>
      </w:r>
      <w:r w:rsidRPr="00482A5B">
        <w:t xml:space="preserve"> </w:t>
      </w:r>
      <w:r w:rsidRPr="00A537F0">
        <w:t>Hean</w:t>
      </w:r>
      <w:r>
        <w:t xml:space="preserve"> </w:t>
      </w:r>
      <w:r w:rsidR="00AD0D58">
        <w:t>et al</w:t>
      </w:r>
      <w:r w:rsidRPr="00A537F0">
        <w:t xml:space="preserve"> 2009; </w:t>
      </w:r>
      <w:r w:rsidRPr="00075571">
        <w:t xml:space="preserve">Mendelson 1992b; Puri </w:t>
      </w:r>
      <w:r>
        <w:t>and</w:t>
      </w:r>
      <w:r w:rsidRPr="00075571">
        <w:t xml:space="preserve"> Treasaden 2018</w:t>
      </w:r>
      <w:r w:rsidRPr="001A28C6">
        <w:t xml:space="preserve">). In </w:t>
      </w:r>
      <w:r>
        <w:t>Aotearoa New Zealand</w:t>
      </w:r>
      <w:r w:rsidRPr="001A28C6">
        <w:t>, psychiatrists and psychologists within the regional forensic services write court-ordered reports. However, reports for prosecution or defen</w:t>
      </w:r>
      <w:r w:rsidRPr="00E42BE0">
        <w:t>c</w:t>
      </w:r>
      <w:r w:rsidRPr="0043256B">
        <w:t xml:space="preserve">e may also be sought privately (Simpson </w:t>
      </w:r>
      <w:r>
        <w:t>and</w:t>
      </w:r>
      <w:r w:rsidRPr="0043256B">
        <w:t xml:space="preserve"> Chaplow 2001).</w:t>
      </w:r>
    </w:p>
    <w:p w14:paraId="71554B68" w14:textId="77777777" w:rsidR="009636B7" w:rsidRPr="00482A5B" w:rsidRDefault="009636B7" w:rsidP="00C82E84"/>
    <w:p w14:paraId="703AC2C6" w14:textId="77777777" w:rsidR="00EE0ADB" w:rsidRDefault="009636B7" w:rsidP="00C82E84">
      <w:r w:rsidRPr="000329FE">
        <w:t>In some jurisdictions, this role may</w:t>
      </w:r>
      <w:r>
        <w:t xml:space="preserve"> </w:t>
      </w:r>
      <w:r w:rsidRPr="000329FE">
        <w:t xml:space="preserve">be extended. In Scotland, for example, forensic psychiatrists and psychologists may serve as accredited risk assessors, who provide a risk assessment report for offenders </w:t>
      </w:r>
      <w:r w:rsidR="00EE0ADB">
        <w:t>‘</w:t>
      </w:r>
      <w:r w:rsidRPr="000329FE">
        <w:t xml:space="preserve">solely for judicial purposes, to determine </w:t>
      </w:r>
      <w:r w:rsidR="00EE0ADB">
        <w:t>“</w:t>
      </w:r>
      <w:r w:rsidRPr="000329FE">
        <w:t>what risk his being at liberty presents to the safety of the public at large</w:t>
      </w:r>
      <w:r w:rsidR="00EE0ADB">
        <w:t>”‘</w:t>
      </w:r>
      <w:r w:rsidRPr="000329FE">
        <w:t xml:space="preserve"> under the governing legislation (</w:t>
      </w:r>
      <w:r>
        <w:t>ie</w:t>
      </w:r>
      <w:r w:rsidRPr="000329FE">
        <w:t>, in Scotland, the Criminal Justice (Scotland) Act 2003</w:t>
      </w:r>
      <w:r>
        <w:t>)</w:t>
      </w:r>
      <w:r w:rsidRPr="000329FE">
        <w:t xml:space="preserve"> </w:t>
      </w:r>
      <w:r>
        <w:t>(</w:t>
      </w:r>
      <w:r w:rsidRPr="00075571">
        <w:t xml:space="preserve">Tuddenham </w:t>
      </w:r>
      <w:r>
        <w:t>and</w:t>
      </w:r>
      <w:r w:rsidRPr="00075571">
        <w:t xml:space="preserve"> Baird 2007</w:t>
      </w:r>
      <w:r w:rsidR="005054ED">
        <w:t>, p. </w:t>
      </w:r>
      <w:r w:rsidRPr="00075571">
        <w:t>164). This differs from a typical forensic mental health role, which interfaces between justice and mental health, for the focus here is solely on public safety</w:t>
      </w:r>
      <w:r>
        <w:t>,</w:t>
      </w:r>
      <w:r w:rsidRPr="00075571">
        <w:t xml:space="preserve"> and not the safety (</w:t>
      </w:r>
      <w:r>
        <w:t>ie</w:t>
      </w:r>
      <w:r w:rsidRPr="00075571">
        <w:t>, mental health needs) of the individual.</w:t>
      </w:r>
    </w:p>
    <w:p w14:paraId="194F18A6" w14:textId="77777777" w:rsidR="00C82E84" w:rsidRDefault="00C82E84" w:rsidP="00C82E84"/>
    <w:p w14:paraId="0A714F61" w14:textId="77777777" w:rsidR="009636B7" w:rsidRPr="001A28C6" w:rsidRDefault="009636B7" w:rsidP="00C82E84">
      <w:pPr>
        <w:pStyle w:val="Heading3"/>
      </w:pPr>
      <w:bookmarkStart w:id="147" w:name="_Toc16805654"/>
      <w:r w:rsidRPr="001A28C6">
        <w:t xml:space="preserve">Court </w:t>
      </w:r>
      <w:r>
        <w:t>d</w:t>
      </w:r>
      <w:r w:rsidRPr="001A28C6">
        <w:t xml:space="preserve">iversion </w:t>
      </w:r>
      <w:r>
        <w:t>and</w:t>
      </w:r>
      <w:r w:rsidRPr="001A28C6">
        <w:t xml:space="preserve"> </w:t>
      </w:r>
      <w:r>
        <w:t>l</w:t>
      </w:r>
      <w:r w:rsidRPr="001A28C6">
        <w:t xml:space="preserve">iaison </w:t>
      </w:r>
      <w:r>
        <w:t>s</w:t>
      </w:r>
      <w:r w:rsidRPr="001A28C6">
        <w:t>chemes</w:t>
      </w:r>
      <w:bookmarkEnd w:id="147"/>
    </w:p>
    <w:p w14:paraId="37FF031F" w14:textId="77777777" w:rsidR="00EE0ADB" w:rsidRDefault="009636B7" w:rsidP="00C82E84">
      <w:r w:rsidRPr="00E42BE0">
        <w:t xml:space="preserve">As previously stated, the majority of </w:t>
      </w:r>
      <w:r w:rsidRPr="0043256B">
        <w:t>FMHS</w:t>
      </w:r>
      <w:r>
        <w:t>s</w:t>
      </w:r>
      <w:r w:rsidRPr="00DD29A3">
        <w:t xml:space="preserve"> in the courts can be categorised into two broad roles: diversion and liaison. Both court diversion and liaison services </w:t>
      </w:r>
      <w:r w:rsidR="00EE0ADB">
        <w:t>‘</w:t>
      </w:r>
      <w:r w:rsidRPr="00DD29A3">
        <w:t>can be seen as an attempt to human</w:t>
      </w:r>
      <w:r w:rsidRPr="00482A5B">
        <w:t>ely meet the needs of mentally ill offenders in the criminal justice system in a manner which is directed towards therapeutic gain</w:t>
      </w:r>
      <w:r w:rsidR="00EE0ADB">
        <w:t>’</w:t>
      </w:r>
      <w:r w:rsidRPr="00482A5B">
        <w:t xml:space="preserve">, following the broader principles of therapeutic jurisprudence (McKenna </w:t>
      </w:r>
      <w:r>
        <w:t>and</w:t>
      </w:r>
      <w:r w:rsidRPr="00482A5B">
        <w:t xml:space="preserve"> Seaton 2006 p.</w:t>
      </w:r>
      <w:r w:rsidR="00C82E84">
        <w:t> </w:t>
      </w:r>
      <w:r w:rsidRPr="00482A5B">
        <w:t>449).</w:t>
      </w:r>
      <w:r w:rsidRPr="00C82E84">
        <w:rPr>
          <w:rStyle w:val="FootnoteReference"/>
        </w:rPr>
        <w:footnoteReference w:id="38"/>
      </w:r>
      <w:r w:rsidRPr="001A28C6">
        <w:t xml:space="preserve"> In </w:t>
      </w:r>
      <w:r w:rsidRPr="001A28C6">
        <w:lastRenderedPageBreak/>
        <w:t xml:space="preserve">practice, service provision may be one, the other or both. </w:t>
      </w:r>
      <w:r>
        <w:t>A</w:t>
      </w:r>
      <w:r w:rsidRPr="001A28C6">
        <w:t>s McKenna and Seaton (2007) note, the two roles are not synonymous, though elements of each overlap.</w:t>
      </w:r>
    </w:p>
    <w:p w14:paraId="4D278FA8" w14:textId="77777777" w:rsidR="009636B7" w:rsidRPr="00E42BE0" w:rsidRDefault="009636B7" w:rsidP="00C82E84"/>
    <w:p w14:paraId="01BF003E" w14:textId="77777777" w:rsidR="00EE0ADB" w:rsidRDefault="009636B7" w:rsidP="00C82E84">
      <w:r>
        <w:t>I</w:t>
      </w:r>
      <w:r w:rsidRPr="00DD29A3">
        <w:t>t is common for varying models to be employed from region to region</w:t>
      </w:r>
      <w:r>
        <w:t xml:space="preserve"> within jurisdictions</w:t>
      </w:r>
      <w:r w:rsidRPr="00DD29A3">
        <w:t>, and substa</w:t>
      </w:r>
      <w:r w:rsidRPr="00482A5B">
        <w:t xml:space="preserve">ntial research has been conducted </w:t>
      </w:r>
      <w:r w:rsidRPr="00A537F0">
        <w:t>describing, auditing</w:t>
      </w:r>
      <w:r w:rsidRPr="007934CA">
        <w:t xml:space="preserve"> and comparing various liaison and diversion schemes </w:t>
      </w:r>
      <w:r w:rsidRPr="000329FE">
        <w:t>and their contexts, particularly in the United Kingdom,</w:t>
      </w:r>
      <w:r w:rsidRPr="00C82E84">
        <w:rPr>
          <w:rStyle w:val="FootnoteReference"/>
        </w:rPr>
        <w:footnoteReference w:id="39"/>
      </w:r>
      <w:r w:rsidRPr="001A28C6">
        <w:t xml:space="preserve"> Australia</w:t>
      </w:r>
      <w:r w:rsidRPr="00C82E84">
        <w:rPr>
          <w:rStyle w:val="FootnoteReference"/>
        </w:rPr>
        <w:footnoteReference w:id="40"/>
      </w:r>
      <w:r w:rsidRPr="001A28C6">
        <w:t xml:space="preserve"> and </w:t>
      </w:r>
      <w:r w:rsidRPr="00075571">
        <w:t>Ireland.</w:t>
      </w:r>
      <w:r w:rsidRPr="00C82E84">
        <w:rPr>
          <w:rStyle w:val="FootnoteReference"/>
        </w:rPr>
        <w:footnoteReference w:id="41"/>
      </w:r>
    </w:p>
    <w:p w14:paraId="177906B2" w14:textId="77777777" w:rsidR="009636B7" w:rsidRPr="00E42BE0" w:rsidRDefault="009636B7" w:rsidP="00C82E84"/>
    <w:p w14:paraId="190288AD" w14:textId="77777777" w:rsidR="009636B7" w:rsidRPr="000329FE" w:rsidRDefault="009636B7" w:rsidP="00C82E84">
      <w:r w:rsidRPr="00DD29A3">
        <w:t xml:space="preserve">In the case of the United Kingdom, for example, </w:t>
      </w:r>
      <w:r w:rsidR="00EE0ADB">
        <w:t>‘</w:t>
      </w:r>
      <w:r w:rsidRPr="00DD29A3">
        <w:t xml:space="preserve">local and national surveys </w:t>
      </w:r>
      <w:r>
        <w:t>…</w:t>
      </w:r>
      <w:r w:rsidRPr="00DD29A3">
        <w:t xml:space="preserve"> have again confirmed huge variations in coverage, size, composition, governance, funding arrangements and quality of services provided</w:t>
      </w:r>
      <w:r w:rsidR="00EE0ADB">
        <w:t>’</w:t>
      </w:r>
      <w:r w:rsidRPr="00DD29A3">
        <w:t xml:space="preserve"> within diversion and liaison schemes, between and within jurisdictions (Dyer 2013</w:t>
      </w:r>
      <w:r w:rsidR="005054ED">
        <w:t>, p. </w:t>
      </w:r>
      <w:r w:rsidRPr="00DD29A3">
        <w:t>33). M</w:t>
      </w:r>
      <w:r w:rsidRPr="00482A5B">
        <w:t>ore specifically, such variations may include</w:t>
      </w:r>
      <w:r>
        <w:t>:</w:t>
      </w:r>
    </w:p>
    <w:p w14:paraId="11420D32" w14:textId="77777777" w:rsidR="009636B7" w:rsidRPr="000329FE" w:rsidRDefault="009636B7" w:rsidP="00C82E84">
      <w:pPr>
        <w:pStyle w:val="Quote"/>
      </w:pPr>
      <w:r w:rsidRPr="000329FE">
        <w:t>single practitioners versus multi-agency schemes; part-time or on-call services compared with full-time dedicated teams; panel assessment schemes compared with front-line proactive teams; reactive compared with proactive screening; and variations in the services offered by a CJLDS [criminal justice liaison and diversion service] which might include some or all of the following: mental health assessment in police stations, reports to court, providing recommendations on sentence and management, managing and sharing information with probation and prisons, short-term treatment and access to inpatient beds. (Dyer 2013</w:t>
      </w:r>
      <w:r w:rsidR="005054ED">
        <w:t>, p. </w:t>
      </w:r>
      <w:r w:rsidRPr="000329FE">
        <w:t>33)</w:t>
      </w:r>
    </w:p>
    <w:p w14:paraId="2E01016B" w14:textId="77777777" w:rsidR="009636B7" w:rsidRPr="000329FE" w:rsidRDefault="009636B7" w:rsidP="00C82E84"/>
    <w:p w14:paraId="77A03FEF" w14:textId="77777777" w:rsidR="00EE0ADB" w:rsidRDefault="009636B7" w:rsidP="00287738">
      <w:pPr>
        <w:keepNext/>
        <w:keepLines/>
      </w:pPr>
      <w:r w:rsidRPr="000329FE">
        <w:t xml:space="preserve">Similarly, in Australia, discrepancies persist in the options available for alleged offenders with mental illness. Indeed, </w:t>
      </w:r>
      <w:r w:rsidR="00EE0ADB">
        <w:t>‘</w:t>
      </w:r>
      <w:r w:rsidRPr="000329FE">
        <w:t>under the federal system, each of the six states and two territories have separate mental health and criminal justice systems which gives rise to significantly different approaches in each jurisdiction</w:t>
      </w:r>
      <w:r w:rsidR="00EE0ADB">
        <w:t>’</w:t>
      </w:r>
      <w:r w:rsidRPr="000329FE">
        <w:t xml:space="preserve"> (Richardson </w:t>
      </w:r>
      <w:r>
        <w:t>and</w:t>
      </w:r>
      <w:r w:rsidRPr="000329FE">
        <w:t xml:space="preserve"> McSherry 2010</w:t>
      </w:r>
      <w:r w:rsidR="005054ED">
        <w:t>, p. </w:t>
      </w:r>
      <w:r w:rsidRPr="000329FE">
        <w:t>249).</w:t>
      </w:r>
    </w:p>
    <w:p w14:paraId="59C19A66" w14:textId="77777777" w:rsidR="009636B7" w:rsidRPr="000329FE" w:rsidRDefault="009636B7" w:rsidP="00287738"/>
    <w:p w14:paraId="734D2E84" w14:textId="77777777" w:rsidR="009636B7" w:rsidRDefault="009636B7" w:rsidP="00287738">
      <w:r w:rsidRPr="000329FE">
        <w:t xml:space="preserve">This variability has </w:t>
      </w:r>
      <w:r>
        <w:t xml:space="preserve">affected </w:t>
      </w:r>
      <w:r w:rsidRPr="000329FE">
        <w:t>the research conducted on court liaison and diversion schemes. The majority of the literature focuses on describing structures and/or metrics pertaining to service delivery. As such, there is a lack of literature discussing overarching models of care that inform service delivery</w:t>
      </w:r>
      <w:r>
        <w:t>, t</w:t>
      </w:r>
      <w:r w:rsidRPr="000329FE">
        <w:t>hough evidence suggests the effectiveness of diversion and, to a lesser extent, liaison services, as indicated below. Clear recommendations on best practices have yet to be fully articulated.</w:t>
      </w:r>
    </w:p>
    <w:p w14:paraId="72FE7AA2" w14:textId="77777777" w:rsidR="00287738" w:rsidRPr="000329FE" w:rsidRDefault="00287738" w:rsidP="00287738"/>
    <w:p w14:paraId="27B37C49" w14:textId="77777777" w:rsidR="009636B7" w:rsidRPr="000329FE" w:rsidRDefault="009636B7" w:rsidP="00287738">
      <w:pPr>
        <w:pStyle w:val="Heading4"/>
      </w:pPr>
      <w:r w:rsidRPr="000329FE">
        <w:lastRenderedPageBreak/>
        <w:t xml:space="preserve">Diversion </w:t>
      </w:r>
      <w:r>
        <w:t>s</w:t>
      </w:r>
      <w:r w:rsidRPr="000329FE">
        <w:t>chemes</w:t>
      </w:r>
    </w:p>
    <w:p w14:paraId="2BB3B17F" w14:textId="77777777" w:rsidR="00EE0ADB" w:rsidRDefault="009636B7" w:rsidP="00287738">
      <w:r w:rsidRPr="000329FE">
        <w:t>Broadly defined</w:t>
      </w:r>
      <w:r>
        <w:t>:</w:t>
      </w:r>
    </w:p>
    <w:p w14:paraId="27AD18B9" w14:textId="77777777" w:rsidR="009636B7" w:rsidRPr="000329FE" w:rsidRDefault="009636B7" w:rsidP="00287738">
      <w:pPr>
        <w:pStyle w:val="Quote"/>
      </w:pPr>
      <w:r w:rsidRPr="000329FE">
        <w:t xml:space="preserve">court diversion involves the transfer of people suffering mental illness from criminal justice settings (court, remand prison) to hospital or community mental health settings. The objective is to secure mental health service placement without the impediment of the usual processes of court and incarceration associated with the criminal justice system. This does not necessarily mean that there is an avoidance of existing charges, but it does allow the Court to take mental health issues into consideration in its deliberations. (McKenna </w:t>
      </w:r>
      <w:r>
        <w:t>and</w:t>
      </w:r>
      <w:r w:rsidRPr="000329FE">
        <w:t xml:space="preserve"> Seaton 2007</w:t>
      </w:r>
      <w:r w:rsidR="005054ED">
        <w:t>, p. </w:t>
      </w:r>
      <w:r w:rsidRPr="000329FE">
        <w:t>449)</w:t>
      </w:r>
    </w:p>
    <w:p w14:paraId="369A44E7" w14:textId="77777777" w:rsidR="009636B7" w:rsidRDefault="009636B7" w:rsidP="00287738"/>
    <w:p w14:paraId="575227A3" w14:textId="77777777" w:rsidR="00EE0ADB" w:rsidRDefault="009636B7" w:rsidP="00287738">
      <w:r w:rsidRPr="000329FE">
        <w:t xml:space="preserve">Alternatively, </w:t>
      </w:r>
      <w:r w:rsidR="00EE0ADB">
        <w:t>‘</w:t>
      </w:r>
      <w:r w:rsidRPr="000329FE">
        <w:t>diversion</w:t>
      </w:r>
      <w:r w:rsidR="00EE0ADB">
        <w:t>’</w:t>
      </w:r>
      <w:r w:rsidRPr="000329FE">
        <w:t xml:space="preserve"> may also describe more broadly programmes which, after an initial period of increased contact (</w:t>
      </w:r>
      <w:r>
        <w:t>ie</w:t>
      </w:r>
      <w:r w:rsidRPr="000329FE">
        <w:t xml:space="preserve">, treatment and supervision), aim to reduce contact with the criminal justice system over time (Richardson </w:t>
      </w:r>
      <w:r>
        <w:t>and</w:t>
      </w:r>
      <w:r w:rsidRPr="000329FE">
        <w:t xml:space="preserve"> McSherry 2010). Diversion programmes are further </w:t>
      </w:r>
      <w:r w:rsidR="00EE0ADB">
        <w:t>‘</w:t>
      </w:r>
      <w:r w:rsidRPr="000329FE">
        <w:t xml:space="preserve">distinguished in terms of </w:t>
      </w:r>
      <w:r w:rsidR="00EE0ADB">
        <w:t>“</w:t>
      </w:r>
      <w:r w:rsidRPr="000329FE">
        <w:t>diversion from</w:t>
      </w:r>
      <w:r w:rsidR="00EE0ADB">
        <w:t>”</w:t>
      </w:r>
      <w:r w:rsidRPr="000329FE">
        <w:t xml:space="preserve"> and </w:t>
      </w:r>
      <w:r w:rsidR="00EE0ADB">
        <w:t>“</w:t>
      </w:r>
      <w:r w:rsidRPr="000329FE">
        <w:t>diversion to</w:t>
      </w:r>
      <w:r w:rsidR="00EE0ADB">
        <w:t>”</w:t>
      </w:r>
      <w:r w:rsidRPr="000329FE">
        <w:t xml:space="preserve"> and the stage at which diversion occurs, that is, pre-charge, pre-conviction, pre-sentence, and post-sentence (suspended) diversion</w:t>
      </w:r>
      <w:r w:rsidR="00EE0ADB">
        <w:t>’</w:t>
      </w:r>
      <w:r w:rsidRPr="000329FE">
        <w:t xml:space="preserve"> (Richardson </w:t>
      </w:r>
      <w:r>
        <w:t>and</w:t>
      </w:r>
      <w:r w:rsidRPr="000329FE">
        <w:t xml:space="preserve"> McSherry 2010</w:t>
      </w:r>
      <w:r w:rsidR="005054ED">
        <w:t>, p. </w:t>
      </w:r>
      <w:r w:rsidRPr="000329FE">
        <w:t>250).</w:t>
      </w:r>
    </w:p>
    <w:p w14:paraId="05C76A44" w14:textId="77777777" w:rsidR="009636B7" w:rsidRPr="000329FE" w:rsidRDefault="009636B7" w:rsidP="00287738"/>
    <w:p w14:paraId="4E446235" w14:textId="77777777" w:rsidR="00EE0ADB" w:rsidRDefault="009636B7" w:rsidP="00287738">
      <w:r w:rsidRPr="000329FE">
        <w:t>There are various models of diversion programmes</w:t>
      </w:r>
      <w:r>
        <w:t>,</w:t>
      </w:r>
      <w:r w:rsidRPr="000329FE">
        <w:t xml:space="preserve"> dependent upon the stage at which diversion occurs. Court diversion generally occurs </w:t>
      </w:r>
      <w:r w:rsidR="00EE0ADB">
        <w:t>‘</w:t>
      </w:r>
      <w:r w:rsidRPr="000329FE">
        <w:t>post-charge</w:t>
      </w:r>
      <w:r w:rsidR="00EE0ADB">
        <w:t>’</w:t>
      </w:r>
      <w:r w:rsidRPr="000329FE">
        <w:t xml:space="preserve"> and employs a court-based mental health professional to conduct assessments and evaluations (Richardson </w:t>
      </w:r>
      <w:r>
        <w:t>and</w:t>
      </w:r>
      <w:r w:rsidRPr="000329FE">
        <w:t xml:space="preserve"> McSherry 2010), where clinically indicated, to divert people in custody to hospital, typically via available legislative or civil provisions (James 2010). As Fisher</w:t>
      </w:r>
      <w:r>
        <w:t xml:space="preserve"> </w:t>
      </w:r>
      <w:r w:rsidR="00AD0D58">
        <w:t>et al</w:t>
      </w:r>
      <w:r w:rsidRPr="000329FE">
        <w:t xml:space="preserve"> (2000) explain</w:t>
      </w:r>
      <w:r>
        <w:t>:</w:t>
      </w:r>
    </w:p>
    <w:p w14:paraId="30786B3D" w14:textId="77777777" w:rsidR="009636B7" w:rsidRPr="00075571" w:rsidRDefault="009636B7" w:rsidP="00287738">
      <w:pPr>
        <w:pStyle w:val="Quote"/>
      </w:pPr>
      <w:r w:rsidRPr="000329FE">
        <w:t>forensic mental health evaluation services may also play a diversionary role vis</w:t>
      </w:r>
      <w:r w:rsidR="00287738">
        <w:noBreakHyphen/>
      </w:r>
      <w:r w:rsidRPr="000329FE">
        <w:t>à</w:t>
      </w:r>
      <w:r w:rsidR="00287738">
        <w:noBreakHyphen/>
      </w:r>
      <w:r w:rsidRPr="000329FE">
        <w:t>vis the mentally ill arrestee. Established to provide criminal courts with information regarding defendants</w:t>
      </w:r>
      <w:r w:rsidR="00EE0ADB">
        <w:t>’</w:t>
      </w:r>
      <w:r w:rsidRPr="000329FE">
        <w:t xml:space="preserve"> fitness to stand trial and criminal responsibility, forensic evaluation services are situated in the pathway between arraignment and jail detention. Thus, like formal jail diversion services, forensic evaluation represents an important, albeit less well scrutinized stage in the criminal justice process for examining the involvement of individuals with severe mental illness in that process.</w:t>
      </w:r>
      <w:r w:rsidR="00AD0D58">
        <w:t xml:space="preserve"> (p. </w:t>
      </w:r>
      <w:r w:rsidRPr="00075571">
        <w:t>42)</w:t>
      </w:r>
    </w:p>
    <w:p w14:paraId="16B6D0CA" w14:textId="77777777" w:rsidR="00287738" w:rsidRPr="00075571" w:rsidRDefault="00287738" w:rsidP="00287738"/>
    <w:p w14:paraId="7E748FC0" w14:textId="77777777" w:rsidR="00EE0ADB" w:rsidRDefault="009636B7" w:rsidP="00287738">
      <w:r w:rsidRPr="001A28C6">
        <w:t xml:space="preserve">There are also special jurisdiction or </w:t>
      </w:r>
      <w:r w:rsidR="00EE0ADB">
        <w:t>‘</w:t>
      </w:r>
      <w:r w:rsidRPr="001A28C6">
        <w:t>problem-solving</w:t>
      </w:r>
      <w:r w:rsidR="00EE0ADB">
        <w:t>’</w:t>
      </w:r>
      <w:r w:rsidRPr="001A28C6">
        <w:t xml:space="preserve"> court models which offer a diversion pathway outside of criminal courts (Petrila 2003), such as mental health courts (MHCs), which have been adopted, for example, in the United States and, more recently, Australia and Canada (Ferra</w:t>
      </w:r>
      <w:r w:rsidRPr="00E42BE0">
        <w:t>z</w:t>
      </w:r>
      <w:r w:rsidRPr="0043256B">
        <w:t xml:space="preserve">zi </w:t>
      </w:r>
      <w:r>
        <w:t>and</w:t>
      </w:r>
      <w:r w:rsidRPr="0043256B">
        <w:t xml:space="preserve"> Krup</w:t>
      </w:r>
      <w:r w:rsidRPr="00DD29A3">
        <w:t xml:space="preserve">a 2016b; Richardson </w:t>
      </w:r>
      <w:r>
        <w:t>and</w:t>
      </w:r>
      <w:r w:rsidRPr="00DD29A3">
        <w:t xml:space="preserve"> McSherry 2010)</w:t>
      </w:r>
      <w:r w:rsidRPr="00482A5B">
        <w:t xml:space="preserve">. </w:t>
      </w:r>
      <w:r w:rsidRPr="00075571">
        <w:t xml:space="preserve">As Gowensmith </w:t>
      </w:r>
      <w:r w:rsidR="00AD0D58">
        <w:t>et al</w:t>
      </w:r>
      <w:r w:rsidRPr="00075571">
        <w:t xml:space="preserve"> (2016) explain, MHCs generally include</w:t>
      </w:r>
      <w:r>
        <w:t>:</w:t>
      </w:r>
    </w:p>
    <w:p w14:paraId="58BBA5B2" w14:textId="77777777" w:rsidR="009636B7" w:rsidRPr="00E42BE0" w:rsidRDefault="009636B7" w:rsidP="00287738">
      <w:pPr>
        <w:pStyle w:val="Quote"/>
      </w:pPr>
      <w:r w:rsidRPr="00075571">
        <w:t xml:space="preserve">a dedicated judge, an exclusive docket for the defendants, devoted prosecutors and defense attorneys, a collaborative team effort among the judge and the relevant professionals, voluntary participation, intensive judicial monitoring, and the promise of a reduced or dismissed sentence upon graduation. </w:t>
      </w:r>
      <w:r w:rsidRPr="001A28C6">
        <w:t>Mental health courts typically have an identified set of phases for successful participants, as well as sanctions for program violations (including potential jail time). Mental health courts prioritize mental health care for participants, but most programs also require substance abuse treatment and address criminogenic needs. (pp.</w:t>
      </w:r>
      <w:r w:rsidR="00287738">
        <w:t> </w:t>
      </w:r>
      <w:r w:rsidRPr="001A28C6">
        <w:t>411–12)</w:t>
      </w:r>
    </w:p>
    <w:p w14:paraId="31D07BB3" w14:textId="77777777" w:rsidR="009636B7" w:rsidRPr="00DD29A3" w:rsidRDefault="009636B7" w:rsidP="00287738"/>
    <w:p w14:paraId="26265A4B" w14:textId="77777777" w:rsidR="00EE0ADB" w:rsidRDefault="009636B7" w:rsidP="00287738">
      <w:pPr>
        <w:rPr>
          <w:color w:val="000000"/>
        </w:rPr>
      </w:pPr>
      <w:r w:rsidRPr="00075571">
        <w:lastRenderedPageBreak/>
        <w:t>A robust evidence base supports the use of MHCs, particularly in reducing rates of recidivism (Steadman</w:t>
      </w:r>
      <w:r>
        <w:t xml:space="preserve"> </w:t>
      </w:r>
      <w:r w:rsidR="00AD0D58">
        <w:t>et al</w:t>
      </w:r>
      <w:r w:rsidRPr="00075571">
        <w:t xml:space="preserve"> 2011). However, several authors have noted criticisms of the MHC model in terms of mixed reports of efficacy</w:t>
      </w:r>
      <w:r>
        <w:t>;</w:t>
      </w:r>
      <w:r w:rsidRPr="00075571">
        <w:t xml:space="preserve"> </w:t>
      </w:r>
      <w:r w:rsidRPr="00FB779C">
        <w:t>emphasis</w:t>
      </w:r>
      <w:r w:rsidRPr="00075571">
        <w:t xml:space="preserve"> on mental health over criminogenic needs</w:t>
      </w:r>
      <w:r>
        <w:t>;</w:t>
      </w:r>
      <w:r w:rsidRPr="00075571">
        <w:t xml:space="preserve"> and selection of participants who are likely to succeed, which inflates success rates (Gowensmith </w:t>
      </w:r>
      <w:r w:rsidR="00AD0D58">
        <w:t>et al</w:t>
      </w:r>
      <w:r w:rsidRPr="00075571">
        <w:t xml:space="preserve"> 2016; McKenna </w:t>
      </w:r>
      <w:r>
        <w:t>and</w:t>
      </w:r>
      <w:r w:rsidRPr="00075571">
        <w:t xml:space="preserve"> Seaton, 2007; Skeem</w:t>
      </w:r>
      <w:r>
        <w:t xml:space="preserve"> </w:t>
      </w:r>
      <w:r w:rsidR="00AD0D58">
        <w:t>et al</w:t>
      </w:r>
      <w:r w:rsidRPr="00075571">
        <w:t xml:space="preserve"> 2011). </w:t>
      </w:r>
      <w:r w:rsidRPr="001A28C6">
        <w:rPr>
          <w:color w:val="000000"/>
        </w:rPr>
        <w:t>Additionally, in keeping with the broader lack of service cohesion, MHC models vary greatly</w:t>
      </w:r>
      <w:r>
        <w:rPr>
          <w:color w:val="000000"/>
        </w:rPr>
        <w:t>,</w:t>
      </w:r>
      <w:r w:rsidRPr="001A28C6">
        <w:rPr>
          <w:color w:val="000000"/>
        </w:rPr>
        <w:t xml:space="preserve"> and there is no one set of criteria by which to define or evaluate a</w:t>
      </w:r>
      <w:r>
        <w:rPr>
          <w:color w:val="000000"/>
        </w:rPr>
        <w:t>n</w:t>
      </w:r>
      <w:r w:rsidRPr="001A28C6">
        <w:rPr>
          <w:color w:val="000000"/>
        </w:rPr>
        <w:t xml:space="preserve"> MHC.</w:t>
      </w:r>
      <w:r w:rsidRPr="00287738">
        <w:rPr>
          <w:rStyle w:val="FootnoteReference"/>
        </w:rPr>
        <w:footnoteReference w:id="42"/>
      </w:r>
    </w:p>
    <w:p w14:paraId="2862C80A" w14:textId="77777777" w:rsidR="009636B7" w:rsidRPr="00E42BE0" w:rsidRDefault="009636B7" w:rsidP="00287738"/>
    <w:p w14:paraId="70A0E479" w14:textId="77777777" w:rsidR="00EE0ADB" w:rsidRDefault="009636B7" w:rsidP="00287738">
      <w:r w:rsidRPr="00DD29A3">
        <w:t xml:space="preserve">In terms of court diversion in criminal courts, a growing body of literature has emerged examining the efficacy of diversion programmes. Generally, court diversion has </w:t>
      </w:r>
      <w:r w:rsidRPr="00482A5B">
        <w:t>been found to be effective in identifying mental illness and transferring mentally</w:t>
      </w:r>
      <w:r w:rsidRPr="00FB779C">
        <w:t xml:space="preserve"> ill alleged offenders to hospitals with successful clinical outcomes (Green</w:t>
      </w:r>
      <w:r>
        <w:t xml:space="preserve"> </w:t>
      </w:r>
      <w:r w:rsidR="00AD0D58">
        <w:t>et al</w:t>
      </w:r>
      <w:r w:rsidRPr="00075571">
        <w:t xml:space="preserve"> 2005). Further evidence has suggested </w:t>
      </w:r>
      <w:r>
        <w:t xml:space="preserve">that </w:t>
      </w:r>
      <w:r w:rsidRPr="00075571">
        <w:t>long-term outcomes include</w:t>
      </w:r>
      <w:r w:rsidRPr="001A28C6">
        <w:t>:</w:t>
      </w:r>
    </w:p>
    <w:p w14:paraId="6769E2AD" w14:textId="77777777" w:rsidR="00EE0ADB" w:rsidRDefault="009636B7" w:rsidP="00287738">
      <w:pPr>
        <w:pStyle w:val="Bullet"/>
      </w:pPr>
      <w:r w:rsidRPr="00E42BE0">
        <w:t>high levels o</w:t>
      </w:r>
      <w:r w:rsidRPr="0043256B">
        <w:t xml:space="preserve">f satisfaction and feelings of fairness by participants with the procedure and treatment </w:t>
      </w:r>
      <w:r>
        <w:t xml:space="preserve">they </w:t>
      </w:r>
      <w:r w:rsidRPr="0043256B">
        <w:t xml:space="preserve">received in </w:t>
      </w:r>
      <w:r>
        <w:t xml:space="preserve">an MHC, </w:t>
      </w:r>
      <w:r w:rsidRPr="0043256B">
        <w:t>and low levels of perceived coercion</w:t>
      </w:r>
    </w:p>
    <w:p w14:paraId="6429F644" w14:textId="77777777" w:rsidR="00EE0ADB" w:rsidRDefault="009636B7" w:rsidP="00287738">
      <w:pPr>
        <w:pStyle w:val="Bullet"/>
      </w:pPr>
      <w:r w:rsidRPr="00482A5B">
        <w:t xml:space="preserve">reduced recidivism after </w:t>
      </w:r>
      <w:r w:rsidRPr="00A537F0">
        <w:t xml:space="preserve">participation in </w:t>
      </w:r>
      <w:r>
        <w:t>an MHC</w:t>
      </w:r>
    </w:p>
    <w:p w14:paraId="38D96C5D" w14:textId="77777777" w:rsidR="00EE0ADB" w:rsidRDefault="009636B7" w:rsidP="00287738">
      <w:pPr>
        <w:pStyle w:val="Bullet"/>
      </w:pPr>
      <w:r w:rsidRPr="000329FE">
        <w:t xml:space="preserve">less days spent in jail by those in the </w:t>
      </w:r>
      <w:r>
        <w:t xml:space="preserve">MHC </w:t>
      </w:r>
      <w:r w:rsidRPr="000329FE">
        <w:t>system than those processed in the traditional court system</w:t>
      </w:r>
    </w:p>
    <w:p w14:paraId="081F0793" w14:textId="77777777" w:rsidR="009636B7" w:rsidRPr="001A28C6" w:rsidRDefault="009636B7" w:rsidP="00287738">
      <w:pPr>
        <w:pStyle w:val="Bullet"/>
      </w:pPr>
      <w:r w:rsidRPr="000329FE">
        <w:t xml:space="preserve">improvements in outcomes such as homelessness, psychiatric hospitalisations, </w:t>
      </w:r>
      <w:r>
        <w:t xml:space="preserve">and </w:t>
      </w:r>
      <w:r w:rsidRPr="000329FE">
        <w:t>frequency and levels of substance and alcohol abuse, and improvements in psychosocial functioning</w:t>
      </w:r>
      <w:r w:rsidR="00EE0ADB">
        <w:t xml:space="preserve"> </w:t>
      </w:r>
      <w:r w:rsidRPr="000329FE">
        <w:t xml:space="preserve">(Richardson </w:t>
      </w:r>
      <w:r>
        <w:t>and</w:t>
      </w:r>
      <w:r w:rsidRPr="000329FE">
        <w:t xml:space="preserve"> McSherry 2010)</w:t>
      </w:r>
      <w:r w:rsidR="00287738">
        <w:t>.</w:t>
      </w:r>
      <w:r w:rsidRPr="00287738">
        <w:rPr>
          <w:rStyle w:val="FootnoteReference"/>
        </w:rPr>
        <w:footnoteReference w:id="43"/>
      </w:r>
    </w:p>
    <w:p w14:paraId="29725970" w14:textId="77777777" w:rsidR="009636B7" w:rsidRPr="001A28C6" w:rsidRDefault="009636B7" w:rsidP="00287738"/>
    <w:p w14:paraId="22DDD8A8" w14:textId="77777777" w:rsidR="00EE0ADB" w:rsidRDefault="009636B7" w:rsidP="00287738">
      <w:r w:rsidRPr="00E42BE0">
        <w:t>However, as noted above, high variability in service delivery and scope of di</w:t>
      </w:r>
      <w:r w:rsidRPr="0043256B">
        <w:t>version schemes makes it hard to compare outcomes between jurisdictions.</w:t>
      </w:r>
    </w:p>
    <w:p w14:paraId="33CD7D00" w14:textId="77777777" w:rsidR="00287738" w:rsidRDefault="00287738" w:rsidP="00287738"/>
    <w:p w14:paraId="6D4125EA" w14:textId="77777777" w:rsidR="009636B7" w:rsidRPr="00A537F0" w:rsidRDefault="009636B7" w:rsidP="00287738">
      <w:pPr>
        <w:pStyle w:val="Heading4"/>
      </w:pPr>
      <w:r w:rsidRPr="00482A5B">
        <w:t xml:space="preserve">Liaison </w:t>
      </w:r>
      <w:r>
        <w:t>s</w:t>
      </w:r>
      <w:r w:rsidRPr="00482A5B">
        <w:t>chemes</w:t>
      </w:r>
    </w:p>
    <w:p w14:paraId="775875B2" w14:textId="77777777" w:rsidR="009636B7" w:rsidRPr="00075571" w:rsidRDefault="009636B7" w:rsidP="00287738">
      <w:r w:rsidRPr="00075571">
        <w:t>As discussed above, court liaison services, most commonly as an arm of FMHS</w:t>
      </w:r>
      <w:r>
        <w:t>s</w:t>
      </w:r>
      <w:r w:rsidRPr="00075571">
        <w:t>, provide screening, evaluation and assessment, and guidance to the courts</w:t>
      </w:r>
      <w:r>
        <w:t xml:space="preserve"> – </w:t>
      </w:r>
      <w:r w:rsidRPr="00075571">
        <w:t>in person or via technology</w:t>
      </w:r>
      <w:r w:rsidRPr="00287738">
        <w:rPr>
          <w:rStyle w:val="FootnoteReference"/>
        </w:rPr>
        <w:footnoteReference w:id="44"/>
      </w:r>
      <w:r>
        <w:t xml:space="preserve"> – </w:t>
      </w:r>
      <w:r w:rsidRPr="00075571">
        <w:t xml:space="preserve">to aid in decision-making and to determine the most appropriate pathway for the service user, which may or may not include diversion. In contrast to some diversion programmes, such as the MHC model, liaison services do not typically provide an ongoing supervisory role once </w:t>
      </w:r>
      <w:r>
        <w:t>a</w:t>
      </w:r>
      <w:r w:rsidRPr="00075571">
        <w:t xml:space="preserve"> service user is referred on to the appropriate agency (</w:t>
      </w:r>
      <w:r>
        <w:t>ie</w:t>
      </w:r>
      <w:r w:rsidRPr="00075571">
        <w:t xml:space="preserve">, </w:t>
      </w:r>
      <w:r>
        <w:t xml:space="preserve">an </w:t>
      </w:r>
      <w:r w:rsidRPr="00075571">
        <w:t xml:space="preserve">inpatient, prison </w:t>
      </w:r>
      <w:r>
        <w:t xml:space="preserve">or </w:t>
      </w:r>
      <w:r w:rsidRPr="00075571">
        <w:t>community FMHS or GMHS</w:t>
      </w:r>
      <w:r>
        <w:t>)</w:t>
      </w:r>
      <w:r w:rsidRPr="00075571">
        <w:t xml:space="preserve"> </w:t>
      </w:r>
      <w:r>
        <w:t>(</w:t>
      </w:r>
      <w:r w:rsidRPr="00075571">
        <w:t xml:space="preserve">Richardson </w:t>
      </w:r>
      <w:r>
        <w:t>and</w:t>
      </w:r>
      <w:r w:rsidRPr="00075571">
        <w:t xml:space="preserve"> McSherry 2010). As such</w:t>
      </w:r>
      <w:r>
        <w:t>:</w:t>
      </w:r>
    </w:p>
    <w:p w14:paraId="17A818E4" w14:textId="77777777" w:rsidR="009636B7" w:rsidRPr="00075571" w:rsidRDefault="009636B7" w:rsidP="00287738">
      <w:pPr>
        <w:pStyle w:val="Quote"/>
      </w:pPr>
      <w:r w:rsidRPr="001A28C6">
        <w:t>c</w:t>
      </w:r>
      <w:r w:rsidRPr="000137EC">
        <w:t>ourt</w:t>
      </w:r>
      <w:r w:rsidRPr="00075571">
        <w:t xml:space="preserve"> liaison is a broader concept. It includes court diversion but also involves linking, brokering and advocating with a variety of agencies and services to have </w:t>
      </w:r>
      <w:r w:rsidRPr="00075571">
        <w:lastRenderedPageBreak/>
        <w:t xml:space="preserve">the mental health and psychological needs of offenders met. (McKenna </w:t>
      </w:r>
      <w:r>
        <w:t>and</w:t>
      </w:r>
      <w:r w:rsidRPr="00075571">
        <w:t xml:space="preserve"> Seaton 2007</w:t>
      </w:r>
      <w:r w:rsidR="005054ED">
        <w:t>, p. </w:t>
      </w:r>
      <w:r w:rsidRPr="00075571">
        <w:t>449)</w:t>
      </w:r>
    </w:p>
    <w:p w14:paraId="26CF939C" w14:textId="77777777" w:rsidR="009636B7" w:rsidRPr="00075571" w:rsidRDefault="009636B7" w:rsidP="00287738"/>
    <w:p w14:paraId="045E84AB" w14:textId="77777777" w:rsidR="00EE0ADB" w:rsidRDefault="009636B7" w:rsidP="00287738">
      <w:r w:rsidRPr="00075571">
        <w:t xml:space="preserve">Although </w:t>
      </w:r>
      <w:r>
        <w:t xml:space="preserve">there is </w:t>
      </w:r>
      <w:r w:rsidRPr="00075571">
        <w:t xml:space="preserve">not as robust an evidence base, </w:t>
      </w:r>
      <w:r w:rsidRPr="000137EC">
        <w:t>research</w:t>
      </w:r>
      <w:r w:rsidRPr="00075571">
        <w:t xml:space="preserve"> suggests the effectiveness of court liaison services in improving outcomes such as rates of recidivism (O</w:t>
      </w:r>
      <w:r w:rsidR="00EE0ADB">
        <w:t>’</w:t>
      </w:r>
      <w:r w:rsidRPr="00075571">
        <w:t xml:space="preserve">Neill </w:t>
      </w:r>
      <w:r w:rsidR="00AD0D58">
        <w:t>et al</w:t>
      </w:r>
      <w:r w:rsidRPr="00075571">
        <w:t xml:space="preserve"> 2016), and some research has been conducted auditing specific court liaison services, mostly in Australia and the United Kingdom (eg, Coombs</w:t>
      </w:r>
      <w:r>
        <w:t xml:space="preserve"> </w:t>
      </w:r>
      <w:r w:rsidR="00AD0D58">
        <w:t>et al</w:t>
      </w:r>
      <w:r>
        <w:t xml:space="preserve"> </w:t>
      </w:r>
      <w:r w:rsidRPr="00075571">
        <w:t xml:space="preserve">2011; Sharples </w:t>
      </w:r>
      <w:r w:rsidR="00AD0D58">
        <w:t>et al</w:t>
      </w:r>
      <w:r w:rsidRPr="00075571">
        <w:t xml:space="preserve"> 2003). Due to the large amount of overlap between liaison and diversion services, best practices are typically articulated in relation to what can be viewed as combined schemes.</w:t>
      </w:r>
    </w:p>
    <w:p w14:paraId="3914420E" w14:textId="77777777" w:rsidR="00287738" w:rsidRDefault="00287738" w:rsidP="00287738"/>
    <w:p w14:paraId="5936D3D3" w14:textId="77777777" w:rsidR="009636B7" w:rsidRPr="00075571" w:rsidRDefault="009636B7" w:rsidP="00287738">
      <w:pPr>
        <w:pStyle w:val="Heading4"/>
      </w:pPr>
      <w:r w:rsidRPr="00075571">
        <w:t xml:space="preserve">Combined </w:t>
      </w:r>
      <w:r>
        <w:t>s</w:t>
      </w:r>
      <w:r w:rsidRPr="00075571">
        <w:t>chemes</w:t>
      </w:r>
    </w:p>
    <w:p w14:paraId="27691D18" w14:textId="77777777" w:rsidR="00EE0ADB" w:rsidRDefault="009636B7" w:rsidP="00287738">
      <w:r w:rsidRPr="00075571">
        <w:t xml:space="preserve">Combined schemes can be broadly understood as the integration of liaison and diversion services. Though combined schemes have been around for several decades (and have </w:t>
      </w:r>
      <w:r w:rsidRPr="00340EB1">
        <w:t xml:space="preserve">been in place since the </w:t>
      </w:r>
      <w:r>
        <w:t xml:space="preserve">introduction </w:t>
      </w:r>
      <w:r w:rsidRPr="00075571">
        <w:t xml:space="preserve">of court liaison services in </w:t>
      </w:r>
      <w:r>
        <w:t>Aotearoa New Zealand</w:t>
      </w:r>
      <w:r w:rsidRPr="00075571">
        <w:t xml:space="preserve"> within the past 10 years), increasing attention has been paid to the integration of services. This has largely been the result of the recommendations of the influential Bradley Report (2009), which advocated for a new model of </w:t>
      </w:r>
      <w:r w:rsidR="00EE0ADB">
        <w:t>‘</w:t>
      </w:r>
      <w:r w:rsidRPr="00075571">
        <w:t>criminal justice mental health teams</w:t>
      </w:r>
      <w:r w:rsidR="00EE0ADB">
        <w:t>’</w:t>
      </w:r>
      <w:r w:rsidRPr="00075571">
        <w:t xml:space="preserve"> </w:t>
      </w:r>
      <w:r>
        <w:t xml:space="preserve">to </w:t>
      </w:r>
      <w:r w:rsidRPr="00075571">
        <w:t xml:space="preserve">be </w:t>
      </w:r>
      <w:r w:rsidR="00EE0ADB">
        <w:t>‘</w:t>
      </w:r>
      <w:r w:rsidRPr="00075571">
        <w:t>responsible for managing continuity of care across the whole offender pathway (including community, police custody, courts, prison/</w:t>
      </w:r>
      <w:r w:rsidR="00287738">
        <w:t xml:space="preserve"> </w:t>
      </w:r>
      <w:r w:rsidRPr="00075571">
        <w:t>community sentence and resettlement)</w:t>
      </w:r>
      <w:r w:rsidR="00EE0ADB">
        <w:t>’</w:t>
      </w:r>
      <w:r w:rsidRPr="00075571">
        <w:t xml:space="preserve"> (Dyer 2013</w:t>
      </w:r>
      <w:r w:rsidR="005054ED">
        <w:t>, p. </w:t>
      </w:r>
      <w:r w:rsidRPr="00075571">
        <w:t>38).</w:t>
      </w:r>
    </w:p>
    <w:p w14:paraId="068DFA96" w14:textId="77777777" w:rsidR="009636B7" w:rsidRPr="00075571" w:rsidRDefault="009636B7" w:rsidP="00287738"/>
    <w:p w14:paraId="0FD3104E" w14:textId="77777777" w:rsidR="00EE0ADB" w:rsidRDefault="009636B7" w:rsidP="00287738">
      <w:r w:rsidRPr="00075571">
        <w:t>A key part of an integrated liaison and diversion programmes in the U</w:t>
      </w:r>
      <w:r>
        <w:t xml:space="preserve">nited </w:t>
      </w:r>
      <w:r w:rsidRPr="00075571">
        <w:t>K</w:t>
      </w:r>
      <w:r>
        <w:t>ingdom</w:t>
      </w:r>
      <w:r w:rsidRPr="00075571">
        <w:t xml:space="preserve"> is the inclusion of coordinated police and court liaison services. For example, Earl</w:t>
      </w:r>
      <w:r>
        <w:t xml:space="preserve"> </w:t>
      </w:r>
      <w:r w:rsidR="00AD0D58">
        <w:t>et al</w:t>
      </w:r>
      <w:r w:rsidRPr="00075571">
        <w:t xml:space="preserve"> (2015) describe a novel </w:t>
      </w:r>
      <w:r w:rsidR="00EE0ADB">
        <w:t>‘</w:t>
      </w:r>
      <w:r w:rsidRPr="00075571">
        <w:t>neighbourhood outreach</w:t>
      </w:r>
      <w:r w:rsidR="00EE0ADB">
        <w:t>’</w:t>
      </w:r>
      <w:r w:rsidRPr="00075571">
        <w:t xml:space="preserve"> model which expands court liaison services to include police-based deployment of mental health professionals. McKenna </w:t>
      </w:r>
      <w:r w:rsidR="00AD0D58">
        <w:t>et al</w:t>
      </w:r>
      <w:r w:rsidRPr="00075571">
        <w:t xml:space="preserve"> (2019) further examine referrals within a combined service, noting the central importance of the police context of liaison and diversion.</w:t>
      </w:r>
    </w:p>
    <w:p w14:paraId="2F254293" w14:textId="77777777" w:rsidR="009636B7" w:rsidRPr="00075571" w:rsidRDefault="009636B7" w:rsidP="00287738"/>
    <w:p w14:paraId="4377CAC2" w14:textId="77777777" w:rsidR="00EE0ADB" w:rsidRDefault="009636B7" w:rsidP="00287738">
      <w:pPr>
        <w:keepNext/>
        <w:keepLines/>
      </w:pPr>
      <w:r w:rsidRPr="00075571">
        <w:t xml:space="preserve">Within </w:t>
      </w:r>
      <w:r>
        <w:t>Aotearoa New Zealand</w:t>
      </w:r>
      <w:r w:rsidRPr="00075571">
        <w:t>, as described previously, court liaison services are provided as an arm of regional forensic psychiatric services</w:t>
      </w:r>
      <w:r>
        <w:t>,</w:t>
      </w:r>
      <w:r w:rsidRPr="00075571">
        <w:t xml:space="preserve"> and include diversion services. Notably, however, FMHS</w:t>
      </w:r>
      <w:r>
        <w:t>s</w:t>
      </w:r>
      <w:r w:rsidRPr="00075571">
        <w:t xml:space="preserve"> typically do not work with the police</w:t>
      </w:r>
      <w:r>
        <w:t>;</w:t>
      </w:r>
      <w:r w:rsidRPr="00075571">
        <w:t xml:space="preserve"> nor </w:t>
      </w:r>
      <w:r>
        <w:t xml:space="preserve">do they </w:t>
      </w:r>
      <w:r w:rsidRPr="00075571">
        <w:t>conduct interventions at the pre-custody stage (this is more the role of GMHS</w:t>
      </w:r>
      <w:r>
        <w:t>s</w:t>
      </w:r>
      <w:r w:rsidRPr="00075571">
        <w:t>).</w:t>
      </w:r>
    </w:p>
    <w:p w14:paraId="65AA47A5" w14:textId="77777777" w:rsidR="00287738" w:rsidRDefault="00287738" w:rsidP="00287738"/>
    <w:p w14:paraId="508B769B" w14:textId="77777777" w:rsidR="00EE0ADB" w:rsidRDefault="009636B7" w:rsidP="00287738">
      <w:r w:rsidRPr="00075571">
        <w:t xml:space="preserve">According to Brinded </w:t>
      </w:r>
      <w:r w:rsidR="00AD0D58">
        <w:t>et al</w:t>
      </w:r>
      <w:r w:rsidRPr="00075571">
        <w:t xml:space="preserve"> (1996), there are several advantages to the </w:t>
      </w:r>
      <w:r>
        <w:t>Aotearoa New Zealand</w:t>
      </w:r>
      <w:r w:rsidRPr="00075571">
        <w:t xml:space="preserve"> model:</w:t>
      </w:r>
    </w:p>
    <w:p w14:paraId="11520735" w14:textId="77777777" w:rsidR="00EE0ADB" w:rsidRDefault="009636B7" w:rsidP="00287738">
      <w:pPr>
        <w:pStyle w:val="Number"/>
        <w:ind w:left="709" w:right="284" w:hanging="425"/>
      </w:pPr>
      <w:r w:rsidRPr="001A28C6">
        <w:t>An experienced mental health professional is present throughout court sitting time, being available to police, lawyers and the judge should there be questions regarding the mental state of persons appearing in court;</w:t>
      </w:r>
    </w:p>
    <w:p w14:paraId="12EB2924" w14:textId="77777777" w:rsidR="00EE0ADB" w:rsidRDefault="009636B7" w:rsidP="00287738">
      <w:pPr>
        <w:pStyle w:val="Number"/>
        <w:ind w:left="709" w:right="284" w:hanging="425"/>
      </w:pPr>
      <w:r w:rsidRPr="00E42BE0">
        <w:t>The mental health professional (usuall</w:t>
      </w:r>
      <w:r w:rsidRPr="0043256B">
        <w:t xml:space="preserve">y a registered </w:t>
      </w:r>
      <w:r w:rsidRPr="00DD29A3">
        <w:t>mental health nurse) is part of the overall forensic psychiatry service and is therefore able to access all aspects of the service rapidly if required. Psychiatrists are not used in the initial assessment process;</w:t>
      </w:r>
    </w:p>
    <w:p w14:paraId="6295F5FC" w14:textId="77777777" w:rsidR="00EE0ADB" w:rsidRDefault="009636B7" w:rsidP="00287738">
      <w:pPr>
        <w:pStyle w:val="Number"/>
        <w:ind w:left="709" w:right="284" w:hanging="425"/>
      </w:pPr>
      <w:r w:rsidRPr="00482A5B">
        <w:t>The availability of such a</w:t>
      </w:r>
      <w:r w:rsidRPr="00A537F0">
        <w:t xml:space="preserve"> person facilitates the request for an initial assessment of a person before the court without necessarily having to arrange for a remand period;</w:t>
      </w:r>
    </w:p>
    <w:p w14:paraId="2E0AAF52" w14:textId="77777777" w:rsidR="00EE0ADB" w:rsidRDefault="009636B7" w:rsidP="00287738">
      <w:pPr>
        <w:pStyle w:val="Number"/>
        <w:ind w:left="709" w:right="284" w:hanging="425"/>
      </w:pPr>
      <w:r w:rsidRPr="000329FE">
        <w:lastRenderedPageBreak/>
        <w:t>The court is able to use a member of the FMHS to assist in its deliberations over whether a person should be remanded for a psychiatric assessment under [relevant legislation] and if so where that assessment is best performed;</w:t>
      </w:r>
    </w:p>
    <w:p w14:paraId="6AF4B068" w14:textId="77777777" w:rsidR="009636B7" w:rsidRPr="000329FE" w:rsidRDefault="009636B7" w:rsidP="00287738">
      <w:pPr>
        <w:pStyle w:val="Number"/>
        <w:ind w:left="709" w:right="284" w:hanging="425"/>
      </w:pPr>
      <w:r w:rsidRPr="000329FE">
        <w:t>When remand reports are not requested, the court liaison worker is available to assist mentally ill persons before the court to access other aspects of the mental health system; [and]</w:t>
      </w:r>
    </w:p>
    <w:p w14:paraId="48207AE5" w14:textId="77777777" w:rsidR="009636B7" w:rsidRPr="000329FE" w:rsidRDefault="009636B7" w:rsidP="00287738">
      <w:pPr>
        <w:pStyle w:val="Number"/>
        <w:ind w:left="709" w:right="284" w:hanging="425"/>
        <w:rPr>
          <w:color w:val="000000"/>
        </w:rPr>
      </w:pPr>
      <w:r w:rsidRPr="000329FE">
        <w:t>Where examination by a psychiatrist is considered urgent, this can be arranged rapidly through the court liaison worker.</w:t>
      </w:r>
      <w:r w:rsidR="00AD0D58">
        <w:t xml:space="preserve"> (p. </w:t>
      </w:r>
      <w:r w:rsidRPr="000329FE">
        <w:rPr>
          <w:color w:val="000000"/>
        </w:rPr>
        <w:t>169)</w:t>
      </w:r>
    </w:p>
    <w:p w14:paraId="21177970" w14:textId="77777777" w:rsidR="009636B7" w:rsidRPr="000329FE" w:rsidRDefault="009636B7" w:rsidP="00287738"/>
    <w:p w14:paraId="1C9A73CA" w14:textId="77777777" w:rsidR="00EE0ADB" w:rsidRDefault="009636B7" w:rsidP="00287738">
      <w:r w:rsidRPr="000329FE">
        <w:t xml:space="preserve">In terms of best practices, limited recommendations have been offered based on the literature concerning diversion and liaison services within non-specialised criminal courts. Hartford </w:t>
      </w:r>
      <w:r w:rsidR="00AD0D58">
        <w:t>et al</w:t>
      </w:r>
      <w:r w:rsidRPr="000329FE">
        <w:t xml:space="preserve"> (2004) identify key themes in the development and maintenance of successful programmes, including:</w:t>
      </w:r>
    </w:p>
    <w:p w14:paraId="6C58C567" w14:textId="77777777" w:rsidR="009636B7" w:rsidRPr="000329FE" w:rsidRDefault="009636B7" w:rsidP="00287738">
      <w:pPr>
        <w:pStyle w:val="Bullet"/>
      </w:pPr>
      <w:r>
        <w:t>e</w:t>
      </w:r>
      <w:r w:rsidRPr="000329FE">
        <w:t>arly involvement of mental health, substance abuse and criminal justice agencies</w:t>
      </w:r>
    </w:p>
    <w:p w14:paraId="2499E307" w14:textId="77777777" w:rsidR="009636B7" w:rsidRPr="000329FE" w:rsidRDefault="00EE0ADB" w:rsidP="00287738">
      <w:pPr>
        <w:pStyle w:val="Bullet"/>
      </w:pPr>
      <w:r>
        <w:t>‘</w:t>
      </w:r>
      <w:r w:rsidR="009636B7" w:rsidRPr="000329FE">
        <w:t>Regular meetings between key personnel from the various agencies</w:t>
      </w:r>
      <w:r>
        <w:t>’</w:t>
      </w:r>
    </w:p>
    <w:p w14:paraId="3EA73885" w14:textId="77777777" w:rsidR="009636B7" w:rsidRPr="000329FE" w:rsidRDefault="009636B7" w:rsidP="00287738">
      <w:pPr>
        <w:pStyle w:val="Bullet"/>
      </w:pPr>
      <w:r>
        <w:t>h</w:t>
      </w:r>
      <w:r w:rsidRPr="000329FE">
        <w:t xml:space="preserve">aving a </w:t>
      </w:r>
      <w:r w:rsidR="00EE0ADB">
        <w:t>‘</w:t>
      </w:r>
      <w:r w:rsidRPr="000329FE">
        <w:t xml:space="preserve">liaison person or </w:t>
      </w:r>
      <w:r w:rsidR="00EE0ADB">
        <w:t>“</w:t>
      </w:r>
      <w:r w:rsidRPr="000329FE">
        <w:t>boundary spanner</w:t>
      </w:r>
      <w:r w:rsidR="00EE0ADB">
        <w:t>”</w:t>
      </w:r>
      <w:r w:rsidRPr="000329FE">
        <w:t xml:space="preserve"> with a mandate to effect strong leadership in the co-ordination among agencies</w:t>
      </w:r>
      <w:r w:rsidR="00EE0ADB">
        <w:t>’</w:t>
      </w:r>
    </w:p>
    <w:p w14:paraId="303009E7" w14:textId="77777777" w:rsidR="009636B7" w:rsidRPr="000329FE" w:rsidRDefault="00EE0ADB" w:rsidP="00287738">
      <w:pPr>
        <w:pStyle w:val="Bullet"/>
      </w:pPr>
      <w:r>
        <w:t>‘</w:t>
      </w:r>
      <w:r w:rsidR="009636B7" w:rsidRPr="000329FE">
        <w:t>Awareness of the pre-trial diversion option among lawyers and court staff</w:t>
      </w:r>
      <w:r>
        <w:t>’</w:t>
      </w:r>
    </w:p>
    <w:p w14:paraId="3DF8B69D" w14:textId="77777777" w:rsidR="009636B7" w:rsidRPr="000329FE" w:rsidRDefault="009636B7" w:rsidP="00287738">
      <w:pPr>
        <w:pStyle w:val="Bullet"/>
      </w:pPr>
      <w:r>
        <w:t>t</w:t>
      </w:r>
      <w:r w:rsidRPr="000329FE">
        <w:t xml:space="preserve">he importance of </w:t>
      </w:r>
      <w:r w:rsidR="00EE0ADB">
        <w:t>‘</w:t>
      </w:r>
      <w:r w:rsidRPr="000329FE">
        <w:t xml:space="preserve">formal case finding procedures </w:t>
      </w:r>
      <w:r>
        <w:t>…</w:t>
      </w:r>
      <w:r w:rsidRPr="000329FE">
        <w:t xml:space="preserve"> for the early identification of mentally ill offenders in need of services</w:t>
      </w:r>
      <w:r w:rsidR="00EE0ADB">
        <w:t>’</w:t>
      </w:r>
      <w:r w:rsidR="00AD0D58">
        <w:t xml:space="preserve"> (p. </w:t>
      </w:r>
      <w:r w:rsidRPr="000329FE">
        <w:t>iii)</w:t>
      </w:r>
      <w:r>
        <w:t>.</w:t>
      </w:r>
    </w:p>
    <w:p w14:paraId="09827AC2" w14:textId="77777777" w:rsidR="009636B7" w:rsidRPr="000329FE" w:rsidRDefault="009636B7" w:rsidP="00287738"/>
    <w:p w14:paraId="6DAC1028" w14:textId="77777777" w:rsidR="009636B7" w:rsidRPr="000329FE" w:rsidRDefault="009636B7" w:rsidP="00287738">
      <w:pPr>
        <w:keepNext/>
      </w:pPr>
      <w:r w:rsidRPr="000329FE">
        <w:t>In another review of the literature, Dyer (2013) highlights the shortcomings of existing liaison and diversion models, which</w:t>
      </w:r>
      <w:r>
        <w:t>:</w:t>
      </w:r>
    </w:p>
    <w:p w14:paraId="7CF4CAC2" w14:textId="77777777" w:rsidR="009636B7" w:rsidRPr="000329FE" w:rsidRDefault="009636B7" w:rsidP="00287738">
      <w:pPr>
        <w:pStyle w:val="Quote"/>
        <w:keepNext/>
        <w:keepLines/>
      </w:pPr>
      <w:r w:rsidRPr="000329FE">
        <w:t xml:space="preserve">tend to focus on </w:t>
      </w:r>
      <w:r w:rsidR="00EE0ADB">
        <w:t>‘</w:t>
      </w:r>
      <w:r w:rsidRPr="000329FE">
        <w:t>key stages</w:t>
      </w:r>
      <w:r w:rsidR="00EE0ADB">
        <w:t>’</w:t>
      </w:r>
      <w:r w:rsidRPr="000329FE">
        <w:t xml:space="preserve"> in the offender pathway (e.g. police station or court), providing actions to meet the needs of the services at these discrete stages rather than adopting a patient-centred approach which recognises the impact of action on the longitudinal institutional careers (criminal justice, health and social care) of their clients. For instance, early intervention and prevention strategies and services are key in stopping the offender pathway developing further but are a much-neglected part of service coordination and development.</w:t>
      </w:r>
      <w:r w:rsidR="00AD0D58">
        <w:t xml:space="preserve"> (p. </w:t>
      </w:r>
      <w:r w:rsidRPr="000329FE">
        <w:t>36)</w:t>
      </w:r>
    </w:p>
    <w:p w14:paraId="56137AF9" w14:textId="77777777" w:rsidR="00287738" w:rsidRDefault="00287738" w:rsidP="00287738">
      <w:pPr>
        <w:rPr>
          <w:color w:val="000000"/>
        </w:rPr>
      </w:pPr>
    </w:p>
    <w:p w14:paraId="44617E18" w14:textId="77777777" w:rsidR="009636B7" w:rsidRPr="00A537F0" w:rsidRDefault="009636B7" w:rsidP="00287738">
      <w:r w:rsidRPr="000329FE">
        <w:rPr>
          <w:color w:val="000000"/>
        </w:rPr>
        <w:t xml:space="preserve">As such, Dyer (2013) recommends </w:t>
      </w:r>
      <w:r w:rsidRPr="00075571">
        <w:t>multi</w:t>
      </w:r>
      <w:r>
        <w:t>-</w:t>
      </w:r>
      <w:r w:rsidRPr="00075571">
        <w:t xml:space="preserve">agency commissioning and governance arrangements that monitor the diversion service, a minimum of three practitioners who provide continuity of care and </w:t>
      </w:r>
      <w:r w:rsidR="00EE0ADB">
        <w:t>‘</w:t>
      </w:r>
      <w:r w:rsidRPr="00075571">
        <w:t>proactive, holistic services</w:t>
      </w:r>
      <w:r w:rsidR="00EE0ADB">
        <w:t>’</w:t>
      </w:r>
      <w:r w:rsidRPr="00075571">
        <w:t xml:space="preserve"> across the entire offender pathway, and </w:t>
      </w:r>
      <w:r>
        <w:t xml:space="preserve">use </w:t>
      </w:r>
      <w:r w:rsidRPr="00075571">
        <w:t>of individualised support packages, which identify and attend to service users</w:t>
      </w:r>
      <w:r w:rsidR="00EE0ADB">
        <w:t>’</w:t>
      </w:r>
      <w:r w:rsidRPr="00075571">
        <w:t xml:space="preserve"> needs</w:t>
      </w:r>
      <w:r w:rsidR="00AD0D58">
        <w:t xml:space="preserve"> (p. </w:t>
      </w:r>
      <w:r w:rsidRPr="00075571">
        <w:t xml:space="preserve">38). Dyer suggests </w:t>
      </w:r>
      <w:r>
        <w:t xml:space="preserve">that </w:t>
      </w:r>
      <w:r w:rsidRPr="00075571">
        <w:t xml:space="preserve">a potential model that could be implemented in liaison and diversion services is that of the </w:t>
      </w:r>
      <w:r>
        <w:t>i</w:t>
      </w:r>
      <w:r w:rsidRPr="00075571">
        <w:t xml:space="preserve">ntegrated </w:t>
      </w:r>
      <w:r>
        <w:t>c</w:t>
      </w:r>
      <w:r w:rsidRPr="00075571">
        <w:t xml:space="preserve">are </w:t>
      </w:r>
      <w:r>
        <w:t>p</w:t>
      </w:r>
      <w:r w:rsidRPr="006773ED">
        <w:t>athway (ICP) cu</w:t>
      </w:r>
      <w:r w:rsidRPr="00075571">
        <w:t>rrently in use within U</w:t>
      </w:r>
      <w:r>
        <w:t xml:space="preserve">nited </w:t>
      </w:r>
      <w:r w:rsidRPr="00075571">
        <w:t>K</w:t>
      </w:r>
      <w:r>
        <w:t>ingdom</w:t>
      </w:r>
      <w:r w:rsidRPr="00075571">
        <w:t xml:space="preserve"> health and social care services. Integrated </w:t>
      </w:r>
      <w:r>
        <w:t>c</w:t>
      </w:r>
      <w:r w:rsidRPr="00075571">
        <w:t xml:space="preserve">are </w:t>
      </w:r>
      <w:r>
        <w:t>p</w:t>
      </w:r>
      <w:r w:rsidRPr="00075571">
        <w:t xml:space="preserve">athway services </w:t>
      </w:r>
      <w:r w:rsidRPr="001A28C6">
        <w:t>are clinician-led and driven, focusing on service users and best practice</w:t>
      </w:r>
      <w:r w:rsidRPr="009E213B">
        <w:t>, which aim</w:t>
      </w:r>
      <w:r>
        <w:t>s</w:t>
      </w:r>
      <w:r w:rsidRPr="009E213B">
        <w:t xml:space="preserve"> to have the right people doing the right thing, in the right order, at the right time, in the right place, to the right standard and with the right outcome. Emphasis is given to the im</w:t>
      </w:r>
      <w:r w:rsidRPr="00E42BE0">
        <w:t xml:space="preserve">portance of identifying and measuring </w:t>
      </w:r>
      <w:r w:rsidR="00EE0ADB">
        <w:t>‘</w:t>
      </w:r>
      <w:r w:rsidRPr="00E42BE0">
        <w:t>critical indicators</w:t>
      </w:r>
      <w:r w:rsidR="00EE0ADB">
        <w:t>’</w:t>
      </w:r>
      <w:r w:rsidRPr="00E42BE0">
        <w:t xml:space="preserve"> – outcomes from interventions that make the biggest difference to </w:t>
      </w:r>
      <w:r w:rsidR="00EE0ADB">
        <w:t>‘</w:t>
      </w:r>
      <w:r w:rsidRPr="00E42BE0">
        <w:t>recovery</w:t>
      </w:r>
      <w:r w:rsidR="00EE0ADB">
        <w:t>’</w:t>
      </w:r>
      <w:r w:rsidRPr="00E42BE0">
        <w:t xml:space="preserve">. Far from being linear, ICPs </w:t>
      </w:r>
      <w:r>
        <w:t>are designed to accommodate</w:t>
      </w:r>
      <w:r w:rsidRPr="00E42BE0" w:rsidDel="00C17057">
        <w:t xml:space="preserve"> </w:t>
      </w:r>
      <w:r w:rsidRPr="00E42BE0">
        <w:t>complexity in the form of variations and change as people move along the pathway. T</w:t>
      </w:r>
      <w:r w:rsidRPr="00DD29A3">
        <w:t xml:space="preserve">he causes of variations can be recorded and monitored over time, allowing the ICP to be altered to include or </w:t>
      </w:r>
      <w:r w:rsidRPr="00DD29A3">
        <w:lastRenderedPageBreak/>
        <w:t>manage some of the most common reasons</w:t>
      </w:r>
      <w:r>
        <w:t xml:space="preserve"> for those variations,</w:t>
      </w:r>
      <w:r w:rsidRPr="00DD29A3">
        <w:t xml:space="preserve"> or risk factors. These events or actions can then be changed or removed. Variations should always lead to s</w:t>
      </w:r>
      <w:r w:rsidRPr="00482A5B">
        <w:t>ome kind of action (Dyer 2013</w:t>
      </w:r>
      <w:r w:rsidR="005054ED">
        <w:t>, p. </w:t>
      </w:r>
      <w:r w:rsidRPr="00482A5B">
        <w:t>40)</w:t>
      </w:r>
      <w:r>
        <w:t>.</w:t>
      </w:r>
    </w:p>
    <w:p w14:paraId="6B2F3E2D" w14:textId="77777777" w:rsidR="009636B7" w:rsidRPr="00FB779C" w:rsidRDefault="009636B7" w:rsidP="00287738"/>
    <w:p w14:paraId="0E712DED" w14:textId="77777777" w:rsidR="009636B7" w:rsidRPr="001A28C6" w:rsidRDefault="009636B7" w:rsidP="00287738">
      <w:pPr>
        <w:rPr>
          <w:color w:val="000000"/>
        </w:rPr>
      </w:pPr>
      <w:r>
        <w:rPr>
          <w:color w:val="000000"/>
        </w:rPr>
        <w:t>M</w:t>
      </w:r>
      <w:r w:rsidRPr="00FB779C">
        <w:rPr>
          <w:color w:val="000000"/>
        </w:rPr>
        <w:t>odel</w:t>
      </w:r>
      <w:r>
        <w:rPr>
          <w:color w:val="000000"/>
        </w:rPr>
        <w:t>s</w:t>
      </w:r>
      <w:r w:rsidRPr="00FB779C">
        <w:rPr>
          <w:color w:val="000000"/>
        </w:rPr>
        <w:t xml:space="preserve"> </w:t>
      </w:r>
      <w:r>
        <w:rPr>
          <w:color w:val="000000"/>
        </w:rPr>
        <w:t xml:space="preserve">such as this </w:t>
      </w:r>
      <w:r w:rsidRPr="00FB779C">
        <w:rPr>
          <w:color w:val="000000"/>
        </w:rPr>
        <w:t xml:space="preserve">facilitate </w:t>
      </w:r>
      <w:r w:rsidRPr="00075571">
        <w:t xml:space="preserve">proactive screening and inter-service collaboration, two elements that are of particular value (Dyer 2013). Kennedy </w:t>
      </w:r>
      <w:r w:rsidR="00AD0D58">
        <w:t>et al</w:t>
      </w:r>
      <w:r w:rsidRPr="00075571">
        <w:t xml:space="preserve"> (</w:t>
      </w:r>
      <w:r>
        <w:t>f</w:t>
      </w:r>
      <w:r w:rsidRPr="00075571">
        <w:t>orthcoming) further support this notion, noting</w:t>
      </w:r>
      <w:r>
        <w:t>:</w:t>
      </w:r>
    </w:p>
    <w:p w14:paraId="26FB8E07" w14:textId="77777777" w:rsidR="009636B7" w:rsidRDefault="009636B7" w:rsidP="00287738">
      <w:pPr>
        <w:pStyle w:val="Quote"/>
      </w:pPr>
      <w:bookmarkStart w:id="148" w:name="_Hlk17018602"/>
      <w:r w:rsidRPr="001A28C6">
        <w:t>there is excellent evidence that screening for severe mental disorders is more effective than a referral</w:t>
      </w:r>
      <w:r w:rsidRPr="009E213B">
        <w:t xml:space="preserve"> based system, on reception in police stations, </w:t>
      </w:r>
      <w:r>
        <w:t>…</w:t>
      </w:r>
      <w:r w:rsidRPr="009E213B">
        <w:t xml:space="preserve"> courts, </w:t>
      </w:r>
      <w:r>
        <w:t>…</w:t>
      </w:r>
      <w:r w:rsidRPr="009E213B">
        <w:t xml:space="preserve"> and remand prisons. </w:t>
      </w:r>
      <w:r>
        <w:t>…</w:t>
      </w:r>
      <w:r w:rsidRPr="00E42BE0">
        <w:t xml:space="preserve"> </w:t>
      </w:r>
      <w:bookmarkEnd w:id="148"/>
      <w:r w:rsidRPr="00E42BE0">
        <w:t>There is further evidence that integrated services in whic</w:t>
      </w:r>
      <w:r w:rsidRPr="00DD29A3">
        <w:t>h court liaison services are connected to prison in-reach services achieve faster and more effective diversion from the criminal justice system. (pp.</w:t>
      </w:r>
      <w:r w:rsidR="00287738">
        <w:t> </w:t>
      </w:r>
      <w:r w:rsidRPr="00DD29A3">
        <w:t>9–10)</w:t>
      </w:r>
    </w:p>
    <w:p w14:paraId="1B846D79" w14:textId="77777777" w:rsidR="00287738" w:rsidRPr="00287738" w:rsidRDefault="00287738" w:rsidP="00287738"/>
    <w:p w14:paraId="42688702" w14:textId="77777777" w:rsidR="009636B7" w:rsidRPr="00075571" w:rsidRDefault="009636B7" w:rsidP="00287738">
      <w:pPr>
        <w:pStyle w:val="Heading3"/>
      </w:pPr>
      <w:bookmarkStart w:id="149" w:name="_Toc16805655"/>
      <w:r w:rsidRPr="00075571">
        <w:t xml:space="preserve">Priority </w:t>
      </w:r>
      <w:r>
        <w:t>p</w:t>
      </w:r>
      <w:r w:rsidRPr="00075571">
        <w:t>opulations</w:t>
      </w:r>
      <w:bookmarkEnd w:id="149"/>
    </w:p>
    <w:p w14:paraId="3F103F94" w14:textId="77777777" w:rsidR="009636B7" w:rsidRDefault="009636B7" w:rsidP="00287738">
      <w:r w:rsidRPr="00075571">
        <w:t xml:space="preserve">In contrast to the </w:t>
      </w:r>
      <w:r>
        <w:t xml:space="preserve">results of the </w:t>
      </w:r>
      <w:r w:rsidRPr="00075571">
        <w:t xml:space="preserve">other reviews, </w:t>
      </w:r>
      <w:r>
        <w:t xml:space="preserve">in this courts review the researchers found </w:t>
      </w:r>
      <w:r w:rsidRPr="00075571">
        <w:t xml:space="preserve">a notable gap in the literature on mental health services for priority populations. </w:t>
      </w:r>
      <w:r>
        <w:t>They located o</w:t>
      </w:r>
      <w:r w:rsidRPr="00075571">
        <w:t xml:space="preserve">nly a few sources addressing court services for women and indigenous populations </w:t>
      </w:r>
      <w:r>
        <w:t>specifically</w:t>
      </w:r>
      <w:r w:rsidRPr="00075571">
        <w:t>.</w:t>
      </w:r>
    </w:p>
    <w:p w14:paraId="6D63E129" w14:textId="77777777" w:rsidR="00287738" w:rsidRPr="00075571" w:rsidRDefault="00287738" w:rsidP="00287738"/>
    <w:p w14:paraId="2BC1DE47" w14:textId="77777777" w:rsidR="009636B7" w:rsidRPr="00075571" w:rsidRDefault="009636B7" w:rsidP="00287738">
      <w:pPr>
        <w:pStyle w:val="Heading4"/>
      </w:pPr>
      <w:r w:rsidRPr="001A28C6">
        <w:t xml:space="preserve">Māori, </w:t>
      </w:r>
      <w:r>
        <w:t>Pacific peoples</w:t>
      </w:r>
      <w:r w:rsidRPr="009E213B">
        <w:t xml:space="preserve"> and </w:t>
      </w:r>
      <w:r>
        <w:t>o</w:t>
      </w:r>
      <w:r w:rsidRPr="009E213B">
        <w:t xml:space="preserve">ther </w:t>
      </w:r>
      <w:r>
        <w:t>i</w:t>
      </w:r>
      <w:r w:rsidRPr="009E213B">
        <w:t xml:space="preserve">ndigenous </w:t>
      </w:r>
      <w:r>
        <w:t>g</w:t>
      </w:r>
      <w:r w:rsidRPr="009E213B">
        <w:t>roups</w:t>
      </w:r>
    </w:p>
    <w:p w14:paraId="47791159" w14:textId="77777777" w:rsidR="009636B7" w:rsidRPr="00075571" w:rsidRDefault="009636B7" w:rsidP="00287738">
      <w:r>
        <w:t>The researchers found n</w:t>
      </w:r>
      <w:r w:rsidRPr="00075571">
        <w:t xml:space="preserve">o literature describing Māori- or </w:t>
      </w:r>
      <w:r>
        <w:t>Pacific</w:t>
      </w:r>
      <w:r w:rsidRPr="00075571">
        <w:t xml:space="preserve">-specific court liaison services or needs within this aspect of the justice system, nor any documentation of the presence of cultural advisors within the court liaison team in </w:t>
      </w:r>
      <w:r>
        <w:t>Aotearoa New Zealand</w:t>
      </w:r>
      <w:r w:rsidRPr="00075571">
        <w:t xml:space="preserve">. This gap in the literature is consistent with the findings of Jones and Day (2011), who reported </w:t>
      </w:r>
      <w:r>
        <w:t xml:space="preserve">that </w:t>
      </w:r>
      <w:r w:rsidR="00EE0ADB">
        <w:t>‘</w:t>
      </w:r>
      <w:r w:rsidRPr="00075571">
        <w:t>indigenous men and women in the criminal justice system can be considered to belong to a significant, but neglected, group whose needs are poorly understood</w:t>
      </w:r>
      <w:r w:rsidR="00EE0ADB">
        <w:t>’</w:t>
      </w:r>
      <w:r w:rsidR="00AD0D58">
        <w:t xml:space="preserve"> (p. </w:t>
      </w:r>
      <w:r w:rsidRPr="00075571">
        <w:t xml:space="preserve">325). Speaking within the Australian context, Jones and Day identify four points </w:t>
      </w:r>
      <w:r>
        <w:t xml:space="preserve">at which </w:t>
      </w:r>
      <w:r w:rsidRPr="00075571">
        <w:t xml:space="preserve">mental health </w:t>
      </w:r>
      <w:r w:rsidRPr="000137EC">
        <w:t>initiatives</w:t>
      </w:r>
      <w:r w:rsidRPr="00075571">
        <w:t xml:space="preserve"> for aboriginal service users can be positioned: </w:t>
      </w:r>
      <w:r w:rsidR="00EE0ADB">
        <w:t>‘</w:t>
      </w:r>
      <w:r w:rsidRPr="00075571">
        <w:t>pre-contact with the criminal justice system, policing and court processing, during the serving of a sentence, and at transition and post-release</w:t>
      </w:r>
      <w:r w:rsidR="00EE0ADB">
        <w:t>’</w:t>
      </w:r>
      <w:r w:rsidR="00AD0D58">
        <w:t xml:space="preserve"> (p. </w:t>
      </w:r>
      <w:r w:rsidRPr="00075571">
        <w:t>329). Some such services do currently exist in Australia</w:t>
      </w:r>
      <w:r>
        <w:t>;</w:t>
      </w:r>
      <w:r w:rsidRPr="00075571">
        <w:t xml:space="preserve"> for example</w:t>
      </w:r>
      <w:r>
        <w:t>,</w:t>
      </w:r>
      <w:r w:rsidRPr="00075571">
        <w:t xml:space="preserve"> in Koori </w:t>
      </w:r>
      <w:r>
        <w:t>C</w:t>
      </w:r>
      <w:r w:rsidRPr="00075571">
        <w:t>ourts</w:t>
      </w:r>
      <w:r>
        <w:t>,</w:t>
      </w:r>
      <w:r w:rsidRPr="00075571">
        <w:t xml:space="preserve"> which offer some diversionary options</w:t>
      </w:r>
      <w:r>
        <w:t>,</w:t>
      </w:r>
      <w:r w:rsidRPr="00075571">
        <w:t xml:space="preserve"> and Koori </w:t>
      </w:r>
      <w:r>
        <w:t>C</w:t>
      </w:r>
      <w:r w:rsidRPr="00075571">
        <w:t xml:space="preserve">ourt liaison officer positions in drug courts and domestic violence courts. </w:t>
      </w:r>
      <w:r>
        <w:t>I</w:t>
      </w:r>
      <w:r w:rsidRPr="00075571">
        <w:t xml:space="preserve">n Canada, recent arguments have been made toward the adoption of </w:t>
      </w:r>
      <w:r>
        <w:t xml:space="preserve">MHCs </w:t>
      </w:r>
      <w:r w:rsidRPr="00075571">
        <w:t xml:space="preserve">and other models of therapeutic jurisprudence </w:t>
      </w:r>
      <w:r>
        <w:t xml:space="preserve">that </w:t>
      </w:r>
      <w:r w:rsidRPr="00075571">
        <w:t xml:space="preserve">resonate with traditional indigenous values specifically for Inuit communities, though such services have yet to be actualised (Ferrazzi </w:t>
      </w:r>
      <w:r>
        <w:t>and</w:t>
      </w:r>
      <w:r w:rsidRPr="00075571">
        <w:t xml:space="preserve"> Krupa 2016b).</w:t>
      </w:r>
    </w:p>
    <w:p w14:paraId="0A9B6F15" w14:textId="77777777" w:rsidR="009636B7" w:rsidRPr="00075571" w:rsidRDefault="009636B7" w:rsidP="00287738"/>
    <w:p w14:paraId="080133C0" w14:textId="77777777" w:rsidR="00EE0ADB" w:rsidRDefault="009636B7" w:rsidP="00287738">
      <w:r w:rsidRPr="00075571">
        <w:t>Jones and Day argue</w:t>
      </w:r>
      <w:r>
        <w:t>:</w:t>
      </w:r>
    </w:p>
    <w:p w14:paraId="312B0C4A" w14:textId="77777777" w:rsidR="009636B7" w:rsidRPr="001A28C6" w:rsidRDefault="009636B7" w:rsidP="00287738">
      <w:pPr>
        <w:pStyle w:val="Quote"/>
      </w:pPr>
      <w:r w:rsidRPr="001A28C6">
        <w:t>the missing piece in this picture appears to be service coordination between justice and health so that the two systems can join forces to manage Indigenous clients who belong to both, especially in relation to identification, assessment and treatment of mental impairment in the criminal justice system.</w:t>
      </w:r>
      <w:r w:rsidR="00AD0D58">
        <w:t xml:space="preserve"> (p. </w:t>
      </w:r>
      <w:r w:rsidRPr="001A28C6">
        <w:t>329)</w:t>
      </w:r>
    </w:p>
    <w:p w14:paraId="5B834DEB" w14:textId="77777777" w:rsidR="009636B7" w:rsidRPr="00E42BE0" w:rsidRDefault="009636B7" w:rsidP="00287738"/>
    <w:p w14:paraId="575124CF" w14:textId="77777777" w:rsidR="00EE0ADB" w:rsidRDefault="009636B7" w:rsidP="00287738">
      <w:r w:rsidRPr="00075571">
        <w:t xml:space="preserve">Further barriers to developing continuity of care through the criminal justice and mental health system for indigenous peoples include </w:t>
      </w:r>
      <w:r w:rsidR="00EE0ADB">
        <w:t>‘</w:t>
      </w:r>
      <w:r w:rsidRPr="00075571">
        <w:t xml:space="preserve">tensions and difference in perspective between the health, justice and possibly other sectors of government </w:t>
      </w:r>
      <w:r w:rsidRPr="00075571">
        <w:lastRenderedPageBreak/>
        <w:t>about the scope of their responsibilities in relation to the mental health of Indigenous people in the criminal justice system</w:t>
      </w:r>
      <w:r w:rsidR="00EE0ADB">
        <w:t>’</w:t>
      </w:r>
      <w:r w:rsidR="00AD0D58">
        <w:t xml:space="preserve"> (p. </w:t>
      </w:r>
      <w:r w:rsidRPr="00075571">
        <w:t>329), the lack of quality indigenous mental health data and the lack of strong partnerships between indigenous/community and non-indigenous/government stakeholders. As such, more research is needed to identify the specific needs of indigenous peoples, including Māori, within the criminal justice system and specifically FMHS</w:t>
      </w:r>
      <w:r>
        <w:t>s</w:t>
      </w:r>
      <w:r w:rsidRPr="00075571">
        <w:t xml:space="preserve"> within the courts.</w:t>
      </w:r>
    </w:p>
    <w:p w14:paraId="5EFDFD60" w14:textId="77777777" w:rsidR="00287738" w:rsidRDefault="00287738" w:rsidP="00287738"/>
    <w:p w14:paraId="50EE4675" w14:textId="77777777" w:rsidR="009636B7" w:rsidRPr="00075571" w:rsidRDefault="009636B7" w:rsidP="00287738">
      <w:pPr>
        <w:pStyle w:val="Heading4"/>
      </w:pPr>
      <w:r w:rsidRPr="00075571">
        <w:t>Women</w:t>
      </w:r>
    </w:p>
    <w:p w14:paraId="6011D6A3" w14:textId="77777777" w:rsidR="00287738" w:rsidRDefault="009636B7" w:rsidP="00287738">
      <w:r w:rsidRPr="00075571">
        <w:t>The female prison population is increasing at unprecedented rates</w:t>
      </w:r>
      <w:r>
        <w:t>,</w:t>
      </w:r>
      <w:r w:rsidRPr="00075571">
        <w:t xml:space="preserve"> both within </w:t>
      </w:r>
      <w:r>
        <w:t>Aotearoa New Zealand</w:t>
      </w:r>
      <w:r w:rsidRPr="00075571">
        <w:t xml:space="preserve"> and internationally (</w:t>
      </w:r>
      <w:hyperlink r:id="rId36" w:history="1">
        <w:r w:rsidRPr="00C17057">
          <w:rPr>
            <w:rStyle w:val="Hyperlink"/>
          </w:rPr>
          <w:t>Department of Corrections 2010</w:t>
        </w:r>
      </w:hyperlink>
      <w:r>
        <w:t>)</w:t>
      </w:r>
      <w:r w:rsidRPr="00075571">
        <w:t>. This has led some services to consider how diversion services may provide an avenue to address this concern (eg, Walsh 2003). Hunter</w:t>
      </w:r>
      <w:r>
        <w:t xml:space="preserve"> </w:t>
      </w:r>
      <w:r w:rsidR="00AD0D58">
        <w:t>et al</w:t>
      </w:r>
      <w:r w:rsidRPr="00075571">
        <w:t xml:space="preserve"> (2007) evaluated the work of 10</w:t>
      </w:r>
      <w:r w:rsidR="00287738">
        <w:t> </w:t>
      </w:r>
      <w:r w:rsidRPr="00075571">
        <w:t xml:space="preserve">criminal justice liaison and diversion schemes in England and Wales to determine </w:t>
      </w:r>
      <w:r w:rsidR="00EE0ADB">
        <w:t>‘</w:t>
      </w:r>
      <w:r w:rsidRPr="00075571">
        <w:t>the extent and nature of the service these schemes provide for women offenders and their success in enabling women to receive help in the community rather than serving a custodial sentence</w:t>
      </w:r>
      <w:r w:rsidR="00EE0ADB">
        <w:t>’</w:t>
      </w:r>
      <w:r w:rsidR="00AD0D58">
        <w:t xml:space="preserve"> (p. </w:t>
      </w:r>
      <w:r w:rsidRPr="00075571">
        <w:t>ii). More specifically, the authors investigated: (a) contact between the service and women offenders with mental health issues, (b) the schemes</w:t>
      </w:r>
      <w:r w:rsidR="00EE0ADB">
        <w:t>’</w:t>
      </w:r>
      <w:r w:rsidRPr="00075571">
        <w:t xml:space="preserve"> provision of access to support and treatment and (c) factors facilitating or impeding the identification and support of women prisoners with mental health issues.</w:t>
      </w:r>
    </w:p>
    <w:p w14:paraId="276406C7" w14:textId="77777777" w:rsidR="00EE0ADB" w:rsidRDefault="009636B7" w:rsidP="00287738">
      <w:r w:rsidRPr="00075571">
        <w:t>Overall, the authors could not determine the extent of successful referrals of women from the schemes to mental health services</w:t>
      </w:r>
      <w:r>
        <w:t>,</w:t>
      </w:r>
      <w:r w:rsidRPr="00075571">
        <w:t xml:space="preserve"> due to a lack of outcome data. Generally, </w:t>
      </w:r>
      <w:r>
        <w:t xml:space="preserve">however, they found that </w:t>
      </w:r>
      <w:r w:rsidRPr="00075571">
        <w:t xml:space="preserve">women were the </w:t>
      </w:r>
      <w:r w:rsidR="00EE0ADB">
        <w:t>‘</w:t>
      </w:r>
      <w:r w:rsidRPr="00075571">
        <w:t>minority</w:t>
      </w:r>
      <w:r w:rsidR="00EE0ADB">
        <w:t>’</w:t>
      </w:r>
      <w:r w:rsidRPr="00075571">
        <w:t xml:space="preserve"> client as</w:t>
      </w:r>
      <w:r>
        <w:t>:</w:t>
      </w:r>
    </w:p>
    <w:p w14:paraId="4364D8C9" w14:textId="77777777" w:rsidR="009636B7" w:rsidRPr="00075571" w:rsidRDefault="009636B7" w:rsidP="006C2A8E">
      <w:pPr>
        <w:pStyle w:val="Quote"/>
      </w:pPr>
      <w:r w:rsidRPr="00075571">
        <w:t xml:space="preserve">they were less likely than the males to have previous convictions or to have been arrested for violent offences. Women were also less likely to be diagnosed with severe and enduring mental illness and more likely to be </w:t>
      </w:r>
      <w:r w:rsidR="00EE0ADB">
        <w:t>‘</w:t>
      </w:r>
      <w:r w:rsidRPr="00075571">
        <w:t>diagnosed</w:t>
      </w:r>
      <w:r w:rsidR="00EE0ADB">
        <w:t>’</w:t>
      </w:r>
      <w:r w:rsidRPr="00075571">
        <w:t xml:space="preserve"> with substance misuse problems.</w:t>
      </w:r>
      <w:r w:rsidR="00AD0D58">
        <w:t xml:space="preserve"> (p. </w:t>
      </w:r>
      <w:r w:rsidRPr="00075571">
        <w:t>iii)</w:t>
      </w:r>
    </w:p>
    <w:p w14:paraId="0EDD5E5B" w14:textId="77777777" w:rsidR="009636B7" w:rsidRPr="00075571" w:rsidRDefault="009636B7" w:rsidP="006C2A8E"/>
    <w:p w14:paraId="5D797989" w14:textId="77777777" w:rsidR="00EE0ADB" w:rsidRDefault="009636B7" w:rsidP="006C2A8E">
      <w:r w:rsidRPr="00075571">
        <w:t xml:space="preserve">In terms of service provision, few gender-specific services </w:t>
      </w:r>
      <w:r>
        <w:t xml:space="preserve">were available </w:t>
      </w:r>
      <w:r w:rsidRPr="00075571">
        <w:t xml:space="preserve">at the point of </w:t>
      </w:r>
      <w:r>
        <w:t>a person</w:t>
      </w:r>
      <w:r w:rsidR="00EE0ADB">
        <w:t>’</w:t>
      </w:r>
      <w:r>
        <w:t xml:space="preserve">s </w:t>
      </w:r>
      <w:r w:rsidRPr="00075571">
        <w:t xml:space="preserve">contact with the schemes, and most staff had not undergone gender-specific training on working with female clients. Where such services </w:t>
      </w:r>
      <w:r>
        <w:t>were available</w:t>
      </w:r>
      <w:r w:rsidRPr="00075571">
        <w:t>, the most common form was same-sex screening and assessment</w:t>
      </w:r>
      <w:r>
        <w:t>;</w:t>
      </w:r>
      <w:r w:rsidRPr="00075571">
        <w:t xml:space="preserve"> however</w:t>
      </w:r>
      <w:r>
        <w:t>,</w:t>
      </w:r>
      <w:r w:rsidRPr="00075571">
        <w:t xml:space="preserve"> this was not always feasible. </w:t>
      </w:r>
      <w:r w:rsidRPr="001A28C6">
        <w:t xml:space="preserve">The authors thus recommend resources </w:t>
      </w:r>
      <w:r w:rsidR="00EE0ADB">
        <w:t>‘</w:t>
      </w:r>
      <w:r w:rsidRPr="001A28C6">
        <w:t>should be deployed in a way that permits more gender-specific working practices</w:t>
      </w:r>
      <w:r w:rsidR="00EE0ADB">
        <w:t>’</w:t>
      </w:r>
      <w:r w:rsidR="00AD0D58">
        <w:t xml:space="preserve"> (p. </w:t>
      </w:r>
      <w:r w:rsidRPr="001A28C6">
        <w:t>v), including the provision of staff training and education on women</w:t>
      </w:r>
      <w:r w:rsidR="00EE0ADB">
        <w:t>’</w:t>
      </w:r>
      <w:r w:rsidRPr="001A28C6">
        <w:t>s specific needs and the profile of women offenders, as well as on current gender equality strategies within the organisation.</w:t>
      </w:r>
    </w:p>
    <w:p w14:paraId="18386A9E" w14:textId="77777777" w:rsidR="009636B7" w:rsidRPr="00DD29A3" w:rsidRDefault="009636B7" w:rsidP="006C2A8E"/>
    <w:p w14:paraId="475EEDD0" w14:textId="77777777" w:rsidR="00EE0ADB" w:rsidRDefault="009636B7" w:rsidP="006C2A8E">
      <w:r w:rsidRPr="00482A5B">
        <w:t xml:space="preserve">Hunter </w:t>
      </w:r>
      <w:r w:rsidR="00AD0D58">
        <w:t>et al</w:t>
      </w:r>
      <w:r w:rsidRPr="00482A5B">
        <w:t xml:space="preserve"> (2007) suggest </w:t>
      </w:r>
      <w:r>
        <w:t xml:space="preserve">that </w:t>
      </w:r>
      <w:r w:rsidRPr="00482A5B">
        <w:t>proactive screeni</w:t>
      </w:r>
      <w:r w:rsidRPr="00A537F0">
        <w:t xml:space="preserve">ng is especially important given </w:t>
      </w:r>
      <w:r>
        <w:t xml:space="preserve">that </w:t>
      </w:r>
      <w:r w:rsidRPr="00A537F0">
        <w:t>women</w:t>
      </w:r>
      <w:r w:rsidR="00EE0ADB">
        <w:t>’</w:t>
      </w:r>
      <w:r w:rsidRPr="00A537F0">
        <w:t>s mental health problems may be less visible to non</w:t>
      </w:r>
      <w:r w:rsidRPr="00FB779C">
        <w:t>-specialists. Finally, the authors recommend</w:t>
      </w:r>
      <w:r w:rsidRPr="000329FE">
        <w:t xml:space="preserve"> improved working relationships and communication between court and prison in-reach teams.</w:t>
      </w:r>
    </w:p>
    <w:p w14:paraId="1FD62A2B" w14:textId="77777777" w:rsidR="006C2A8E" w:rsidRDefault="006C2A8E" w:rsidP="006C2A8E"/>
    <w:p w14:paraId="761C72C8" w14:textId="77777777" w:rsidR="009636B7" w:rsidRPr="00075571" w:rsidRDefault="009636B7" w:rsidP="006C2A8E">
      <w:pPr>
        <w:pStyle w:val="Heading2"/>
      </w:pPr>
      <w:bookmarkStart w:id="150" w:name="_Toc16805656"/>
      <w:bookmarkStart w:id="151" w:name="_Toc88823244"/>
      <w:bookmarkStart w:id="152" w:name="_Toc90026013"/>
      <w:r w:rsidRPr="00075571">
        <w:t>Summary</w:t>
      </w:r>
      <w:bookmarkEnd w:id="150"/>
      <w:bookmarkEnd w:id="151"/>
      <w:bookmarkEnd w:id="152"/>
    </w:p>
    <w:p w14:paraId="3C6C6794" w14:textId="77777777" w:rsidR="00EE0ADB" w:rsidRDefault="009636B7" w:rsidP="006C2A8E">
      <w:r w:rsidRPr="00075571">
        <w:t>Court FMHS</w:t>
      </w:r>
      <w:r>
        <w:t>s</w:t>
      </w:r>
      <w:r w:rsidRPr="00075571">
        <w:t xml:space="preserve"> predominantly comprise three distinct yet overlapping roles: (a)</w:t>
      </w:r>
      <w:r w:rsidR="006C2A8E">
        <w:t> </w:t>
      </w:r>
      <w:r w:rsidRPr="00075571">
        <w:t>consultation, where</w:t>
      </w:r>
      <w:r>
        <w:t>by</w:t>
      </w:r>
      <w:r w:rsidRPr="00075571">
        <w:t xml:space="preserve"> the court seeks expert advice for individual cases from psychiatrists, psychologists and/or nurses; (b) diversion, where FMHS</w:t>
      </w:r>
      <w:r>
        <w:t>s</w:t>
      </w:r>
      <w:r w:rsidRPr="00075571">
        <w:t xml:space="preserve"> coordinate </w:t>
      </w:r>
      <w:r w:rsidRPr="00075571">
        <w:lastRenderedPageBreak/>
        <w:t>transfer of care</w:t>
      </w:r>
      <w:r>
        <w:t>,</w:t>
      </w:r>
      <w:r w:rsidRPr="00075571">
        <w:t xml:space="preserve"> most likely into inpatient services, but not necessarily out of the judicial system; and (c) liaison, where FMHS</w:t>
      </w:r>
      <w:r>
        <w:t>s</w:t>
      </w:r>
      <w:r w:rsidRPr="00075571">
        <w:t xml:space="preserve"> provide complementary services (eg,</w:t>
      </w:r>
      <w:r w:rsidR="006C2A8E">
        <w:t> </w:t>
      </w:r>
      <w:r w:rsidRPr="00075571">
        <w:t xml:space="preserve">screening, assessment, evaluation </w:t>
      </w:r>
      <w:r>
        <w:t xml:space="preserve">and </w:t>
      </w:r>
      <w:r w:rsidRPr="00075571">
        <w:t xml:space="preserve">coordination of care) to individuals moving through the court system, which may or may not include diversion. A wide-ranging and relatively well-developed body of literature details the various diversion and liaison schemes operating internationally, particularly in Australia and the United Kingdom. Most relevant to the </w:t>
      </w:r>
      <w:r>
        <w:t>Aotearoa New Zealand</w:t>
      </w:r>
      <w:r w:rsidRPr="00075571">
        <w:t xml:space="preserve"> context are combined schemes which interface with prison in-reach </w:t>
      </w:r>
      <w:r>
        <w:t xml:space="preserve">services </w:t>
      </w:r>
      <w:r w:rsidRPr="00075571">
        <w:t>and GMHS</w:t>
      </w:r>
      <w:r>
        <w:t>s</w:t>
      </w:r>
      <w:r w:rsidRPr="00075571">
        <w:t>.</w:t>
      </w:r>
    </w:p>
    <w:p w14:paraId="25CE7B99" w14:textId="77777777" w:rsidR="009636B7" w:rsidRPr="00075571" w:rsidRDefault="009636B7" w:rsidP="006C2A8E"/>
    <w:p w14:paraId="7D686675" w14:textId="77777777" w:rsidR="006C2A8E" w:rsidRDefault="009636B7" w:rsidP="006C2A8E">
      <w:bookmarkStart w:id="153" w:name="_Hlk17019536"/>
      <w:r>
        <w:t xml:space="preserve">Generally, the literature does not clearly articulate </w:t>
      </w:r>
      <w:r w:rsidRPr="00075571">
        <w:t>models of care</w:t>
      </w:r>
      <w:r>
        <w:t>;</w:t>
      </w:r>
      <w:r w:rsidRPr="00075571">
        <w:t xml:space="preserve"> nor </w:t>
      </w:r>
      <w:r>
        <w:t xml:space="preserve">does it extensively discuss </w:t>
      </w:r>
      <w:r w:rsidRPr="00075571">
        <w:t xml:space="preserve">therapeutic security, rehabilitation or recovery. In terms of best practices, the literature highlights the importance of an integrated, holistic service across the entire offender pathway that </w:t>
      </w:r>
      <w:r>
        <w:t>us</w:t>
      </w:r>
      <w:r w:rsidRPr="00075571">
        <w:t>es proactive early intervention and prevention strategies, such as police liaison services, and facilitates interservice collaboration. Further, the evidence suggests the need for gender-</w:t>
      </w:r>
      <w:r>
        <w:t>responsive</w:t>
      </w:r>
      <w:r w:rsidRPr="00075571">
        <w:t xml:space="preserve"> and culturally</w:t>
      </w:r>
      <w:r>
        <w:t xml:space="preserve"> </w:t>
      </w:r>
      <w:r w:rsidRPr="00075571">
        <w:t>responsive services in the courts, which are currently lacking in comparison to other arms of FMHS</w:t>
      </w:r>
      <w:r>
        <w:t>s</w:t>
      </w:r>
      <w:r w:rsidRPr="00075571">
        <w:t xml:space="preserve">, </w:t>
      </w:r>
      <w:r>
        <w:t xml:space="preserve">representing </w:t>
      </w:r>
      <w:r w:rsidRPr="00075571">
        <w:t>an area for further inquiry and development.</w:t>
      </w:r>
    </w:p>
    <w:p w14:paraId="292F9A74" w14:textId="77777777" w:rsidR="006C2A8E" w:rsidRDefault="006C2A8E" w:rsidP="006C2A8E"/>
    <w:p w14:paraId="22452909" w14:textId="77777777" w:rsidR="009636B7" w:rsidRPr="0043256B" w:rsidRDefault="009636B7" w:rsidP="006C2A8E">
      <w:pPr>
        <w:pStyle w:val="Heading1"/>
      </w:pPr>
      <w:bookmarkStart w:id="154" w:name="_Toc88823245"/>
      <w:bookmarkStart w:id="155" w:name="_Toc90026014"/>
      <w:bookmarkEnd w:id="153"/>
      <w:r w:rsidRPr="006C2A8E">
        <w:rPr>
          <w:b w:val="0"/>
        </w:rPr>
        <w:lastRenderedPageBreak/>
        <w:t>Section 6:</w:t>
      </w:r>
      <w:r w:rsidRPr="006C2A8E">
        <w:rPr>
          <w:b w:val="0"/>
        </w:rPr>
        <w:br/>
      </w:r>
      <w:r w:rsidRPr="00E42BE0">
        <w:t xml:space="preserve">Regional, </w:t>
      </w:r>
      <w:r>
        <w:t>n</w:t>
      </w:r>
      <w:r w:rsidRPr="00E42BE0">
        <w:t xml:space="preserve">ational </w:t>
      </w:r>
      <w:r>
        <w:t>and</w:t>
      </w:r>
      <w:r w:rsidRPr="00E42BE0">
        <w:t xml:space="preserve"> </w:t>
      </w:r>
      <w:r>
        <w:t>i</w:t>
      </w:r>
      <w:r w:rsidRPr="00E42BE0">
        <w:t xml:space="preserve">nternational </w:t>
      </w:r>
      <w:r>
        <w:t>g</w:t>
      </w:r>
      <w:r w:rsidRPr="00E42BE0">
        <w:t>uidelines</w:t>
      </w:r>
      <w:bookmarkEnd w:id="154"/>
      <w:bookmarkEnd w:id="155"/>
    </w:p>
    <w:p w14:paraId="52441064" w14:textId="77777777" w:rsidR="009636B7" w:rsidRPr="00075571" w:rsidRDefault="009636B7" w:rsidP="00573C9D">
      <w:pPr>
        <w:pStyle w:val="Heading2"/>
      </w:pPr>
      <w:bookmarkStart w:id="156" w:name="_Toc88823246"/>
      <w:bookmarkStart w:id="157" w:name="_Toc90026015"/>
      <w:r w:rsidRPr="00075571">
        <w:t>Introduction</w:t>
      </w:r>
      <w:bookmarkEnd w:id="156"/>
      <w:bookmarkEnd w:id="157"/>
    </w:p>
    <w:p w14:paraId="1835A92B" w14:textId="77777777" w:rsidR="00EE0ADB" w:rsidRDefault="009636B7" w:rsidP="00573C9D">
      <w:r w:rsidRPr="00075571">
        <w:t xml:space="preserve">The four systematic literature reviews highlighted the emergence of evidence-based best practices pertaining to models of care </w:t>
      </w:r>
      <w:r>
        <w:t xml:space="preserve">within FMHSs, </w:t>
      </w:r>
      <w:r w:rsidRPr="00075571">
        <w:t>primarily within the scholarly literature. Although</w:t>
      </w:r>
      <w:r>
        <w:t xml:space="preserve"> in the course of these reviews the researchers found</w:t>
      </w:r>
      <w:r w:rsidRPr="00075571">
        <w:t xml:space="preserve"> several </w:t>
      </w:r>
      <w:r>
        <w:t xml:space="preserve">relevant </w:t>
      </w:r>
      <w:r w:rsidRPr="00075571">
        <w:t>grey literature sources</w:t>
      </w:r>
      <w:r>
        <w:t xml:space="preserve"> (ie, organisational documents)</w:t>
      </w:r>
      <w:r w:rsidRPr="00075571">
        <w:t>, the</w:t>
      </w:r>
      <w:r>
        <w:t>y identified a</w:t>
      </w:r>
      <w:r w:rsidRPr="00075571">
        <w:t xml:space="preserve"> need to investigate </w:t>
      </w:r>
      <w:r>
        <w:t xml:space="preserve">such sources </w:t>
      </w:r>
      <w:r w:rsidRPr="00075571">
        <w:t>more directly</w:t>
      </w:r>
      <w:r>
        <w:t xml:space="preserve">. The Ministry of Health </w:t>
      </w:r>
      <w:r w:rsidRPr="00075571">
        <w:t xml:space="preserve">may use </w:t>
      </w:r>
      <w:r>
        <w:t xml:space="preserve">such organisational guidelines </w:t>
      </w:r>
      <w:r w:rsidRPr="00075571">
        <w:t xml:space="preserve">to inform the development of a national </w:t>
      </w:r>
      <w:r w:rsidRPr="000329FE">
        <w:rPr>
          <w:rFonts w:cs="Segoe UI"/>
        </w:rPr>
        <w:t>implementation guidance document</w:t>
      </w:r>
      <w:r w:rsidRPr="00075571">
        <w:t xml:space="preserve"> for FMHS</w:t>
      </w:r>
      <w:r>
        <w:t>s</w:t>
      </w:r>
      <w:r w:rsidRPr="00075571">
        <w:t xml:space="preserve"> in </w:t>
      </w:r>
      <w:r>
        <w:t>Aotearoa New Zealand</w:t>
      </w:r>
      <w:r w:rsidRPr="00075571">
        <w:t xml:space="preserve">. More specifically, it became clear that the scholarly literature </w:t>
      </w:r>
      <w:r>
        <w:t xml:space="preserve">represents </w:t>
      </w:r>
      <w:r w:rsidRPr="00075571">
        <w:t xml:space="preserve">but one avenue </w:t>
      </w:r>
      <w:r>
        <w:t xml:space="preserve">through which </w:t>
      </w:r>
      <w:r w:rsidRPr="00075571">
        <w:t>to disseminate the research and service development that occurs within FMHS</w:t>
      </w:r>
      <w:r>
        <w:t>s</w:t>
      </w:r>
      <w:r w:rsidRPr="00075571">
        <w:t xml:space="preserve">. A significant portion of documentation particularly concerning FMHS guidelines occurs at the organisational level, through such bodies as the </w:t>
      </w:r>
      <w:r>
        <w:t>Ministry of Health</w:t>
      </w:r>
      <w:r w:rsidRPr="00075571">
        <w:t xml:space="preserve"> and Ara Poutama. As such, in the final stage of this project, the researchers conducted a further review of the grey literature at the regional, national and international levels to investigate (a) what guidelines exist </w:t>
      </w:r>
      <w:r>
        <w:t xml:space="preserve">on </w:t>
      </w:r>
      <w:r w:rsidRPr="00075571">
        <w:t>models of care in FMHS</w:t>
      </w:r>
      <w:r>
        <w:t>s</w:t>
      </w:r>
      <w:r w:rsidRPr="00075571">
        <w:t xml:space="preserve"> and (b) how existing guidelines/models of care align with the evidence base.</w:t>
      </w:r>
    </w:p>
    <w:p w14:paraId="5DA78C1E" w14:textId="77777777" w:rsidR="00573C9D" w:rsidRDefault="00573C9D" w:rsidP="00573C9D"/>
    <w:p w14:paraId="7FB74F42" w14:textId="77777777" w:rsidR="009636B7" w:rsidRPr="001A28C6" w:rsidRDefault="009636B7" w:rsidP="00573C9D">
      <w:pPr>
        <w:pStyle w:val="Heading2"/>
      </w:pPr>
      <w:bookmarkStart w:id="158" w:name="_Toc88823247"/>
      <w:bookmarkStart w:id="159" w:name="_Toc90026016"/>
      <w:r w:rsidRPr="001A28C6">
        <w:t>Methodology</w:t>
      </w:r>
      <w:bookmarkEnd w:id="158"/>
      <w:bookmarkEnd w:id="159"/>
    </w:p>
    <w:p w14:paraId="36689A8D" w14:textId="77777777" w:rsidR="00EE0ADB" w:rsidRDefault="009636B7" w:rsidP="00573C9D">
      <w:r w:rsidRPr="00075571">
        <w:t xml:space="preserve">To obtain regional documents, a </w:t>
      </w:r>
      <w:r>
        <w:t>Ministry of Health</w:t>
      </w:r>
      <w:r w:rsidRPr="00075571">
        <w:t xml:space="preserve"> liaison </w:t>
      </w:r>
      <w:r>
        <w:t xml:space="preserve">directly </w:t>
      </w:r>
      <w:r w:rsidRPr="00075571">
        <w:t xml:space="preserve">contacted key stakeholders at </w:t>
      </w:r>
      <w:r>
        <w:t>d</w:t>
      </w:r>
      <w:r w:rsidRPr="00075571">
        <w:t xml:space="preserve">istrict </w:t>
      </w:r>
      <w:r>
        <w:t>h</w:t>
      </w:r>
      <w:r w:rsidRPr="00075571">
        <w:t xml:space="preserve">ealth </w:t>
      </w:r>
      <w:r>
        <w:t>b</w:t>
      </w:r>
      <w:r w:rsidRPr="00075571">
        <w:t xml:space="preserve">oards (DHBs) to request available service documentation concerning models of care. </w:t>
      </w:r>
      <w:r>
        <w:t>The researchers thus received a total of 18</w:t>
      </w:r>
      <w:r w:rsidR="00573C9D">
        <w:t> </w:t>
      </w:r>
      <w:r>
        <w:t xml:space="preserve">documents, from the </w:t>
      </w:r>
      <w:r w:rsidRPr="00075571">
        <w:t xml:space="preserve">five FMHS regions (Auckland, Midland </w:t>
      </w:r>
      <w:r>
        <w:t>(</w:t>
      </w:r>
      <w:r w:rsidRPr="00075571">
        <w:t>Puawai</w:t>
      </w:r>
      <w:r>
        <w:t>)</w:t>
      </w:r>
      <w:r w:rsidRPr="00075571">
        <w:t xml:space="preserve">, Central </w:t>
      </w:r>
      <w:r>
        <w:t>(</w:t>
      </w:r>
      <w:r w:rsidRPr="00075571">
        <w:t>Te</w:t>
      </w:r>
      <w:r w:rsidR="00573C9D">
        <w:t> </w:t>
      </w:r>
      <w:r w:rsidRPr="00075571">
        <w:t>Korowai Whāriki</w:t>
      </w:r>
      <w:r>
        <w:t>)</w:t>
      </w:r>
      <w:r w:rsidRPr="00075571">
        <w:t>, Canterbury and Southern).</w:t>
      </w:r>
    </w:p>
    <w:p w14:paraId="65FDEB90" w14:textId="77777777" w:rsidR="009636B7" w:rsidRPr="00075571" w:rsidRDefault="009636B7" w:rsidP="00573C9D"/>
    <w:p w14:paraId="5942D312" w14:textId="77777777" w:rsidR="00EE0ADB" w:rsidRDefault="009636B7" w:rsidP="00573C9D">
      <w:r w:rsidRPr="00075571">
        <w:t xml:space="preserve">To locate national documentation, the researchers searched the websites of relevant organisations and </w:t>
      </w:r>
      <w:r w:rsidRPr="000137EC">
        <w:t>governmental</w:t>
      </w:r>
      <w:r w:rsidRPr="00075571">
        <w:t xml:space="preserve"> bodies</w:t>
      </w:r>
      <w:r>
        <w:t>,</w:t>
      </w:r>
      <w:r w:rsidRPr="00075571">
        <w:t xml:space="preserve"> including the </w:t>
      </w:r>
      <w:r>
        <w:t>Ministry of Health</w:t>
      </w:r>
      <w:r w:rsidRPr="00075571">
        <w:t xml:space="preserve">, Ara Poutama, </w:t>
      </w:r>
      <w:r>
        <w:t xml:space="preserve">the </w:t>
      </w:r>
      <w:r w:rsidRPr="00075571">
        <w:t xml:space="preserve">Ministry of Justice, </w:t>
      </w:r>
      <w:r>
        <w:t xml:space="preserve">the </w:t>
      </w:r>
      <w:r w:rsidRPr="00075571">
        <w:t>Office of the Auditor-General and Te Pou o Te Whakaaro Nui</w:t>
      </w:r>
      <w:r>
        <w:t xml:space="preserve"> (</w:t>
      </w:r>
      <w:r w:rsidRPr="004E29D5">
        <w:t>New Zealand</w:t>
      </w:r>
      <w:r w:rsidR="00EE0ADB">
        <w:t>’</w:t>
      </w:r>
      <w:r w:rsidRPr="004E29D5">
        <w:t>s National Centre of Mental Health Research, Information and Workforce Development</w:t>
      </w:r>
      <w:r>
        <w:t>)</w:t>
      </w:r>
      <w:r w:rsidRPr="00075571">
        <w:t xml:space="preserve">, yielding 24 documents for review. To search the websites, the researchers manually reviewed all published documents available within </w:t>
      </w:r>
      <w:r w:rsidR="00EE0ADB">
        <w:t>‘</w:t>
      </w:r>
      <w:r w:rsidRPr="00075571">
        <w:t>publications</w:t>
      </w:r>
      <w:r w:rsidR="00EE0ADB">
        <w:t>’</w:t>
      </w:r>
      <w:r w:rsidRPr="00075571">
        <w:t>, resources and research sections</w:t>
      </w:r>
      <w:r>
        <w:t>,</w:t>
      </w:r>
      <w:r w:rsidRPr="00075571">
        <w:t xml:space="preserve"> and/or used the search function</w:t>
      </w:r>
      <w:r>
        <w:t>,</w:t>
      </w:r>
      <w:r w:rsidRPr="00075571">
        <w:t xml:space="preserve"> where available</w:t>
      </w:r>
      <w:r>
        <w:t>,</w:t>
      </w:r>
      <w:r w:rsidRPr="00075571">
        <w:t xml:space="preserve"> with the keywords </w:t>
      </w:r>
      <w:r w:rsidR="00EE0ADB">
        <w:t>‘</w:t>
      </w:r>
      <w:r w:rsidRPr="00075571">
        <w:t>forensic mental health</w:t>
      </w:r>
      <w:r w:rsidR="00EE0ADB">
        <w:t>’</w:t>
      </w:r>
      <w:r w:rsidRPr="00075571">
        <w:t xml:space="preserve"> and </w:t>
      </w:r>
      <w:r w:rsidR="00EE0ADB">
        <w:t>‘</w:t>
      </w:r>
      <w:r w:rsidRPr="00075571">
        <w:t>forensic psychiatry</w:t>
      </w:r>
      <w:r w:rsidR="00EE0ADB">
        <w:t>’</w:t>
      </w:r>
      <w:r w:rsidRPr="00075571">
        <w:t xml:space="preserve"> to locate </w:t>
      </w:r>
      <w:r w:rsidRPr="00075571">
        <w:lastRenderedPageBreak/>
        <w:t xml:space="preserve">results. </w:t>
      </w:r>
      <w:r>
        <w:t>The researchers reviewed the r</w:t>
      </w:r>
      <w:r w:rsidRPr="00075571">
        <w:t xml:space="preserve">esults first by title and then </w:t>
      </w:r>
      <w:r>
        <w:t xml:space="preserve">by </w:t>
      </w:r>
      <w:r w:rsidRPr="00075571">
        <w:t>full</w:t>
      </w:r>
      <w:r>
        <w:t xml:space="preserve"> </w:t>
      </w:r>
      <w:r w:rsidRPr="00075571">
        <w:t>text to determine relevance to the project brief.</w:t>
      </w:r>
    </w:p>
    <w:p w14:paraId="73A8389F" w14:textId="77777777" w:rsidR="009636B7" w:rsidRPr="00075571" w:rsidRDefault="009636B7" w:rsidP="00573C9D"/>
    <w:p w14:paraId="179118DC" w14:textId="77777777" w:rsidR="009636B7" w:rsidRPr="00075571" w:rsidRDefault="009636B7" w:rsidP="00573C9D">
      <w:r w:rsidRPr="00075571">
        <w:t xml:space="preserve">Finally, based on the findings of the systematic reviews, the researchers examined grey literature from four international jurisdictions (England and Wales, Scotland, Ireland and Victoria, Australia) deemed most relevant to the </w:t>
      </w:r>
      <w:r>
        <w:t>Aotearoa New Zealand</w:t>
      </w:r>
      <w:r w:rsidRPr="00075571">
        <w:t xml:space="preserve"> context. </w:t>
      </w:r>
      <w:r>
        <w:t xml:space="preserve">The search for relevant documents </w:t>
      </w:r>
      <w:r w:rsidRPr="00075571">
        <w:t>involved a combination of searching organisational websites using the same method as above</w:t>
      </w:r>
      <w:r>
        <w:t xml:space="preserve"> and </w:t>
      </w:r>
      <w:r w:rsidRPr="00075571">
        <w:t>contacting international colleagues within the researchers</w:t>
      </w:r>
      <w:r w:rsidR="00EE0ADB">
        <w:t>’</w:t>
      </w:r>
      <w:r w:rsidRPr="00075571">
        <w:t xml:space="preserve"> professional network</w:t>
      </w:r>
      <w:r>
        <w:t>s</w:t>
      </w:r>
      <w:r w:rsidRPr="00075571">
        <w:t xml:space="preserve">. The websites </w:t>
      </w:r>
      <w:r>
        <w:t xml:space="preserve">the researchers </w:t>
      </w:r>
      <w:r w:rsidRPr="00075571">
        <w:t>examined included</w:t>
      </w:r>
      <w:r>
        <w:t xml:space="preserve"> those of</w:t>
      </w:r>
      <w:r w:rsidRPr="00075571">
        <w:t>:</w:t>
      </w:r>
    </w:p>
    <w:p w14:paraId="34737562" w14:textId="77777777" w:rsidR="009636B7" w:rsidRPr="00075571" w:rsidRDefault="009636B7" w:rsidP="00573C9D">
      <w:pPr>
        <w:pStyle w:val="Bullet"/>
      </w:pPr>
      <w:r>
        <w:t>t</w:t>
      </w:r>
      <w:r w:rsidRPr="00075571">
        <w:t>he National Institute for Health and Care Excellence (England)</w:t>
      </w:r>
    </w:p>
    <w:p w14:paraId="4C6AF2B0" w14:textId="77777777" w:rsidR="00EE0ADB" w:rsidRDefault="009636B7" w:rsidP="00573C9D">
      <w:pPr>
        <w:pStyle w:val="Bullet"/>
      </w:pPr>
      <w:r>
        <w:t xml:space="preserve">the </w:t>
      </w:r>
      <w:r w:rsidRPr="00075571">
        <w:t xml:space="preserve">NHS </w:t>
      </w:r>
      <w:r>
        <w:t>(</w:t>
      </w:r>
      <w:r w:rsidRPr="00075571">
        <w:t>England</w:t>
      </w:r>
      <w:r>
        <w:t>)</w:t>
      </w:r>
    </w:p>
    <w:p w14:paraId="3DED2BB8" w14:textId="77777777" w:rsidR="009636B7" w:rsidRPr="00075571" w:rsidRDefault="009636B7" w:rsidP="00573C9D">
      <w:pPr>
        <w:pStyle w:val="Bullet"/>
      </w:pPr>
      <w:r>
        <w:t xml:space="preserve">the </w:t>
      </w:r>
      <w:r w:rsidRPr="00075571">
        <w:t>Royal College of Psychiatrists (England)</w:t>
      </w:r>
    </w:p>
    <w:p w14:paraId="4EB30D41" w14:textId="77777777" w:rsidR="009636B7" w:rsidRPr="00075571" w:rsidRDefault="009636B7" w:rsidP="00573C9D">
      <w:pPr>
        <w:pStyle w:val="Bullet"/>
      </w:pPr>
      <w:r>
        <w:t xml:space="preserve">the </w:t>
      </w:r>
      <w:r w:rsidRPr="00075571">
        <w:t xml:space="preserve">Forensic Network </w:t>
      </w:r>
      <w:r>
        <w:t>(Scotland)</w:t>
      </w:r>
    </w:p>
    <w:p w14:paraId="46106788" w14:textId="77777777" w:rsidR="009636B7" w:rsidRPr="00075571" w:rsidRDefault="009636B7" w:rsidP="00573C9D">
      <w:pPr>
        <w:pStyle w:val="Bullet"/>
      </w:pPr>
      <w:r w:rsidRPr="00075571">
        <w:t>Lenus (</w:t>
      </w:r>
      <w:r>
        <w:t xml:space="preserve">the </w:t>
      </w:r>
      <w:r w:rsidRPr="00075571">
        <w:t xml:space="preserve">Irish Health </w:t>
      </w:r>
      <w:r>
        <w:t xml:space="preserve">Research </w:t>
      </w:r>
      <w:r w:rsidRPr="00075571">
        <w:t>Repository)</w:t>
      </w:r>
    </w:p>
    <w:p w14:paraId="7E609BFA" w14:textId="77777777" w:rsidR="00EE0ADB" w:rsidRDefault="009636B7" w:rsidP="00573C9D">
      <w:pPr>
        <w:pStyle w:val="Bullet"/>
      </w:pPr>
      <w:r w:rsidRPr="00075571">
        <w:t>Victoria</w:t>
      </w:r>
      <w:r w:rsidR="00EE0ADB">
        <w:t>’</w:t>
      </w:r>
      <w:r>
        <w:t>s</w:t>
      </w:r>
      <w:r w:rsidRPr="00075571">
        <w:t xml:space="preserve"> Department of Health and Human Services (DHHS)</w:t>
      </w:r>
    </w:p>
    <w:p w14:paraId="5B4CC246" w14:textId="77777777" w:rsidR="009636B7" w:rsidRPr="00075571" w:rsidRDefault="009636B7" w:rsidP="00573C9D">
      <w:pPr>
        <w:pStyle w:val="Bullet"/>
      </w:pPr>
      <w:r w:rsidRPr="00075571">
        <w:t>Forensicare (</w:t>
      </w:r>
      <w:r>
        <w:t>the Victorian Institute of Forensic Mental Health</w:t>
      </w:r>
      <w:r w:rsidRPr="00075571">
        <w:t>)</w:t>
      </w:r>
      <w:r>
        <w:t>.</w:t>
      </w:r>
    </w:p>
    <w:p w14:paraId="2AC5EC65" w14:textId="77777777" w:rsidR="009636B7" w:rsidRPr="00075571" w:rsidRDefault="009636B7" w:rsidP="00573C9D"/>
    <w:p w14:paraId="060AA6ED" w14:textId="77777777" w:rsidR="00EE0ADB" w:rsidRDefault="009636B7" w:rsidP="00573C9D">
      <w:r>
        <w:t xml:space="preserve">The researchers retained a total of </w:t>
      </w:r>
      <w:r w:rsidRPr="00075571">
        <w:t xml:space="preserve">24 documents for the four jurisdictions. Notably, in the case of Victoria, </w:t>
      </w:r>
      <w:r>
        <w:t xml:space="preserve">they located </w:t>
      </w:r>
      <w:r w:rsidRPr="00075571">
        <w:t xml:space="preserve">only one relevant document via the two search methods. </w:t>
      </w:r>
      <w:r>
        <w:t xml:space="preserve">They did </w:t>
      </w:r>
      <w:r w:rsidRPr="00075571">
        <w:t xml:space="preserve">include </w:t>
      </w:r>
      <w:r>
        <w:t xml:space="preserve">this singular document in the review, as it </w:t>
      </w:r>
      <w:r w:rsidRPr="00075571">
        <w:t>signal</w:t>
      </w:r>
      <w:r>
        <w:t>s</w:t>
      </w:r>
      <w:r w:rsidRPr="00075571">
        <w:t xml:space="preserve"> a developing model of care that may be of interest in future service development.</w:t>
      </w:r>
    </w:p>
    <w:p w14:paraId="61B28978" w14:textId="77777777" w:rsidR="009636B7" w:rsidRDefault="009636B7" w:rsidP="00573C9D"/>
    <w:p w14:paraId="1950A35A" w14:textId="77777777" w:rsidR="00EE0ADB" w:rsidRDefault="009636B7" w:rsidP="00573C9D">
      <w:r w:rsidRPr="00075571">
        <w:t xml:space="preserve">In total, </w:t>
      </w:r>
      <w:r>
        <w:t xml:space="preserve">the researchers reviewed </w:t>
      </w:r>
      <w:r w:rsidRPr="00075571">
        <w:t>66 documents the three levels (regional, national and international).</w:t>
      </w:r>
    </w:p>
    <w:p w14:paraId="4597769B" w14:textId="77777777" w:rsidR="009636B7" w:rsidRDefault="009636B7" w:rsidP="00573C9D"/>
    <w:p w14:paraId="5EADFA03" w14:textId="77777777" w:rsidR="009636B7" w:rsidRDefault="00573C9D" w:rsidP="00573C9D">
      <w:pPr>
        <w:pStyle w:val="Figure"/>
      </w:pPr>
      <w:bookmarkStart w:id="160" w:name="_Toc90026035"/>
      <w:r>
        <w:t>Figure </w:t>
      </w:r>
      <w:r w:rsidR="002C1FB3">
        <w:fldChar w:fldCharType="begin"/>
      </w:r>
      <w:r w:rsidR="002C1FB3">
        <w:instrText xml:space="preserve"> SEQ Figure \* ARABIC </w:instrText>
      </w:r>
      <w:r w:rsidR="002C1FB3">
        <w:fldChar w:fldCharType="separate"/>
      </w:r>
      <w:r w:rsidR="00F73238">
        <w:rPr>
          <w:noProof/>
        </w:rPr>
        <w:t>10</w:t>
      </w:r>
      <w:r w:rsidR="002C1FB3">
        <w:rPr>
          <w:noProof/>
        </w:rPr>
        <w:fldChar w:fldCharType="end"/>
      </w:r>
      <w:r w:rsidR="009636B7" w:rsidRPr="00202460">
        <w:t>: Summary of grey literature review results</w:t>
      </w:r>
      <w:bookmarkEnd w:id="160"/>
    </w:p>
    <w:p w14:paraId="535D3FE5" w14:textId="77777777" w:rsidR="00573C9D" w:rsidRDefault="00573C9D" w:rsidP="00573C9D">
      <w:r>
        <w:rPr>
          <w:noProof/>
          <w:lang w:eastAsia="en-NZ"/>
        </w:rPr>
        <w:drawing>
          <wp:inline distT="0" distB="0" distL="0" distR="0" wp14:anchorId="48DA6D50" wp14:editId="566D5DD1">
            <wp:extent cx="3591098" cy="2107459"/>
            <wp:effectExtent l="0" t="0" r="0" b="7620"/>
            <wp:docPr id="7" name="Picture 7" descr="Regional documents to national documents to international documents with a total of 66 documents ret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Regional documents to national documents to international documents with a total of 66 documents retain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3792" cy="2114909"/>
                    </a:xfrm>
                    <a:prstGeom prst="rect">
                      <a:avLst/>
                    </a:prstGeom>
                    <a:noFill/>
                  </pic:spPr>
                </pic:pic>
              </a:graphicData>
            </a:graphic>
          </wp:inline>
        </w:drawing>
      </w:r>
    </w:p>
    <w:p w14:paraId="3B69293B" w14:textId="77777777" w:rsidR="00573C9D" w:rsidRPr="00573C9D" w:rsidRDefault="00573C9D" w:rsidP="00573C9D"/>
    <w:p w14:paraId="4C5F8BA2" w14:textId="77777777" w:rsidR="009636B7" w:rsidRPr="0043256B" w:rsidRDefault="009636B7" w:rsidP="00573C9D">
      <w:pPr>
        <w:pStyle w:val="Heading2"/>
      </w:pPr>
      <w:bookmarkStart w:id="161" w:name="_Toc88823248"/>
      <w:bookmarkStart w:id="162" w:name="_Toc90026017"/>
      <w:r w:rsidRPr="00E42BE0">
        <w:lastRenderedPageBreak/>
        <w:t xml:space="preserve">Review </w:t>
      </w:r>
      <w:r>
        <w:t>f</w:t>
      </w:r>
      <w:r w:rsidRPr="00E42BE0">
        <w:t>indings</w:t>
      </w:r>
      <w:bookmarkEnd w:id="161"/>
      <w:bookmarkEnd w:id="162"/>
    </w:p>
    <w:p w14:paraId="087C9F78" w14:textId="77777777" w:rsidR="009636B7" w:rsidRPr="00DD29A3" w:rsidRDefault="009636B7" w:rsidP="00573C9D">
      <w:pPr>
        <w:pStyle w:val="Heading3"/>
      </w:pPr>
      <w:r w:rsidRPr="00DD29A3">
        <w:t xml:space="preserve">Regional </w:t>
      </w:r>
      <w:r>
        <w:t>l</w:t>
      </w:r>
      <w:r w:rsidRPr="00DD29A3">
        <w:t>evel</w:t>
      </w:r>
    </w:p>
    <w:p w14:paraId="2FFE7B5D" w14:textId="77777777" w:rsidR="00EE0ADB" w:rsidRDefault="009636B7" w:rsidP="00573C9D">
      <w:r w:rsidRPr="00482A5B">
        <w:t>As Section 1</w:t>
      </w:r>
      <w:r>
        <w:t xml:space="preserve"> describes</w:t>
      </w:r>
      <w:r w:rsidRPr="00482A5B">
        <w:t>, FMHS</w:t>
      </w:r>
      <w:r>
        <w:t>s</w:t>
      </w:r>
      <w:r w:rsidRPr="00482A5B">
        <w:t xml:space="preserve"> in </w:t>
      </w:r>
      <w:r>
        <w:t>Aotearoa New Zealand</w:t>
      </w:r>
      <w:r w:rsidRPr="00075571">
        <w:t xml:space="preserve"> </w:t>
      </w:r>
      <w:r w:rsidRPr="001A28C6">
        <w:t>are organised in five regional forensic psychiatry services (RFPS</w:t>
      </w:r>
      <w:r>
        <w:t>s</w:t>
      </w:r>
      <w:r w:rsidRPr="001A28C6">
        <w:t xml:space="preserve">): Auckland, Midland (Puawai), Central (Te Korowai Whāriki), Canterbury and Southern. </w:t>
      </w:r>
      <w:r>
        <w:t>T</w:t>
      </w:r>
      <w:r w:rsidRPr="001A28C6">
        <w:t xml:space="preserve">he five regions share </w:t>
      </w:r>
      <w:r>
        <w:t xml:space="preserve">a </w:t>
      </w:r>
      <w:r w:rsidRPr="001A28C6">
        <w:t xml:space="preserve">similar scope and method of service delivery, </w:t>
      </w:r>
      <w:r>
        <w:t xml:space="preserve">but </w:t>
      </w:r>
      <w:r w:rsidRPr="001A28C6">
        <w:t>no framework exists unifying services at the national level.</w:t>
      </w:r>
    </w:p>
    <w:p w14:paraId="50CF5E2C" w14:textId="77777777" w:rsidR="009636B7" w:rsidRPr="00DD29A3" w:rsidRDefault="009636B7" w:rsidP="00573C9D"/>
    <w:p w14:paraId="3E5CB173" w14:textId="77777777" w:rsidR="00EE0ADB" w:rsidRDefault="009636B7" w:rsidP="00573C9D">
      <w:r w:rsidRPr="00482A5B">
        <w:t xml:space="preserve">The </w:t>
      </w:r>
      <w:r>
        <w:t xml:space="preserve">18 </w:t>
      </w:r>
      <w:r w:rsidRPr="00482A5B">
        <w:t>document</w:t>
      </w:r>
      <w:r>
        <w:t>s</w:t>
      </w:r>
      <w:r w:rsidRPr="00482A5B">
        <w:t xml:space="preserve"> on </w:t>
      </w:r>
      <w:r w:rsidRPr="00A537F0">
        <w:t xml:space="preserve">models of care </w:t>
      </w:r>
      <w:r>
        <w:t xml:space="preserve">DHBs </w:t>
      </w:r>
      <w:r w:rsidRPr="00A537F0">
        <w:t>provided was uneven and limited (</w:t>
      </w:r>
      <w:r w:rsidR="00573C9D">
        <w:fldChar w:fldCharType="begin"/>
      </w:r>
      <w:r w:rsidR="00573C9D">
        <w:instrText xml:space="preserve"> REF _Ref89945882 \h </w:instrText>
      </w:r>
      <w:r w:rsidR="00573C9D">
        <w:fldChar w:fldCharType="separate"/>
      </w:r>
      <w:r w:rsidR="00F73238">
        <w:t>Table </w:t>
      </w:r>
      <w:r w:rsidR="00F73238">
        <w:rPr>
          <w:noProof/>
        </w:rPr>
        <w:t>2</w:t>
      </w:r>
      <w:r w:rsidR="00573C9D">
        <w:fldChar w:fldCharType="end"/>
      </w:r>
      <w:r w:rsidRPr="009C46FB">
        <w:t xml:space="preserve">). Several DHBs </w:t>
      </w:r>
      <w:r>
        <w:t xml:space="preserve">stated that </w:t>
      </w:r>
      <w:r w:rsidRPr="009C46FB">
        <w:t xml:space="preserve">they were in the stages of developing a model of care but were not yet </w:t>
      </w:r>
      <w:r>
        <w:t xml:space="preserve">ready to </w:t>
      </w:r>
      <w:r w:rsidRPr="009C46FB">
        <w:t>disseminat</w:t>
      </w:r>
      <w:r>
        <w:t>e</w:t>
      </w:r>
      <w:r w:rsidRPr="009C46FB">
        <w:t xml:space="preserve"> it outside of their service. Many of the regions have documentation of models of care in some but not all arms of the service (</w:t>
      </w:r>
      <w:r>
        <w:t>ie</w:t>
      </w:r>
      <w:r w:rsidRPr="009C46FB">
        <w:t xml:space="preserve">, inpatient, community, prisons </w:t>
      </w:r>
      <w:r>
        <w:t xml:space="preserve">and </w:t>
      </w:r>
      <w:r w:rsidRPr="009C46FB">
        <w:t xml:space="preserve">courts). </w:t>
      </w:r>
      <w:r>
        <w:t xml:space="preserve">The </w:t>
      </w:r>
      <w:r w:rsidRPr="009C46FB">
        <w:t xml:space="preserve">Auckland and Central </w:t>
      </w:r>
      <w:r>
        <w:t xml:space="preserve">regions </w:t>
      </w:r>
      <w:r w:rsidRPr="009C46FB">
        <w:t xml:space="preserve">had the </w:t>
      </w:r>
      <w:r>
        <w:t>best</w:t>
      </w:r>
      <w:r w:rsidRPr="009C46FB">
        <w:t>-articulated models of care</w:t>
      </w:r>
      <w:r>
        <w:t>,</w:t>
      </w:r>
      <w:r w:rsidRPr="009C46FB">
        <w:t xml:space="preserve"> spanning inpatient, community and prison</w:t>
      </w:r>
      <w:r>
        <w:t xml:space="preserve"> setting</w:t>
      </w:r>
      <w:r w:rsidRPr="009C46FB">
        <w:t>s</w:t>
      </w:r>
      <w:r w:rsidRPr="000329FE">
        <w:t>. Models of care for FMHS</w:t>
      </w:r>
      <w:r>
        <w:t>s</w:t>
      </w:r>
      <w:r w:rsidRPr="000329FE">
        <w:t xml:space="preserve"> in court contexts were generally lacking across the board.</w:t>
      </w:r>
    </w:p>
    <w:p w14:paraId="05105F19" w14:textId="77777777" w:rsidR="009636B7" w:rsidRPr="000329FE" w:rsidRDefault="009636B7" w:rsidP="00573C9D"/>
    <w:p w14:paraId="601CFF26" w14:textId="77777777" w:rsidR="009636B7" w:rsidRPr="000329FE" w:rsidRDefault="00573C9D" w:rsidP="0087762A">
      <w:pPr>
        <w:pStyle w:val="Table"/>
        <w:keepNext w:val="0"/>
        <w:pageBreakBefore/>
        <w:spacing w:before="0"/>
        <w:rPr>
          <w:rFonts w:eastAsia="Arial"/>
        </w:rPr>
      </w:pPr>
      <w:bookmarkStart w:id="163" w:name="_Ref89945882"/>
      <w:bookmarkStart w:id="164" w:name="_Toc88823412"/>
      <w:bookmarkStart w:id="165" w:name="_Toc90026023"/>
      <w:r>
        <w:lastRenderedPageBreak/>
        <w:t>Table </w:t>
      </w:r>
      <w:r w:rsidR="002C1FB3">
        <w:fldChar w:fldCharType="begin"/>
      </w:r>
      <w:r w:rsidR="002C1FB3">
        <w:instrText xml:space="preserve"> SEQ Table \* ARABIC </w:instrText>
      </w:r>
      <w:r w:rsidR="002C1FB3">
        <w:fldChar w:fldCharType="separate"/>
      </w:r>
      <w:r w:rsidR="00F73238">
        <w:rPr>
          <w:noProof/>
        </w:rPr>
        <w:t>2</w:t>
      </w:r>
      <w:r w:rsidR="002C1FB3">
        <w:rPr>
          <w:noProof/>
        </w:rPr>
        <w:fldChar w:fldCharType="end"/>
      </w:r>
      <w:bookmarkEnd w:id="163"/>
      <w:r w:rsidR="009636B7" w:rsidRPr="000329FE">
        <w:rPr>
          <w:rFonts w:eastAsia="Arial"/>
        </w:rPr>
        <w:t xml:space="preserve">: Regional </w:t>
      </w:r>
      <w:r w:rsidR="009636B7">
        <w:rPr>
          <w:rFonts w:eastAsia="Arial"/>
        </w:rPr>
        <w:t>d</w:t>
      </w:r>
      <w:r w:rsidR="009636B7" w:rsidRPr="000329FE">
        <w:rPr>
          <w:rFonts w:eastAsia="Arial"/>
        </w:rPr>
        <w:t xml:space="preserve">ocumentation </w:t>
      </w:r>
      <w:r w:rsidR="009636B7">
        <w:rPr>
          <w:rFonts w:eastAsia="Arial"/>
        </w:rPr>
        <w:t>r</w:t>
      </w:r>
      <w:r w:rsidR="009636B7" w:rsidRPr="000329FE">
        <w:rPr>
          <w:rFonts w:eastAsia="Arial"/>
        </w:rPr>
        <w:t>eviewed</w:t>
      </w:r>
      <w:bookmarkEnd w:id="164"/>
      <w:bookmarkEnd w:id="165"/>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134"/>
        <w:gridCol w:w="1985"/>
        <w:gridCol w:w="567"/>
        <w:gridCol w:w="4394"/>
      </w:tblGrid>
      <w:tr w:rsidR="009636B7" w:rsidRPr="000329FE" w14:paraId="05D3C26B" w14:textId="77777777" w:rsidTr="0087762A">
        <w:trPr>
          <w:cantSplit/>
          <w:tblHeader/>
        </w:trPr>
        <w:tc>
          <w:tcPr>
            <w:tcW w:w="1134" w:type="dxa"/>
            <w:tcBorders>
              <w:top w:val="nil"/>
              <w:bottom w:val="nil"/>
            </w:tcBorders>
            <w:shd w:val="clear" w:color="auto" w:fill="D9D9D9" w:themeFill="background1" w:themeFillShade="D9"/>
          </w:tcPr>
          <w:p w14:paraId="53753011" w14:textId="77777777" w:rsidR="009636B7" w:rsidRPr="000329FE" w:rsidRDefault="009636B7" w:rsidP="0087762A">
            <w:pPr>
              <w:pStyle w:val="TableText"/>
              <w:ind w:right="113"/>
              <w:rPr>
                <w:b/>
              </w:rPr>
            </w:pPr>
            <w:r w:rsidRPr="000329FE">
              <w:rPr>
                <w:b/>
              </w:rPr>
              <w:t>Region</w:t>
            </w:r>
          </w:p>
        </w:tc>
        <w:tc>
          <w:tcPr>
            <w:tcW w:w="1985" w:type="dxa"/>
            <w:tcBorders>
              <w:top w:val="nil"/>
              <w:bottom w:val="nil"/>
            </w:tcBorders>
            <w:shd w:val="clear" w:color="auto" w:fill="D9D9D9" w:themeFill="background1" w:themeFillShade="D9"/>
          </w:tcPr>
          <w:p w14:paraId="51C1DF28" w14:textId="77777777" w:rsidR="009636B7" w:rsidRPr="000329FE" w:rsidRDefault="009636B7" w:rsidP="00573C9D">
            <w:pPr>
              <w:pStyle w:val="TableText"/>
              <w:jc w:val="center"/>
              <w:rPr>
                <w:b/>
                <w:bCs/>
              </w:rPr>
            </w:pPr>
            <w:r w:rsidRPr="000329FE">
              <w:rPr>
                <w:b/>
                <w:bCs/>
              </w:rPr>
              <w:t>Author/</w:t>
            </w:r>
            <w:r w:rsidRPr="000329FE">
              <w:rPr>
                <w:b/>
                <w:bCs/>
              </w:rPr>
              <w:br/>
            </w:r>
            <w:r>
              <w:rPr>
                <w:b/>
                <w:bCs/>
              </w:rPr>
              <w:t>o</w:t>
            </w:r>
            <w:r w:rsidRPr="000329FE">
              <w:rPr>
                <w:b/>
                <w:bCs/>
              </w:rPr>
              <w:t>rganisation</w:t>
            </w:r>
          </w:p>
        </w:tc>
        <w:tc>
          <w:tcPr>
            <w:tcW w:w="567" w:type="dxa"/>
            <w:tcBorders>
              <w:top w:val="nil"/>
              <w:bottom w:val="nil"/>
            </w:tcBorders>
            <w:shd w:val="clear" w:color="auto" w:fill="D9D9D9" w:themeFill="background1" w:themeFillShade="D9"/>
          </w:tcPr>
          <w:p w14:paraId="159AD95A" w14:textId="77777777" w:rsidR="009636B7" w:rsidRPr="000329FE" w:rsidRDefault="009636B7" w:rsidP="0087762A">
            <w:pPr>
              <w:pStyle w:val="TableText"/>
              <w:jc w:val="center"/>
              <w:rPr>
                <w:b/>
              </w:rPr>
            </w:pPr>
            <w:r w:rsidRPr="000329FE">
              <w:rPr>
                <w:b/>
              </w:rPr>
              <w:t>Year</w:t>
            </w:r>
          </w:p>
        </w:tc>
        <w:tc>
          <w:tcPr>
            <w:tcW w:w="4394" w:type="dxa"/>
            <w:tcBorders>
              <w:top w:val="nil"/>
              <w:bottom w:val="nil"/>
            </w:tcBorders>
            <w:shd w:val="clear" w:color="auto" w:fill="D9D9D9" w:themeFill="background1" w:themeFillShade="D9"/>
          </w:tcPr>
          <w:p w14:paraId="709100AC" w14:textId="77777777" w:rsidR="009636B7" w:rsidRPr="000329FE" w:rsidRDefault="009636B7" w:rsidP="00573C9D">
            <w:pPr>
              <w:pStyle w:val="TableText"/>
              <w:ind w:left="113"/>
              <w:jc w:val="center"/>
              <w:rPr>
                <w:b/>
              </w:rPr>
            </w:pPr>
            <w:r w:rsidRPr="000329FE">
              <w:rPr>
                <w:b/>
              </w:rPr>
              <w:t>Title</w:t>
            </w:r>
          </w:p>
        </w:tc>
      </w:tr>
      <w:tr w:rsidR="009636B7" w:rsidRPr="000329FE" w14:paraId="7270EF03" w14:textId="77777777" w:rsidTr="0087762A">
        <w:trPr>
          <w:cantSplit/>
        </w:trPr>
        <w:tc>
          <w:tcPr>
            <w:tcW w:w="1134" w:type="dxa"/>
            <w:vMerge w:val="restart"/>
            <w:tcBorders>
              <w:top w:val="nil"/>
            </w:tcBorders>
            <w:shd w:val="clear" w:color="auto" w:fill="auto"/>
          </w:tcPr>
          <w:p w14:paraId="27D64722" w14:textId="77777777" w:rsidR="009636B7" w:rsidRPr="000329FE" w:rsidRDefault="009636B7" w:rsidP="0087762A">
            <w:pPr>
              <w:pStyle w:val="TableText"/>
              <w:ind w:right="113"/>
            </w:pPr>
            <w:r w:rsidRPr="000329FE">
              <w:t>Auckland</w:t>
            </w:r>
          </w:p>
        </w:tc>
        <w:tc>
          <w:tcPr>
            <w:tcW w:w="1985" w:type="dxa"/>
            <w:tcBorders>
              <w:top w:val="nil"/>
            </w:tcBorders>
            <w:shd w:val="clear" w:color="auto" w:fill="auto"/>
          </w:tcPr>
          <w:p w14:paraId="6273A908" w14:textId="77777777" w:rsidR="009636B7" w:rsidRPr="000329FE" w:rsidRDefault="009636B7" w:rsidP="00573C9D">
            <w:pPr>
              <w:pStyle w:val="TableText"/>
            </w:pPr>
            <w:r w:rsidRPr="000329FE">
              <w:t>Mason Clinic</w:t>
            </w:r>
          </w:p>
        </w:tc>
        <w:tc>
          <w:tcPr>
            <w:tcW w:w="567" w:type="dxa"/>
            <w:tcBorders>
              <w:top w:val="nil"/>
            </w:tcBorders>
          </w:tcPr>
          <w:p w14:paraId="0A289544" w14:textId="77777777" w:rsidR="009636B7" w:rsidRPr="000329FE" w:rsidRDefault="009636B7" w:rsidP="0087762A">
            <w:pPr>
              <w:pStyle w:val="TableText"/>
              <w:jc w:val="center"/>
            </w:pPr>
            <w:r w:rsidRPr="000329FE">
              <w:t>2011</w:t>
            </w:r>
          </w:p>
        </w:tc>
        <w:tc>
          <w:tcPr>
            <w:tcW w:w="4394" w:type="dxa"/>
            <w:tcBorders>
              <w:top w:val="nil"/>
            </w:tcBorders>
            <w:shd w:val="clear" w:color="auto" w:fill="auto"/>
          </w:tcPr>
          <w:p w14:paraId="51F300C2" w14:textId="77777777" w:rsidR="009636B7" w:rsidRPr="000329FE" w:rsidRDefault="009636B7" w:rsidP="00573C9D">
            <w:pPr>
              <w:pStyle w:val="TableText"/>
              <w:ind w:left="113"/>
              <w:rPr>
                <w:i/>
                <w:iCs/>
              </w:rPr>
            </w:pPr>
            <w:r w:rsidRPr="000329FE">
              <w:rPr>
                <w:i/>
                <w:iCs/>
              </w:rPr>
              <w:t>The Mason Approach: The Mission, Vision, Values a</w:t>
            </w:r>
            <w:r w:rsidR="00573C9D">
              <w:rPr>
                <w:i/>
                <w:iCs/>
              </w:rPr>
              <w:t>nd Approach of the Mason Clinic</w:t>
            </w:r>
          </w:p>
        </w:tc>
      </w:tr>
      <w:tr w:rsidR="009636B7" w:rsidRPr="000329FE" w14:paraId="10C38ACB" w14:textId="77777777" w:rsidTr="0087762A">
        <w:trPr>
          <w:cantSplit/>
        </w:trPr>
        <w:tc>
          <w:tcPr>
            <w:tcW w:w="1134" w:type="dxa"/>
            <w:vMerge/>
            <w:shd w:val="clear" w:color="auto" w:fill="auto"/>
          </w:tcPr>
          <w:p w14:paraId="718E2C70" w14:textId="77777777" w:rsidR="009636B7" w:rsidRPr="000329FE" w:rsidRDefault="009636B7" w:rsidP="0087762A">
            <w:pPr>
              <w:pStyle w:val="TableText"/>
              <w:ind w:right="113"/>
            </w:pPr>
          </w:p>
        </w:tc>
        <w:tc>
          <w:tcPr>
            <w:tcW w:w="1985" w:type="dxa"/>
            <w:shd w:val="clear" w:color="auto" w:fill="auto"/>
          </w:tcPr>
          <w:p w14:paraId="764BC9AF" w14:textId="77777777" w:rsidR="009636B7" w:rsidRPr="000329FE" w:rsidRDefault="009636B7" w:rsidP="00967EEE">
            <w:pPr>
              <w:pStyle w:val="TableText"/>
            </w:pPr>
            <w:r w:rsidRPr="000329FE">
              <w:t>Mason Clinic</w:t>
            </w:r>
          </w:p>
        </w:tc>
        <w:tc>
          <w:tcPr>
            <w:tcW w:w="567" w:type="dxa"/>
          </w:tcPr>
          <w:p w14:paraId="5485284C" w14:textId="77777777" w:rsidR="009636B7" w:rsidRPr="000329FE" w:rsidRDefault="009636B7" w:rsidP="0087762A">
            <w:pPr>
              <w:pStyle w:val="TableText"/>
              <w:jc w:val="center"/>
            </w:pPr>
            <w:r w:rsidRPr="000329FE">
              <w:t>2018</w:t>
            </w:r>
          </w:p>
        </w:tc>
        <w:tc>
          <w:tcPr>
            <w:tcW w:w="4394" w:type="dxa"/>
            <w:shd w:val="clear" w:color="auto" w:fill="auto"/>
          </w:tcPr>
          <w:p w14:paraId="1367D0D7" w14:textId="77777777" w:rsidR="009636B7" w:rsidRPr="000329FE" w:rsidRDefault="009636B7" w:rsidP="00573C9D">
            <w:pPr>
              <w:pStyle w:val="TableText"/>
              <w:ind w:left="113"/>
              <w:rPr>
                <w:i/>
                <w:iCs/>
              </w:rPr>
            </w:pPr>
            <w:r w:rsidRPr="000329FE">
              <w:rPr>
                <w:i/>
                <w:iCs/>
              </w:rPr>
              <w:t>Te Aranga Hou</w:t>
            </w:r>
            <w:r>
              <w:rPr>
                <w:i/>
                <w:iCs/>
              </w:rPr>
              <w:t xml:space="preserve"> </w:t>
            </w:r>
            <w:r w:rsidRPr="000329FE">
              <w:rPr>
                <w:i/>
                <w:iCs/>
              </w:rPr>
              <w:t>– Mason Clinic Forensic Community Team/Rimu Model of Care: Improving Service User Flow</w:t>
            </w:r>
          </w:p>
        </w:tc>
      </w:tr>
      <w:tr w:rsidR="009636B7" w:rsidRPr="000329FE" w14:paraId="2E73D7F4" w14:textId="77777777" w:rsidTr="0087762A">
        <w:trPr>
          <w:cantSplit/>
        </w:trPr>
        <w:tc>
          <w:tcPr>
            <w:tcW w:w="1134" w:type="dxa"/>
            <w:vMerge/>
            <w:shd w:val="clear" w:color="auto" w:fill="auto"/>
          </w:tcPr>
          <w:p w14:paraId="38B05A8C" w14:textId="77777777" w:rsidR="009636B7" w:rsidRPr="000329FE" w:rsidRDefault="009636B7" w:rsidP="0087762A">
            <w:pPr>
              <w:pStyle w:val="TableText"/>
              <w:ind w:right="113"/>
            </w:pPr>
          </w:p>
        </w:tc>
        <w:tc>
          <w:tcPr>
            <w:tcW w:w="1985" w:type="dxa"/>
            <w:shd w:val="clear" w:color="auto" w:fill="auto"/>
          </w:tcPr>
          <w:p w14:paraId="608E8DAA" w14:textId="77777777" w:rsidR="009636B7" w:rsidRPr="000329FE" w:rsidRDefault="009636B7" w:rsidP="00967EEE">
            <w:pPr>
              <w:pStyle w:val="TableText"/>
            </w:pPr>
            <w:r w:rsidRPr="000329FE">
              <w:t>Mason Clinic</w:t>
            </w:r>
          </w:p>
        </w:tc>
        <w:tc>
          <w:tcPr>
            <w:tcW w:w="567" w:type="dxa"/>
          </w:tcPr>
          <w:p w14:paraId="57DDA6AC" w14:textId="77777777" w:rsidR="009636B7" w:rsidRPr="000329FE" w:rsidRDefault="009636B7" w:rsidP="0087762A">
            <w:pPr>
              <w:pStyle w:val="TableText"/>
              <w:jc w:val="center"/>
            </w:pPr>
            <w:r w:rsidRPr="000329FE">
              <w:t>2018</w:t>
            </w:r>
          </w:p>
        </w:tc>
        <w:tc>
          <w:tcPr>
            <w:tcW w:w="4394" w:type="dxa"/>
            <w:shd w:val="clear" w:color="auto" w:fill="auto"/>
          </w:tcPr>
          <w:p w14:paraId="6D4FEE3F" w14:textId="77777777" w:rsidR="009636B7" w:rsidRPr="000329FE" w:rsidRDefault="009636B7" w:rsidP="00573C9D">
            <w:pPr>
              <w:pStyle w:val="TableText"/>
              <w:ind w:left="113"/>
              <w:rPr>
                <w:i/>
                <w:iCs/>
              </w:rPr>
            </w:pPr>
            <w:r w:rsidRPr="000329FE">
              <w:rPr>
                <w:i/>
                <w:iCs/>
              </w:rPr>
              <w:t>Te Aranga Hou</w:t>
            </w:r>
            <w:r>
              <w:rPr>
                <w:i/>
                <w:iCs/>
              </w:rPr>
              <w:t xml:space="preserve"> </w:t>
            </w:r>
            <w:r w:rsidRPr="000329FE">
              <w:rPr>
                <w:i/>
                <w:iCs/>
              </w:rPr>
              <w:t>– Mason Clinic Service User Pathways Future State Map</w:t>
            </w:r>
            <w:r>
              <w:rPr>
                <w:i/>
                <w:iCs/>
              </w:rPr>
              <w:t xml:space="preserve"> </w:t>
            </w:r>
            <w:r w:rsidRPr="000329FE">
              <w:rPr>
                <w:i/>
                <w:iCs/>
              </w:rPr>
              <w:t>– Milestones Update: April 2018</w:t>
            </w:r>
          </w:p>
        </w:tc>
      </w:tr>
      <w:tr w:rsidR="009636B7" w:rsidRPr="000329FE" w14:paraId="4AEFD591" w14:textId="77777777" w:rsidTr="0087762A">
        <w:trPr>
          <w:cantSplit/>
        </w:trPr>
        <w:tc>
          <w:tcPr>
            <w:tcW w:w="1134" w:type="dxa"/>
            <w:vMerge/>
            <w:shd w:val="clear" w:color="auto" w:fill="auto"/>
          </w:tcPr>
          <w:p w14:paraId="2D30893A" w14:textId="77777777" w:rsidR="009636B7" w:rsidRPr="000329FE" w:rsidRDefault="009636B7" w:rsidP="0087762A">
            <w:pPr>
              <w:pStyle w:val="TableText"/>
              <w:ind w:right="113"/>
            </w:pPr>
          </w:p>
        </w:tc>
        <w:tc>
          <w:tcPr>
            <w:tcW w:w="1985" w:type="dxa"/>
            <w:shd w:val="clear" w:color="auto" w:fill="auto"/>
          </w:tcPr>
          <w:p w14:paraId="3A0D4AE4" w14:textId="77777777" w:rsidR="009636B7" w:rsidRPr="000329FE" w:rsidRDefault="009636B7" w:rsidP="00967EEE">
            <w:pPr>
              <w:pStyle w:val="TableText"/>
            </w:pPr>
            <w:r w:rsidRPr="000329FE">
              <w:t xml:space="preserve">Mason Clinic </w:t>
            </w:r>
            <w:r>
              <w:t>and</w:t>
            </w:r>
            <w:r w:rsidRPr="000329FE">
              <w:t xml:space="preserve"> Puawai Midland RFPS</w:t>
            </w:r>
          </w:p>
        </w:tc>
        <w:tc>
          <w:tcPr>
            <w:tcW w:w="567" w:type="dxa"/>
          </w:tcPr>
          <w:p w14:paraId="2AFED7FC" w14:textId="77777777" w:rsidR="009636B7" w:rsidRPr="000329FE" w:rsidRDefault="009636B7" w:rsidP="0087762A">
            <w:pPr>
              <w:pStyle w:val="TableText"/>
              <w:jc w:val="center"/>
            </w:pPr>
            <w:r w:rsidRPr="000329FE">
              <w:t>2011</w:t>
            </w:r>
          </w:p>
        </w:tc>
        <w:tc>
          <w:tcPr>
            <w:tcW w:w="4394" w:type="dxa"/>
            <w:shd w:val="clear" w:color="auto" w:fill="auto"/>
          </w:tcPr>
          <w:p w14:paraId="0DB09925" w14:textId="77777777" w:rsidR="009636B7" w:rsidRPr="000329FE" w:rsidRDefault="009636B7" w:rsidP="00573C9D">
            <w:pPr>
              <w:pStyle w:val="TableText"/>
              <w:ind w:left="113"/>
              <w:rPr>
                <w:i/>
                <w:iCs/>
              </w:rPr>
            </w:pPr>
            <w:r w:rsidRPr="000329FE">
              <w:rPr>
                <w:i/>
                <w:iCs/>
              </w:rPr>
              <w:t>Northern/Midland Region Prison Model of Care</w:t>
            </w:r>
          </w:p>
        </w:tc>
      </w:tr>
      <w:tr w:rsidR="009636B7" w:rsidRPr="000329FE" w14:paraId="38CDE365" w14:textId="77777777" w:rsidTr="0087762A">
        <w:trPr>
          <w:cantSplit/>
        </w:trPr>
        <w:tc>
          <w:tcPr>
            <w:tcW w:w="1134" w:type="dxa"/>
            <w:vMerge w:val="restart"/>
            <w:shd w:val="clear" w:color="auto" w:fill="auto"/>
          </w:tcPr>
          <w:p w14:paraId="6DE0ED32" w14:textId="77777777" w:rsidR="009636B7" w:rsidRPr="000329FE" w:rsidRDefault="009636B7" w:rsidP="0087762A">
            <w:pPr>
              <w:pStyle w:val="TableText"/>
              <w:ind w:right="113"/>
            </w:pPr>
            <w:r w:rsidRPr="000329FE">
              <w:t>Midland</w:t>
            </w:r>
          </w:p>
        </w:tc>
        <w:tc>
          <w:tcPr>
            <w:tcW w:w="1985" w:type="dxa"/>
            <w:shd w:val="clear" w:color="auto" w:fill="auto"/>
          </w:tcPr>
          <w:p w14:paraId="68F888FA" w14:textId="77777777" w:rsidR="009636B7" w:rsidRPr="000329FE" w:rsidRDefault="009636B7" w:rsidP="00967EEE">
            <w:pPr>
              <w:pStyle w:val="TableText"/>
            </w:pPr>
            <w:r w:rsidRPr="000329FE">
              <w:t>Puawai Midland RFPS</w:t>
            </w:r>
          </w:p>
        </w:tc>
        <w:tc>
          <w:tcPr>
            <w:tcW w:w="567" w:type="dxa"/>
          </w:tcPr>
          <w:p w14:paraId="21ABDBBA" w14:textId="77777777" w:rsidR="009636B7" w:rsidRPr="000329FE" w:rsidRDefault="009636B7" w:rsidP="0087762A">
            <w:pPr>
              <w:pStyle w:val="TableText"/>
              <w:jc w:val="center"/>
            </w:pPr>
            <w:r w:rsidRPr="000329FE">
              <w:t>2014</w:t>
            </w:r>
          </w:p>
        </w:tc>
        <w:tc>
          <w:tcPr>
            <w:tcW w:w="4394" w:type="dxa"/>
            <w:shd w:val="clear" w:color="auto" w:fill="auto"/>
          </w:tcPr>
          <w:p w14:paraId="5919408A" w14:textId="77777777" w:rsidR="009636B7" w:rsidRPr="000329FE" w:rsidRDefault="009636B7" w:rsidP="00573C9D">
            <w:pPr>
              <w:pStyle w:val="TableText"/>
              <w:ind w:left="113"/>
              <w:rPr>
                <w:i/>
                <w:iCs/>
              </w:rPr>
            </w:pPr>
            <w:r w:rsidRPr="000329FE">
              <w:rPr>
                <w:i/>
                <w:iCs/>
              </w:rPr>
              <w:t>Forensic Client Pathway</w:t>
            </w:r>
          </w:p>
        </w:tc>
      </w:tr>
      <w:tr w:rsidR="009636B7" w:rsidRPr="000329FE" w14:paraId="392A9A5B" w14:textId="77777777" w:rsidTr="0087762A">
        <w:trPr>
          <w:cantSplit/>
        </w:trPr>
        <w:tc>
          <w:tcPr>
            <w:tcW w:w="1134" w:type="dxa"/>
            <w:vMerge/>
            <w:shd w:val="clear" w:color="auto" w:fill="auto"/>
          </w:tcPr>
          <w:p w14:paraId="4D997DCC" w14:textId="77777777" w:rsidR="009636B7" w:rsidRPr="000329FE" w:rsidRDefault="009636B7" w:rsidP="0087762A">
            <w:pPr>
              <w:pStyle w:val="TableText"/>
              <w:ind w:right="113"/>
            </w:pPr>
          </w:p>
        </w:tc>
        <w:tc>
          <w:tcPr>
            <w:tcW w:w="1985" w:type="dxa"/>
            <w:shd w:val="clear" w:color="auto" w:fill="auto"/>
          </w:tcPr>
          <w:p w14:paraId="147BC85D" w14:textId="77777777" w:rsidR="009636B7" w:rsidRPr="000329FE" w:rsidRDefault="009636B7" w:rsidP="00967EEE">
            <w:pPr>
              <w:pStyle w:val="TableText"/>
            </w:pPr>
            <w:r w:rsidRPr="000329FE">
              <w:t>Puawai Midland RFPS</w:t>
            </w:r>
          </w:p>
        </w:tc>
        <w:tc>
          <w:tcPr>
            <w:tcW w:w="567" w:type="dxa"/>
          </w:tcPr>
          <w:p w14:paraId="6BC255AC" w14:textId="77777777" w:rsidR="009636B7" w:rsidRPr="000329FE" w:rsidRDefault="009636B7" w:rsidP="0087762A">
            <w:pPr>
              <w:pStyle w:val="TableText"/>
              <w:jc w:val="center"/>
            </w:pPr>
            <w:r w:rsidRPr="000329FE">
              <w:t>2014</w:t>
            </w:r>
          </w:p>
        </w:tc>
        <w:tc>
          <w:tcPr>
            <w:tcW w:w="4394" w:type="dxa"/>
            <w:shd w:val="clear" w:color="auto" w:fill="auto"/>
          </w:tcPr>
          <w:p w14:paraId="195DA90A" w14:textId="77777777" w:rsidR="009636B7" w:rsidRPr="000329FE" w:rsidRDefault="009636B7" w:rsidP="00573C9D">
            <w:pPr>
              <w:pStyle w:val="TableText"/>
              <w:ind w:left="113"/>
              <w:rPr>
                <w:i/>
                <w:iCs/>
              </w:rPr>
            </w:pPr>
            <w:r w:rsidRPr="000329FE">
              <w:rPr>
                <w:i/>
                <w:iCs/>
              </w:rPr>
              <w:t>Te Puawaitanga Operations Manual</w:t>
            </w:r>
          </w:p>
        </w:tc>
      </w:tr>
      <w:tr w:rsidR="009636B7" w:rsidRPr="000329FE" w14:paraId="0C832E20" w14:textId="77777777" w:rsidTr="0087762A">
        <w:trPr>
          <w:cantSplit/>
        </w:trPr>
        <w:tc>
          <w:tcPr>
            <w:tcW w:w="1134" w:type="dxa"/>
            <w:vMerge/>
            <w:shd w:val="clear" w:color="auto" w:fill="auto"/>
          </w:tcPr>
          <w:p w14:paraId="327077F7" w14:textId="77777777" w:rsidR="009636B7" w:rsidRPr="000329FE" w:rsidRDefault="009636B7" w:rsidP="0087762A">
            <w:pPr>
              <w:pStyle w:val="TableText"/>
              <w:ind w:right="113"/>
            </w:pPr>
          </w:p>
        </w:tc>
        <w:tc>
          <w:tcPr>
            <w:tcW w:w="1985" w:type="dxa"/>
            <w:shd w:val="clear" w:color="auto" w:fill="auto"/>
          </w:tcPr>
          <w:p w14:paraId="1FB70F95" w14:textId="77777777" w:rsidR="009636B7" w:rsidRPr="000329FE" w:rsidRDefault="009636B7" w:rsidP="00967EEE">
            <w:pPr>
              <w:pStyle w:val="TableText"/>
            </w:pPr>
            <w:r w:rsidRPr="000329FE">
              <w:t>Puawai Midland RFPS</w:t>
            </w:r>
          </w:p>
        </w:tc>
        <w:tc>
          <w:tcPr>
            <w:tcW w:w="567" w:type="dxa"/>
          </w:tcPr>
          <w:p w14:paraId="4CDD7A3B" w14:textId="77777777" w:rsidR="009636B7" w:rsidRPr="000329FE" w:rsidRDefault="009636B7" w:rsidP="0087762A">
            <w:pPr>
              <w:pStyle w:val="TableText"/>
              <w:jc w:val="center"/>
            </w:pPr>
            <w:r w:rsidRPr="000329FE">
              <w:t>nd</w:t>
            </w:r>
          </w:p>
        </w:tc>
        <w:tc>
          <w:tcPr>
            <w:tcW w:w="4394" w:type="dxa"/>
            <w:shd w:val="clear" w:color="auto" w:fill="auto"/>
          </w:tcPr>
          <w:p w14:paraId="67A6FEA0" w14:textId="77777777" w:rsidR="009636B7" w:rsidRPr="000329FE" w:rsidRDefault="009636B7" w:rsidP="00573C9D">
            <w:pPr>
              <w:pStyle w:val="TableText"/>
              <w:ind w:left="113"/>
              <w:rPr>
                <w:i/>
                <w:iCs/>
              </w:rPr>
            </w:pPr>
            <w:r w:rsidRPr="000329FE">
              <w:rPr>
                <w:i/>
                <w:iCs/>
              </w:rPr>
              <w:t>Forensic Inpatient Units Within the Henry Rongomau Bennett Centre</w:t>
            </w:r>
          </w:p>
        </w:tc>
      </w:tr>
      <w:tr w:rsidR="009636B7" w:rsidRPr="000329FE" w14:paraId="2A22B082" w14:textId="77777777" w:rsidTr="0087762A">
        <w:trPr>
          <w:cantSplit/>
        </w:trPr>
        <w:tc>
          <w:tcPr>
            <w:tcW w:w="1134" w:type="dxa"/>
            <w:vMerge/>
            <w:shd w:val="clear" w:color="auto" w:fill="auto"/>
          </w:tcPr>
          <w:p w14:paraId="1F8D279E" w14:textId="77777777" w:rsidR="009636B7" w:rsidRPr="000329FE" w:rsidRDefault="009636B7" w:rsidP="0087762A">
            <w:pPr>
              <w:pStyle w:val="TableText"/>
              <w:ind w:right="113"/>
            </w:pPr>
          </w:p>
        </w:tc>
        <w:tc>
          <w:tcPr>
            <w:tcW w:w="1985" w:type="dxa"/>
            <w:shd w:val="clear" w:color="auto" w:fill="auto"/>
          </w:tcPr>
          <w:p w14:paraId="05358F66" w14:textId="77777777" w:rsidR="009636B7" w:rsidRPr="000329FE" w:rsidRDefault="009636B7" w:rsidP="00967EEE">
            <w:pPr>
              <w:pStyle w:val="TableText"/>
            </w:pPr>
            <w:r w:rsidRPr="000329FE">
              <w:t xml:space="preserve">Waikato </w:t>
            </w:r>
            <w:r>
              <w:t>DHB</w:t>
            </w:r>
          </w:p>
        </w:tc>
        <w:tc>
          <w:tcPr>
            <w:tcW w:w="567" w:type="dxa"/>
          </w:tcPr>
          <w:p w14:paraId="72CAFBF7" w14:textId="77777777" w:rsidR="009636B7" w:rsidRPr="000329FE" w:rsidRDefault="009636B7" w:rsidP="0087762A">
            <w:pPr>
              <w:pStyle w:val="TableText"/>
              <w:jc w:val="center"/>
            </w:pPr>
            <w:r w:rsidRPr="000329FE">
              <w:t>2010</w:t>
            </w:r>
          </w:p>
        </w:tc>
        <w:tc>
          <w:tcPr>
            <w:tcW w:w="4394" w:type="dxa"/>
            <w:shd w:val="clear" w:color="auto" w:fill="auto"/>
          </w:tcPr>
          <w:p w14:paraId="7031309B" w14:textId="77777777" w:rsidR="009636B7" w:rsidRPr="000329FE" w:rsidRDefault="009636B7" w:rsidP="00573C9D">
            <w:pPr>
              <w:pStyle w:val="TableText"/>
              <w:ind w:left="113"/>
              <w:rPr>
                <w:i/>
                <w:iCs/>
              </w:rPr>
            </w:pPr>
            <w:r w:rsidRPr="000329FE">
              <w:rPr>
                <w:i/>
                <w:iCs/>
              </w:rPr>
              <w:t xml:space="preserve">Puawai Midland Regional Forensic Psychiatric Service </w:t>
            </w:r>
            <w:r>
              <w:t>(p</w:t>
            </w:r>
            <w:r w:rsidRPr="000329FE">
              <w:t>amphlet</w:t>
            </w:r>
            <w:r>
              <w:t>)</w:t>
            </w:r>
          </w:p>
        </w:tc>
      </w:tr>
      <w:tr w:rsidR="009636B7" w:rsidRPr="000329FE" w14:paraId="234BC42B" w14:textId="77777777" w:rsidTr="0087762A">
        <w:trPr>
          <w:cantSplit/>
        </w:trPr>
        <w:tc>
          <w:tcPr>
            <w:tcW w:w="1134" w:type="dxa"/>
            <w:vMerge w:val="restart"/>
            <w:shd w:val="clear" w:color="auto" w:fill="auto"/>
          </w:tcPr>
          <w:p w14:paraId="0FDA2AFE" w14:textId="77777777" w:rsidR="009636B7" w:rsidRPr="000329FE" w:rsidRDefault="009636B7" w:rsidP="0087762A">
            <w:pPr>
              <w:pStyle w:val="TableText"/>
              <w:ind w:right="113"/>
            </w:pPr>
            <w:r w:rsidRPr="000329FE">
              <w:t>Central</w:t>
            </w:r>
          </w:p>
        </w:tc>
        <w:tc>
          <w:tcPr>
            <w:tcW w:w="1985" w:type="dxa"/>
            <w:shd w:val="clear" w:color="auto" w:fill="auto"/>
          </w:tcPr>
          <w:p w14:paraId="3FB01BDA" w14:textId="77777777" w:rsidR="009636B7" w:rsidRPr="000329FE" w:rsidRDefault="009636B7" w:rsidP="0087762A">
            <w:pPr>
              <w:pStyle w:val="TableText"/>
            </w:pPr>
            <w:r w:rsidRPr="000329FE">
              <w:t>Central Regional Forensic Community Mental Health Service</w:t>
            </w:r>
          </w:p>
        </w:tc>
        <w:tc>
          <w:tcPr>
            <w:tcW w:w="567" w:type="dxa"/>
          </w:tcPr>
          <w:p w14:paraId="62296245" w14:textId="77777777" w:rsidR="009636B7" w:rsidRPr="000329FE" w:rsidRDefault="009636B7" w:rsidP="0087762A">
            <w:pPr>
              <w:pStyle w:val="TableText"/>
              <w:jc w:val="center"/>
            </w:pPr>
            <w:r w:rsidRPr="000329FE">
              <w:t>2017</w:t>
            </w:r>
          </w:p>
        </w:tc>
        <w:tc>
          <w:tcPr>
            <w:tcW w:w="4394" w:type="dxa"/>
            <w:shd w:val="clear" w:color="auto" w:fill="auto"/>
          </w:tcPr>
          <w:p w14:paraId="68ABD65E" w14:textId="77777777" w:rsidR="009636B7" w:rsidRPr="000329FE" w:rsidRDefault="009636B7" w:rsidP="0087762A">
            <w:pPr>
              <w:pStyle w:val="TableText"/>
              <w:ind w:left="113"/>
              <w:rPr>
                <w:i/>
                <w:iCs/>
              </w:rPr>
            </w:pPr>
            <w:r w:rsidRPr="000329FE">
              <w:rPr>
                <w:i/>
                <w:iCs/>
              </w:rPr>
              <w:t>Ngā Tapuwae: Walking the Walk</w:t>
            </w:r>
            <w:r>
              <w:rPr>
                <w:i/>
                <w:iCs/>
              </w:rPr>
              <w:t xml:space="preserve"> </w:t>
            </w:r>
            <w:r w:rsidRPr="000329FE">
              <w:rPr>
                <w:i/>
                <w:iCs/>
              </w:rPr>
              <w:t>– A Co-Design Service Pathway Project at Te Korowai Whāriki</w:t>
            </w:r>
            <w:r>
              <w:rPr>
                <w:i/>
                <w:iCs/>
              </w:rPr>
              <w:t xml:space="preserve"> </w:t>
            </w:r>
            <w:r w:rsidRPr="000329FE">
              <w:rPr>
                <w:i/>
                <w:iCs/>
              </w:rPr>
              <w:t>– July 2017</w:t>
            </w:r>
          </w:p>
        </w:tc>
      </w:tr>
      <w:tr w:rsidR="009636B7" w:rsidRPr="000329FE" w14:paraId="53653088" w14:textId="77777777" w:rsidTr="0087762A">
        <w:trPr>
          <w:cantSplit/>
        </w:trPr>
        <w:tc>
          <w:tcPr>
            <w:tcW w:w="1134" w:type="dxa"/>
            <w:vMerge/>
            <w:shd w:val="clear" w:color="auto" w:fill="auto"/>
          </w:tcPr>
          <w:p w14:paraId="2CB16E4E" w14:textId="77777777" w:rsidR="009636B7" w:rsidRPr="000329FE" w:rsidRDefault="009636B7" w:rsidP="0087762A">
            <w:pPr>
              <w:pStyle w:val="TableText"/>
              <w:ind w:right="113"/>
            </w:pPr>
          </w:p>
        </w:tc>
        <w:tc>
          <w:tcPr>
            <w:tcW w:w="1985" w:type="dxa"/>
            <w:shd w:val="clear" w:color="auto" w:fill="auto"/>
          </w:tcPr>
          <w:p w14:paraId="2DE16128" w14:textId="77777777" w:rsidR="009636B7" w:rsidRPr="000329FE" w:rsidRDefault="009636B7" w:rsidP="0087762A">
            <w:pPr>
              <w:pStyle w:val="TableText"/>
            </w:pPr>
            <w:r w:rsidRPr="000329FE">
              <w:t>Central Regional Forensic Community Mental Health Service</w:t>
            </w:r>
          </w:p>
        </w:tc>
        <w:tc>
          <w:tcPr>
            <w:tcW w:w="567" w:type="dxa"/>
          </w:tcPr>
          <w:p w14:paraId="3A590590" w14:textId="77777777" w:rsidR="009636B7" w:rsidRPr="000329FE" w:rsidRDefault="009636B7" w:rsidP="0087762A">
            <w:pPr>
              <w:pStyle w:val="TableText"/>
              <w:jc w:val="center"/>
            </w:pPr>
            <w:r w:rsidRPr="000329FE">
              <w:t>2019</w:t>
            </w:r>
          </w:p>
        </w:tc>
        <w:tc>
          <w:tcPr>
            <w:tcW w:w="4394" w:type="dxa"/>
            <w:shd w:val="clear" w:color="auto" w:fill="auto"/>
          </w:tcPr>
          <w:p w14:paraId="04372A7A" w14:textId="77777777" w:rsidR="009636B7" w:rsidRPr="00A915C2" w:rsidRDefault="009636B7" w:rsidP="0087762A">
            <w:pPr>
              <w:pStyle w:val="TableText"/>
              <w:ind w:left="113"/>
              <w:rPr>
                <w:i/>
                <w:iCs/>
              </w:rPr>
            </w:pPr>
            <w:r w:rsidRPr="000329FE">
              <w:rPr>
                <w:i/>
                <w:iCs/>
              </w:rPr>
              <w:t>The Redesign and Implementation of the Ngā Tapuwae Forensic Model of Care</w:t>
            </w:r>
          </w:p>
        </w:tc>
      </w:tr>
      <w:tr w:rsidR="009636B7" w:rsidRPr="000329FE" w14:paraId="296BB86D" w14:textId="77777777" w:rsidTr="0087762A">
        <w:trPr>
          <w:cantSplit/>
        </w:trPr>
        <w:tc>
          <w:tcPr>
            <w:tcW w:w="1134" w:type="dxa"/>
            <w:vMerge/>
            <w:shd w:val="clear" w:color="auto" w:fill="auto"/>
          </w:tcPr>
          <w:p w14:paraId="6C03C3AB" w14:textId="77777777" w:rsidR="009636B7" w:rsidRPr="000329FE" w:rsidRDefault="009636B7" w:rsidP="0087762A">
            <w:pPr>
              <w:pStyle w:val="TableText"/>
              <w:ind w:right="113"/>
            </w:pPr>
          </w:p>
        </w:tc>
        <w:tc>
          <w:tcPr>
            <w:tcW w:w="1985" w:type="dxa"/>
            <w:shd w:val="clear" w:color="auto" w:fill="auto"/>
          </w:tcPr>
          <w:p w14:paraId="67767765" w14:textId="77777777" w:rsidR="009636B7" w:rsidRPr="000329FE" w:rsidRDefault="009636B7" w:rsidP="0087762A">
            <w:pPr>
              <w:pStyle w:val="TableText"/>
            </w:pPr>
            <w:r w:rsidRPr="000329FE">
              <w:rPr>
                <w:iCs/>
              </w:rPr>
              <w:t>Stanford House</w:t>
            </w:r>
          </w:p>
        </w:tc>
        <w:tc>
          <w:tcPr>
            <w:tcW w:w="567" w:type="dxa"/>
          </w:tcPr>
          <w:p w14:paraId="46CF5CB2" w14:textId="77777777" w:rsidR="009636B7" w:rsidRPr="000329FE" w:rsidRDefault="009636B7" w:rsidP="0087762A">
            <w:pPr>
              <w:pStyle w:val="TableText"/>
              <w:jc w:val="center"/>
            </w:pPr>
            <w:r w:rsidRPr="000329FE">
              <w:t>2018</w:t>
            </w:r>
          </w:p>
        </w:tc>
        <w:tc>
          <w:tcPr>
            <w:tcW w:w="4394" w:type="dxa"/>
            <w:shd w:val="clear" w:color="auto" w:fill="auto"/>
          </w:tcPr>
          <w:p w14:paraId="1C23EDEF" w14:textId="77777777" w:rsidR="009636B7" w:rsidRPr="000329FE" w:rsidRDefault="009636B7" w:rsidP="0087762A">
            <w:pPr>
              <w:pStyle w:val="TableText"/>
              <w:ind w:left="113"/>
              <w:rPr>
                <w:i/>
                <w:iCs/>
              </w:rPr>
            </w:pPr>
            <w:r w:rsidRPr="000329FE">
              <w:rPr>
                <w:i/>
                <w:iCs/>
              </w:rPr>
              <w:t>Extended Term Secure Regional Forensic Service Operational Policy</w:t>
            </w:r>
          </w:p>
        </w:tc>
      </w:tr>
      <w:tr w:rsidR="009636B7" w:rsidRPr="000329FE" w14:paraId="1571BD6D" w14:textId="77777777" w:rsidTr="0087762A">
        <w:trPr>
          <w:cantSplit/>
        </w:trPr>
        <w:tc>
          <w:tcPr>
            <w:tcW w:w="1134" w:type="dxa"/>
            <w:vMerge/>
            <w:shd w:val="clear" w:color="auto" w:fill="auto"/>
          </w:tcPr>
          <w:p w14:paraId="248EF5D5" w14:textId="77777777" w:rsidR="009636B7" w:rsidRPr="000329FE" w:rsidRDefault="009636B7" w:rsidP="0087762A">
            <w:pPr>
              <w:pStyle w:val="TableText"/>
              <w:ind w:right="113"/>
            </w:pPr>
          </w:p>
        </w:tc>
        <w:tc>
          <w:tcPr>
            <w:tcW w:w="1985" w:type="dxa"/>
            <w:shd w:val="clear" w:color="auto" w:fill="auto"/>
          </w:tcPr>
          <w:p w14:paraId="1B79A3C1" w14:textId="77777777" w:rsidR="009636B7" w:rsidRPr="000329FE" w:rsidRDefault="009636B7" w:rsidP="00967EEE">
            <w:pPr>
              <w:pStyle w:val="TableText"/>
            </w:pPr>
            <w:r w:rsidRPr="000329FE">
              <w:rPr>
                <w:iCs/>
              </w:rPr>
              <w:t>Stanford House</w:t>
            </w:r>
          </w:p>
        </w:tc>
        <w:tc>
          <w:tcPr>
            <w:tcW w:w="567" w:type="dxa"/>
          </w:tcPr>
          <w:p w14:paraId="248BDF82" w14:textId="77777777" w:rsidR="009636B7" w:rsidRPr="000329FE" w:rsidRDefault="009636B7" w:rsidP="0087762A">
            <w:pPr>
              <w:pStyle w:val="TableText"/>
              <w:jc w:val="center"/>
            </w:pPr>
            <w:r w:rsidRPr="000329FE">
              <w:t>nd</w:t>
            </w:r>
          </w:p>
        </w:tc>
        <w:tc>
          <w:tcPr>
            <w:tcW w:w="4394" w:type="dxa"/>
            <w:shd w:val="clear" w:color="auto" w:fill="auto"/>
          </w:tcPr>
          <w:p w14:paraId="250A4124" w14:textId="77777777" w:rsidR="009636B7" w:rsidRPr="000329FE" w:rsidRDefault="009636B7" w:rsidP="00573C9D">
            <w:pPr>
              <w:pStyle w:val="TableText"/>
              <w:ind w:left="113"/>
              <w:rPr>
                <w:i/>
                <w:iCs/>
              </w:rPr>
            </w:pPr>
            <w:r w:rsidRPr="000329FE">
              <w:rPr>
                <w:i/>
                <w:iCs/>
              </w:rPr>
              <w:t>Model of Care for Stanford House Extended Secure Regional Forensic Service</w:t>
            </w:r>
          </w:p>
        </w:tc>
      </w:tr>
      <w:tr w:rsidR="009636B7" w:rsidRPr="000329FE" w14:paraId="5F6AC2A4" w14:textId="77777777" w:rsidTr="0087762A">
        <w:trPr>
          <w:cantSplit/>
        </w:trPr>
        <w:tc>
          <w:tcPr>
            <w:tcW w:w="1134" w:type="dxa"/>
            <w:vMerge/>
            <w:shd w:val="clear" w:color="auto" w:fill="auto"/>
          </w:tcPr>
          <w:p w14:paraId="477CACAE" w14:textId="77777777" w:rsidR="009636B7" w:rsidRPr="000329FE" w:rsidRDefault="009636B7" w:rsidP="0087762A">
            <w:pPr>
              <w:pStyle w:val="TableText"/>
              <w:ind w:right="113"/>
            </w:pPr>
          </w:p>
        </w:tc>
        <w:tc>
          <w:tcPr>
            <w:tcW w:w="1985" w:type="dxa"/>
            <w:shd w:val="clear" w:color="auto" w:fill="auto"/>
          </w:tcPr>
          <w:p w14:paraId="14F95DE3" w14:textId="77777777" w:rsidR="009636B7" w:rsidRPr="000329FE" w:rsidRDefault="009636B7" w:rsidP="00967EEE">
            <w:pPr>
              <w:pStyle w:val="TableText"/>
            </w:pPr>
            <w:r w:rsidRPr="000329FE">
              <w:rPr>
                <w:iCs/>
              </w:rPr>
              <w:t>Stanford House</w:t>
            </w:r>
          </w:p>
        </w:tc>
        <w:tc>
          <w:tcPr>
            <w:tcW w:w="567" w:type="dxa"/>
          </w:tcPr>
          <w:p w14:paraId="3D939CAA" w14:textId="77777777" w:rsidR="009636B7" w:rsidRPr="000329FE" w:rsidRDefault="009636B7" w:rsidP="0087762A">
            <w:pPr>
              <w:pStyle w:val="TableText"/>
              <w:jc w:val="center"/>
            </w:pPr>
            <w:r w:rsidRPr="000329FE">
              <w:t>nd</w:t>
            </w:r>
          </w:p>
        </w:tc>
        <w:tc>
          <w:tcPr>
            <w:tcW w:w="4394" w:type="dxa"/>
            <w:shd w:val="clear" w:color="auto" w:fill="auto"/>
          </w:tcPr>
          <w:p w14:paraId="62EDFF5F" w14:textId="77777777" w:rsidR="009636B7" w:rsidRPr="000329FE" w:rsidRDefault="009636B7" w:rsidP="00573C9D">
            <w:pPr>
              <w:pStyle w:val="TableText"/>
              <w:ind w:left="113"/>
              <w:rPr>
                <w:i/>
                <w:iCs/>
              </w:rPr>
            </w:pPr>
            <w:r w:rsidRPr="000329FE">
              <w:rPr>
                <w:i/>
                <w:iCs/>
              </w:rPr>
              <w:t>Pathway for Recovery Model of Care at Stanford House</w:t>
            </w:r>
          </w:p>
        </w:tc>
      </w:tr>
      <w:tr w:rsidR="009636B7" w:rsidRPr="000329FE" w14:paraId="79FC24B9" w14:textId="77777777" w:rsidTr="0087762A">
        <w:trPr>
          <w:cantSplit/>
        </w:trPr>
        <w:tc>
          <w:tcPr>
            <w:tcW w:w="1134" w:type="dxa"/>
            <w:vMerge/>
            <w:shd w:val="clear" w:color="auto" w:fill="auto"/>
          </w:tcPr>
          <w:p w14:paraId="1DB9F355" w14:textId="77777777" w:rsidR="009636B7" w:rsidRPr="000329FE" w:rsidRDefault="009636B7" w:rsidP="0087762A">
            <w:pPr>
              <w:pStyle w:val="TableText"/>
              <w:ind w:right="113"/>
            </w:pPr>
          </w:p>
        </w:tc>
        <w:tc>
          <w:tcPr>
            <w:tcW w:w="1985" w:type="dxa"/>
            <w:shd w:val="clear" w:color="auto" w:fill="auto"/>
          </w:tcPr>
          <w:p w14:paraId="01B8D0FC" w14:textId="77777777" w:rsidR="009636B7" w:rsidRPr="000329FE" w:rsidRDefault="009636B7" w:rsidP="00967EEE">
            <w:pPr>
              <w:pStyle w:val="TableText"/>
            </w:pPr>
            <w:r w:rsidRPr="000329FE">
              <w:t>Te Korowai Whāriki</w:t>
            </w:r>
          </w:p>
        </w:tc>
        <w:tc>
          <w:tcPr>
            <w:tcW w:w="567" w:type="dxa"/>
          </w:tcPr>
          <w:p w14:paraId="2A360381" w14:textId="77777777" w:rsidR="009636B7" w:rsidRPr="000329FE" w:rsidRDefault="009636B7" w:rsidP="0087762A">
            <w:pPr>
              <w:pStyle w:val="TableText"/>
              <w:jc w:val="center"/>
            </w:pPr>
            <w:r w:rsidRPr="000329FE">
              <w:t>2018</w:t>
            </w:r>
          </w:p>
        </w:tc>
        <w:tc>
          <w:tcPr>
            <w:tcW w:w="4394" w:type="dxa"/>
            <w:shd w:val="clear" w:color="auto" w:fill="auto"/>
          </w:tcPr>
          <w:p w14:paraId="753128EE" w14:textId="77777777" w:rsidR="009636B7" w:rsidRPr="000329FE" w:rsidRDefault="009636B7" w:rsidP="00573C9D">
            <w:pPr>
              <w:pStyle w:val="TableText"/>
              <w:ind w:left="113"/>
              <w:rPr>
                <w:i/>
                <w:iCs/>
              </w:rPr>
            </w:pPr>
            <w:r w:rsidRPr="000329FE">
              <w:rPr>
                <w:i/>
                <w:iCs/>
              </w:rPr>
              <w:t>Te Korowai Whāriki Prison Model of Care</w:t>
            </w:r>
          </w:p>
        </w:tc>
      </w:tr>
      <w:tr w:rsidR="009636B7" w:rsidRPr="000329FE" w14:paraId="0A383F5E" w14:textId="77777777" w:rsidTr="0087762A">
        <w:trPr>
          <w:cantSplit/>
        </w:trPr>
        <w:tc>
          <w:tcPr>
            <w:tcW w:w="1134" w:type="dxa"/>
            <w:shd w:val="clear" w:color="auto" w:fill="auto"/>
          </w:tcPr>
          <w:p w14:paraId="5919CD8F" w14:textId="77777777" w:rsidR="009636B7" w:rsidRPr="000329FE" w:rsidRDefault="009636B7" w:rsidP="0087762A">
            <w:pPr>
              <w:pStyle w:val="TableText"/>
              <w:ind w:right="113"/>
            </w:pPr>
            <w:r w:rsidRPr="000329FE">
              <w:t>Canterbury</w:t>
            </w:r>
          </w:p>
        </w:tc>
        <w:tc>
          <w:tcPr>
            <w:tcW w:w="1985" w:type="dxa"/>
            <w:shd w:val="clear" w:color="auto" w:fill="auto"/>
          </w:tcPr>
          <w:p w14:paraId="4DEFC6A2" w14:textId="77777777" w:rsidR="009636B7" w:rsidRPr="000329FE" w:rsidRDefault="009636B7" w:rsidP="0087762A">
            <w:pPr>
              <w:pStyle w:val="TableText"/>
            </w:pPr>
            <w:r>
              <w:t xml:space="preserve">E </w:t>
            </w:r>
            <w:r w:rsidRPr="000329FE">
              <w:t xml:space="preserve">Monasterio </w:t>
            </w:r>
            <w:r>
              <w:t>and</w:t>
            </w:r>
            <w:r w:rsidRPr="000329FE">
              <w:t xml:space="preserve"> </w:t>
            </w:r>
            <w:r>
              <w:t>P</w:t>
            </w:r>
            <w:r w:rsidR="0087762A">
              <w:t> </w:t>
            </w:r>
            <w:r w:rsidRPr="000329FE">
              <w:t>Mason</w:t>
            </w:r>
          </w:p>
        </w:tc>
        <w:tc>
          <w:tcPr>
            <w:tcW w:w="567" w:type="dxa"/>
          </w:tcPr>
          <w:p w14:paraId="02A40CF9" w14:textId="77777777" w:rsidR="009636B7" w:rsidRPr="000329FE" w:rsidRDefault="009636B7" w:rsidP="0087762A">
            <w:pPr>
              <w:pStyle w:val="TableText"/>
              <w:jc w:val="center"/>
            </w:pPr>
            <w:r w:rsidRPr="000329FE">
              <w:t>2010</w:t>
            </w:r>
          </w:p>
        </w:tc>
        <w:tc>
          <w:tcPr>
            <w:tcW w:w="4394" w:type="dxa"/>
            <w:shd w:val="clear" w:color="auto" w:fill="auto"/>
          </w:tcPr>
          <w:p w14:paraId="6A9250F2" w14:textId="77777777" w:rsidR="009636B7" w:rsidRPr="000329FE" w:rsidRDefault="009636B7" w:rsidP="00573C9D">
            <w:pPr>
              <w:pStyle w:val="TableText"/>
              <w:ind w:left="113"/>
              <w:rPr>
                <w:i/>
                <w:iCs/>
              </w:rPr>
            </w:pPr>
            <w:r w:rsidRPr="000329FE">
              <w:rPr>
                <w:i/>
                <w:iCs/>
              </w:rPr>
              <w:t>Forensic Service Delivery Review to Christchurch Prisons Project</w:t>
            </w:r>
          </w:p>
        </w:tc>
      </w:tr>
      <w:tr w:rsidR="009636B7" w:rsidRPr="000329FE" w14:paraId="17ED7DCB" w14:textId="77777777" w:rsidTr="0087762A">
        <w:trPr>
          <w:cantSplit/>
        </w:trPr>
        <w:tc>
          <w:tcPr>
            <w:tcW w:w="1134" w:type="dxa"/>
            <w:vMerge w:val="restart"/>
            <w:shd w:val="clear" w:color="auto" w:fill="auto"/>
          </w:tcPr>
          <w:p w14:paraId="2AE3AF66" w14:textId="77777777" w:rsidR="009636B7" w:rsidRPr="000329FE" w:rsidRDefault="009636B7" w:rsidP="0087762A">
            <w:pPr>
              <w:pStyle w:val="TableText"/>
              <w:ind w:right="113"/>
            </w:pPr>
            <w:r w:rsidRPr="000329FE">
              <w:t>Southern</w:t>
            </w:r>
          </w:p>
        </w:tc>
        <w:tc>
          <w:tcPr>
            <w:tcW w:w="1985" w:type="dxa"/>
            <w:shd w:val="clear" w:color="auto" w:fill="auto"/>
          </w:tcPr>
          <w:p w14:paraId="7BCCA302" w14:textId="77777777" w:rsidR="009636B7" w:rsidRPr="000329FE" w:rsidRDefault="009636B7" w:rsidP="00967EEE">
            <w:pPr>
              <w:pStyle w:val="TableText"/>
            </w:pPr>
            <w:r w:rsidRPr="000329FE">
              <w:rPr>
                <w:iCs/>
              </w:rPr>
              <w:t xml:space="preserve">Southern </w:t>
            </w:r>
            <w:r>
              <w:rPr>
                <w:iCs/>
              </w:rPr>
              <w:t>DHB</w:t>
            </w:r>
          </w:p>
        </w:tc>
        <w:tc>
          <w:tcPr>
            <w:tcW w:w="567" w:type="dxa"/>
          </w:tcPr>
          <w:p w14:paraId="74968473" w14:textId="77777777" w:rsidR="009636B7" w:rsidRPr="000329FE" w:rsidRDefault="009636B7" w:rsidP="0087762A">
            <w:pPr>
              <w:pStyle w:val="TableText"/>
              <w:jc w:val="center"/>
            </w:pPr>
            <w:r w:rsidRPr="000329FE">
              <w:t>2016</w:t>
            </w:r>
          </w:p>
        </w:tc>
        <w:tc>
          <w:tcPr>
            <w:tcW w:w="4394" w:type="dxa"/>
            <w:shd w:val="clear" w:color="auto" w:fill="auto"/>
          </w:tcPr>
          <w:p w14:paraId="4D643260" w14:textId="77777777" w:rsidR="009636B7" w:rsidRPr="000329FE" w:rsidRDefault="009636B7" w:rsidP="00573C9D">
            <w:pPr>
              <w:pStyle w:val="TableText"/>
              <w:ind w:left="113"/>
              <w:rPr>
                <w:i/>
                <w:iCs/>
              </w:rPr>
            </w:pPr>
            <w:r w:rsidRPr="000329FE">
              <w:rPr>
                <w:i/>
                <w:iCs/>
              </w:rPr>
              <w:t>Clinical Focus</w:t>
            </w:r>
            <w:r>
              <w:rPr>
                <w:i/>
                <w:iCs/>
              </w:rPr>
              <w:t xml:space="preserve"> </w:t>
            </w:r>
            <w:r w:rsidRPr="000329FE">
              <w:rPr>
                <w:i/>
                <w:iCs/>
              </w:rPr>
              <w:t>– Southern Regional Forensic Psychiatric Service (District)</w:t>
            </w:r>
          </w:p>
        </w:tc>
      </w:tr>
      <w:tr w:rsidR="009636B7" w:rsidRPr="000329FE" w14:paraId="3DFCEFAF" w14:textId="77777777" w:rsidTr="0087762A">
        <w:trPr>
          <w:cantSplit/>
        </w:trPr>
        <w:tc>
          <w:tcPr>
            <w:tcW w:w="1134" w:type="dxa"/>
            <w:vMerge/>
            <w:shd w:val="clear" w:color="auto" w:fill="auto"/>
          </w:tcPr>
          <w:p w14:paraId="0CFFA453" w14:textId="77777777" w:rsidR="009636B7" w:rsidRPr="000329FE" w:rsidRDefault="009636B7" w:rsidP="0087762A">
            <w:pPr>
              <w:pStyle w:val="TableText"/>
              <w:ind w:right="113"/>
            </w:pPr>
          </w:p>
        </w:tc>
        <w:tc>
          <w:tcPr>
            <w:tcW w:w="1985" w:type="dxa"/>
            <w:shd w:val="clear" w:color="auto" w:fill="auto"/>
          </w:tcPr>
          <w:p w14:paraId="464FB3E2" w14:textId="77777777" w:rsidR="009636B7" w:rsidRPr="000329FE" w:rsidRDefault="009636B7" w:rsidP="00967EEE">
            <w:pPr>
              <w:pStyle w:val="TableText"/>
            </w:pPr>
            <w:r w:rsidRPr="000329FE">
              <w:rPr>
                <w:iCs/>
              </w:rPr>
              <w:t xml:space="preserve">Southern </w:t>
            </w:r>
            <w:r>
              <w:rPr>
                <w:iCs/>
              </w:rPr>
              <w:t>DHB</w:t>
            </w:r>
          </w:p>
        </w:tc>
        <w:tc>
          <w:tcPr>
            <w:tcW w:w="567" w:type="dxa"/>
          </w:tcPr>
          <w:p w14:paraId="7AB4B3A0" w14:textId="77777777" w:rsidR="009636B7" w:rsidRPr="000329FE" w:rsidRDefault="009636B7" w:rsidP="0087762A">
            <w:pPr>
              <w:pStyle w:val="TableText"/>
              <w:jc w:val="center"/>
            </w:pPr>
            <w:r w:rsidRPr="000329FE">
              <w:t>2017</w:t>
            </w:r>
          </w:p>
        </w:tc>
        <w:tc>
          <w:tcPr>
            <w:tcW w:w="4394" w:type="dxa"/>
            <w:shd w:val="clear" w:color="auto" w:fill="auto"/>
          </w:tcPr>
          <w:p w14:paraId="015BE8C1" w14:textId="77777777" w:rsidR="009636B7" w:rsidRPr="000329FE" w:rsidRDefault="009636B7" w:rsidP="00573C9D">
            <w:pPr>
              <w:pStyle w:val="TableText"/>
              <w:ind w:left="113"/>
              <w:rPr>
                <w:i/>
                <w:iCs/>
              </w:rPr>
            </w:pPr>
            <w:r w:rsidRPr="000329FE">
              <w:rPr>
                <w:i/>
                <w:iCs/>
              </w:rPr>
              <w:t>Service Model</w:t>
            </w:r>
            <w:r>
              <w:rPr>
                <w:i/>
                <w:iCs/>
              </w:rPr>
              <w:t xml:space="preserve"> </w:t>
            </w:r>
            <w:r w:rsidRPr="000329FE">
              <w:rPr>
                <w:i/>
                <w:iCs/>
              </w:rPr>
              <w:t>– Regional Forensic Psychiatric Service Inpatient Services at Ward 9A, Wakari</w:t>
            </w:r>
          </w:p>
        </w:tc>
      </w:tr>
      <w:tr w:rsidR="009636B7" w:rsidRPr="000329FE" w14:paraId="3DF648AA" w14:textId="77777777" w:rsidTr="0087762A">
        <w:trPr>
          <w:cantSplit/>
        </w:trPr>
        <w:tc>
          <w:tcPr>
            <w:tcW w:w="1134" w:type="dxa"/>
            <w:vMerge/>
            <w:shd w:val="clear" w:color="auto" w:fill="auto"/>
          </w:tcPr>
          <w:p w14:paraId="2B83CF90" w14:textId="77777777" w:rsidR="009636B7" w:rsidRPr="000329FE" w:rsidRDefault="009636B7" w:rsidP="0087762A">
            <w:pPr>
              <w:pStyle w:val="TableText"/>
              <w:ind w:right="113"/>
            </w:pPr>
          </w:p>
        </w:tc>
        <w:tc>
          <w:tcPr>
            <w:tcW w:w="1985" w:type="dxa"/>
            <w:shd w:val="clear" w:color="auto" w:fill="auto"/>
          </w:tcPr>
          <w:p w14:paraId="7ABE9516" w14:textId="77777777" w:rsidR="009636B7" w:rsidRPr="000329FE" w:rsidRDefault="009636B7" w:rsidP="00967EEE">
            <w:pPr>
              <w:pStyle w:val="TableText"/>
            </w:pPr>
            <w:r w:rsidRPr="000329FE">
              <w:rPr>
                <w:iCs/>
              </w:rPr>
              <w:t xml:space="preserve">Southern </w:t>
            </w:r>
            <w:r>
              <w:rPr>
                <w:iCs/>
              </w:rPr>
              <w:t>DHB</w:t>
            </w:r>
          </w:p>
        </w:tc>
        <w:tc>
          <w:tcPr>
            <w:tcW w:w="567" w:type="dxa"/>
          </w:tcPr>
          <w:p w14:paraId="7C6A5BA8" w14:textId="77777777" w:rsidR="009636B7" w:rsidRPr="000329FE" w:rsidRDefault="009636B7" w:rsidP="0087762A">
            <w:pPr>
              <w:pStyle w:val="TableText"/>
              <w:jc w:val="center"/>
            </w:pPr>
            <w:r w:rsidRPr="000329FE">
              <w:t>2019</w:t>
            </w:r>
          </w:p>
        </w:tc>
        <w:tc>
          <w:tcPr>
            <w:tcW w:w="4394" w:type="dxa"/>
            <w:shd w:val="clear" w:color="auto" w:fill="auto"/>
          </w:tcPr>
          <w:p w14:paraId="174B472D" w14:textId="77777777" w:rsidR="009636B7" w:rsidRPr="000329FE" w:rsidRDefault="009636B7" w:rsidP="00573C9D">
            <w:pPr>
              <w:pStyle w:val="TableText"/>
              <w:ind w:left="113"/>
              <w:rPr>
                <w:i/>
                <w:iCs/>
              </w:rPr>
            </w:pPr>
            <w:r w:rsidRPr="000329FE">
              <w:rPr>
                <w:i/>
                <w:iCs/>
              </w:rPr>
              <w:t>Management of Acutely Disturbed or Violent Behaviour in Ward 9A (Flowchart) (Otago)</w:t>
            </w:r>
          </w:p>
        </w:tc>
      </w:tr>
    </w:tbl>
    <w:p w14:paraId="2C4E67E4" w14:textId="77777777" w:rsidR="0087762A" w:rsidRDefault="0087762A" w:rsidP="0087762A"/>
    <w:p w14:paraId="56F47044" w14:textId="77777777" w:rsidR="009636B7" w:rsidRPr="000329FE" w:rsidRDefault="009636B7" w:rsidP="0087762A">
      <w:pPr>
        <w:pStyle w:val="Heading4"/>
      </w:pPr>
      <w:r w:rsidRPr="000329FE">
        <w:lastRenderedPageBreak/>
        <w:t>Auckland</w:t>
      </w:r>
    </w:p>
    <w:p w14:paraId="7A83C3C1" w14:textId="77777777" w:rsidR="00EE0ADB" w:rsidRDefault="009636B7" w:rsidP="0087762A">
      <w:pPr>
        <w:keepNext/>
        <w:keepLines/>
      </w:pPr>
      <w:r w:rsidRPr="000329FE">
        <w:t xml:space="preserve">The four documents provided by the Auckland RFPS pertain to services provided by the Mason Clinic, </w:t>
      </w:r>
      <w:r w:rsidRPr="007245AF">
        <w:t>the region</w:t>
      </w:r>
      <w:r w:rsidR="00EE0ADB">
        <w:t>’</w:t>
      </w:r>
      <w:r w:rsidRPr="007245AF">
        <w:t>s secure</w:t>
      </w:r>
      <w:r w:rsidRPr="000329FE">
        <w:t xml:space="preserve"> inpatient facility and home base located in Point Chevalier, Auckland (Mason Clinic 2011, 2018a, 2018b; Mason Clinic </w:t>
      </w:r>
      <w:r>
        <w:t>and</w:t>
      </w:r>
      <w:r w:rsidRPr="000329FE">
        <w:t xml:space="preserve"> Puawai Midland R</w:t>
      </w:r>
      <w:r>
        <w:t xml:space="preserve">egional </w:t>
      </w:r>
      <w:r w:rsidRPr="000329FE">
        <w:t>F</w:t>
      </w:r>
      <w:r>
        <w:t xml:space="preserve">orensic </w:t>
      </w:r>
      <w:r w:rsidRPr="000329FE">
        <w:t>P</w:t>
      </w:r>
      <w:r>
        <w:t xml:space="preserve">sychiatry </w:t>
      </w:r>
      <w:r w:rsidRPr="000329FE">
        <w:t>S</w:t>
      </w:r>
      <w:r>
        <w:t>ervice</w:t>
      </w:r>
      <w:r w:rsidRPr="000329FE">
        <w:t xml:space="preserve"> 2011). As articulated in </w:t>
      </w:r>
      <w:r w:rsidRPr="000329FE">
        <w:rPr>
          <w:i/>
          <w:iCs/>
        </w:rPr>
        <w:t xml:space="preserve">The Mason Approach </w:t>
      </w:r>
      <w:r w:rsidRPr="000329FE">
        <w:t>(Mason Clinic 2011), Auckland</w:t>
      </w:r>
      <w:r w:rsidR="00EE0ADB">
        <w:t>’</w:t>
      </w:r>
      <w:r w:rsidRPr="000329FE">
        <w:t xml:space="preserve">s model of care is </w:t>
      </w:r>
      <w:r w:rsidR="00EE0ADB">
        <w:t>‘</w:t>
      </w:r>
      <w:r w:rsidRPr="000329FE">
        <w:t>recovery- and strengths-focused</w:t>
      </w:r>
      <w:r w:rsidR="00EE0ADB">
        <w:t>’</w:t>
      </w:r>
      <w:r w:rsidRPr="000329FE">
        <w:t xml:space="preserve"> and seeks to provide culturally appropriate, evidence-based care</w:t>
      </w:r>
      <w:r w:rsidR="00AD0D58">
        <w:t xml:space="preserve"> (p. </w:t>
      </w:r>
      <w:r w:rsidRPr="000329FE">
        <w:t xml:space="preserve">9). Five key principles guide the service: (a) </w:t>
      </w:r>
      <w:r w:rsidR="00EE0ADB">
        <w:t>‘</w:t>
      </w:r>
      <w:r w:rsidRPr="000329FE">
        <w:t>recovery as a philosophy and a journey</w:t>
      </w:r>
      <w:r w:rsidR="00EE0ADB">
        <w:t>’</w:t>
      </w:r>
      <w:r>
        <w:t>,</w:t>
      </w:r>
      <w:r w:rsidRPr="000329FE">
        <w:t xml:space="preserve"> (b) </w:t>
      </w:r>
      <w:r w:rsidR="00EE0ADB">
        <w:t>‘</w:t>
      </w:r>
      <w:r w:rsidRPr="000329FE">
        <w:t>the importance of cultural and personal identity</w:t>
      </w:r>
      <w:r w:rsidR="00EE0ADB">
        <w:t>’</w:t>
      </w:r>
      <w:r>
        <w:t>,</w:t>
      </w:r>
      <w:r w:rsidRPr="000329FE">
        <w:t xml:space="preserve"> (c) </w:t>
      </w:r>
      <w:r w:rsidR="00EE0ADB">
        <w:t>‘</w:t>
      </w:r>
      <w:r w:rsidRPr="000329FE">
        <w:t>the importance of understanding risk</w:t>
      </w:r>
      <w:r w:rsidR="00EE0ADB">
        <w:t>’</w:t>
      </w:r>
      <w:r>
        <w:t>,</w:t>
      </w:r>
      <w:r w:rsidRPr="000329FE">
        <w:t xml:space="preserve"> (d)</w:t>
      </w:r>
      <w:r w:rsidR="0087762A">
        <w:t> </w:t>
      </w:r>
      <w:r w:rsidR="00EE0ADB">
        <w:t>‘</w:t>
      </w:r>
      <w:r w:rsidRPr="000329FE">
        <w:t>recovery in the forensic setting</w:t>
      </w:r>
      <w:r w:rsidR="00EE0ADB">
        <w:t>’</w:t>
      </w:r>
      <w:r w:rsidRPr="000329FE">
        <w:t xml:space="preserve"> and (e) </w:t>
      </w:r>
      <w:r w:rsidR="00EE0ADB">
        <w:t>‘</w:t>
      </w:r>
      <w:r w:rsidRPr="000329FE">
        <w:t>excellence</w:t>
      </w:r>
      <w:r w:rsidR="00EE0ADB">
        <w:t>’</w:t>
      </w:r>
      <w:r w:rsidRPr="000329FE">
        <w:t xml:space="preserve"> (Mason Clinic 2011</w:t>
      </w:r>
      <w:r w:rsidR="005054ED">
        <w:t>, p. </w:t>
      </w:r>
      <w:r w:rsidRPr="000329FE">
        <w:t xml:space="preserve">10). Together, service delivery aims to embody a </w:t>
      </w:r>
      <w:r w:rsidR="00EE0ADB">
        <w:t>‘</w:t>
      </w:r>
      <w:r w:rsidRPr="000329FE">
        <w:t>whole-of-life concept</w:t>
      </w:r>
      <w:r w:rsidR="00EE0ADB">
        <w:t>’</w:t>
      </w:r>
      <w:r>
        <w:t>,</w:t>
      </w:r>
      <w:r w:rsidRPr="000329FE">
        <w:t xml:space="preserve"> </w:t>
      </w:r>
      <w:r w:rsidR="00EE0ADB">
        <w:t>‘</w:t>
      </w:r>
      <w:r w:rsidRPr="000329FE">
        <w:t>including understanding the person</w:t>
      </w:r>
      <w:r w:rsidR="00EE0ADB">
        <w:t>’</w:t>
      </w:r>
      <w:r w:rsidRPr="000329FE">
        <w:t>s life history, respectfully involving them in their care and assisting them in being fully involved as family members, workers and members of society</w:t>
      </w:r>
      <w:r w:rsidR="00EE0ADB">
        <w:t>’</w:t>
      </w:r>
      <w:r w:rsidRPr="000329FE">
        <w:t xml:space="preserve"> (Mason Clinic 2011</w:t>
      </w:r>
      <w:r w:rsidR="005054ED">
        <w:t>, p. </w:t>
      </w:r>
      <w:r w:rsidRPr="000329FE">
        <w:t>10).</w:t>
      </w:r>
    </w:p>
    <w:p w14:paraId="2BF9C843" w14:textId="77777777" w:rsidR="009636B7" w:rsidRPr="000329FE" w:rsidRDefault="009636B7" w:rsidP="0087762A"/>
    <w:p w14:paraId="288483A4" w14:textId="77777777" w:rsidR="00EE0ADB" w:rsidRDefault="009636B7" w:rsidP="0087762A">
      <w:r w:rsidRPr="000329FE">
        <w:t xml:space="preserve">The service is organised as an integrated care pathway </w:t>
      </w:r>
      <w:r>
        <w:t xml:space="preserve">(ICP) </w:t>
      </w:r>
      <w:r w:rsidRPr="000329FE">
        <w:t>structured according to levels of therapeutic security. Auckland</w:t>
      </w:r>
      <w:r w:rsidR="00EE0ADB">
        <w:t>’</w:t>
      </w:r>
      <w:r w:rsidRPr="000329FE">
        <w:t xml:space="preserve">s current model was implemented in 2014 in conjunction with </w:t>
      </w:r>
      <w:r w:rsidR="00EE0ADB">
        <w:t>‘</w:t>
      </w:r>
      <w:r w:rsidRPr="000329FE">
        <w:t>lean thinking</w:t>
      </w:r>
      <w:r w:rsidR="00EE0ADB">
        <w:t>’</w:t>
      </w:r>
      <w:r w:rsidRPr="000329FE">
        <w:t xml:space="preserve"> efforts that sought to streamline service user flow through the forensic mental health pathway (Mason Clinic 2018a</w:t>
      </w:r>
      <w:r>
        <w:t>):</w:t>
      </w:r>
      <w:r w:rsidRPr="000329FE">
        <w:t xml:space="preserve"> see </w:t>
      </w:r>
      <w:r w:rsidR="0087762A">
        <w:fldChar w:fldCharType="begin"/>
      </w:r>
      <w:r w:rsidR="0087762A">
        <w:instrText xml:space="preserve"> REF _Ref89946102 \h </w:instrText>
      </w:r>
      <w:r w:rsidR="0087762A">
        <w:fldChar w:fldCharType="separate"/>
      </w:r>
      <w:r w:rsidR="00F73238">
        <w:t>Figure </w:t>
      </w:r>
      <w:r w:rsidR="00F73238">
        <w:rPr>
          <w:noProof/>
        </w:rPr>
        <w:t>11</w:t>
      </w:r>
      <w:r w:rsidR="0087762A">
        <w:fldChar w:fldCharType="end"/>
      </w:r>
      <w:r w:rsidRPr="000329FE">
        <w:t xml:space="preserve">. Within this model, four </w:t>
      </w:r>
      <w:r w:rsidR="00EE0ADB">
        <w:t>‘</w:t>
      </w:r>
      <w:r w:rsidRPr="000329FE">
        <w:t>milestones</w:t>
      </w:r>
      <w:r w:rsidR="00EE0ADB">
        <w:t>’</w:t>
      </w:r>
      <w:r w:rsidRPr="000329FE">
        <w:t xml:space="preserve"> mark completion of one stage within the rehabilitation/recovery process and </w:t>
      </w:r>
      <w:r>
        <w:t>cue</w:t>
      </w:r>
      <w:r w:rsidRPr="000329FE">
        <w:t xml:space="preserve"> the service user for advancement without the need for clinical referral</w:t>
      </w:r>
      <w:r>
        <w:t>: they are</w:t>
      </w:r>
      <w:r w:rsidRPr="000329FE">
        <w:t>: (a) entry to the forensic rehabilitation pathway, (b) advancement from medium to minimum security, (c) return to the community under the forensic community team and (d) discharge from the forensic service (Mason Clinic 2018b). To assist in assessing service users</w:t>
      </w:r>
      <w:r w:rsidR="00EE0ADB">
        <w:t>’</w:t>
      </w:r>
      <w:r w:rsidRPr="000329FE">
        <w:t xml:space="preserve"> recovery and advancement along the pathway, Auckland employs the evidence-based DUNDRUM Quartet, a structured professional judgement instrument described further </w:t>
      </w:r>
      <w:r>
        <w:t xml:space="preserve">below </w:t>
      </w:r>
      <w:r w:rsidRPr="000329FE">
        <w:t>in relation to the Irish case study.</w:t>
      </w:r>
    </w:p>
    <w:p w14:paraId="7EBAE11F" w14:textId="77777777" w:rsidR="009636B7" w:rsidRPr="000329FE" w:rsidRDefault="009636B7" w:rsidP="0087762A"/>
    <w:p w14:paraId="625B6B74" w14:textId="77777777" w:rsidR="00EE0ADB" w:rsidRDefault="009636B7" w:rsidP="0087762A">
      <w:r w:rsidRPr="000329FE">
        <w:t xml:space="preserve">Notably, Auckland is the only service with a </w:t>
      </w:r>
      <w:r>
        <w:t>k</w:t>
      </w:r>
      <w:r w:rsidRPr="000329FE">
        <w:t xml:space="preserve">aupapa Māori pathway </w:t>
      </w:r>
      <w:r>
        <w:t xml:space="preserve">that </w:t>
      </w:r>
      <w:r w:rsidRPr="000329FE">
        <w:t>operates alongside the mainstream service. Auckland has two Māori inpatient units, Te</w:t>
      </w:r>
      <w:r w:rsidR="0087762A">
        <w:t> </w:t>
      </w:r>
      <w:r w:rsidRPr="000329FE">
        <w:t>Papakāinga O Tāne Whakapiripiri (minimum secure), which opened in 2004, and Te</w:t>
      </w:r>
      <w:r w:rsidR="0087762A">
        <w:t> </w:t>
      </w:r>
      <w:r w:rsidRPr="000329FE">
        <w:t>Aka (medium secure), which opened in 2017. These units have their own model of care blending mental health rehabilitation and cultural concepts (Sweetman 2017; Tapsell 2007).</w:t>
      </w:r>
    </w:p>
    <w:p w14:paraId="68363175" w14:textId="77777777" w:rsidR="009636B7" w:rsidRPr="000329FE" w:rsidRDefault="009636B7" w:rsidP="0087762A"/>
    <w:p w14:paraId="02143A10" w14:textId="77777777" w:rsidR="00EE0ADB" w:rsidRDefault="009636B7" w:rsidP="0087762A">
      <w:r w:rsidRPr="000329FE">
        <w:t xml:space="preserve">The final document provided details of the prison model of care developed in collaboration with Midland RFPS and </w:t>
      </w:r>
      <w:r>
        <w:t>us</w:t>
      </w:r>
      <w:r w:rsidRPr="000329FE">
        <w:t xml:space="preserve">ed throughout the Auckland/Midland regions (Mason Clinic </w:t>
      </w:r>
      <w:r>
        <w:t>and</w:t>
      </w:r>
      <w:r w:rsidRPr="000329FE">
        <w:t xml:space="preserve"> Puawai Midland R</w:t>
      </w:r>
      <w:r>
        <w:t xml:space="preserve">egional </w:t>
      </w:r>
      <w:r w:rsidRPr="000329FE">
        <w:t>F</w:t>
      </w:r>
      <w:r>
        <w:t xml:space="preserve">orensic </w:t>
      </w:r>
      <w:r w:rsidRPr="000329FE">
        <w:t>P</w:t>
      </w:r>
      <w:r>
        <w:t xml:space="preserve">sychiatry </w:t>
      </w:r>
      <w:r w:rsidRPr="000329FE">
        <w:t>S</w:t>
      </w:r>
      <w:r>
        <w:t>ervice</w:t>
      </w:r>
      <w:r w:rsidRPr="000329FE">
        <w:t xml:space="preserve"> 2011). The model of care </w:t>
      </w:r>
      <w:r>
        <w:t>us</w:t>
      </w:r>
      <w:r w:rsidRPr="000329FE">
        <w:t xml:space="preserve">es a prison in-reach model, which laid the basis for the STAIR approach (screening, triage, assessment, intervention </w:t>
      </w:r>
      <w:r>
        <w:t xml:space="preserve">and </w:t>
      </w:r>
      <w:r w:rsidRPr="000329FE">
        <w:t>reintegration) and is evidence based.</w:t>
      </w:r>
      <w:r w:rsidRPr="0087762A">
        <w:rPr>
          <w:rStyle w:val="FootnoteReference"/>
        </w:rPr>
        <w:footnoteReference w:id="45"/>
      </w:r>
    </w:p>
    <w:p w14:paraId="5D042225" w14:textId="77777777" w:rsidR="009636B7" w:rsidRDefault="009636B7" w:rsidP="0087762A"/>
    <w:p w14:paraId="029ED757" w14:textId="77777777" w:rsidR="009636B7" w:rsidRPr="007245AF" w:rsidRDefault="0087762A" w:rsidP="0087762A">
      <w:pPr>
        <w:pStyle w:val="Figure"/>
      </w:pPr>
      <w:bookmarkStart w:id="166" w:name="_Ref89946102"/>
      <w:bookmarkStart w:id="167" w:name="_Toc90026036"/>
      <w:r>
        <w:lastRenderedPageBreak/>
        <w:t>Figure </w:t>
      </w:r>
      <w:r w:rsidR="002C1FB3">
        <w:fldChar w:fldCharType="begin"/>
      </w:r>
      <w:r w:rsidR="002C1FB3">
        <w:instrText xml:space="preserve"> SEQ Figure \* ARABIC </w:instrText>
      </w:r>
      <w:r w:rsidR="002C1FB3">
        <w:fldChar w:fldCharType="separate"/>
      </w:r>
      <w:r w:rsidR="00F73238">
        <w:rPr>
          <w:noProof/>
        </w:rPr>
        <w:t>11</w:t>
      </w:r>
      <w:r w:rsidR="002C1FB3">
        <w:rPr>
          <w:noProof/>
        </w:rPr>
        <w:fldChar w:fldCharType="end"/>
      </w:r>
      <w:bookmarkEnd w:id="166"/>
      <w:r w:rsidR="009636B7" w:rsidRPr="007245AF">
        <w:t>: Future state map of clinical care pathways at the Mason Clinic</w:t>
      </w:r>
      <w:bookmarkEnd w:id="167"/>
    </w:p>
    <w:p w14:paraId="22B7CC52" w14:textId="77777777" w:rsidR="009636B7" w:rsidRPr="001A28C6" w:rsidRDefault="0087762A" w:rsidP="0087762A">
      <w:r w:rsidRPr="00E06C7C">
        <w:rPr>
          <w:rFonts w:eastAsiaTheme="minorHAnsi"/>
        </w:rPr>
        <w:object w:dxaOrig="9015" w:dyaOrig="11955" w14:anchorId="6E72C5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1: Future state map of clinical care pathways at the Mason Clinic" style="width:403.5pt;height:532.15pt;mso-width-percent:0;mso-height-percent:0;mso-width-percent:0;mso-height-percent:0" o:ole="">
            <v:imagedata r:id="rId38" o:title=""/>
          </v:shape>
          <o:OLEObject Type="Embed" ProgID="Visio.Drawing.15" ShapeID="_x0000_i1025" DrawAspect="Content" ObjectID="_1701260968" r:id="rId39"/>
        </w:object>
      </w:r>
    </w:p>
    <w:p w14:paraId="0026239D" w14:textId="77777777" w:rsidR="009636B7" w:rsidRDefault="009636B7" w:rsidP="0087762A">
      <w:pPr>
        <w:pStyle w:val="Source"/>
      </w:pPr>
      <w:bookmarkStart w:id="168" w:name="_Toc88823338"/>
      <w:r w:rsidRPr="00660670">
        <w:t>Source: Mason Clinic 2018b</w:t>
      </w:r>
      <w:r w:rsidR="005054ED">
        <w:t>, p. </w:t>
      </w:r>
      <w:r w:rsidRPr="00660670">
        <w:t>3</w:t>
      </w:r>
      <w:bookmarkEnd w:id="168"/>
    </w:p>
    <w:p w14:paraId="5230DC88" w14:textId="77777777" w:rsidR="0087762A" w:rsidRPr="0087762A" w:rsidRDefault="0087762A" w:rsidP="0087762A"/>
    <w:p w14:paraId="3789247A" w14:textId="77777777" w:rsidR="009636B7" w:rsidRPr="000137EC" w:rsidRDefault="009636B7" w:rsidP="0087762A">
      <w:pPr>
        <w:pStyle w:val="Heading4"/>
      </w:pPr>
      <w:r w:rsidRPr="00FB779C">
        <w:lastRenderedPageBreak/>
        <w:t>Midland (Puawai)</w:t>
      </w:r>
    </w:p>
    <w:p w14:paraId="234920BB" w14:textId="77777777" w:rsidR="00EE0ADB" w:rsidRDefault="009636B7" w:rsidP="0087762A">
      <w:pPr>
        <w:keepLines/>
      </w:pPr>
      <w:r w:rsidRPr="000329FE">
        <w:t>The four documents provided (in addition to the prison model of care described above) primarily detailed the service</w:t>
      </w:r>
      <w:r w:rsidR="00EE0ADB">
        <w:t>’</w:t>
      </w:r>
      <w:r w:rsidRPr="000329FE">
        <w:t>s client pathway and operations (Puawai Midland R</w:t>
      </w:r>
      <w:r>
        <w:t xml:space="preserve">egional </w:t>
      </w:r>
      <w:r w:rsidRPr="000329FE">
        <w:t>F</w:t>
      </w:r>
      <w:r>
        <w:t xml:space="preserve">orensic </w:t>
      </w:r>
      <w:r w:rsidRPr="000329FE">
        <w:t>P</w:t>
      </w:r>
      <w:r>
        <w:t xml:space="preserve">sychiatry </w:t>
      </w:r>
      <w:r w:rsidRPr="000329FE">
        <w:t>S</w:t>
      </w:r>
      <w:r>
        <w:t>ervice</w:t>
      </w:r>
      <w:r w:rsidRPr="000329FE">
        <w:t xml:space="preserve"> 2014a, 2014b, nd; Waikato District Health Board 2010). Though suggestive of a model of care, no </w:t>
      </w:r>
      <w:r w:rsidR="00EE0ADB">
        <w:t>‘</w:t>
      </w:r>
      <w:r w:rsidRPr="000329FE">
        <w:t>model of care</w:t>
      </w:r>
      <w:r w:rsidR="00EE0ADB">
        <w:t>’</w:t>
      </w:r>
      <w:r w:rsidRPr="000329FE">
        <w:t xml:space="preserve"> document per se</w:t>
      </w:r>
      <w:r w:rsidRPr="000329FE">
        <w:rPr>
          <w:i/>
          <w:iCs/>
        </w:rPr>
        <w:t xml:space="preserve"> </w:t>
      </w:r>
      <w:r w:rsidRPr="000329FE">
        <w:t xml:space="preserve">was available. </w:t>
      </w:r>
      <w:r>
        <w:t xml:space="preserve">A </w:t>
      </w:r>
      <w:r w:rsidRPr="000329FE">
        <w:t>pamphlet details the service</w:t>
      </w:r>
      <w:r w:rsidR="00EE0ADB">
        <w:t>’</w:t>
      </w:r>
      <w:r w:rsidRPr="000329FE">
        <w:t xml:space="preserve">s rebranding as Puawai, a shift incorporating Māori cultural themes to emphasise </w:t>
      </w:r>
      <w:r w:rsidR="00EE0ADB">
        <w:t>‘</w:t>
      </w:r>
      <w:r w:rsidRPr="000329FE">
        <w:t>flow, progression and movement from dark into light</w:t>
      </w:r>
      <w:r w:rsidR="00EE0ADB">
        <w:t>’</w:t>
      </w:r>
      <w:r w:rsidRPr="000329FE">
        <w:t xml:space="preserve"> (Waikato D</w:t>
      </w:r>
      <w:r>
        <w:t xml:space="preserve">istrict </w:t>
      </w:r>
      <w:r w:rsidRPr="000329FE">
        <w:t>H</w:t>
      </w:r>
      <w:r>
        <w:t xml:space="preserve">ealth </w:t>
      </w:r>
      <w:r w:rsidRPr="000329FE">
        <w:t>B</w:t>
      </w:r>
      <w:r>
        <w:t>oard</w:t>
      </w:r>
      <w:r w:rsidRPr="000329FE">
        <w:t xml:space="preserve"> 2010). This orientation is not reflected in the rest of the service documentation, </w:t>
      </w:r>
      <w:r>
        <w:t xml:space="preserve">except, within </w:t>
      </w:r>
      <w:r w:rsidRPr="000329FE">
        <w:t>the logo.</w:t>
      </w:r>
    </w:p>
    <w:p w14:paraId="4779798E" w14:textId="77777777" w:rsidR="009636B7" w:rsidRPr="000329FE" w:rsidRDefault="009636B7" w:rsidP="0087762A"/>
    <w:p w14:paraId="1A390B57" w14:textId="77777777" w:rsidR="00EE0ADB" w:rsidRDefault="009636B7" w:rsidP="0087762A">
      <w:r w:rsidRPr="000329FE">
        <w:t xml:space="preserve">The </w:t>
      </w:r>
      <w:r w:rsidRPr="000329FE">
        <w:rPr>
          <w:i/>
          <w:iCs/>
        </w:rPr>
        <w:t>Forensic Client Pathway</w:t>
      </w:r>
      <w:r w:rsidRPr="000329FE">
        <w:t xml:space="preserve"> (Puawai Midland R</w:t>
      </w:r>
      <w:r>
        <w:t xml:space="preserve">egional </w:t>
      </w:r>
      <w:r w:rsidRPr="000329FE">
        <w:t>F</w:t>
      </w:r>
      <w:r>
        <w:t xml:space="preserve">orensic </w:t>
      </w:r>
      <w:r w:rsidRPr="000329FE">
        <w:t>P</w:t>
      </w:r>
      <w:r>
        <w:t xml:space="preserve">sychiatry </w:t>
      </w:r>
      <w:r w:rsidRPr="000329FE">
        <w:t>S</w:t>
      </w:r>
      <w:r>
        <w:t>ervice</w:t>
      </w:r>
      <w:r w:rsidRPr="000329FE">
        <w:t xml:space="preserve"> 2014a) document details the clinical pathways model </w:t>
      </w:r>
      <w:r>
        <w:t>us</w:t>
      </w:r>
      <w:r w:rsidRPr="000329FE">
        <w:t xml:space="preserve">ed within the service, </w:t>
      </w:r>
      <w:r>
        <w:t xml:space="preserve">entailing </w:t>
      </w:r>
      <w:r w:rsidRPr="000329FE">
        <w:t>entry routes</w:t>
      </w:r>
      <w:r>
        <w:t>;</w:t>
      </w:r>
      <w:r w:rsidRPr="000329FE">
        <w:t xml:space="preserve"> risk mapping and transition between stages of therapeutic security (environmental, relational and procedural)</w:t>
      </w:r>
      <w:r>
        <w:t>;</w:t>
      </w:r>
      <w:r w:rsidRPr="000329FE">
        <w:t xml:space="preserve"> </w:t>
      </w:r>
      <w:r>
        <w:t xml:space="preserve">a </w:t>
      </w:r>
      <w:r w:rsidRPr="000329FE">
        <w:t>description of individual wards (</w:t>
      </w:r>
      <w:r>
        <w:t xml:space="preserve">covering </w:t>
      </w:r>
      <w:r w:rsidRPr="000329FE">
        <w:t>assessment, interventions, leaves, risk management and progress indicators)</w:t>
      </w:r>
      <w:r>
        <w:t>;</w:t>
      </w:r>
      <w:r w:rsidRPr="000329FE">
        <w:t xml:space="preserve"> and transfer documentation. The </w:t>
      </w:r>
      <w:r w:rsidRPr="000329FE">
        <w:rPr>
          <w:i/>
          <w:iCs/>
        </w:rPr>
        <w:t>Te Puawaitanga Operations Manual</w:t>
      </w:r>
      <w:r w:rsidRPr="000329FE">
        <w:t xml:space="preserve"> (Puawai Midland R</w:t>
      </w:r>
      <w:r>
        <w:t xml:space="preserve">egional </w:t>
      </w:r>
      <w:r w:rsidRPr="000329FE">
        <w:t>F</w:t>
      </w:r>
      <w:r>
        <w:t xml:space="preserve">orensic </w:t>
      </w:r>
      <w:r w:rsidRPr="000329FE">
        <w:t>P</w:t>
      </w:r>
      <w:r>
        <w:t xml:space="preserve">sychiatry </w:t>
      </w:r>
      <w:r w:rsidRPr="000329FE">
        <w:t>S</w:t>
      </w:r>
      <w:r>
        <w:t>ervice</w:t>
      </w:r>
      <w:r w:rsidRPr="000329FE">
        <w:t xml:space="preserve"> 2014b) provides a list of procedures but </w:t>
      </w:r>
      <w:r>
        <w:t>does</w:t>
      </w:r>
      <w:r w:rsidRPr="000329FE">
        <w:t xml:space="preserve"> not indicate a model of care.</w:t>
      </w:r>
    </w:p>
    <w:p w14:paraId="1974B86A" w14:textId="77777777" w:rsidR="009636B7" w:rsidRPr="000329FE" w:rsidRDefault="009636B7" w:rsidP="0087762A"/>
    <w:p w14:paraId="2DD369A4" w14:textId="77777777" w:rsidR="00EE0ADB" w:rsidRDefault="009636B7" w:rsidP="0087762A">
      <w:r w:rsidRPr="000329FE">
        <w:t>The forensic inpatients units summary document (Puawai Midland R</w:t>
      </w:r>
      <w:r>
        <w:t xml:space="preserve">egional </w:t>
      </w:r>
      <w:r w:rsidRPr="000329FE">
        <w:t>F</w:t>
      </w:r>
      <w:r>
        <w:t xml:space="preserve">orensic </w:t>
      </w:r>
      <w:r w:rsidRPr="000329FE">
        <w:t>P</w:t>
      </w:r>
      <w:r>
        <w:t xml:space="preserve">sychiatry </w:t>
      </w:r>
      <w:r w:rsidRPr="000329FE">
        <w:t>S</w:t>
      </w:r>
      <w:r>
        <w:t>ervice</w:t>
      </w:r>
      <w:r w:rsidRPr="000329FE">
        <w:t xml:space="preserve"> nd) provides a description, entry criteria and the </w:t>
      </w:r>
      <w:r w:rsidR="00EE0ADB">
        <w:t>‘</w:t>
      </w:r>
      <w:r w:rsidRPr="000329FE">
        <w:t>philosophy of care</w:t>
      </w:r>
      <w:r w:rsidR="00EE0ADB">
        <w:t>’</w:t>
      </w:r>
      <w:r w:rsidRPr="000329FE">
        <w:t xml:space="preserve"> for each unit. </w:t>
      </w:r>
      <w:r>
        <w:t>Of the Puawai documents the researchers reviewed, t</w:t>
      </w:r>
      <w:r w:rsidRPr="000329FE">
        <w:t xml:space="preserve">his was most suggestive of a model of care, if taken in combination with the client pathway. The level of detail within the </w:t>
      </w:r>
      <w:r w:rsidR="00EE0ADB">
        <w:t>‘</w:t>
      </w:r>
      <w:r w:rsidRPr="000329FE">
        <w:t>philosophies</w:t>
      </w:r>
      <w:r>
        <w:t xml:space="preserve"> of care</w:t>
      </w:r>
      <w:r w:rsidR="00EE0ADB">
        <w:t>’</w:t>
      </w:r>
      <w:r w:rsidRPr="000329FE">
        <w:t xml:space="preserve"> varied</w:t>
      </w:r>
      <w:r>
        <w:t xml:space="preserve">. Information under this heading </w:t>
      </w:r>
      <w:r w:rsidRPr="000329FE">
        <w:t xml:space="preserve">included tenets such as providing care in the least restrictive environment, providing a safe environment and assessing and managing risk, enhancing </w:t>
      </w:r>
      <w:r w:rsidR="00EE0ADB">
        <w:t>‘</w:t>
      </w:r>
      <w:r w:rsidRPr="000329FE">
        <w:t>mental well-being, wellness and rehabilitation through prevention, promotion and awareness activities</w:t>
      </w:r>
      <w:r w:rsidR="00EE0ADB">
        <w:t>’</w:t>
      </w:r>
      <w:r w:rsidR="00AD0D58">
        <w:t xml:space="preserve"> (p. </w:t>
      </w:r>
      <w:r w:rsidRPr="000329FE">
        <w:t xml:space="preserve">2), providing </w:t>
      </w:r>
      <w:r w:rsidR="00EE0ADB">
        <w:t>‘</w:t>
      </w:r>
      <w:r w:rsidRPr="000329FE">
        <w:t>high quality mental health services through working with people/</w:t>
      </w:r>
      <w:r w:rsidR="0087762A">
        <w:t xml:space="preserve"> </w:t>
      </w:r>
      <w:r w:rsidRPr="000329FE">
        <w:t>tangata whai ora [</w:t>
      </w:r>
      <w:r w:rsidRPr="00E76E63">
        <w:t>sic</w:t>
      </w:r>
      <w:r w:rsidRPr="000329FE">
        <w:t>], their families/Whanau [</w:t>
      </w:r>
      <w:r w:rsidRPr="00E76E63">
        <w:t>sic</w:t>
      </w:r>
      <w:r w:rsidRPr="000329FE">
        <w:t>] and other providers</w:t>
      </w:r>
      <w:r w:rsidR="00EE0ADB">
        <w:t>’</w:t>
      </w:r>
      <w:r w:rsidR="00AD0D58">
        <w:t xml:space="preserve"> (p. </w:t>
      </w:r>
      <w:r w:rsidRPr="000329FE">
        <w:t xml:space="preserve">2), supporting the recovery journey, and emphasising </w:t>
      </w:r>
      <w:r w:rsidR="00EE0ADB">
        <w:t>‘</w:t>
      </w:r>
      <w:r w:rsidRPr="000329FE">
        <w:t>service user strengths, rather than pathologies</w:t>
      </w:r>
      <w:r w:rsidR="00EE0ADB">
        <w:t>’</w:t>
      </w:r>
      <w:r w:rsidRPr="000329FE">
        <w:t xml:space="preserve"> and </w:t>
      </w:r>
      <w:r w:rsidR="00EE0ADB">
        <w:t>‘</w:t>
      </w:r>
      <w:r w:rsidRPr="000329FE">
        <w:t>enhancing their rights, responsibilities, self-determination and independence</w:t>
      </w:r>
      <w:r w:rsidR="00EE0ADB">
        <w:t>’</w:t>
      </w:r>
      <w:r w:rsidR="00AD0D58">
        <w:t xml:space="preserve"> (p. </w:t>
      </w:r>
      <w:r w:rsidRPr="000329FE">
        <w:t>3). These philosophies suggest a recovery orientation within the inpatient service, though it is unclear how this connects to other arms of the service within the region.</w:t>
      </w:r>
    </w:p>
    <w:p w14:paraId="228875B9" w14:textId="77777777" w:rsidR="0087762A" w:rsidRDefault="0087762A" w:rsidP="0087762A"/>
    <w:p w14:paraId="6818F613" w14:textId="77777777" w:rsidR="009636B7" w:rsidRPr="000329FE" w:rsidRDefault="009636B7" w:rsidP="0087762A">
      <w:pPr>
        <w:pStyle w:val="Heading4"/>
      </w:pPr>
      <w:r w:rsidRPr="000329FE">
        <w:lastRenderedPageBreak/>
        <w:t>Central</w:t>
      </w:r>
    </w:p>
    <w:p w14:paraId="20A515C4" w14:textId="77777777" w:rsidR="00EE0ADB" w:rsidRDefault="009636B7" w:rsidP="0087762A">
      <w:pPr>
        <w:keepNext/>
      </w:pPr>
      <w:r w:rsidRPr="000329FE">
        <w:t xml:space="preserve">The six documents provided detail the models of care </w:t>
      </w:r>
      <w:r>
        <w:t>us</w:t>
      </w:r>
      <w:r w:rsidRPr="000329FE">
        <w:t xml:space="preserve">ed within the inpatient and prisons contexts </w:t>
      </w:r>
      <w:r>
        <w:t xml:space="preserve">in this region </w:t>
      </w:r>
      <w:r w:rsidRPr="000329FE">
        <w:t>(Central Regional Forensic Community Mental Health Service 2017, 2019; Stanford House 2018, nd-a, nd-b; Te Korowai Whāriki 2018).</w:t>
      </w:r>
    </w:p>
    <w:p w14:paraId="7840B207" w14:textId="77777777" w:rsidR="009636B7" w:rsidRDefault="009636B7" w:rsidP="0087762A">
      <w:pPr>
        <w:keepNext/>
      </w:pPr>
    </w:p>
    <w:p w14:paraId="64FAAEBA" w14:textId="77777777" w:rsidR="00EE0ADB" w:rsidRDefault="009636B7" w:rsidP="0087762A">
      <w:pPr>
        <w:keepNext/>
        <w:keepLines/>
      </w:pPr>
      <w:r w:rsidRPr="000329FE">
        <w:t xml:space="preserve">Three </w:t>
      </w:r>
      <w:r>
        <w:t xml:space="preserve">of those </w:t>
      </w:r>
      <w:r w:rsidRPr="000329FE">
        <w:t>documents concern the model of care for Stanford House, the region</w:t>
      </w:r>
      <w:r w:rsidR="00EE0ADB">
        <w:t>’</w:t>
      </w:r>
      <w:r w:rsidRPr="000329FE">
        <w:t xml:space="preserve">s residential, long-term, secure rehabilitation unit (Stanford House 2018, nd-a, nd-b). The model of care is recovery focused and strength based, </w:t>
      </w:r>
      <w:r w:rsidR="00EE0ADB">
        <w:t>‘</w:t>
      </w:r>
      <w:r w:rsidRPr="000329FE">
        <w:t>guided by recovery competencies which provide an evidence-based framework within a forensic service</w:t>
      </w:r>
      <w:r w:rsidR="00EE0ADB">
        <w:t>’</w:t>
      </w:r>
      <w:r w:rsidRPr="000329FE">
        <w:t xml:space="preserve"> (Stanford House nd-a</w:t>
      </w:r>
      <w:r w:rsidR="005054ED">
        <w:t>, p. </w:t>
      </w:r>
      <w:r w:rsidRPr="000329FE">
        <w:t xml:space="preserve">1). Key principles of the model of care include person/whānau-centred care, individualised care, planning transitions along the recovery care journey, integration with </w:t>
      </w:r>
      <w:r>
        <w:t>non-governmental</w:t>
      </w:r>
      <w:r w:rsidRPr="000329FE">
        <w:t>/community/justice organisations, adapting care to individual needs/strengths, evidence-based care and stewardship of resources. The model of care also details further key elements</w:t>
      </w:r>
      <w:r>
        <w:t>,</w:t>
      </w:r>
      <w:r w:rsidRPr="000329FE">
        <w:t xml:space="preserve"> including trauma-informed care, peer support, accountability to </w:t>
      </w:r>
      <w:r>
        <w:t xml:space="preserve">key performance indicator </w:t>
      </w:r>
      <w:r w:rsidRPr="000329FE">
        <w:t>measures and implementation of Te Whare Tapa Whā</w:t>
      </w:r>
      <w:r>
        <w:t xml:space="preserve"> (Durie 1998)</w:t>
      </w:r>
      <w:r w:rsidRPr="000329FE">
        <w:t>.</w:t>
      </w:r>
    </w:p>
    <w:p w14:paraId="000DFCE7" w14:textId="77777777" w:rsidR="009636B7" w:rsidRPr="000329FE" w:rsidRDefault="009636B7" w:rsidP="0087762A"/>
    <w:p w14:paraId="33ABC98A" w14:textId="77777777" w:rsidR="00EE0ADB" w:rsidRDefault="009636B7" w:rsidP="0087762A">
      <w:r w:rsidRPr="000329FE">
        <w:t>Central</w:t>
      </w:r>
      <w:r w:rsidR="00EE0ADB">
        <w:t>’</w:t>
      </w:r>
      <w:r w:rsidRPr="000329FE">
        <w:t xml:space="preserve">s </w:t>
      </w:r>
      <w:r w:rsidRPr="000329FE">
        <w:rPr>
          <w:i/>
          <w:iCs/>
        </w:rPr>
        <w:t>Prison Model of Care</w:t>
      </w:r>
      <w:r w:rsidRPr="000329FE">
        <w:t xml:space="preserve"> (Te Korowai Whāriki 2018) is a detailed document aiming to formalise current forensic mental health practice in the region for review and comparison with practices in other regions. It outlines guidelines on regional provision as well as the various aspects of the STAIR (screening, triage, assessment, intervention </w:t>
      </w:r>
      <w:r>
        <w:t xml:space="preserve">and </w:t>
      </w:r>
      <w:r w:rsidRPr="000329FE">
        <w:t>reintegration</w:t>
      </w:r>
      <w:r>
        <w:t xml:space="preserve">) </w:t>
      </w:r>
      <w:r w:rsidRPr="000329FE">
        <w:t xml:space="preserve">model </w:t>
      </w:r>
      <w:r>
        <w:t>(</w:t>
      </w:r>
      <w:r w:rsidRPr="000329FE">
        <w:t>though it does not explicitly state it is following this model), transfers and other relevant areas. The inclusion of STAIR elements is in alignment with the Northern/Midland Region</w:t>
      </w:r>
      <w:r w:rsidR="00EE0ADB">
        <w:t>’</w:t>
      </w:r>
      <w:r>
        <w:t>s</w:t>
      </w:r>
      <w:r w:rsidRPr="000329FE">
        <w:t xml:space="preserve"> prison model of care</w:t>
      </w:r>
      <w:r>
        <w:t>,</w:t>
      </w:r>
      <w:r w:rsidRPr="000329FE">
        <w:t xml:space="preserve"> as well as evidence-based best practices in the literature. Notably, the model of care mandates comparable or equitable care in keeping with international mandates concerning prisoner health. It also emphasises the importance of the multidisciplinary team and of case managers in release planning and follow-up, further in keeping with best practice.</w:t>
      </w:r>
    </w:p>
    <w:p w14:paraId="605F7FA2" w14:textId="77777777" w:rsidR="009636B7" w:rsidRPr="000329FE" w:rsidRDefault="009636B7" w:rsidP="0087762A"/>
    <w:p w14:paraId="4AB062C9" w14:textId="77777777" w:rsidR="00EE0ADB" w:rsidRDefault="009636B7" w:rsidP="0087762A">
      <w:r w:rsidRPr="000329FE">
        <w:t>The remaining two documents concern the development of Ngā Tapuwae, a co-design project aiming to improve service users</w:t>
      </w:r>
      <w:r w:rsidR="00EE0ADB">
        <w:t>’</w:t>
      </w:r>
      <w:r w:rsidRPr="000329FE">
        <w:t xml:space="preserve"> pathways through the </w:t>
      </w:r>
      <w:r>
        <w:t xml:space="preserve">FMHS </w:t>
      </w:r>
      <w:r w:rsidRPr="000329FE">
        <w:t>(Central Regional Forensic Community Mental Health Service 2017, 2019). Phase I of the project involved engaging with stakeholders (eg, service users, staff</w:t>
      </w:r>
      <w:r>
        <w:t xml:space="preserve"> and </w:t>
      </w:r>
      <w:r w:rsidRPr="000329FE">
        <w:t>family/whānau) to identify the strengths and weaknesses of service delivery, review the model of care at Te Korowai Whāriki and co</w:t>
      </w:r>
      <w:r>
        <w:t>-</w:t>
      </w:r>
      <w:r w:rsidRPr="000329FE">
        <w:t>design recommendations for change. Phase II, which began in 2017 and is currently under</w:t>
      </w:r>
      <w:r>
        <w:t xml:space="preserve"> </w:t>
      </w:r>
      <w:r w:rsidRPr="000329FE">
        <w:t xml:space="preserve">way, involves implementing the recommendations from Phase I. Notably, one of the three main areas for improvement signalled for service improvement was pathways and the model of care, though the current model of care was not described in depth. Indeed, the first and key recommendation was the need for </w:t>
      </w:r>
      <w:r w:rsidR="00EE0ADB">
        <w:t>‘</w:t>
      </w:r>
      <w:r w:rsidRPr="000329FE">
        <w:t>an overarching forensic model of care</w:t>
      </w:r>
      <w:r w:rsidR="00EE0ADB">
        <w:t>’</w:t>
      </w:r>
      <w:r w:rsidRPr="000329FE">
        <w:t xml:space="preserve"> </w:t>
      </w:r>
      <w:r>
        <w:t xml:space="preserve">that </w:t>
      </w:r>
      <w:r w:rsidRPr="000329FE">
        <w:t xml:space="preserve">integrates the recommendations and provides </w:t>
      </w:r>
      <w:r w:rsidR="00EE0ADB">
        <w:t>‘</w:t>
      </w:r>
      <w:r w:rsidRPr="000329FE">
        <w:t>coherence across the service</w:t>
      </w:r>
      <w:r w:rsidR="00EE0ADB">
        <w:t>’</w:t>
      </w:r>
      <w:r>
        <w:t>,</w:t>
      </w:r>
      <w:r w:rsidRPr="000329FE">
        <w:t xml:space="preserve"> as well as a map of clinical pathways and interventions (Central Regional Forensic Community Mental Health Service 2017</w:t>
      </w:r>
      <w:r w:rsidR="005054ED">
        <w:t>, p. </w:t>
      </w:r>
      <w:r w:rsidRPr="000329FE">
        <w:t>37).</w:t>
      </w:r>
    </w:p>
    <w:p w14:paraId="6BCA994D" w14:textId="77777777" w:rsidR="0087762A" w:rsidRDefault="0087762A" w:rsidP="0087762A"/>
    <w:p w14:paraId="56680878" w14:textId="77777777" w:rsidR="009636B7" w:rsidRPr="000329FE" w:rsidRDefault="009636B7" w:rsidP="0087762A">
      <w:pPr>
        <w:pStyle w:val="Heading4"/>
      </w:pPr>
      <w:r w:rsidRPr="000329FE">
        <w:lastRenderedPageBreak/>
        <w:t>Canterbury</w:t>
      </w:r>
    </w:p>
    <w:p w14:paraId="7019DA34" w14:textId="77777777" w:rsidR="00EE0ADB" w:rsidRDefault="009636B7" w:rsidP="0087762A">
      <w:pPr>
        <w:keepNext/>
        <w:keepLines/>
      </w:pPr>
      <w:r w:rsidRPr="000329FE">
        <w:t xml:space="preserve">Canterbury RFPS provided one document outlining service provision within prisons (Monasterio </w:t>
      </w:r>
      <w:r>
        <w:t>and</w:t>
      </w:r>
      <w:r w:rsidRPr="000329FE">
        <w:t xml:space="preserve"> Mason, 2010). This document provides an overview of the forensic community team prison service, which provides consultation/liaison psychiatric services within the region. It includes guidelines for referral criteria and processes, acceptance processes, treatment, discharge, meetings, communication processes, clinics, staffing and security, consult</w:t>
      </w:r>
      <w:r>
        <w:t>ation</w:t>
      </w:r>
      <w:r w:rsidRPr="000329FE">
        <w:t xml:space="preserve">/liaison, identified issues and recommendations. </w:t>
      </w:r>
      <w:r>
        <w:t>I</w:t>
      </w:r>
      <w:r w:rsidRPr="000329FE">
        <w:t xml:space="preserve">t does not </w:t>
      </w:r>
      <w:r>
        <w:t xml:space="preserve">outline </w:t>
      </w:r>
      <w:r w:rsidRPr="000329FE">
        <w:t xml:space="preserve">a clear model of care, though it does </w:t>
      </w:r>
      <w:r>
        <w:t xml:space="preserve">mention </w:t>
      </w:r>
      <w:r w:rsidRPr="000329FE">
        <w:t>recent changes in practice moving toward an in-reach model where</w:t>
      </w:r>
      <w:r>
        <w:t>by</w:t>
      </w:r>
      <w:r w:rsidRPr="000329FE">
        <w:t xml:space="preserve"> forensic nursing staff conduct triage assessment.</w:t>
      </w:r>
    </w:p>
    <w:p w14:paraId="2AD4EB56" w14:textId="77777777" w:rsidR="0087762A" w:rsidRDefault="0087762A" w:rsidP="0087762A"/>
    <w:p w14:paraId="45551231" w14:textId="77777777" w:rsidR="009636B7" w:rsidRPr="000329FE" w:rsidRDefault="009636B7" w:rsidP="0087762A">
      <w:pPr>
        <w:pStyle w:val="Heading4"/>
      </w:pPr>
      <w:r w:rsidRPr="000329FE">
        <w:t>Southern</w:t>
      </w:r>
    </w:p>
    <w:p w14:paraId="6BA7B45F" w14:textId="77777777" w:rsidR="00EE0ADB" w:rsidRDefault="009636B7" w:rsidP="0087762A">
      <w:r w:rsidRPr="000329FE">
        <w:t>The three documents from the Southern RFPS do not clearly articulate a model of care, though they are suggestive of a rehabilitative approach (Southern D</w:t>
      </w:r>
      <w:r>
        <w:t xml:space="preserve">istrict </w:t>
      </w:r>
      <w:r w:rsidRPr="000329FE">
        <w:t>H</w:t>
      </w:r>
      <w:r>
        <w:t xml:space="preserve">ealth </w:t>
      </w:r>
      <w:r w:rsidRPr="000329FE">
        <w:t>B</w:t>
      </w:r>
      <w:r>
        <w:t>oard</w:t>
      </w:r>
      <w:r w:rsidRPr="000329FE">
        <w:t xml:space="preserve"> 2016, 2017, 2019). The </w:t>
      </w:r>
      <w:r w:rsidRPr="000329FE">
        <w:rPr>
          <w:i/>
          <w:iCs/>
        </w:rPr>
        <w:t>Clinical Focus</w:t>
      </w:r>
      <w:r w:rsidRPr="000329FE">
        <w:t xml:space="preserve"> document (Southern D</w:t>
      </w:r>
      <w:r>
        <w:t xml:space="preserve">istrict </w:t>
      </w:r>
      <w:r w:rsidRPr="000329FE">
        <w:t>H</w:t>
      </w:r>
      <w:r>
        <w:t xml:space="preserve">ealth </w:t>
      </w:r>
      <w:r w:rsidRPr="000329FE">
        <w:t>B</w:t>
      </w:r>
      <w:r>
        <w:t>oard</w:t>
      </w:r>
      <w:r w:rsidRPr="000329FE">
        <w:t xml:space="preserve"> 2016) describes the role of the FMHS and assessment, referral and treatment processes, including court liaison, prison liaison, inpatient</w:t>
      </w:r>
      <w:r>
        <w:t xml:space="preserve"> services</w:t>
      </w:r>
      <w:r w:rsidRPr="000329FE">
        <w:t xml:space="preserve"> and community forensic team services. The </w:t>
      </w:r>
      <w:r>
        <w:t xml:space="preserve">other </w:t>
      </w:r>
      <w:r w:rsidRPr="000329FE">
        <w:t>two documents (Southern D</w:t>
      </w:r>
      <w:r>
        <w:t xml:space="preserve">istrict </w:t>
      </w:r>
      <w:r w:rsidRPr="000329FE">
        <w:t>H</w:t>
      </w:r>
      <w:r>
        <w:t xml:space="preserve">ealth </w:t>
      </w:r>
      <w:r w:rsidRPr="000329FE">
        <w:t>B</w:t>
      </w:r>
      <w:r>
        <w:t>oard</w:t>
      </w:r>
      <w:r w:rsidRPr="000329FE">
        <w:t xml:space="preserve"> 2017, 2019)</w:t>
      </w:r>
      <w:r>
        <w:t xml:space="preserve"> </w:t>
      </w:r>
      <w:r w:rsidRPr="000329FE">
        <w:t>concern procedures for the forensic inpatient unit Ward 9A, Wakari Hospital in Dunedin. While the documents do not describe a model of care, they are suggestive of a rehabilitation focus in their emphasis on risk management and functional recovery. They emphasise the provision of evidence-based interventions</w:t>
      </w:r>
      <w:r>
        <w:t>,</w:t>
      </w:r>
      <w:r w:rsidRPr="000329FE">
        <w:t xml:space="preserve"> as well as the need for family/whānau support and education. While they mention the need for cultural sensitivity and appropriate cultural services for Māori and </w:t>
      </w:r>
      <w:r>
        <w:t>Pacific peoples,</w:t>
      </w:r>
      <w:r w:rsidRPr="000329FE">
        <w:t xml:space="preserve"> including cultural assessment, they do not describe such services/programming in detail.</w:t>
      </w:r>
    </w:p>
    <w:p w14:paraId="1BBF80CC" w14:textId="77777777" w:rsidR="0087762A" w:rsidRDefault="0087762A" w:rsidP="0087762A"/>
    <w:p w14:paraId="1CBCD553" w14:textId="77777777" w:rsidR="009636B7" w:rsidRPr="000329FE" w:rsidRDefault="009636B7" w:rsidP="0087762A">
      <w:pPr>
        <w:pStyle w:val="Heading4"/>
      </w:pPr>
      <w:r w:rsidRPr="000329FE">
        <w:t>Summary</w:t>
      </w:r>
    </w:p>
    <w:p w14:paraId="13508202" w14:textId="77777777" w:rsidR="009636B7" w:rsidRPr="0087762A" w:rsidRDefault="009636B7" w:rsidP="0087762A">
      <w:r w:rsidRPr="000329FE">
        <w:t>Within the existing documentation, it appears services are moving</w:t>
      </w:r>
      <w:r>
        <w:t xml:space="preserve"> – </w:t>
      </w:r>
      <w:r w:rsidRPr="000329FE">
        <w:t xml:space="preserve">albeit </w:t>
      </w:r>
      <w:r>
        <w:t xml:space="preserve">at </w:t>
      </w:r>
      <w:r w:rsidRPr="000329FE">
        <w:t xml:space="preserve">varying </w:t>
      </w:r>
      <w:r>
        <w:t xml:space="preserve">speeds – </w:t>
      </w:r>
      <w:r w:rsidRPr="000329FE">
        <w:t>toward the adoption of a recovery-based approach organised according to principles of therapeutic security and recovery-oriented practice, in keeping with the best practices identified in the evidence base. This shift is most pronounced in the Auckland and Central regions. Further, three of the five regions have adopted a prison in-reach model</w:t>
      </w:r>
      <w:r>
        <w:t>,</w:t>
      </w:r>
      <w:r w:rsidRPr="000329FE">
        <w:t xml:space="preserve"> in keeping with international trends.</w:t>
      </w:r>
    </w:p>
    <w:p w14:paraId="12984AB1" w14:textId="77777777" w:rsidR="009636B7" w:rsidRPr="000329FE" w:rsidRDefault="009636B7" w:rsidP="0087762A"/>
    <w:p w14:paraId="7776121C" w14:textId="77777777" w:rsidR="00EE0ADB" w:rsidRDefault="009636B7" w:rsidP="0087762A">
      <w:r w:rsidRPr="000329FE">
        <w:t xml:space="preserve">Overall, </w:t>
      </w:r>
      <w:r>
        <w:t xml:space="preserve">review of </w:t>
      </w:r>
      <w:r w:rsidRPr="000329FE">
        <w:t>the regional documentation highlight</w:t>
      </w:r>
      <w:r>
        <w:t>ed</w:t>
      </w:r>
      <w:r w:rsidRPr="000329FE">
        <w:t xml:space="preserve"> the uneven nature of service development between the regions. Models of care are inconsistently articulated within the various areas of the FMHS</w:t>
      </w:r>
      <w:r>
        <w:t>s,</w:t>
      </w:r>
      <w:r w:rsidRPr="000329FE">
        <w:t xml:space="preserve"> both within and between regions. Due to limitations in the research methodology, it is unclear whether this inconsistency is due to the lack of documentation or to </w:t>
      </w:r>
      <w:r>
        <w:t>the researchers</w:t>
      </w:r>
      <w:r w:rsidR="00EE0ADB">
        <w:t>’</w:t>
      </w:r>
      <w:r>
        <w:t xml:space="preserve"> </w:t>
      </w:r>
      <w:r w:rsidRPr="000329FE">
        <w:t xml:space="preserve">lack of access to available documentation. While some regions (eg, Auckland, Midland </w:t>
      </w:r>
      <w:r>
        <w:t xml:space="preserve">and </w:t>
      </w:r>
      <w:r w:rsidRPr="000329FE">
        <w:t xml:space="preserve">Central) appear to have more clearly detailed models of care for parts of the service, more documentation is needed to understand fully the service models and approaches </w:t>
      </w:r>
      <w:r>
        <w:t>us</w:t>
      </w:r>
      <w:r w:rsidRPr="000329FE">
        <w:t>ed across the regions in all four areas of FMHS</w:t>
      </w:r>
      <w:r>
        <w:t>s</w:t>
      </w:r>
      <w:r w:rsidRPr="000329FE">
        <w:t xml:space="preserve"> (inpatient, community, prisons </w:t>
      </w:r>
      <w:r>
        <w:t xml:space="preserve">and </w:t>
      </w:r>
      <w:r w:rsidRPr="000329FE">
        <w:t>courts). Most notably, documentation on models of care pertaining to court liaison services is the least developed, suggesting an opportunity for future service planning and delivery.</w:t>
      </w:r>
    </w:p>
    <w:p w14:paraId="07A1A3A7" w14:textId="77777777" w:rsidR="0087762A" w:rsidRDefault="0087762A" w:rsidP="0087762A"/>
    <w:p w14:paraId="5F0FEB4C" w14:textId="77777777" w:rsidR="009636B7" w:rsidRPr="000329FE" w:rsidRDefault="009636B7" w:rsidP="0087762A">
      <w:pPr>
        <w:pStyle w:val="Heading3"/>
      </w:pPr>
      <w:r w:rsidRPr="000329FE">
        <w:lastRenderedPageBreak/>
        <w:t xml:space="preserve">National </w:t>
      </w:r>
      <w:r>
        <w:t>l</w:t>
      </w:r>
      <w:r w:rsidRPr="000329FE">
        <w:t>evel</w:t>
      </w:r>
    </w:p>
    <w:p w14:paraId="00C2B434" w14:textId="77777777" w:rsidR="00EE0ADB" w:rsidRDefault="009636B7" w:rsidP="0087762A">
      <w:r w:rsidRPr="000329FE">
        <w:t>The national literature on FMHS</w:t>
      </w:r>
      <w:r>
        <w:t>s</w:t>
      </w:r>
      <w:r w:rsidRPr="000329FE">
        <w:t xml:space="preserve"> comprised documents from the various government agencies responsible for the</w:t>
      </w:r>
      <w:r>
        <w:t>se</w:t>
      </w:r>
      <w:r w:rsidRPr="000329FE">
        <w:t xml:space="preserve"> service</w:t>
      </w:r>
      <w:r>
        <w:t>s</w:t>
      </w:r>
      <w:r w:rsidRPr="000329FE">
        <w:t xml:space="preserve"> </w:t>
      </w:r>
      <w:r>
        <w:t xml:space="preserve">and the </w:t>
      </w:r>
      <w:r w:rsidRPr="000329FE">
        <w:t xml:space="preserve">organisations tasked with auditing </w:t>
      </w:r>
      <w:r>
        <w:t>them</w:t>
      </w:r>
      <w:r w:rsidRPr="000329FE">
        <w:t xml:space="preserve">. More specifically, </w:t>
      </w:r>
      <w:r>
        <w:t xml:space="preserve">the researchers obtained </w:t>
      </w:r>
      <w:r w:rsidRPr="000329FE">
        <w:t xml:space="preserve">documents via the websites of the </w:t>
      </w:r>
      <w:r>
        <w:t>Ministry of Health</w:t>
      </w:r>
      <w:r w:rsidRPr="000329FE">
        <w:t xml:space="preserve">, </w:t>
      </w:r>
      <w:r>
        <w:t>Ara Poutama</w:t>
      </w:r>
      <w:r w:rsidRPr="000329FE">
        <w:t xml:space="preserve">, </w:t>
      </w:r>
      <w:r>
        <w:t xml:space="preserve">the </w:t>
      </w:r>
      <w:r w:rsidRPr="000329FE">
        <w:t xml:space="preserve">Ministry of Justice, </w:t>
      </w:r>
      <w:r>
        <w:t xml:space="preserve">the </w:t>
      </w:r>
      <w:r w:rsidRPr="000329FE">
        <w:t xml:space="preserve">Office of the Auditor-General and Te Pou o te Whakaaro Nui, as well as from the </w:t>
      </w:r>
      <w:r>
        <w:t>Ministry of Health</w:t>
      </w:r>
      <w:r w:rsidRPr="000329FE">
        <w:t xml:space="preserve"> advisors overseeing this project (see </w:t>
      </w:r>
      <w:r w:rsidR="0087762A">
        <w:fldChar w:fldCharType="begin"/>
      </w:r>
      <w:r w:rsidR="0087762A">
        <w:instrText xml:space="preserve"> REF _Ref89946320 \h </w:instrText>
      </w:r>
      <w:r w:rsidR="0087762A">
        <w:fldChar w:fldCharType="separate"/>
      </w:r>
      <w:r w:rsidR="00F73238">
        <w:t>Table </w:t>
      </w:r>
      <w:r w:rsidR="00F73238">
        <w:rPr>
          <w:noProof/>
        </w:rPr>
        <w:t>3</w:t>
      </w:r>
      <w:r w:rsidR="0087762A">
        <w:fldChar w:fldCharType="end"/>
      </w:r>
      <w:r w:rsidRPr="000329FE">
        <w:t xml:space="preserve">). Predictably, the </w:t>
      </w:r>
      <w:r>
        <w:t>Ministry of Health</w:t>
      </w:r>
      <w:r w:rsidRPr="000329FE">
        <w:t xml:space="preserve"> was the source for the majority of the</w:t>
      </w:r>
      <w:r>
        <w:t>se</w:t>
      </w:r>
      <w:r w:rsidRPr="000329FE">
        <w:t xml:space="preserve"> documents.</w:t>
      </w:r>
    </w:p>
    <w:p w14:paraId="4887F074" w14:textId="77777777" w:rsidR="009636B7" w:rsidRPr="000329FE" w:rsidRDefault="009636B7" w:rsidP="0087762A"/>
    <w:p w14:paraId="22206983" w14:textId="77777777" w:rsidR="009636B7" w:rsidRDefault="009636B7" w:rsidP="0087762A">
      <w:r w:rsidRPr="000329FE">
        <w:t xml:space="preserve">Although the Mason Report (1988) </w:t>
      </w:r>
      <w:r>
        <w:t xml:space="preserve">suggested </w:t>
      </w:r>
      <w:r w:rsidRPr="000329FE">
        <w:t>an overall framework for FMHS</w:t>
      </w:r>
      <w:r>
        <w:t>s,</w:t>
      </w:r>
      <w:r w:rsidRPr="000329FE">
        <w:t xml:space="preserve"> and the Ministry of Health </w:t>
      </w:r>
      <w:r>
        <w:t xml:space="preserve">did so again </w:t>
      </w:r>
      <w:r w:rsidRPr="000329FE">
        <w:t>in 2001, development of cohesive FMHS</w:t>
      </w:r>
      <w:r>
        <w:t>s</w:t>
      </w:r>
      <w:r w:rsidRPr="000329FE">
        <w:t xml:space="preserve"> at the national level has yet to come to fruition, and organisational documentation</w:t>
      </w:r>
      <w:r>
        <w:t xml:space="preserve"> on models of care </w:t>
      </w:r>
      <w:r w:rsidRPr="000329FE">
        <w:t>is wide ranging. Key to recent documentation is an emphasis on Māori needs, responsivity and engagement, as well as a gradual shift toward a more rehabilitative focus within the criminal justice system.</w:t>
      </w:r>
    </w:p>
    <w:p w14:paraId="507C7D96" w14:textId="77777777" w:rsidR="0087762A" w:rsidRPr="000329FE" w:rsidRDefault="0087762A" w:rsidP="0087762A"/>
    <w:p w14:paraId="52EAC9C5" w14:textId="77777777" w:rsidR="009636B7" w:rsidRPr="000329FE" w:rsidRDefault="0087762A" w:rsidP="0087762A">
      <w:pPr>
        <w:pStyle w:val="Table"/>
        <w:keepNext w:val="0"/>
        <w:pageBreakBefore/>
        <w:spacing w:before="0"/>
      </w:pPr>
      <w:bookmarkStart w:id="169" w:name="_Ref89946320"/>
      <w:bookmarkStart w:id="170" w:name="_Toc88823413"/>
      <w:bookmarkStart w:id="171" w:name="_Toc90026024"/>
      <w:r>
        <w:lastRenderedPageBreak/>
        <w:t>Table </w:t>
      </w:r>
      <w:r w:rsidR="002C1FB3">
        <w:fldChar w:fldCharType="begin"/>
      </w:r>
      <w:r w:rsidR="002C1FB3">
        <w:instrText xml:space="preserve"> SEQ Table \* ARABIC </w:instrText>
      </w:r>
      <w:r w:rsidR="002C1FB3">
        <w:fldChar w:fldCharType="separate"/>
      </w:r>
      <w:r w:rsidR="00F73238">
        <w:rPr>
          <w:noProof/>
        </w:rPr>
        <w:t>3</w:t>
      </w:r>
      <w:r w:rsidR="002C1FB3">
        <w:rPr>
          <w:noProof/>
        </w:rPr>
        <w:fldChar w:fldCharType="end"/>
      </w:r>
      <w:bookmarkEnd w:id="169"/>
      <w:r>
        <w:t>:</w:t>
      </w:r>
      <w:r w:rsidR="009636B7" w:rsidRPr="000329FE">
        <w:t xml:space="preserve"> National </w:t>
      </w:r>
      <w:r w:rsidR="009636B7">
        <w:t>d</w:t>
      </w:r>
      <w:r w:rsidR="009636B7" w:rsidRPr="000329FE">
        <w:t xml:space="preserve">ocumentation </w:t>
      </w:r>
      <w:r w:rsidR="009636B7">
        <w:t>r</w:t>
      </w:r>
      <w:r w:rsidR="009636B7" w:rsidRPr="000329FE">
        <w:t>eviewed</w:t>
      </w:r>
      <w:bookmarkEnd w:id="170"/>
      <w:bookmarkEnd w:id="171"/>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418"/>
        <w:gridCol w:w="1701"/>
        <w:gridCol w:w="709"/>
        <w:gridCol w:w="4252"/>
      </w:tblGrid>
      <w:tr w:rsidR="009636B7" w:rsidRPr="000329FE" w14:paraId="3ACD0B2A" w14:textId="77777777" w:rsidTr="00B721EF">
        <w:trPr>
          <w:cantSplit/>
          <w:tblHeader/>
        </w:trPr>
        <w:tc>
          <w:tcPr>
            <w:tcW w:w="1418" w:type="dxa"/>
            <w:tcBorders>
              <w:top w:val="nil"/>
              <w:bottom w:val="nil"/>
            </w:tcBorders>
            <w:shd w:val="clear" w:color="auto" w:fill="D9D9D9" w:themeFill="background1" w:themeFillShade="D9"/>
          </w:tcPr>
          <w:p w14:paraId="144B6216" w14:textId="77777777" w:rsidR="009636B7" w:rsidRPr="000329FE" w:rsidRDefault="009636B7" w:rsidP="0087762A">
            <w:pPr>
              <w:pStyle w:val="TableText"/>
              <w:ind w:right="113"/>
              <w:rPr>
                <w:b/>
                <w:bCs/>
              </w:rPr>
            </w:pPr>
            <w:r w:rsidRPr="000329FE">
              <w:rPr>
                <w:b/>
                <w:bCs/>
              </w:rPr>
              <w:t>Organisation</w:t>
            </w:r>
          </w:p>
        </w:tc>
        <w:tc>
          <w:tcPr>
            <w:tcW w:w="1701" w:type="dxa"/>
            <w:tcBorders>
              <w:top w:val="nil"/>
              <w:bottom w:val="nil"/>
            </w:tcBorders>
            <w:shd w:val="clear" w:color="auto" w:fill="D9D9D9" w:themeFill="background1" w:themeFillShade="D9"/>
          </w:tcPr>
          <w:p w14:paraId="2AFE9F77" w14:textId="77777777" w:rsidR="009636B7" w:rsidRPr="000329FE" w:rsidRDefault="0087762A" w:rsidP="0087762A">
            <w:pPr>
              <w:pStyle w:val="TableText"/>
              <w:ind w:right="113"/>
              <w:rPr>
                <w:b/>
              </w:rPr>
            </w:pPr>
            <w:r>
              <w:rPr>
                <w:b/>
              </w:rPr>
              <w:t>Author</w:t>
            </w:r>
          </w:p>
        </w:tc>
        <w:tc>
          <w:tcPr>
            <w:tcW w:w="709" w:type="dxa"/>
            <w:tcBorders>
              <w:top w:val="nil"/>
              <w:bottom w:val="nil"/>
            </w:tcBorders>
            <w:shd w:val="clear" w:color="auto" w:fill="D9D9D9" w:themeFill="background1" w:themeFillShade="D9"/>
          </w:tcPr>
          <w:p w14:paraId="053857EC" w14:textId="77777777" w:rsidR="009636B7" w:rsidRPr="000329FE" w:rsidRDefault="009636B7" w:rsidP="0087762A">
            <w:pPr>
              <w:pStyle w:val="TableText"/>
              <w:jc w:val="center"/>
              <w:rPr>
                <w:b/>
              </w:rPr>
            </w:pPr>
            <w:r w:rsidRPr="000329FE">
              <w:rPr>
                <w:b/>
              </w:rPr>
              <w:t>Year</w:t>
            </w:r>
          </w:p>
        </w:tc>
        <w:tc>
          <w:tcPr>
            <w:tcW w:w="4252" w:type="dxa"/>
            <w:tcBorders>
              <w:top w:val="nil"/>
              <w:bottom w:val="nil"/>
            </w:tcBorders>
            <w:shd w:val="clear" w:color="auto" w:fill="D9D9D9" w:themeFill="background1" w:themeFillShade="D9"/>
          </w:tcPr>
          <w:p w14:paraId="5D91BB58" w14:textId="77777777" w:rsidR="009636B7" w:rsidRPr="000329FE" w:rsidRDefault="009636B7" w:rsidP="0087762A">
            <w:pPr>
              <w:pStyle w:val="TableText"/>
              <w:ind w:left="113"/>
              <w:jc w:val="center"/>
              <w:rPr>
                <w:b/>
              </w:rPr>
            </w:pPr>
            <w:r w:rsidRPr="000329FE">
              <w:rPr>
                <w:b/>
              </w:rPr>
              <w:t>Title</w:t>
            </w:r>
          </w:p>
        </w:tc>
      </w:tr>
      <w:tr w:rsidR="009636B7" w:rsidRPr="000329FE" w14:paraId="496658B8" w14:textId="77777777" w:rsidTr="00B721EF">
        <w:trPr>
          <w:cantSplit/>
        </w:trPr>
        <w:tc>
          <w:tcPr>
            <w:tcW w:w="1418" w:type="dxa"/>
            <w:vMerge w:val="restart"/>
            <w:tcBorders>
              <w:top w:val="nil"/>
            </w:tcBorders>
            <w:shd w:val="clear" w:color="auto" w:fill="auto"/>
          </w:tcPr>
          <w:p w14:paraId="67322F2F" w14:textId="77777777" w:rsidR="009636B7" w:rsidRPr="000329FE" w:rsidRDefault="009636B7" w:rsidP="0087762A">
            <w:pPr>
              <w:pStyle w:val="TableText"/>
              <w:ind w:right="113"/>
            </w:pPr>
            <w:r w:rsidRPr="000329FE">
              <w:t>Ministry of Health</w:t>
            </w:r>
          </w:p>
        </w:tc>
        <w:tc>
          <w:tcPr>
            <w:tcW w:w="1701" w:type="dxa"/>
            <w:tcBorders>
              <w:top w:val="nil"/>
            </w:tcBorders>
          </w:tcPr>
          <w:p w14:paraId="0B49119E" w14:textId="77777777" w:rsidR="009636B7" w:rsidRPr="000329FE" w:rsidRDefault="009636B7" w:rsidP="0087762A">
            <w:pPr>
              <w:pStyle w:val="TableText"/>
              <w:keepNext/>
              <w:ind w:right="113"/>
            </w:pPr>
            <w:r>
              <w:t xml:space="preserve">K </w:t>
            </w:r>
            <w:r w:rsidRPr="000329FE">
              <w:t>Mason</w:t>
            </w:r>
          </w:p>
        </w:tc>
        <w:tc>
          <w:tcPr>
            <w:tcW w:w="709" w:type="dxa"/>
            <w:tcBorders>
              <w:top w:val="nil"/>
            </w:tcBorders>
          </w:tcPr>
          <w:p w14:paraId="0D359153" w14:textId="77777777" w:rsidR="009636B7" w:rsidRPr="000329FE" w:rsidRDefault="009636B7" w:rsidP="0087762A">
            <w:pPr>
              <w:pStyle w:val="TableText"/>
              <w:keepNext/>
              <w:jc w:val="center"/>
            </w:pPr>
            <w:r w:rsidRPr="000329FE">
              <w:t>1988</w:t>
            </w:r>
          </w:p>
        </w:tc>
        <w:tc>
          <w:tcPr>
            <w:tcW w:w="4252" w:type="dxa"/>
            <w:tcBorders>
              <w:top w:val="nil"/>
            </w:tcBorders>
            <w:shd w:val="clear" w:color="auto" w:fill="auto"/>
          </w:tcPr>
          <w:p w14:paraId="5B14D619" w14:textId="77777777" w:rsidR="009636B7" w:rsidRPr="000329FE" w:rsidRDefault="009636B7" w:rsidP="0087762A">
            <w:pPr>
              <w:pStyle w:val="TableText"/>
              <w:keepNext/>
              <w:ind w:left="113"/>
            </w:pPr>
            <w:r w:rsidRPr="000329FE">
              <w:rPr>
                <w:i/>
                <w:iCs/>
              </w:rPr>
              <w:t xml:space="preserve">Report of the Committee </w:t>
            </w:r>
            <w:r>
              <w:rPr>
                <w:i/>
                <w:iCs/>
              </w:rPr>
              <w:t>o</w:t>
            </w:r>
            <w:r w:rsidRPr="000329FE">
              <w:rPr>
                <w:i/>
                <w:iCs/>
              </w:rPr>
              <w:t xml:space="preserve">f Inquiry into Procedures Used in Certain Psychiatric Hospitals in Relation to Admission, Discharge or Release on Leave of Certain Classes of Patients </w:t>
            </w:r>
            <w:r>
              <w:t>(t</w:t>
            </w:r>
            <w:r w:rsidRPr="000329FE">
              <w:t>he Mason Report</w:t>
            </w:r>
            <w:r>
              <w:t>)</w:t>
            </w:r>
          </w:p>
        </w:tc>
      </w:tr>
      <w:tr w:rsidR="009636B7" w:rsidRPr="000329FE" w14:paraId="31346D23" w14:textId="77777777" w:rsidTr="00B721EF">
        <w:trPr>
          <w:cantSplit/>
        </w:trPr>
        <w:tc>
          <w:tcPr>
            <w:tcW w:w="1418" w:type="dxa"/>
            <w:vMerge/>
            <w:shd w:val="clear" w:color="auto" w:fill="auto"/>
          </w:tcPr>
          <w:p w14:paraId="76666A4D" w14:textId="77777777" w:rsidR="009636B7" w:rsidRPr="000329FE" w:rsidRDefault="009636B7" w:rsidP="0087762A">
            <w:pPr>
              <w:pStyle w:val="TableText"/>
              <w:ind w:right="113"/>
            </w:pPr>
          </w:p>
        </w:tc>
        <w:tc>
          <w:tcPr>
            <w:tcW w:w="1701" w:type="dxa"/>
          </w:tcPr>
          <w:p w14:paraId="5208F58C" w14:textId="77777777" w:rsidR="009636B7" w:rsidRPr="000329FE" w:rsidRDefault="009636B7" w:rsidP="0087762A">
            <w:pPr>
              <w:pStyle w:val="TableText"/>
              <w:ind w:right="113"/>
            </w:pPr>
            <w:r w:rsidRPr="000329FE">
              <w:t>Ministry of Health</w:t>
            </w:r>
          </w:p>
        </w:tc>
        <w:tc>
          <w:tcPr>
            <w:tcW w:w="709" w:type="dxa"/>
          </w:tcPr>
          <w:p w14:paraId="3CC0D327" w14:textId="77777777" w:rsidR="009636B7" w:rsidRPr="000329FE" w:rsidRDefault="009636B7" w:rsidP="0087762A">
            <w:pPr>
              <w:pStyle w:val="TableText"/>
              <w:jc w:val="center"/>
            </w:pPr>
            <w:r w:rsidRPr="000329FE">
              <w:t>2001</w:t>
            </w:r>
          </w:p>
        </w:tc>
        <w:tc>
          <w:tcPr>
            <w:tcW w:w="4252" w:type="dxa"/>
            <w:shd w:val="clear" w:color="auto" w:fill="auto"/>
          </w:tcPr>
          <w:p w14:paraId="4C714A19" w14:textId="77777777" w:rsidR="009636B7" w:rsidRPr="000329FE" w:rsidRDefault="009636B7" w:rsidP="0087762A">
            <w:pPr>
              <w:pStyle w:val="TableText"/>
              <w:ind w:left="113"/>
              <w:rPr>
                <w:i/>
                <w:iCs/>
              </w:rPr>
            </w:pPr>
            <w:r w:rsidRPr="000329FE">
              <w:rPr>
                <w:i/>
                <w:iCs/>
              </w:rPr>
              <w:t>A National Strategic Framework for Alcohol and Drug Services</w:t>
            </w:r>
          </w:p>
        </w:tc>
      </w:tr>
      <w:tr w:rsidR="009636B7" w:rsidRPr="000329FE" w14:paraId="641EFAB4" w14:textId="77777777" w:rsidTr="00B721EF">
        <w:trPr>
          <w:cantSplit/>
        </w:trPr>
        <w:tc>
          <w:tcPr>
            <w:tcW w:w="1418" w:type="dxa"/>
            <w:vMerge/>
            <w:shd w:val="clear" w:color="auto" w:fill="auto"/>
          </w:tcPr>
          <w:p w14:paraId="434B9934" w14:textId="77777777" w:rsidR="009636B7" w:rsidRPr="000329FE" w:rsidRDefault="009636B7" w:rsidP="0087762A">
            <w:pPr>
              <w:pStyle w:val="TableText"/>
              <w:ind w:right="113"/>
            </w:pPr>
          </w:p>
        </w:tc>
        <w:tc>
          <w:tcPr>
            <w:tcW w:w="1701" w:type="dxa"/>
          </w:tcPr>
          <w:p w14:paraId="4641304A" w14:textId="77777777" w:rsidR="009636B7" w:rsidRPr="000329FE" w:rsidRDefault="009636B7" w:rsidP="0087762A">
            <w:pPr>
              <w:pStyle w:val="TableText"/>
              <w:ind w:right="113"/>
            </w:pPr>
            <w:r w:rsidRPr="000329FE">
              <w:t>Ministry of Health</w:t>
            </w:r>
          </w:p>
        </w:tc>
        <w:tc>
          <w:tcPr>
            <w:tcW w:w="709" w:type="dxa"/>
          </w:tcPr>
          <w:p w14:paraId="4DE65CE6" w14:textId="77777777" w:rsidR="009636B7" w:rsidRPr="000329FE" w:rsidRDefault="009636B7" w:rsidP="0087762A">
            <w:pPr>
              <w:pStyle w:val="TableText"/>
              <w:jc w:val="center"/>
            </w:pPr>
            <w:r w:rsidRPr="000329FE">
              <w:t>2001</w:t>
            </w:r>
          </w:p>
        </w:tc>
        <w:tc>
          <w:tcPr>
            <w:tcW w:w="4252" w:type="dxa"/>
            <w:shd w:val="clear" w:color="auto" w:fill="auto"/>
          </w:tcPr>
          <w:p w14:paraId="1986D17A" w14:textId="77777777" w:rsidR="009636B7" w:rsidRPr="000329FE" w:rsidRDefault="009636B7" w:rsidP="0087762A">
            <w:pPr>
              <w:pStyle w:val="TableText"/>
              <w:ind w:left="113"/>
              <w:rPr>
                <w:i/>
                <w:iCs/>
              </w:rPr>
            </w:pPr>
            <w:r w:rsidRPr="000329FE">
              <w:rPr>
                <w:i/>
                <w:iCs/>
              </w:rPr>
              <w:t xml:space="preserve">Services for People </w:t>
            </w:r>
            <w:r>
              <w:rPr>
                <w:i/>
                <w:iCs/>
              </w:rPr>
              <w:t>w</w:t>
            </w:r>
            <w:r w:rsidRPr="000329FE">
              <w:rPr>
                <w:i/>
                <w:iCs/>
              </w:rPr>
              <w:t xml:space="preserve">ith Mental Illness in the Justice System: Framework for </w:t>
            </w:r>
            <w:r>
              <w:rPr>
                <w:i/>
                <w:iCs/>
              </w:rPr>
              <w:t>f</w:t>
            </w:r>
            <w:r w:rsidRPr="000329FE">
              <w:rPr>
                <w:i/>
                <w:iCs/>
              </w:rPr>
              <w:t xml:space="preserve">orensic </w:t>
            </w:r>
            <w:r>
              <w:rPr>
                <w:i/>
                <w:iCs/>
              </w:rPr>
              <w:t>m</w:t>
            </w:r>
            <w:r w:rsidRPr="000329FE">
              <w:rPr>
                <w:i/>
                <w:iCs/>
              </w:rPr>
              <w:t xml:space="preserve">ental </w:t>
            </w:r>
            <w:r>
              <w:rPr>
                <w:i/>
                <w:iCs/>
              </w:rPr>
              <w:t>h</w:t>
            </w:r>
            <w:r w:rsidRPr="000329FE">
              <w:rPr>
                <w:i/>
                <w:iCs/>
              </w:rPr>
              <w:t xml:space="preserve">ealth </w:t>
            </w:r>
            <w:r>
              <w:rPr>
                <w:i/>
                <w:iCs/>
              </w:rPr>
              <w:t>s</w:t>
            </w:r>
            <w:r w:rsidRPr="000329FE">
              <w:rPr>
                <w:i/>
                <w:iCs/>
              </w:rPr>
              <w:t>ervices</w:t>
            </w:r>
          </w:p>
        </w:tc>
      </w:tr>
      <w:tr w:rsidR="009636B7" w:rsidRPr="000329FE" w14:paraId="5F0FC0A7" w14:textId="77777777" w:rsidTr="00B721EF">
        <w:trPr>
          <w:cantSplit/>
          <w:trHeight w:val="723"/>
        </w:trPr>
        <w:tc>
          <w:tcPr>
            <w:tcW w:w="1418" w:type="dxa"/>
            <w:vMerge/>
            <w:shd w:val="clear" w:color="auto" w:fill="auto"/>
          </w:tcPr>
          <w:p w14:paraId="1384ACE0" w14:textId="77777777" w:rsidR="009636B7" w:rsidRPr="000329FE" w:rsidRDefault="009636B7" w:rsidP="0087762A">
            <w:pPr>
              <w:pStyle w:val="TableText"/>
              <w:ind w:right="113"/>
            </w:pPr>
          </w:p>
        </w:tc>
        <w:tc>
          <w:tcPr>
            <w:tcW w:w="1701" w:type="dxa"/>
          </w:tcPr>
          <w:p w14:paraId="63E8CCEA" w14:textId="77777777" w:rsidR="009636B7" w:rsidRPr="000329FE" w:rsidRDefault="009636B7" w:rsidP="0087762A">
            <w:pPr>
              <w:pStyle w:val="TableText"/>
              <w:ind w:right="113"/>
            </w:pPr>
            <w:r w:rsidRPr="000329FE">
              <w:t>Ministry of Health</w:t>
            </w:r>
          </w:p>
        </w:tc>
        <w:tc>
          <w:tcPr>
            <w:tcW w:w="709" w:type="dxa"/>
          </w:tcPr>
          <w:p w14:paraId="750A080B" w14:textId="77777777" w:rsidR="009636B7" w:rsidRPr="000329FE" w:rsidRDefault="009636B7" w:rsidP="0087762A">
            <w:pPr>
              <w:pStyle w:val="TableText"/>
              <w:jc w:val="center"/>
            </w:pPr>
            <w:r w:rsidRPr="000329FE">
              <w:t>2002</w:t>
            </w:r>
          </w:p>
        </w:tc>
        <w:tc>
          <w:tcPr>
            <w:tcW w:w="4252" w:type="dxa"/>
            <w:shd w:val="clear" w:color="auto" w:fill="auto"/>
          </w:tcPr>
          <w:p w14:paraId="1CE38270" w14:textId="77777777" w:rsidR="009636B7" w:rsidRPr="000329FE" w:rsidRDefault="009636B7" w:rsidP="0087762A">
            <w:pPr>
              <w:pStyle w:val="TableText"/>
              <w:ind w:left="113"/>
              <w:rPr>
                <w:i/>
                <w:iCs/>
              </w:rPr>
            </w:pPr>
            <w:r w:rsidRPr="000329FE">
              <w:rPr>
                <w:i/>
                <w:iCs/>
              </w:rPr>
              <w:t>Te Puāwaitanga: Māori Mental Health National Strategic Framework</w:t>
            </w:r>
          </w:p>
        </w:tc>
      </w:tr>
      <w:tr w:rsidR="009636B7" w:rsidRPr="000329FE" w14:paraId="696D72AD" w14:textId="77777777" w:rsidTr="00B721EF">
        <w:trPr>
          <w:cantSplit/>
        </w:trPr>
        <w:tc>
          <w:tcPr>
            <w:tcW w:w="1418" w:type="dxa"/>
            <w:vMerge/>
            <w:shd w:val="clear" w:color="auto" w:fill="auto"/>
          </w:tcPr>
          <w:p w14:paraId="7A5EA8D2" w14:textId="77777777" w:rsidR="009636B7" w:rsidRPr="000329FE" w:rsidRDefault="009636B7" w:rsidP="0087762A">
            <w:pPr>
              <w:pStyle w:val="TableText"/>
              <w:ind w:right="113"/>
            </w:pPr>
          </w:p>
        </w:tc>
        <w:tc>
          <w:tcPr>
            <w:tcW w:w="1701" w:type="dxa"/>
          </w:tcPr>
          <w:p w14:paraId="1C7F7E8C" w14:textId="77777777" w:rsidR="009636B7" w:rsidRPr="000329FE" w:rsidRDefault="009636B7" w:rsidP="0087762A">
            <w:pPr>
              <w:pStyle w:val="TableText"/>
              <w:ind w:right="113"/>
            </w:pPr>
            <w:r w:rsidRPr="000329FE">
              <w:t>Ministry of Health</w:t>
            </w:r>
          </w:p>
        </w:tc>
        <w:tc>
          <w:tcPr>
            <w:tcW w:w="709" w:type="dxa"/>
          </w:tcPr>
          <w:p w14:paraId="622676E2" w14:textId="77777777" w:rsidR="009636B7" w:rsidRPr="000329FE" w:rsidRDefault="009636B7" w:rsidP="0087762A">
            <w:pPr>
              <w:pStyle w:val="TableText"/>
              <w:jc w:val="center"/>
            </w:pPr>
            <w:r w:rsidRPr="000329FE">
              <w:t>2007</w:t>
            </w:r>
          </w:p>
        </w:tc>
        <w:tc>
          <w:tcPr>
            <w:tcW w:w="4252" w:type="dxa"/>
            <w:shd w:val="clear" w:color="auto" w:fill="auto"/>
          </w:tcPr>
          <w:p w14:paraId="78AB9484" w14:textId="77777777" w:rsidR="009636B7" w:rsidRPr="000329FE" w:rsidRDefault="009636B7" w:rsidP="0087762A">
            <w:pPr>
              <w:pStyle w:val="TableText"/>
              <w:ind w:left="113"/>
              <w:rPr>
                <w:i/>
                <w:iCs/>
              </w:rPr>
            </w:pPr>
            <w:r w:rsidRPr="000329FE">
              <w:rPr>
                <w:i/>
                <w:iCs/>
              </w:rPr>
              <w:t>Census of Forensic Mental Health Services 2005</w:t>
            </w:r>
          </w:p>
        </w:tc>
      </w:tr>
      <w:tr w:rsidR="009636B7" w:rsidRPr="000329FE" w14:paraId="34B41137" w14:textId="77777777" w:rsidTr="00B721EF">
        <w:trPr>
          <w:cantSplit/>
        </w:trPr>
        <w:tc>
          <w:tcPr>
            <w:tcW w:w="1418" w:type="dxa"/>
            <w:vMerge/>
            <w:shd w:val="clear" w:color="auto" w:fill="auto"/>
          </w:tcPr>
          <w:p w14:paraId="26D55840" w14:textId="77777777" w:rsidR="009636B7" w:rsidRPr="000329FE" w:rsidRDefault="009636B7" w:rsidP="0087762A">
            <w:pPr>
              <w:pStyle w:val="TableText"/>
              <w:ind w:right="113"/>
            </w:pPr>
          </w:p>
        </w:tc>
        <w:tc>
          <w:tcPr>
            <w:tcW w:w="1701" w:type="dxa"/>
          </w:tcPr>
          <w:p w14:paraId="61A75D53" w14:textId="77777777" w:rsidR="009636B7" w:rsidRPr="000329FE" w:rsidRDefault="009636B7" w:rsidP="0087762A">
            <w:pPr>
              <w:pStyle w:val="TableText"/>
              <w:ind w:right="113"/>
            </w:pPr>
            <w:r w:rsidRPr="000329FE">
              <w:t>Ministry of Health</w:t>
            </w:r>
          </w:p>
        </w:tc>
        <w:tc>
          <w:tcPr>
            <w:tcW w:w="709" w:type="dxa"/>
          </w:tcPr>
          <w:p w14:paraId="6CB41D54" w14:textId="77777777" w:rsidR="009636B7" w:rsidRPr="000329FE" w:rsidRDefault="009636B7" w:rsidP="0087762A">
            <w:pPr>
              <w:pStyle w:val="TableText"/>
              <w:jc w:val="center"/>
            </w:pPr>
            <w:r w:rsidRPr="000329FE">
              <w:t>2008</w:t>
            </w:r>
          </w:p>
        </w:tc>
        <w:tc>
          <w:tcPr>
            <w:tcW w:w="4252" w:type="dxa"/>
            <w:shd w:val="clear" w:color="auto" w:fill="auto"/>
          </w:tcPr>
          <w:p w14:paraId="54D61A19" w14:textId="77777777" w:rsidR="009636B7" w:rsidRPr="000329FE" w:rsidRDefault="009636B7" w:rsidP="00B721EF">
            <w:pPr>
              <w:pStyle w:val="TableText"/>
              <w:ind w:left="113"/>
              <w:rPr>
                <w:i/>
                <w:iCs/>
              </w:rPr>
            </w:pPr>
            <w:r w:rsidRPr="000329FE">
              <w:rPr>
                <w:i/>
                <w:iCs/>
              </w:rPr>
              <w:t xml:space="preserve">Te Puāwaiwhero: The </w:t>
            </w:r>
            <w:r>
              <w:rPr>
                <w:i/>
                <w:iCs/>
              </w:rPr>
              <w:t>s</w:t>
            </w:r>
            <w:r w:rsidRPr="000329FE">
              <w:rPr>
                <w:i/>
                <w:iCs/>
              </w:rPr>
              <w:t xml:space="preserve">econd Māori </w:t>
            </w:r>
            <w:r>
              <w:rPr>
                <w:i/>
                <w:iCs/>
              </w:rPr>
              <w:t>m</w:t>
            </w:r>
            <w:r w:rsidRPr="000329FE">
              <w:rPr>
                <w:i/>
                <w:iCs/>
              </w:rPr>
              <w:t xml:space="preserve">ental </w:t>
            </w:r>
            <w:r>
              <w:rPr>
                <w:i/>
                <w:iCs/>
              </w:rPr>
              <w:t>h</w:t>
            </w:r>
            <w:r w:rsidRPr="000329FE">
              <w:rPr>
                <w:i/>
                <w:iCs/>
              </w:rPr>
              <w:t xml:space="preserve">ealth and </w:t>
            </w:r>
            <w:r>
              <w:rPr>
                <w:i/>
                <w:iCs/>
              </w:rPr>
              <w:t>a</w:t>
            </w:r>
            <w:r w:rsidRPr="000329FE">
              <w:rPr>
                <w:i/>
                <w:iCs/>
              </w:rPr>
              <w:t xml:space="preserve">ddiction </w:t>
            </w:r>
            <w:r>
              <w:rPr>
                <w:i/>
                <w:iCs/>
              </w:rPr>
              <w:t>n</w:t>
            </w:r>
            <w:r w:rsidRPr="000329FE">
              <w:rPr>
                <w:i/>
                <w:iCs/>
              </w:rPr>
              <w:t xml:space="preserve">ational </w:t>
            </w:r>
            <w:r>
              <w:rPr>
                <w:i/>
                <w:iCs/>
              </w:rPr>
              <w:t>s</w:t>
            </w:r>
            <w:r w:rsidRPr="000329FE">
              <w:rPr>
                <w:i/>
                <w:iCs/>
              </w:rPr>
              <w:t xml:space="preserve">trategic </w:t>
            </w:r>
            <w:r>
              <w:rPr>
                <w:i/>
                <w:iCs/>
              </w:rPr>
              <w:t>f</w:t>
            </w:r>
            <w:r w:rsidRPr="000329FE">
              <w:rPr>
                <w:i/>
                <w:iCs/>
              </w:rPr>
              <w:t>ramework</w:t>
            </w:r>
            <w:r w:rsidR="00B721EF">
              <w:rPr>
                <w:i/>
                <w:iCs/>
              </w:rPr>
              <w:br/>
            </w:r>
            <w:r w:rsidRPr="000329FE">
              <w:rPr>
                <w:i/>
                <w:iCs/>
              </w:rPr>
              <w:t>2008–2015</w:t>
            </w:r>
          </w:p>
        </w:tc>
      </w:tr>
      <w:tr w:rsidR="009636B7" w:rsidRPr="000329FE" w14:paraId="684BBF85" w14:textId="77777777" w:rsidTr="00B721EF">
        <w:trPr>
          <w:cantSplit/>
        </w:trPr>
        <w:tc>
          <w:tcPr>
            <w:tcW w:w="1418" w:type="dxa"/>
            <w:vMerge/>
            <w:shd w:val="clear" w:color="auto" w:fill="auto"/>
          </w:tcPr>
          <w:p w14:paraId="7B05468A" w14:textId="77777777" w:rsidR="009636B7" w:rsidRPr="000329FE" w:rsidRDefault="009636B7" w:rsidP="0087762A">
            <w:pPr>
              <w:pStyle w:val="TableText"/>
              <w:ind w:right="113"/>
            </w:pPr>
          </w:p>
        </w:tc>
        <w:tc>
          <w:tcPr>
            <w:tcW w:w="1701" w:type="dxa"/>
          </w:tcPr>
          <w:p w14:paraId="14701AFD" w14:textId="77777777" w:rsidR="009636B7" w:rsidRPr="000329FE" w:rsidRDefault="009636B7" w:rsidP="0087762A">
            <w:pPr>
              <w:pStyle w:val="TableText"/>
              <w:ind w:right="113"/>
            </w:pPr>
            <w:r w:rsidRPr="000329FE">
              <w:t>Ministry of Health</w:t>
            </w:r>
          </w:p>
        </w:tc>
        <w:tc>
          <w:tcPr>
            <w:tcW w:w="709" w:type="dxa"/>
          </w:tcPr>
          <w:p w14:paraId="2BC82352" w14:textId="77777777" w:rsidR="009636B7" w:rsidRPr="000329FE" w:rsidRDefault="009636B7" w:rsidP="0087762A">
            <w:pPr>
              <w:pStyle w:val="TableText"/>
              <w:jc w:val="center"/>
            </w:pPr>
            <w:r w:rsidRPr="000329FE">
              <w:t>2010</w:t>
            </w:r>
          </w:p>
        </w:tc>
        <w:tc>
          <w:tcPr>
            <w:tcW w:w="4252" w:type="dxa"/>
            <w:shd w:val="clear" w:color="auto" w:fill="auto"/>
          </w:tcPr>
          <w:p w14:paraId="37FFB83D" w14:textId="77777777" w:rsidR="009636B7" w:rsidRPr="000329FE" w:rsidRDefault="009636B7" w:rsidP="0087762A">
            <w:pPr>
              <w:pStyle w:val="TableText"/>
              <w:ind w:left="113"/>
              <w:rPr>
                <w:i/>
                <w:iCs/>
              </w:rPr>
            </w:pPr>
            <w:r w:rsidRPr="000329FE">
              <w:rPr>
                <w:i/>
                <w:iCs/>
              </w:rPr>
              <w:t>Review of Forensic Mental Health Service</w:t>
            </w:r>
            <w:r>
              <w:rPr>
                <w:i/>
                <w:iCs/>
              </w:rPr>
              <w:t>s</w:t>
            </w:r>
            <w:r w:rsidRPr="000329FE">
              <w:rPr>
                <w:i/>
                <w:iCs/>
              </w:rPr>
              <w:t xml:space="preserve">: Future </w:t>
            </w:r>
            <w:r>
              <w:rPr>
                <w:i/>
                <w:iCs/>
              </w:rPr>
              <w:t>d</w:t>
            </w:r>
            <w:r w:rsidRPr="000329FE">
              <w:rPr>
                <w:i/>
                <w:iCs/>
              </w:rPr>
              <w:t>irections</w:t>
            </w:r>
          </w:p>
        </w:tc>
      </w:tr>
      <w:tr w:rsidR="009636B7" w:rsidRPr="000329FE" w14:paraId="38E2AB13" w14:textId="77777777" w:rsidTr="00B721EF">
        <w:trPr>
          <w:cantSplit/>
        </w:trPr>
        <w:tc>
          <w:tcPr>
            <w:tcW w:w="1418" w:type="dxa"/>
            <w:vMerge/>
            <w:shd w:val="clear" w:color="auto" w:fill="auto"/>
          </w:tcPr>
          <w:p w14:paraId="3CFF3678" w14:textId="77777777" w:rsidR="009636B7" w:rsidRPr="000329FE" w:rsidRDefault="009636B7" w:rsidP="0087762A">
            <w:pPr>
              <w:pStyle w:val="TableText"/>
              <w:ind w:right="113"/>
            </w:pPr>
          </w:p>
        </w:tc>
        <w:tc>
          <w:tcPr>
            <w:tcW w:w="1701" w:type="dxa"/>
          </w:tcPr>
          <w:p w14:paraId="25D97BAD" w14:textId="77777777" w:rsidR="009636B7" w:rsidRPr="000329FE" w:rsidRDefault="009636B7" w:rsidP="0087762A">
            <w:pPr>
              <w:pStyle w:val="TableText"/>
              <w:ind w:right="113"/>
            </w:pPr>
            <w:r w:rsidRPr="000329FE">
              <w:t>Ministry of Health</w:t>
            </w:r>
          </w:p>
        </w:tc>
        <w:tc>
          <w:tcPr>
            <w:tcW w:w="709" w:type="dxa"/>
          </w:tcPr>
          <w:p w14:paraId="236A6CC6" w14:textId="77777777" w:rsidR="009636B7" w:rsidRPr="000329FE" w:rsidRDefault="009636B7" w:rsidP="0087762A">
            <w:pPr>
              <w:pStyle w:val="TableText"/>
              <w:jc w:val="center"/>
            </w:pPr>
            <w:r w:rsidRPr="000329FE">
              <w:t>2010</w:t>
            </w:r>
          </w:p>
        </w:tc>
        <w:tc>
          <w:tcPr>
            <w:tcW w:w="4252" w:type="dxa"/>
            <w:shd w:val="clear" w:color="auto" w:fill="auto"/>
          </w:tcPr>
          <w:p w14:paraId="44DBA200" w14:textId="77777777" w:rsidR="009636B7" w:rsidRPr="000329FE" w:rsidRDefault="009636B7" w:rsidP="0087762A">
            <w:pPr>
              <w:pStyle w:val="TableText"/>
              <w:ind w:left="113"/>
              <w:rPr>
                <w:i/>
                <w:iCs/>
              </w:rPr>
            </w:pPr>
            <w:r w:rsidRPr="000329FE">
              <w:rPr>
                <w:i/>
                <w:iCs/>
              </w:rPr>
              <w:t>Service Delivery for People with Co-Existing Mental Health and Addiction Problems: Integrated Solutions</w:t>
            </w:r>
          </w:p>
        </w:tc>
      </w:tr>
      <w:tr w:rsidR="009636B7" w:rsidRPr="000329FE" w14:paraId="3FB3C2FF" w14:textId="77777777" w:rsidTr="00B721EF">
        <w:trPr>
          <w:cantSplit/>
        </w:trPr>
        <w:tc>
          <w:tcPr>
            <w:tcW w:w="1418" w:type="dxa"/>
            <w:vMerge/>
            <w:shd w:val="clear" w:color="auto" w:fill="auto"/>
          </w:tcPr>
          <w:p w14:paraId="6AC9BFE8" w14:textId="77777777" w:rsidR="009636B7" w:rsidRPr="000329FE" w:rsidRDefault="009636B7" w:rsidP="0087762A">
            <w:pPr>
              <w:pStyle w:val="TableText"/>
              <w:ind w:right="113"/>
            </w:pPr>
          </w:p>
        </w:tc>
        <w:tc>
          <w:tcPr>
            <w:tcW w:w="1701" w:type="dxa"/>
          </w:tcPr>
          <w:p w14:paraId="58D41679" w14:textId="77777777" w:rsidR="009636B7" w:rsidRPr="000329FE" w:rsidRDefault="009636B7" w:rsidP="0087762A">
            <w:pPr>
              <w:pStyle w:val="TableText"/>
              <w:ind w:right="113"/>
            </w:pPr>
            <w:r w:rsidRPr="000329FE">
              <w:t>Ministry of Health</w:t>
            </w:r>
          </w:p>
        </w:tc>
        <w:tc>
          <w:tcPr>
            <w:tcW w:w="709" w:type="dxa"/>
          </w:tcPr>
          <w:p w14:paraId="5B6F0F13" w14:textId="77777777" w:rsidR="009636B7" w:rsidRPr="000329FE" w:rsidRDefault="009636B7" w:rsidP="0087762A">
            <w:pPr>
              <w:pStyle w:val="TableText"/>
              <w:jc w:val="center"/>
            </w:pPr>
            <w:r w:rsidRPr="000329FE">
              <w:t>2012</w:t>
            </w:r>
          </w:p>
        </w:tc>
        <w:tc>
          <w:tcPr>
            <w:tcW w:w="4252" w:type="dxa"/>
            <w:shd w:val="clear" w:color="auto" w:fill="auto"/>
          </w:tcPr>
          <w:p w14:paraId="4EA2340D" w14:textId="77777777" w:rsidR="009636B7" w:rsidRPr="000329FE" w:rsidRDefault="009636B7" w:rsidP="0087762A">
            <w:pPr>
              <w:pStyle w:val="TableText"/>
              <w:ind w:left="113"/>
              <w:rPr>
                <w:i/>
                <w:iCs/>
              </w:rPr>
            </w:pPr>
            <w:r w:rsidRPr="000329FE">
              <w:rPr>
                <w:i/>
                <w:iCs/>
              </w:rPr>
              <w:t>Guidelines for the Safe Transport of Special Patients and Special Care Recipients in the Care of Regional Forensic Mental Health Services</w:t>
            </w:r>
          </w:p>
        </w:tc>
      </w:tr>
      <w:tr w:rsidR="009636B7" w:rsidRPr="000329FE" w14:paraId="5ECADF31" w14:textId="77777777" w:rsidTr="00B721EF">
        <w:trPr>
          <w:cantSplit/>
        </w:trPr>
        <w:tc>
          <w:tcPr>
            <w:tcW w:w="1418" w:type="dxa"/>
            <w:vMerge/>
            <w:shd w:val="clear" w:color="auto" w:fill="auto"/>
          </w:tcPr>
          <w:p w14:paraId="6E4C762B" w14:textId="77777777" w:rsidR="009636B7" w:rsidRPr="000329FE" w:rsidRDefault="009636B7" w:rsidP="0087762A">
            <w:pPr>
              <w:pStyle w:val="TableText"/>
              <w:ind w:right="113"/>
            </w:pPr>
          </w:p>
        </w:tc>
        <w:tc>
          <w:tcPr>
            <w:tcW w:w="1701" w:type="dxa"/>
          </w:tcPr>
          <w:p w14:paraId="065E3F0B" w14:textId="77777777" w:rsidR="009636B7" w:rsidRPr="000329FE" w:rsidRDefault="009636B7" w:rsidP="0087762A">
            <w:pPr>
              <w:pStyle w:val="TableText"/>
              <w:ind w:right="113"/>
            </w:pPr>
            <w:r w:rsidRPr="000329FE">
              <w:t>Ministry of Health</w:t>
            </w:r>
          </w:p>
        </w:tc>
        <w:tc>
          <w:tcPr>
            <w:tcW w:w="709" w:type="dxa"/>
          </w:tcPr>
          <w:p w14:paraId="68A5405E" w14:textId="77777777" w:rsidR="009636B7" w:rsidRPr="000329FE" w:rsidRDefault="009636B7" w:rsidP="0087762A">
            <w:pPr>
              <w:pStyle w:val="TableText"/>
              <w:jc w:val="center"/>
            </w:pPr>
            <w:r w:rsidRPr="000329FE">
              <w:t>2012</w:t>
            </w:r>
          </w:p>
        </w:tc>
        <w:tc>
          <w:tcPr>
            <w:tcW w:w="4252" w:type="dxa"/>
            <w:shd w:val="clear" w:color="auto" w:fill="auto"/>
          </w:tcPr>
          <w:p w14:paraId="26A338E8" w14:textId="77777777" w:rsidR="009636B7" w:rsidRPr="000329FE" w:rsidRDefault="009636B7" w:rsidP="0087762A">
            <w:pPr>
              <w:pStyle w:val="TableText"/>
              <w:ind w:left="113"/>
              <w:rPr>
                <w:i/>
                <w:iCs/>
              </w:rPr>
            </w:pPr>
            <w:r w:rsidRPr="000329FE">
              <w:rPr>
                <w:i/>
                <w:iCs/>
              </w:rPr>
              <w:t>Guidelines to the Mental Health (Compulsory Assessment and Treatment) Act 1992</w:t>
            </w:r>
          </w:p>
        </w:tc>
      </w:tr>
      <w:tr w:rsidR="009636B7" w:rsidRPr="000329FE" w14:paraId="49D69A55" w14:textId="77777777" w:rsidTr="00B721EF">
        <w:trPr>
          <w:cantSplit/>
        </w:trPr>
        <w:tc>
          <w:tcPr>
            <w:tcW w:w="1418" w:type="dxa"/>
            <w:vMerge/>
            <w:shd w:val="clear" w:color="auto" w:fill="auto"/>
          </w:tcPr>
          <w:p w14:paraId="27E13C82" w14:textId="77777777" w:rsidR="009636B7" w:rsidRPr="000329FE" w:rsidRDefault="009636B7" w:rsidP="0087762A">
            <w:pPr>
              <w:pStyle w:val="TableText"/>
              <w:ind w:right="113"/>
            </w:pPr>
          </w:p>
        </w:tc>
        <w:tc>
          <w:tcPr>
            <w:tcW w:w="1701" w:type="dxa"/>
          </w:tcPr>
          <w:p w14:paraId="06DB1BAD" w14:textId="77777777" w:rsidR="009636B7" w:rsidRPr="000329FE" w:rsidRDefault="009636B7" w:rsidP="0087762A">
            <w:pPr>
              <w:pStyle w:val="TableText"/>
              <w:ind w:right="113"/>
            </w:pPr>
            <w:r w:rsidRPr="000329FE">
              <w:t>Ministry of Health</w:t>
            </w:r>
          </w:p>
        </w:tc>
        <w:tc>
          <w:tcPr>
            <w:tcW w:w="709" w:type="dxa"/>
          </w:tcPr>
          <w:p w14:paraId="1EC16429" w14:textId="77777777" w:rsidR="009636B7" w:rsidRPr="000329FE" w:rsidRDefault="009636B7" w:rsidP="0087762A">
            <w:pPr>
              <w:pStyle w:val="TableText"/>
              <w:jc w:val="center"/>
            </w:pPr>
            <w:r w:rsidRPr="000329FE">
              <w:t>2016</w:t>
            </w:r>
          </w:p>
        </w:tc>
        <w:tc>
          <w:tcPr>
            <w:tcW w:w="4252" w:type="dxa"/>
            <w:shd w:val="clear" w:color="auto" w:fill="auto"/>
          </w:tcPr>
          <w:p w14:paraId="7C2C4817" w14:textId="77777777" w:rsidR="009636B7" w:rsidRPr="000329FE" w:rsidRDefault="009636B7" w:rsidP="0087762A">
            <w:pPr>
              <w:pStyle w:val="TableText"/>
              <w:ind w:left="113"/>
              <w:rPr>
                <w:i/>
                <w:iCs/>
              </w:rPr>
            </w:pPr>
            <w:r w:rsidRPr="000329FE">
              <w:rPr>
                <w:i/>
                <w:iCs/>
              </w:rPr>
              <w:t xml:space="preserve">Commissioning Framework for Mental Health and Addiction: A New Zealand </w:t>
            </w:r>
            <w:r>
              <w:rPr>
                <w:i/>
                <w:iCs/>
              </w:rPr>
              <w:t>g</w:t>
            </w:r>
            <w:r w:rsidRPr="000329FE">
              <w:rPr>
                <w:i/>
                <w:iCs/>
              </w:rPr>
              <w:t xml:space="preserve">uide </w:t>
            </w:r>
          </w:p>
        </w:tc>
      </w:tr>
      <w:tr w:rsidR="009636B7" w:rsidRPr="000329FE" w14:paraId="558946AC" w14:textId="77777777" w:rsidTr="00B721EF">
        <w:trPr>
          <w:cantSplit/>
        </w:trPr>
        <w:tc>
          <w:tcPr>
            <w:tcW w:w="1418" w:type="dxa"/>
            <w:vMerge/>
            <w:shd w:val="clear" w:color="auto" w:fill="auto"/>
          </w:tcPr>
          <w:p w14:paraId="48EB9202" w14:textId="77777777" w:rsidR="009636B7" w:rsidRPr="000329FE" w:rsidRDefault="009636B7" w:rsidP="0087762A">
            <w:pPr>
              <w:pStyle w:val="TableText"/>
              <w:ind w:right="113"/>
            </w:pPr>
          </w:p>
        </w:tc>
        <w:tc>
          <w:tcPr>
            <w:tcW w:w="1701" w:type="dxa"/>
          </w:tcPr>
          <w:p w14:paraId="104D3C7B" w14:textId="77777777" w:rsidR="009636B7" w:rsidRPr="000329FE" w:rsidRDefault="009636B7" w:rsidP="0087762A">
            <w:pPr>
              <w:pStyle w:val="TableText"/>
              <w:ind w:right="113"/>
            </w:pPr>
            <w:r w:rsidRPr="000329FE">
              <w:t>Ministry of Health</w:t>
            </w:r>
          </w:p>
        </w:tc>
        <w:tc>
          <w:tcPr>
            <w:tcW w:w="709" w:type="dxa"/>
          </w:tcPr>
          <w:p w14:paraId="7E1607C8" w14:textId="77777777" w:rsidR="009636B7" w:rsidRPr="000329FE" w:rsidRDefault="009636B7" w:rsidP="0087762A">
            <w:pPr>
              <w:pStyle w:val="TableText"/>
              <w:jc w:val="center"/>
            </w:pPr>
            <w:r w:rsidRPr="000329FE">
              <w:t>2017</w:t>
            </w:r>
          </w:p>
        </w:tc>
        <w:tc>
          <w:tcPr>
            <w:tcW w:w="4252" w:type="dxa"/>
            <w:shd w:val="clear" w:color="auto" w:fill="auto"/>
          </w:tcPr>
          <w:p w14:paraId="2E358057" w14:textId="77777777" w:rsidR="009636B7" w:rsidRPr="000329FE" w:rsidRDefault="009636B7" w:rsidP="0087762A">
            <w:pPr>
              <w:pStyle w:val="TableText"/>
              <w:ind w:left="113"/>
              <w:rPr>
                <w:i/>
                <w:iCs/>
              </w:rPr>
            </w:pPr>
            <w:r w:rsidRPr="000329FE">
              <w:rPr>
                <w:i/>
                <w:iCs/>
              </w:rPr>
              <w:t xml:space="preserve">Special Patients and Restricted Patients: Guidelines for </w:t>
            </w:r>
            <w:r>
              <w:rPr>
                <w:i/>
                <w:iCs/>
              </w:rPr>
              <w:t>r</w:t>
            </w:r>
            <w:r w:rsidRPr="000329FE">
              <w:rPr>
                <w:i/>
                <w:iCs/>
              </w:rPr>
              <w:t xml:space="preserve">egional </w:t>
            </w:r>
            <w:r>
              <w:rPr>
                <w:i/>
                <w:iCs/>
              </w:rPr>
              <w:t>f</w:t>
            </w:r>
            <w:r w:rsidRPr="000329FE">
              <w:rPr>
                <w:i/>
                <w:iCs/>
              </w:rPr>
              <w:t xml:space="preserve">orensic </w:t>
            </w:r>
            <w:r>
              <w:rPr>
                <w:i/>
                <w:iCs/>
              </w:rPr>
              <w:t>m</w:t>
            </w:r>
            <w:r w:rsidRPr="000329FE">
              <w:rPr>
                <w:i/>
                <w:iCs/>
              </w:rPr>
              <w:t xml:space="preserve">ental </w:t>
            </w:r>
            <w:r>
              <w:rPr>
                <w:i/>
                <w:iCs/>
              </w:rPr>
              <w:t>h</w:t>
            </w:r>
            <w:r w:rsidRPr="000329FE">
              <w:rPr>
                <w:i/>
                <w:iCs/>
              </w:rPr>
              <w:t xml:space="preserve">ealth </w:t>
            </w:r>
            <w:r>
              <w:rPr>
                <w:i/>
                <w:iCs/>
              </w:rPr>
              <w:t>s</w:t>
            </w:r>
            <w:r w:rsidRPr="000329FE">
              <w:rPr>
                <w:i/>
                <w:iCs/>
              </w:rPr>
              <w:t>ervices</w:t>
            </w:r>
          </w:p>
        </w:tc>
      </w:tr>
      <w:tr w:rsidR="009636B7" w:rsidRPr="000329FE" w14:paraId="62AC6178" w14:textId="77777777" w:rsidTr="00B721EF">
        <w:trPr>
          <w:cantSplit/>
        </w:trPr>
        <w:tc>
          <w:tcPr>
            <w:tcW w:w="1418" w:type="dxa"/>
            <w:vMerge/>
            <w:shd w:val="clear" w:color="auto" w:fill="auto"/>
          </w:tcPr>
          <w:p w14:paraId="0E690FC0" w14:textId="77777777" w:rsidR="009636B7" w:rsidRPr="000329FE" w:rsidRDefault="009636B7" w:rsidP="0087762A">
            <w:pPr>
              <w:pStyle w:val="TableText"/>
              <w:ind w:right="113"/>
            </w:pPr>
          </w:p>
        </w:tc>
        <w:tc>
          <w:tcPr>
            <w:tcW w:w="1701" w:type="dxa"/>
          </w:tcPr>
          <w:p w14:paraId="6F8DF55D" w14:textId="77777777" w:rsidR="009636B7" w:rsidRPr="000329FE" w:rsidRDefault="009636B7" w:rsidP="0087762A">
            <w:pPr>
              <w:pStyle w:val="TableText"/>
              <w:ind w:right="113"/>
            </w:pPr>
            <w:r w:rsidRPr="000329FE">
              <w:t>Ministry of Health</w:t>
            </w:r>
          </w:p>
        </w:tc>
        <w:tc>
          <w:tcPr>
            <w:tcW w:w="709" w:type="dxa"/>
          </w:tcPr>
          <w:p w14:paraId="340AEEF7" w14:textId="77777777" w:rsidR="009636B7" w:rsidRPr="000329FE" w:rsidRDefault="009636B7" w:rsidP="0087762A">
            <w:pPr>
              <w:pStyle w:val="TableText"/>
              <w:jc w:val="center"/>
            </w:pPr>
            <w:r w:rsidRPr="000329FE">
              <w:t>2018</w:t>
            </w:r>
          </w:p>
        </w:tc>
        <w:tc>
          <w:tcPr>
            <w:tcW w:w="4252" w:type="dxa"/>
            <w:shd w:val="clear" w:color="auto" w:fill="auto"/>
          </w:tcPr>
          <w:p w14:paraId="227E4F13" w14:textId="77777777" w:rsidR="009636B7" w:rsidRPr="000329FE" w:rsidRDefault="009636B7" w:rsidP="0087762A">
            <w:pPr>
              <w:pStyle w:val="TableText"/>
              <w:ind w:left="113"/>
              <w:rPr>
                <w:i/>
                <w:iCs/>
              </w:rPr>
            </w:pPr>
            <w:r w:rsidRPr="000329FE">
              <w:rPr>
                <w:i/>
                <w:iCs/>
              </w:rPr>
              <w:t xml:space="preserve">Night Safety Procedures: Transitional </w:t>
            </w:r>
            <w:r>
              <w:rPr>
                <w:i/>
                <w:iCs/>
              </w:rPr>
              <w:t>g</w:t>
            </w:r>
            <w:r w:rsidRPr="000329FE">
              <w:rPr>
                <w:i/>
                <w:iCs/>
              </w:rPr>
              <w:t>uideline</w:t>
            </w:r>
          </w:p>
        </w:tc>
      </w:tr>
      <w:tr w:rsidR="009636B7" w:rsidRPr="000329FE" w14:paraId="180CC863" w14:textId="77777777" w:rsidTr="00B721EF">
        <w:trPr>
          <w:cantSplit/>
        </w:trPr>
        <w:tc>
          <w:tcPr>
            <w:tcW w:w="1418" w:type="dxa"/>
            <w:vMerge/>
            <w:shd w:val="clear" w:color="auto" w:fill="auto"/>
          </w:tcPr>
          <w:p w14:paraId="0A242312" w14:textId="77777777" w:rsidR="009636B7" w:rsidRPr="000329FE" w:rsidRDefault="009636B7" w:rsidP="0087762A">
            <w:pPr>
              <w:pStyle w:val="TableText"/>
              <w:ind w:right="113"/>
            </w:pPr>
          </w:p>
        </w:tc>
        <w:tc>
          <w:tcPr>
            <w:tcW w:w="1701" w:type="dxa"/>
          </w:tcPr>
          <w:p w14:paraId="2762214A" w14:textId="77777777" w:rsidR="009636B7" w:rsidRPr="000329FE" w:rsidRDefault="009636B7" w:rsidP="0087762A">
            <w:pPr>
              <w:pStyle w:val="TableText"/>
              <w:ind w:right="113"/>
            </w:pPr>
            <w:r w:rsidRPr="000329FE">
              <w:t>Ministry of Health</w:t>
            </w:r>
          </w:p>
        </w:tc>
        <w:tc>
          <w:tcPr>
            <w:tcW w:w="709" w:type="dxa"/>
          </w:tcPr>
          <w:p w14:paraId="7AA3CCC0" w14:textId="77777777" w:rsidR="009636B7" w:rsidRPr="000329FE" w:rsidRDefault="009636B7" w:rsidP="0087762A">
            <w:pPr>
              <w:pStyle w:val="TableText"/>
              <w:jc w:val="center"/>
            </w:pPr>
            <w:r w:rsidRPr="000329FE">
              <w:t>2019</w:t>
            </w:r>
          </w:p>
        </w:tc>
        <w:tc>
          <w:tcPr>
            <w:tcW w:w="4252" w:type="dxa"/>
            <w:shd w:val="clear" w:color="auto" w:fill="auto"/>
          </w:tcPr>
          <w:p w14:paraId="78F2DCC7" w14:textId="77777777" w:rsidR="009636B7" w:rsidRPr="000329FE" w:rsidRDefault="009636B7" w:rsidP="0087762A">
            <w:pPr>
              <w:pStyle w:val="TableText"/>
              <w:ind w:left="113"/>
              <w:rPr>
                <w:i/>
                <w:iCs/>
              </w:rPr>
            </w:pPr>
            <w:r w:rsidRPr="000329FE">
              <w:rPr>
                <w:i/>
                <w:iCs/>
              </w:rPr>
              <w:t>Practice Guidelines for Forensic Mental Health Court Liaison Nurses in New Zealand</w:t>
            </w:r>
          </w:p>
        </w:tc>
      </w:tr>
      <w:tr w:rsidR="009636B7" w:rsidRPr="000329FE" w14:paraId="11BAEB9A" w14:textId="77777777" w:rsidTr="00B721EF">
        <w:trPr>
          <w:cantSplit/>
        </w:trPr>
        <w:tc>
          <w:tcPr>
            <w:tcW w:w="1418" w:type="dxa"/>
            <w:vMerge/>
            <w:shd w:val="clear" w:color="auto" w:fill="auto"/>
          </w:tcPr>
          <w:p w14:paraId="3D704ED0" w14:textId="77777777" w:rsidR="009636B7" w:rsidRPr="000329FE" w:rsidRDefault="009636B7" w:rsidP="0087762A">
            <w:pPr>
              <w:pStyle w:val="TableText"/>
              <w:ind w:right="113"/>
            </w:pPr>
          </w:p>
        </w:tc>
        <w:tc>
          <w:tcPr>
            <w:tcW w:w="1701" w:type="dxa"/>
          </w:tcPr>
          <w:p w14:paraId="188C5B08" w14:textId="77777777" w:rsidR="009636B7" w:rsidRPr="000329FE" w:rsidRDefault="009636B7" w:rsidP="0087762A">
            <w:pPr>
              <w:pStyle w:val="TableText"/>
              <w:ind w:right="113"/>
            </w:pPr>
            <w:r>
              <w:t xml:space="preserve">FC </w:t>
            </w:r>
            <w:r w:rsidRPr="000329FE">
              <w:t>Todd</w:t>
            </w:r>
          </w:p>
        </w:tc>
        <w:tc>
          <w:tcPr>
            <w:tcW w:w="709" w:type="dxa"/>
          </w:tcPr>
          <w:p w14:paraId="5B8CF0BC" w14:textId="77777777" w:rsidR="009636B7" w:rsidRPr="000329FE" w:rsidRDefault="009636B7" w:rsidP="0087762A">
            <w:pPr>
              <w:pStyle w:val="TableText"/>
              <w:jc w:val="center"/>
            </w:pPr>
            <w:r w:rsidRPr="000329FE">
              <w:t>2010</w:t>
            </w:r>
          </w:p>
        </w:tc>
        <w:tc>
          <w:tcPr>
            <w:tcW w:w="4252" w:type="dxa"/>
            <w:shd w:val="clear" w:color="auto" w:fill="auto"/>
          </w:tcPr>
          <w:p w14:paraId="48FC4A4B" w14:textId="77777777" w:rsidR="009636B7" w:rsidRPr="000329FE" w:rsidRDefault="009636B7" w:rsidP="0087762A">
            <w:pPr>
              <w:pStyle w:val="TableText"/>
              <w:ind w:left="113"/>
              <w:rPr>
                <w:i/>
                <w:iCs/>
              </w:rPr>
            </w:pPr>
            <w:r w:rsidRPr="000329FE">
              <w:rPr>
                <w:i/>
                <w:iCs/>
              </w:rPr>
              <w:t xml:space="preserve">Te Ariari o te Oranga: The </w:t>
            </w:r>
            <w:r>
              <w:rPr>
                <w:i/>
                <w:iCs/>
              </w:rPr>
              <w:t>a</w:t>
            </w:r>
            <w:r w:rsidRPr="000329FE">
              <w:rPr>
                <w:i/>
                <w:iCs/>
              </w:rPr>
              <w:t xml:space="preserve">ssessment and </w:t>
            </w:r>
            <w:r>
              <w:rPr>
                <w:i/>
                <w:iCs/>
              </w:rPr>
              <w:t>m</w:t>
            </w:r>
            <w:r w:rsidRPr="000329FE">
              <w:rPr>
                <w:i/>
                <w:iCs/>
              </w:rPr>
              <w:t xml:space="preserve">anagement of </w:t>
            </w:r>
            <w:r>
              <w:rPr>
                <w:i/>
                <w:iCs/>
              </w:rPr>
              <w:t>p</w:t>
            </w:r>
            <w:r w:rsidRPr="000329FE">
              <w:rPr>
                <w:i/>
                <w:iCs/>
              </w:rPr>
              <w:t xml:space="preserve">eople with </w:t>
            </w:r>
            <w:r>
              <w:rPr>
                <w:i/>
                <w:iCs/>
              </w:rPr>
              <w:t>c</w:t>
            </w:r>
            <w:r w:rsidRPr="000329FE">
              <w:rPr>
                <w:i/>
                <w:iCs/>
              </w:rPr>
              <w:t>o-</w:t>
            </w:r>
            <w:r>
              <w:rPr>
                <w:i/>
                <w:iCs/>
              </w:rPr>
              <w:t>e</w:t>
            </w:r>
            <w:r w:rsidRPr="000329FE">
              <w:rPr>
                <w:i/>
                <w:iCs/>
              </w:rPr>
              <w:t xml:space="preserve">xisting </w:t>
            </w:r>
            <w:r>
              <w:rPr>
                <w:i/>
                <w:iCs/>
              </w:rPr>
              <w:t>m</w:t>
            </w:r>
            <w:r w:rsidRPr="000329FE">
              <w:rPr>
                <w:i/>
                <w:iCs/>
              </w:rPr>
              <w:t xml:space="preserve">ental </w:t>
            </w:r>
            <w:r>
              <w:rPr>
                <w:i/>
                <w:iCs/>
              </w:rPr>
              <w:t>h</w:t>
            </w:r>
            <w:r w:rsidRPr="000329FE">
              <w:rPr>
                <w:i/>
                <w:iCs/>
              </w:rPr>
              <w:t xml:space="preserve">ealth and </w:t>
            </w:r>
            <w:r>
              <w:rPr>
                <w:i/>
                <w:iCs/>
              </w:rPr>
              <w:t>s</w:t>
            </w:r>
            <w:r w:rsidRPr="000329FE">
              <w:rPr>
                <w:i/>
                <w:iCs/>
              </w:rPr>
              <w:t xml:space="preserve">ubstance </w:t>
            </w:r>
            <w:r>
              <w:rPr>
                <w:i/>
                <w:iCs/>
              </w:rPr>
              <w:t>u</w:t>
            </w:r>
            <w:r w:rsidRPr="000329FE">
              <w:rPr>
                <w:i/>
                <w:iCs/>
              </w:rPr>
              <w:t xml:space="preserve">se </w:t>
            </w:r>
            <w:r>
              <w:rPr>
                <w:i/>
                <w:iCs/>
              </w:rPr>
              <w:t>p</w:t>
            </w:r>
            <w:r w:rsidRPr="000329FE">
              <w:rPr>
                <w:i/>
                <w:iCs/>
              </w:rPr>
              <w:t>roblems 2010</w:t>
            </w:r>
          </w:p>
        </w:tc>
      </w:tr>
      <w:tr w:rsidR="009636B7" w:rsidRPr="000329FE" w14:paraId="116DAB37" w14:textId="77777777" w:rsidTr="00B721EF">
        <w:trPr>
          <w:cantSplit/>
        </w:trPr>
        <w:tc>
          <w:tcPr>
            <w:tcW w:w="1418" w:type="dxa"/>
            <w:vMerge w:val="restart"/>
            <w:shd w:val="clear" w:color="auto" w:fill="auto"/>
          </w:tcPr>
          <w:p w14:paraId="4AED29F1" w14:textId="77777777" w:rsidR="009636B7" w:rsidRPr="000329FE" w:rsidRDefault="009636B7" w:rsidP="0087762A">
            <w:pPr>
              <w:pStyle w:val="TableText"/>
              <w:ind w:right="113"/>
            </w:pPr>
            <w:r w:rsidRPr="000329FE">
              <w:t>Ara Poutama (Department of Corrections)</w:t>
            </w:r>
          </w:p>
        </w:tc>
        <w:tc>
          <w:tcPr>
            <w:tcW w:w="1701" w:type="dxa"/>
          </w:tcPr>
          <w:p w14:paraId="076EE8D5" w14:textId="77777777" w:rsidR="009636B7" w:rsidRPr="001A28C6" w:rsidRDefault="009636B7" w:rsidP="0087762A">
            <w:pPr>
              <w:pStyle w:val="TableText"/>
              <w:ind w:right="113"/>
            </w:pPr>
            <w:r w:rsidRPr="000329FE">
              <w:t>Department of Corrections</w:t>
            </w:r>
            <w:r w:rsidRPr="0087762A">
              <w:rPr>
                <w:rStyle w:val="FootnoteReference"/>
              </w:rPr>
              <w:footnoteReference w:id="46"/>
            </w:r>
          </w:p>
        </w:tc>
        <w:tc>
          <w:tcPr>
            <w:tcW w:w="709" w:type="dxa"/>
          </w:tcPr>
          <w:p w14:paraId="44E6E488" w14:textId="77777777" w:rsidR="009636B7" w:rsidRPr="009E213B" w:rsidRDefault="009636B7" w:rsidP="0087762A">
            <w:pPr>
              <w:pStyle w:val="TableText"/>
              <w:jc w:val="center"/>
            </w:pPr>
            <w:r w:rsidRPr="001A28C6">
              <w:t>2019</w:t>
            </w:r>
          </w:p>
        </w:tc>
        <w:tc>
          <w:tcPr>
            <w:tcW w:w="4252" w:type="dxa"/>
            <w:shd w:val="clear" w:color="auto" w:fill="auto"/>
          </w:tcPr>
          <w:p w14:paraId="68DA153D" w14:textId="77777777" w:rsidR="009636B7" w:rsidRPr="00DD29A3" w:rsidRDefault="009636B7" w:rsidP="00B721EF">
            <w:pPr>
              <w:pStyle w:val="TableText"/>
              <w:ind w:left="113"/>
              <w:rPr>
                <w:i/>
                <w:iCs/>
              </w:rPr>
            </w:pPr>
            <w:r w:rsidRPr="00E42BE0">
              <w:rPr>
                <w:i/>
                <w:iCs/>
              </w:rPr>
              <w:t xml:space="preserve">Hōkai Rangi: Ara Poutama Aotearoa </w:t>
            </w:r>
            <w:r>
              <w:rPr>
                <w:i/>
                <w:iCs/>
              </w:rPr>
              <w:t>s</w:t>
            </w:r>
            <w:r w:rsidRPr="00E42BE0">
              <w:rPr>
                <w:i/>
                <w:iCs/>
              </w:rPr>
              <w:t>trategy</w:t>
            </w:r>
            <w:r w:rsidR="00B721EF">
              <w:rPr>
                <w:i/>
                <w:iCs/>
              </w:rPr>
              <w:t xml:space="preserve"> </w:t>
            </w:r>
            <w:r w:rsidRPr="00E42BE0">
              <w:rPr>
                <w:i/>
                <w:iCs/>
              </w:rPr>
              <w:t>2019–2024</w:t>
            </w:r>
          </w:p>
        </w:tc>
      </w:tr>
      <w:tr w:rsidR="009636B7" w:rsidRPr="000329FE" w14:paraId="2BB8C1E8" w14:textId="77777777" w:rsidTr="00B721EF">
        <w:trPr>
          <w:cantSplit/>
        </w:trPr>
        <w:tc>
          <w:tcPr>
            <w:tcW w:w="1418" w:type="dxa"/>
            <w:vMerge/>
            <w:shd w:val="clear" w:color="auto" w:fill="auto"/>
          </w:tcPr>
          <w:p w14:paraId="374E1F98" w14:textId="77777777" w:rsidR="009636B7" w:rsidRPr="000329FE" w:rsidRDefault="009636B7" w:rsidP="0087762A">
            <w:pPr>
              <w:pStyle w:val="TableText"/>
              <w:ind w:right="113"/>
            </w:pPr>
          </w:p>
        </w:tc>
        <w:tc>
          <w:tcPr>
            <w:tcW w:w="1701" w:type="dxa"/>
          </w:tcPr>
          <w:p w14:paraId="4B1ED00D" w14:textId="77777777" w:rsidR="009636B7" w:rsidRPr="000329FE" w:rsidRDefault="009636B7" w:rsidP="0087762A">
            <w:pPr>
              <w:pStyle w:val="TableText"/>
              <w:ind w:right="113"/>
            </w:pPr>
            <w:r w:rsidRPr="000329FE">
              <w:t>Department of Corrections</w:t>
            </w:r>
          </w:p>
        </w:tc>
        <w:tc>
          <w:tcPr>
            <w:tcW w:w="709" w:type="dxa"/>
          </w:tcPr>
          <w:p w14:paraId="782067A6" w14:textId="77777777" w:rsidR="009636B7" w:rsidRPr="000329FE" w:rsidRDefault="009636B7" w:rsidP="0087762A">
            <w:pPr>
              <w:pStyle w:val="TableText"/>
              <w:jc w:val="center"/>
            </w:pPr>
            <w:r w:rsidRPr="000329FE">
              <w:t>nd</w:t>
            </w:r>
          </w:p>
        </w:tc>
        <w:tc>
          <w:tcPr>
            <w:tcW w:w="4252" w:type="dxa"/>
            <w:shd w:val="clear" w:color="auto" w:fill="auto"/>
          </w:tcPr>
          <w:p w14:paraId="0E353ED9" w14:textId="77777777" w:rsidR="009636B7" w:rsidRPr="000329FE" w:rsidRDefault="009636B7" w:rsidP="0087762A">
            <w:pPr>
              <w:pStyle w:val="TableText"/>
              <w:ind w:left="113"/>
              <w:rPr>
                <w:i/>
                <w:iCs/>
              </w:rPr>
            </w:pPr>
            <w:r w:rsidRPr="000329FE">
              <w:rPr>
                <w:i/>
                <w:iCs/>
              </w:rPr>
              <w:t>Change Lives Shape Futures: Investing in Better Mental Health for Offenders</w:t>
            </w:r>
          </w:p>
        </w:tc>
      </w:tr>
      <w:tr w:rsidR="009636B7" w:rsidRPr="000329FE" w14:paraId="7F04B3A6" w14:textId="77777777" w:rsidTr="00B721EF">
        <w:trPr>
          <w:cantSplit/>
        </w:trPr>
        <w:tc>
          <w:tcPr>
            <w:tcW w:w="1418" w:type="dxa"/>
            <w:vMerge w:val="restart"/>
            <w:shd w:val="clear" w:color="auto" w:fill="auto"/>
          </w:tcPr>
          <w:p w14:paraId="69F3A829" w14:textId="77777777" w:rsidR="009636B7" w:rsidRPr="000329FE" w:rsidRDefault="009636B7" w:rsidP="00D51427">
            <w:pPr>
              <w:pStyle w:val="TableText"/>
              <w:keepNext/>
              <w:ind w:right="113"/>
            </w:pPr>
            <w:r w:rsidRPr="000329FE">
              <w:lastRenderedPageBreak/>
              <w:t>Ministry of Justice</w:t>
            </w:r>
          </w:p>
        </w:tc>
        <w:tc>
          <w:tcPr>
            <w:tcW w:w="1701" w:type="dxa"/>
          </w:tcPr>
          <w:p w14:paraId="438726A7" w14:textId="77777777" w:rsidR="009636B7" w:rsidRPr="000329FE" w:rsidRDefault="009636B7" w:rsidP="00D51427">
            <w:pPr>
              <w:pStyle w:val="TableText"/>
              <w:keepNext/>
              <w:ind w:right="113"/>
            </w:pPr>
            <w:r w:rsidRPr="000329FE">
              <w:t>Ministry of Justice</w:t>
            </w:r>
          </w:p>
        </w:tc>
        <w:tc>
          <w:tcPr>
            <w:tcW w:w="709" w:type="dxa"/>
          </w:tcPr>
          <w:p w14:paraId="32E2B4E1" w14:textId="77777777" w:rsidR="009636B7" w:rsidRPr="000329FE" w:rsidRDefault="009636B7" w:rsidP="00D51427">
            <w:pPr>
              <w:pStyle w:val="TableText"/>
              <w:keepNext/>
              <w:jc w:val="center"/>
            </w:pPr>
            <w:r w:rsidRPr="000329FE">
              <w:t>2017</w:t>
            </w:r>
          </w:p>
        </w:tc>
        <w:tc>
          <w:tcPr>
            <w:tcW w:w="4252" w:type="dxa"/>
            <w:shd w:val="clear" w:color="auto" w:fill="auto"/>
          </w:tcPr>
          <w:p w14:paraId="3E41D7E8" w14:textId="77777777" w:rsidR="009636B7" w:rsidRPr="000329FE" w:rsidRDefault="009636B7" w:rsidP="00D51427">
            <w:pPr>
              <w:pStyle w:val="TableText"/>
              <w:keepNext/>
              <w:ind w:left="113"/>
              <w:rPr>
                <w:i/>
                <w:iCs/>
              </w:rPr>
            </w:pPr>
            <w:r w:rsidRPr="000329FE">
              <w:rPr>
                <w:i/>
                <w:iCs/>
              </w:rPr>
              <w:t xml:space="preserve">Culture-Based Correctional Rehabilitative Interventions for Indigenous Offenders: Evidence </w:t>
            </w:r>
            <w:r>
              <w:rPr>
                <w:i/>
                <w:iCs/>
              </w:rPr>
              <w:t>b</w:t>
            </w:r>
            <w:r w:rsidRPr="000329FE">
              <w:rPr>
                <w:i/>
                <w:iCs/>
              </w:rPr>
              <w:t>rief</w:t>
            </w:r>
          </w:p>
        </w:tc>
      </w:tr>
      <w:tr w:rsidR="009636B7" w:rsidRPr="000329FE" w14:paraId="6B29C0A0" w14:textId="77777777" w:rsidTr="00B721EF">
        <w:trPr>
          <w:cantSplit/>
        </w:trPr>
        <w:tc>
          <w:tcPr>
            <w:tcW w:w="1418" w:type="dxa"/>
            <w:vMerge/>
            <w:shd w:val="clear" w:color="auto" w:fill="auto"/>
          </w:tcPr>
          <w:p w14:paraId="726CD55F" w14:textId="77777777" w:rsidR="009636B7" w:rsidRPr="000329FE" w:rsidRDefault="009636B7" w:rsidP="0087762A">
            <w:pPr>
              <w:pStyle w:val="TableText"/>
              <w:ind w:right="113"/>
            </w:pPr>
          </w:p>
        </w:tc>
        <w:tc>
          <w:tcPr>
            <w:tcW w:w="1701" w:type="dxa"/>
          </w:tcPr>
          <w:p w14:paraId="54429745" w14:textId="77777777" w:rsidR="009636B7" w:rsidRPr="000329FE" w:rsidRDefault="009636B7" w:rsidP="0087762A">
            <w:pPr>
              <w:pStyle w:val="TableText"/>
              <w:ind w:right="113"/>
            </w:pPr>
            <w:r w:rsidRPr="000329FE">
              <w:t>Safe and Effective Justice Advisory Group/Te Uepū Hāpai i te Ora</w:t>
            </w:r>
          </w:p>
        </w:tc>
        <w:tc>
          <w:tcPr>
            <w:tcW w:w="709" w:type="dxa"/>
          </w:tcPr>
          <w:p w14:paraId="19B2125A" w14:textId="77777777" w:rsidR="009636B7" w:rsidRPr="000329FE" w:rsidRDefault="009636B7" w:rsidP="0087762A">
            <w:pPr>
              <w:pStyle w:val="TableText"/>
              <w:jc w:val="center"/>
            </w:pPr>
            <w:r w:rsidRPr="000329FE">
              <w:t>2019</w:t>
            </w:r>
          </w:p>
        </w:tc>
        <w:tc>
          <w:tcPr>
            <w:tcW w:w="4252" w:type="dxa"/>
            <w:shd w:val="clear" w:color="auto" w:fill="auto"/>
          </w:tcPr>
          <w:p w14:paraId="5F76C9D4" w14:textId="77777777" w:rsidR="009636B7" w:rsidRPr="000329FE" w:rsidRDefault="009636B7" w:rsidP="0087762A">
            <w:pPr>
              <w:pStyle w:val="TableText"/>
              <w:ind w:left="113"/>
              <w:rPr>
                <w:i/>
                <w:iCs/>
              </w:rPr>
            </w:pPr>
            <w:r w:rsidRPr="000329FE">
              <w:rPr>
                <w:i/>
                <w:iCs/>
              </w:rPr>
              <w:t>He Waka Roimata: Transform</w:t>
            </w:r>
            <w:r w:rsidR="00B721EF">
              <w:rPr>
                <w:i/>
                <w:iCs/>
              </w:rPr>
              <w:t>ing Our Criminal Justice System</w:t>
            </w:r>
          </w:p>
        </w:tc>
      </w:tr>
      <w:tr w:rsidR="009636B7" w:rsidRPr="000329FE" w14:paraId="4114773B" w14:textId="77777777" w:rsidTr="00B721EF">
        <w:trPr>
          <w:cantSplit/>
        </w:trPr>
        <w:tc>
          <w:tcPr>
            <w:tcW w:w="1418" w:type="dxa"/>
            <w:vMerge/>
            <w:shd w:val="clear" w:color="auto" w:fill="auto"/>
          </w:tcPr>
          <w:p w14:paraId="3BCFA892" w14:textId="77777777" w:rsidR="009636B7" w:rsidRPr="000329FE" w:rsidRDefault="009636B7" w:rsidP="0087762A">
            <w:pPr>
              <w:pStyle w:val="TableText"/>
              <w:ind w:right="113"/>
            </w:pPr>
          </w:p>
        </w:tc>
        <w:tc>
          <w:tcPr>
            <w:tcW w:w="1701" w:type="dxa"/>
          </w:tcPr>
          <w:p w14:paraId="2882B8FD" w14:textId="77777777" w:rsidR="009636B7" w:rsidRPr="000329FE" w:rsidRDefault="009636B7" w:rsidP="0087762A">
            <w:pPr>
              <w:pStyle w:val="TableText"/>
              <w:ind w:right="113"/>
            </w:pPr>
            <w:r w:rsidRPr="000329FE">
              <w:t>Safe and Effective Justice Advisory Group/Te Uepū Hāpai i te Ora</w:t>
            </w:r>
          </w:p>
        </w:tc>
        <w:tc>
          <w:tcPr>
            <w:tcW w:w="709" w:type="dxa"/>
          </w:tcPr>
          <w:p w14:paraId="39FF947B" w14:textId="77777777" w:rsidR="009636B7" w:rsidRPr="000329FE" w:rsidRDefault="009636B7" w:rsidP="0087762A">
            <w:pPr>
              <w:pStyle w:val="TableText"/>
              <w:jc w:val="center"/>
            </w:pPr>
            <w:r w:rsidRPr="000329FE">
              <w:t>2019</w:t>
            </w:r>
          </w:p>
        </w:tc>
        <w:tc>
          <w:tcPr>
            <w:tcW w:w="4252" w:type="dxa"/>
            <w:shd w:val="clear" w:color="auto" w:fill="auto"/>
          </w:tcPr>
          <w:p w14:paraId="1CF012F8" w14:textId="77777777" w:rsidR="009636B7" w:rsidRPr="000329FE" w:rsidRDefault="009636B7" w:rsidP="0087762A">
            <w:pPr>
              <w:pStyle w:val="TableText"/>
              <w:ind w:left="113"/>
              <w:rPr>
                <w:i/>
                <w:iCs/>
              </w:rPr>
            </w:pPr>
            <w:r w:rsidRPr="000329FE">
              <w:rPr>
                <w:i/>
                <w:iCs/>
              </w:rPr>
              <w:t xml:space="preserve">Hui Māori: Ināia </w:t>
            </w:r>
            <w:r>
              <w:rPr>
                <w:i/>
                <w:iCs/>
              </w:rPr>
              <w:t>t</w:t>
            </w:r>
            <w:r w:rsidRPr="000329FE">
              <w:rPr>
                <w:i/>
                <w:iCs/>
              </w:rPr>
              <w:t xml:space="preserve">onu </w:t>
            </w:r>
            <w:r>
              <w:rPr>
                <w:i/>
                <w:iCs/>
              </w:rPr>
              <w:t>n</w:t>
            </w:r>
            <w:r w:rsidRPr="000329FE">
              <w:rPr>
                <w:i/>
                <w:iCs/>
              </w:rPr>
              <w:t>ei</w:t>
            </w:r>
          </w:p>
        </w:tc>
      </w:tr>
      <w:tr w:rsidR="009636B7" w:rsidRPr="000329FE" w14:paraId="2C07AE9E" w14:textId="77777777" w:rsidTr="00B721EF">
        <w:trPr>
          <w:cantSplit/>
        </w:trPr>
        <w:tc>
          <w:tcPr>
            <w:tcW w:w="1418" w:type="dxa"/>
            <w:shd w:val="clear" w:color="auto" w:fill="auto"/>
          </w:tcPr>
          <w:p w14:paraId="492EE2AE" w14:textId="77777777" w:rsidR="009636B7" w:rsidRPr="000329FE" w:rsidRDefault="009636B7" w:rsidP="0087762A">
            <w:pPr>
              <w:pStyle w:val="TableText"/>
              <w:ind w:right="113"/>
            </w:pPr>
            <w:r w:rsidRPr="000329FE">
              <w:t>Office of the Auditor-General</w:t>
            </w:r>
          </w:p>
        </w:tc>
        <w:tc>
          <w:tcPr>
            <w:tcW w:w="1701" w:type="dxa"/>
          </w:tcPr>
          <w:p w14:paraId="26BB1BA8" w14:textId="77777777" w:rsidR="009636B7" w:rsidRPr="000329FE" w:rsidRDefault="009636B7" w:rsidP="0087762A">
            <w:pPr>
              <w:pStyle w:val="TableText"/>
              <w:ind w:right="113"/>
            </w:pPr>
            <w:r w:rsidRPr="000329FE">
              <w:t>Office of the Auditor-General</w:t>
            </w:r>
          </w:p>
        </w:tc>
        <w:tc>
          <w:tcPr>
            <w:tcW w:w="709" w:type="dxa"/>
          </w:tcPr>
          <w:p w14:paraId="7320CBD4" w14:textId="77777777" w:rsidR="009636B7" w:rsidRPr="000329FE" w:rsidRDefault="009636B7" w:rsidP="0087762A">
            <w:pPr>
              <w:pStyle w:val="TableText"/>
              <w:jc w:val="center"/>
            </w:pPr>
            <w:r w:rsidRPr="000329FE">
              <w:t>2008</w:t>
            </w:r>
          </w:p>
        </w:tc>
        <w:tc>
          <w:tcPr>
            <w:tcW w:w="4252" w:type="dxa"/>
            <w:shd w:val="clear" w:color="auto" w:fill="auto"/>
          </w:tcPr>
          <w:p w14:paraId="4C386F03" w14:textId="77777777" w:rsidR="009636B7" w:rsidRPr="000329FE" w:rsidRDefault="009636B7" w:rsidP="0087762A">
            <w:pPr>
              <w:pStyle w:val="TableText"/>
              <w:ind w:left="113"/>
              <w:rPr>
                <w:i/>
                <w:iCs/>
              </w:rPr>
            </w:pPr>
            <w:r w:rsidRPr="000329FE">
              <w:rPr>
                <w:i/>
                <w:iCs/>
              </w:rPr>
              <w:t>Mental Health Services for Prisoners</w:t>
            </w:r>
          </w:p>
        </w:tc>
      </w:tr>
      <w:tr w:rsidR="009636B7" w:rsidRPr="000329FE" w14:paraId="49ED0601" w14:textId="77777777" w:rsidTr="00B721EF">
        <w:trPr>
          <w:cantSplit/>
        </w:trPr>
        <w:tc>
          <w:tcPr>
            <w:tcW w:w="1418" w:type="dxa"/>
            <w:vMerge w:val="restart"/>
            <w:shd w:val="clear" w:color="auto" w:fill="auto"/>
          </w:tcPr>
          <w:p w14:paraId="3DC2A5C9" w14:textId="77777777" w:rsidR="009636B7" w:rsidRPr="000329FE" w:rsidRDefault="009636B7" w:rsidP="0087762A">
            <w:pPr>
              <w:pStyle w:val="TableText"/>
              <w:ind w:right="113"/>
            </w:pPr>
            <w:r w:rsidRPr="000329FE">
              <w:t>Te Pou o te Whakaaro Nui</w:t>
            </w:r>
          </w:p>
        </w:tc>
        <w:tc>
          <w:tcPr>
            <w:tcW w:w="1701" w:type="dxa"/>
          </w:tcPr>
          <w:p w14:paraId="6F5EE74F" w14:textId="77777777" w:rsidR="009636B7" w:rsidRPr="000329FE" w:rsidRDefault="009636B7" w:rsidP="0087762A">
            <w:pPr>
              <w:pStyle w:val="TableText"/>
              <w:ind w:right="113"/>
            </w:pPr>
            <w:r w:rsidRPr="000329FE">
              <w:t>Te Pou o te Whakaaro Nui</w:t>
            </w:r>
          </w:p>
        </w:tc>
        <w:tc>
          <w:tcPr>
            <w:tcW w:w="709" w:type="dxa"/>
          </w:tcPr>
          <w:p w14:paraId="26DCB2FE" w14:textId="77777777" w:rsidR="009636B7" w:rsidRPr="000329FE" w:rsidRDefault="009636B7" w:rsidP="0087762A">
            <w:pPr>
              <w:pStyle w:val="TableText"/>
              <w:jc w:val="center"/>
            </w:pPr>
            <w:r w:rsidRPr="000329FE">
              <w:t>2014</w:t>
            </w:r>
          </w:p>
        </w:tc>
        <w:tc>
          <w:tcPr>
            <w:tcW w:w="4252" w:type="dxa"/>
            <w:shd w:val="clear" w:color="auto" w:fill="auto"/>
          </w:tcPr>
          <w:p w14:paraId="7BCB8653" w14:textId="77777777" w:rsidR="009636B7" w:rsidRPr="000329FE" w:rsidRDefault="009636B7" w:rsidP="0087762A">
            <w:pPr>
              <w:pStyle w:val="TableText"/>
              <w:ind w:left="113"/>
              <w:rPr>
                <w:i/>
                <w:iCs/>
              </w:rPr>
            </w:pPr>
            <w:r w:rsidRPr="000329FE">
              <w:rPr>
                <w:i/>
                <w:iCs/>
              </w:rPr>
              <w:t>Adult Mental Health Forensic Workforce: 2014 Survey of Vote Health Funded Services</w:t>
            </w:r>
          </w:p>
        </w:tc>
      </w:tr>
      <w:tr w:rsidR="009636B7" w:rsidRPr="000329FE" w14:paraId="5074A165" w14:textId="77777777" w:rsidTr="00B721EF">
        <w:trPr>
          <w:cantSplit/>
        </w:trPr>
        <w:tc>
          <w:tcPr>
            <w:tcW w:w="1418" w:type="dxa"/>
            <w:vMerge/>
            <w:shd w:val="clear" w:color="auto" w:fill="auto"/>
          </w:tcPr>
          <w:p w14:paraId="250C24EA" w14:textId="77777777" w:rsidR="009636B7" w:rsidRPr="000329FE" w:rsidRDefault="009636B7" w:rsidP="0087762A">
            <w:pPr>
              <w:pStyle w:val="TableText"/>
              <w:ind w:right="113"/>
            </w:pPr>
          </w:p>
        </w:tc>
        <w:tc>
          <w:tcPr>
            <w:tcW w:w="1701" w:type="dxa"/>
          </w:tcPr>
          <w:p w14:paraId="5DF0E299" w14:textId="77777777" w:rsidR="009636B7" w:rsidRPr="000329FE" w:rsidRDefault="009636B7" w:rsidP="0087762A">
            <w:pPr>
              <w:pStyle w:val="TableText"/>
              <w:ind w:right="113"/>
            </w:pPr>
            <w:r w:rsidRPr="000329FE">
              <w:t>Te Pou o te Whakaaro Nui</w:t>
            </w:r>
          </w:p>
        </w:tc>
        <w:tc>
          <w:tcPr>
            <w:tcW w:w="709" w:type="dxa"/>
          </w:tcPr>
          <w:p w14:paraId="7D31ED42" w14:textId="77777777" w:rsidR="009636B7" w:rsidRPr="000329FE" w:rsidRDefault="009636B7" w:rsidP="0087762A">
            <w:pPr>
              <w:pStyle w:val="TableText"/>
              <w:jc w:val="center"/>
            </w:pPr>
            <w:r w:rsidRPr="000329FE">
              <w:t>2019</w:t>
            </w:r>
          </w:p>
        </w:tc>
        <w:tc>
          <w:tcPr>
            <w:tcW w:w="4252" w:type="dxa"/>
            <w:shd w:val="clear" w:color="auto" w:fill="auto"/>
          </w:tcPr>
          <w:p w14:paraId="7F67E978" w14:textId="77777777" w:rsidR="009636B7" w:rsidRPr="000329FE" w:rsidRDefault="009636B7" w:rsidP="0087762A">
            <w:pPr>
              <w:pStyle w:val="TableText"/>
              <w:ind w:left="113"/>
              <w:rPr>
                <w:i/>
                <w:iCs/>
              </w:rPr>
            </w:pPr>
            <w:r>
              <w:rPr>
                <w:i/>
                <w:iCs/>
              </w:rPr>
              <w:t xml:space="preserve">NGO </w:t>
            </w:r>
            <w:r w:rsidRPr="000329FE">
              <w:rPr>
                <w:i/>
                <w:iCs/>
              </w:rPr>
              <w:t xml:space="preserve">Adult Mental Health and Addiction Workforce: 2018 </w:t>
            </w:r>
            <w:r>
              <w:rPr>
                <w:i/>
                <w:iCs/>
              </w:rPr>
              <w:t>survey of s</w:t>
            </w:r>
            <w:r w:rsidRPr="000329FE">
              <w:rPr>
                <w:i/>
                <w:iCs/>
              </w:rPr>
              <w:t xml:space="preserve">econdary </w:t>
            </w:r>
            <w:r>
              <w:rPr>
                <w:i/>
                <w:iCs/>
              </w:rPr>
              <w:t>c</w:t>
            </w:r>
            <w:r w:rsidRPr="000329FE">
              <w:rPr>
                <w:i/>
                <w:iCs/>
              </w:rPr>
              <w:t xml:space="preserve">are </w:t>
            </w:r>
            <w:r>
              <w:rPr>
                <w:i/>
                <w:iCs/>
              </w:rPr>
              <w:t>h</w:t>
            </w:r>
            <w:r w:rsidRPr="000329FE">
              <w:rPr>
                <w:i/>
                <w:iCs/>
              </w:rPr>
              <w:t xml:space="preserve">ealth </w:t>
            </w:r>
            <w:r>
              <w:rPr>
                <w:i/>
                <w:iCs/>
              </w:rPr>
              <w:t>s</w:t>
            </w:r>
            <w:r w:rsidRPr="000329FE">
              <w:rPr>
                <w:i/>
                <w:iCs/>
              </w:rPr>
              <w:t>ervices</w:t>
            </w:r>
          </w:p>
        </w:tc>
      </w:tr>
      <w:tr w:rsidR="009636B7" w:rsidRPr="000329FE" w14:paraId="5FE5A77C" w14:textId="77777777" w:rsidTr="00B721EF">
        <w:trPr>
          <w:cantSplit/>
        </w:trPr>
        <w:tc>
          <w:tcPr>
            <w:tcW w:w="1418" w:type="dxa"/>
            <w:vMerge/>
            <w:shd w:val="clear" w:color="auto" w:fill="auto"/>
          </w:tcPr>
          <w:p w14:paraId="256082D3" w14:textId="77777777" w:rsidR="009636B7" w:rsidRPr="000329FE" w:rsidRDefault="009636B7" w:rsidP="0087762A">
            <w:pPr>
              <w:pStyle w:val="TableText"/>
              <w:ind w:right="113"/>
            </w:pPr>
          </w:p>
        </w:tc>
        <w:tc>
          <w:tcPr>
            <w:tcW w:w="1701" w:type="dxa"/>
          </w:tcPr>
          <w:p w14:paraId="0287980C" w14:textId="77777777" w:rsidR="009636B7" w:rsidRPr="000329FE" w:rsidRDefault="009636B7" w:rsidP="0087762A">
            <w:pPr>
              <w:pStyle w:val="TableText"/>
              <w:ind w:right="113"/>
            </w:pPr>
            <w:r w:rsidRPr="000329FE">
              <w:t>Te Pou o te Whakaaro Nui</w:t>
            </w:r>
          </w:p>
        </w:tc>
        <w:tc>
          <w:tcPr>
            <w:tcW w:w="709" w:type="dxa"/>
          </w:tcPr>
          <w:p w14:paraId="26E0AB19" w14:textId="77777777" w:rsidR="009636B7" w:rsidRPr="000329FE" w:rsidRDefault="009636B7" w:rsidP="0087762A">
            <w:pPr>
              <w:pStyle w:val="TableText"/>
              <w:jc w:val="center"/>
            </w:pPr>
            <w:r w:rsidRPr="000329FE">
              <w:t>2019</w:t>
            </w:r>
          </w:p>
        </w:tc>
        <w:tc>
          <w:tcPr>
            <w:tcW w:w="4252" w:type="dxa"/>
            <w:shd w:val="clear" w:color="auto" w:fill="auto"/>
          </w:tcPr>
          <w:p w14:paraId="1410B468" w14:textId="77777777" w:rsidR="009636B7" w:rsidRPr="000329FE" w:rsidRDefault="009636B7" w:rsidP="0087762A">
            <w:pPr>
              <w:pStyle w:val="TableText"/>
              <w:ind w:left="113"/>
              <w:rPr>
                <w:i/>
                <w:iCs/>
              </w:rPr>
            </w:pPr>
            <w:r w:rsidRPr="000329FE">
              <w:rPr>
                <w:i/>
                <w:iCs/>
              </w:rPr>
              <w:t xml:space="preserve">DHB Adult Mental Health and Addiction Workforce: 2018 </w:t>
            </w:r>
            <w:r>
              <w:rPr>
                <w:i/>
                <w:iCs/>
              </w:rPr>
              <w:t>p</w:t>
            </w:r>
            <w:r w:rsidRPr="000329FE">
              <w:rPr>
                <w:i/>
                <w:iCs/>
              </w:rPr>
              <w:t xml:space="preserve">rovider </w:t>
            </w:r>
            <w:r>
              <w:rPr>
                <w:i/>
                <w:iCs/>
              </w:rPr>
              <w:t>a</w:t>
            </w:r>
            <w:r w:rsidRPr="000329FE">
              <w:rPr>
                <w:i/>
                <w:iCs/>
              </w:rPr>
              <w:t xml:space="preserve">rm </w:t>
            </w:r>
            <w:r>
              <w:rPr>
                <w:i/>
                <w:iCs/>
              </w:rPr>
              <w:t>s</w:t>
            </w:r>
            <w:r w:rsidRPr="000329FE">
              <w:rPr>
                <w:i/>
                <w:iCs/>
              </w:rPr>
              <w:t>ervices</w:t>
            </w:r>
          </w:p>
        </w:tc>
      </w:tr>
    </w:tbl>
    <w:p w14:paraId="0857389C" w14:textId="77777777" w:rsidR="009636B7" w:rsidRPr="000329FE" w:rsidRDefault="009636B7" w:rsidP="00B721EF"/>
    <w:p w14:paraId="1523761E" w14:textId="77777777" w:rsidR="009636B7" w:rsidRPr="000329FE" w:rsidRDefault="009636B7" w:rsidP="00B721EF">
      <w:pPr>
        <w:pStyle w:val="Heading4"/>
      </w:pPr>
      <w:r w:rsidRPr="000329FE">
        <w:t>Ministry of Health</w:t>
      </w:r>
    </w:p>
    <w:p w14:paraId="0C770E48" w14:textId="77777777" w:rsidR="00EE0ADB" w:rsidRDefault="009636B7" w:rsidP="00B721EF">
      <w:r w:rsidRPr="000329FE">
        <w:t>Since the foundational Mason Report (1988), the Ministry of Health has published several planning and implementation documents pertaining to FMHS delivery. These fall into three broad yet overlapping categories: (a) Māori mental health (</w:t>
      </w:r>
      <w:r>
        <w:t>Ministry of Health</w:t>
      </w:r>
      <w:r w:rsidRPr="000329FE">
        <w:t xml:space="preserve"> 2002, 2008), (b) AOD/co-existing mental health and substance use problems (</w:t>
      </w:r>
      <w:r>
        <w:t>Ministry of Health</w:t>
      </w:r>
      <w:r w:rsidRPr="000329FE">
        <w:t xml:space="preserve"> 2001a, 2010b, 2016; Todd 2010) and (c) FMHS</w:t>
      </w:r>
      <w:r>
        <w:t>s</w:t>
      </w:r>
      <w:r w:rsidRPr="000329FE">
        <w:t xml:space="preserve"> (</w:t>
      </w:r>
      <w:r>
        <w:t>Ministry of Health</w:t>
      </w:r>
      <w:r w:rsidRPr="000329FE">
        <w:t xml:space="preserve"> 2001b, 2007, 2010a, 2012a, 2012b, 2017, 2018, 2019).</w:t>
      </w:r>
    </w:p>
    <w:p w14:paraId="4E6B882B" w14:textId="77777777" w:rsidR="009636B7" w:rsidRPr="000329FE" w:rsidRDefault="009636B7" w:rsidP="00B721EF"/>
    <w:p w14:paraId="0E53B350" w14:textId="77777777" w:rsidR="00EE0ADB" w:rsidRDefault="009636B7" w:rsidP="00B721EF">
      <w:r>
        <w:t>Documents in t</w:t>
      </w:r>
      <w:r w:rsidRPr="000329FE">
        <w:t xml:space="preserve">he first </w:t>
      </w:r>
      <w:r>
        <w:t xml:space="preserve">category </w:t>
      </w:r>
      <w:r w:rsidRPr="000329FE">
        <w:t>provide a national strategic framework for Māori mental health. While not specific to FMHS</w:t>
      </w:r>
      <w:r>
        <w:t>s</w:t>
      </w:r>
      <w:r w:rsidRPr="000329FE">
        <w:t xml:space="preserve">, they highlight Māori-specific needs, which extend to </w:t>
      </w:r>
      <w:r>
        <w:t>FMHSs</w:t>
      </w:r>
      <w:r w:rsidRPr="000329FE">
        <w:t>. Of particular importance are the three key principles identified in the second of the frameworks (</w:t>
      </w:r>
      <w:r>
        <w:t>Ministry of Health</w:t>
      </w:r>
      <w:r w:rsidRPr="000329FE">
        <w:t xml:space="preserve"> 2008), which </w:t>
      </w:r>
      <w:r w:rsidR="00EE0ADB">
        <w:t>‘</w:t>
      </w:r>
      <w:r w:rsidRPr="000329FE">
        <w:t>apply across the entire framework and are firmly based on current knowledge, including the link between culture and wellbeing, the growing evidence of Māori mental health need and disparities, and learning from and building on the gains of the past</w:t>
      </w:r>
      <w:r w:rsidR="00EE0ADB">
        <w:t>’</w:t>
      </w:r>
      <w:r>
        <w:t>, as follows.</w:t>
      </w:r>
    </w:p>
    <w:p w14:paraId="3C12C7CC" w14:textId="77777777" w:rsidR="009636B7" w:rsidRPr="000329FE" w:rsidRDefault="009636B7" w:rsidP="00B721EF">
      <w:pPr>
        <w:pStyle w:val="Bullet"/>
      </w:pPr>
      <w:r w:rsidRPr="000329FE">
        <w:t>Prioritise Māori</w:t>
      </w:r>
      <w:r>
        <w:t xml:space="preserve"> </w:t>
      </w:r>
      <w:r w:rsidRPr="000329FE">
        <w:t xml:space="preserve">– </w:t>
      </w:r>
      <w:r w:rsidR="00EE0ADB">
        <w:t>‘</w:t>
      </w:r>
      <w:r w:rsidRPr="000329FE">
        <w:t>Act on evidence of health inequality in Māori mental health and addiction need to ensure that new and existing initiatives are responsive and effective for Māori.</w:t>
      </w:r>
      <w:r w:rsidR="00EE0ADB">
        <w:t>’</w:t>
      </w:r>
    </w:p>
    <w:p w14:paraId="3787BEBE" w14:textId="77777777" w:rsidR="009636B7" w:rsidRPr="000329FE" w:rsidRDefault="009636B7" w:rsidP="00B721EF">
      <w:pPr>
        <w:pStyle w:val="Bullet"/>
      </w:pPr>
      <w:r w:rsidRPr="000329FE">
        <w:t>Build on the gains</w:t>
      </w:r>
      <w:r>
        <w:t xml:space="preserve"> </w:t>
      </w:r>
      <w:r w:rsidRPr="000329FE">
        <w:t xml:space="preserve">– </w:t>
      </w:r>
      <w:r w:rsidR="00EE0ADB">
        <w:t>‘</w:t>
      </w:r>
      <w:r w:rsidRPr="000329FE">
        <w:t>Current initiatives to improve Māori mental health and addiction are sustainable and have a development path for the future.</w:t>
      </w:r>
      <w:r w:rsidR="00EE0ADB">
        <w:t>’</w:t>
      </w:r>
    </w:p>
    <w:p w14:paraId="6DAD4C7F" w14:textId="77777777" w:rsidR="009636B7" w:rsidRPr="000329FE" w:rsidRDefault="009636B7" w:rsidP="00B721EF">
      <w:pPr>
        <w:pStyle w:val="Bullet"/>
      </w:pPr>
      <w:r>
        <w:t>Be r</w:t>
      </w:r>
      <w:r w:rsidRPr="000329FE">
        <w:t>esponsive to Māori</w:t>
      </w:r>
      <w:r>
        <w:t xml:space="preserve"> </w:t>
      </w:r>
      <w:r w:rsidRPr="000329FE">
        <w:t xml:space="preserve">– </w:t>
      </w:r>
      <w:r w:rsidR="00EE0ADB">
        <w:t>‘</w:t>
      </w:r>
      <w:r w:rsidRPr="000329FE">
        <w:t>Build on the link between health and culture to ensure initiatives are responsive to the unique needs of Māori</w:t>
      </w:r>
      <w:r w:rsidR="00EE0ADB">
        <w:t>’</w:t>
      </w:r>
      <w:r w:rsidRPr="000329FE">
        <w:t xml:space="preserve"> (pp. 16–17)</w:t>
      </w:r>
      <w:r>
        <w:t>.</w:t>
      </w:r>
    </w:p>
    <w:p w14:paraId="2C5C9D4C" w14:textId="77777777" w:rsidR="00B721EF" w:rsidRPr="000329FE" w:rsidRDefault="00B721EF" w:rsidP="00B721EF"/>
    <w:p w14:paraId="780B3B81" w14:textId="77777777" w:rsidR="009636B7" w:rsidRPr="000329FE" w:rsidRDefault="009636B7" w:rsidP="00B721EF">
      <w:r w:rsidRPr="000329FE">
        <w:lastRenderedPageBreak/>
        <w:t>These principles align with the more recent strategic planning documents emerging from other national organisations, as discussed below.</w:t>
      </w:r>
    </w:p>
    <w:p w14:paraId="61F6CE54" w14:textId="77777777" w:rsidR="009636B7" w:rsidRPr="000329FE" w:rsidRDefault="009636B7" w:rsidP="00B721EF"/>
    <w:p w14:paraId="54566021" w14:textId="77777777" w:rsidR="00EE0ADB" w:rsidRDefault="009636B7" w:rsidP="00B721EF">
      <w:r w:rsidRPr="000329FE">
        <w:t xml:space="preserve">The second </w:t>
      </w:r>
      <w:r>
        <w:t xml:space="preserve">category, </w:t>
      </w:r>
      <w:r w:rsidRPr="000329FE">
        <w:t>pertaining to AOD/co-existing mental health and substance use problems</w:t>
      </w:r>
      <w:r>
        <w:t>,</w:t>
      </w:r>
      <w:r w:rsidRPr="000329FE">
        <w:t xml:space="preserve"> </w:t>
      </w:r>
      <w:r>
        <w:t xml:space="preserve">was </w:t>
      </w:r>
      <w:r w:rsidRPr="000329FE">
        <w:t xml:space="preserve">included in the review due to the relevance of such services </w:t>
      </w:r>
      <w:r>
        <w:t xml:space="preserve">to </w:t>
      </w:r>
      <w:r w:rsidRPr="000329FE">
        <w:t xml:space="preserve">the forensic mental health population. </w:t>
      </w:r>
      <w:r w:rsidRPr="003F77FA">
        <w:t>These documents</w:t>
      </w:r>
      <w:r w:rsidRPr="000329FE">
        <w:t xml:space="preserve"> may be used to help identify issues in service delivery for those with co-existing problems and to provide a conceptual framework to make services </w:t>
      </w:r>
      <w:r w:rsidR="00EE0ADB">
        <w:t>‘</w:t>
      </w:r>
      <w:r w:rsidRPr="000329FE">
        <w:t>co-existing problems capable</w:t>
      </w:r>
      <w:r w:rsidR="00EE0ADB">
        <w:t>’</w:t>
      </w:r>
      <w:r w:rsidRPr="000329FE">
        <w:t xml:space="preserve"> (</w:t>
      </w:r>
      <w:r>
        <w:t>Ministry of Health</w:t>
      </w:r>
      <w:r w:rsidRPr="000329FE">
        <w:t xml:space="preserve"> 2010a, 2010b). Most useful within this subset is the commissioning framework (</w:t>
      </w:r>
      <w:r>
        <w:t>Ministry of Health</w:t>
      </w:r>
      <w:r w:rsidRPr="000329FE">
        <w:t xml:space="preserve"> 2016), which provides a national four-component framework identifying what is required broadly in a model of care for mental health and addiction services (p</w:t>
      </w:r>
      <w:r>
        <w:t>p</w:t>
      </w:r>
      <w:r w:rsidRPr="000329FE">
        <w:t>. 9, 33–34), which may be applicable to FMHS</w:t>
      </w:r>
      <w:r>
        <w:t>s</w:t>
      </w:r>
      <w:r w:rsidRPr="000329FE">
        <w:t>.</w:t>
      </w:r>
    </w:p>
    <w:p w14:paraId="10B2B63F" w14:textId="77777777" w:rsidR="009636B7" w:rsidRPr="000329FE" w:rsidRDefault="009636B7" w:rsidP="00B721EF"/>
    <w:p w14:paraId="330643B6" w14:textId="77777777" w:rsidR="00EE0ADB" w:rsidRDefault="009636B7" w:rsidP="00B721EF">
      <w:r w:rsidRPr="000329FE">
        <w:t>Of the documents specifically focused on FMHS, five documents outline guidelines for elements of FMHS delivery, including: (a) safe transport of special patients and special care recipients in the care of regional FMHS</w:t>
      </w:r>
      <w:r>
        <w:t>s</w:t>
      </w:r>
      <w:r w:rsidRPr="000329FE">
        <w:t xml:space="preserve"> (</w:t>
      </w:r>
      <w:r>
        <w:t>Ministry of Health</w:t>
      </w:r>
      <w:r w:rsidRPr="000329FE">
        <w:t xml:space="preserve"> 2012a), (b) the Mental Health (Compulsory Assessment and Treatment) Act 1992 (</w:t>
      </w:r>
      <w:r>
        <w:t>Ministry of Health</w:t>
      </w:r>
      <w:r w:rsidRPr="000329FE">
        <w:t xml:space="preserve"> 2012b), (c)</w:t>
      </w:r>
      <w:r w:rsidR="00B721EF">
        <w:t> </w:t>
      </w:r>
      <w:r w:rsidRPr="000329FE">
        <w:t>special patients and restricted patients within regional FMHS</w:t>
      </w:r>
      <w:r>
        <w:t>s</w:t>
      </w:r>
      <w:r w:rsidRPr="000329FE">
        <w:t xml:space="preserve"> (</w:t>
      </w:r>
      <w:r>
        <w:t>Ministry of Health</w:t>
      </w:r>
      <w:r w:rsidRPr="000329FE">
        <w:t xml:space="preserve"> 201</w:t>
      </w:r>
      <w:r>
        <w:t>9</w:t>
      </w:r>
      <w:r w:rsidRPr="000329FE">
        <w:t>), (d) night safety procedures (</w:t>
      </w:r>
      <w:r>
        <w:t>Ministry of Health</w:t>
      </w:r>
      <w:r w:rsidRPr="000329FE">
        <w:t xml:space="preserve"> 2018b) and (e) forensic </w:t>
      </w:r>
      <w:r>
        <w:t>MHC</w:t>
      </w:r>
      <w:r w:rsidRPr="000329FE">
        <w:t xml:space="preserve"> liaison nurses (</w:t>
      </w:r>
      <w:r>
        <w:t>Ministry of Health</w:t>
      </w:r>
      <w:r w:rsidRPr="000329FE">
        <w:t xml:space="preserve"> 2019b).</w:t>
      </w:r>
    </w:p>
    <w:p w14:paraId="12607922" w14:textId="77777777" w:rsidR="009636B7" w:rsidRPr="000329FE" w:rsidRDefault="009636B7" w:rsidP="00B721EF"/>
    <w:p w14:paraId="1A13C2EE" w14:textId="77777777" w:rsidR="00EE0ADB" w:rsidRDefault="009636B7" w:rsidP="00B721EF">
      <w:r w:rsidRPr="000329FE">
        <w:t>The remaining three documents are the only documents focused on FMHS</w:t>
      </w:r>
      <w:r>
        <w:t>s</w:t>
      </w:r>
      <w:r w:rsidRPr="000329FE">
        <w:t xml:space="preserve"> in depth. </w:t>
      </w:r>
      <w:r w:rsidRPr="000329FE">
        <w:rPr>
          <w:i/>
          <w:iCs/>
        </w:rPr>
        <w:t xml:space="preserve">Services for People </w:t>
      </w:r>
      <w:r>
        <w:rPr>
          <w:i/>
          <w:iCs/>
        </w:rPr>
        <w:t>w</w:t>
      </w:r>
      <w:r w:rsidRPr="000329FE">
        <w:rPr>
          <w:i/>
          <w:iCs/>
        </w:rPr>
        <w:t xml:space="preserve">ith Mental Illness in the Justice System: Framework for </w:t>
      </w:r>
      <w:r>
        <w:rPr>
          <w:i/>
          <w:iCs/>
        </w:rPr>
        <w:t>f</w:t>
      </w:r>
      <w:r w:rsidRPr="000329FE">
        <w:rPr>
          <w:i/>
          <w:iCs/>
        </w:rPr>
        <w:t xml:space="preserve">orensic </w:t>
      </w:r>
      <w:r>
        <w:rPr>
          <w:i/>
          <w:iCs/>
        </w:rPr>
        <w:t>m</w:t>
      </w:r>
      <w:r w:rsidRPr="000329FE">
        <w:rPr>
          <w:i/>
          <w:iCs/>
        </w:rPr>
        <w:t xml:space="preserve">ental </w:t>
      </w:r>
      <w:r>
        <w:rPr>
          <w:i/>
          <w:iCs/>
        </w:rPr>
        <w:t>h</w:t>
      </w:r>
      <w:r w:rsidRPr="000329FE">
        <w:rPr>
          <w:i/>
          <w:iCs/>
        </w:rPr>
        <w:t xml:space="preserve">ealth </w:t>
      </w:r>
      <w:r>
        <w:rPr>
          <w:i/>
          <w:iCs/>
        </w:rPr>
        <w:t>s</w:t>
      </w:r>
      <w:r w:rsidRPr="000329FE">
        <w:rPr>
          <w:i/>
          <w:iCs/>
        </w:rPr>
        <w:t xml:space="preserve">ervices </w:t>
      </w:r>
      <w:r w:rsidRPr="000329FE">
        <w:t>(</w:t>
      </w:r>
      <w:r>
        <w:t>Ministry of Health</w:t>
      </w:r>
      <w:r w:rsidRPr="000329FE">
        <w:t xml:space="preserve"> 2001b) provides the first national framework articulated since the Mason Report (1988). The framework outlines </w:t>
      </w:r>
      <w:r w:rsidR="00EE0ADB">
        <w:t>‘</w:t>
      </w:r>
      <w:r w:rsidRPr="000329FE">
        <w:t>a comprehensive, integrated community approach building on enhancing the community care principle at the heart of modern mental health service delivery</w:t>
      </w:r>
      <w:r w:rsidR="00EE0ADB">
        <w:t>’</w:t>
      </w:r>
      <w:r w:rsidR="00AD0D58">
        <w:t xml:space="preserve"> (p. </w:t>
      </w:r>
      <w:r w:rsidRPr="000329FE">
        <w:t xml:space="preserve">iii). </w:t>
      </w:r>
      <w:r>
        <w:t xml:space="preserve">It </w:t>
      </w:r>
      <w:r w:rsidRPr="000329FE">
        <w:t xml:space="preserve">aimed to establish benchmarks for service provision, clarify the responsibilities of the forensic service, identify resource requirements and propose a </w:t>
      </w:r>
      <w:r w:rsidR="00EE0ADB">
        <w:t>‘</w:t>
      </w:r>
      <w:r w:rsidRPr="000329FE">
        <w:t>best possible</w:t>
      </w:r>
      <w:r w:rsidR="00EE0ADB">
        <w:t>’</w:t>
      </w:r>
      <w:r w:rsidRPr="000329FE">
        <w:t xml:space="preserve"> model for FMHS</w:t>
      </w:r>
      <w:r>
        <w:t>s</w:t>
      </w:r>
      <w:r w:rsidR="00AD0D58">
        <w:t xml:space="preserve"> (p. </w:t>
      </w:r>
      <w:r w:rsidRPr="000329FE">
        <w:t xml:space="preserve">xi). </w:t>
      </w:r>
      <w:r>
        <w:t xml:space="preserve">This document </w:t>
      </w:r>
      <w:r w:rsidRPr="000329FE">
        <w:t xml:space="preserve">most closely </w:t>
      </w:r>
      <w:r>
        <w:t xml:space="preserve">expresses </w:t>
      </w:r>
      <w:r w:rsidRPr="000329FE">
        <w:t>a model of care</w:t>
      </w:r>
      <w:r>
        <w:t>,</w:t>
      </w:r>
      <w:r w:rsidRPr="000329FE">
        <w:t xml:space="preserve"> and espouses a recovery-oriented approach based around self-determined, client-focused, respectful, holistic and culturally</w:t>
      </w:r>
      <w:r>
        <w:t xml:space="preserve"> </w:t>
      </w:r>
      <w:r w:rsidRPr="000329FE">
        <w:t>appropriate care (see pp. 31–32).</w:t>
      </w:r>
    </w:p>
    <w:p w14:paraId="0329D312" w14:textId="77777777" w:rsidR="009636B7" w:rsidRPr="000329FE" w:rsidRDefault="009636B7" w:rsidP="00B721EF"/>
    <w:p w14:paraId="76930C43" w14:textId="77777777" w:rsidR="00EE0ADB" w:rsidRDefault="009636B7" w:rsidP="00B721EF">
      <w:r w:rsidRPr="000329FE">
        <w:t xml:space="preserve">The </w:t>
      </w:r>
      <w:r w:rsidRPr="000329FE">
        <w:rPr>
          <w:i/>
          <w:iCs/>
        </w:rPr>
        <w:t xml:space="preserve">Census of Forensic Mental Health Services 2005 </w:t>
      </w:r>
      <w:r w:rsidRPr="000329FE">
        <w:t>(</w:t>
      </w:r>
      <w:r>
        <w:t>Ministry of Health</w:t>
      </w:r>
      <w:r w:rsidRPr="000329FE">
        <w:t xml:space="preserve"> 2007) details service usage in the four main areas of FMHS</w:t>
      </w:r>
      <w:r>
        <w:t>s</w:t>
      </w:r>
      <w:r w:rsidRPr="000329FE">
        <w:t xml:space="preserve"> (inpatient, community, prisons </w:t>
      </w:r>
      <w:r>
        <w:t xml:space="preserve">and </w:t>
      </w:r>
      <w:r w:rsidRPr="000329FE">
        <w:t>courts), and provides background context</w:t>
      </w:r>
      <w:r>
        <w:t>,</w:t>
      </w:r>
      <w:r w:rsidRPr="000329FE">
        <w:t xml:space="preserve"> which may inform service planning and delivery. Though it does not discuss models of care, it does provide a section on regional FMHS responses to a questionnaire that suggest approaches </w:t>
      </w:r>
      <w:r>
        <w:t>us</w:t>
      </w:r>
      <w:r w:rsidRPr="000329FE">
        <w:t xml:space="preserve">ed within the regions as well as points of emphasis. The need for improved services for Māori, </w:t>
      </w:r>
      <w:r>
        <w:t>Pacific peoples</w:t>
      </w:r>
      <w:r w:rsidRPr="000329FE">
        <w:t xml:space="preserve"> and women </w:t>
      </w:r>
      <w:r>
        <w:t xml:space="preserve">is </w:t>
      </w:r>
      <w:r w:rsidRPr="000329FE">
        <w:t>further underscored.</w:t>
      </w:r>
    </w:p>
    <w:p w14:paraId="024A656D" w14:textId="77777777" w:rsidR="009636B7" w:rsidRPr="000329FE" w:rsidRDefault="009636B7" w:rsidP="00B721EF"/>
    <w:p w14:paraId="7B21AD2F" w14:textId="77777777" w:rsidR="00EE0ADB" w:rsidRPr="00B721EF" w:rsidRDefault="009636B7" w:rsidP="00B721EF">
      <w:pPr>
        <w:keepNext/>
        <w:keepLines/>
        <w:rPr>
          <w:spacing w:val="-2"/>
        </w:rPr>
      </w:pPr>
      <w:r w:rsidRPr="00B721EF">
        <w:rPr>
          <w:spacing w:val="-2"/>
        </w:rPr>
        <w:lastRenderedPageBreak/>
        <w:t xml:space="preserve">The final document, </w:t>
      </w:r>
      <w:r w:rsidRPr="00B721EF">
        <w:rPr>
          <w:i/>
          <w:iCs/>
          <w:spacing w:val="-2"/>
        </w:rPr>
        <w:t xml:space="preserve">Review of Forensic Mental Health Services: Future directions </w:t>
      </w:r>
      <w:r w:rsidRPr="00B721EF">
        <w:rPr>
          <w:spacing w:val="-2"/>
        </w:rPr>
        <w:t>(Ministry of Health 2010a) is the most recent document directly examining FMHSs. The review details four strategic objectives to ensure participation and engagement in future FMHS delivery planning: (a) the development of national mechanisms to engage key stakeholders; (b) the improvement of intra-regional collaboration; (c) the delivery of comprehensive, multidisciplinary, responsive FMHSs; and (d) the development of recovery pathways</w:t>
      </w:r>
      <w:r w:rsidR="00AD0D58" w:rsidRPr="00B721EF">
        <w:rPr>
          <w:spacing w:val="-2"/>
        </w:rPr>
        <w:t xml:space="preserve"> (p. </w:t>
      </w:r>
      <w:r w:rsidRPr="00B721EF">
        <w:rPr>
          <w:spacing w:val="-2"/>
        </w:rPr>
        <w:t>7). The report outlines priorities for the five-year period following its publication, which mainly focus on improving service delivery to specific populations (ie, Māori, Pacific peoples, women) and improving services and relationships between FMHSs, GMHSs, prisons and youth courts. The report describes in depth the services provided in the four main areas (inpatient, community, prisons and courts), but does not articulate models of care used within the service. In keeping with the priorities outlined, emphasis is placed on identifying service development issues pertaining to priority populations (ie, Māori, Pacific peoples, youth, women, people with AOD problems, people with personality disorders and people with an intellectual disability).</w:t>
      </w:r>
    </w:p>
    <w:p w14:paraId="55FDD2D2" w14:textId="77777777" w:rsidR="00B721EF" w:rsidRDefault="00B721EF" w:rsidP="00B721EF"/>
    <w:p w14:paraId="058D9EAE" w14:textId="77777777" w:rsidR="009636B7" w:rsidRPr="000329FE" w:rsidRDefault="009636B7" w:rsidP="00B721EF">
      <w:pPr>
        <w:pStyle w:val="Heading4"/>
      </w:pPr>
      <w:r w:rsidRPr="000329FE">
        <w:t>Ara Poutama</w:t>
      </w:r>
    </w:p>
    <w:p w14:paraId="250D2B44" w14:textId="77777777" w:rsidR="009636B7" w:rsidRPr="00075571" w:rsidRDefault="009636B7" w:rsidP="00B721EF">
      <w:r w:rsidRPr="00075571">
        <w:t xml:space="preserve">Two documents were obtained via Ara Poutama. </w:t>
      </w:r>
      <w:r w:rsidRPr="00075571">
        <w:rPr>
          <w:i/>
        </w:rPr>
        <w:t xml:space="preserve">Change Lives Shape Futures </w:t>
      </w:r>
      <w:r w:rsidRPr="00075571">
        <w:t>(</w:t>
      </w:r>
      <w:r>
        <w:t>Department of Corrections</w:t>
      </w:r>
      <w:r w:rsidRPr="00075571">
        <w:t xml:space="preserve"> </w:t>
      </w:r>
      <w:r>
        <w:t>2016</w:t>
      </w:r>
      <w:r w:rsidRPr="00075571">
        <w:t>) is a report on Ara Poutama</w:t>
      </w:r>
      <w:r w:rsidR="00EE0ADB">
        <w:t>’</w:t>
      </w:r>
      <w:r w:rsidRPr="00075571">
        <w:t>s focus on improving prisoners</w:t>
      </w:r>
      <w:r w:rsidR="00EE0ADB">
        <w:t>’</w:t>
      </w:r>
      <w:r w:rsidRPr="00075571">
        <w:t xml:space="preserve"> mental health. While </w:t>
      </w:r>
      <w:r>
        <w:t xml:space="preserve">it does </w:t>
      </w:r>
      <w:r w:rsidRPr="00075571">
        <w:t>not pertain to models of care, it suggests a shift toward a rehabilitative approach within Ara Poutama. For example, the report details development projects occurring at Auckland Prison, including the creation of a high</w:t>
      </w:r>
      <w:r w:rsidR="00B721EF">
        <w:noBreakHyphen/>
      </w:r>
      <w:r w:rsidRPr="00075571">
        <w:t xml:space="preserve">needs unit (Unit 11), which will provide mental health care in a </w:t>
      </w:r>
      <w:r w:rsidR="00EE0ADB">
        <w:t>‘</w:t>
      </w:r>
      <w:r w:rsidRPr="00075571">
        <w:t>therapeutic and humane environment</w:t>
      </w:r>
      <w:r w:rsidR="00EE0ADB">
        <w:t>’</w:t>
      </w:r>
      <w:r w:rsidRPr="00075571">
        <w:t xml:space="preserve"> equipped with a sensory room and other features aiming to promote positive mental health</w:t>
      </w:r>
      <w:r w:rsidR="00AD0D58">
        <w:t xml:space="preserve"> (p. </w:t>
      </w:r>
      <w:r w:rsidRPr="00075571">
        <w:t xml:space="preserve">8). The report highlights the </w:t>
      </w:r>
      <w:r>
        <w:t xml:space="preserve">use </w:t>
      </w:r>
      <w:r w:rsidRPr="00075571">
        <w:t>of professional teams of mental health clinicians and multidisciplinary teams</w:t>
      </w:r>
      <w:r>
        <w:t>,</w:t>
      </w:r>
      <w:r w:rsidRPr="00075571">
        <w:t xml:space="preserve"> as well as the need for improved care for women in prison. Additionally, </w:t>
      </w:r>
      <w:r>
        <w:t xml:space="preserve">it </w:t>
      </w:r>
      <w:r w:rsidRPr="00075571">
        <w:t xml:space="preserve">provides a summary of existing mental health, </w:t>
      </w:r>
      <w:r>
        <w:t xml:space="preserve">AOD </w:t>
      </w:r>
      <w:r w:rsidRPr="00075571">
        <w:t>support currently available to offenders with mental health disorders. A particular project of relevance is Ara Poutama</w:t>
      </w:r>
      <w:r w:rsidR="00EE0ADB">
        <w:t>’</w:t>
      </w:r>
      <w:r w:rsidRPr="00075571">
        <w:t>s Intervention and Support project, which offers a model of care to reduce self-harm and suicide and is being piloted in three prison sites.</w:t>
      </w:r>
    </w:p>
    <w:p w14:paraId="05419012" w14:textId="77777777" w:rsidR="009636B7" w:rsidRPr="00075571" w:rsidRDefault="009636B7" w:rsidP="00B721EF"/>
    <w:p w14:paraId="3F40B724" w14:textId="77777777" w:rsidR="00EE0ADB" w:rsidRDefault="009636B7" w:rsidP="00B721EF">
      <w:r w:rsidRPr="00075571">
        <w:t xml:space="preserve">The other document, </w:t>
      </w:r>
      <w:r w:rsidRPr="00075571">
        <w:rPr>
          <w:i/>
        </w:rPr>
        <w:t>Hōkai Rangi</w:t>
      </w:r>
      <w:r w:rsidRPr="00075571">
        <w:t xml:space="preserve"> (</w:t>
      </w:r>
      <w:r>
        <w:t>Department of Corrections</w:t>
      </w:r>
      <w:r w:rsidRPr="00075571">
        <w:t xml:space="preserve"> 2019a), details Ara Poutama</w:t>
      </w:r>
      <w:r w:rsidR="00EE0ADB">
        <w:t>’</w:t>
      </w:r>
      <w:r w:rsidRPr="00075571">
        <w:t>s future strategic direction for 2019–2024</w:t>
      </w:r>
      <w:r>
        <w:t>; it is</w:t>
      </w:r>
      <w:r w:rsidRPr="00075571">
        <w:t xml:space="preserve"> particularly focused on improving outcomes for Māori. From the outset, the plan emphasises the need for partnership, action planning and measurement, and accountability. </w:t>
      </w:r>
      <w:r>
        <w:t xml:space="preserve">It </w:t>
      </w:r>
      <w:r w:rsidRPr="00075571">
        <w:t>identifies and discusses six key strategic areas for change (</w:t>
      </w:r>
      <w:r>
        <w:t>ie</w:t>
      </w:r>
      <w:r w:rsidRPr="00075571">
        <w:t>, outcomes):</w:t>
      </w:r>
    </w:p>
    <w:p w14:paraId="30BEA730" w14:textId="77777777" w:rsidR="009636B7" w:rsidRPr="009E213B" w:rsidRDefault="009636B7" w:rsidP="00B721EF">
      <w:pPr>
        <w:pStyle w:val="Number"/>
        <w:spacing w:before="90"/>
      </w:pPr>
      <w:r>
        <w:t>p</w:t>
      </w:r>
      <w:r w:rsidRPr="001A28C6">
        <w:t>artnership and leadership</w:t>
      </w:r>
      <w:r>
        <w:t xml:space="preserve"> </w:t>
      </w:r>
      <w:r w:rsidRPr="001A28C6">
        <w:t>– shared decision-making at key levels with Māori</w:t>
      </w:r>
    </w:p>
    <w:p w14:paraId="1D209E60" w14:textId="77777777" w:rsidR="009636B7" w:rsidRPr="0043256B" w:rsidRDefault="009636B7" w:rsidP="00B721EF">
      <w:pPr>
        <w:pStyle w:val="Number"/>
        <w:spacing w:before="90"/>
      </w:pPr>
      <w:r>
        <w:t>h</w:t>
      </w:r>
      <w:r w:rsidRPr="00E42BE0">
        <w:t>umanising and healing</w:t>
      </w:r>
      <w:r>
        <w:t xml:space="preserve"> </w:t>
      </w:r>
      <w:r w:rsidRPr="00E42BE0">
        <w:t>– reduction of trauma and provision of support</w:t>
      </w:r>
    </w:p>
    <w:p w14:paraId="07689CB9" w14:textId="77777777" w:rsidR="00EE0ADB" w:rsidRDefault="009636B7" w:rsidP="00B721EF">
      <w:pPr>
        <w:pStyle w:val="Number"/>
        <w:spacing w:before="90"/>
      </w:pPr>
      <w:r>
        <w:t>w</w:t>
      </w:r>
      <w:r w:rsidRPr="00DD29A3">
        <w:t>hānau</w:t>
      </w:r>
      <w:r>
        <w:t xml:space="preserve"> </w:t>
      </w:r>
      <w:r w:rsidRPr="00DD29A3">
        <w:t>– involvement of and support for whānau</w:t>
      </w:r>
    </w:p>
    <w:p w14:paraId="5351227F" w14:textId="77777777" w:rsidR="009636B7" w:rsidRPr="00C07A1C" w:rsidRDefault="009636B7" w:rsidP="00B721EF">
      <w:pPr>
        <w:pStyle w:val="Number"/>
        <w:spacing w:before="90"/>
      </w:pPr>
      <w:r>
        <w:t>i</w:t>
      </w:r>
      <w:r w:rsidRPr="00482A5B">
        <w:t>ncorporating a Te Ao Māori worldview</w:t>
      </w:r>
      <w:r>
        <w:t xml:space="preserve"> </w:t>
      </w:r>
      <w:r w:rsidRPr="00482A5B">
        <w:t xml:space="preserve">– </w:t>
      </w:r>
      <w:r>
        <w:t>use</w:t>
      </w:r>
      <w:r w:rsidRPr="00482A5B">
        <w:t xml:space="preserve"> of kaupapa-Māori based approaches as </w:t>
      </w:r>
      <w:r w:rsidRPr="00FB779C">
        <w:t>th</w:t>
      </w:r>
      <w:r w:rsidRPr="009C46FB">
        <w:t xml:space="preserve">e </w:t>
      </w:r>
      <w:r w:rsidRPr="00A915C2">
        <w:t>foundation of practice, processes and pathways</w:t>
      </w:r>
    </w:p>
    <w:p w14:paraId="6AA5524D" w14:textId="77777777" w:rsidR="00EE0ADB" w:rsidRDefault="009636B7" w:rsidP="00B721EF">
      <w:pPr>
        <w:pStyle w:val="Number"/>
        <w:spacing w:before="90"/>
      </w:pPr>
      <w:r>
        <w:t>w</w:t>
      </w:r>
      <w:r w:rsidRPr="000329FE">
        <w:t>hakapapa</w:t>
      </w:r>
      <w:r>
        <w:t xml:space="preserve"> </w:t>
      </w:r>
      <w:r w:rsidRPr="000329FE">
        <w:t>– strengthening of cultural identity and connections</w:t>
      </w:r>
    </w:p>
    <w:p w14:paraId="635350F4" w14:textId="77777777" w:rsidR="009636B7" w:rsidRPr="000329FE" w:rsidRDefault="009636B7" w:rsidP="00B721EF">
      <w:pPr>
        <w:pStyle w:val="Number"/>
        <w:spacing w:before="90"/>
      </w:pPr>
      <w:r>
        <w:t>f</w:t>
      </w:r>
      <w:r w:rsidRPr="000329FE">
        <w:t>oundations for participation</w:t>
      </w:r>
      <w:r>
        <w:t xml:space="preserve"> </w:t>
      </w:r>
      <w:r w:rsidRPr="000329FE">
        <w:t>– provision of support to meet basic needs and interagency collaboration (pp. 16–17).</w:t>
      </w:r>
    </w:p>
    <w:p w14:paraId="0E557995" w14:textId="77777777" w:rsidR="00B721EF" w:rsidRPr="00075571" w:rsidRDefault="00B721EF" w:rsidP="00B721EF"/>
    <w:p w14:paraId="002613E9" w14:textId="77777777" w:rsidR="00EE0ADB" w:rsidRDefault="009636B7" w:rsidP="00B721EF">
      <w:r w:rsidRPr="00075571">
        <w:lastRenderedPageBreak/>
        <w:t>Again, while not articulating a model of care, the strategic plan thus signals the need for collaboration and engagement, as well as a shift toward a more rehabilitative, person-centred focus in keeping with best practices.</w:t>
      </w:r>
    </w:p>
    <w:p w14:paraId="4FD68FC2" w14:textId="77777777" w:rsidR="00B721EF" w:rsidRDefault="00B721EF" w:rsidP="00B721EF"/>
    <w:p w14:paraId="7555F591" w14:textId="77777777" w:rsidR="009636B7" w:rsidRPr="001A28C6" w:rsidRDefault="009636B7" w:rsidP="00B721EF">
      <w:pPr>
        <w:pStyle w:val="Heading4"/>
      </w:pPr>
      <w:r w:rsidRPr="001A28C6">
        <w:t>Office of the Auditor-General</w:t>
      </w:r>
    </w:p>
    <w:p w14:paraId="7DBAC012" w14:textId="77777777" w:rsidR="00EE0ADB" w:rsidRDefault="009636B7" w:rsidP="00B721EF">
      <w:r>
        <w:t>The researchers located o</w:t>
      </w:r>
      <w:r w:rsidRPr="0043256B">
        <w:t>ne document via the Office of the Auditor-General website pertaining to FMHS</w:t>
      </w:r>
      <w:r>
        <w:t>s</w:t>
      </w:r>
      <w:r w:rsidRPr="0043256B">
        <w:t xml:space="preserve">. </w:t>
      </w:r>
      <w:r w:rsidRPr="00DD29A3">
        <w:rPr>
          <w:i/>
          <w:iCs/>
        </w:rPr>
        <w:t>Mental Health Services for Prisoners</w:t>
      </w:r>
      <w:r w:rsidRPr="00DD29A3">
        <w:t xml:space="preserve"> (Office of the Auditor-General 2008) is a performance audit report examining </w:t>
      </w:r>
      <w:r w:rsidR="00EE0ADB">
        <w:t>‘</w:t>
      </w:r>
      <w:r w:rsidRPr="00DD29A3">
        <w:t>the effectiveness of the agencies</w:t>
      </w:r>
      <w:r w:rsidR="00EE0ADB">
        <w:t>’</w:t>
      </w:r>
      <w:r w:rsidRPr="00DD29A3">
        <w:t xml:space="preserve"> systems for del</w:t>
      </w:r>
      <w:r w:rsidRPr="00482A5B">
        <w:t>ivering mental health services to sentenced and remand prisoners</w:t>
      </w:r>
      <w:r w:rsidR="00EE0ADB">
        <w:t>’</w:t>
      </w:r>
      <w:r w:rsidRPr="00482A5B">
        <w:t xml:space="preserve"> in three areas: service planning, service delivery and service monitoring and evaluation</w:t>
      </w:r>
      <w:r w:rsidR="00AD0D58">
        <w:t xml:space="preserve"> (p. </w:t>
      </w:r>
      <w:r w:rsidRPr="00482A5B">
        <w:t xml:space="preserve">5). </w:t>
      </w:r>
      <w:r>
        <w:t>T</w:t>
      </w:r>
      <w:r w:rsidRPr="00482A5B">
        <w:t xml:space="preserve">he findings related to service delivery are </w:t>
      </w:r>
      <w:r>
        <w:t xml:space="preserve">the </w:t>
      </w:r>
      <w:r w:rsidRPr="00482A5B">
        <w:t>most relevant to discussion</w:t>
      </w:r>
      <w:r w:rsidRPr="00FB779C">
        <w:t xml:space="preserve"> on FMHS models of care: the report identifies limitations in several areas, specifically </w:t>
      </w:r>
      <w:r w:rsidR="00EE0ADB">
        <w:t>‘</w:t>
      </w:r>
      <w:r w:rsidRPr="00FB779C">
        <w:t>timely access to inpatient services, services for those with mild to moderate illness, forensic inpatient services for women, services for those with personality disorders, and services that were responsive to Māori needs</w:t>
      </w:r>
      <w:r w:rsidR="00EE0ADB">
        <w:t>’</w:t>
      </w:r>
      <w:r w:rsidR="00AD0D58">
        <w:t xml:space="preserve"> (p. </w:t>
      </w:r>
      <w:r w:rsidRPr="00FB779C">
        <w:t>6). Additionally, the report notes the development of a new mental health screening tool to improve identification of prisoners</w:t>
      </w:r>
      <w:r w:rsidR="00EE0ADB">
        <w:t>’</w:t>
      </w:r>
      <w:r w:rsidRPr="00FB779C">
        <w:t xml:space="preserve"> mental health needs as well as access to treatment. In keeping wi</w:t>
      </w:r>
      <w:r w:rsidRPr="000329FE">
        <w:t xml:space="preserve">th best practices, the report underscores the importance of interagency liaison and collaboration, particularly between Ara Poutama and the </w:t>
      </w:r>
      <w:r>
        <w:t>Ministry of Health</w:t>
      </w:r>
      <w:r w:rsidRPr="000329FE">
        <w:t>.</w:t>
      </w:r>
    </w:p>
    <w:p w14:paraId="0067713F" w14:textId="77777777" w:rsidR="00B721EF" w:rsidRDefault="00B721EF" w:rsidP="00B721EF"/>
    <w:p w14:paraId="1B70375C" w14:textId="77777777" w:rsidR="009636B7" w:rsidRPr="000329FE" w:rsidRDefault="009636B7" w:rsidP="00B721EF">
      <w:pPr>
        <w:pStyle w:val="Heading4"/>
      </w:pPr>
      <w:r w:rsidRPr="000329FE">
        <w:t>Department of Justice</w:t>
      </w:r>
    </w:p>
    <w:p w14:paraId="3B08841D" w14:textId="77777777" w:rsidR="00EE0ADB" w:rsidRDefault="009636B7" w:rsidP="00B721EF">
      <w:r>
        <w:t>The researchers located t</w:t>
      </w:r>
      <w:r w:rsidRPr="00075571">
        <w:t xml:space="preserve">hree </w:t>
      </w:r>
      <w:r>
        <w:t xml:space="preserve">relevant </w:t>
      </w:r>
      <w:r w:rsidRPr="00075571">
        <w:t>documents published by the Ministry of Justice.</w:t>
      </w:r>
    </w:p>
    <w:p w14:paraId="50C11D88" w14:textId="77777777" w:rsidR="009636B7" w:rsidRDefault="009636B7" w:rsidP="00B721EF"/>
    <w:p w14:paraId="1B96D1CF" w14:textId="77777777" w:rsidR="00EE0ADB" w:rsidRDefault="009636B7" w:rsidP="00B721EF">
      <w:r w:rsidRPr="00075571">
        <w:t xml:space="preserve">The first (Ministry of Justice 2017) is an evidence brief on culture-based correctional rehabilitative interventions for indigenous offenders, which highlights the need for services to be responsive to Māori, given that Māori comprise more than half of the </w:t>
      </w:r>
      <w:r>
        <w:t>Aotearoa New Zealand</w:t>
      </w:r>
      <w:r w:rsidRPr="00075571">
        <w:t xml:space="preserve"> prison population. The brief synthesises international research in this area, which is limited, noting recent programmes administered in Australia, Canada and </w:t>
      </w:r>
      <w:r>
        <w:t>Aotearoa New Zealand</w:t>
      </w:r>
      <w:r w:rsidRPr="00075571">
        <w:t xml:space="preserve">. Overall, the </w:t>
      </w:r>
      <w:r>
        <w:t xml:space="preserve">brief </w:t>
      </w:r>
      <w:r w:rsidRPr="00075571">
        <w:t>suggests that the majority of the culturally</w:t>
      </w:r>
      <w:r>
        <w:t xml:space="preserve"> </w:t>
      </w:r>
      <w:r w:rsidRPr="00075571">
        <w:t xml:space="preserve">responsive programmes cited </w:t>
      </w:r>
      <w:r w:rsidR="00EE0ADB">
        <w:t>‘</w:t>
      </w:r>
      <w:r w:rsidRPr="00075571">
        <w:t>have shown small reductions in reconviction and re-</w:t>
      </w:r>
      <w:r w:rsidRPr="00C07A1C">
        <w:t>imprisonment</w:t>
      </w:r>
      <w:r w:rsidRPr="00075571">
        <w:t xml:space="preserve"> when compared with matched control prisoners</w:t>
      </w:r>
      <w:r w:rsidR="00EE0ADB">
        <w:t>’</w:t>
      </w:r>
      <w:r w:rsidR="00AD0D58">
        <w:t xml:space="preserve"> (p. </w:t>
      </w:r>
      <w:r w:rsidRPr="00075571">
        <w:t xml:space="preserve">4) and provide other benefits including increased cultural knowledge and identity, improvement of prosocial attitudes and relationship skills, decreased anger and aggression, and reduced rehabilitative needs. The brief especially highlights the Saili Matagi Programme discussed in </w:t>
      </w:r>
      <w:r>
        <w:t xml:space="preserve">Section 5 </w:t>
      </w:r>
      <w:r w:rsidRPr="00075571">
        <w:t>as an example of a particularly successful programme.</w:t>
      </w:r>
    </w:p>
    <w:p w14:paraId="03FBBF28" w14:textId="77777777" w:rsidR="009636B7" w:rsidRPr="00075571" w:rsidRDefault="009636B7" w:rsidP="00B721EF"/>
    <w:p w14:paraId="6BE1038C" w14:textId="77777777" w:rsidR="009636B7" w:rsidRDefault="009636B7" w:rsidP="00B721EF">
      <w:pPr>
        <w:keepNext/>
        <w:keepLines/>
      </w:pPr>
      <w:r w:rsidRPr="00075571">
        <w:lastRenderedPageBreak/>
        <w:t>The remaining two documents are recent reports on the activities of the Safe and Effective Justice Advisory Group, Te Uepū Hāpai i te Ora (2019a</w:t>
      </w:r>
      <w:r>
        <w:t>,</w:t>
      </w:r>
      <w:r w:rsidRPr="00075571">
        <w:t xml:space="preserve"> 2019b) within the government programme Hāpaitia te Oranga Tāngata: Safe and Effective Justice. While not directly pertaining to FMHS models of care, the documents signal the need to ac</w:t>
      </w:r>
      <w:r>
        <w:t>k</w:t>
      </w:r>
      <w:r w:rsidRPr="00075571">
        <w:t>nowledge the limitations of the current criminal justice system</w:t>
      </w:r>
      <w:r>
        <w:t xml:space="preserve"> – </w:t>
      </w:r>
      <w:r w:rsidRPr="00075571">
        <w:t xml:space="preserve">including </w:t>
      </w:r>
      <w:r>
        <w:t xml:space="preserve">the fact </w:t>
      </w:r>
      <w:r w:rsidRPr="00075571">
        <w:t xml:space="preserve">that prisons are </w:t>
      </w:r>
      <w:r w:rsidR="00EE0ADB">
        <w:t>‘</w:t>
      </w:r>
      <w:r w:rsidRPr="00075571">
        <w:t>good at punishment but poor at rehabilitation</w:t>
      </w:r>
      <w:r w:rsidR="00EE0ADB">
        <w:t>’</w:t>
      </w:r>
      <w:r w:rsidRPr="00075571">
        <w:t xml:space="preserve"> (Safe and Effective Justice Advisory Group 2019a</w:t>
      </w:r>
      <w:r w:rsidR="005054ED">
        <w:t>, p. </w:t>
      </w:r>
      <w:r w:rsidRPr="00075571">
        <w:t>49) and to make the criminal justice system more responsive to service users through a co</w:t>
      </w:r>
      <w:r>
        <w:t>-</w:t>
      </w:r>
      <w:r w:rsidRPr="00075571">
        <w:t>designed approach. Key to this approach is Māori consultation and</w:t>
      </w:r>
      <w:r>
        <w:t>,</w:t>
      </w:r>
      <w:r w:rsidRPr="00075571">
        <w:t xml:space="preserve"> in particular, leadership from and engagement with </w:t>
      </w:r>
      <w:r>
        <w:t>t</w:t>
      </w:r>
      <w:r w:rsidRPr="00075571">
        <w:t xml:space="preserve">e </w:t>
      </w:r>
      <w:r>
        <w:t>a</w:t>
      </w:r>
      <w:r w:rsidRPr="00075571">
        <w:t>o Māori (Safe and Effective Justice Advisory Group 2018b). In terms of FMHS</w:t>
      </w:r>
      <w:r>
        <w:t>s</w:t>
      </w:r>
      <w:r w:rsidRPr="00075571">
        <w:t>, the documents highlight Māori needs</w:t>
      </w:r>
      <w:r>
        <w:t>,</w:t>
      </w:r>
      <w:r w:rsidRPr="00075571">
        <w:t xml:space="preserve"> as well as the need for accessible, culturally</w:t>
      </w:r>
      <w:r>
        <w:t xml:space="preserve"> </w:t>
      </w:r>
      <w:r w:rsidRPr="00075571">
        <w:t>informed mental health services for Māori within the criminal justice system. The documents also acknowledge the impact of trauma</w:t>
      </w:r>
      <w:r>
        <w:t>,</w:t>
      </w:r>
      <w:r w:rsidRPr="00075571">
        <w:t xml:space="preserve"> particularly among Māori and women, as well as the traumatic nature of the prison environment, and call for coordinated, trauma-informed high</w:t>
      </w:r>
      <w:r>
        <w:t>-</w:t>
      </w:r>
      <w:r w:rsidRPr="00075571">
        <w:t>quality care (Safe and Effective Justice Advisory Group 2019a</w:t>
      </w:r>
      <w:r w:rsidR="005054ED">
        <w:t>, p. </w:t>
      </w:r>
      <w:r w:rsidRPr="00075571">
        <w:t>62).</w:t>
      </w:r>
    </w:p>
    <w:p w14:paraId="3251FD88" w14:textId="77777777" w:rsidR="00B721EF" w:rsidRPr="00075571" w:rsidRDefault="00B721EF" w:rsidP="00B721EF"/>
    <w:p w14:paraId="0E7824FF" w14:textId="77777777" w:rsidR="009636B7" w:rsidRPr="001A28C6" w:rsidRDefault="009636B7" w:rsidP="00B721EF">
      <w:pPr>
        <w:pStyle w:val="Heading4"/>
      </w:pPr>
      <w:r w:rsidRPr="001A28C6">
        <w:t>Te Pou o Te Whakaaro Nui</w:t>
      </w:r>
    </w:p>
    <w:p w14:paraId="32301544" w14:textId="77777777" w:rsidR="00EE0ADB" w:rsidRDefault="009636B7" w:rsidP="00B721EF">
      <w:r w:rsidRPr="00075571">
        <w:t>The three documents pertaining to FMHS</w:t>
      </w:r>
      <w:r>
        <w:t>s</w:t>
      </w:r>
      <w:r w:rsidRPr="00075571">
        <w:t xml:space="preserve"> </w:t>
      </w:r>
      <w:r>
        <w:t xml:space="preserve">published by </w:t>
      </w:r>
      <w:r w:rsidRPr="00075571">
        <w:t xml:space="preserve">Te Pou o te Whakaaro Nui (2014, 2019a, 2019b) concern workforce development within the adult mental health and addiction workforce. The first details the findings of the </w:t>
      </w:r>
      <w:r w:rsidR="00EE0ADB">
        <w:t>‘</w:t>
      </w:r>
      <w:r w:rsidRPr="00075571">
        <w:t>More Than Numbers</w:t>
      </w:r>
      <w:r w:rsidR="00EE0ADB">
        <w:t>’</w:t>
      </w:r>
      <w:r w:rsidRPr="00075571">
        <w:t xml:space="preserve"> organisation workforce survey administered in 2014, which aimed to identify </w:t>
      </w:r>
      <w:r w:rsidR="00EE0ADB">
        <w:t>‘</w:t>
      </w:r>
      <w:r w:rsidRPr="00075571">
        <w:t>the size and distribution of the workforce across provider and service types</w:t>
      </w:r>
      <w:r w:rsidR="00EE0ADB">
        <w:t>’</w:t>
      </w:r>
      <w:r w:rsidRPr="00075571">
        <w:t xml:space="preserve"> as well as </w:t>
      </w:r>
      <w:r w:rsidR="00EE0ADB">
        <w:t>‘</w:t>
      </w:r>
      <w:r w:rsidRPr="00075571">
        <w:t>provider opinions about areas for future workforce development</w:t>
      </w:r>
      <w:r w:rsidR="00EE0ADB">
        <w:t>’</w:t>
      </w:r>
      <w:r w:rsidRPr="00075571">
        <w:t xml:space="preserve"> within the FMH</w:t>
      </w:r>
      <w:r>
        <w:t>S</w:t>
      </w:r>
      <w:r w:rsidRPr="00075571">
        <w:t xml:space="preserve"> sector</w:t>
      </w:r>
      <w:r w:rsidR="00AD0D58">
        <w:t xml:space="preserve"> (p. </w:t>
      </w:r>
      <w:r w:rsidRPr="00075571">
        <w:t>4). The remaining two provide more recent figures concerning the workforce across the mental health and addiction sector (both forensic and non</w:t>
      </w:r>
      <w:r>
        <w:t>-</w:t>
      </w:r>
      <w:r w:rsidRPr="00075571">
        <w:t xml:space="preserve">forensic). While not directly related to models of care, the documents highlight challenges experienced within </w:t>
      </w:r>
      <w:r>
        <w:t xml:space="preserve">FMHSs </w:t>
      </w:r>
      <w:r w:rsidRPr="00075571">
        <w:t xml:space="preserve">concerning workforce development, recruitment and retention, knowledge and skill needs, and cross-sector relationships. This information may be useful in </w:t>
      </w:r>
      <w:r>
        <w:t xml:space="preserve">the context of </w:t>
      </w:r>
      <w:r w:rsidRPr="00075571">
        <w:t>future service development.</w:t>
      </w:r>
    </w:p>
    <w:p w14:paraId="79ACA83E" w14:textId="77777777" w:rsidR="00B721EF" w:rsidRDefault="00B721EF" w:rsidP="00B721EF"/>
    <w:p w14:paraId="6FBF4ADB" w14:textId="77777777" w:rsidR="009636B7" w:rsidRPr="001A28C6" w:rsidRDefault="009636B7" w:rsidP="00B721EF">
      <w:pPr>
        <w:pStyle w:val="Heading4"/>
      </w:pPr>
      <w:r w:rsidRPr="001A28C6">
        <w:t>Summary</w:t>
      </w:r>
    </w:p>
    <w:p w14:paraId="18A7A8F9" w14:textId="77777777" w:rsidR="00EE0ADB" w:rsidRDefault="009636B7" w:rsidP="00B721EF">
      <w:r w:rsidRPr="00E42BE0">
        <w:t>At the national level, documentation on FMHS</w:t>
      </w:r>
      <w:r>
        <w:t>s</w:t>
      </w:r>
      <w:r w:rsidRPr="00E42BE0">
        <w:t xml:space="preserve"> is wide rangin</w:t>
      </w:r>
      <w:r w:rsidRPr="0043256B">
        <w:t xml:space="preserve">g and somewhat disparate. A significant portion of the recent documents acknowledge the significant needs of Māori within the criminal justice and FMHS sectors and call for </w:t>
      </w:r>
      <w:r w:rsidRPr="00DD29A3">
        <w:t>culturally informed</w:t>
      </w:r>
      <w:r w:rsidRPr="00482A5B">
        <w:t xml:space="preserve"> and responsive care. Key to this discussion is increased consu</w:t>
      </w:r>
      <w:r w:rsidRPr="00A537F0">
        <w:t xml:space="preserve">ltation, collaboration and engagement with </w:t>
      </w:r>
      <w:r>
        <w:t>T</w:t>
      </w:r>
      <w:r w:rsidRPr="00A537F0">
        <w:t xml:space="preserve">e </w:t>
      </w:r>
      <w:r>
        <w:t>A</w:t>
      </w:r>
      <w:r w:rsidRPr="00A537F0">
        <w:t>o Māori, and the shift toward co</w:t>
      </w:r>
      <w:r>
        <w:t>-</w:t>
      </w:r>
      <w:r w:rsidRPr="00A537F0">
        <w:t>designed approaches in service planning and development. Alongside this shift is a general move toward the adoption of rehabilitative, person-centred approaches, in keeping wit</w:t>
      </w:r>
      <w:r w:rsidRPr="00FB779C">
        <w:t>h the best practice literature. In both cases, these shifts are largely in development and have yet to be fully realised or articulated. Notably, though a national framework for FMHS</w:t>
      </w:r>
      <w:r>
        <w:t>s</w:t>
      </w:r>
      <w:r w:rsidRPr="00FB779C">
        <w:t xml:space="preserve"> was suggested in the Mason Report </w:t>
      </w:r>
      <w:r>
        <w:t xml:space="preserve">as far back as </w:t>
      </w:r>
      <w:r w:rsidRPr="00FB779C">
        <w:t>1988 and again by the Minist</w:t>
      </w:r>
      <w:r w:rsidRPr="007F561D">
        <w:t>ry of Health in 2001, no models of care for FMHS</w:t>
      </w:r>
      <w:r>
        <w:t>s</w:t>
      </w:r>
      <w:r w:rsidRPr="007F561D">
        <w:t xml:space="preserve"> within any arm of the</w:t>
      </w:r>
      <w:r>
        <w:t>se</w:t>
      </w:r>
      <w:r w:rsidRPr="007F561D">
        <w:t xml:space="preserve"> service</w:t>
      </w:r>
      <w:r>
        <w:t>s</w:t>
      </w:r>
      <w:r w:rsidRPr="007F561D">
        <w:t xml:space="preserve"> (or organisations which engage with the service</w:t>
      </w:r>
      <w:r>
        <w:t>s</w:t>
      </w:r>
      <w:r w:rsidRPr="007F561D">
        <w:t xml:space="preserve">) have </w:t>
      </w:r>
      <w:r>
        <w:t xml:space="preserve">yet </w:t>
      </w:r>
      <w:r w:rsidRPr="007F561D">
        <w:t>been articulated or implemented at the national level.</w:t>
      </w:r>
    </w:p>
    <w:p w14:paraId="730A2435" w14:textId="77777777" w:rsidR="00B721EF" w:rsidRDefault="00B721EF" w:rsidP="00B721EF"/>
    <w:p w14:paraId="671BF798" w14:textId="77777777" w:rsidR="009636B7" w:rsidRPr="000329FE" w:rsidRDefault="009636B7" w:rsidP="00B721EF">
      <w:pPr>
        <w:pStyle w:val="Heading3"/>
      </w:pPr>
      <w:r w:rsidRPr="000329FE">
        <w:lastRenderedPageBreak/>
        <w:t xml:space="preserve">International </w:t>
      </w:r>
      <w:r>
        <w:t>l</w:t>
      </w:r>
      <w:r w:rsidRPr="000329FE">
        <w:t>evel</w:t>
      </w:r>
    </w:p>
    <w:p w14:paraId="36F66340" w14:textId="77777777" w:rsidR="009636B7" w:rsidRPr="0043256B" w:rsidRDefault="009636B7" w:rsidP="00B721EF">
      <w:r w:rsidRPr="000329FE">
        <w:t>International trends in FMHS</w:t>
      </w:r>
      <w:r>
        <w:t>s</w:t>
      </w:r>
      <w:r w:rsidRPr="000329FE">
        <w:t xml:space="preserve"> are highly relevant to the </w:t>
      </w:r>
      <w:r>
        <w:t>Aotearoa New Zealand</w:t>
      </w:r>
      <w:r w:rsidRPr="00075571">
        <w:t xml:space="preserve"> </w:t>
      </w:r>
      <w:r w:rsidRPr="001A28C6">
        <w:t>context</w:t>
      </w:r>
      <w:r>
        <w:t>,</w:t>
      </w:r>
      <w:r w:rsidRPr="001A28C6">
        <w:t xml:space="preserve"> and continue to inform current and future service development at the regional and national levels. Given the evidence of best practices highlighted in the scholarly literature reviews, the researchers selected four jurisdictions to review</w:t>
      </w:r>
      <w:r>
        <w:t xml:space="preserve"> within which</w:t>
      </w:r>
      <w:r w:rsidRPr="001A28C6">
        <w:t xml:space="preserve"> to identify relevant guidelines </w:t>
      </w:r>
      <w:r>
        <w:t xml:space="preserve">on </w:t>
      </w:r>
      <w:r w:rsidRPr="001A28C6">
        <w:t xml:space="preserve">models of care: England, Scotland, Ireland and Victoria, Australia. It is outside the scope of this review to provide detailed case studies on the structures or processes </w:t>
      </w:r>
      <w:r>
        <w:t xml:space="preserve">used </w:t>
      </w:r>
      <w:r w:rsidRPr="001A28C6">
        <w:t>in FMHS</w:t>
      </w:r>
      <w:r w:rsidRPr="00E42BE0">
        <w:t xml:space="preserve"> delivery in these locales.</w:t>
      </w:r>
      <w:r w:rsidRPr="00B721EF">
        <w:rPr>
          <w:rStyle w:val="FootnoteReference"/>
        </w:rPr>
        <w:footnoteReference w:id="47"/>
      </w:r>
      <w:r w:rsidRPr="001A28C6">
        <w:t xml:space="preserve"> Rather, the following discussion briefly highlights points of difference within these jurisdictions</w:t>
      </w:r>
      <w:r>
        <w:t>,</w:t>
      </w:r>
      <w:r w:rsidRPr="001A28C6">
        <w:t xml:space="preserve"> as well as trends which align with</w:t>
      </w:r>
      <w:r w:rsidRPr="009E213B">
        <w:t xml:space="preserve"> best practices in</w:t>
      </w:r>
      <w:r w:rsidRPr="00E42BE0">
        <w:t xml:space="preserve"> the evidence base.</w:t>
      </w:r>
    </w:p>
    <w:p w14:paraId="254A70B5" w14:textId="77777777" w:rsidR="009636B7" w:rsidRPr="00DD29A3" w:rsidRDefault="009636B7" w:rsidP="00B721EF"/>
    <w:p w14:paraId="33D29D28" w14:textId="77777777" w:rsidR="009636B7" w:rsidRPr="00FB779C" w:rsidRDefault="00B721EF" w:rsidP="00B721EF">
      <w:pPr>
        <w:pStyle w:val="Table"/>
      </w:pPr>
      <w:bookmarkStart w:id="172" w:name="_Toc88823414"/>
      <w:bookmarkStart w:id="173" w:name="_Toc90026025"/>
      <w:r>
        <w:t>Table </w:t>
      </w:r>
      <w:r w:rsidR="002C1FB3">
        <w:fldChar w:fldCharType="begin"/>
      </w:r>
      <w:r w:rsidR="002C1FB3">
        <w:instrText xml:space="preserve"> SEQ Table \* ARABIC </w:instrText>
      </w:r>
      <w:r w:rsidR="002C1FB3">
        <w:fldChar w:fldCharType="separate"/>
      </w:r>
      <w:r w:rsidR="00F73238">
        <w:rPr>
          <w:noProof/>
        </w:rPr>
        <w:t>4</w:t>
      </w:r>
      <w:r w:rsidR="002C1FB3">
        <w:rPr>
          <w:noProof/>
        </w:rPr>
        <w:fldChar w:fldCharType="end"/>
      </w:r>
      <w:r>
        <w:t>:</w:t>
      </w:r>
      <w:r w:rsidR="009636B7" w:rsidRPr="004034BB">
        <w:t xml:space="preserve"> International </w:t>
      </w:r>
      <w:r w:rsidR="009636B7">
        <w:t>d</w:t>
      </w:r>
      <w:r w:rsidR="009636B7" w:rsidRPr="004034BB">
        <w:t xml:space="preserve">ocumentation </w:t>
      </w:r>
      <w:r w:rsidR="009636B7">
        <w:t>r</w:t>
      </w:r>
      <w:r w:rsidR="009636B7" w:rsidRPr="004034BB">
        <w:t>eviewed</w:t>
      </w:r>
      <w:bookmarkEnd w:id="172"/>
      <w:bookmarkEnd w:id="173"/>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276"/>
        <w:gridCol w:w="2823"/>
        <w:gridCol w:w="630"/>
        <w:gridCol w:w="3351"/>
      </w:tblGrid>
      <w:tr w:rsidR="009636B7" w:rsidRPr="000329FE" w14:paraId="76EF3440" w14:textId="77777777" w:rsidTr="00B721EF">
        <w:trPr>
          <w:cantSplit/>
          <w:tblHeader/>
        </w:trPr>
        <w:tc>
          <w:tcPr>
            <w:tcW w:w="1276" w:type="dxa"/>
            <w:tcBorders>
              <w:top w:val="nil"/>
              <w:bottom w:val="nil"/>
            </w:tcBorders>
            <w:shd w:val="clear" w:color="auto" w:fill="D9D9D9" w:themeFill="background1" w:themeFillShade="D9"/>
          </w:tcPr>
          <w:p w14:paraId="31E3D35C" w14:textId="77777777" w:rsidR="009636B7" w:rsidRPr="000329FE" w:rsidRDefault="009636B7" w:rsidP="00B721EF">
            <w:pPr>
              <w:pStyle w:val="TableText"/>
              <w:ind w:right="113"/>
              <w:rPr>
                <w:b/>
                <w:bCs/>
              </w:rPr>
            </w:pPr>
            <w:r w:rsidRPr="000329FE">
              <w:rPr>
                <w:b/>
                <w:bCs/>
              </w:rPr>
              <w:t>Jurisdiction</w:t>
            </w:r>
          </w:p>
        </w:tc>
        <w:tc>
          <w:tcPr>
            <w:tcW w:w="2823" w:type="dxa"/>
            <w:tcBorders>
              <w:top w:val="nil"/>
              <w:bottom w:val="nil"/>
            </w:tcBorders>
            <w:shd w:val="clear" w:color="auto" w:fill="D9D9D9" w:themeFill="background1" w:themeFillShade="D9"/>
          </w:tcPr>
          <w:p w14:paraId="0C30435F" w14:textId="77777777" w:rsidR="009636B7" w:rsidRPr="000329FE" w:rsidRDefault="009636B7" w:rsidP="00B721EF">
            <w:pPr>
              <w:pStyle w:val="TableText"/>
              <w:ind w:right="113"/>
              <w:rPr>
                <w:b/>
              </w:rPr>
            </w:pPr>
            <w:r w:rsidRPr="000329FE">
              <w:rPr>
                <w:b/>
              </w:rPr>
              <w:t>Organisation</w:t>
            </w:r>
            <w:r w:rsidR="00B721EF">
              <w:rPr>
                <w:b/>
              </w:rPr>
              <w:br/>
            </w:r>
            <w:r w:rsidRPr="000329FE">
              <w:rPr>
                <w:b/>
              </w:rPr>
              <w:t>(Author</w:t>
            </w:r>
            <w:r>
              <w:rPr>
                <w:b/>
              </w:rPr>
              <w:t>(</w:t>
            </w:r>
            <w:r w:rsidRPr="000329FE">
              <w:rPr>
                <w:b/>
              </w:rPr>
              <w:t>s</w:t>
            </w:r>
            <w:r>
              <w:rPr>
                <w:b/>
              </w:rPr>
              <w:t>)</w:t>
            </w:r>
            <w:r w:rsidR="00B721EF">
              <w:rPr>
                <w:b/>
              </w:rPr>
              <w:t>)</w:t>
            </w:r>
          </w:p>
        </w:tc>
        <w:tc>
          <w:tcPr>
            <w:tcW w:w="630" w:type="dxa"/>
            <w:tcBorders>
              <w:top w:val="nil"/>
              <w:bottom w:val="nil"/>
            </w:tcBorders>
            <w:shd w:val="clear" w:color="auto" w:fill="D9D9D9" w:themeFill="background1" w:themeFillShade="D9"/>
          </w:tcPr>
          <w:p w14:paraId="329549E9" w14:textId="77777777" w:rsidR="009636B7" w:rsidRPr="000329FE" w:rsidRDefault="009636B7" w:rsidP="00B721EF">
            <w:pPr>
              <w:pStyle w:val="TableText"/>
              <w:jc w:val="center"/>
              <w:rPr>
                <w:b/>
              </w:rPr>
            </w:pPr>
            <w:r w:rsidRPr="000329FE">
              <w:rPr>
                <w:b/>
              </w:rPr>
              <w:t>Year</w:t>
            </w:r>
          </w:p>
        </w:tc>
        <w:tc>
          <w:tcPr>
            <w:tcW w:w="3351" w:type="dxa"/>
            <w:tcBorders>
              <w:top w:val="nil"/>
              <w:bottom w:val="nil"/>
            </w:tcBorders>
            <w:shd w:val="clear" w:color="auto" w:fill="D9D9D9" w:themeFill="background1" w:themeFillShade="D9"/>
          </w:tcPr>
          <w:p w14:paraId="2441448A" w14:textId="77777777" w:rsidR="009636B7" w:rsidRPr="000329FE" w:rsidRDefault="009636B7" w:rsidP="00B721EF">
            <w:pPr>
              <w:pStyle w:val="TableText"/>
              <w:ind w:left="113"/>
              <w:rPr>
                <w:b/>
              </w:rPr>
            </w:pPr>
            <w:r w:rsidRPr="000329FE">
              <w:rPr>
                <w:b/>
              </w:rPr>
              <w:t>Title</w:t>
            </w:r>
          </w:p>
        </w:tc>
      </w:tr>
      <w:tr w:rsidR="009636B7" w:rsidRPr="000329FE" w14:paraId="0746BB5E" w14:textId="77777777" w:rsidTr="00B721EF">
        <w:trPr>
          <w:cantSplit/>
        </w:trPr>
        <w:tc>
          <w:tcPr>
            <w:tcW w:w="1276" w:type="dxa"/>
            <w:vMerge w:val="restart"/>
            <w:tcBorders>
              <w:top w:val="nil"/>
            </w:tcBorders>
            <w:shd w:val="clear" w:color="auto" w:fill="auto"/>
          </w:tcPr>
          <w:p w14:paraId="51B47E73" w14:textId="77777777" w:rsidR="009636B7" w:rsidRPr="000329FE" w:rsidRDefault="009636B7" w:rsidP="00B721EF">
            <w:pPr>
              <w:pStyle w:val="TableText"/>
              <w:ind w:right="113"/>
            </w:pPr>
            <w:r w:rsidRPr="000329FE">
              <w:t>England</w:t>
            </w:r>
          </w:p>
        </w:tc>
        <w:tc>
          <w:tcPr>
            <w:tcW w:w="2823" w:type="dxa"/>
            <w:tcBorders>
              <w:top w:val="nil"/>
            </w:tcBorders>
          </w:tcPr>
          <w:p w14:paraId="1463DDB8" w14:textId="77777777" w:rsidR="009636B7" w:rsidRPr="000329FE" w:rsidRDefault="009636B7" w:rsidP="00B721EF">
            <w:pPr>
              <w:pStyle w:val="TableText"/>
              <w:ind w:right="113"/>
            </w:pPr>
            <w:r w:rsidRPr="009E2DA5">
              <w:t>National Institute for</w:t>
            </w:r>
            <w:r w:rsidRPr="000329FE">
              <w:t xml:space="preserve"> Health and Care Excellence</w:t>
            </w:r>
          </w:p>
        </w:tc>
        <w:tc>
          <w:tcPr>
            <w:tcW w:w="630" w:type="dxa"/>
            <w:tcBorders>
              <w:top w:val="nil"/>
            </w:tcBorders>
          </w:tcPr>
          <w:p w14:paraId="563D8A73" w14:textId="77777777" w:rsidR="009636B7" w:rsidRPr="000329FE" w:rsidRDefault="009636B7" w:rsidP="00B721EF">
            <w:pPr>
              <w:pStyle w:val="TableText"/>
              <w:jc w:val="center"/>
            </w:pPr>
            <w:r w:rsidRPr="000329FE">
              <w:t>2017</w:t>
            </w:r>
          </w:p>
        </w:tc>
        <w:tc>
          <w:tcPr>
            <w:tcW w:w="3351" w:type="dxa"/>
            <w:tcBorders>
              <w:top w:val="nil"/>
            </w:tcBorders>
            <w:shd w:val="clear" w:color="auto" w:fill="auto"/>
          </w:tcPr>
          <w:p w14:paraId="11F536DF" w14:textId="77777777" w:rsidR="009636B7" w:rsidRPr="000329FE" w:rsidRDefault="009636B7" w:rsidP="00B721EF">
            <w:pPr>
              <w:pStyle w:val="TableText"/>
              <w:ind w:left="113"/>
            </w:pPr>
            <w:r w:rsidRPr="000329FE">
              <w:rPr>
                <w:i/>
                <w:iCs/>
              </w:rPr>
              <w:t>Mental Health of Adults in Contact with the Criminal Justice System</w:t>
            </w:r>
          </w:p>
        </w:tc>
      </w:tr>
      <w:tr w:rsidR="009636B7" w:rsidRPr="000329FE" w14:paraId="283C5522" w14:textId="77777777" w:rsidTr="00B721EF">
        <w:trPr>
          <w:cantSplit/>
        </w:trPr>
        <w:tc>
          <w:tcPr>
            <w:tcW w:w="1276" w:type="dxa"/>
            <w:vMerge/>
            <w:shd w:val="clear" w:color="auto" w:fill="auto"/>
          </w:tcPr>
          <w:p w14:paraId="3F8EBB06" w14:textId="77777777" w:rsidR="009636B7" w:rsidRPr="000329FE" w:rsidRDefault="009636B7" w:rsidP="00B721EF">
            <w:pPr>
              <w:pStyle w:val="TableText"/>
              <w:ind w:right="113"/>
            </w:pPr>
          </w:p>
        </w:tc>
        <w:tc>
          <w:tcPr>
            <w:tcW w:w="2823" w:type="dxa"/>
          </w:tcPr>
          <w:p w14:paraId="61A99FA8" w14:textId="77777777" w:rsidR="009636B7" w:rsidRPr="000329FE" w:rsidRDefault="009636B7" w:rsidP="00B721EF">
            <w:pPr>
              <w:pStyle w:val="TableText"/>
              <w:ind w:right="113"/>
            </w:pPr>
            <w:r w:rsidRPr="000329FE">
              <w:t>NHS England</w:t>
            </w:r>
          </w:p>
        </w:tc>
        <w:tc>
          <w:tcPr>
            <w:tcW w:w="630" w:type="dxa"/>
          </w:tcPr>
          <w:p w14:paraId="435EDF00" w14:textId="77777777" w:rsidR="009636B7" w:rsidRPr="000329FE" w:rsidRDefault="009636B7" w:rsidP="00B721EF">
            <w:pPr>
              <w:pStyle w:val="TableText"/>
              <w:jc w:val="center"/>
            </w:pPr>
            <w:r w:rsidRPr="000329FE">
              <w:t>2018</w:t>
            </w:r>
          </w:p>
        </w:tc>
        <w:tc>
          <w:tcPr>
            <w:tcW w:w="3351" w:type="dxa"/>
            <w:shd w:val="clear" w:color="auto" w:fill="auto"/>
          </w:tcPr>
          <w:p w14:paraId="299DDD37" w14:textId="77777777" w:rsidR="009636B7" w:rsidRPr="000329FE" w:rsidRDefault="009636B7" w:rsidP="00B721EF">
            <w:pPr>
              <w:pStyle w:val="TableText"/>
              <w:ind w:left="113"/>
              <w:rPr>
                <w:i/>
                <w:iCs/>
              </w:rPr>
            </w:pPr>
            <w:r w:rsidRPr="000329FE">
              <w:rPr>
                <w:i/>
                <w:iCs/>
              </w:rPr>
              <w:t xml:space="preserve">Developing the </w:t>
            </w:r>
            <w:r w:rsidR="00EE0ADB">
              <w:rPr>
                <w:i/>
                <w:iCs/>
              </w:rPr>
              <w:t>‘</w:t>
            </w:r>
            <w:r w:rsidRPr="000329FE">
              <w:rPr>
                <w:i/>
                <w:iCs/>
              </w:rPr>
              <w:t>Forensic Mental Health Community Service Model</w:t>
            </w:r>
            <w:r w:rsidR="00EE0ADB">
              <w:rPr>
                <w:i/>
                <w:iCs/>
              </w:rPr>
              <w:t>’</w:t>
            </w:r>
            <w:r w:rsidRPr="000329FE">
              <w:rPr>
                <w:i/>
                <w:iCs/>
              </w:rPr>
              <w:t>: Background Information Resources (4 of 5): Core components of the model and the Specialist Community Forensic Team</w:t>
            </w:r>
          </w:p>
        </w:tc>
      </w:tr>
      <w:tr w:rsidR="009636B7" w:rsidRPr="000329FE" w14:paraId="76C70A16" w14:textId="77777777" w:rsidTr="00B721EF">
        <w:trPr>
          <w:cantSplit/>
        </w:trPr>
        <w:tc>
          <w:tcPr>
            <w:tcW w:w="1276" w:type="dxa"/>
            <w:vMerge/>
            <w:shd w:val="clear" w:color="auto" w:fill="auto"/>
          </w:tcPr>
          <w:p w14:paraId="2D9ABE23" w14:textId="77777777" w:rsidR="009636B7" w:rsidRPr="000329FE" w:rsidRDefault="009636B7" w:rsidP="00B721EF">
            <w:pPr>
              <w:pStyle w:val="TableText"/>
              <w:ind w:right="113"/>
            </w:pPr>
          </w:p>
        </w:tc>
        <w:tc>
          <w:tcPr>
            <w:tcW w:w="2823" w:type="dxa"/>
          </w:tcPr>
          <w:p w14:paraId="247D14D1" w14:textId="77777777" w:rsidR="009636B7" w:rsidRPr="000329FE" w:rsidRDefault="009636B7" w:rsidP="00B721EF">
            <w:pPr>
              <w:pStyle w:val="TableText"/>
              <w:ind w:right="113"/>
            </w:pPr>
            <w:r w:rsidRPr="000329FE">
              <w:t>NHS England</w:t>
            </w:r>
          </w:p>
        </w:tc>
        <w:tc>
          <w:tcPr>
            <w:tcW w:w="630" w:type="dxa"/>
          </w:tcPr>
          <w:p w14:paraId="6D945011" w14:textId="77777777" w:rsidR="009636B7" w:rsidRPr="000329FE" w:rsidRDefault="009636B7" w:rsidP="00B721EF">
            <w:pPr>
              <w:pStyle w:val="TableText"/>
              <w:jc w:val="center"/>
            </w:pPr>
            <w:r w:rsidRPr="000329FE">
              <w:t>2018</w:t>
            </w:r>
          </w:p>
        </w:tc>
        <w:tc>
          <w:tcPr>
            <w:tcW w:w="3351" w:type="dxa"/>
            <w:shd w:val="clear" w:color="auto" w:fill="auto"/>
          </w:tcPr>
          <w:p w14:paraId="6DD09A94" w14:textId="77777777" w:rsidR="009636B7" w:rsidRPr="000329FE" w:rsidRDefault="009636B7" w:rsidP="00B721EF">
            <w:pPr>
              <w:pStyle w:val="TableText"/>
              <w:ind w:left="113"/>
              <w:rPr>
                <w:i/>
                <w:iCs/>
              </w:rPr>
            </w:pPr>
            <w:r w:rsidRPr="000329FE">
              <w:rPr>
                <w:i/>
                <w:iCs/>
              </w:rPr>
              <w:t xml:space="preserve">Developing the </w:t>
            </w:r>
            <w:r w:rsidR="00EE0ADB">
              <w:rPr>
                <w:i/>
                <w:iCs/>
              </w:rPr>
              <w:t>‘</w:t>
            </w:r>
            <w:r w:rsidRPr="000329FE">
              <w:rPr>
                <w:i/>
                <w:iCs/>
              </w:rPr>
              <w:t>Forensic Mental Health Community Service Model</w:t>
            </w:r>
            <w:r w:rsidR="00EE0ADB">
              <w:rPr>
                <w:i/>
                <w:iCs/>
              </w:rPr>
              <w:t>’</w:t>
            </w:r>
            <w:r w:rsidRPr="000329FE">
              <w:rPr>
                <w:i/>
                <w:iCs/>
              </w:rPr>
              <w:t>: Background Information Resources (5 of 5): The Specialist Community Forensic Team: Values, Knowledge and Skills</w:t>
            </w:r>
          </w:p>
        </w:tc>
      </w:tr>
      <w:tr w:rsidR="009636B7" w:rsidRPr="000329FE" w14:paraId="3707847E" w14:textId="77777777" w:rsidTr="00B721EF">
        <w:trPr>
          <w:cantSplit/>
        </w:trPr>
        <w:tc>
          <w:tcPr>
            <w:tcW w:w="1276" w:type="dxa"/>
            <w:vMerge/>
            <w:shd w:val="clear" w:color="auto" w:fill="auto"/>
          </w:tcPr>
          <w:p w14:paraId="4CDAE49A" w14:textId="77777777" w:rsidR="009636B7" w:rsidRPr="000329FE" w:rsidRDefault="009636B7" w:rsidP="00B721EF">
            <w:pPr>
              <w:pStyle w:val="TableText"/>
              <w:ind w:right="113"/>
            </w:pPr>
          </w:p>
        </w:tc>
        <w:tc>
          <w:tcPr>
            <w:tcW w:w="2823" w:type="dxa"/>
          </w:tcPr>
          <w:p w14:paraId="0480D678" w14:textId="77777777" w:rsidR="009636B7" w:rsidRPr="000329FE" w:rsidRDefault="009636B7" w:rsidP="00B721EF">
            <w:pPr>
              <w:pStyle w:val="TableText"/>
              <w:ind w:right="113"/>
            </w:pPr>
            <w:r w:rsidRPr="000329FE">
              <w:t>NHS England</w:t>
            </w:r>
          </w:p>
        </w:tc>
        <w:tc>
          <w:tcPr>
            <w:tcW w:w="630" w:type="dxa"/>
          </w:tcPr>
          <w:p w14:paraId="5DB069FF" w14:textId="77777777" w:rsidR="009636B7" w:rsidRPr="000329FE" w:rsidRDefault="009636B7" w:rsidP="00B721EF">
            <w:pPr>
              <w:pStyle w:val="TableText"/>
              <w:jc w:val="center"/>
            </w:pPr>
            <w:r w:rsidRPr="000329FE">
              <w:t>nd</w:t>
            </w:r>
          </w:p>
        </w:tc>
        <w:tc>
          <w:tcPr>
            <w:tcW w:w="3351" w:type="dxa"/>
            <w:shd w:val="clear" w:color="auto" w:fill="auto"/>
          </w:tcPr>
          <w:p w14:paraId="53DF4283" w14:textId="77777777" w:rsidR="009636B7" w:rsidRPr="000329FE" w:rsidRDefault="009636B7" w:rsidP="00B721EF">
            <w:pPr>
              <w:pStyle w:val="TableText"/>
              <w:ind w:left="113"/>
              <w:rPr>
                <w:i/>
                <w:iCs/>
              </w:rPr>
            </w:pPr>
            <w:r w:rsidRPr="000329FE">
              <w:rPr>
                <w:i/>
                <w:iCs/>
              </w:rPr>
              <w:t>Mental Health</w:t>
            </w:r>
            <w:r>
              <w:rPr>
                <w:i/>
                <w:iCs/>
              </w:rPr>
              <w:t xml:space="preserve"> </w:t>
            </w:r>
            <w:r w:rsidRPr="000329FE">
              <w:rPr>
                <w:i/>
                <w:iCs/>
              </w:rPr>
              <w:t xml:space="preserve">– Low </w:t>
            </w:r>
            <w:r>
              <w:rPr>
                <w:i/>
                <w:iCs/>
              </w:rPr>
              <w:t>s</w:t>
            </w:r>
            <w:r w:rsidRPr="000329FE">
              <w:rPr>
                <w:i/>
                <w:iCs/>
              </w:rPr>
              <w:t xml:space="preserve">ecure </w:t>
            </w:r>
            <w:r>
              <w:rPr>
                <w:i/>
                <w:iCs/>
              </w:rPr>
              <w:t>s</w:t>
            </w:r>
            <w:r w:rsidRPr="000329FE">
              <w:rPr>
                <w:i/>
                <w:iCs/>
              </w:rPr>
              <w:t xml:space="preserve">ervices </w:t>
            </w:r>
            <w:r>
              <w:rPr>
                <w:i/>
                <w:iCs/>
              </w:rPr>
              <w:t>i</w:t>
            </w:r>
            <w:r w:rsidRPr="000329FE">
              <w:rPr>
                <w:i/>
                <w:iCs/>
              </w:rPr>
              <w:t xml:space="preserve">ncluding </w:t>
            </w:r>
            <w:r>
              <w:rPr>
                <w:i/>
                <w:iCs/>
              </w:rPr>
              <w:t>a</w:t>
            </w:r>
            <w:r w:rsidRPr="000329FE">
              <w:rPr>
                <w:i/>
                <w:iCs/>
              </w:rPr>
              <w:t xml:space="preserve">ccess </w:t>
            </w:r>
            <w:r>
              <w:rPr>
                <w:i/>
                <w:iCs/>
              </w:rPr>
              <w:t>a</w:t>
            </w:r>
            <w:r w:rsidRPr="000329FE">
              <w:rPr>
                <w:i/>
                <w:iCs/>
              </w:rPr>
              <w:t xml:space="preserve">ssessment </w:t>
            </w:r>
            <w:r>
              <w:rPr>
                <w:i/>
                <w:iCs/>
              </w:rPr>
              <w:t>s</w:t>
            </w:r>
            <w:r w:rsidRPr="000329FE">
              <w:rPr>
                <w:i/>
                <w:iCs/>
              </w:rPr>
              <w:t xml:space="preserve">ervice and </w:t>
            </w:r>
            <w:r>
              <w:rPr>
                <w:i/>
                <w:iCs/>
              </w:rPr>
              <w:t>f</w:t>
            </w:r>
            <w:r w:rsidRPr="000329FE">
              <w:rPr>
                <w:i/>
                <w:iCs/>
              </w:rPr>
              <w:t xml:space="preserve">orensic </w:t>
            </w:r>
            <w:r>
              <w:rPr>
                <w:i/>
                <w:iCs/>
              </w:rPr>
              <w:t>o</w:t>
            </w:r>
            <w:r w:rsidRPr="000329FE">
              <w:rPr>
                <w:i/>
                <w:iCs/>
              </w:rPr>
              <w:t xml:space="preserve">utreach and </w:t>
            </w:r>
            <w:r>
              <w:rPr>
                <w:i/>
                <w:iCs/>
              </w:rPr>
              <w:t>l</w:t>
            </w:r>
            <w:r w:rsidRPr="000329FE">
              <w:rPr>
                <w:i/>
                <w:iCs/>
              </w:rPr>
              <w:t xml:space="preserve">iaison </w:t>
            </w:r>
            <w:r>
              <w:rPr>
                <w:i/>
                <w:iCs/>
              </w:rPr>
              <w:t>s</w:t>
            </w:r>
            <w:r w:rsidRPr="000329FE">
              <w:rPr>
                <w:i/>
                <w:iCs/>
              </w:rPr>
              <w:t>ervices (</w:t>
            </w:r>
            <w:r>
              <w:rPr>
                <w:i/>
                <w:iCs/>
              </w:rPr>
              <w:t>a</w:t>
            </w:r>
            <w:r w:rsidRPr="000329FE">
              <w:rPr>
                <w:i/>
                <w:iCs/>
              </w:rPr>
              <w:t>dult)</w:t>
            </w:r>
          </w:p>
        </w:tc>
      </w:tr>
      <w:tr w:rsidR="009636B7" w:rsidRPr="000329FE" w14:paraId="608EFC09" w14:textId="77777777" w:rsidTr="00B721EF">
        <w:trPr>
          <w:cantSplit/>
        </w:trPr>
        <w:tc>
          <w:tcPr>
            <w:tcW w:w="1276" w:type="dxa"/>
            <w:vMerge/>
            <w:shd w:val="clear" w:color="auto" w:fill="auto"/>
          </w:tcPr>
          <w:p w14:paraId="367294A4" w14:textId="77777777" w:rsidR="009636B7" w:rsidRPr="000329FE" w:rsidRDefault="009636B7" w:rsidP="00B721EF">
            <w:pPr>
              <w:pStyle w:val="TableText"/>
              <w:ind w:right="113"/>
            </w:pPr>
          </w:p>
        </w:tc>
        <w:tc>
          <w:tcPr>
            <w:tcW w:w="2823" w:type="dxa"/>
          </w:tcPr>
          <w:p w14:paraId="64BD1A43" w14:textId="77777777" w:rsidR="009636B7" w:rsidRPr="000329FE" w:rsidRDefault="009636B7" w:rsidP="00B721EF">
            <w:pPr>
              <w:pStyle w:val="TableText"/>
              <w:ind w:right="113"/>
            </w:pPr>
            <w:r w:rsidRPr="000329FE">
              <w:t>NHS England</w:t>
            </w:r>
          </w:p>
        </w:tc>
        <w:tc>
          <w:tcPr>
            <w:tcW w:w="630" w:type="dxa"/>
          </w:tcPr>
          <w:p w14:paraId="45A56F81" w14:textId="77777777" w:rsidR="009636B7" w:rsidRPr="000329FE" w:rsidRDefault="009636B7" w:rsidP="00B721EF">
            <w:pPr>
              <w:pStyle w:val="TableText"/>
              <w:jc w:val="center"/>
            </w:pPr>
            <w:r w:rsidRPr="000329FE">
              <w:t>nd</w:t>
            </w:r>
          </w:p>
        </w:tc>
        <w:tc>
          <w:tcPr>
            <w:tcW w:w="3351" w:type="dxa"/>
            <w:shd w:val="clear" w:color="auto" w:fill="auto"/>
          </w:tcPr>
          <w:p w14:paraId="76B388AB" w14:textId="77777777" w:rsidR="009636B7" w:rsidRPr="000329FE" w:rsidRDefault="009636B7" w:rsidP="00B721EF">
            <w:pPr>
              <w:pStyle w:val="TableText"/>
              <w:ind w:left="113"/>
              <w:rPr>
                <w:i/>
                <w:iCs/>
              </w:rPr>
            </w:pPr>
            <w:r w:rsidRPr="000329FE">
              <w:rPr>
                <w:i/>
                <w:iCs/>
              </w:rPr>
              <w:t>Mental Health</w:t>
            </w:r>
            <w:r>
              <w:rPr>
                <w:i/>
                <w:iCs/>
              </w:rPr>
              <w:t xml:space="preserve"> </w:t>
            </w:r>
            <w:r w:rsidRPr="000329FE">
              <w:rPr>
                <w:i/>
                <w:iCs/>
              </w:rPr>
              <w:t xml:space="preserve">– Medium </w:t>
            </w:r>
            <w:r>
              <w:rPr>
                <w:i/>
                <w:iCs/>
              </w:rPr>
              <w:t>s</w:t>
            </w:r>
            <w:r w:rsidRPr="000329FE">
              <w:rPr>
                <w:i/>
                <w:iCs/>
              </w:rPr>
              <w:t xml:space="preserve">ecure </w:t>
            </w:r>
            <w:r>
              <w:rPr>
                <w:i/>
                <w:iCs/>
              </w:rPr>
              <w:t>s</w:t>
            </w:r>
            <w:r w:rsidRPr="000329FE">
              <w:rPr>
                <w:i/>
                <w:iCs/>
              </w:rPr>
              <w:t xml:space="preserve">ervices </w:t>
            </w:r>
            <w:r>
              <w:rPr>
                <w:i/>
                <w:iCs/>
              </w:rPr>
              <w:t>i</w:t>
            </w:r>
            <w:r w:rsidRPr="000329FE">
              <w:rPr>
                <w:i/>
                <w:iCs/>
              </w:rPr>
              <w:t xml:space="preserve">ncluding </w:t>
            </w:r>
            <w:r>
              <w:rPr>
                <w:i/>
                <w:iCs/>
              </w:rPr>
              <w:t>a</w:t>
            </w:r>
            <w:r w:rsidRPr="000329FE">
              <w:rPr>
                <w:i/>
                <w:iCs/>
              </w:rPr>
              <w:t xml:space="preserve">ccess </w:t>
            </w:r>
            <w:r>
              <w:rPr>
                <w:i/>
                <w:iCs/>
              </w:rPr>
              <w:t>a</w:t>
            </w:r>
            <w:r w:rsidRPr="000329FE">
              <w:rPr>
                <w:i/>
                <w:iCs/>
              </w:rPr>
              <w:t xml:space="preserve">ssessment </w:t>
            </w:r>
            <w:r>
              <w:rPr>
                <w:i/>
                <w:iCs/>
              </w:rPr>
              <w:t>s</w:t>
            </w:r>
            <w:r w:rsidRPr="000329FE">
              <w:rPr>
                <w:i/>
                <w:iCs/>
              </w:rPr>
              <w:t xml:space="preserve">ervice and </w:t>
            </w:r>
            <w:r>
              <w:rPr>
                <w:i/>
                <w:iCs/>
              </w:rPr>
              <w:t>f</w:t>
            </w:r>
            <w:r w:rsidRPr="000329FE">
              <w:rPr>
                <w:i/>
                <w:iCs/>
              </w:rPr>
              <w:t xml:space="preserve">orensic </w:t>
            </w:r>
            <w:r>
              <w:rPr>
                <w:i/>
                <w:iCs/>
              </w:rPr>
              <w:t>o</w:t>
            </w:r>
            <w:r w:rsidRPr="000329FE">
              <w:rPr>
                <w:i/>
                <w:iCs/>
              </w:rPr>
              <w:t xml:space="preserve">utreach and </w:t>
            </w:r>
            <w:r>
              <w:rPr>
                <w:i/>
                <w:iCs/>
              </w:rPr>
              <w:t>l</w:t>
            </w:r>
            <w:r w:rsidRPr="000329FE">
              <w:rPr>
                <w:i/>
                <w:iCs/>
              </w:rPr>
              <w:t xml:space="preserve">iaison </w:t>
            </w:r>
            <w:r>
              <w:rPr>
                <w:i/>
                <w:iCs/>
              </w:rPr>
              <w:t>s</w:t>
            </w:r>
            <w:r w:rsidRPr="000329FE">
              <w:rPr>
                <w:i/>
                <w:iCs/>
              </w:rPr>
              <w:t>ervices (</w:t>
            </w:r>
            <w:r>
              <w:rPr>
                <w:i/>
                <w:iCs/>
              </w:rPr>
              <w:t>a</w:t>
            </w:r>
            <w:r w:rsidRPr="000329FE">
              <w:rPr>
                <w:i/>
                <w:iCs/>
              </w:rPr>
              <w:t>dult)</w:t>
            </w:r>
          </w:p>
        </w:tc>
      </w:tr>
      <w:tr w:rsidR="009636B7" w:rsidRPr="000329FE" w14:paraId="2C6E786E" w14:textId="77777777" w:rsidTr="00B721EF">
        <w:trPr>
          <w:cantSplit/>
        </w:trPr>
        <w:tc>
          <w:tcPr>
            <w:tcW w:w="1276" w:type="dxa"/>
            <w:vMerge/>
            <w:shd w:val="clear" w:color="auto" w:fill="auto"/>
          </w:tcPr>
          <w:p w14:paraId="6867BF1B" w14:textId="77777777" w:rsidR="009636B7" w:rsidRPr="000329FE" w:rsidRDefault="009636B7" w:rsidP="00B721EF">
            <w:pPr>
              <w:pStyle w:val="TableText"/>
              <w:ind w:right="113"/>
            </w:pPr>
          </w:p>
        </w:tc>
        <w:tc>
          <w:tcPr>
            <w:tcW w:w="2823" w:type="dxa"/>
          </w:tcPr>
          <w:p w14:paraId="6F1B66D7" w14:textId="77777777" w:rsidR="009636B7" w:rsidRPr="000329FE" w:rsidRDefault="009636B7" w:rsidP="00B721EF">
            <w:pPr>
              <w:pStyle w:val="TableText"/>
              <w:ind w:right="113"/>
            </w:pPr>
            <w:r w:rsidRPr="008C3F58">
              <w:t>Quality Network for P</w:t>
            </w:r>
            <w:r w:rsidRPr="000329FE">
              <w:t xml:space="preserve">rison Mental Health Services </w:t>
            </w:r>
            <w:r>
              <w:t>and</w:t>
            </w:r>
            <w:r w:rsidRPr="000329FE">
              <w:t xml:space="preserve"> Royal College of Psychiatrists</w:t>
            </w:r>
            <w:r w:rsidR="00B721EF">
              <w:t xml:space="preserve"> </w:t>
            </w:r>
            <w:r w:rsidRPr="000329FE">
              <w:t>(</w:t>
            </w:r>
            <w:r>
              <w:t>M</w:t>
            </w:r>
            <w:r w:rsidR="00B721EF">
              <w:t> </w:t>
            </w:r>
            <w:r w:rsidRPr="000329FE">
              <w:t>Georgiou</w:t>
            </w:r>
            <w:r>
              <w:t>, H </w:t>
            </w:r>
            <w:r w:rsidRPr="000329FE">
              <w:t xml:space="preserve">Stone </w:t>
            </w:r>
            <w:r>
              <w:t>and</w:t>
            </w:r>
            <w:r w:rsidRPr="000329FE">
              <w:t xml:space="preserve"> </w:t>
            </w:r>
            <w:r>
              <w:t>S</w:t>
            </w:r>
            <w:r w:rsidR="00B721EF">
              <w:t> </w:t>
            </w:r>
            <w:r w:rsidRPr="000329FE">
              <w:t>Davies</w:t>
            </w:r>
            <w:r>
              <w:t>(eds)</w:t>
            </w:r>
            <w:r w:rsidRPr="000329FE">
              <w:t>)</w:t>
            </w:r>
          </w:p>
        </w:tc>
        <w:tc>
          <w:tcPr>
            <w:tcW w:w="630" w:type="dxa"/>
          </w:tcPr>
          <w:p w14:paraId="094545DD" w14:textId="77777777" w:rsidR="009636B7" w:rsidRPr="000329FE" w:rsidRDefault="009636B7" w:rsidP="00B721EF">
            <w:pPr>
              <w:pStyle w:val="TableText"/>
              <w:jc w:val="center"/>
            </w:pPr>
            <w:r w:rsidRPr="000329FE">
              <w:t>2018</w:t>
            </w:r>
          </w:p>
        </w:tc>
        <w:tc>
          <w:tcPr>
            <w:tcW w:w="3351" w:type="dxa"/>
            <w:shd w:val="clear" w:color="auto" w:fill="auto"/>
          </w:tcPr>
          <w:p w14:paraId="4195D739" w14:textId="77777777" w:rsidR="009636B7" w:rsidRPr="000329FE" w:rsidRDefault="009636B7" w:rsidP="00B721EF">
            <w:pPr>
              <w:pStyle w:val="TableText"/>
              <w:ind w:left="113"/>
              <w:rPr>
                <w:i/>
                <w:iCs/>
              </w:rPr>
            </w:pPr>
            <w:r w:rsidRPr="000329FE">
              <w:rPr>
                <w:i/>
                <w:iCs/>
              </w:rPr>
              <w:t xml:space="preserve">Standards for Prison Mental Health Services </w:t>
            </w:r>
            <w:r w:rsidRPr="000329FE">
              <w:t>(4</w:t>
            </w:r>
            <w:r w:rsidRPr="005F2B75">
              <w:t>th</w:t>
            </w:r>
            <w:r w:rsidRPr="000329FE">
              <w:t xml:space="preserve"> ed)</w:t>
            </w:r>
          </w:p>
        </w:tc>
      </w:tr>
      <w:tr w:rsidR="009636B7" w:rsidRPr="000329FE" w14:paraId="04880582" w14:textId="77777777" w:rsidTr="00B721EF">
        <w:trPr>
          <w:cantSplit/>
        </w:trPr>
        <w:tc>
          <w:tcPr>
            <w:tcW w:w="1276" w:type="dxa"/>
            <w:vMerge/>
            <w:shd w:val="clear" w:color="auto" w:fill="auto"/>
          </w:tcPr>
          <w:p w14:paraId="250EDBD2" w14:textId="77777777" w:rsidR="009636B7" w:rsidRPr="000329FE" w:rsidRDefault="009636B7" w:rsidP="00B721EF">
            <w:pPr>
              <w:pStyle w:val="TableText"/>
              <w:ind w:right="113"/>
            </w:pPr>
          </w:p>
        </w:tc>
        <w:tc>
          <w:tcPr>
            <w:tcW w:w="2823" w:type="dxa"/>
          </w:tcPr>
          <w:p w14:paraId="4613C22F" w14:textId="77777777" w:rsidR="009636B7" w:rsidRPr="000329FE" w:rsidRDefault="009636B7" w:rsidP="00B721EF">
            <w:pPr>
              <w:pStyle w:val="TableText"/>
              <w:ind w:right="113"/>
            </w:pPr>
            <w:r w:rsidRPr="000329FE">
              <w:t xml:space="preserve">Quality Network for Prison Mental Health Services </w:t>
            </w:r>
            <w:r>
              <w:t>and</w:t>
            </w:r>
            <w:r w:rsidRPr="000329FE">
              <w:t xml:space="preserve"> Royal College of Psychiatrists</w:t>
            </w:r>
            <w:r w:rsidR="00B721EF">
              <w:t xml:space="preserve"> </w:t>
            </w:r>
            <w:r w:rsidRPr="000329FE">
              <w:t>(</w:t>
            </w:r>
            <w:r>
              <w:t>M</w:t>
            </w:r>
            <w:r w:rsidR="00B721EF">
              <w:t> </w:t>
            </w:r>
            <w:r w:rsidRPr="000329FE">
              <w:t>Georgiou</w:t>
            </w:r>
            <w:r>
              <w:t xml:space="preserve">, M </w:t>
            </w:r>
            <w:r w:rsidRPr="000329FE">
              <w:t xml:space="preserve">Oultram </w:t>
            </w:r>
            <w:r>
              <w:t>and</w:t>
            </w:r>
            <w:r w:rsidRPr="000329FE">
              <w:t xml:space="preserve"> </w:t>
            </w:r>
            <w:r>
              <w:t>H</w:t>
            </w:r>
            <w:r w:rsidR="00B721EF">
              <w:t> </w:t>
            </w:r>
            <w:r w:rsidRPr="000329FE">
              <w:t>Quazi</w:t>
            </w:r>
            <w:r>
              <w:t xml:space="preserve"> (eds)</w:t>
            </w:r>
            <w:r w:rsidRPr="000329FE">
              <w:t>)</w:t>
            </w:r>
          </w:p>
        </w:tc>
        <w:tc>
          <w:tcPr>
            <w:tcW w:w="630" w:type="dxa"/>
          </w:tcPr>
          <w:p w14:paraId="7F0D5611" w14:textId="77777777" w:rsidR="009636B7" w:rsidRPr="000329FE" w:rsidRDefault="009636B7" w:rsidP="00B721EF">
            <w:pPr>
              <w:pStyle w:val="TableText"/>
              <w:jc w:val="center"/>
            </w:pPr>
            <w:r w:rsidRPr="000329FE">
              <w:t>2019</w:t>
            </w:r>
          </w:p>
        </w:tc>
        <w:tc>
          <w:tcPr>
            <w:tcW w:w="3351" w:type="dxa"/>
            <w:shd w:val="clear" w:color="auto" w:fill="auto"/>
          </w:tcPr>
          <w:p w14:paraId="3DABD7F1" w14:textId="77777777" w:rsidR="009636B7" w:rsidRPr="000329FE" w:rsidRDefault="009636B7" w:rsidP="00B721EF">
            <w:pPr>
              <w:pStyle w:val="TableText"/>
              <w:ind w:left="113"/>
              <w:rPr>
                <w:i/>
                <w:iCs/>
              </w:rPr>
            </w:pPr>
            <w:r w:rsidRPr="000329FE">
              <w:rPr>
                <w:i/>
                <w:iCs/>
              </w:rPr>
              <w:t xml:space="preserve">Standards for Forensic Mental Health Services: Low and Medium Secure Care </w:t>
            </w:r>
            <w:r w:rsidRPr="000329FE">
              <w:t>(3</w:t>
            </w:r>
            <w:r w:rsidRPr="005F2B75">
              <w:t>rd</w:t>
            </w:r>
            <w:r w:rsidRPr="000329FE">
              <w:t xml:space="preserve"> ed)</w:t>
            </w:r>
          </w:p>
        </w:tc>
      </w:tr>
      <w:tr w:rsidR="009636B7" w:rsidRPr="000329FE" w14:paraId="2A62C170" w14:textId="77777777" w:rsidTr="00B721EF">
        <w:trPr>
          <w:cantSplit/>
        </w:trPr>
        <w:tc>
          <w:tcPr>
            <w:tcW w:w="1276" w:type="dxa"/>
            <w:vMerge w:val="restart"/>
            <w:shd w:val="clear" w:color="auto" w:fill="auto"/>
          </w:tcPr>
          <w:p w14:paraId="7147EE3E" w14:textId="77777777" w:rsidR="009636B7" w:rsidRPr="000329FE" w:rsidRDefault="009636B7" w:rsidP="00B721EF">
            <w:pPr>
              <w:pStyle w:val="TableText"/>
              <w:ind w:right="113"/>
            </w:pPr>
            <w:r w:rsidRPr="000329FE">
              <w:lastRenderedPageBreak/>
              <w:t>Scotland</w:t>
            </w:r>
          </w:p>
        </w:tc>
        <w:tc>
          <w:tcPr>
            <w:tcW w:w="2823" w:type="dxa"/>
          </w:tcPr>
          <w:p w14:paraId="6F8BAC31" w14:textId="77777777" w:rsidR="009636B7" w:rsidRPr="000329FE" w:rsidRDefault="009636B7" w:rsidP="00B721EF">
            <w:pPr>
              <w:pStyle w:val="TableText"/>
              <w:ind w:right="113"/>
            </w:pPr>
            <w:r w:rsidRPr="000329FE">
              <w:t>Forensic Mental Health Services Managed Care Network</w:t>
            </w:r>
            <w:r w:rsidR="00B721EF">
              <w:br/>
            </w:r>
            <w:r w:rsidRPr="000329FE">
              <w:t>(</w:t>
            </w:r>
            <w:r>
              <w:t xml:space="preserve">W </w:t>
            </w:r>
            <w:r w:rsidRPr="000329FE">
              <w:t xml:space="preserve">Black </w:t>
            </w:r>
            <w:r>
              <w:t>and</w:t>
            </w:r>
            <w:r w:rsidRPr="000329FE">
              <w:t xml:space="preserve"> </w:t>
            </w:r>
            <w:r>
              <w:t xml:space="preserve">A </w:t>
            </w:r>
            <w:r w:rsidRPr="000329FE">
              <w:t>Robertson)</w:t>
            </w:r>
          </w:p>
        </w:tc>
        <w:tc>
          <w:tcPr>
            <w:tcW w:w="630" w:type="dxa"/>
          </w:tcPr>
          <w:p w14:paraId="5C59D4C0" w14:textId="77777777" w:rsidR="009636B7" w:rsidRPr="000329FE" w:rsidRDefault="009636B7" w:rsidP="00B721EF">
            <w:pPr>
              <w:pStyle w:val="TableText"/>
              <w:jc w:val="center"/>
            </w:pPr>
            <w:r w:rsidRPr="000329FE">
              <w:t>2004</w:t>
            </w:r>
          </w:p>
        </w:tc>
        <w:tc>
          <w:tcPr>
            <w:tcW w:w="3351" w:type="dxa"/>
            <w:shd w:val="clear" w:color="auto" w:fill="auto"/>
          </w:tcPr>
          <w:p w14:paraId="7D43BAD0" w14:textId="77777777" w:rsidR="009636B7" w:rsidRPr="000329FE" w:rsidRDefault="009636B7" w:rsidP="00B721EF">
            <w:pPr>
              <w:pStyle w:val="TableText"/>
              <w:ind w:left="113"/>
              <w:rPr>
                <w:i/>
                <w:iCs/>
              </w:rPr>
            </w:pPr>
            <w:r w:rsidRPr="000329FE">
              <w:rPr>
                <w:i/>
                <w:iCs/>
              </w:rPr>
              <w:t>Report of the Services for Women Working Group</w:t>
            </w:r>
          </w:p>
        </w:tc>
      </w:tr>
      <w:tr w:rsidR="009636B7" w:rsidRPr="000329FE" w14:paraId="38EC61E0" w14:textId="77777777" w:rsidTr="00B721EF">
        <w:trPr>
          <w:cantSplit/>
        </w:trPr>
        <w:tc>
          <w:tcPr>
            <w:tcW w:w="1276" w:type="dxa"/>
            <w:vMerge/>
            <w:shd w:val="clear" w:color="auto" w:fill="auto"/>
          </w:tcPr>
          <w:p w14:paraId="29A3B38A" w14:textId="77777777" w:rsidR="009636B7" w:rsidRPr="000329FE" w:rsidRDefault="009636B7" w:rsidP="00B721EF">
            <w:pPr>
              <w:pStyle w:val="TableText"/>
              <w:ind w:right="113"/>
            </w:pPr>
          </w:p>
        </w:tc>
        <w:tc>
          <w:tcPr>
            <w:tcW w:w="2823" w:type="dxa"/>
          </w:tcPr>
          <w:p w14:paraId="082B8469" w14:textId="77777777" w:rsidR="009636B7" w:rsidRPr="000329FE" w:rsidRDefault="009636B7" w:rsidP="00B721EF">
            <w:pPr>
              <w:pStyle w:val="TableText"/>
              <w:ind w:right="113"/>
            </w:pPr>
            <w:r w:rsidRPr="000329FE">
              <w:t>Forensic Mental Health Services Managed Care Network</w:t>
            </w:r>
          </w:p>
        </w:tc>
        <w:tc>
          <w:tcPr>
            <w:tcW w:w="630" w:type="dxa"/>
          </w:tcPr>
          <w:p w14:paraId="08836A5E" w14:textId="77777777" w:rsidR="009636B7" w:rsidRPr="000329FE" w:rsidRDefault="009636B7" w:rsidP="00B721EF">
            <w:pPr>
              <w:pStyle w:val="TableText"/>
              <w:jc w:val="center"/>
            </w:pPr>
            <w:r w:rsidRPr="000329FE">
              <w:t>2008</w:t>
            </w:r>
          </w:p>
        </w:tc>
        <w:tc>
          <w:tcPr>
            <w:tcW w:w="3351" w:type="dxa"/>
            <w:shd w:val="clear" w:color="auto" w:fill="auto"/>
          </w:tcPr>
          <w:p w14:paraId="349450CC" w14:textId="77777777" w:rsidR="009636B7" w:rsidRPr="001A28C6" w:rsidRDefault="009636B7" w:rsidP="00B721EF">
            <w:pPr>
              <w:pStyle w:val="TableText"/>
              <w:ind w:left="113"/>
              <w:rPr>
                <w:i/>
                <w:iCs/>
              </w:rPr>
            </w:pPr>
            <w:r w:rsidRPr="00075571">
              <w:rPr>
                <w:i/>
                <w:iCs/>
              </w:rPr>
              <w:t>Leading Change in Forensic Services: A</w:t>
            </w:r>
            <w:r w:rsidR="00B721EF">
              <w:rPr>
                <w:i/>
                <w:iCs/>
              </w:rPr>
              <w:t> </w:t>
            </w:r>
            <w:r>
              <w:rPr>
                <w:i/>
                <w:iCs/>
              </w:rPr>
              <w:t>m</w:t>
            </w:r>
            <w:r w:rsidRPr="00075571">
              <w:rPr>
                <w:i/>
                <w:iCs/>
              </w:rPr>
              <w:t>ulti-</w:t>
            </w:r>
            <w:r>
              <w:rPr>
                <w:i/>
                <w:iCs/>
              </w:rPr>
              <w:t>d</w:t>
            </w:r>
            <w:r w:rsidRPr="00075571">
              <w:rPr>
                <w:i/>
                <w:iCs/>
              </w:rPr>
              <w:t xml:space="preserve">isciplinary and </w:t>
            </w:r>
            <w:r>
              <w:rPr>
                <w:i/>
                <w:iCs/>
              </w:rPr>
              <w:t>m</w:t>
            </w:r>
            <w:r w:rsidRPr="00075571">
              <w:rPr>
                <w:i/>
                <w:iCs/>
              </w:rPr>
              <w:t>ulti</w:t>
            </w:r>
            <w:r>
              <w:rPr>
                <w:i/>
                <w:iCs/>
              </w:rPr>
              <w:t>-a</w:t>
            </w:r>
            <w:r w:rsidRPr="00075571">
              <w:rPr>
                <w:i/>
                <w:iCs/>
              </w:rPr>
              <w:t xml:space="preserve">gency </w:t>
            </w:r>
            <w:r>
              <w:rPr>
                <w:i/>
                <w:iCs/>
              </w:rPr>
              <w:t>a</w:t>
            </w:r>
            <w:r w:rsidRPr="00075571">
              <w:rPr>
                <w:i/>
                <w:iCs/>
              </w:rPr>
              <w:t xml:space="preserve">pproach to </w:t>
            </w:r>
            <w:r>
              <w:rPr>
                <w:i/>
                <w:iCs/>
              </w:rPr>
              <w:t>i</w:t>
            </w:r>
            <w:r w:rsidRPr="00075571">
              <w:rPr>
                <w:i/>
                <w:iCs/>
              </w:rPr>
              <w:t xml:space="preserve">mprove </w:t>
            </w:r>
            <w:r>
              <w:rPr>
                <w:i/>
                <w:iCs/>
              </w:rPr>
              <w:t>c</w:t>
            </w:r>
            <w:r w:rsidRPr="00075571">
              <w:rPr>
                <w:i/>
                <w:iCs/>
              </w:rPr>
              <w:t xml:space="preserve">are </w:t>
            </w:r>
            <w:r>
              <w:rPr>
                <w:i/>
                <w:iCs/>
              </w:rPr>
              <w:t>p</w:t>
            </w:r>
            <w:r w:rsidRPr="00075571">
              <w:rPr>
                <w:i/>
                <w:iCs/>
              </w:rPr>
              <w:t xml:space="preserve">athways for </w:t>
            </w:r>
            <w:r>
              <w:rPr>
                <w:i/>
                <w:iCs/>
              </w:rPr>
              <w:t>f</w:t>
            </w:r>
            <w:r w:rsidRPr="00075571">
              <w:rPr>
                <w:i/>
                <w:iCs/>
              </w:rPr>
              <w:t xml:space="preserve">orensic </w:t>
            </w:r>
            <w:r>
              <w:rPr>
                <w:i/>
                <w:iCs/>
              </w:rPr>
              <w:t>s</w:t>
            </w:r>
            <w:r w:rsidRPr="00075571">
              <w:rPr>
                <w:i/>
                <w:iCs/>
              </w:rPr>
              <w:t xml:space="preserve">ervice </w:t>
            </w:r>
            <w:r>
              <w:rPr>
                <w:i/>
                <w:iCs/>
              </w:rPr>
              <w:t>u</w:t>
            </w:r>
            <w:r w:rsidRPr="00075571">
              <w:rPr>
                <w:i/>
                <w:iCs/>
              </w:rPr>
              <w:t>sers in Scotland</w:t>
            </w:r>
          </w:p>
        </w:tc>
      </w:tr>
      <w:tr w:rsidR="009636B7" w:rsidRPr="000329FE" w14:paraId="42783587" w14:textId="77777777" w:rsidTr="00B721EF">
        <w:trPr>
          <w:cantSplit/>
        </w:trPr>
        <w:tc>
          <w:tcPr>
            <w:tcW w:w="1276" w:type="dxa"/>
            <w:vMerge/>
            <w:shd w:val="clear" w:color="auto" w:fill="auto"/>
          </w:tcPr>
          <w:p w14:paraId="5F7397F4" w14:textId="77777777" w:rsidR="009636B7" w:rsidRPr="000329FE" w:rsidRDefault="009636B7" w:rsidP="00B721EF">
            <w:pPr>
              <w:pStyle w:val="TableText"/>
              <w:ind w:right="113"/>
            </w:pPr>
          </w:p>
        </w:tc>
        <w:tc>
          <w:tcPr>
            <w:tcW w:w="2823" w:type="dxa"/>
          </w:tcPr>
          <w:p w14:paraId="709953B7" w14:textId="77777777" w:rsidR="009636B7" w:rsidRPr="000329FE" w:rsidRDefault="009636B7" w:rsidP="00B721EF">
            <w:pPr>
              <w:pStyle w:val="TableText"/>
              <w:ind w:right="113"/>
            </w:pPr>
            <w:r w:rsidRPr="000329FE">
              <w:t>Forensic Mental Health Services Managed Care Network</w:t>
            </w:r>
            <w:r w:rsidR="00B721EF">
              <w:br/>
            </w:r>
            <w:r w:rsidRPr="000329FE">
              <w:t>(</w:t>
            </w:r>
            <w:r>
              <w:t>DJ </w:t>
            </w:r>
            <w:r w:rsidRPr="000329FE">
              <w:t>Hall)</w:t>
            </w:r>
          </w:p>
        </w:tc>
        <w:tc>
          <w:tcPr>
            <w:tcW w:w="630" w:type="dxa"/>
          </w:tcPr>
          <w:p w14:paraId="452D78C9" w14:textId="77777777" w:rsidR="009636B7" w:rsidRPr="000329FE" w:rsidRDefault="009636B7" w:rsidP="00B721EF">
            <w:pPr>
              <w:pStyle w:val="TableText"/>
              <w:jc w:val="center"/>
            </w:pPr>
            <w:r w:rsidRPr="000329FE">
              <w:t>2010</w:t>
            </w:r>
          </w:p>
        </w:tc>
        <w:tc>
          <w:tcPr>
            <w:tcW w:w="3351" w:type="dxa"/>
            <w:shd w:val="clear" w:color="auto" w:fill="auto"/>
          </w:tcPr>
          <w:p w14:paraId="7C7F80AC" w14:textId="77777777" w:rsidR="009636B7" w:rsidRPr="00075571" w:rsidRDefault="009636B7" w:rsidP="00B721EF">
            <w:pPr>
              <w:pStyle w:val="TableText"/>
              <w:ind w:left="113"/>
              <w:rPr>
                <w:i/>
                <w:iCs/>
              </w:rPr>
            </w:pPr>
            <w:r w:rsidRPr="000329FE">
              <w:rPr>
                <w:i/>
                <w:iCs/>
              </w:rPr>
              <w:t>Forensic Long</w:t>
            </w:r>
            <w:r>
              <w:rPr>
                <w:i/>
                <w:iCs/>
              </w:rPr>
              <w:t xml:space="preserve"> </w:t>
            </w:r>
            <w:r w:rsidRPr="000329FE">
              <w:rPr>
                <w:i/>
                <w:iCs/>
              </w:rPr>
              <w:t xml:space="preserve">Term Care: Report of </w:t>
            </w:r>
            <w:r>
              <w:rPr>
                <w:i/>
                <w:iCs/>
              </w:rPr>
              <w:t>w</w:t>
            </w:r>
            <w:r w:rsidRPr="000329FE">
              <w:rPr>
                <w:i/>
                <w:iCs/>
              </w:rPr>
              <w:t xml:space="preserve">orking </w:t>
            </w:r>
            <w:r>
              <w:rPr>
                <w:i/>
                <w:iCs/>
              </w:rPr>
              <w:t>g</w:t>
            </w:r>
            <w:r w:rsidRPr="000329FE">
              <w:rPr>
                <w:i/>
                <w:iCs/>
              </w:rPr>
              <w:t>roup</w:t>
            </w:r>
          </w:p>
        </w:tc>
      </w:tr>
      <w:tr w:rsidR="009636B7" w:rsidRPr="000329FE" w14:paraId="40067B1B" w14:textId="77777777" w:rsidTr="00B721EF">
        <w:trPr>
          <w:cantSplit/>
        </w:trPr>
        <w:tc>
          <w:tcPr>
            <w:tcW w:w="1276" w:type="dxa"/>
            <w:vMerge/>
            <w:shd w:val="clear" w:color="auto" w:fill="auto"/>
          </w:tcPr>
          <w:p w14:paraId="18AA5D61" w14:textId="77777777" w:rsidR="009636B7" w:rsidRPr="000329FE" w:rsidRDefault="009636B7" w:rsidP="00B721EF">
            <w:pPr>
              <w:pStyle w:val="TableText"/>
              <w:ind w:right="113"/>
            </w:pPr>
          </w:p>
        </w:tc>
        <w:tc>
          <w:tcPr>
            <w:tcW w:w="2823" w:type="dxa"/>
          </w:tcPr>
          <w:p w14:paraId="5ACD03D7" w14:textId="77777777" w:rsidR="009636B7" w:rsidRPr="000329FE" w:rsidRDefault="009636B7" w:rsidP="00B721EF">
            <w:pPr>
              <w:pStyle w:val="TableText"/>
              <w:ind w:right="113"/>
            </w:pPr>
            <w:r w:rsidRPr="000329FE">
              <w:t>Forensic Mental Health Services Managed Care Network, Care Standards Working Group</w:t>
            </w:r>
          </w:p>
        </w:tc>
        <w:tc>
          <w:tcPr>
            <w:tcW w:w="630" w:type="dxa"/>
          </w:tcPr>
          <w:p w14:paraId="06193264" w14:textId="77777777" w:rsidR="009636B7" w:rsidRPr="000329FE" w:rsidRDefault="009636B7" w:rsidP="00B721EF">
            <w:pPr>
              <w:pStyle w:val="TableText"/>
              <w:jc w:val="center"/>
            </w:pPr>
            <w:r w:rsidRPr="000329FE">
              <w:t>2005</w:t>
            </w:r>
          </w:p>
        </w:tc>
        <w:tc>
          <w:tcPr>
            <w:tcW w:w="3351" w:type="dxa"/>
            <w:shd w:val="clear" w:color="auto" w:fill="auto"/>
          </w:tcPr>
          <w:p w14:paraId="0FAECD4B" w14:textId="77777777" w:rsidR="009636B7" w:rsidRPr="00075571" w:rsidRDefault="009636B7" w:rsidP="00B721EF">
            <w:pPr>
              <w:pStyle w:val="TableText"/>
              <w:ind w:left="113"/>
              <w:rPr>
                <w:i/>
                <w:iCs/>
              </w:rPr>
            </w:pPr>
            <w:r w:rsidRPr="000329FE">
              <w:rPr>
                <w:i/>
                <w:iCs/>
              </w:rPr>
              <w:t>Care Standards for Forensic Mental Health Inpatient Facilities in Scotland</w:t>
            </w:r>
          </w:p>
        </w:tc>
      </w:tr>
      <w:tr w:rsidR="009636B7" w:rsidRPr="000329FE" w14:paraId="4A5A5391" w14:textId="77777777" w:rsidTr="00B721EF">
        <w:trPr>
          <w:cantSplit/>
        </w:trPr>
        <w:tc>
          <w:tcPr>
            <w:tcW w:w="1276" w:type="dxa"/>
            <w:vMerge/>
            <w:shd w:val="clear" w:color="auto" w:fill="auto"/>
          </w:tcPr>
          <w:p w14:paraId="53AD91E0" w14:textId="77777777" w:rsidR="009636B7" w:rsidRPr="000329FE" w:rsidRDefault="009636B7" w:rsidP="00B721EF">
            <w:pPr>
              <w:pStyle w:val="TableText"/>
              <w:ind w:right="113"/>
            </w:pPr>
          </w:p>
        </w:tc>
        <w:tc>
          <w:tcPr>
            <w:tcW w:w="2823" w:type="dxa"/>
          </w:tcPr>
          <w:p w14:paraId="44C21AC3" w14:textId="77777777" w:rsidR="009636B7" w:rsidRPr="000329FE" w:rsidRDefault="009636B7" w:rsidP="00B721EF">
            <w:pPr>
              <w:pStyle w:val="TableText"/>
              <w:ind w:right="113"/>
            </w:pPr>
            <w:r w:rsidRPr="000329FE">
              <w:t>Forensic Mental Health Services Managed Care Network, Care Standards Working Group</w:t>
            </w:r>
          </w:p>
        </w:tc>
        <w:tc>
          <w:tcPr>
            <w:tcW w:w="630" w:type="dxa"/>
          </w:tcPr>
          <w:p w14:paraId="65898341" w14:textId="77777777" w:rsidR="009636B7" w:rsidRPr="000329FE" w:rsidRDefault="009636B7" w:rsidP="00B721EF">
            <w:pPr>
              <w:pStyle w:val="TableText"/>
              <w:jc w:val="center"/>
            </w:pPr>
            <w:r w:rsidRPr="000329FE">
              <w:t>2006</w:t>
            </w:r>
          </w:p>
        </w:tc>
        <w:tc>
          <w:tcPr>
            <w:tcW w:w="3351" w:type="dxa"/>
            <w:shd w:val="clear" w:color="auto" w:fill="auto"/>
          </w:tcPr>
          <w:p w14:paraId="677D3B56" w14:textId="77777777" w:rsidR="009636B7" w:rsidRPr="00075571" w:rsidRDefault="009636B7" w:rsidP="00B721EF">
            <w:pPr>
              <w:pStyle w:val="TableText"/>
              <w:ind w:left="113"/>
              <w:rPr>
                <w:i/>
                <w:iCs/>
              </w:rPr>
            </w:pPr>
            <w:r w:rsidRPr="000329FE">
              <w:rPr>
                <w:i/>
                <w:iCs/>
              </w:rPr>
              <w:t>High Secure Care Standards</w:t>
            </w:r>
          </w:p>
        </w:tc>
      </w:tr>
      <w:tr w:rsidR="009636B7" w:rsidRPr="000329FE" w14:paraId="40FFEC24" w14:textId="77777777" w:rsidTr="00B721EF">
        <w:trPr>
          <w:cantSplit/>
        </w:trPr>
        <w:tc>
          <w:tcPr>
            <w:tcW w:w="1276" w:type="dxa"/>
            <w:vMerge/>
            <w:shd w:val="clear" w:color="auto" w:fill="auto"/>
          </w:tcPr>
          <w:p w14:paraId="0644CF26" w14:textId="77777777" w:rsidR="009636B7" w:rsidRPr="000329FE" w:rsidRDefault="009636B7" w:rsidP="00B721EF">
            <w:pPr>
              <w:pStyle w:val="TableText"/>
              <w:ind w:right="113"/>
            </w:pPr>
          </w:p>
        </w:tc>
        <w:tc>
          <w:tcPr>
            <w:tcW w:w="2823" w:type="dxa"/>
          </w:tcPr>
          <w:p w14:paraId="18CBA6BF" w14:textId="77777777" w:rsidR="009636B7" w:rsidRPr="000329FE" w:rsidRDefault="009636B7" w:rsidP="00B721EF">
            <w:pPr>
              <w:pStyle w:val="TableText"/>
              <w:ind w:right="113"/>
            </w:pPr>
            <w:r w:rsidRPr="000329FE">
              <w:t>Forensic Mental Health Services Managed Care Network, Care Standards Working Group</w:t>
            </w:r>
          </w:p>
        </w:tc>
        <w:tc>
          <w:tcPr>
            <w:tcW w:w="630" w:type="dxa"/>
          </w:tcPr>
          <w:p w14:paraId="57C89ADE" w14:textId="77777777" w:rsidR="009636B7" w:rsidRPr="000329FE" w:rsidRDefault="009636B7" w:rsidP="00B721EF">
            <w:pPr>
              <w:pStyle w:val="TableText"/>
              <w:jc w:val="center"/>
            </w:pPr>
            <w:r w:rsidRPr="000329FE">
              <w:t>2006</w:t>
            </w:r>
          </w:p>
        </w:tc>
        <w:tc>
          <w:tcPr>
            <w:tcW w:w="3351" w:type="dxa"/>
            <w:shd w:val="clear" w:color="auto" w:fill="auto"/>
          </w:tcPr>
          <w:p w14:paraId="45EA1A4E" w14:textId="77777777" w:rsidR="009636B7" w:rsidRPr="00075571" w:rsidRDefault="009636B7" w:rsidP="00B721EF">
            <w:pPr>
              <w:pStyle w:val="TableText"/>
              <w:ind w:left="113"/>
              <w:rPr>
                <w:i/>
                <w:iCs/>
              </w:rPr>
            </w:pPr>
            <w:r w:rsidRPr="000329FE">
              <w:rPr>
                <w:i/>
                <w:iCs/>
              </w:rPr>
              <w:t>Low Secure Care Standards</w:t>
            </w:r>
          </w:p>
        </w:tc>
      </w:tr>
      <w:tr w:rsidR="009636B7" w:rsidRPr="000329FE" w14:paraId="55A388AF" w14:textId="77777777" w:rsidTr="00B721EF">
        <w:trPr>
          <w:cantSplit/>
        </w:trPr>
        <w:tc>
          <w:tcPr>
            <w:tcW w:w="1276" w:type="dxa"/>
            <w:vMerge/>
            <w:shd w:val="clear" w:color="auto" w:fill="auto"/>
          </w:tcPr>
          <w:p w14:paraId="3512F7B2" w14:textId="77777777" w:rsidR="009636B7" w:rsidRPr="000329FE" w:rsidRDefault="009636B7" w:rsidP="00B721EF">
            <w:pPr>
              <w:pStyle w:val="TableText"/>
              <w:ind w:right="113"/>
            </w:pPr>
          </w:p>
        </w:tc>
        <w:tc>
          <w:tcPr>
            <w:tcW w:w="2823" w:type="dxa"/>
          </w:tcPr>
          <w:p w14:paraId="33B5409B" w14:textId="77777777" w:rsidR="009636B7" w:rsidRPr="000329FE" w:rsidRDefault="009636B7" w:rsidP="00B721EF">
            <w:pPr>
              <w:pStyle w:val="TableText"/>
              <w:ind w:right="113"/>
            </w:pPr>
            <w:r w:rsidRPr="000329FE">
              <w:t>Forensic Mental Health Services Managed Care Network, Community Services Working Group</w:t>
            </w:r>
          </w:p>
        </w:tc>
        <w:tc>
          <w:tcPr>
            <w:tcW w:w="630" w:type="dxa"/>
          </w:tcPr>
          <w:p w14:paraId="4B7C4516" w14:textId="77777777" w:rsidR="009636B7" w:rsidRPr="000329FE" w:rsidRDefault="009636B7" w:rsidP="00B721EF">
            <w:pPr>
              <w:pStyle w:val="TableText"/>
              <w:jc w:val="center"/>
            </w:pPr>
            <w:r w:rsidRPr="000329FE">
              <w:t>2005</w:t>
            </w:r>
          </w:p>
        </w:tc>
        <w:tc>
          <w:tcPr>
            <w:tcW w:w="3351" w:type="dxa"/>
            <w:shd w:val="clear" w:color="auto" w:fill="auto"/>
          </w:tcPr>
          <w:p w14:paraId="79734178" w14:textId="77777777" w:rsidR="009636B7" w:rsidRPr="00075571" w:rsidRDefault="009636B7" w:rsidP="00B721EF">
            <w:pPr>
              <w:pStyle w:val="TableText"/>
              <w:ind w:left="113"/>
              <w:rPr>
                <w:i/>
                <w:iCs/>
              </w:rPr>
            </w:pPr>
            <w:r w:rsidRPr="000329FE">
              <w:rPr>
                <w:i/>
                <w:iCs/>
              </w:rPr>
              <w:t>Community Services for Mentally Disordered Offenders in Scotland</w:t>
            </w:r>
          </w:p>
        </w:tc>
      </w:tr>
      <w:tr w:rsidR="009636B7" w:rsidRPr="000329FE" w14:paraId="7F58DCC2" w14:textId="77777777" w:rsidTr="00B721EF">
        <w:trPr>
          <w:cantSplit/>
        </w:trPr>
        <w:tc>
          <w:tcPr>
            <w:tcW w:w="1276" w:type="dxa"/>
            <w:vMerge/>
            <w:shd w:val="clear" w:color="auto" w:fill="auto"/>
          </w:tcPr>
          <w:p w14:paraId="7DBF9795" w14:textId="77777777" w:rsidR="009636B7" w:rsidRPr="000329FE" w:rsidRDefault="009636B7" w:rsidP="00B721EF">
            <w:pPr>
              <w:pStyle w:val="TableText"/>
              <w:ind w:right="113"/>
            </w:pPr>
          </w:p>
        </w:tc>
        <w:tc>
          <w:tcPr>
            <w:tcW w:w="2823" w:type="dxa"/>
          </w:tcPr>
          <w:p w14:paraId="3A27328E" w14:textId="77777777" w:rsidR="009636B7" w:rsidRPr="000329FE" w:rsidRDefault="009636B7" w:rsidP="00B721EF">
            <w:pPr>
              <w:pStyle w:val="TableText"/>
              <w:ind w:right="113"/>
            </w:pPr>
            <w:r w:rsidRPr="000329FE">
              <w:t>Forensic Mental Health Services Managed Care Network, Matrix Working Group</w:t>
            </w:r>
          </w:p>
        </w:tc>
        <w:tc>
          <w:tcPr>
            <w:tcW w:w="630" w:type="dxa"/>
          </w:tcPr>
          <w:p w14:paraId="0CCB3C25" w14:textId="77777777" w:rsidR="009636B7" w:rsidRPr="000329FE" w:rsidRDefault="009636B7" w:rsidP="00B721EF">
            <w:pPr>
              <w:pStyle w:val="TableText"/>
              <w:jc w:val="center"/>
            </w:pPr>
            <w:r w:rsidRPr="000329FE">
              <w:t>2012</w:t>
            </w:r>
          </w:p>
        </w:tc>
        <w:tc>
          <w:tcPr>
            <w:tcW w:w="3351" w:type="dxa"/>
            <w:shd w:val="clear" w:color="auto" w:fill="auto"/>
          </w:tcPr>
          <w:p w14:paraId="6BCF00A6" w14:textId="77777777" w:rsidR="009636B7" w:rsidRPr="001A28C6" w:rsidRDefault="00EE0ADB" w:rsidP="00B721EF">
            <w:pPr>
              <w:pStyle w:val="TableText"/>
              <w:ind w:left="113"/>
              <w:rPr>
                <w:i/>
                <w:iCs/>
              </w:rPr>
            </w:pPr>
            <w:r>
              <w:rPr>
                <w:i/>
                <w:iCs/>
              </w:rPr>
              <w:t>‘</w:t>
            </w:r>
            <w:r w:rsidR="009636B7">
              <w:rPr>
                <w:i/>
                <w:iCs/>
              </w:rPr>
              <w:t xml:space="preserve">The </w:t>
            </w:r>
            <w:r w:rsidR="009636B7" w:rsidRPr="00075571">
              <w:rPr>
                <w:i/>
                <w:iCs/>
              </w:rPr>
              <w:t>Forensic Mental Health Matrix</w:t>
            </w:r>
            <w:r>
              <w:rPr>
                <w:i/>
                <w:iCs/>
              </w:rPr>
              <w:t>’</w:t>
            </w:r>
            <w:r w:rsidR="009636B7" w:rsidRPr="00075571">
              <w:rPr>
                <w:i/>
                <w:iCs/>
              </w:rPr>
              <w:t>: A</w:t>
            </w:r>
            <w:r w:rsidR="00B721EF">
              <w:rPr>
                <w:i/>
                <w:iCs/>
              </w:rPr>
              <w:t> </w:t>
            </w:r>
            <w:r w:rsidR="009636B7">
              <w:rPr>
                <w:i/>
                <w:iCs/>
              </w:rPr>
              <w:t>g</w:t>
            </w:r>
            <w:r w:rsidR="009636B7" w:rsidRPr="00075571">
              <w:rPr>
                <w:i/>
                <w:iCs/>
              </w:rPr>
              <w:t xml:space="preserve">uide to </w:t>
            </w:r>
            <w:r w:rsidR="009636B7">
              <w:rPr>
                <w:i/>
                <w:iCs/>
              </w:rPr>
              <w:t>d</w:t>
            </w:r>
            <w:r w:rsidR="009636B7" w:rsidRPr="00075571">
              <w:rPr>
                <w:i/>
                <w:iCs/>
              </w:rPr>
              <w:t xml:space="preserve">elivering </w:t>
            </w:r>
            <w:r w:rsidR="009636B7">
              <w:rPr>
                <w:i/>
                <w:iCs/>
              </w:rPr>
              <w:t>e</w:t>
            </w:r>
            <w:r w:rsidR="009636B7" w:rsidRPr="00075571">
              <w:rPr>
                <w:i/>
                <w:iCs/>
              </w:rPr>
              <w:t xml:space="preserve">vidence </w:t>
            </w:r>
            <w:r w:rsidR="009636B7">
              <w:rPr>
                <w:i/>
                <w:iCs/>
              </w:rPr>
              <w:t>b</w:t>
            </w:r>
            <w:r w:rsidR="009636B7" w:rsidRPr="00075571">
              <w:rPr>
                <w:i/>
                <w:iCs/>
              </w:rPr>
              <w:t xml:space="preserve">ased </w:t>
            </w:r>
            <w:r w:rsidR="009636B7">
              <w:rPr>
                <w:i/>
                <w:iCs/>
              </w:rPr>
              <w:t>p</w:t>
            </w:r>
            <w:r w:rsidR="009636B7" w:rsidRPr="00075571">
              <w:rPr>
                <w:i/>
                <w:iCs/>
              </w:rPr>
              <w:t xml:space="preserve">sychological </w:t>
            </w:r>
            <w:r w:rsidR="009636B7">
              <w:rPr>
                <w:i/>
                <w:iCs/>
              </w:rPr>
              <w:t>t</w:t>
            </w:r>
            <w:r w:rsidR="009636B7" w:rsidRPr="00075571">
              <w:rPr>
                <w:i/>
                <w:iCs/>
              </w:rPr>
              <w:t xml:space="preserve">herapies in </w:t>
            </w:r>
            <w:r w:rsidR="009636B7">
              <w:rPr>
                <w:i/>
                <w:iCs/>
              </w:rPr>
              <w:t>f</w:t>
            </w:r>
            <w:r w:rsidR="009636B7" w:rsidRPr="00075571">
              <w:rPr>
                <w:i/>
                <w:iCs/>
              </w:rPr>
              <w:t xml:space="preserve">orensic </w:t>
            </w:r>
            <w:r w:rsidR="009636B7">
              <w:rPr>
                <w:i/>
                <w:iCs/>
              </w:rPr>
              <w:t>m</w:t>
            </w:r>
            <w:r w:rsidR="009636B7" w:rsidRPr="00075571">
              <w:rPr>
                <w:i/>
                <w:iCs/>
              </w:rPr>
              <w:t xml:space="preserve">ental </w:t>
            </w:r>
            <w:r w:rsidR="009636B7">
              <w:rPr>
                <w:i/>
                <w:iCs/>
              </w:rPr>
              <w:t>h</w:t>
            </w:r>
            <w:r w:rsidR="009636B7" w:rsidRPr="00075571">
              <w:rPr>
                <w:i/>
                <w:iCs/>
              </w:rPr>
              <w:t xml:space="preserve">ealth </w:t>
            </w:r>
            <w:r w:rsidR="009636B7">
              <w:rPr>
                <w:i/>
                <w:iCs/>
              </w:rPr>
              <w:t>s</w:t>
            </w:r>
            <w:r w:rsidR="009636B7" w:rsidRPr="00075571">
              <w:rPr>
                <w:i/>
                <w:iCs/>
              </w:rPr>
              <w:t>ervices in Scotland</w:t>
            </w:r>
          </w:p>
        </w:tc>
      </w:tr>
      <w:tr w:rsidR="009636B7" w:rsidRPr="000329FE" w14:paraId="07D35B9C" w14:textId="77777777" w:rsidTr="00B721EF">
        <w:trPr>
          <w:cantSplit/>
        </w:trPr>
        <w:tc>
          <w:tcPr>
            <w:tcW w:w="1276" w:type="dxa"/>
            <w:vMerge/>
            <w:shd w:val="clear" w:color="auto" w:fill="auto"/>
          </w:tcPr>
          <w:p w14:paraId="0F19F371" w14:textId="77777777" w:rsidR="009636B7" w:rsidRPr="000329FE" w:rsidRDefault="009636B7" w:rsidP="00B721EF">
            <w:pPr>
              <w:pStyle w:val="TableText"/>
              <w:ind w:right="113"/>
            </w:pPr>
          </w:p>
        </w:tc>
        <w:tc>
          <w:tcPr>
            <w:tcW w:w="2823" w:type="dxa"/>
          </w:tcPr>
          <w:p w14:paraId="719CFE5B" w14:textId="77777777" w:rsidR="009636B7" w:rsidRPr="000329FE" w:rsidRDefault="009636B7" w:rsidP="00B721EF">
            <w:pPr>
              <w:pStyle w:val="TableText"/>
              <w:ind w:right="113"/>
            </w:pPr>
            <w:r w:rsidRPr="000329FE">
              <w:t>Forensic Mental Health Services Managed Care Network</w:t>
            </w:r>
          </w:p>
        </w:tc>
        <w:tc>
          <w:tcPr>
            <w:tcW w:w="630" w:type="dxa"/>
          </w:tcPr>
          <w:p w14:paraId="2ED6CDC3" w14:textId="77777777" w:rsidR="009636B7" w:rsidRPr="000329FE" w:rsidRDefault="009636B7" w:rsidP="00B721EF">
            <w:pPr>
              <w:pStyle w:val="TableText"/>
              <w:jc w:val="center"/>
            </w:pPr>
            <w:r w:rsidRPr="000329FE">
              <w:t>2017</w:t>
            </w:r>
          </w:p>
        </w:tc>
        <w:tc>
          <w:tcPr>
            <w:tcW w:w="3351" w:type="dxa"/>
            <w:shd w:val="clear" w:color="auto" w:fill="auto"/>
          </w:tcPr>
          <w:p w14:paraId="01A0907A" w14:textId="77777777" w:rsidR="009636B7" w:rsidRPr="000329FE" w:rsidRDefault="009636B7" w:rsidP="00B721EF">
            <w:pPr>
              <w:pStyle w:val="TableText"/>
              <w:ind w:left="113"/>
              <w:rPr>
                <w:i/>
                <w:iCs/>
              </w:rPr>
            </w:pPr>
            <w:r w:rsidRPr="000329FE">
              <w:rPr>
                <w:i/>
                <w:iCs/>
              </w:rPr>
              <w:t xml:space="preserve">Forensic Mental Health Services Managed Care Network: Annual </w:t>
            </w:r>
            <w:r>
              <w:rPr>
                <w:i/>
                <w:iCs/>
              </w:rPr>
              <w:t>r</w:t>
            </w:r>
            <w:r w:rsidRPr="000329FE">
              <w:rPr>
                <w:i/>
                <w:iCs/>
              </w:rPr>
              <w:t>eport 2016</w:t>
            </w:r>
            <w:r>
              <w:rPr>
                <w:i/>
                <w:iCs/>
              </w:rPr>
              <w:t>–</w:t>
            </w:r>
            <w:r w:rsidRPr="000329FE">
              <w:rPr>
                <w:i/>
                <w:iCs/>
              </w:rPr>
              <w:t>2017</w:t>
            </w:r>
          </w:p>
        </w:tc>
      </w:tr>
      <w:tr w:rsidR="009636B7" w:rsidRPr="000329FE" w14:paraId="47B2F84D" w14:textId="77777777" w:rsidTr="00B721EF">
        <w:trPr>
          <w:cantSplit/>
        </w:trPr>
        <w:tc>
          <w:tcPr>
            <w:tcW w:w="1276" w:type="dxa"/>
            <w:vMerge/>
            <w:shd w:val="clear" w:color="auto" w:fill="auto"/>
          </w:tcPr>
          <w:p w14:paraId="526E277E" w14:textId="77777777" w:rsidR="009636B7" w:rsidRPr="000329FE" w:rsidRDefault="009636B7" w:rsidP="00B721EF">
            <w:pPr>
              <w:pStyle w:val="TableText"/>
              <w:ind w:right="113"/>
            </w:pPr>
          </w:p>
        </w:tc>
        <w:tc>
          <w:tcPr>
            <w:tcW w:w="2823" w:type="dxa"/>
          </w:tcPr>
          <w:p w14:paraId="66EDFE7A" w14:textId="77777777" w:rsidR="009636B7" w:rsidRPr="000329FE" w:rsidRDefault="009636B7" w:rsidP="00B721EF">
            <w:pPr>
              <w:pStyle w:val="TableText"/>
              <w:ind w:right="113"/>
            </w:pPr>
            <w:r w:rsidRPr="000329FE">
              <w:t>National Prisoner Healthcare Network</w:t>
            </w:r>
          </w:p>
        </w:tc>
        <w:tc>
          <w:tcPr>
            <w:tcW w:w="630" w:type="dxa"/>
          </w:tcPr>
          <w:p w14:paraId="53486D7A" w14:textId="77777777" w:rsidR="009636B7" w:rsidRPr="000329FE" w:rsidRDefault="009636B7" w:rsidP="00B721EF">
            <w:pPr>
              <w:pStyle w:val="TableText"/>
              <w:jc w:val="center"/>
            </w:pPr>
            <w:r w:rsidRPr="000329FE">
              <w:t>2014</w:t>
            </w:r>
          </w:p>
        </w:tc>
        <w:tc>
          <w:tcPr>
            <w:tcW w:w="3351" w:type="dxa"/>
            <w:shd w:val="clear" w:color="auto" w:fill="auto"/>
          </w:tcPr>
          <w:p w14:paraId="1C9CD563" w14:textId="77777777" w:rsidR="009636B7" w:rsidRPr="000329FE" w:rsidRDefault="009636B7" w:rsidP="00B721EF">
            <w:pPr>
              <w:pStyle w:val="TableText"/>
              <w:ind w:left="113"/>
              <w:rPr>
                <w:i/>
                <w:iCs/>
              </w:rPr>
            </w:pPr>
            <w:r w:rsidRPr="000329FE">
              <w:rPr>
                <w:i/>
                <w:iCs/>
              </w:rPr>
              <w:t>National Prisoner Healthcare Network Mental Health Sub</w:t>
            </w:r>
            <w:r>
              <w:rPr>
                <w:i/>
                <w:iCs/>
              </w:rPr>
              <w:t xml:space="preserve"> G</w:t>
            </w:r>
            <w:r w:rsidRPr="000329FE">
              <w:rPr>
                <w:i/>
                <w:iCs/>
              </w:rPr>
              <w:t xml:space="preserve">roup: Final </w:t>
            </w:r>
            <w:r>
              <w:rPr>
                <w:i/>
                <w:iCs/>
              </w:rPr>
              <w:t>r</w:t>
            </w:r>
            <w:r w:rsidRPr="000329FE">
              <w:rPr>
                <w:i/>
                <w:iCs/>
              </w:rPr>
              <w:t xml:space="preserve">eport </w:t>
            </w:r>
          </w:p>
        </w:tc>
      </w:tr>
      <w:tr w:rsidR="009636B7" w:rsidRPr="000329FE" w14:paraId="7DDE554E" w14:textId="77777777" w:rsidTr="00B721EF">
        <w:trPr>
          <w:cantSplit/>
        </w:trPr>
        <w:tc>
          <w:tcPr>
            <w:tcW w:w="1276" w:type="dxa"/>
            <w:vMerge/>
            <w:shd w:val="clear" w:color="auto" w:fill="auto"/>
          </w:tcPr>
          <w:p w14:paraId="37EC8ACC" w14:textId="77777777" w:rsidR="009636B7" w:rsidRPr="000329FE" w:rsidRDefault="009636B7" w:rsidP="00B721EF">
            <w:pPr>
              <w:pStyle w:val="TableText"/>
              <w:ind w:right="113"/>
            </w:pPr>
          </w:p>
        </w:tc>
        <w:tc>
          <w:tcPr>
            <w:tcW w:w="2823" w:type="dxa"/>
          </w:tcPr>
          <w:p w14:paraId="0895925F" w14:textId="77777777" w:rsidR="009636B7" w:rsidRPr="000329FE" w:rsidRDefault="009636B7" w:rsidP="00B721EF">
            <w:pPr>
              <w:pStyle w:val="TableText"/>
              <w:ind w:right="113"/>
            </w:pPr>
            <w:r w:rsidRPr="000329FE">
              <w:t>National Prisoner Healthcare Network</w:t>
            </w:r>
          </w:p>
        </w:tc>
        <w:tc>
          <w:tcPr>
            <w:tcW w:w="630" w:type="dxa"/>
          </w:tcPr>
          <w:p w14:paraId="6D1D0D51" w14:textId="77777777" w:rsidR="009636B7" w:rsidRPr="000329FE" w:rsidRDefault="009636B7" w:rsidP="00B721EF">
            <w:pPr>
              <w:pStyle w:val="TableText"/>
              <w:jc w:val="center"/>
            </w:pPr>
            <w:r w:rsidRPr="000329FE">
              <w:t>2016</w:t>
            </w:r>
          </w:p>
        </w:tc>
        <w:tc>
          <w:tcPr>
            <w:tcW w:w="3351" w:type="dxa"/>
            <w:shd w:val="clear" w:color="auto" w:fill="auto"/>
          </w:tcPr>
          <w:p w14:paraId="0E94CF38" w14:textId="77777777" w:rsidR="009636B7" w:rsidRPr="000329FE" w:rsidRDefault="009636B7" w:rsidP="00B721EF">
            <w:pPr>
              <w:pStyle w:val="TableText"/>
              <w:ind w:left="113"/>
              <w:rPr>
                <w:i/>
                <w:iCs/>
              </w:rPr>
            </w:pPr>
            <w:r w:rsidRPr="000329FE">
              <w:rPr>
                <w:i/>
                <w:iCs/>
              </w:rPr>
              <w:t>National Prisoner Healthcare Network Mental Health Sub</w:t>
            </w:r>
            <w:r>
              <w:rPr>
                <w:i/>
                <w:iCs/>
              </w:rPr>
              <w:t xml:space="preserve"> G</w:t>
            </w:r>
            <w:r w:rsidRPr="000329FE">
              <w:rPr>
                <w:i/>
                <w:iCs/>
              </w:rPr>
              <w:t xml:space="preserve">roup: Implementation </w:t>
            </w:r>
            <w:r>
              <w:rPr>
                <w:i/>
                <w:iCs/>
              </w:rPr>
              <w:t>r</w:t>
            </w:r>
            <w:r w:rsidRPr="000329FE">
              <w:rPr>
                <w:i/>
                <w:iCs/>
              </w:rPr>
              <w:t>eport</w:t>
            </w:r>
            <w:r>
              <w:rPr>
                <w:i/>
                <w:iCs/>
              </w:rPr>
              <w:t xml:space="preserve"> </w:t>
            </w:r>
            <w:r w:rsidRPr="000329FE">
              <w:rPr>
                <w:i/>
                <w:iCs/>
              </w:rPr>
              <w:t xml:space="preserve">– </w:t>
            </w:r>
            <w:r>
              <w:rPr>
                <w:i/>
                <w:iCs/>
              </w:rPr>
              <w:t>p</w:t>
            </w:r>
            <w:r w:rsidRPr="000329FE">
              <w:rPr>
                <w:i/>
                <w:iCs/>
              </w:rPr>
              <w:t>ost</w:t>
            </w:r>
            <w:r w:rsidR="00B721EF">
              <w:rPr>
                <w:i/>
                <w:iCs/>
              </w:rPr>
              <w:t> </w:t>
            </w:r>
            <w:r>
              <w:rPr>
                <w:i/>
                <w:iCs/>
              </w:rPr>
              <w:t>c</w:t>
            </w:r>
            <w:r w:rsidRPr="000329FE">
              <w:rPr>
                <w:i/>
                <w:iCs/>
              </w:rPr>
              <w:t>onsultation</w:t>
            </w:r>
          </w:p>
        </w:tc>
      </w:tr>
      <w:tr w:rsidR="009636B7" w:rsidRPr="000329FE" w14:paraId="6E5ABFBA" w14:textId="77777777" w:rsidTr="00B721EF">
        <w:trPr>
          <w:cantSplit/>
        </w:trPr>
        <w:tc>
          <w:tcPr>
            <w:tcW w:w="1276" w:type="dxa"/>
            <w:vMerge w:val="restart"/>
            <w:shd w:val="clear" w:color="auto" w:fill="auto"/>
          </w:tcPr>
          <w:p w14:paraId="557B99DB" w14:textId="77777777" w:rsidR="009636B7" w:rsidRPr="000329FE" w:rsidRDefault="009636B7" w:rsidP="00B721EF">
            <w:pPr>
              <w:pStyle w:val="TableText"/>
              <w:keepNext/>
              <w:ind w:right="113"/>
            </w:pPr>
            <w:r w:rsidRPr="000329FE">
              <w:lastRenderedPageBreak/>
              <w:t>Ireland</w:t>
            </w:r>
          </w:p>
        </w:tc>
        <w:tc>
          <w:tcPr>
            <w:tcW w:w="2823" w:type="dxa"/>
          </w:tcPr>
          <w:p w14:paraId="01CA3E9A" w14:textId="77777777" w:rsidR="009636B7" w:rsidRPr="000329FE" w:rsidRDefault="009636B7" w:rsidP="00B721EF">
            <w:pPr>
              <w:pStyle w:val="TableText"/>
              <w:keepNext/>
              <w:ind w:right="113"/>
            </w:pPr>
            <w:r>
              <w:t>HG </w:t>
            </w:r>
            <w:r w:rsidRPr="000329FE">
              <w:t>Kennedy</w:t>
            </w:r>
            <w:r>
              <w:t>, C </w:t>
            </w:r>
            <w:r w:rsidRPr="000329FE">
              <w:t>O</w:t>
            </w:r>
            <w:r w:rsidR="00EE0ADB">
              <w:t>’</w:t>
            </w:r>
            <w:r w:rsidRPr="000329FE">
              <w:t xml:space="preserve">Neill, </w:t>
            </w:r>
            <w:r>
              <w:t>G </w:t>
            </w:r>
            <w:r w:rsidRPr="000329FE">
              <w:t>Flynn</w:t>
            </w:r>
            <w:r>
              <w:t xml:space="preserve"> </w:t>
            </w:r>
            <w:r w:rsidR="00AD0D58">
              <w:t>et al</w:t>
            </w:r>
          </w:p>
        </w:tc>
        <w:tc>
          <w:tcPr>
            <w:tcW w:w="630" w:type="dxa"/>
          </w:tcPr>
          <w:p w14:paraId="46D05DD5" w14:textId="77777777" w:rsidR="009636B7" w:rsidRPr="000329FE" w:rsidRDefault="009636B7" w:rsidP="00B721EF">
            <w:pPr>
              <w:pStyle w:val="TableText"/>
              <w:keepNext/>
              <w:jc w:val="center"/>
            </w:pPr>
            <w:r w:rsidRPr="000329FE">
              <w:t>2016</w:t>
            </w:r>
          </w:p>
        </w:tc>
        <w:tc>
          <w:tcPr>
            <w:tcW w:w="3351" w:type="dxa"/>
            <w:shd w:val="clear" w:color="auto" w:fill="auto"/>
          </w:tcPr>
          <w:p w14:paraId="42AC7D96" w14:textId="77777777" w:rsidR="009636B7" w:rsidRPr="000329FE" w:rsidRDefault="009636B7" w:rsidP="00B721EF">
            <w:pPr>
              <w:pStyle w:val="TableText"/>
              <w:keepNext/>
              <w:ind w:left="113"/>
              <w:rPr>
                <w:i/>
                <w:iCs/>
              </w:rPr>
            </w:pPr>
            <w:r w:rsidRPr="000329FE">
              <w:rPr>
                <w:i/>
                <w:iCs/>
              </w:rPr>
              <w:t>The DUNDRUM Toolkit: Dangerousness</w:t>
            </w:r>
            <w:r>
              <w:rPr>
                <w:i/>
                <w:iCs/>
              </w:rPr>
              <w:t>,</w:t>
            </w:r>
            <w:r w:rsidRPr="000329FE">
              <w:rPr>
                <w:i/>
                <w:iCs/>
              </w:rPr>
              <w:t xml:space="preserve"> understanding, recovery and urgency manual (The DUNDRUM Quartet)</w:t>
            </w:r>
          </w:p>
        </w:tc>
      </w:tr>
      <w:tr w:rsidR="009636B7" w:rsidRPr="000329FE" w14:paraId="028EA61D" w14:textId="77777777" w:rsidTr="00B721EF">
        <w:trPr>
          <w:cantSplit/>
        </w:trPr>
        <w:tc>
          <w:tcPr>
            <w:tcW w:w="1276" w:type="dxa"/>
            <w:vMerge/>
            <w:shd w:val="clear" w:color="auto" w:fill="auto"/>
          </w:tcPr>
          <w:p w14:paraId="2A7A336A" w14:textId="77777777" w:rsidR="009636B7" w:rsidRPr="000329FE" w:rsidRDefault="009636B7" w:rsidP="00B721EF">
            <w:pPr>
              <w:pStyle w:val="TableText"/>
              <w:keepNext/>
              <w:ind w:right="113"/>
            </w:pPr>
          </w:p>
        </w:tc>
        <w:tc>
          <w:tcPr>
            <w:tcW w:w="2823" w:type="dxa"/>
          </w:tcPr>
          <w:p w14:paraId="2D133244" w14:textId="77777777" w:rsidR="009636B7" w:rsidRPr="000329FE" w:rsidRDefault="009636B7" w:rsidP="00B721EF">
            <w:pPr>
              <w:pStyle w:val="TableText"/>
              <w:keepNext/>
              <w:ind w:right="113"/>
            </w:pPr>
            <w:r w:rsidRPr="000329FE">
              <w:t>Mental Health Commission</w:t>
            </w:r>
          </w:p>
        </w:tc>
        <w:tc>
          <w:tcPr>
            <w:tcW w:w="630" w:type="dxa"/>
          </w:tcPr>
          <w:p w14:paraId="547C1C7D" w14:textId="77777777" w:rsidR="009636B7" w:rsidRPr="000329FE" w:rsidRDefault="009636B7" w:rsidP="00B721EF">
            <w:pPr>
              <w:pStyle w:val="TableText"/>
              <w:keepNext/>
              <w:jc w:val="center"/>
            </w:pPr>
            <w:r w:rsidRPr="000329FE">
              <w:t>2006</w:t>
            </w:r>
          </w:p>
        </w:tc>
        <w:tc>
          <w:tcPr>
            <w:tcW w:w="3351" w:type="dxa"/>
            <w:shd w:val="clear" w:color="auto" w:fill="auto"/>
          </w:tcPr>
          <w:p w14:paraId="385DD3AF" w14:textId="77777777" w:rsidR="009636B7" w:rsidRPr="000329FE" w:rsidRDefault="009636B7" w:rsidP="00B721EF">
            <w:pPr>
              <w:pStyle w:val="TableText"/>
              <w:keepNext/>
              <w:ind w:left="113"/>
              <w:rPr>
                <w:i/>
                <w:iCs/>
              </w:rPr>
            </w:pPr>
            <w:r w:rsidRPr="000329FE">
              <w:rPr>
                <w:i/>
                <w:iCs/>
              </w:rPr>
              <w:t xml:space="preserve">Forensic Mental Health Services for Adults in Ireland: Discussion </w:t>
            </w:r>
            <w:r>
              <w:rPr>
                <w:i/>
                <w:iCs/>
              </w:rPr>
              <w:t>p</w:t>
            </w:r>
            <w:r w:rsidRPr="000329FE">
              <w:rPr>
                <w:i/>
                <w:iCs/>
              </w:rPr>
              <w:t>aper</w:t>
            </w:r>
          </w:p>
        </w:tc>
      </w:tr>
      <w:tr w:rsidR="009636B7" w:rsidRPr="000329FE" w14:paraId="44A089ED" w14:textId="77777777" w:rsidTr="00B721EF">
        <w:trPr>
          <w:cantSplit/>
        </w:trPr>
        <w:tc>
          <w:tcPr>
            <w:tcW w:w="1276" w:type="dxa"/>
            <w:vMerge/>
            <w:shd w:val="clear" w:color="auto" w:fill="auto"/>
          </w:tcPr>
          <w:p w14:paraId="3587493A" w14:textId="77777777" w:rsidR="009636B7" w:rsidRPr="000329FE" w:rsidRDefault="009636B7" w:rsidP="00B721EF">
            <w:pPr>
              <w:pStyle w:val="TableText"/>
              <w:keepNext/>
              <w:ind w:right="113"/>
            </w:pPr>
          </w:p>
        </w:tc>
        <w:tc>
          <w:tcPr>
            <w:tcW w:w="2823" w:type="dxa"/>
          </w:tcPr>
          <w:p w14:paraId="221113BC" w14:textId="77777777" w:rsidR="009636B7" w:rsidRPr="000329FE" w:rsidRDefault="009636B7" w:rsidP="00B721EF">
            <w:pPr>
              <w:pStyle w:val="TableText"/>
              <w:keepNext/>
              <w:ind w:right="113"/>
            </w:pPr>
            <w:r w:rsidRPr="000329FE">
              <w:t>Mental Health Commission</w:t>
            </w:r>
          </w:p>
        </w:tc>
        <w:tc>
          <w:tcPr>
            <w:tcW w:w="630" w:type="dxa"/>
          </w:tcPr>
          <w:p w14:paraId="042EDFBA" w14:textId="77777777" w:rsidR="009636B7" w:rsidRPr="000329FE" w:rsidRDefault="009636B7" w:rsidP="00B721EF">
            <w:pPr>
              <w:pStyle w:val="TableText"/>
              <w:keepNext/>
              <w:jc w:val="center"/>
            </w:pPr>
            <w:r w:rsidRPr="000329FE">
              <w:t>2011</w:t>
            </w:r>
          </w:p>
        </w:tc>
        <w:tc>
          <w:tcPr>
            <w:tcW w:w="3351" w:type="dxa"/>
            <w:shd w:val="clear" w:color="auto" w:fill="auto"/>
          </w:tcPr>
          <w:p w14:paraId="1549A08A" w14:textId="77777777" w:rsidR="009636B7" w:rsidRPr="000329FE" w:rsidRDefault="009636B7" w:rsidP="00B721EF">
            <w:pPr>
              <w:pStyle w:val="TableText"/>
              <w:keepNext/>
              <w:ind w:left="113"/>
              <w:rPr>
                <w:i/>
                <w:iCs/>
              </w:rPr>
            </w:pPr>
            <w:r w:rsidRPr="000329FE">
              <w:rPr>
                <w:i/>
                <w:iCs/>
              </w:rPr>
              <w:t xml:space="preserve">Forensic Mental Health Services for Adults in Ireland: Position </w:t>
            </w:r>
            <w:r>
              <w:rPr>
                <w:i/>
                <w:iCs/>
              </w:rPr>
              <w:t>p</w:t>
            </w:r>
            <w:r w:rsidRPr="000329FE">
              <w:rPr>
                <w:i/>
                <w:iCs/>
              </w:rPr>
              <w:t>aper</w:t>
            </w:r>
          </w:p>
        </w:tc>
      </w:tr>
      <w:tr w:rsidR="009636B7" w:rsidRPr="000329FE" w14:paraId="5D81850A" w14:textId="77777777" w:rsidTr="00B721EF">
        <w:trPr>
          <w:cantSplit/>
        </w:trPr>
        <w:tc>
          <w:tcPr>
            <w:tcW w:w="1276" w:type="dxa"/>
            <w:vMerge/>
            <w:shd w:val="clear" w:color="auto" w:fill="auto"/>
          </w:tcPr>
          <w:p w14:paraId="5DD820FD" w14:textId="77777777" w:rsidR="009636B7" w:rsidRPr="000329FE" w:rsidRDefault="009636B7" w:rsidP="00B721EF">
            <w:pPr>
              <w:pStyle w:val="TableText"/>
              <w:keepNext/>
              <w:ind w:right="113"/>
            </w:pPr>
          </w:p>
        </w:tc>
        <w:tc>
          <w:tcPr>
            <w:tcW w:w="2823" w:type="dxa"/>
          </w:tcPr>
          <w:p w14:paraId="47766639" w14:textId="77777777" w:rsidR="009636B7" w:rsidRPr="000329FE" w:rsidRDefault="009636B7" w:rsidP="00B721EF">
            <w:pPr>
              <w:pStyle w:val="TableText"/>
              <w:keepNext/>
              <w:ind w:right="113"/>
            </w:pPr>
            <w:r w:rsidRPr="000329FE">
              <w:t>Mental Health Commission</w:t>
            </w:r>
            <w:r w:rsidR="00B721EF">
              <w:br/>
            </w:r>
            <w:r w:rsidRPr="000329FE">
              <w:t>(</w:t>
            </w:r>
            <w:r>
              <w:t xml:space="preserve">O </w:t>
            </w:r>
            <w:r w:rsidRPr="000329FE">
              <w:t>O</w:t>
            </w:r>
            <w:r w:rsidR="00EE0ADB">
              <w:t>’</w:t>
            </w:r>
            <w:r w:rsidRPr="000329FE">
              <w:t>Neill)</w:t>
            </w:r>
          </w:p>
        </w:tc>
        <w:tc>
          <w:tcPr>
            <w:tcW w:w="630" w:type="dxa"/>
          </w:tcPr>
          <w:p w14:paraId="243C6A28" w14:textId="77777777" w:rsidR="009636B7" w:rsidRPr="000329FE" w:rsidRDefault="009636B7" w:rsidP="00B721EF">
            <w:pPr>
              <w:pStyle w:val="TableText"/>
              <w:keepNext/>
              <w:jc w:val="center"/>
            </w:pPr>
            <w:r w:rsidRPr="000329FE">
              <w:t>2012</w:t>
            </w:r>
          </w:p>
        </w:tc>
        <w:tc>
          <w:tcPr>
            <w:tcW w:w="3351" w:type="dxa"/>
            <w:shd w:val="clear" w:color="auto" w:fill="auto"/>
          </w:tcPr>
          <w:p w14:paraId="3CC14504" w14:textId="77777777" w:rsidR="009636B7" w:rsidRPr="000329FE" w:rsidRDefault="009636B7" w:rsidP="00B721EF">
            <w:pPr>
              <w:pStyle w:val="TableText"/>
              <w:keepNext/>
              <w:ind w:left="113"/>
              <w:rPr>
                <w:i/>
                <w:iCs/>
              </w:rPr>
            </w:pPr>
            <w:r w:rsidRPr="000329FE">
              <w:rPr>
                <w:i/>
                <w:iCs/>
              </w:rPr>
              <w:t>National Overview of Forensic Mental Health Services Ireland 2011</w:t>
            </w:r>
          </w:p>
        </w:tc>
      </w:tr>
      <w:tr w:rsidR="009636B7" w:rsidRPr="000329FE" w14:paraId="55631F80" w14:textId="77777777" w:rsidTr="00B721EF">
        <w:trPr>
          <w:cantSplit/>
        </w:trPr>
        <w:tc>
          <w:tcPr>
            <w:tcW w:w="1276" w:type="dxa"/>
            <w:vMerge/>
            <w:shd w:val="clear" w:color="auto" w:fill="auto"/>
          </w:tcPr>
          <w:p w14:paraId="4CD9C1A0" w14:textId="77777777" w:rsidR="009636B7" w:rsidRPr="000329FE" w:rsidRDefault="009636B7" w:rsidP="00B721EF">
            <w:pPr>
              <w:pStyle w:val="TableText"/>
              <w:keepNext/>
              <w:ind w:right="113"/>
            </w:pPr>
          </w:p>
        </w:tc>
        <w:tc>
          <w:tcPr>
            <w:tcW w:w="2823" w:type="dxa"/>
          </w:tcPr>
          <w:p w14:paraId="58E5EDAA" w14:textId="77777777" w:rsidR="009636B7" w:rsidRPr="000329FE" w:rsidRDefault="009636B7" w:rsidP="00B721EF">
            <w:pPr>
              <w:pStyle w:val="TableText"/>
              <w:keepNext/>
              <w:ind w:right="113"/>
            </w:pPr>
            <w:r w:rsidRPr="000329FE">
              <w:t>Health Service Executive, Mental Health Division</w:t>
            </w:r>
          </w:p>
        </w:tc>
        <w:tc>
          <w:tcPr>
            <w:tcW w:w="630" w:type="dxa"/>
          </w:tcPr>
          <w:p w14:paraId="07DB8B19" w14:textId="77777777" w:rsidR="009636B7" w:rsidRPr="000329FE" w:rsidRDefault="009636B7" w:rsidP="00B721EF">
            <w:pPr>
              <w:pStyle w:val="TableText"/>
              <w:keepNext/>
              <w:jc w:val="center"/>
            </w:pPr>
            <w:r w:rsidRPr="000329FE">
              <w:t>2016</w:t>
            </w:r>
          </w:p>
        </w:tc>
        <w:tc>
          <w:tcPr>
            <w:tcW w:w="3351" w:type="dxa"/>
            <w:shd w:val="clear" w:color="auto" w:fill="auto"/>
          </w:tcPr>
          <w:p w14:paraId="0C73E69F" w14:textId="77777777" w:rsidR="009636B7" w:rsidRPr="000329FE" w:rsidRDefault="009636B7" w:rsidP="00B721EF">
            <w:pPr>
              <w:pStyle w:val="TableText"/>
              <w:keepNext/>
              <w:ind w:left="113"/>
              <w:rPr>
                <w:i/>
                <w:iCs/>
              </w:rPr>
            </w:pPr>
            <w:r w:rsidRPr="000329FE">
              <w:rPr>
                <w:i/>
                <w:iCs/>
              </w:rPr>
              <w:t>Delivering Specialist Mental Health Services</w:t>
            </w:r>
          </w:p>
        </w:tc>
      </w:tr>
      <w:tr w:rsidR="009636B7" w:rsidRPr="000329FE" w14:paraId="58DF38A9" w14:textId="77777777" w:rsidTr="00B721EF">
        <w:trPr>
          <w:cantSplit/>
        </w:trPr>
        <w:tc>
          <w:tcPr>
            <w:tcW w:w="1276" w:type="dxa"/>
            <w:shd w:val="clear" w:color="auto" w:fill="auto"/>
          </w:tcPr>
          <w:p w14:paraId="56BC651D" w14:textId="77777777" w:rsidR="009636B7" w:rsidRPr="000329FE" w:rsidRDefault="009636B7" w:rsidP="00B721EF">
            <w:pPr>
              <w:pStyle w:val="TableText"/>
              <w:ind w:right="113"/>
            </w:pPr>
            <w:r w:rsidRPr="000329FE">
              <w:t>Victoria, Australia</w:t>
            </w:r>
          </w:p>
        </w:tc>
        <w:tc>
          <w:tcPr>
            <w:tcW w:w="2823" w:type="dxa"/>
          </w:tcPr>
          <w:p w14:paraId="147FEDCB" w14:textId="77777777" w:rsidR="009636B7" w:rsidRPr="000329FE" w:rsidRDefault="009636B7" w:rsidP="00B721EF">
            <w:pPr>
              <w:pStyle w:val="TableText"/>
              <w:ind w:right="113"/>
            </w:pPr>
            <w:r w:rsidRPr="000329FE">
              <w:t>Forensicare</w:t>
            </w:r>
          </w:p>
        </w:tc>
        <w:tc>
          <w:tcPr>
            <w:tcW w:w="630" w:type="dxa"/>
          </w:tcPr>
          <w:p w14:paraId="0AD23993" w14:textId="77777777" w:rsidR="009636B7" w:rsidRPr="000329FE" w:rsidRDefault="009636B7" w:rsidP="00B721EF">
            <w:pPr>
              <w:pStyle w:val="TableText"/>
              <w:jc w:val="center"/>
            </w:pPr>
            <w:r w:rsidRPr="000329FE">
              <w:t>2019</w:t>
            </w:r>
          </w:p>
        </w:tc>
        <w:tc>
          <w:tcPr>
            <w:tcW w:w="3351" w:type="dxa"/>
            <w:shd w:val="clear" w:color="auto" w:fill="auto"/>
          </w:tcPr>
          <w:p w14:paraId="3DF7720D" w14:textId="77777777" w:rsidR="009636B7" w:rsidRPr="000329FE" w:rsidRDefault="009636B7" w:rsidP="00B721EF">
            <w:pPr>
              <w:pStyle w:val="TableText"/>
              <w:ind w:left="113"/>
              <w:rPr>
                <w:i/>
                <w:iCs/>
              </w:rPr>
            </w:pPr>
            <w:r w:rsidRPr="000329FE">
              <w:rPr>
                <w:i/>
                <w:iCs/>
              </w:rPr>
              <w:t>Forensicare Strategic Plan</w:t>
            </w:r>
            <w:r w:rsidR="00B721EF">
              <w:rPr>
                <w:i/>
                <w:iCs/>
              </w:rPr>
              <w:br/>
            </w:r>
            <w:r w:rsidRPr="000329FE">
              <w:rPr>
                <w:i/>
                <w:iCs/>
              </w:rPr>
              <w:t>2018/19–2020/21</w:t>
            </w:r>
          </w:p>
        </w:tc>
      </w:tr>
    </w:tbl>
    <w:p w14:paraId="068D805E" w14:textId="77777777" w:rsidR="009636B7" w:rsidRPr="000329FE" w:rsidRDefault="009636B7" w:rsidP="00B721EF"/>
    <w:p w14:paraId="7D8248DF" w14:textId="77777777" w:rsidR="009636B7" w:rsidRPr="000329FE" w:rsidRDefault="009636B7" w:rsidP="00B721EF">
      <w:pPr>
        <w:pStyle w:val="Heading4"/>
      </w:pPr>
      <w:r w:rsidRPr="000329FE">
        <w:t>England</w:t>
      </w:r>
    </w:p>
    <w:p w14:paraId="0A329218" w14:textId="77777777" w:rsidR="009636B7" w:rsidRPr="000329FE" w:rsidRDefault="009636B7" w:rsidP="00B721EF">
      <w:r w:rsidRPr="000329FE">
        <w:t>Forensic mental health services in England fall under the purview of the National Health Service (NHS)</w:t>
      </w:r>
      <w:r>
        <w:t>,</w:t>
      </w:r>
      <w:r w:rsidRPr="000329FE">
        <w:t xml:space="preserve"> and vary between the regions in terms of service structure and model</w:t>
      </w:r>
      <w:r>
        <w:t>s</w:t>
      </w:r>
      <w:r w:rsidRPr="000329FE">
        <w:t xml:space="preserve"> of care.</w:t>
      </w:r>
    </w:p>
    <w:p w14:paraId="511B5897" w14:textId="77777777" w:rsidR="009636B7" w:rsidRPr="000329FE" w:rsidRDefault="009636B7" w:rsidP="00B721EF"/>
    <w:p w14:paraId="212289B3" w14:textId="77777777" w:rsidR="00EE0ADB" w:rsidRDefault="009636B7" w:rsidP="00B721EF">
      <w:r w:rsidRPr="000329FE">
        <w:t>Despite this regional variation, several national bodies have issued guidelines governing different aspects of FMHS</w:t>
      </w:r>
      <w:r>
        <w:t>s</w:t>
      </w:r>
      <w:r w:rsidRPr="000329FE">
        <w:t xml:space="preserve">. Indeed, the documents </w:t>
      </w:r>
      <w:r>
        <w:t xml:space="preserve">the researchers </w:t>
      </w:r>
      <w:r w:rsidRPr="000329FE">
        <w:t>reviewed regarding FMHS</w:t>
      </w:r>
      <w:r>
        <w:t>s</w:t>
      </w:r>
      <w:r w:rsidRPr="000329FE">
        <w:t xml:space="preserve"> in England consisted primarily of guidelines or standards for the typical main service areas, including for: (a) low/medium secure inpatient services (NHS England nd-a, nd-b; Quality Network for Prison Mental Health Services </w:t>
      </w:r>
      <w:r>
        <w:t>and</w:t>
      </w:r>
      <w:r w:rsidRPr="000329FE">
        <w:t xml:space="preserve"> Royal College of Psychiatrists 2019), (b) prisons (Quality Network for Prison Mental Health Services </w:t>
      </w:r>
      <w:r>
        <w:t>and</w:t>
      </w:r>
      <w:r w:rsidRPr="000329FE">
        <w:t xml:space="preserve"> Royal College of Psychiatrists 2018), and (c) justice-involved adults more generally (</w:t>
      </w:r>
      <w:r w:rsidRPr="00075571">
        <w:rPr>
          <w:shd w:val="clear" w:color="auto" w:fill="FFFFFF"/>
        </w:rPr>
        <w:t>National Institute for Health and Care Excellence</w:t>
      </w:r>
      <w:r w:rsidRPr="000329FE">
        <w:t xml:space="preserve"> 2017). Within the inpatient context, emphasis is placed on relational security</w:t>
      </w:r>
      <w:r>
        <w:t>,</w:t>
      </w:r>
      <w:r w:rsidRPr="000329FE">
        <w:t xml:space="preserve"> in keeping with the other jurisdictions. In both the prison and community context</w:t>
      </w:r>
      <w:r>
        <w:t>s</w:t>
      </w:r>
      <w:r w:rsidRPr="000329FE">
        <w:t xml:space="preserve">, a case management approach is </w:t>
      </w:r>
      <w:r>
        <w:t xml:space="preserve">seen </w:t>
      </w:r>
      <w:r w:rsidRPr="000329FE">
        <w:t>as best practice. Notably, while a service model was suggested in the community context in terms of developing forensic community teams (NHS England 2018a 2018b), no models of care were clearly articulated in the grey literature.</w:t>
      </w:r>
    </w:p>
    <w:p w14:paraId="450960A2" w14:textId="77777777" w:rsidR="00B721EF" w:rsidRDefault="00B721EF" w:rsidP="00B721EF"/>
    <w:p w14:paraId="13CD0111" w14:textId="77777777" w:rsidR="009636B7" w:rsidRPr="000329FE" w:rsidRDefault="009636B7" w:rsidP="00B721EF">
      <w:pPr>
        <w:pStyle w:val="Heading4"/>
      </w:pPr>
      <w:r w:rsidRPr="000329FE">
        <w:t>Scotland</w:t>
      </w:r>
    </w:p>
    <w:p w14:paraId="3AAEB754" w14:textId="77777777" w:rsidR="00EE0ADB" w:rsidRDefault="009636B7" w:rsidP="00B721EF">
      <w:r w:rsidRPr="000329FE">
        <w:t>Scotland</w:t>
      </w:r>
      <w:r w:rsidR="00EE0ADB">
        <w:t>’</w:t>
      </w:r>
      <w:r w:rsidRPr="000329FE">
        <w:t xml:space="preserve">s Forensic Network consists of a </w:t>
      </w:r>
      <w:r w:rsidR="00EE0ADB">
        <w:t>‘</w:t>
      </w:r>
      <w:r w:rsidRPr="000329FE">
        <w:t>managed care pathway</w:t>
      </w:r>
      <w:r w:rsidR="00EE0ADB">
        <w:t>’</w:t>
      </w:r>
      <w:r w:rsidRPr="000329FE">
        <w:t xml:space="preserve"> that provides holistic, integrated services for all FMHS users. This pathway is multi</w:t>
      </w:r>
      <w:r>
        <w:t>-</w:t>
      </w:r>
      <w:r w:rsidRPr="000329FE">
        <w:t>agency and multi</w:t>
      </w:r>
      <w:r>
        <w:t>-</w:t>
      </w:r>
      <w:r w:rsidRPr="000329FE">
        <w:t>disciplinary</w:t>
      </w:r>
      <w:r>
        <w:t>,</w:t>
      </w:r>
      <w:r w:rsidRPr="000329FE">
        <w:t xml:space="preserve"> and thus comprises a </w:t>
      </w:r>
      <w:r w:rsidR="00EE0ADB">
        <w:t>‘</w:t>
      </w:r>
      <w:r w:rsidRPr="000329FE">
        <w:t>network</w:t>
      </w:r>
      <w:r w:rsidR="00EE0ADB">
        <w:t>’</w:t>
      </w:r>
      <w:r w:rsidRPr="000329FE">
        <w:t xml:space="preserve"> of coordinated joint service providers across the different levels of security (Forensic Mental Health Services Managed Care Network 2008). In this way, the pathway represents a </w:t>
      </w:r>
      <w:r w:rsidR="00EE0ADB">
        <w:t>‘</w:t>
      </w:r>
      <w:r w:rsidRPr="000329FE">
        <w:t>pan-Scotland approach to the planning of services and patient pathways</w:t>
      </w:r>
      <w:r w:rsidR="00EE0ADB">
        <w:t>’</w:t>
      </w:r>
      <w:r>
        <w:t>,</w:t>
      </w:r>
      <w:r w:rsidRPr="000329FE">
        <w:t xml:space="preserve"> which includes </w:t>
      </w:r>
      <w:r w:rsidR="00EE0ADB">
        <w:t>‘</w:t>
      </w:r>
      <w:r w:rsidRPr="000329FE">
        <w:t>the commissioning of research to establish an evidence base for future service development</w:t>
      </w:r>
      <w:r w:rsidR="00EE0ADB">
        <w:t>’</w:t>
      </w:r>
      <w:r w:rsidRPr="000329FE">
        <w:t xml:space="preserve"> and teaching to assist in workforce development (Forensic Mental Health Services Managed Care Network 2017</w:t>
      </w:r>
      <w:r w:rsidR="005054ED">
        <w:t>, p. </w:t>
      </w:r>
      <w:r w:rsidRPr="000329FE">
        <w:t>6).</w:t>
      </w:r>
    </w:p>
    <w:p w14:paraId="5BBBD64C" w14:textId="77777777" w:rsidR="00EE0ADB" w:rsidRDefault="009636B7" w:rsidP="00B721EF">
      <w:pPr>
        <w:spacing w:before="240"/>
      </w:pPr>
      <w:r>
        <w:lastRenderedPageBreak/>
        <w:t>S</w:t>
      </w:r>
      <w:r w:rsidRPr="000329FE">
        <w:t xml:space="preserve">everal documents </w:t>
      </w:r>
      <w:r>
        <w:t xml:space="preserve">the researchers reviewed </w:t>
      </w:r>
      <w:r w:rsidRPr="000329FE">
        <w:t>outline the care standards or models for various arms of the service, including high secure care (Forensic Mental Health Service</w:t>
      </w:r>
      <w:r>
        <w:t>s</w:t>
      </w:r>
      <w:r w:rsidRPr="000329FE">
        <w:t xml:space="preserve"> Managed Care Network </w:t>
      </w:r>
      <w:r>
        <w:t>2006</w:t>
      </w:r>
      <w:r w:rsidRPr="000329FE">
        <w:t>-a), low secure care (Forensic Mental Health Service</w:t>
      </w:r>
      <w:r>
        <w:t>s</w:t>
      </w:r>
      <w:r w:rsidRPr="000329FE">
        <w:t xml:space="preserve"> Managed Care Network </w:t>
      </w:r>
      <w:r>
        <w:t>2006</w:t>
      </w:r>
      <w:r w:rsidRPr="000329FE">
        <w:t>-b), inpatient (Forensic Mental Health Service</w:t>
      </w:r>
      <w:r>
        <w:t>s</w:t>
      </w:r>
      <w:r w:rsidRPr="000329FE">
        <w:t xml:space="preserve"> Managed Care Network, Care Standards Working Group 2005), and community FMHS</w:t>
      </w:r>
      <w:r>
        <w:t>s</w:t>
      </w:r>
      <w:r w:rsidRPr="000329FE">
        <w:t xml:space="preserve"> (Forensic Mental Health Service</w:t>
      </w:r>
      <w:r>
        <w:t>s</w:t>
      </w:r>
      <w:r w:rsidRPr="000329FE">
        <w:t xml:space="preserve"> Managed Care Network, Community Working Group 2005). In a different context, another document (Forensic Mental Health Service</w:t>
      </w:r>
      <w:r>
        <w:t>s</w:t>
      </w:r>
      <w:r w:rsidRPr="000329FE">
        <w:t xml:space="preserve"> Managed Care Network, Matrix Working Group 2012), while focused on psychological therapies, more explicitly proposes a matched stepped model of care that is person centred and takes into account offending behaviour interventions (see </w:t>
      </w:r>
      <w:r w:rsidR="00B721EF">
        <w:fldChar w:fldCharType="begin"/>
      </w:r>
      <w:r w:rsidR="00B721EF">
        <w:instrText xml:space="preserve"> REF _Ref89947064 \h </w:instrText>
      </w:r>
      <w:r w:rsidR="00B721EF">
        <w:fldChar w:fldCharType="separate"/>
      </w:r>
      <w:r w:rsidR="00F73238">
        <w:t>Figure </w:t>
      </w:r>
      <w:r w:rsidR="00F73238">
        <w:rPr>
          <w:noProof/>
        </w:rPr>
        <w:t>12</w:t>
      </w:r>
      <w:r w:rsidR="00B721EF">
        <w:fldChar w:fldCharType="end"/>
      </w:r>
      <w:r w:rsidRPr="000329FE">
        <w:t>).</w:t>
      </w:r>
    </w:p>
    <w:p w14:paraId="50191812" w14:textId="77777777" w:rsidR="009636B7" w:rsidRDefault="009636B7" w:rsidP="00B721EF"/>
    <w:p w14:paraId="6DBD4B0B" w14:textId="77777777" w:rsidR="009636B7" w:rsidRPr="000329FE" w:rsidRDefault="00B721EF" w:rsidP="00B721EF">
      <w:pPr>
        <w:pStyle w:val="Figure"/>
      </w:pPr>
      <w:bookmarkStart w:id="174" w:name="_Ref89947064"/>
      <w:bookmarkStart w:id="175" w:name="_Toc90026037"/>
      <w:r>
        <w:t>Figure </w:t>
      </w:r>
      <w:r w:rsidR="002C1FB3">
        <w:fldChar w:fldCharType="begin"/>
      </w:r>
      <w:r w:rsidR="002C1FB3">
        <w:instrText xml:space="preserve"> S</w:instrText>
      </w:r>
      <w:r w:rsidR="002C1FB3">
        <w:instrText xml:space="preserve">EQ Figure \* ARABIC </w:instrText>
      </w:r>
      <w:r w:rsidR="002C1FB3">
        <w:fldChar w:fldCharType="separate"/>
      </w:r>
      <w:r w:rsidR="00F73238">
        <w:rPr>
          <w:noProof/>
        </w:rPr>
        <w:t>12</w:t>
      </w:r>
      <w:r w:rsidR="002C1FB3">
        <w:rPr>
          <w:noProof/>
        </w:rPr>
        <w:fldChar w:fldCharType="end"/>
      </w:r>
      <w:bookmarkEnd w:id="174"/>
      <w:r w:rsidR="009636B7" w:rsidRPr="001B6C8A">
        <w:t>: Stepped care model for forensic mental health services</w:t>
      </w:r>
      <w:r w:rsidR="009636B7">
        <w:t>,</w:t>
      </w:r>
      <w:r w:rsidR="009636B7" w:rsidRPr="001B6C8A">
        <w:t xml:space="preserve"> with examples of offending behaviour interventions</w:t>
      </w:r>
      <w:bookmarkEnd w:id="175"/>
    </w:p>
    <w:p w14:paraId="11F4E367" w14:textId="77777777" w:rsidR="009636B7" w:rsidRPr="001A28C6" w:rsidRDefault="009636B7" w:rsidP="009636B7">
      <w:r w:rsidRPr="00231680">
        <w:rPr>
          <w:noProof/>
          <w:szCs w:val="24"/>
          <w:lang w:eastAsia="en-NZ"/>
        </w:rPr>
        <w:drawing>
          <wp:inline distT="0" distB="0" distL="0" distR="0" wp14:anchorId="441931F0" wp14:editId="159DA047">
            <wp:extent cx="5137265" cy="3659140"/>
            <wp:effectExtent l="0" t="0" r="6350" b="0"/>
            <wp:docPr id="18" name="Picture 18" title="Figure 12: Stepped care model for forensic mental health services, with examples of offending behaviour interven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rotWithShape="1">
                    <a:blip r:embed="rId40" cstate="print">
                      <a:extLst>
                        <a:ext uri="{28A0092B-C50C-407E-A947-70E740481C1C}">
                          <a14:useLocalDpi xmlns:a14="http://schemas.microsoft.com/office/drawing/2010/main" val="0"/>
                        </a:ext>
                      </a:extLst>
                    </a:blip>
                    <a:srcRect l="5273" t="5200" r="4364" b="7131"/>
                    <a:stretch/>
                  </pic:blipFill>
                  <pic:spPr bwMode="auto">
                    <a:xfrm>
                      <a:off x="0" y="0"/>
                      <a:ext cx="5137265" cy="3659140"/>
                    </a:xfrm>
                    <a:prstGeom prst="rect">
                      <a:avLst/>
                    </a:prstGeom>
                    <a:noFill/>
                    <a:ln>
                      <a:noFill/>
                    </a:ln>
                    <a:extLst>
                      <a:ext uri="{53640926-AAD7-44D8-BBD7-CCE9431645EC}">
                        <a14:shadowObscured xmlns:a14="http://schemas.microsoft.com/office/drawing/2010/main"/>
                      </a:ext>
                    </a:extLst>
                  </pic:spPr>
                </pic:pic>
              </a:graphicData>
            </a:graphic>
          </wp:inline>
        </w:drawing>
      </w:r>
    </w:p>
    <w:p w14:paraId="7AC4AA60" w14:textId="77777777" w:rsidR="009636B7" w:rsidRPr="00E42BE0" w:rsidRDefault="009636B7" w:rsidP="00B721EF">
      <w:pPr>
        <w:pStyle w:val="Source"/>
      </w:pPr>
      <w:bookmarkStart w:id="176" w:name="_Toc88823339"/>
      <w:r w:rsidRPr="001B6C8A">
        <w:t>Source: Forensic Mental Health Services Managed Care Network, Matrix Working Group 2012</w:t>
      </w:r>
      <w:r w:rsidR="005054ED">
        <w:t>, p. </w:t>
      </w:r>
      <w:r w:rsidRPr="001B6C8A">
        <w:t>9</w:t>
      </w:r>
      <w:bookmarkEnd w:id="176"/>
    </w:p>
    <w:p w14:paraId="65C91B69" w14:textId="77777777" w:rsidR="009636B7" w:rsidRPr="00DD29A3" w:rsidRDefault="009636B7" w:rsidP="00B721EF"/>
    <w:p w14:paraId="6F2D72C5" w14:textId="77777777" w:rsidR="00EE0ADB" w:rsidRDefault="009636B7" w:rsidP="00B721EF">
      <w:r w:rsidRPr="00482A5B">
        <w:t xml:space="preserve">Two documents provide a review of services for specific populations, namely service users in long-term care (Hall 2010), and women (Black </w:t>
      </w:r>
      <w:r>
        <w:t>and</w:t>
      </w:r>
      <w:r w:rsidRPr="00482A5B">
        <w:t xml:space="preserve"> Robertson 2004). </w:t>
      </w:r>
      <w:r>
        <w:t xml:space="preserve">Hall </w:t>
      </w:r>
      <w:r w:rsidRPr="00482A5B">
        <w:t>recommends the development of recovery-oriented longer</w:t>
      </w:r>
      <w:r>
        <w:t>-</w:t>
      </w:r>
      <w:r w:rsidRPr="00482A5B">
        <w:t xml:space="preserve">stay units </w:t>
      </w:r>
      <w:r>
        <w:t xml:space="preserve">that </w:t>
      </w:r>
      <w:r w:rsidRPr="00482A5B">
        <w:t xml:space="preserve">can manage the risk of longer-term forensic patients. </w:t>
      </w:r>
      <w:r>
        <w:t xml:space="preserve">Black and Robertson </w:t>
      </w:r>
      <w:r w:rsidRPr="00482A5B">
        <w:t>highlight the need for dedicated multidisciplinary teams focused on women</w:t>
      </w:r>
      <w:r w:rsidR="00EE0ADB">
        <w:t>’</w:t>
      </w:r>
      <w:r w:rsidRPr="00482A5B">
        <w:t xml:space="preserve">s services. While </w:t>
      </w:r>
      <w:r>
        <w:t xml:space="preserve">their report </w:t>
      </w:r>
      <w:r w:rsidRPr="00482A5B">
        <w:t>provides evidence of the need to develop gender-responsive pract</w:t>
      </w:r>
      <w:r w:rsidRPr="00FB779C">
        <w:t>ices in keeping with the literature, it is unclear how services have developed since the time of publication in response to the recommendations presented therein.</w:t>
      </w:r>
    </w:p>
    <w:p w14:paraId="3D98D16C" w14:textId="77777777" w:rsidR="009636B7" w:rsidRPr="000329FE" w:rsidRDefault="009636B7" w:rsidP="00B721EF"/>
    <w:p w14:paraId="2AA6FEC4" w14:textId="77777777" w:rsidR="00EE0ADB" w:rsidRDefault="009636B7" w:rsidP="00B721EF">
      <w:r w:rsidRPr="000329FE">
        <w:t xml:space="preserve">Finally, two documents by the National Prisoner Healthcare Network (2014, 2016) are planning documents concerning the development of the mental health and learning disability service for prisoners. </w:t>
      </w:r>
      <w:r>
        <w:t>T</w:t>
      </w:r>
      <w:r w:rsidRPr="000329FE">
        <w:t xml:space="preserve">he documents </w:t>
      </w:r>
      <w:r>
        <w:t xml:space="preserve">state an </w:t>
      </w:r>
      <w:r w:rsidRPr="000329FE">
        <w:t>objective to create a detailed model of care for the prison service, though it appears this is still a work in progress.</w:t>
      </w:r>
    </w:p>
    <w:p w14:paraId="63887992" w14:textId="77777777" w:rsidR="009636B7" w:rsidRPr="000329FE" w:rsidRDefault="009636B7" w:rsidP="00B721EF">
      <w:pPr>
        <w:pStyle w:val="Heading4"/>
        <w:spacing w:before="480"/>
      </w:pPr>
      <w:r w:rsidRPr="000329FE">
        <w:lastRenderedPageBreak/>
        <w:t>Ireland</w:t>
      </w:r>
    </w:p>
    <w:p w14:paraId="05ACC41D" w14:textId="77777777" w:rsidR="009636B7" w:rsidRPr="000329FE" w:rsidRDefault="009636B7" w:rsidP="00B721EF">
      <w:r w:rsidRPr="000329FE">
        <w:t>In keeping with the other jurisdictions, FMHS</w:t>
      </w:r>
      <w:r>
        <w:t>s</w:t>
      </w:r>
      <w:r w:rsidRPr="000329FE">
        <w:t xml:space="preserve"> in Ireland comprise inpatient, community, prison in-reach, and community liaison and diversion services. The National FMHS is a centralised, tertiary mental health service </w:t>
      </w:r>
      <w:r>
        <w:t>that</w:t>
      </w:r>
      <w:r w:rsidRPr="000329FE">
        <w:t xml:space="preserve"> is part of the Health Service Executive</w:t>
      </w:r>
      <w:r w:rsidR="00EE0ADB">
        <w:t>’</w:t>
      </w:r>
      <w:r w:rsidRPr="000329FE">
        <w:t xml:space="preserve">s Mental Health Division. Of the </w:t>
      </w:r>
      <w:r>
        <w:t xml:space="preserve">Irish </w:t>
      </w:r>
      <w:r w:rsidRPr="000329FE">
        <w:t>documentation reviewed, three are Mental Health Commission reports (2005, 2011, 2012) reviewing FMHS provision and providing recommendations for service development. These documents may be useful in providing support for recovery-oriented principles in service delivery. A fourth document (Health Service Executive, Mental Health Division 2016) provides an overview of FMHS</w:t>
      </w:r>
      <w:r>
        <w:t>s</w:t>
      </w:r>
      <w:r w:rsidRPr="000329FE">
        <w:t xml:space="preserve">, noting especially an emphasis on a recovery focus and the use of </w:t>
      </w:r>
      <w:r>
        <w:t>ICPs</w:t>
      </w:r>
      <w:r w:rsidRPr="000329FE">
        <w:t>.</w:t>
      </w:r>
    </w:p>
    <w:p w14:paraId="4FEC397E" w14:textId="77777777" w:rsidR="009636B7" w:rsidRPr="000329FE" w:rsidRDefault="009636B7" w:rsidP="00B721EF"/>
    <w:p w14:paraId="34667004" w14:textId="77777777" w:rsidR="00EE0ADB" w:rsidRDefault="009636B7" w:rsidP="00B721EF">
      <w:r w:rsidRPr="000329FE">
        <w:t>Of particular relevance, Ireland</w:t>
      </w:r>
      <w:r w:rsidR="00EE0ADB">
        <w:t>’</w:t>
      </w:r>
      <w:r w:rsidRPr="000329FE">
        <w:t>s FMHS</w:t>
      </w:r>
      <w:r>
        <w:t>s</w:t>
      </w:r>
      <w:r w:rsidRPr="000329FE">
        <w:t xml:space="preserve"> are organised according to levels of therapeutic security</w:t>
      </w:r>
      <w:r>
        <w:t>,</w:t>
      </w:r>
      <w:r w:rsidRPr="000329FE">
        <w:t xml:space="preserve"> in keeping with the best practice literature. Notable in this respect is the recent emergence of the DUNDRUM Toolkit (Kennedy</w:t>
      </w:r>
      <w:r>
        <w:t xml:space="preserve"> </w:t>
      </w:r>
      <w:r w:rsidR="00AD0D58">
        <w:t>et al</w:t>
      </w:r>
      <w:r w:rsidRPr="000329FE">
        <w:t xml:space="preserve"> 2016), a set of structured professional judgment instruments which provide measures of functioning, recovery, risk and placement pathways. Auckland RFPS has recently adopted the use of the DUNDRUM measures, which highlights the need for further consideration of the role such measures </w:t>
      </w:r>
      <w:r>
        <w:t xml:space="preserve">play </w:t>
      </w:r>
      <w:r w:rsidRPr="000329FE">
        <w:t>in FMHS</w:t>
      </w:r>
      <w:r>
        <w:t>s</w:t>
      </w:r>
      <w:r w:rsidRPr="000329FE">
        <w:t xml:space="preserve"> more broadly.</w:t>
      </w:r>
    </w:p>
    <w:p w14:paraId="58E409BE" w14:textId="77777777" w:rsidR="00B721EF" w:rsidRDefault="00B721EF" w:rsidP="00B721EF"/>
    <w:p w14:paraId="3F569205" w14:textId="77777777" w:rsidR="009636B7" w:rsidRPr="000329FE" w:rsidRDefault="009636B7" w:rsidP="00B721EF">
      <w:pPr>
        <w:pStyle w:val="Heading4"/>
      </w:pPr>
      <w:r w:rsidRPr="000329FE">
        <w:t>Victoria, Australia</w:t>
      </w:r>
    </w:p>
    <w:p w14:paraId="772C950B" w14:textId="77777777" w:rsidR="00EE0ADB" w:rsidRDefault="009636B7" w:rsidP="00B721EF">
      <w:r w:rsidRPr="000329FE">
        <w:t>Forensicare, the Victorian Institute of Forensic Mental Health, is the sole clinical provider of state-wide, specialist FMHS</w:t>
      </w:r>
      <w:r>
        <w:t>s, and</w:t>
      </w:r>
      <w:r w:rsidRPr="000329FE">
        <w:t xml:space="preserve"> span</w:t>
      </w:r>
      <w:r>
        <w:t>s</w:t>
      </w:r>
      <w:r w:rsidRPr="000329FE">
        <w:t xml:space="preserve"> the entirety of the mental health and criminal justice sectors in Victoria (Forensicare 2019a). Services </w:t>
      </w:r>
      <w:r>
        <w:t>(</w:t>
      </w:r>
      <w:r w:rsidRPr="000329FE">
        <w:t>including inpatient, prison, community and court liaison services</w:t>
      </w:r>
      <w:r>
        <w:t xml:space="preserve">) </w:t>
      </w:r>
      <w:r w:rsidRPr="000329FE">
        <w:t xml:space="preserve">clearly follow a recovery focus throughout the forensic pathway. An interesting feature of the Forensicare model is the integration of a comprehensive research </w:t>
      </w:r>
      <w:r>
        <w:t>institute</w:t>
      </w:r>
      <w:r w:rsidRPr="000329FE">
        <w:t xml:space="preserve"> (the Centre for Forensic Behavioural Science, in partnership with Swinburne University of Technology), which supports the development of clinical services, as well as the provision of specialist training and ongoing professional education for staff.</w:t>
      </w:r>
    </w:p>
    <w:p w14:paraId="045EAEED" w14:textId="77777777" w:rsidR="009636B7" w:rsidRPr="000329FE" w:rsidRDefault="009636B7" w:rsidP="00B721EF"/>
    <w:p w14:paraId="3F696B2D" w14:textId="77777777" w:rsidR="00EE0ADB" w:rsidRDefault="009636B7" w:rsidP="00B721EF">
      <w:r w:rsidRPr="000329FE">
        <w:t xml:space="preserve">Although </w:t>
      </w:r>
      <w:r>
        <w:t xml:space="preserve">the researchers did not find </w:t>
      </w:r>
      <w:r w:rsidRPr="000329FE">
        <w:t>documentation detailing Forensicare</w:t>
      </w:r>
      <w:r w:rsidR="00EE0ADB">
        <w:t>’</w:t>
      </w:r>
      <w:r w:rsidRPr="000329FE">
        <w:t xml:space="preserve">s model of care, given the evidence discovered in the prior reviews, </w:t>
      </w:r>
      <w:r>
        <w:t xml:space="preserve">they </w:t>
      </w:r>
      <w:r w:rsidRPr="000329FE">
        <w:t>felt it important to include Victoria as an example of international best practice for consideration in future service development. Upon review of the organisation</w:t>
      </w:r>
      <w:r w:rsidR="00EE0ADB">
        <w:t>’</w:t>
      </w:r>
      <w:r w:rsidRPr="000329FE">
        <w:t xml:space="preserve">s website, </w:t>
      </w:r>
      <w:r>
        <w:t xml:space="preserve">they found </w:t>
      </w:r>
      <w:r w:rsidRPr="000329FE">
        <w:t xml:space="preserve">one document </w:t>
      </w:r>
      <w:r>
        <w:t xml:space="preserve">signalling </w:t>
      </w:r>
      <w:r w:rsidRPr="000329FE">
        <w:t>Forensicare</w:t>
      </w:r>
      <w:r w:rsidR="00EE0ADB">
        <w:t>’</w:t>
      </w:r>
      <w:r w:rsidRPr="000329FE">
        <w:t>s innovative model of care. Forensicare</w:t>
      </w:r>
      <w:r w:rsidR="00EE0ADB">
        <w:t>’</w:t>
      </w:r>
      <w:r w:rsidRPr="000329FE">
        <w:t xml:space="preserve">s </w:t>
      </w:r>
      <w:r w:rsidRPr="000329FE">
        <w:rPr>
          <w:i/>
          <w:iCs/>
        </w:rPr>
        <w:t xml:space="preserve">Strategic Plan 2018/19–2020/21 </w:t>
      </w:r>
      <w:r w:rsidRPr="000329FE">
        <w:t>(2019b) indicates the development of an evidence-based, recovery-focused model of care currently under</w:t>
      </w:r>
      <w:r>
        <w:t xml:space="preserve"> </w:t>
      </w:r>
      <w:r w:rsidRPr="000329FE">
        <w:t xml:space="preserve">way as part of a </w:t>
      </w:r>
      <w:r>
        <w:t>m</w:t>
      </w:r>
      <w:r w:rsidRPr="000329FE">
        <w:t xml:space="preserve">odel of </w:t>
      </w:r>
      <w:r>
        <w:t>c</w:t>
      </w:r>
      <w:r w:rsidRPr="000329FE">
        <w:t>are review. The new model of care aims to improve patient flow and address the specific needs of service users</w:t>
      </w:r>
      <w:r>
        <w:t>,</w:t>
      </w:r>
      <w:r w:rsidRPr="000329FE">
        <w:t xml:space="preserve"> and particularly women. The plan suggests further elements of a recovery-focused approach in keeping with the best practice literature, including the development of a peer</w:t>
      </w:r>
      <w:r>
        <w:t>-</w:t>
      </w:r>
      <w:r w:rsidRPr="000329FE">
        <w:t>support model, trauma-informed care, culturally responsive care and gender-responsive services.</w:t>
      </w:r>
    </w:p>
    <w:p w14:paraId="4A417636" w14:textId="77777777" w:rsidR="00B721EF" w:rsidRDefault="00B721EF" w:rsidP="00B721EF"/>
    <w:p w14:paraId="4C60DFCA" w14:textId="77777777" w:rsidR="009636B7" w:rsidRPr="000329FE" w:rsidRDefault="009636B7" w:rsidP="00B721EF">
      <w:pPr>
        <w:pStyle w:val="Heading4"/>
      </w:pPr>
      <w:r w:rsidRPr="000329FE">
        <w:lastRenderedPageBreak/>
        <w:t>Summary</w:t>
      </w:r>
    </w:p>
    <w:p w14:paraId="3B7630FC" w14:textId="77777777" w:rsidR="00EE0ADB" w:rsidRDefault="009636B7" w:rsidP="00B721EF">
      <w:pPr>
        <w:keepNext/>
        <w:keepLines/>
      </w:pPr>
      <w:r w:rsidRPr="000329FE">
        <w:t xml:space="preserve">The international documentation </w:t>
      </w:r>
      <w:r>
        <w:t xml:space="preserve">the researchers reviewed </w:t>
      </w:r>
      <w:r w:rsidRPr="000329FE">
        <w:t xml:space="preserve">highlights similar trends to </w:t>
      </w:r>
      <w:r>
        <w:t xml:space="preserve">those evident within </w:t>
      </w:r>
      <w:r w:rsidRPr="000329FE">
        <w:t xml:space="preserve">the regional and national documentation, albeit with a more explicit and perhaps more advanced recovery focus and </w:t>
      </w:r>
      <w:r>
        <w:t xml:space="preserve">a </w:t>
      </w:r>
      <w:r w:rsidRPr="000329FE">
        <w:t xml:space="preserve">greater emphasis on </w:t>
      </w:r>
      <w:r>
        <w:t>ICPs</w:t>
      </w:r>
      <w:r w:rsidRPr="000329FE">
        <w:t>. Some jurisdictions</w:t>
      </w:r>
      <w:r>
        <w:t>,</w:t>
      </w:r>
      <w:r w:rsidRPr="000329FE">
        <w:t xml:space="preserve"> such as Scotland and Victoria</w:t>
      </w:r>
      <w:r>
        <w:t>,</w:t>
      </w:r>
      <w:r w:rsidRPr="000329FE">
        <w:t xml:space="preserve"> further emphasise the adoption of gender-responsive practices and are developing services in this respect. As such, these jurisdictions provide useful models of best practices </w:t>
      </w:r>
      <w:r>
        <w:t xml:space="preserve">that Aotearoa New Zealand </w:t>
      </w:r>
      <w:r w:rsidRPr="000329FE">
        <w:t xml:space="preserve">may use to inform the development of a national </w:t>
      </w:r>
      <w:r w:rsidRPr="000329FE">
        <w:rPr>
          <w:rFonts w:cs="Segoe UI"/>
        </w:rPr>
        <w:t>implementation guidance document</w:t>
      </w:r>
      <w:r w:rsidRPr="000329FE">
        <w:t xml:space="preserve"> for FMHS</w:t>
      </w:r>
      <w:r>
        <w:t>s</w:t>
      </w:r>
      <w:r w:rsidRPr="001A28C6">
        <w:t>.</w:t>
      </w:r>
    </w:p>
    <w:p w14:paraId="4041FCE7" w14:textId="77777777" w:rsidR="009636B7" w:rsidRPr="00E42BE0" w:rsidRDefault="009636B7" w:rsidP="00B721EF"/>
    <w:p w14:paraId="3E8FFD17" w14:textId="77777777" w:rsidR="009636B7" w:rsidRDefault="009636B7" w:rsidP="00B721EF">
      <w:bookmarkStart w:id="177" w:name="_Hlk19364098"/>
      <w:r w:rsidRPr="00DD29A3">
        <w:t xml:space="preserve">These </w:t>
      </w:r>
      <w:r>
        <w:t xml:space="preserve">four </w:t>
      </w:r>
      <w:r w:rsidRPr="00DD29A3">
        <w:t>jurisdictions a</w:t>
      </w:r>
      <w:r w:rsidRPr="00482A5B">
        <w:t>lso provide examples of national mechanisms whereby overarching governance struc</w:t>
      </w:r>
      <w:r w:rsidRPr="00FB779C">
        <w:t xml:space="preserve">tures have been developed </w:t>
      </w:r>
      <w:r>
        <w:t xml:space="preserve">to </w:t>
      </w:r>
      <w:r w:rsidRPr="00FB779C">
        <w:t>coordinate regional services.</w:t>
      </w:r>
      <w:r w:rsidRPr="000329FE">
        <w:t xml:space="preserve"> The Scottish Forensic Mental Health Services Managed Care Network is a prime example. </w:t>
      </w:r>
      <w:r>
        <w:t xml:space="preserve">In Scotland, </w:t>
      </w:r>
      <w:r w:rsidRPr="000329FE">
        <w:t>an emphasis on nationally coordinated workforce development that sits alongside a coordinated FMHS response</w:t>
      </w:r>
      <w:r>
        <w:t xml:space="preserve"> is noteworthy</w:t>
      </w:r>
      <w:r w:rsidRPr="000329FE">
        <w:t>. This involves university partnerships to drive both research and teaching that align with service improvement.</w:t>
      </w:r>
    </w:p>
    <w:p w14:paraId="34ED26A9" w14:textId="77777777" w:rsidR="00B721EF" w:rsidRPr="000329FE" w:rsidRDefault="00B721EF" w:rsidP="00B721EF"/>
    <w:p w14:paraId="08F0E9EE" w14:textId="77777777" w:rsidR="009636B7" w:rsidRPr="000329FE" w:rsidRDefault="009636B7" w:rsidP="00B721EF">
      <w:pPr>
        <w:pStyle w:val="Heading2"/>
      </w:pPr>
      <w:bookmarkStart w:id="178" w:name="_Toc88823249"/>
      <w:bookmarkStart w:id="179" w:name="_Toc90026018"/>
      <w:bookmarkEnd w:id="177"/>
      <w:r w:rsidRPr="000329FE">
        <w:t>Summary</w:t>
      </w:r>
      <w:bookmarkEnd w:id="178"/>
      <w:bookmarkEnd w:id="179"/>
    </w:p>
    <w:p w14:paraId="1D4AFC58" w14:textId="77777777" w:rsidR="00EE0ADB" w:rsidRDefault="009636B7" w:rsidP="00B721EF">
      <w:r>
        <w:t>The researchers</w:t>
      </w:r>
      <w:r w:rsidR="00EE0ADB">
        <w:t>’</w:t>
      </w:r>
      <w:r>
        <w:t xml:space="preserve"> </w:t>
      </w:r>
      <w:r w:rsidRPr="00075571">
        <w:t xml:space="preserve">review of the grey literature revealed wide-ranging and somewhat disparate documentation at the regional, national and international levels concerning FMHS models of care. The majority of </w:t>
      </w:r>
      <w:r>
        <w:t xml:space="preserve">the </w:t>
      </w:r>
      <w:r w:rsidRPr="00075571">
        <w:t>documentation, in keeping with the evidence base, focuses on service delivery more broadly</w:t>
      </w:r>
      <w:r>
        <w:t>,</w:t>
      </w:r>
      <w:r w:rsidRPr="00075571">
        <w:t xml:space="preserve"> and has yet to clearly articulate a </w:t>
      </w:r>
      <w:r w:rsidR="00EE0ADB">
        <w:t>‘</w:t>
      </w:r>
      <w:r w:rsidRPr="00075571">
        <w:t>model of care</w:t>
      </w:r>
      <w:r w:rsidR="00EE0ADB">
        <w:t>’</w:t>
      </w:r>
      <w:r w:rsidRPr="00075571">
        <w:t xml:space="preserve"> per se. </w:t>
      </w:r>
      <w:r w:rsidRPr="001A28C6">
        <w:t>Within the existing documentation, it appears regional services and the FMHS sector more generally are moving</w:t>
      </w:r>
      <w:r>
        <w:t xml:space="preserve"> – </w:t>
      </w:r>
      <w:r w:rsidRPr="001A28C6">
        <w:t>albeit with varying degrees of implementation</w:t>
      </w:r>
      <w:r>
        <w:t xml:space="preserve"> – </w:t>
      </w:r>
      <w:r w:rsidRPr="001A28C6">
        <w:t>toward the adoption of a recovery-based approach organised according to principles of therapeutic security</w:t>
      </w:r>
      <w:r w:rsidRPr="009E213B">
        <w:t xml:space="preserve">, rehabilitation </w:t>
      </w:r>
      <w:r w:rsidRPr="00E42BE0">
        <w:t>and recove</w:t>
      </w:r>
      <w:r w:rsidRPr="0043256B">
        <w:t xml:space="preserve">ry-oriented practice, in keeping with the best practices identified in the evidence base. </w:t>
      </w:r>
      <w:bookmarkStart w:id="180" w:name="_Hlk19367734"/>
      <w:r w:rsidRPr="00DD29A3">
        <w:t xml:space="preserve">Examples of overarching </w:t>
      </w:r>
      <w:r w:rsidRPr="00482A5B">
        <w:t xml:space="preserve">national </w:t>
      </w:r>
      <w:r w:rsidRPr="00A537F0">
        <w:t xml:space="preserve">governance structures </w:t>
      </w:r>
      <w:r w:rsidRPr="004034BB">
        <w:t xml:space="preserve">to </w:t>
      </w:r>
      <w:r w:rsidRPr="00FB779C">
        <w:t>coordinate regional service</w:t>
      </w:r>
      <w:r w:rsidRPr="00C07A1C">
        <w:t xml:space="preserve"> responses in an </w:t>
      </w:r>
      <w:r w:rsidRPr="007F561D">
        <w:t>integrated manner, which include workforce development initiativ</w:t>
      </w:r>
      <w:r w:rsidRPr="000329FE">
        <w:t>es, provide potential solutions to the regional disparity signalled above.</w:t>
      </w:r>
    </w:p>
    <w:bookmarkEnd w:id="180"/>
    <w:p w14:paraId="60BF8E3D" w14:textId="77777777" w:rsidR="009636B7" w:rsidRPr="000329FE" w:rsidRDefault="009636B7" w:rsidP="00B721EF"/>
    <w:p w14:paraId="2FC0A4EF" w14:textId="77777777" w:rsidR="00EE0ADB" w:rsidRDefault="009636B7" w:rsidP="00B721EF">
      <w:r w:rsidRPr="000329FE">
        <w:t xml:space="preserve">Notably the national documentation highlights </w:t>
      </w:r>
      <w:r>
        <w:t xml:space="preserve">the importance of </w:t>
      </w:r>
      <w:r w:rsidRPr="000329FE">
        <w:t xml:space="preserve">consultation, collaboration and engagement with </w:t>
      </w:r>
      <w:r>
        <w:t>t</w:t>
      </w:r>
      <w:r w:rsidRPr="000329FE">
        <w:t xml:space="preserve">e </w:t>
      </w:r>
      <w:r>
        <w:t>a</w:t>
      </w:r>
      <w:r w:rsidRPr="000329FE">
        <w:t xml:space="preserve">o Māori, and </w:t>
      </w:r>
      <w:r>
        <w:t xml:space="preserve">calls for a </w:t>
      </w:r>
      <w:r w:rsidRPr="000329FE">
        <w:t>shift toward co</w:t>
      </w:r>
      <w:r w:rsidR="00B721EF">
        <w:noBreakHyphen/>
      </w:r>
      <w:r w:rsidRPr="000329FE">
        <w:t xml:space="preserve">designed approaches in future service planning and development. Interestingly, </w:t>
      </w:r>
      <w:r>
        <w:t xml:space="preserve">the researchers found that, </w:t>
      </w:r>
      <w:r w:rsidRPr="000329FE">
        <w:t xml:space="preserve">while some jurisdictions </w:t>
      </w:r>
      <w:r>
        <w:t>(</w:t>
      </w:r>
      <w:r w:rsidRPr="000329FE">
        <w:t>such as England and Victoria</w:t>
      </w:r>
      <w:r>
        <w:t>)</w:t>
      </w:r>
      <w:r w:rsidRPr="000329FE">
        <w:t xml:space="preserve"> have adopted a focus on gender-responsive services and the special needs of women, discussion on the needs of ethnic minorities or indigenous populations was largely absent. Additionally, it appears these international jurisdictions have yet to adopt a co</w:t>
      </w:r>
      <w:r w:rsidR="00B721EF">
        <w:noBreakHyphen/>
      </w:r>
      <w:r w:rsidRPr="000329FE">
        <w:t xml:space="preserve">designed approach to service development. In this way, based on the regional and national documentation, </w:t>
      </w:r>
      <w:r>
        <w:t>Aotearoa New Zealand</w:t>
      </w:r>
      <w:r w:rsidRPr="00075571">
        <w:t xml:space="preserve"> </w:t>
      </w:r>
      <w:r w:rsidRPr="001A28C6">
        <w:t xml:space="preserve">is a leader in this respect, and has a unique opportunity </w:t>
      </w:r>
      <w:r w:rsidRPr="009E213B">
        <w:t>to set preceden</w:t>
      </w:r>
      <w:r>
        <w:t>t</w:t>
      </w:r>
      <w:r w:rsidRPr="009E213B">
        <w:t xml:space="preserve"> </w:t>
      </w:r>
      <w:r w:rsidRPr="00E42BE0">
        <w:t xml:space="preserve">internationally </w:t>
      </w:r>
      <w:r w:rsidRPr="0043256B">
        <w:t xml:space="preserve">in the development of equitable, </w:t>
      </w:r>
      <w:r w:rsidRPr="00DD29A3">
        <w:t>culturally responsive best practice</w:t>
      </w:r>
      <w:r w:rsidRPr="00482A5B">
        <w:t xml:space="preserve"> FMHS</w:t>
      </w:r>
      <w:r>
        <w:t>s</w:t>
      </w:r>
      <w:r w:rsidRPr="00FB779C">
        <w:t>.</w:t>
      </w:r>
    </w:p>
    <w:p w14:paraId="0C843873" w14:textId="77777777" w:rsidR="00B721EF" w:rsidRPr="000329FE" w:rsidRDefault="00B721EF" w:rsidP="00B721EF"/>
    <w:p w14:paraId="47763C2A" w14:textId="77777777" w:rsidR="009636B7" w:rsidRPr="000329FE" w:rsidRDefault="009636B7" w:rsidP="00B721EF">
      <w:pPr>
        <w:pStyle w:val="Heading1"/>
      </w:pPr>
      <w:bookmarkStart w:id="181" w:name="_Toc88823250"/>
      <w:bookmarkStart w:id="182" w:name="_Toc90026019"/>
      <w:r w:rsidRPr="00B721EF">
        <w:rPr>
          <w:b w:val="0"/>
        </w:rPr>
        <w:lastRenderedPageBreak/>
        <w:t>Section 7:</w:t>
      </w:r>
      <w:r w:rsidRPr="00B721EF">
        <w:rPr>
          <w:b w:val="0"/>
        </w:rPr>
        <w:br/>
      </w:r>
      <w:r w:rsidRPr="000329FE">
        <w:t xml:space="preserve">Relevance of </w:t>
      </w:r>
      <w:r>
        <w:t>k</w:t>
      </w:r>
      <w:r w:rsidRPr="000329FE">
        <w:t xml:space="preserve">ey </w:t>
      </w:r>
      <w:r>
        <w:t>f</w:t>
      </w:r>
      <w:r w:rsidRPr="000329FE">
        <w:t>indings</w:t>
      </w:r>
      <w:bookmarkEnd w:id="181"/>
      <w:bookmarkEnd w:id="182"/>
    </w:p>
    <w:p w14:paraId="1DEEED6E" w14:textId="77777777" w:rsidR="00EE0ADB" w:rsidRDefault="009636B7" w:rsidP="007B4B90">
      <w:r w:rsidRPr="00075571">
        <w:t>While models of care within FMHS</w:t>
      </w:r>
      <w:r>
        <w:t>s</w:t>
      </w:r>
      <w:r w:rsidRPr="00075571">
        <w:t xml:space="preserve"> have not been well articulated, evidence exists concerning best practices or principles of treatment that can be used to inform such a model (eg, Barnao</w:t>
      </w:r>
      <w:r>
        <w:t xml:space="preserve"> </w:t>
      </w:r>
      <w:r w:rsidR="00AD0D58">
        <w:t>et al</w:t>
      </w:r>
      <w:r w:rsidRPr="00075571">
        <w:t xml:space="preserve"> 2012; Gunn </w:t>
      </w:r>
      <w:r>
        <w:t>and</w:t>
      </w:r>
      <w:r w:rsidRPr="00075571">
        <w:t xml:space="preserve"> Taylor 2014; Nicholls </w:t>
      </w:r>
      <w:r>
        <w:t>and</w:t>
      </w:r>
      <w:r w:rsidRPr="00075571">
        <w:t xml:space="preserve"> Goossens 2017; Tapp</w:t>
      </w:r>
      <w:r>
        <w:t xml:space="preserve"> </w:t>
      </w:r>
      <w:r w:rsidR="00AD0D58">
        <w:t>et al</w:t>
      </w:r>
      <w:r w:rsidRPr="00075571">
        <w:t xml:space="preserve"> 2016; Völlm </w:t>
      </w:r>
      <w:r w:rsidR="00AD0D58">
        <w:t>et al</w:t>
      </w:r>
      <w:r w:rsidRPr="00075571">
        <w:t xml:space="preserve"> 2018). Of particular relevance to this project as a whole, Nicholls and Goossens (2017) identify 10 core dimensions of high-quality forensic services (see </w:t>
      </w:r>
      <w:r w:rsidR="007B4B90">
        <w:fldChar w:fldCharType="begin"/>
      </w:r>
      <w:r w:rsidR="007B4B90">
        <w:instrText xml:space="preserve"> REF _Ref89947264 \h </w:instrText>
      </w:r>
      <w:r w:rsidR="007B4B90">
        <w:fldChar w:fldCharType="separate"/>
      </w:r>
      <w:r w:rsidR="00F73238">
        <w:t>Figure </w:t>
      </w:r>
      <w:r w:rsidR="00F73238">
        <w:rPr>
          <w:noProof/>
        </w:rPr>
        <w:t>13</w:t>
      </w:r>
      <w:r w:rsidR="007B4B90">
        <w:fldChar w:fldCharType="end"/>
      </w:r>
      <w:r w:rsidRPr="00075571">
        <w:t xml:space="preserve">), </w:t>
      </w:r>
      <w:r>
        <w:t xml:space="preserve">saying </w:t>
      </w:r>
      <w:r w:rsidRPr="00075571">
        <w:t>FMHS</w:t>
      </w:r>
      <w:r>
        <w:t>s</w:t>
      </w:r>
      <w:r w:rsidRPr="00075571">
        <w:t xml:space="preserve"> should be:</w:t>
      </w:r>
    </w:p>
    <w:p w14:paraId="72174417" w14:textId="77777777" w:rsidR="009636B7" w:rsidRDefault="009636B7" w:rsidP="007B4B90">
      <w:pPr>
        <w:pStyle w:val="Quote"/>
      </w:pPr>
      <w:r w:rsidRPr="00075571">
        <w:t>(1) well-defined and legally defensible (</w:t>
      </w:r>
      <w:r>
        <w:t>ie</w:t>
      </w:r>
      <w:r w:rsidRPr="00075571">
        <w:t>, attentive to legal mandate, responsible to society, public safety, staff safety, patient safety), (2) person-centered (</w:t>
      </w:r>
      <w:r>
        <w:t>ie</w:t>
      </w:r>
      <w:r w:rsidRPr="00075571">
        <w:t>,</w:t>
      </w:r>
      <w:r w:rsidR="007B4B90">
        <w:t> </w:t>
      </w:r>
      <w:r w:rsidRPr="00075571">
        <w:t>responsive to patient and family preferences), (3) recovery-oriented (eg,</w:t>
      </w:r>
      <w:r w:rsidR="007B4B90">
        <w:t> </w:t>
      </w:r>
      <w:r w:rsidRPr="00075571">
        <w:t>strength-based), (4) holistic (</w:t>
      </w:r>
      <w:r>
        <w:t>ie</w:t>
      </w:r>
      <w:r w:rsidRPr="00075571">
        <w:t>, attending to mental health, substance abuse, physical health) (5) individualized (</w:t>
      </w:r>
      <w:r>
        <w:t>ie</w:t>
      </w:r>
      <w:r w:rsidRPr="00075571">
        <w:t>, culturally-sensitive, gender-sensitive), (6)</w:t>
      </w:r>
      <w:r w:rsidR="007B4B90">
        <w:t> </w:t>
      </w:r>
      <w:r w:rsidRPr="00075571">
        <w:t>trauma-informed, (7) maximizing of positive effects (</w:t>
      </w:r>
      <w:r>
        <w:t>ie</w:t>
      </w:r>
      <w:r w:rsidRPr="00075571">
        <w:t>, efficacious, effective positive patient experience), (8) minimizing of negative effects (eg, safe, negative media attention, stigma, least restrictive disposition, adverse outcomes), (9)</w:t>
      </w:r>
      <w:r w:rsidR="007B4B90">
        <w:t> </w:t>
      </w:r>
      <w:r w:rsidRPr="00075571">
        <w:t>efficient (eg, fiscally responsible), and (10) innovative and responsive, promoting a culture of excellence (</w:t>
      </w:r>
      <w:r>
        <w:t>ie</w:t>
      </w:r>
      <w:r w:rsidRPr="00075571">
        <w:t>, committed to research/evaluation; to change, grow, and develop with research and knowledge).</w:t>
      </w:r>
      <w:r w:rsidR="00AD0D58">
        <w:t xml:space="preserve"> (p. </w:t>
      </w:r>
      <w:r w:rsidRPr="00075571">
        <w:t>509)</w:t>
      </w:r>
    </w:p>
    <w:p w14:paraId="019C09DD" w14:textId="77777777" w:rsidR="009636B7" w:rsidRDefault="009636B7" w:rsidP="007B4B90"/>
    <w:p w14:paraId="5A331F27" w14:textId="77777777" w:rsidR="009636B7" w:rsidRPr="00475913" w:rsidRDefault="007B4B90" w:rsidP="007B4B90">
      <w:pPr>
        <w:pStyle w:val="Figure"/>
      </w:pPr>
      <w:bookmarkStart w:id="183" w:name="_Ref89947264"/>
      <w:bookmarkStart w:id="184" w:name="_Toc90026038"/>
      <w:r>
        <w:t>Figure </w:t>
      </w:r>
      <w:r w:rsidR="002C1FB3">
        <w:fldChar w:fldCharType="begin"/>
      </w:r>
      <w:r w:rsidR="002C1FB3">
        <w:instrText xml:space="preserve"> SEQ Figure \* ARABIC </w:instrText>
      </w:r>
      <w:r w:rsidR="002C1FB3">
        <w:fldChar w:fldCharType="separate"/>
      </w:r>
      <w:r w:rsidR="00F73238">
        <w:rPr>
          <w:noProof/>
        </w:rPr>
        <w:t>13</w:t>
      </w:r>
      <w:r w:rsidR="002C1FB3">
        <w:rPr>
          <w:noProof/>
        </w:rPr>
        <w:fldChar w:fldCharType="end"/>
      </w:r>
      <w:bookmarkEnd w:id="183"/>
      <w:r w:rsidR="009636B7" w:rsidRPr="00475913">
        <w:t>: Core dimensions of high-quality forensic services</w:t>
      </w:r>
      <w:bookmarkEnd w:id="184"/>
    </w:p>
    <w:p w14:paraId="763EFA06" w14:textId="77777777" w:rsidR="009636B7" w:rsidRDefault="009636B7" w:rsidP="007B4B90">
      <w:r w:rsidRPr="00231680">
        <w:rPr>
          <w:noProof/>
          <w:lang w:eastAsia="en-NZ"/>
        </w:rPr>
        <w:drawing>
          <wp:inline distT="0" distB="0" distL="0" distR="0" wp14:anchorId="5B1A8055" wp14:editId="45FEF80F">
            <wp:extent cx="5113156" cy="2901142"/>
            <wp:effectExtent l="0" t="0" r="0" b="0"/>
            <wp:docPr id="14" name="Picture 14" descr="Patient at the centre surrounded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atient at the centre surrounded by "/>
                    <pic:cNvPicPr/>
                  </pic:nvPicPr>
                  <pic:blipFill rotWithShape="1">
                    <a:blip r:embed="rId41" cstate="print">
                      <a:extLst>
                        <a:ext uri="{28A0092B-C50C-407E-A947-70E740481C1C}">
                          <a14:useLocalDpi xmlns:a14="http://schemas.microsoft.com/office/drawing/2010/main" val="0"/>
                        </a:ext>
                      </a:extLst>
                    </a:blip>
                    <a:srcRect l="1314" t="11705" r="-1" b="1515"/>
                    <a:stretch/>
                  </pic:blipFill>
                  <pic:spPr bwMode="auto">
                    <a:xfrm>
                      <a:off x="0" y="0"/>
                      <a:ext cx="5146629" cy="2920134"/>
                    </a:xfrm>
                    <a:prstGeom prst="rect">
                      <a:avLst/>
                    </a:prstGeom>
                    <a:ln>
                      <a:noFill/>
                    </a:ln>
                    <a:extLst>
                      <a:ext uri="{53640926-AAD7-44D8-BBD7-CCE9431645EC}">
                        <a14:shadowObscured xmlns:a14="http://schemas.microsoft.com/office/drawing/2010/main"/>
                      </a:ext>
                    </a:extLst>
                  </pic:spPr>
                </pic:pic>
              </a:graphicData>
            </a:graphic>
          </wp:inline>
        </w:drawing>
      </w:r>
    </w:p>
    <w:p w14:paraId="690AC232" w14:textId="77777777" w:rsidR="009636B7" w:rsidRDefault="009636B7" w:rsidP="007B4B90">
      <w:pPr>
        <w:pStyle w:val="Source"/>
      </w:pPr>
      <w:bookmarkStart w:id="185" w:name="_Toc88823340"/>
      <w:r w:rsidRPr="00B9713C">
        <w:t>Source: Nicholls and Goossens 2017</w:t>
      </w:r>
      <w:r w:rsidR="005054ED">
        <w:t>, p. </w:t>
      </w:r>
      <w:r w:rsidRPr="00B9713C">
        <w:t>510</w:t>
      </w:r>
      <w:bookmarkEnd w:id="185"/>
    </w:p>
    <w:p w14:paraId="5CC8E87B" w14:textId="77777777" w:rsidR="009636B7" w:rsidRDefault="009636B7" w:rsidP="007B4B90">
      <w:pPr>
        <w:spacing w:before="240"/>
      </w:pPr>
      <w:r w:rsidRPr="00075571">
        <w:lastRenderedPageBreak/>
        <w:t>In keeping with these principles of treatment and the literature more broadly, the key findings are presented below.</w:t>
      </w:r>
    </w:p>
    <w:p w14:paraId="228B9B3D" w14:textId="77777777" w:rsidR="007B4B90" w:rsidRPr="00075571" w:rsidRDefault="007B4B90" w:rsidP="007B4B90"/>
    <w:p w14:paraId="60CF43DB" w14:textId="77777777" w:rsidR="00EE0ADB" w:rsidRDefault="009636B7" w:rsidP="007B4B90">
      <w:pPr>
        <w:pStyle w:val="Heading2"/>
      </w:pPr>
      <w:bookmarkStart w:id="186" w:name="_Toc88823251"/>
      <w:bookmarkStart w:id="187" w:name="_Toc90026020"/>
      <w:bookmarkStart w:id="188" w:name="_Hlk87613032"/>
      <w:r>
        <w:t xml:space="preserve">Recommendations for models of care in Aotearoa </w:t>
      </w:r>
      <w:r w:rsidRPr="00075571">
        <w:t>New Zealand</w:t>
      </w:r>
      <w:bookmarkEnd w:id="186"/>
      <w:bookmarkEnd w:id="187"/>
    </w:p>
    <w:p w14:paraId="0A6B1A74" w14:textId="77777777" w:rsidR="009636B7" w:rsidRDefault="009636B7" w:rsidP="007B4B90">
      <w:r>
        <w:t>The following recommendations are made for models of care in Aotearoa New Zealand based on the literature reviews.</w:t>
      </w:r>
      <w:r w:rsidR="00EE0ADB">
        <w:t xml:space="preserve"> </w:t>
      </w:r>
      <w:bookmarkStart w:id="189" w:name="_Hlk33121862"/>
      <w:r>
        <w:t>If New Zealand were to transform its approach to FMHSs, it should look to implement a model of care with the following characteristics:</w:t>
      </w:r>
    </w:p>
    <w:p w14:paraId="49E28B36" w14:textId="77777777" w:rsidR="00EE0ADB" w:rsidRDefault="009636B7" w:rsidP="007B4B90">
      <w:pPr>
        <w:pStyle w:val="Bullet"/>
      </w:pPr>
      <w:bookmarkStart w:id="190" w:name="_Hlk87616327"/>
      <w:bookmarkEnd w:id="188"/>
      <w:r w:rsidRPr="0039045D">
        <w:t xml:space="preserve">The model of care </w:t>
      </w:r>
      <w:r>
        <w:t>should achieve</w:t>
      </w:r>
      <w:r w:rsidRPr="0039045D">
        <w:t xml:space="preserve"> equity of service delivery for Māori.</w:t>
      </w:r>
    </w:p>
    <w:p w14:paraId="130383DE" w14:textId="77777777" w:rsidR="00EE0ADB" w:rsidRDefault="009636B7" w:rsidP="007B4B90">
      <w:pPr>
        <w:pStyle w:val="Bullet"/>
      </w:pPr>
      <w:r w:rsidRPr="0039045D">
        <w:t xml:space="preserve">The model of care </w:t>
      </w:r>
      <w:r>
        <w:t xml:space="preserve">should </w:t>
      </w:r>
      <w:r w:rsidRPr="0039045D">
        <w:t>achieve equity of service delivery for ethnic groups specific to each region (eg</w:t>
      </w:r>
      <w:r>
        <w:t>,</w:t>
      </w:r>
      <w:r w:rsidRPr="0039045D">
        <w:t xml:space="preserve"> </w:t>
      </w:r>
      <w:r>
        <w:t xml:space="preserve">Pacific </w:t>
      </w:r>
      <w:r w:rsidRPr="0039045D">
        <w:t>peoples).</w:t>
      </w:r>
    </w:p>
    <w:p w14:paraId="08E688AF" w14:textId="77777777" w:rsidR="00EE0ADB" w:rsidRDefault="009636B7" w:rsidP="007B4B90">
      <w:pPr>
        <w:pStyle w:val="Bullet"/>
      </w:pPr>
      <w:r w:rsidRPr="0039045D">
        <w:t xml:space="preserve">The model of care </w:t>
      </w:r>
      <w:r>
        <w:t xml:space="preserve">should </w:t>
      </w:r>
      <w:r w:rsidRPr="0039045D">
        <w:t>achieve gender-specific equity of service delivery.</w:t>
      </w:r>
    </w:p>
    <w:p w14:paraId="0F165B6C" w14:textId="77777777" w:rsidR="00EE0ADB" w:rsidRDefault="009636B7" w:rsidP="007B4B90">
      <w:pPr>
        <w:pStyle w:val="Bullet"/>
      </w:pPr>
      <w:r w:rsidRPr="0039045D">
        <w:t>The model of care should be proactive in focusing on early intervention and prevention strategies and interagency collaboration.</w:t>
      </w:r>
    </w:p>
    <w:p w14:paraId="67BDFA66" w14:textId="77777777" w:rsidR="009636B7" w:rsidRPr="0039045D" w:rsidRDefault="009636B7" w:rsidP="007B4B90">
      <w:pPr>
        <w:pStyle w:val="Bullet"/>
      </w:pPr>
      <w:r w:rsidRPr="0039045D">
        <w:t xml:space="preserve">The model of care </w:t>
      </w:r>
      <w:r>
        <w:t xml:space="preserve">should </w:t>
      </w:r>
      <w:r w:rsidRPr="0039045D">
        <w:t>be collaboratively designed with all major stakeholders (eg</w:t>
      </w:r>
      <w:r>
        <w:t xml:space="preserve">, </w:t>
      </w:r>
      <w:r w:rsidRPr="0039045D">
        <w:t>Māori, other relevant cultural expertise, gender-specific expertise, lived experience expertise, whānau/family expertise, inter-facing agencies such as prisons/police/courts).</w:t>
      </w:r>
    </w:p>
    <w:p w14:paraId="7E3C15C9" w14:textId="77777777" w:rsidR="009636B7" w:rsidRPr="0039045D" w:rsidRDefault="009636B7" w:rsidP="007B4B90">
      <w:pPr>
        <w:pStyle w:val="Bullet"/>
      </w:pPr>
      <w:r w:rsidRPr="0039045D">
        <w:t>The model of care should reflect the reorganisation of FMHS</w:t>
      </w:r>
      <w:r>
        <w:t>s</w:t>
      </w:r>
      <w:r w:rsidRPr="0039045D">
        <w:t xml:space="preserve"> into an integrated, holistic service across the entire service user pathway (police, courts, prisons, FMHS</w:t>
      </w:r>
      <w:r>
        <w:t>s</w:t>
      </w:r>
      <w:r w:rsidRPr="0039045D">
        <w:t>, community).</w:t>
      </w:r>
    </w:p>
    <w:p w14:paraId="621CAE16" w14:textId="77777777" w:rsidR="009636B7" w:rsidRPr="0039045D" w:rsidRDefault="009636B7" w:rsidP="007B4B90"/>
    <w:p w14:paraId="014F7BC1" w14:textId="77777777" w:rsidR="009636B7" w:rsidRPr="00F65D1F" w:rsidRDefault="009636B7" w:rsidP="007B4B90">
      <w:pPr>
        <w:pStyle w:val="Heading3"/>
      </w:pPr>
      <w:r w:rsidRPr="00F65D1F">
        <w:t xml:space="preserve">Therapeutic </w:t>
      </w:r>
      <w:r>
        <w:t>s</w:t>
      </w:r>
      <w:r w:rsidRPr="00F65D1F">
        <w:t xml:space="preserve">ecurity, </w:t>
      </w:r>
      <w:r>
        <w:t>r</w:t>
      </w:r>
      <w:r w:rsidRPr="00F65D1F">
        <w:t xml:space="preserve">ehabilitation </w:t>
      </w:r>
      <w:r>
        <w:t>and</w:t>
      </w:r>
      <w:r w:rsidRPr="00F65D1F">
        <w:t xml:space="preserve"> </w:t>
      </w:r>
      <w:r>
        <w:t>r</w:t>
      </w:r>
      <w:r w:rsidRPr="00F65D1F">
        <w:t>ecovery</w:t>
      </w:r>
    </w:p>
    <w:p w14:paraId="614B54F5" w14:textId="77777777" w:rsidR="009636B7" w:rsidRPr="00F65D1F" w:rsidRDefault="009636B7" w:rsidP="007B4B90">
      <w:pPr>
        <w:pStyle w:val="Bullet"/>
      </w:pPr>
      <w:r w:rsidRPr="00F65D1F">
        <w:t>A national definition of the levels of therapeutic security should be developed and then consistently applied to models of care in each FMHS.</w:t>
      </w:r>
    </w:p>
    <w:p w14:paraId="22071D8A" w14:textId="77777777" w:rsidR="009636B7" w:rsidRPr="00F65D1F" w:rsidRDefault="009636B7" w:rsidP="007B4B90">
      <w:pPr>
        <w:pStyle w:val="Bullet"/>
      </w:pPr>
      <w:r w:rsidRPr="00F65D1F">
        <w:t>A rationale should be provided for the inclusion (or not) of high secure facilities that exist in comparable jurisdictions.</w:t>
      </w:r>
    </w:p>
    <w:p w14:paraId="0604F09B" w14:textId="77777777" w:rsidR="009636B7" w:rsidRPr="00075571" w:rsidRDefault="009636B7" w:rsidP="007B4B90">
      <w:pPr>
        <w:pStyle w:val="Bullet"/>
      </w:pPr>
      <w:r w:rsidRPr="00F65D1F">
        <w:t xml:space="preserve">A holistic rehabilitation focus should be incorporated into all FMHS models of care, which combines an emphasis </w:t>
      </w:r>
      <w:r w:rsidRPr="00083632">
        <w:t>on mental</w:t>
      </w:r>
      <w:r w:rsidRPr="00075571">
        <w:t xml:space="preserve"> health, addiction, criminogenic, physical, psychosocial and cultural needs.</w:t>
      </w:r>
    </w:p>
    <w:p w14:paraId="068F2A00" w14:textId="77777777" w:rsidR="00EE0ADB" w:rsidRDefault="009636B7" w:rsidP="007B4B90">
      <w:pPr>
        <w:pStyle w:val="Bullet"/>
      </w:pPr>
      <w:r w:rsidRPr="00075571">
        <w:t xml:space="preserve">The </w:t>
      </w:r>
      <w:r>
        <w:t xml:space="preserve">FMHS </w:t>
      </w:r>
      <w:r w:rsidRPr="00075571">
        <w:t xml:space="preserve">model of care should include the integration of primary, secondary and </w:t>
      </w:r>
      <w:r>
        <w:t xml:space="preserve">personal </w:t>
      </w:r>
      <w:r w:rsidRPr="00075571">
        <w:t>health</w:t>
      </w:r>
      <w:r>
        <w:t xml:space="preserve">, including </w:t>
      </w:r>
      <w:r w:rsidRPr="00075571">
        <w:t>mental health and addiction needs</w:t>
      </w:r>
      <w:r>
        <w:t>.</w:t>
      </w:r>
    </w:p>
    <w:p w14:paraId="3D4B049D" w14:textId="77777777" w:rsidR="009636B7" w:rsidRPr="00075571" w:rsidRDefault="009636B7" w:rsidP="007B4B90">
      <w:pPr>
        <w:pStyle w:val="Bullet"/>
      </w:pPr>
      <w:r w:rsidRPr="00075571">
        <w:t>A strong recovery component should be central to the model of care in each FMHS.</w:t>
      </w:r>
    </w:p>
    <w:p w14:paraId="01FCC0DF" w14:textId="77777777" w:rsidR="00EE0ADB" w:rsidRDefault="009636B7" w:rsidP="007B4B90">
      <w:pPr>
        <w:pStyle w:val="Bullet"/>
      </w:pPr>
      <w:r w:rsidRPr="00075571">
        <w:t xml:space="preserve">Both the rehabilitation </w:t>
      </w:r>
      <w:r>
        <w:t xml:space="preserve">focus </w:t>
      </w:r>
      <w:r w:rsidRPr="00075571">
        <w:t xml:space="preserve">and </w:t>
      </w:r>
      <w:r>
        <w:t xml:space="preserve">the </w:t>
      </w:r>
      <w:r w:rsidRPr="00075571">
        <w:t>recovery focus should reflect inclusive multi</w:t>
      </w:r>
      <w:r w:rsidRPr="00083632">
        <w:t>disciplinary, cultural</w:t>
      </w:r>
      <w:r w:rsidRPr="00075571">
        <w:t xml:space="preserve"> and lived experience input.</w:t>
      </w:r>
    </w:p>
    <w:p w14:paraId="587FE993" w14:textId="77777777" w:rsidR="009636B7" w:rsidRPr="00075571" w:rsidRDefault="009636B7" w:rsidP="007B4B90">
      <w:pPr>
        <w:pStyle w:val="Bullet"/>
        <w:keepNext/>
      </w:pPr>
      <w:r w:rsidRPr="00075571">
        <w:lastRenderedPageBreak/>
        <w:t xml:space="preserve">The model of care </w:t>
      </w:r>
      <w:r>
        <w:t xml:space="preserve">should </w:t>
      </w:r>
      <w:r w:rsidRPr="00083632">
        <w:t>incorporate</w:t>
      </w:r>
      <w:r w:rsidRPr="00075571">
        <w:t xml:space="preserve"> a national response to </w:t>
      </w:r>
      <w:r>
        <w:t>tāngata whaiora with</w:t>
      </w:r>
      <w:r w:rsidRPr="00075571">
        <w:t xml:space="preserve"> complex needs.</w:t>
      </w:r>
    </w:p>
    <w:p w14:paraId="3E309FF2" w14:textId="77777777" w:rsidR="009636B7" w:rsidRPr="00075571" w:rsidRDefault="009636B7" w:rsidP="007B4B90">
      <w:pPr>
        <w:pStyle w:val="Bullet"/>
        <w:keepNext/>
      </w:pPr>
      <w:r w:rsidRPr="00083632">
        <w:t>All</w:t>
      </w:r>
      <w:r w:rsidRPr="00075571">
        <w:t xml:space="preserve"> the above should be considered in the distinct models of care for the four components of FMHS</w:t>
      </w:r>
      <w:r>
        <w:t>s</w:t>
      </w:r>
      <w:r w:rsidRPr="00075571">
        <w:t xml:space="preserve"> (inpatient, community, prisons and courts).</w:t>
      </w:r>
    </w:p>
    <w:p w14:paraId="6A74D4D6" w14:textId="77777777" w:rsidR="009636B7" w:rsidRPr="0039045D" w:rsidRDefault="009636B7" w:rsidP="007B4B90"/>
    <w:p w14:paraId="1F16125A" w14:textId="77777777" w:rsidR="009636B7" w:rsidRPr="0039045D" w:rsidRDefault="009636B7" w:rsidP="007B4B90">
      <w:pPr>
        <w:pStyle w:val="Heading3"/>
      </w:pPr>
      <w:r w:rsidRPr="0039045D">
        <w:t>Re</w:t>
      </w:r>
      <w:r>
        <w:t xml:space="preserve">commendations for </w:t>
      </w:r>
      <w:r w:rsidRPr="0039045D">
        <w:t>specific settings</w:t>
      </w:r>
    </w:p>
    <w:p w14:paraId="2CCABCCC" w14:textId="77777777" w:rsidR="009636B7" w:rsidRPr="0039045D" w:rsidRDefault="009636B7" w:rsidP="007B4B90">
      <w:pPr>
        <w:pStyle w:val="Heading4"/>
      </w:pPr>
      <w:r w:rsidRPr="0039045D">
        <w:t>Inpatient</w:t>
      </w:r>
    </w:p>
    <w:p w14:paraId="78B99720" w14:textId="77777777" w:rsidR="009636B7" w:rsidRPr="0039045D" w:rsidRDefault="009636B7" w:rsidP="007B4B90">
      <w:pPr>
        <w:pStyle w:val="Bullet"/>
      </w:pPr>
      <w:r w:rsidRPr="0039045D">
        <w:t>Although evidence exists for a number of recovery-orientated models of care in inpatient FMHS</w:t>
      </w:r>
      <w:r>
        <w:t>s</w:t>
      </w:r>
      <w:r w:rsidRPr="0039045D">
        <w:t>, the national implementation of one model is suggested</w:t>
      </w:r>
      <w:r>
        <w:t>,</w:t>
      </w:r>
      <w:r w:rsidRPr="0039045D">
        <w:t xml:space="preserve"> to enable ongoing refinement.</w:t>
      </w:r>
    </w:p>
    <w:p w14:paraId="02E7AF99" w14:textId="77777777" w:rsidR="00EE0ADB" w:rsidRDefault="009636B7" w:rsidP="007B4B90">
      <w:pPr>
        <w:pStyle w:val="Bullet"/>
      </w:pPr>
      <w:r w:rsidRPr="0039045D">
        <w:t>The DUNDRUM suite of measures should be introduced nationally</w:t>
      </w:r>
      <w:r>
        <w:t>,</w:t>
      </w:r>
      <w:r w:rsidRPr="0039045D">
        <w:t xml:space="preserve"> to assist in decision-making regarding service users</w:t>
      </w:r>
      <w:r w:rsidR="00EE0ADB">
        <w:t>’</w:t>
      </w:r>
      <w:r w:rsidRPr="0039045D">
        <w:t xml:space="preserve"> pathways through FMHS</w:t>
      </w:r>
      <w:r>
        <w:t>s</w:t>
      </w:r>
      <w:r w:rsidRPr="0039045D">
        <w:t>.</w:t>
      </w:r>
    </w:p>
    <w:p w14:paraId="0D48358F" w14:textId="77777777" w:rsidR="009636B7" w:rsidRPr="0039045D" w:rsidRDefault="009636B7" w:rsidP="007B4B90"/>
    <w:p w14:paraId="263B728A" w14:textId="77777777" w:rsidR="009636B7" w:rsidRPr="0039045D" w:rsidRDefault="009636B7" w:rsidP="007B4B90">
      <w:pPr>
        <w:pStyle w:val="Heading4"/>
      </w:pPr>
      <w:r w:rsidRPr="0039045D">
        <w:t>Community</w:t>
      </w:r>
    </w:p>
    <w:p w14:paraId="51A5DC75" w14:textId="77777777" w:rsidR="009636B7" w:rsidRPr="0039045D" w:rsidRDefault="009636B7" w:rsidP="007B4B90">
      <w:pPr>
        <w:pStyle w:val="Bullet"/>
      </w:pPr>
      <w:r>
        <w:t xml:space="preserve">Forensic mental health services </w:t>
      </w:r>
      <w:r w:rsidRPr="0039045D">
        <w:t>should articulate either forensic assertive community treatment or forensic mental health case management as central to their models of care in the community, within a recovery-orientated paradigm.</w:t>
      </w:r>
    </w:p>
    <w:p w14:paraId="63075845" w14:textId="77777777" w:rsidR="00EE0ADB" w:rsidRDefault="009636B7" w:rsidP="007B4B90">
      <w:pPr>
        <w:pStyle w:val="Bullet"/>
      </w:pPr>
      <w:r>
        <w:t xml:space="preserve">Forensic mental health services </w:t>
      </w:r>
      <w:r w:rsidRPr="0039045D">
        <w:t>should articulate the nature of the consultation and liaison functions in their models of care in the community. In these community models of care, these services</w:t>
      </w:r>
      <w:r w:rsidR="00EE0ADB">
        <w:t>’</w:t>
      </w:r>
      <w:r w:rsidRPr="0039045D">
        <w:t xml:space="preserve"> integrat</w:t>
      </w:r>
      <w:r>
        <w:t>ion or parallel</w:t>
      </w:r>
      <w:r w:rsidRPr="0039045D">
        <w:t xml:space="preserve"> </w:t>
      </w:r>
      <w:r>
        <w:t xml:space="preserve">operation </w:t>
      </w:r>
      <w:r w:rsidRPr="0039045D">
        <w:t>with GMHS</w:t>
      </w:r>
      <w:r>
        <w:t>s should be clearly articulated</w:t>
      </w:r>
      <w:r w:rsidRPr="0039045D">
        <w:t>.</w:t>
      </w:r>
    </w:p>
    <w:p w14:paraId="2BD23678" w14:textId="77777777" w:rsidR="00EE0ADB" w:rsidRDefault="009636B7" w:rsidP="007B4B90">
      <w:pPr>
        <w:pStyle w:val="Bullet"/>
      </w:pPr>
      <w:r w:rsidRPr="0039045D">
        <w:t>A well-resourced diversion model of care should be developed to relieve pressure from FMHS</w:t>
      </w:r>
      <w:r>
        <w:t>s</w:t>
      </w:r>
      <w:r w:rsidRPr="0039045D">
        <w:t>.</w:t>
      </w:r>
    </w:p>
    <w:p w14:paraId="3A80668C" w14:textId="77777777" w:rsidR="009636B7" w:rsidRDefault="009636B7" w:rsidP="007B4B90">
      <w:pPr>
        <w:pStyle w:val="Bullet"/>
      </w:pPr>
      <w:r>
        <w:t>Forensic mental health services should develop clear relationships with agencies that have a preventative emphasis, to strengthen the diversion component of the model of care.</w:t>
      </w:r>
    </w:p>
    <w:p w14:paraId="6AEAD13D" w14:textId="77777777" w:rsidR="007B4B90" w:rsidRPr="0039045D" w:rsidRDefault="007B4B90" w:rsidP="007B4B90"/>
    <w:p w14:paraId="4D69FCD5" w14:textId="77777777" w:rsidR="009636B7" w:rsidRPr="0039045D" w:rsidRDefault="009636B7" w:rsidP="007B4B90">
      <w:pPr>
        <w:pStyle w:val="Heading4"/>
      </w:pPr>
      <w:r w:rsidRPr="0039045D">
        <w:t>Prisons</w:t>
      </w:r>
    </w:p>
    <w:p w14:paraId="761551F7" w14:textId="77777777" w:rsidR="009636B7" w:rsidRPr="0039045D" w:rsidRDefault="009636B7" w:rsidP="007B4B90">
      <w:pPr>
        <w:pStyle w:val="Bullet"/>
      </w:pPr>
      <w:r w:rsidRPr="0039045D">
        <w:t xml:space="preserve">The STAIR prison in-reach model of care (developed in </w:t>
      </w:r>
      <w:r>
        <w:t>Aotearoa New Zealand</w:t>
      </w:r>
      <w:r w:rsidRPr="0039045D">
        <w:t xml:space="preserve">) should be reviewed nationally to consider </w:t>
      </w:r>
      <w:r>
        <w:t xml:space="preserve">its </w:t>
      </w:r>
      <w:r w:rsidRPr="0039045D">
        <w:t>culturally specific responsivity, gender-specific responsivity and recovery orientation.</w:t>
      </w:r>
    </w:p>
    <w:p w14:paraId="2AF661B9" w14:textId="77777777" w:rsidR="009636B7" w:rsidRPr="0039045D" w:rsidRDefault="009636B7" w:rsidP="007B4B90">
      <w:pPr>
        <w:pStyle w:val="Bullet"/>
      </w:pPr>
      <w:r w:rsidRPr="0039045D">
        <w:t>Once refined, this model of care should be endorsed as the prison model of care for all regional FMHS</w:t>
      </w:r>
      <w:r>
        <w:t>s</w:t>
      </w:r>
      <w:r w:rsidRPr="0039045D">
        <w:t>.</w:t>
      </w:r>
    </w:p>
    <w:p w14:paraId="490FCCC0" w14:textId="77777777" w:rsidR="009636B7" w:rsidRPr="0039045D" w:rsidRDefault="009636B7" w:rsidP="007B4B90"/>
    <w:p w14:paraId="7E2EB3B8" w14:textId="77777777" w:rsidR="009636B7" w:rsidRPr="0039045D" w:rsidRDefault="009636B7" w:rsidP="007B4B90">
      <w:pPr>
        <w:pStyle w:val="Heading4"/>
      </w:pPr>
      <w:r w:rsidRPr="0039045D">
        <w:lastRenderedPageBreak/>
        <w:t>Courts</w:t>
      </w:r>
    </w:p>
    <w:p w14:paraId="60B18F1B" w14:textId="77777777" w:rsidR="00EE0ADB" w:rsidRDefault="009636B7" w:rsidP="007B4B90">
      <w:pPr>
        <w:pStyle w:val="Bullet"/>
        <w:keepNext/>
      </w:pPr>
      <w:r w:rsidRPr="0039045D">
        <w:t>The model of care for courts should clearly articulate the core functions of assessment, consultation, diversion and liaison.</w:t>
      </w:r>
    </w:p>
    <w:p w14:paraId="16CBE2FE" w14:textId="77777777" w:rsidR="00EE0ADB" w:rsidRDefault="009636B7" w:rsidP="007B4B90">
      <w:pPr>
        <w:pStyle w:val="Bullet"/>
        <w:keepNext/>
      </w:pPr>
      <w:r w:rsidRPr="0039045D">
        <w:t>Consideration should be given to proactive screening for mental health and addictions as a routine process in the models of care for courts.</w:t>
      </w:r>
    </w:p>
    <w:p w14:paraId="26CFD822" w14:textId="77777777" w:rsidR="00EE0ADB" w:rsidRDefault="009636B7" w:rsidP="007B4B90">
      <w:pPr>
        <w:pStyle w:val="Bullet"/>
      </w:pPr>
      <w:r w:rsidRPr="0039045D">
        <w:t>To increase responsivity to Māori, further consideration should be given to the use of Māori cultural assessments and provision of cultural support within the court liaison service.</w:t>
      </w:r>
    </w:p>
    <w:p w14:paraId="0EA34A20" w14:textId="77777777" w:rsidR="009636B7" w:rsidRPr="0039045D" w:rsidRDefault="009636B7" w:rsidP="007B4B90"/>
    <w:p w14:paraId="295F62D3" w14:textId="77777777" w:rsidR="009636B7" w:rsidRPr="0039045D" w:rsidRDefault="009636B7" w:rsidP="007B4B90">
      <w:pPr>
        <w:pStyle w:val="Heading4"/>
      </w:pPr>
      <w:r w:rsidRPr="0039045D">
        <w:t>Research</w:t>
      </w:r>
    </w:p>
    <w:p w14:paraId="4B5F1124" w14:textId="77777777" w:rsidR="009636B7" w:rsidRPr="0039045D" w:rsidRDefault="009636B7" w:rsidP="007B4B90">
      <w:pPr>
        <w:pStyle w:val="Bullet"/>
      </w:pPr>
      <w:r w:rsidRPr="0039045D">
        <w:t xml:space="preserve">Research needs to be embedded from the </w:t>
      </w:r>
      <w:r>
        <w:t>out</w:t>
      </w:r>
      <w:r w:rsidRPr="0039045D">
        <w:t>set in</w:t>
      </w:r>
      <w:r>
        <w:t xml:space="preserve"> </w:t>
      </w:r>
      <w:r w:rsidRPr="0039045D">
        <w:t>all models of care.</w:t>
      </w:r>
    </w:p>
    <w:p w14:paraId="19217FC7" w14:textId="77777777" w:rsidR="009636B7" w:rsidRPr="0039045D" w:rsidRDefault="009636B7" w:rsidP="007B4B90">
      <w:pPr>
        <w:pStyle w:val="Bullet"/>
      </w:pPr>
      <w:r w:rsidRPr="0039045D">
        <w:t>This research should be both formative (to flesh out progress in the embedding of the models of care) and summative (to consider the outcomes of the models of care).</w:t>
      </w:r>
    </w:p>
    <w:p w14:paraId="352FA5C6" w14:textId="77777777" w:rsidR="009636B7" w:rsidRPr="006E1A15" w:rsidRDefault="009636B7" w:rsidP="007B4B90">
      <w:pPr>
        <w:pStyle w:val="Bullet"/>
      </w:pPr>
      <w:r w:rsidRPr="0039045D">
        <w:t xml:space="preserve">This research should be co-designed by all stakeholders, with an emphasis on </w:t>
      </w:r>
      <w:r w:rsidRPr="006E1A15">
        <w:t>kaupapa Māori research, given the populations FMHSs serve.</w:t>
      </w:r>
    </w:p>
    <w:bookmarkEnd w:id="190"/>
    <w:p w14:paraId="7FF76468" w14:textId="77777777" w:rsidR="009636B7" w:rsidRPr="0039045D" w:rsidRDefault="009636B7" w:rsidP="007B4B90"/>
    <w:p w14:paraId="50D3F4EC" w14:textId="77777777" w:rsidR="009636B7" w:rsidRDefault="009636B7" w:rsidP="007B4B90">
      <w:r>
        <w:t xml:space="preserve">Forensic mental health services in Aotearoa are at an exciting cross-roads. </w:t>
      </w:r>
      <w:r w:rsidRPr="006E1A15">
        <w:rPr>
          <w:i/>
          <w:iCs/>
        </w:rPr>
        <w:t>He Ara Oranga:</w:t>
      </w:r>
      <w:r>
        <w:t xml:space="preserve"> </w:t>
      </w:r>
      <w:r w:rsidRPr="002050F6">
        <w:rPr>
          <w:i/>
          <w:iCs/>
        </w:rPr>
        <w:t>Report of the Government Inquiry into Mental Health and Addiction</w:t>
      </w:r>
      <w:r>
        <w:t xml:space="preserve"> (Paterson </w:t>
      </w:r>
      <w:r w:rsidR="00AD0D58">
        <w:t>et al</w:t>
      </w:r>
      <w:r>
        <w:t xml:space="preserve"> 2018) </w:t>
      </w:r>
      <w:r w:rsidRPr="00B108DC">
        <w:t>challenges</w:t>
      </w:r>
      <w:r>
        <w:t xml:space="preserve"> services to </w:t>
      </w:r>
      <w:r w:rsidRPr="00B108DC">
        <w:t>develop models of care which are co-produced, recovery-oriented</w:t>
      </w:r>
      <w:r>
        <w:t xml:space="preserve"> and</w:t>
      </w:r>
      <w:r w:rsidRPr="00B108DC">
        <w:t xml:space="preserve"> evidence-based</w:t>
      </w:r>
      <w:r>
        <w:t>,</w:t>
      </w:r>
      <w:r w:rsidRPr="00B108DC">
        <w:t xml:space="preserve"> and which place </w:t>
      </w:r>
      <w:r>
        <w:t>service users</w:t>
      </w:r>
      <w:r w:rsidRPr="00B108DC">
        <w:t xml:space="preserve"> and their whānau at the centre.</w:t>
      </w:r>
      <w:r>
        <w:t xml:space="preserve"> Furthermore, our health system is being transformed into a single national health service including a new Māori health authority (Ministry of Health 2021). If the findings of this literature review are endorsed alongside these changes, regional FMHSs should be able to achieve consistent service delivery and learn from each other</w:t>
      </w:r>
      <w:r w:rsidR="00EE0ADB">
        <w:t>’</w:t>
      </w:r>
      <w:r>
        <w:t>s innovation, to produce the best outcomes for those they serve.</w:t>
      </w:r>
    </w:p>
    <w:p w14:paraId="6E67E769" w14:textId="77777777" w:rsidR="009636B7" w:rsidRPr="00075571" w:rsidRDefault="009636B7" w:rsidP="007B4B90"/>
    <w:p w14:paraId="232593A5" w14:textId="77777777" w:rsidR="009636B7" w:rsidRPr="001A28C6" w:rsidRDefault="009636B7" w:rsidP="004A5275">
      <w:pPr>
        <w:pStyle w:val="Heading1"/>
      </w:pPr>
      <w:bookmarkStart w:id="191" w:name="_bookmark70"/>
      <w:bookmarkStart w:id="192" w:name="_Toc88823252"/>
      <w:bookmarkStart w:id="193" w:name="_Toc90026021"/>
      <w:bookmarkEnd w:id="189"/>
      <w:bookmarkEnd w:id="191"/>
      <w:r w:rsidRPr="001A28C6">
        <w:lastRenderedPageBreak/>
        <w:t>References</w:t>
      </w:r>
      <w:bookmarkEnd w:id="192"/>
      <w:bookmarkEnd w:id="193"/>
    </w:p>
    <w:p w14:paraId="739DD504" w14:textId="77777777" w:rsidR="009636B7" w:rsidRPr="00D3591C" w:rsidRDefault="009636B7" w:rsidP="00D3591C">
      <w:pPr>
        <w:pStyle w:val="References"/>
      </w:pPr>
      <w:r w:rsidRPr="00075571">
        <w:t xml:space="preserve">Acquaviva GL. 2006. Mental health courts: No longer experimental. </w:t>
      </w:r>
      <w:r w:rsidRPr="00075571">
        <w:rPr>
          <w:i/>
          <w:iCs/>
        </w:rPr>
        <w:t xml:space="preserve">Seton Hall Law Review </w:t>
      </w:r>
      <w:r w:rsidRPr="00056A67">
        <w:t>36</w:t>
      </w:r>
      <w:r w:rsidRPr="00075571">
        <w:t>(3)</w:t>
      </w:r>
      <w:r>
        <w:t>:</w:t>
      </w:r>
      <w:r w:rsidRPr="00075571">
        <w:t xml:space="preserve"> 971–1013. </w:t>
      </w:r>
      <w:r>
        <w:t>URL:</w:t>
      </w:r>
      <w:r w:rsidRPr="00075571">
        <w:t xml:space="preserve"> </w:t>
      </w:r>
      <w:hyperlink r:id="rId42" w:history="1">
        <w:r w:rsidRPr="00056A67">
          <w:rPr>
            <w:rStyle w:val="Hyperlink"/>
            <w:bCs/>
          </w:rPr>
          <w:t>https://scholarship.shu.edu/shlr/</w:t>
        </w:r>
      </w:hyperlink>
      <w:r w:rsidRPr="00D3591C">
        <w:t xml:space="preserve"> (accessed 27 October 2021).</w:t>
      </w:r>
    </w:p>
    <w:p w14:paraId="0901DD83" w14:textId="77777777" w:rsidR="009636B7" w:rsidRDefault="009636B7" w:rsidP="00D3591C">
      <w:pPr>
        <w:pStyle w:val="References"/>
        <w:rPr>
          <w:noProof/>
          <w:lang w:val="mi-NZ"/>
        </w:rPr>
      </w:pPr>
      <w:r>
        <w:rPr>
          <w:noProof/>
          <w:lang w:val="mi-NZ"/>
        </w:rPr>
        <w:t xml:space="preserve">ACT Government. </w:t>
      </w:r>
      <w:r>
        <w:rPr>
          <w:lang w:val="mi-NZ"/>
        </w:rPr>
        <w:t xml:space="preserve">2019. </w:t>
      </w:r>
      <w:r w:rsidRPr="009666B9">
        <w:rPr>
          <w:i/>
          <w:iCs/>
          <w:lang w:val="mi-NZ"/>
        </w:rPr>
        <w:t>Forensic Mental Health Services: Model of Care.</w:t>
      </w:r>
      <w:r>
        <w:rPr>
          <w:lang w:val="mi-NZ"/>
        </w:rPr>
        <w:t xml:space="preserve"> </w:t>
      </w:r>
      <w:r>
        <w:rPr>
          <w:noProof/>
          <w:lang w:val="mi-NZ"/>
        </w:rPr>
        <w:t>Canberra: Canberra Health Services.</w:t>
      </w:r>
    </w:p>
    <w:p w14:paraId="279BA32A" w14:textId="77777777" w:rsidR="009636B7" w:rsidRPr="00075571" w:rsidRDefault="009636B7" w:rsidP="00D3591C">
      <w:pPr>
        <w:pStyle w:val="References"/>
      </w:pPr>
      <w:r w:rsidRPr="00075571">
        <w:t xml:space="preserve">Adams J, Ellis A, Brown A, </w:t>
      </w:r>
      <w:r w:rsidR="00AD0D58">
        <w:t>et al</w:t>
      </w:r>
      <w:r w:rsidRPr="00075571">
        <w:t xml:space="preserve">. 2009. A prison mental health screening unit: A first for New South Wales. </w:t>
      </w:r>
      <w:r w:rsidRPr="00075571">
        <w:rPr>
          <w:i/>
          <w:iCs/>
        </w:rPr>
        <w:t xml:space="preserve">Australasian Psychiatry </w:t>
      </w:r>
      <w:r w:rsidRPr="00056A67">
        <w:t>17</w:t>
      </w:r>
      <w:r w:rsidRPr="00075571">
        <w:t>(2)</w:t>
      </w:r>
      <w:r>
        <w:t>:</w:t>
      </w:r>
      <w:r w:rsidRPr="00075571">
        <w:t xml:space="preserve"> 90–6. </w:t>
      </w:r>
      <w:r>
        <w:t>DOI</w:t>
      </w:r>
      <w:r w:rsidRPr="00075571">
        <w:t>:</w:t>
      </w:r>
      <w:r>
        <w:t xml:space="preserve"> </w:t>
      </w:r>
      <w:r w:rsidRPr="00075571">
        <w:t>10.1080/10398560802444036</w:t>
      </w:r>
      <w:r>
        <w:t xml:space="preserve"> (accessed 14 October 2021).</w:t>
      </w:r>
    </w:p>
    <w:p w14:paraId="18CF3B0E" w14:textId="77777777" w:rsidR="009636B7" w:rsidRPr="00075571" w:rsidRDefault="009636B7" w:rsidP="009636B7">
      <w:pPr>
        <w:pStyle w:val="References"/>
      </w:pPr>
      <w:r w:rsidRPr="00075571">
        <w:t xml:space="preserve">Albalawi O, Chowdhury NZ, Wand H, </w:t>
      </w:r>
      <w:r w:rsidR="00AD0D58">
        <w:t>et al</w:t>
      </w:r>
      <w:r w:rsidRPr="00075571">
        <w:t xml:space="preserve">. 2019. Court diversion for those with psychosis and its impact on re-offending rates: Results from a longitudinal data-linkage study. </w:t>
      </w:r>
      <w:r w:rsidRPr="00075571">
        <w:rPr>
          <w:i/>
          <w:iCs/>
        </w:rPr>
        <w:t xml:space="preserve">BJPsych Open </w:t>
      </w:r>
      <w:r w:rsidRPr="00056A67">
        <w:t>5</w:t>
      </w:r>
      <w:r>
        <w:t>:</w:t>
      </w:r>
      <w:r w:rsidRPr="00075571">
        <w:t xml:space="preserve"> e9, 1–9. </w:t>
      </w:r>
      <w:r>
        <w:t xml:space="preserve">URL: </w:t>
      </w:r>
      <w:r w:rsidRPr="00075571">
        <w:t>https://doi.org/10.1192/bjo.2018.71</w:t>
      </w:r>
      <w:r>
        <w:t xml:space="preserve"> (accessed 27 October 2021).</w:t>
      </w:r>
    </w:p>
    <w:p w14:paraId="611955C9" w14:textId="77777777" w:rsidR="00EE0ADB" w:rsidRDefault="009636B7" w:rsidP="009636B7">
      <w:pPr>
        <w:pStyle w:val="References"/>
      </w:pPr>
      <w:r w:rsidRPr="00075571">
        <w:t xml:space="preserve">Andrews DA, Bonta J. 2010. </w:t>
      </w:r>
      <w:r w:rsidRPr="00075571">
        <w:rPr>
          <w:i/>
          <w:iCs/>
        </w:rPr>
        <w:t xml:space="preserve">The </w:t>
      </w:r>
      <w:r>
        <w:rPr>
          <w:i/>
          <w:iCs/>
        </w:rPr>
        <w:t>P</w:t>
      </w:r>
      <w:r w:rsidRPr="00075571">
        <w:rPr>
          <w:i/>
          <w:iCs/>
        </w:rPr>
        <w:t xml:space="preserve">sychology of </w:t>
      </w:r>
      <w:r>
        <w:rPr>
          <w:i/>
          <w:iCs/>
        </w:rPr>
        <w:t>C</w:t>
      </w:r>
      <w:r w:rsidRPr="00075571">
        <w:rPr>
          <w:i/>
          <w:iCs/>
        </w:rPr>
        <w:t xml:space="preserve">riminal </w:t>
      </w:r>
      <w:r>
        <w:rPr>
          <w:i/>
          <w:iCs/>
        </w:rPr>
        <w:t>C</w:t>
      </w:r>
      <w:r w:rsidRPr="00075571">
        <w:rPr>
          <w:i/>
          <w:iCs/>
        </w:rPr>
        <w:t>onduct</w:t>
      </w:r>
      <w:r w:rsidRPr="00075571">
        <w:t xml:space="preserve"> (5</w:t>
      </w:r>
      <w:r w:rsidRPr="00056A67">
        <w:t>th</w:t>
      </w:r>
      <w:r w:rsidRPr="00075571">
        <w:t xml:space="preserve"> ed). New Providence, NJ: LexisNexis.</w:t>
      </w:r>
    </w:p>
    <w:p w14:paraId="23FCE7B9" w14:textId="77777777" w:rsidR="009636B7" w:rsidRPr="00075571" w:rsidRDefault="009636B7" w:rsidP="009636B7">
      <w:pPr>
        <w:pStyle w:val="References"/>
      </w:pPr>
      <w:r w:rsidRPr="00075571">
        <w:t xml:space="preserve">Andrews DA, Bonta J, Hoge RD. 1990. Classification for effective rehabilitation: Rediscovering psychology. </w:t>
      </w:r>
      <w:r w:rsidRPr="00075571">
        <w:rPr>
          <w:i/>
          <w:iCs/>
        </w:rPr>
        <w:t xml:space="preserve">Criminal Justice and Behavior </w:t>
      </w:r>
      <w:r w:rsidRPr="00056A67">
        <w:t>17</w:t>
      </w:r>
      <w:r>
        <w:t>:</w:t>
      </w:r>
      <w:r w:rsidRPr="00075571">
        <w:t xml:space="preserve"> 19–52. </w:t>
      </w:r>
      <w:r>
        <w:t xml:space="preserve">URL: </w:t>
      </w:r>
      <w:hyperlink r:id="rId43" w:history="1">
        <w:r w:rsidR="00D3591C" w:rsidRPr="00D3591C">
          <w:rPr>
            <w:rStyle w:val="Hyperlink"/>
          </w:rPr>
          <w:t>http://dx.doi.org/10.1177/0093854890017001004</w:t>
        </w:r>
      </w:hyperlink>
      <w:r>
        <w:t xml:space="preserve"> (accessed 11 October 2021).</w:t>
      </w:r>
    </w:p>
    <w:p w14:paraId="385266AB" w14:textId="77777777" w:rsidR="009636B7" w:rsidRPr="00DD29A3" w:rsidRDefault="009636B7" w:rsidP="009636B7">
      <w:pPr>
        <w:pStyle w:val="References"/>
      </w:pPr>
      <w:r w:rsidRPr="001A28C6">
        <w:t xml:space="preserve">Andrews DA, Bonta J, Wormith JS. </w:t>
      </w:r>
      <w:r w:rsidRPr="009E213B">
        <w:t xml:space="preserve">2011. The risk-need-responsivity (RNR) model: Does adding the good lives model contribute to effective crime prevention? </w:t>
      </w:r>
      <w:r w:rsidRPr="00E42BE0">
        <w:rPr>
          <w:i/>
          <w:iCs/>
        </w:rPr>
        <w:t xml:space="preserve">Criminal Justice and Behavior </w:t>
      </w:r>
      <w:r w:rsidRPr="00056A67">
        <w:t>38</w:t>
      </w:r>
      <w:r>
        <w:t>:</w:t>
      </w:r>
      <w:r w:rsidRPr="0043256B">
        <w:t xml:space="preserve"> 735–55. </w:t>
      </w:r>
      <w:r>
        <w:t>DOI</w:t>
      </w:r>
      <w:r w:rsidRPr="0043256B">
        <w:t>:</w:t>
      </w:r>
      <w:r>
        <w:t xml:space="preserve"> </w:t>
      </w:r>
      <w:r w:rsidRPr="0043256B">
        <w:t>10.1177/0093854811406356</w:t>
      </w:r>
      <w:r>
        <w:t xml:space="preserve"> (accessed 11 October 2021).</w:t>
      </w:r>
    </w:p>
    <w:p w14:paraId="4C398C61" w14:textId="77777777" w:rsidR="009636B7" w:rsidRPr="000329FE" w:rsidRDefault="009636B7" w:rsidP="009636B7">
      <w:pPr>
        <w:pStyle w:val="References"/>
      </w:pPr>
      <w:r w:rsidRPr="00482A5B">
        <w:t xml:space="preserve">Angell B, Matthews E, Barrenger S, </w:t>
      </w:r>
      <w:r w:rsidR="00AD0D58">
        <w:t>et al</w:t>
      </w:r>
      <w:r w:rsidRPr="00A537F0">
        <w:t xml:space="preserve">. 2014. Engagement processes in model programs for community </w:t>
      </w:r>
      <w:r w:rsidR="00F74BB4" w:rsidRPr="00A537F0">
        <w:t>re-entry</w:t>
      </w:r>
      <w:r w:rsidRPr="00A537F0">
        <w:t xml:space="preserve"> from prison for people with serious mental illness. </w:t>
      </w:r>
      <w:r w:rsidRPr="00FB779C">
        <w:rPr>
          <w:i/>
          <w:iCs/>
        </w:rPr>
        <w:t xml:space="preserve">International Journal of Law and Psychiatry </w:t>
      </w:r>
      <w:r w:rsidRPr="00056A67">
        <w:t>37</w:t>
      </w:r>
      <w:r w:rsidRPr="007F561D">
        <w:t>(5)</w:t>
      </w:r>
      <w:r>
        <w:t>:</w:t>
      </w:r>
      <w:r w:rsidRPr="007F561D">
        <w:t xml:space="preserve"> 490–500. </w:t>
      </w:r>
      <w:r>
        <w:t>DOI</w:t>
      </w:r>
      <w:r w:rsidRPr="007F561D">
        <w:t>:</w:t>
      </w:r>
      <w:r>
        <w:t xml:space="preserve"> </w:t>
      </w:r>
      <w:r w:rsidRPr="007F561D">
        <w:t>10.1016/j.ijlp.2014.02.022</w:t>
      </w:r>
      <w:r>
        <w:t xml:space="preserve"> (accessed 14 October 2021).</w:t>
      </w:r>
    </w:p>
    <w:p w14:paraId="56CB5268" w14:textId="77777777" w:rsidR="009636B7" w:rsidRPr="000329FE" w:rsidRDefault="009636B7" w:rsidP="009636B7">
      <w:pPr>
        <w:pStyle w:val="References"/>
      </w:pPr>
      <w:r w:rsidRPr="000329FE">
        <w:t xml:space="preserve">Armitage C, Fitzgerald C, Cheong P. 2003. Prison in-reach mental health nursing. </w:t>
      </w:r>
      <w:r w:rsidRPr="000329FE">
        <w:rPr>
          <w:i/>
          <w:iCs/>
        </w:rPr>
        <w:t xml:space="preserve">Nursing Standard </w:t>
      </w:r>
      <w:r w:rsidRPr="00056A67">
        <w:t>17</w:t>
      </w:r>
      <w:r w:rsidRPr="000329FE">
        <w:t>(26)</w:t>
      </w:r>
      <w:r>
        <w:t>:</w:t>
      </w:r>
      <w:r w:rsidRPr="000329FE">
        <w:t xml:space="preserve"> 40–2. </w:t>
      </w:r>
      <w:r>
        <w:t>URL:</w:t>
      </w:r>
      <w:r w:rsidRPr="000329FE">
        <w:t xml:space="preserve"> </w:t>
      </w:r>
      <w:hyperlink r:id="rId44" w:history="1">
        <w:r w:rsidR="00D3591C" w:rsidRPr="00D3591C">
          <w:rPr>
            <w:rStyle w:val="Hyperlink"/>
          </w:rPr>
          <w:t>https://journals.rcni.com/nursing-standard</w:t>
        </w:r>
      </w:hyperlink>
      <w:r>
        <w:t xml:space="preserve"> (accessed 14 October 2021).</w:t>
      </w:r>
    </w:p>
    <w:p w14:paraId="51255292" w14:textId="77777777" w:rsidR="009636B7" w:rsidRPr="000329FE" w:rsidRDefault="009636B7" w:rsidP="009636B7">
      <w:pPr>
        <w:pStyle w:val="References"/>
        <w:rPr>
          <w:shd w:val="clear" w:color="auto" w:fill="FFFFFF"/>
        </w:rPr>
      </w:pPr>
      <w:r w:rsidRPr="000329FE">
        <w:rPr>
          <w:shd w:val="clear" w:color="auto" w:fill="FFFFFF"/>
        </w:rPr>
        <w:t xml:space="preserve">Arts Access Aotearoa. 2018. </w:t>
      </w:r>
      <w:r w:rsidRPr="00D3591C">
        <w:rPr>
          <w:i/>
          <w:shd w:val="clear" w:color="auto" w:fill="FFFFFF"/>
        </w:rPr>
        <w:t xml:space="preserve">Te Mana Wahine in </w:t>
      </w:r>
      <w:r w:rsidR="00D3591C">
        <w:rPr>
          <w:i/>
          <w:shd w:val="clear" w:color="auto" w:fill="FFFFFF"/>
        </w:rPr>
        <w:t>W</w:t>
      </w:r>
      <w:r w:rsidRPr="00D3591C">
        <w:rPr>
          <w:i/>
          <w:shd w:val="clear" w:color="auto" w:fill="FFFFFF"/>
        </w:rPr>
        <w:t>omen</w:t>
      </w:r>
      <w:r w:rsidR="00EE0ADB" w:rsidRPr="00D3591C">
        <w:rPr>
          <w:i/>
          <w:shd w:val="clear" w:color="auto" w:fill="FFFFFF"/>
        </w:rPr>
        <w:t>’</w:t>
      </w:r>
      <w:r w:rsidRPr="00D3591C">
        <w:rPr>
          <w:i/>
          <w:shd w:val="clear" w:color="auto" w:fill="FFFFFF"/>
        </w:rPr>
        <w:t xml:space="preserve">s </w:t>
      </w:r>
      <w:r w:rsidR="00D3591C">
        <w:rPr>
          <w:i/>
          <w:shd w:val="clear" w:color="auto" w:fill="FFFFFF"/>
        </w:rPr>
        <w:t>P</w:t>
      </w:r>
      <w:r w:rsidRPr="00D3591C">
        <w:rPr>
          <w:i/>
          <w:shd w:val="clear" w:color="auto" w:fill="FFFFFF"/>
        </w:rPr>
        <w:t>risons</w:t>
      </w:r>
      <w:r w:rsidRPr="00056A67">
        <w:rPr>
          <w:shd w:val="clear" w:color="auto" w:fill="FFFFFF"/>
        </w:rPr>
        <w:t>.</w:t>
      </w:r>
      <w:r w:rsidRPr="000329FE">
        <w:rPr>
          <w:shd w:val="clear" w:color="auto" w:fill="FFFFFF"/>
        </w:rPr>
        <w:t xml:space="preserve"> </w:t>
      </w:r>
      <w:r>
        <w:rPr>
          <w:shd w:val="clear" w:color="auto" w:fill="FFFFFF"/>
        </w:rPr>
        <w:t>URL:</w:t>
      </w:r>
      <w:r w:rsidRPr="000329FE">
        <w:rPr>
          <w:shd w:val="clear" w:color="auto" w:fill="FFFFFF"/>
        </w:rPr>
        <w:t xml:space="preserve"> </w:t>
      </w:r>
      <w:hyperlink r:id="rId45" w:history="1">
        <w:r w:rsidR="00D3591C" w:rsidRPr="00D3591C">
          <w:rPr>
            <w:rStyle w:val="Hyperlink"/>
            <w:shd w:val="clear" w:color="auto" w:fill="FFFFFF"/>
          </w:rPr>
          <w:t>https://artsaccess.org.nz/te%20mana%20wahine%20in%20women%E2%80%99s%20prisons</w:t>
        </w:r>
      </w:hyperlink>
      <w:r>
        <w:rPr>
          <w:shd w:val="clear" w:color="auto" w:fill="FFFFFF"/>
        </w:rPr>
        <w:t xml:space="preserve"> (accessed 22 October 2021).</w:t>
      </w:r>
    </w:p>
    <w:p w14:paraId="1FDD8F5F" w14:textId="77777777" w:rsidR="009636B7" w:rsidRPr="000329FE" w:rsidRDefault="009636B7" w:rsidP="009636B7">
      <w:pPr>
        <w:pStyle w:val="References"/>
        <w:rPr>
          <w:shd w:val="clear" w:color="auto" w:fill="FFFFFF"/>
        </w:rPr>
      </w:pPr>
      <w:r w:rsidRPr="000329FE">
        <w:rPr>
          <w:shd w:val="clear" w:color="auto" w:fill="FFFFFF"/>
        </w:rPr>
        <w:t xml:space="preserve">Australian Institute of Health and Wellbeing. </w:t>
      </w:r>
      <w:r>
        <w:rPr>
          <w:shd w:val="clear" w:color="auto" w:fill="FFFFFF"/>
        </w:rPr>
        <w:t xml:space="preserve">2020. </w:t>
      </w:r>
      <w:r w:rsidRPr="00D3591C">
        <w:rPr>
          <w:i/>
          <w:shd w:val="clear" w:color="auto" w:fill="FFFFFF"/>
        </w:rPr>
        <w:t>Mental Health Services in Australia</w:t>
      </w:r>
      <w:r w:rsidRPr="000329FE">
        <w:rPr>
          <w:shd w:val="clear" w:color="auto" w:fill="FFFFFF"/>
        </w:rPr>
        <w:t xml:space="preserve">. </w:t>
      </w:r>
      <w:r>
        <w:rPr>
          <w:shd w:val="clear" w:color="auto" w:fill="FFFFFF"/>
        </w:rPr>
        <w:t xml:space="preserve">URL: </w:t>
      </w:r>
      <w:hyperlink r:id="rId46" w:history="1">
        <w:r w:rsidR="00D3591C" w:rsidRPr="00D3591C">
          <w:rPr>
            <w:rStyle w:val="Hyperlink"/>
            <w:shd w:val="clear" w:color="auto" w:fill="FFFFFF"/>
          </w:rPr>
          <w:t>www.aihw.gov.au/reports/mental-health-services/mental-health-services-in-australia/specialised-mental-health-care/restrictive-practices/seclusion</w:t>
        </w:r>
      </w:hyperlink>
      <w:r>
        <w:rPr>
          <w:shd w:val="clear" w:color="auto" w:fill="FFFFFF"/>
        </w:rPr>
        <w:t xml:space="preserve"> </w:t>
      </w:r>
      <w:r w:rsidRPr="00C17057">
        <w:rPr>
          <w:shd w:val="clear" w:color="auto" w:fill="FFFFFF"/>
        </w:rPr>
        <w:t>(accessed Sept</w:t>
      </w:r>
      <w:r w:rsidR="00D3591C">
        <w:rPr>
          <w:shd w:val="clear" w:color="auto" w:fill="FFFFFF"/>
        </w:rPr>
        <w:t>ember</w:t>
      </w:r>
      <w:r w:rsidRPr="00C17057">
        <w:rPr>
          <w:shd w:val="clear" w:color="auto" w:fill="FFFFFF"/>
        </w:rPr>
        <w:t xml:space="preserve"> 2020).</w:t>
      </w:r>
    </w:p>
    <w:p w14:paraId="11D1EB4F" w14:textId="77777777" w:rsidR="009636B7" w:rsidRPr="000329FE" w:rsidRDefault="009636B7" w:rsidP="009636B7">
      <w:pPr>
        <w:pStyle w:val="References"/>
        <w:rPr>
          <w:shd w:val="clear" w:color="auto" w:fill="FFFFFF"/>
        </w:rPr>
      </w:pPr>
      <w:r w:rsidRPr="000329FE">
        <w:rPr>
          <w:shd w:val="clear" w:color="auto" w:fill="FFFFFF"/>
        </w:rPr>
        <w:t xml:space="preserve">Bank SC. 1996. From mental health professional to expert witness: Testifying in court. </w:t>
      </w:r>
      <w:r w:rsidRPr="000329FE">
        <w:rPr>
          <w:i/>
          <w:iCs/>
          <w:shd w:val="clear" w:color="auto" w:fill="FFFFFF"/>
        </w:rPr>
        <w:t xml:space="preserve">New Directions for Mental Health Services </w:t>
      </w:r>
      <w:r w:rsidRPr="00561492">
        <w:rPr>
          <w:shd w:val="clear" w:color="auto" w:fill="FFFFFF"/>
        </w:rPr>
        <w:t>69</w:t>
      </w:r>
      <w:r>
        <w:rPr>
          <w:shd w:val="clear" w:color="auto" w:fill="FFFFFF"/>
        </w:rPr>
        <w:t>:</w:t>
      </w:r>
      <w:r w:rsidRPr="000329FE">
        <w:rPr>
          <w:shd w:val="clear" w:color="auto" w:fill="FFFFFF"/>
        </w:rPr>
        <w:t xml:space="preserve"> 5–14.</w:t>
      </w:r>
    </w:p>
    <w:p w14:paraId="3D3CE73A" w14:textId="77777777" w:rsidR="009636B7" w:rsidRPr="000329FE" w:rsidRDefault="009636B7" w:rsidP="009636B7">
      <w:pPr>
        <w:pStyle w:val="References"/>
        <w:rPr>
          <w:shd w:val="clear" w:color="auto" w:fill="FFFFFF"/>
        </w:rPr>
      </w:pPr>
      <w:r w:rsidRPr="000329FE">
        <w:rPr>
          <w:shd w:val="clear" w:color="auto" w:fill="FFFFFF"/>
        </w:rPr>
        <w:lastRenderedPageBreak/>
        <w:t xml:space="preserve">Barbui C, Papola D, Saraceno B. 2018. Forty years without mental hospitals in Italy. </w:t>
      </w:r>
      <w:r w:rsidRPr="000329FE">
        <w:rPr>
          <w:i/>
          <w:iCs/>
        </w:rPr>
        <w:t xml:space="preserve">International Journal of Mental Health Systems </w:t>
      </w:r>
      <w:r w:rsidRPr="00561492">
        <w:t>12</w:t>
      </w:r>
      <w:r w:rsidRPr="000329FE">
        <w:t>(1)</w:t>
      </w:r>
      <w:r>
        <w:t>:</w:t>
      </w:r>
      <w:r w:rsidRPr="000329FE">
        <w:t xml:space="preserve"> Article No. 43.</w:t>
      </w:r>
      <w:r w:rsidRPr="000329FE">
        <w:rPr>
          <w:shd w:val="clear" w:color="auto" w:fill="FFFFFF"/>
        </w:rPr>
        <w:t xml:space="preserve">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10.1186/s13033-018-0223-1</w:t>
      </w:r>
      <w:r>
        <w:rPr>
          <w:shd w:val="clear" w:color="auto" w:fill="FFFFFF"/>
        </w:rPr>
        <w:t xml:space="preserve"> (accessed 12 October 2021).</w:t>
      </w:r>
    </w:p>
    <w:p w14:paraId="647F7861" w14:textId="77777777" w:rsidR="009636B7" w:rsidRDefault="009636B7" w:rsidP="009636B7">
      <w:pPr>
        <w:pStyle w:val="References"/>
      </w:pPr>
      <w:r w:rsidRPr="000329FE">
        <w:t xml:space="preserve">Barker P. 2000. The tidal model: Developing an empowering, person-centered approach to recovery within psychiatric and mental health nursing. </w:t>
      </w:r>
      <w:r w:rsidRPr="000329FE">
        <w:rPr>
          <w:i/>
          <w:iCs/>
        </w:rPr>
        <w:t xml:space="preserve">Journal of Psychiatric </w:t>
      </w:r>
      <w:r>
        <w:rPr>
          <w:i/>
          <w:iCs/>
        </w:rPr>
        <w:t>and</w:t>
      </w:r>
      <w:r w:rsidRPr="000329FE">
        <w:rPr>
          <w:i/>
          <w:iCs/>
        </w:rPr>
        <w:t xml:space="preserve"> Mental Health Nursing </w:t>
      </w:r>
      <w:r w:rsidRPr="00561492">
        <w:t>8</w:t>
      </w:r>
      <w:r>
        <w:t>:</w:t>
      </w:r>
      <w:r w:rsidRPr="000329FE">
        <w:t xml:space="preserve"> 233–40. </w:t>
      </w:r>
      <w:r>
        <w:t>DOI</w:t>
      </w:r>
      <w:r w:rsidRPr="000329FE">
        <w:t>:</w:t>
      </w:r>
      <w:r>
        <w:t xml:space="preserve"> </w:t>
      </w:r>
      <w:r w:rsidRPr="000329FE">
        <w:t>10.1046/j.1365-2850.2001.00391.x</w:t>
      </w:r>
      <w:r>
        <w:t xml:space="preserve"> (accessed 2 November 2021).</w:t>
      </w:r>
    </w:p>
    <w:p w14:paraId="093A190D" w14:textId="77777777" w:rsidR="009636B7" w:rsidRPr="000329FE" w:rsidRDefault="009636B7" w:rsidP="0090532E">
      <w:pPr>
        <w:pStyle w:val="References"/>
      </w:pPr>
      <w:r w:rsidRPr="00A10960">
        <w:rPr>
          <w:shd w:val="clear" w:color="auto" w:fill="FFFFFF"/>
        </w:rPr>
        <w:t>Bartlett A, Somers N. 2017. Are women really difficult? Challenges and solutions in the care of women in secure services.</w:t>
      </w:r>
      <w:r w:rsidR="0090532E">
        <w:rPr>
          <w:shd w:val="clear" w:color="auto" w:fill="FFFFFF"/>
        </w:rPr>
        <w:t xml:space="preserve"> </w:t>
      </w:r>
      <w:r w:rsidRPr="00A10960">
        <w:rPr>
          <w:i/>
          <w:iCs/>
          <w:shd w:val="clear" w:color="auto" w:fill="FFFFFF"/>
        </w:rPr>
        <w:t>Journal of Forensic Psychiatry &amp; Psychology</w:t>
      </w:r>
      <w:r w:rsidRPr="0090532E">
        <w:rPr>
          <w:iCs/>
          <w:shd w:val="clear" w:color="auto" w:fill="FFFFFF"/>
        </w:rPr>
        <w:t xml:space="preserve"> 28</w:t>
      </w:r>
      <w:r w:rsidRPr="0090532E">
        <w:rPr>
          <w:shd w:val="clear" w:color="auto" w:fill="FFFFFF"/>
        </w:rPr>
        <w:t>(2)</w:t>
      </w:r>
      <w:r w:rsidR="0090532E">
        <w:rPr>
          <w:shd w:val="clear" w:color="auto" w:fill="FFFFFF"/>
        </w:rPr>
        <w:t>: </w:t>
      </w:r>
      <w:r w:rsidRPr="00A10960">
        <w:rPr>
          <w:shd w:val="clear" w:color="auto" w:fill="FFFFFF"/>
        </w:rPr>
        <w:t>226–41</w:t>
      </w:r>
      <w:r w:rsidR="0090532E">
        <w:rPr>
          <w:shd w:val="clear" w:color="auto" w:fill="FFFFFF"/>
        </w:rPr>
        <w:t xml:space="preserve"> </w:t>
      </w:r>
      <w:hyperlink r:id="rId47" w:history="1">
        <w:r w:rsidR="0090532E" w:rsidRPr="0090532E">
          <w:rPr>
            <w:rStyle w:val="Hyperlink"/>
            <w:shd w:val="clear" w:color="auto" w:fill="FFFFFF"/>
          </w:rPr>
          <w:t>https://doi.org/10.1080/14789949.2016.1244281</w:t>
        </w:r>
      </w:hyperlink>
      <w:r w:rsidR="0090532E">
        <w:rPr>
          <w:shd w:val="clear" w:color="auto" w:fill="FFFFFF"/>
        </w:rPr>
        <w:t>.</w:t>
      </w:r>
    </w:p>
    <w:p w14:paraId="14DFCC36" w14:textId="77777777" w:rsidR="009636B7" w:rsidRPr="00075571" w:rsidRDefault="009636B7" w:rsidP="009636B7">
      <w:pPr>
        <w:pStyle w:val="References"/>
      </w:pPr>
      <w:r w:rsidRPr="00075571">
        <w:t xml:space="preserve">Barnao M. 2013. The good lives model tool kit for mentally disordered offenders. </w:t>
      </w:r>
      <w:r w:rsidRPr="00075571">
        <w:rPr>
          <w:i/>
          <w:iCs/>
        </w:rPr>
        <w:t xml:space="preserve">Journal of Forensic Practice </w:t>
      </w:r>
      <w:r w:rsidRPr="00561492">
        <w:t>15</w:t>
      </w:r>
      <w:r w:rsidRPr="00075571">
        <w:t>(3)</w:t>
      </w:r>
      <w:r>
        <w:t>:</w:t>
      </w:r>
      <w:r w:rsidRPr="00075571">
        <w:t xml:space="preserve"> 157–70. </w:t>
      </w:r>
      <w:r>
        <w:t>DOI</w:t>
      </w:r>
      <w:r w:rsidRPr="00075571">
        <w:t>:</w:t>
      </w:r>
      <w:r>
        <w:t xml:space="preserve"> </w:t>
      </w:r>
      <w:r w:rsidRPr="00075571">
        <w:t>10.1108/JFP-07-2012-0001</w:t>
      </w:r>
      <w:r>
        <w:t xml:space="preserve"> (accessed 12 October 2021).</w:t>
      </w:r>
    </w:p>
    <w:p w14:paraId="68A9E7D7" w14:textId="77777777" w:rsidR="009636B7" w:rsidRPr="00075571" w:rsidRDefault="009636B7" w:rsidP="009636B7">
      <w:pPr>
        <w:pStyle w:val="References"/>
      </w:pPr>
      <w:r w:rsidRPr="00075571">
        <w:t xml:space="preserve">Barnao M, Robertson P, Ward T. 2010. Good lives model applied to a forensic population. </w:t>
      </w:r>
      <w:r w:rsidRPr="00075571">
        <w:rPr>
          <w:i/>
          <w:iCs/>
        </w:rPr>
        <w:t xml:space="preserve">Psychiatry, Psychology and Law </w:t>
      </w:r>
      <w:r w:rsidRPr="00561492">
        <w:t>17</w:t>
      </w:r>
      <w:r w:rsidRPr="00075571">
        <w:t>(2)</w:t>
      </w:r>
      <w:r>
        <w:t>:</w:t>
      </w:r>
      <w:r w:rsidRPr="00075571">
        <w:t xml:space="preserve"> 202–17. </w:t>
      </w:r>
      <w:r>
        <w:t>DOI</w:t>
      </w:r>
      <w:r w:rsidRPr="00075571">
        <w:t>:</w:t>
      </w:r>
      <w:r>
        <w:t xml:space="preserve"> </w:t>
      </w:r>
      <w:r w:rsidRPr="00075571">
        <w:t>10.1080/13218710903421274</w:t>
      </w:r>
      <w:r>
        <w:t xml:space="preserve"> (accessed 12 October 2021).</w:t>
      </w:r>
    </w:p>
    <w:p w14:paraId="59301419" w14:textId="77777777" w:rsidR="009636B7" w:rsidRPr="00075571" w:rsidRDefault="009636B7" w:rsidP="009636B7">
      <w:pPr>
        <w:pStyle w:val="References"/>
      </w:pPr>
      <w:r w:rsidRPr="00075571">
        <w:t xml:space="preserve">Barnao M, Robertson P, Ward T. 2012. Ethical decision making and forensic practice. </w:t>
      </w:r>
      <w:r w:rsidRPr="00075571">
        <w:rPr>
          <w:i/>
          <w:iCs/>
        </w:rPr>
        <w:t xml:space="preserve">British Journal of Forensic Practice </w:t>
      </w:r>
      <w:r w:rsidRPr="00561492">
        <w:t>14</w:t>
      </w:r>
      <w:r w:rsidRPr="00075571">
        <w:t>(2)</w:t>
      </w:r>
      <w:r>
        <w:t>:</w:t>
      </w:r>
      <w:r w:rsidRPr="00075571">
        <w:t xml:space="preserve"> 81–91. </w:t>
      </w:r>
      <w:r>
        <w:t>DOI</w:t>
      </w:r>
      <w:r w:rsidRPr="00075571">
        <w:t>:</w:t>
      </w:r>
      <w:r>
        <w:t xml:space="preserve"> </w:t>
      </w:r>
      <w:r w:rsidRPr="00075571">
        <w:t>10.1108/14636641211223648</w:t>
      </w:r>
      <w:r>
        <w:t xml:space="preserve"> (accessed 2 November 2021).</w:t>
      </w:r>
    </w:p>
    <w:p w14:paraId="247FD9A0" w14:textId="77777777" w:rsidR="009636B7" w:rsidRPr="00075571" w:rsidRDefault="009636B7" w:rsidP="009636B7">
      <w:pPr>
        <w:pStyle w:val="References"/>
      </w:pPr>
      <w:r w:rsidRPr="00075571">
        <w:t xml:space="preserve">Barnao M, Ward T. 2015. Sailing unchartered seas without a compass: A review of interventions in forensic mental health. </w:t>
      </w:r>
      <w:r w:rsidRPr="00075571">
        <w:rPr>
          <w:i/>
          <w:iCs/>
        </w:rPr>
        <w:t xml:space="preserve">Aggression and Violent Behavior </w:t>
      </w:r>
      <w:r w:rsidRPr="00561492">
        <w:t>16</w:t>
      </w:r>
      <w:r>
        <w:t>:</w:t>
      </w:r>
      <w:r w:rsidRPr="00075571">
        <w:t xml:space="preserve"> 77–86. </w:t>
      </w:r>
      <w:r>
        <w:t xml:space="preserve">URL: </w:t>
      </w:r>
      <w:hyperlink r:id="rId48" w:history="1">
        <w:r w:rsidR="0090532E" w:rsidRPr="0090532E">
          <w:rPr>
            <w:rStyle w:val="Hyperlink"/>
          </w:rPr>
          <w:t>http://dx.doi.org/10.1016/j.avb.2015.04.009</w:t>
        </w:r>
      </w:hyperlink>
      <w:r>
        <w:t xml:space="preserve"> (accessed 11 October 2021).</w:t>
      </w:r>
    </w:p>
    <w:p w14:paraId="57CCA118" w14:textId="77777777" w:rsidR="009636B7" w:rsidRPr="00DD29A3" w:rsidRDefault="009636B7" w:rsidP="009636B7">
      <w:pPr>
        <w:pStyle w:val="References"/>
      </w:pPr>
      <w:r w:rsidRPr="001A28C6">
        <w:t>Barnao M, Ward T, Casey S. 2016</w:t>
      </w:r>
      <w:r>
        <w:t>a</w:t>
      </w:r>
      <w:r w:rsidRPr="001A28C6">
        <w:t>. Taking the good life of the institution: Forensic service users</w:t>
      </w:r>
      <w:r w:rsidR="00EE0ADB">
        <w:t>’</w:t>
      </w:r>
      <w:r w:rsidRPr="009E213B">
        <w:t xml:space="preserve"> perceptions of the good lives model. </w:t>
      </w:r>
      <w:r w:rsidRPr="00E42BE0">
        <w:rPr>
          <w:i/>
          <w:iCs/>
        </w:rPr>
        <w:t xml:space="preserve">International Journal of Offender Therapy and Comparative Criminology </w:t>
      </w:r>
      <w:r w:rsidRPr="00561492">
        <w:t>60</w:t>
      </w:r>
      <w:r w:rsidRPr="00DD29A3">
        <w:t>(7)</w:t>
      </w:r>
      <w:r>
        <w:t>:</w:t>
      </w:r>
      <w:r w:rsidRPr="00DD29A3">
        <w:t xml:space="preserve"> 766–86. </w:t>
      </w:r>
      <w:r>
        <w:t>DOI</w:t>
      </w:r>
      <w:r w:rsidRPr="00DD29A3">
        <w:t>:</w:t>
      </w:r>
      <w:r>
        <w:t xml:space="preserve"> </w:t>
      </w:r>
      <w:r w:rsidRPr="00DD29A3">
        <w:t>10.1177/0306624X15570027</w:t>
      </w:r>
      <w:r>
        <w:t xml:space="preserve"> (accessed 12 October 2021).</w:t>
      </w:r>
    </w:p>
    <w:p w14:paraId="604D0AFB" w14:textId="77777777" w:rsidR="009636B7" w:rsidRPr="000329FE" w:rsidRDefault="009636B7" w:rsidP="009636B7">
      <w:pPr>
        <w:pStyle w:val="References"/>
      </w:pPr>
      <w:r w:rsidRPr="00482A5B">
        <w:t>Barnao M, Ward T, Robertson P. 2016</w:t>
      </w:r>
      <w:r>
        <w:t>b</w:t>
      </w:r>
      <w:r w:rsidRPr="00482A5B">
        <w:t xml:space="preserve">. The good lives model: A new paradigm for forensic mental health. </w:t>
      </w:r>
      <w:r w:rsidRPr="00FB779C">
        <w:rPr>
          <w:i/>
          <w:iCs/>
        </w:rPr>
        <w:t xml:space="preserve">Psychiatry, Psychology </w:t>
      </w:r>
      <w:r w:rsidRPr="007F561D">
        <w:rPr>
          <w:i/>
          <w:iCs/>
        </w:rPr>
        <w:t xml:space="preserve">and Law </w:t>
      </w:r>
      <w:r w:rsidRPr="00561492">
        <w:t>23</w:t>
      </w:r>
      <w:r w:rsidRPr="00C9607A">
        <w:t>(2)</w:t>
      </w:r>
      <w:r>
        <w:t>:</w:t>
      </w:r>
      <w:r w:rsidRPr="00C9607A">
        <w:t xml:space="preserve"> 288–301. </w:t>
      </w:r>
      <w:r>
        <w:t xml:space="preserve">DOI: </w:t>
      </w:r>
      <w:r w:rsidRPr="00EE3689">
        <w:t>10.1080/13218719.2015.1054923</w:t>
      </w:r>
      <w:r>
        <w:t xml:space="preserve"> (accessed 12 October 2021).</w:t>
      </w:r>
    </w:p>
    <w:p w14:paraId="06AB234B" w14:textId="77777777" w:rsidR="009636B7" w:rsidRPr="000329FE" w:rsidRDefault="009636B7" w:rsidP="009636B7">
      <w:pPr>
        <w:pStyle w:val="References"/>
      </w:pPr>
      <w:r w:rsidRPr="000329FE">
        <w:t xml:space="preserve">Barnes MT. 1997. </w:t>
      </w:r>
      <w:r w:rsidRPr="000329FE">
        <w:rPr>
          <w:i/>
          <w:iCs/>
        </w:rPr>
        <w:t xml:space="preserve">Mad or </w:t>
      </w:r>
      <w:r w:rsidR="0090532E">
        <w:rPr>
          <w:i/>
          <w:iCs/>
        </w:rPr>
        <w:t>B</w:t>
      </w:r>
      <w:r w:rsidRPr="000329FE">
        <w:rPr>
          <w:i/>
          <w:iCs/>
        </w:rPr>
        <w:t>ad? Entry to the mental health system, from the courts</w:t>
      </w:r>
      <w:r w:rsidRPr="000329FE">
        <w:t xml:space="preserve"> (</w:t>
      </w:r>
      <w:r>
        <w:t>d</w:t>
      </w:r>
      <w:r w:rsidRPr="000329FE">
        <w:t xml:space="preserve">octoral dissertation). University of Canterbury, Christchurch. </w:t>
      </w:r>
      <w:r>
        <w:t xml:space="preserve">URL: </w:t>
      </w:r>
      <w:hyperlink r:id="rId49" w:history="1">
        <w:r w:rsidR="0090532E" w:rsidRPr="0090532E">
          <w:rPr>
            <w:rStyle w:val="Hyperlink"/>
          </w:rPr>
          <w:t>http://hdl.handle.net/10092/6769</w:t>
        </w:r>
      </w:hyperlink>
      <w:r>
        <w:t xml:space="preserve"> (accessed 11 October 2021).</w:t>
      </w:r>
    </w:p>
    <w:p w14:paraId="6E759B22" w14:textId="77777777" w:rsidR="009636B7" w:rsidRPr="000329FE" w:rsidRDefault="009636B7" w:rsidP="009636B7">
      <w:pPr>
        <w:pStyle w:val="References"/>
      </w:pPr>
      <w:r w:rsidRPr="000329FE">
        <w:rPr>
          <w:shd w:val="clear" w:color="auto" w:fill="FFFFFF"/>
        </w:rPr>
        <w:t xml:space="preserve">Barnett GD, Manderville-Norden R, Rakestrow J. 2014. The good lives model or relapse prevention: What works better in facilitating change? </w:t>
      </w:r>
      <w:r w:rsidRPr="000329FE">
        <w:rPr>
          <w:i/>
          <w:iCs/>
        </w:rPr>
        <w:t xml:space="preserve">Sexual Abuse: Journal of Research and Treatment </w:t>
      </w:r>
      <w:r w:rsidRPr="00561492">
        <w:t>26</w:t>
      </w:r>
      <w:r w:rsidRPr="000329FE">
        <w:t>(1)</w:t>
      </w:r>
      <w:r>
        <w:t>:</w:t>
      </w:r>
      <w:r w:rsidRPr="000329FE">
        <w:t xml:space="preserve"> 3–33.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10.1177/1079063212474473</w:t>
      </w:r>
      <w:r>
        <w:rPr>
          <w:shd w:val="clear" w:color="auto" w:fill="FFFFFF"/>
        </w:rPr>
        <w:t xml:space="preserve"> (accessed 14 October 2021).</w:t>
      </w:r>
    </w:p>
    <w:p w14:paraId="30CD4B9B" w14:textId="77777777" w:rsidR="009636B7" w:rsidRPr="000329FE" w:rsidRDefault="009636B7" w:rsidP="009636B7">
      <w:pPr>
        <w:pStyle w:val="References"/>
      </w:pPr>
      <w:r w:rsidRPr="000329FE">
        <w:rPr>
          <w:shd w:val="clear" w:color="auto" w:fill="FFFFFF"/>
        </w:rPr>
        <w:t xml:space="preserve">Barr W, Brown A, Quinn B, </w:t>
      </w:r>
      <w:r w:rsidR="00AD0D58">
        <w:rPr>
          <w:shd w:val="clear" w:color="auto" w:fill="FFFFFF"/>
        </w:rPr>
        <w:t>et al</w:t>
      </w:r>
      <w:r w:rsidRPr="000329FE">
        <w:rPr>
          <w:shd w:val="clear" w:color="auto" w:fill="FFFFFF"/>
        </w:rPr>
        <w:t xml:space="preserve">. 2013. How effective is high-support community-based step-down housing for women in secure mental health care? A quasi-experimental pilot study. </w:t>
      </w:r>
      <w:r w:rsidRPr="000329FE">
        <w:rPr>
          <w:i/>
          <w:iCs/>
        </w:rPr>
        <w:t xml:space="preserve">Journal of Psychiatric and Mental Health Nursing </w:t>
      </w:r>
      <w:r w:rsidRPr="00561492">
        <w:t>20</w:t>
      </w:r>
      <w:r w:rsidRPr="000329FE">
        <w:t>(1)</w:t>
      </w:r>
      <w:r>
        <w:t>:</w:t>
      </w:r>
      <w:r w:rsidRPr="000329FE">
        <w:t xml:space="preserve"> 41–9.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10.1111/j.1365-2850.2012.01886.x</w:t>
      </w:r>
      <w:r>
        <w:rPr>
          <w:shd w:val="clear" w:color="auto" w:fill="FFFFFF"/>
        </w:rPr>
        <w:t xml:space="preserve"> (accessed 14 October 2021).</w:t>
      </w:r>
    </w:p>
    <w:p w14:paraId="4EDA54A5" w14:textId="77777777" w:rsidR="009636B7" w:rsidRPr="000329FE" w:rsidRDefault="009636B7" w:rsidP="0090532E">
      <w:pPr>
        <w:pStyle w:val="References"/>
        <w:keepNext/>
        <w:keepLines/>
      </w:pPr>
      <w:r w:rsidRPr="000329FE">
        <w:lastRenderedPageBreak/>
        <w:t xml:space="preserve">Bartlett A, Walker T, Harty MA, </w:t>
      </w:r>
      <w:r w:rsidR="00AD0D58">
        <w:t>et al</w:t>
      </w:r>
      <w:r w:rsidRPr="000329FE">
        <w:t xml:space="preserve">. 2014. Health and social care services for women offenders: Current provision and a future model of care. </w:t>
      </w:r>
      <w:r w:rsidRPr="000329FE">
        <w:rPr>
          <w:i/>
          <w:iCs/>
        </w:rPr>
        <w:t xml:space="preserve">Journal of Forensic Psychiatry and Psychology </w:t>
      </w:r>
      <w:r w:rsidRPr="00561492">
        <w:t>26</w:t>
      </w:r>
      <w:r w:rsidRPr="000329FE">
        <w:t>(6)</w:t>
      </w:r>
      <w:r>
        <w:t>:</w:t>
      </w:r>
      <w:r w:rsidRPr="000329FE">
        <w:t xml:space="preserve"> 625–35. </w:t>
      </w:r>
      <w:r>
        <w:t>DOI</w:t>
      </w:r>
      <w:r w:rsidRPr="000329FE">
        <w:t>:</w:t>
      </w:r>
      <w:r>
        <w:t xml:space="preserve"> </w:t>
      </w:r>
      <w:r w:rsidRPr="000329FE">
        <w:t>10.1080/14789949.2014.944202</w:t>
      </w:r>
      <w:r>
        <w:t xml:space="preserve"> (accessed 22 October 2021).</w:t>
      </w:r>
    </w:p>
    <w:p w14:paraId="28EE27E4" w14:textId="77777777" w:rsidR="009636B7" w:rsidRPr="000329FE" w:rsidRDefault="009636B7" w:rsidP="009636B7">
      <w:pPr>
        <w:pStyle w:val="References"/>
      </w:pPr>
      <w:r w:rsidRPr="000329FE">
        <w:t xml:space="preserve">Birgden A. 2008. Offender rehabilitation: A normative framework for forensic psychologists. </w:t>
      </w:r>
      <w:r w:rsidRPr="000329FE">
        <w:rPr>
          <w:i/>
          <w:iCs/>
        </w:rPr>
        <w:t xml:space="preserve">Psychiatry, Psychology and Law </w:t>
      </w:r>
      <w:r w:rsidRPr="00561492">
        <w:t>15</w:t>
      </w:r>
      <w:r w:rsidRPr="000329FE">
        <w:t>(3)</w:t>
      </w:r>
      <w:r>
        <w:t>:</w:t>
      </w:r>
      <w:r w:rsidRPr="000329FE">
        <w:t xml:space="preserve"> 450–68. </w:t>
      </w:r>
      <w:r>
        <w:t>DOI</w:t>
      </w:r>
      <w:r w:rsidRPr="000329FE">
        <w:t>:</w:t>
      </w:r>
      <w:r>
        <w:t xml:space="preserve"> </w:t>
      </w:r>
      <w:r w:rsidRPr="000329FE">
        <w:t>10.1080/13218710802101597</w:t>
      </w:r>
      <w:r>
        <w:t xml:space="preserve"> (accessed 11 October 2021).</w:t>
      </w:r>
    </w:p>
    <w:p w14:paraId="537D2986" w14:textId="77777777" w:rsidR="009636B7" w:rsidRPr="000329FE" w:rsidRDefault="009636B7" w:rsidP="009636B7">
      <w:pPr>
        <w:pStyle w:val="References"/>
      </w:pPr>
      <w:r w:rsidRPr="000329FE">
        <w:t xml:space="preserve">Birmingham L. 2001. Diversion from custody. </w:t>
      </w:r>
      <w:r w:rsidRPr="000329FE">
        <w:rPr>
          <w:i/>
          <w:iCs/>
        </w:rPr>
        <w:t xml:space="preserve">Advances in Psychiatric Treatment </w:t>
      </w:r>
      <w:r w:rsidRPr="00561492">
        <w:t>7</w:t>
      </w:r>
      <w:r w:rsidRPr="000329FE">
        <w:t>(3)</w:t>
      </w:r>
      <w:r>
        <w:t>:</w:t>
      </w:r>
      <w:r w:rsidR="0090532E">
        <w:t> </w:t>
      </w:r>
      <w:r w:rsidRPr="000329FE">
        <w:t xml:space="preserve">198–207. </w:t>
      </w:r>
      <w:r>
        <w:t>DOI</w:t>
      </w:r>
      <w:r w:rsidRPr="000329FE">
        <w:t>:</w:t>
      </w:r>
      <w:r>
        <w:t xml:space="preserve"> </w:t>
      </w:r>
      <w:r w:rsidRPr="000329FE">
        <w:t>10.1192/apt.7.3.198</w:t>
      </w:r>
      <w:r>
        <w:t xml:space="preserve"> (accessed 26 October 2021).</w:t>
      </w:r>
    </w:p>
    <w:p w14:paraId="03AECF67" w14:textId="77777777" w:rsidR="00EE0ADB" w:rsidRDefault="009636B7" w:rsidP="009636B7">
      <w:pPr>
        <w:pStyle w:val="References"/>
      </w:pPr>
      <w:r w:rsidRPr="000329FE">
        <w:t xml:space="preserve">Birmingham L, Awonogun O, Ryland H. 2017. Diversion from custody: An update. </w:t>
      </w:r>
      <w:r w:rsidRPr="000329FE">
        <w:rPr>
          <w:i/>
          <w:iCs/>
        </w:rPr>
        <w:t xml:space="preserve">BJPsych Advances </w:t>
      </w:r>
      <w:r w:rsidRPr="00561492">
        <w:t>23</w:t>
      </w:r>
      <w:r w:rsidRPr="000329FE">
        <w:t>(6)</w:t>
      </w:r>
      <w:r>
        <w:t>:</w:t>
      </w:r>
      <w:r w:rsidRPr="000329FE">
        <w:t xml:space="preserve"> 375–84. </w:t>
      </w:r>
      <w:r>
        <w:t>DOI</w:t>
      </w:r>
      <w:r w:rsidRPr="000329FE">
        <w:t>:</w:t>
      </w:r>
      <w:r>
        <w:t xml:space="preserve"> </w:t>
      </w:r>
      <w:r w:rsidRPr="000329FE">
        <w:t>10.1192/apt.bp.116.016113</w:t>
      </w:r>
      <w:r>
        <w:t xml:space="preserve"> (accessed 26 October 2021).</w:t>
      </w:r>
    </w:p>
    <w:p w14:paraId="64574E19" w14:textId="77777777" w:rsidR="00EE0ADB" w:rsidRDefault="009636B7" w:rsidP="009636B7">
      <w:pPr>
        <w:pStyle w:val="References"/>
      </w:pPr>
      <w:r w:rsidRPr="000329FE">
        <w:t xml:space="preserve">Black W, Robertson A. 2004. </w:t>
      </w:r>
      <w:r w:rsidRPr="000329FE">
        <w:rPr>
          <w:i/>
          <w:iCs/>
        </w:rPr>
        <w:t>Report of the Services for Women Working Group.</w:t>
      </w:r>
      <w:r w:rsidRPr="000329FE">
        <w:t xml:space="preserve"> </w:t>
      </w:r>
      <w:r>
        <w:t xml:space="preserve">Carstairs: </w:t>
      </w:r>
      <w:r w:rsidRPr="000329FE">
        <w:t xml:space="preserve">Forensic Mental Health Services Managed Care Network. </w:t>
      </w:r>
      <w:r>
        <w:t>URL:</w:t>
      </w:r>
      <w:r w:rsidR="0090532E">
        <w:t xml:space="preserve"> </w:t>
      </w:r>
      <w:hyperlink r:id="rId50" w:history="1">
        <w:r w:rsidR="0090532E" w:rsidRPr="0090532E">
          <w:rPr>
            <w:rStyle w:val="Hyperlink"/>
          </w:rPr>
          <w:t>www.forensicnetwork.scot.nhs.uk/wp-content/uploads/2016/10/WomensServicesReport.pdf</w:t>
        </w:r>
      </w:hyperlink>
      <w:r>
        <w:t xml:space="preserve"> (accessed 2 November 2021).</w:t>
      </w:r>
    </w:p>
    <w:p w14:paraId="045C1151" w14:textId="77777777" w:rsidR="009636B7" w:rsidRPr="000329FE" w:rsidRDefault="009636B7" w:rsidP="009636B7">
      <w:pPr>
        <w:pStyle w:val="References"/>
      </w:pPr>
      <w:r w:rsidRPr="000329FE">
        <w:rPr>
          <w:shd w:val="clear" w:color="auto" w:fill="FFFFFF"/>
        </w:rPr>
        <w:t xml:space="preserve">Blackburn R. 2004. </w:t>
      </w:r>
      <w:r w:rsidR="00EE0ADB">
        <w:rPr>
          <w:shd w:val="clear" w:color="auto" w:fill="FFFFFF"/>
        </w:rPr>
        <w:t>‘</w:t>
      </w:r>
      <w:r w:rsidRPr="000329FE">
        <w:rPr>
          <w:shd w:val="clear" w:color="auto" w:fill="FFFFFF"/>
        </w:rPr>
        <w:t>What works</w:t>
      </w:r>
      <w:r w:rsidR="00EE0ADB">
        <w:rPr>
          <w:shd w:val="clear" w:color="auto" w:fill="FFFFFF"/>
        </w:rPr>
        <w:t>’</w:t>
      </w:r>
      <w:r w:rsidRPr="000329FE">
        <w:rPr>
          <w:shd w:val="clear" w:color="auto" w:fill="FFFFFF"/>
        </w:rPr>
        <w:t xml:space="preserve"> with mentally disordered offenders. </w:t>
      </w:r>
      <w:r w:rsidRPr="000329FE">
        <w:rPr>
          <w:i/>
          <w:iCs/>
        </w:rPr>
        <w:t xml:space="preserve">Psychology, Crime and Law </w:t>
      </w:r>
      <w:r w:rsidRPr="00561492">
        <w:t>10</w:t>
      </w:r>
      <w:r w:rsidRPr="000329FE">
        <w:t>(3)</w:t>
      </w:r>
      <w:r>
        <w:t>:</w:t>
      </w:r>
      <w:r w:rsidRPr="000329FE">
        <w:t xml:space="preserve"> 297–308. </w:t>
      </w:r>
      <w:r>
        <w:t>DOI</w:t>
      </w:r>
      <w:r w:rsidRPr="000329FE">
        <w:t>:</w:t>
      </w:r>
      <w:r>
        <w:t xml:space="preserve"> </w:t>
      </w:r>
      <w:r w:rsidRPr="000329FE">
        <w:t>10.1080/10683160410001662780</w:t>
      </w:r>
      <w:r>
        <w:t xml:space="preserve"> (accessed 11 October 2021).</w:t>
      </w:r>
    </w:p>
    <w:p w14:paraId="5B110A0B" w14:textId="77777777" w:rsidR="009636B7" w:rsidRPr="000329FE" w:rsidRDefault="009636B7" w:rsidP="009636B7">
      <w:pPr>
        <w:pStyle w:val="References"/>
      </w:pPr>
      <w:r w:rsidRPr="000329FE">
        <w:rPr>
          <w:shd w:val="clear" w:color="auto" w:fill="FFFFFF"/>
        </w:rPr>
        <w:t xml:space="preserve">Blumenthal S, Craissati J, Minchin L. 2009. The development of a specialist hostel for the community management of personality disordered offenders. </w:t>
      </w:r>
      <w:r w:rsidRPr="000329FE">
        <w:rPr>
          <w:i/>
          <w:iCs/>
        </w:rPr>
        <w:t xml:space="preserve">Criminal Behavior and Mental Health </w:t>
      </w:r>
      <w:r w:rsidRPr="00561492">
        <w:t>19</w:t>
      </w:r>
      <w:r w:rsidRPr="000329FE">
        <w:t>(1)</w:t>
      </w:r>
      <w:r>
        <w:t>:</w:t>
      </w:r>
      <w:r w:rsidRPr="000329FE">
        <w:t xml:space="preserve"> 45–53. </w:t>
      </w:r>
      <w:r>
        <w:t>DOI</w:t>
      </w:r>
      <w:r w:rsidRPr="000329FE">
        <w:t>:</w:t>
      </w:r>
      <w:r>
        <w:t xml:space="preserve"> </w:t>
      </w:r>
      <w:r w:rsidRPr="000329FE">
        <w:t>10.1002/cbm.720</w:t>
      </w:r>
      <w:r>
        <w:t xml:space="preserve"> (accessed 2 November 2021).</w:t>
      </w:r>
    </w:p>
    <w:p w14:paraId="37BB3BFC" w14:textId="77777777" w:rsidR="009636B7" w:rsidRPr="000329FE" w:rsidRDefault="009636B7" w:rsidP="009636B7">
      <w:pPr>
        <w:pStyle w:val="References"/>
      </w:pPr>
      <w:r w:rsidRPr="000329FE">
        <w:t xml:space="preserve">Blumenthal S, Wessely S. 1992. National survey of current arrangements for diversion from custody in England and Wales. </w:t>
      </w:r>
      <w:r w:rsidRPr="000329FE">
        <w:rPr>
          <w:i/>
          <w:iCs/>
        </w:rPr>
        <w:t xml:space="preserve">British Medical Journal </w:t>
      </w:r>
      <w:r w:rsidRPr="00561492">
        <w:t>305</w:t>
      </w:r>
      <w:r w:rsidRPr="000329FE">
        <w:t>(6865)</w:t>
      </w:r>
      <w:r>
        <w:t>:</w:t>
      </w:r>
      <w:r w:rsidRPr="000329FE">
        <w:t xml:space="preserve"> 1322–5.</w:t>
      </w:r>
    </w:p>
    <w:p w14:paraId="24F91348" w14:textId="77777777" w:rsidR="009636B7" w:rsidRPr="000329FE" w:rsidRDefault="009636B7" w:rsidP="009636B7">
      <w:pPr>
        <w:pStyle w:val="References"/>
      </w:pPr>
      <w:r w:rsidRPr="000329FE">
        <w:t xml:space="preserve">Bond GR, Drake RE. 2007. Should we adopt the Dutch version of ACT? Commentary on </w:t>
      </w:r>
      <w:r w:rsidR="00EE0ADB">
        <w:t>‘</w:t>
      </w:r>
      <w:r w:rsidRPr="000329FE">
        <w:t>FACT: A Dutch version of ACT</w:t>
      </w:r>
      <w:r w:rsidR="0090532E">
        <w:t>’</w:t>
      </w:r>
      <w:r w:rsidRPr="000329FE">
        <w:t xml:space="preserve">. </w:t>
      </w:r>
      <w:r w:rsidRPr="000329FE">
        <w:rPr>
          <w:i/>
          <w:iCs/>
        </w:rPr>
        <w:t xml:space="preserve">Community Mental Health Journal </w:t>
      </w:r>
      <w:r w:rsidRPr="00561492">
        <w:t>43</w:t>
      </w:r>
      <w:r w:rsidRPr="000329FE">
        <w:t>(4)</w:t>
      </w:r>
      <w:r>
        <w:t>:</w:t>
      </w:r>
      <w:r w:rsidRPr="000329FE">
        <w:t xml:space="preserve"> 435–8. </w:t>
      </w:r>
      <w:r>
        <w:t xml:space="preserve">URL: </w:t>
      </w:r>
      <w:hyperlink r:id="rId51" w:history="1">
        <w:r w:rsidR="0090532E" w:rsidRPr="0090532E">
          <w:rPr>
            <w:rStyle w:val="Hyperlink"/>
          </w:rPr>
          <w:t>https://doi.org/10.1007/s10597-007-9091-x</w:t>
        </w:r>
      </w:hyperlink>
      <w:r>
        <w:t xml:space="preserve"> (accessed 14 October 2021).</w:t>
      </w:r>
    </w:p>
    <w:p w14:paraId="026577BE" w14:textId="77777777" w:rsidR="009636B7" w:rsidRPr="000329FE" w:rsidRDefault="009636B7" w:rsidP="009636B7">
      <w:pPr>
        <w:pStyle w:val="References"/>
      </w:pPr>
      <w:r w:rsidRPr="000329FE">
        <w:rPr>
          <w:shd w:val="clear" w:color="auto" w:fill="FFFFFF"/>
        </w:rPr>
        <w:t>Bonta J, Wormith JS. 2013. Applying the risk-need-responsivity principles to offender assessment. In LA Craig, L Dixon, TA Gannon (</w:t>
      </w:r>
      <w:r>
        <w:rPr>
          <w:shd w:val="clear" w:color="auto" w:fill="FFFFFF"/>
        </w:rPr>
        <w:t>e</w:t>
      </w:r>
      <w:r w:rsidRPr="000329FE">
        <w:rPr>
          <w:shd w:val="clear" w:color="auto" w:fill="FFFFFF"/>
        </w:rPr>
        <w:t xml:space="preserve">ds) </w:t>
      </w:r>
      <w:r w:rsidRPr="000329FE">
        <w:rPr>
          <w:i/>
          <w:iCs/>
        </w:rPr>
        <w:t xml:space="preserve">What </w:t>
      </w:r>
      <w:r>
        <w:rPr>
          <w:i/>
          <w:iCs/>
        </w:rPr>
        <w:t>W</w:t>
      </w:r>
      <w:r w:rsidRPr="000329FE">
        <w:rPr>
          <w:i/>
          <w:iCs/>
        </w:rPr>
        <w:t xml:space="preserve">orks in </w:t>
      </w:r>
      <w:r>
        <w:rPr>
          <w:i/>
          <w:iCs/>
        </w:rPr>
        <w:t>O</w:t>
      </w:r>
      <w:r w:rsidRPr="000329FE">
        <w:rPr>
          <w:i/>
          <w:iCs/>
        </w:rPr>
        <w:t xml:space="preserve">ffender </w:t>
      </w:r>
      <w:r>
        <w:rPr>
          <w:i/>
          <w:iCs/>
        </w:rPr>
        <w:t>R</w:t>
      </w:r>
      <w:r w:rsidRPr="000329FE">
        <w:rPr>
          <w:i/>
          <w:iCs/>
        </w:rPr>
        <w:t xml:space="preserve">ehabilitation: An evidence-based </w:t>
      </w:r>
      <w:r w:rsidRPr="00561492">
        <w:rPr>
          <w:i/>
          <w:iCs/>
        </w:rPr>
        <w:t>approach</w:t>
      </w:r>
      <w:r w:rsidRPr="000329FE">
        <w:rPr>
          <w:i/>
          <w:iCs/>
        </w:rPr>
        <w:t xml:space="preserve"> to assessment and treatment </w:t>
      </w:r>
      <w:r w:rsidRPr="000329FE">
        <w:t>(pp.</w:t>
      </w:r>
      <w:r w:rsidR="0090532E">
        <w:t> </w:t>
      </w:r>
      <w:r w:rsidRPr="000329FE">
        <w:t>71–93)</w:t>
      </w:r>
      <w:r w:rsidRPr="000329FE">
        <w:rPr>
          <w:i/>
          <w:iCs/>
        </w:rPr>
        <w:t>.</w:t>
      </w:r>
      <w:r w:rsidRPr="000329FE">
        <w:t xml:space="preserve"> Hoboken, NJ: John Wiley &amp; Sons.</w:t>
      </w:r>
    </w:p>
    <w:p w14:paraId="09AF6B8D" w14:textId="77777777" w:rsidR="009636B7" w:rsidRPr="000329FE" w:rsidRDefault="009636B7" w:rsidP="009636B7">
      <w:pPr>
        <w:pStyle w:val="References"/>
      </w:pPr>
      <w:r w:rsidRPr="000329FE">
        <w:t xml:space="preserve">Boothroyd RA, Poythress NG, McGaha A, </w:t>
      </w:r>
      <w:r w:rsidR="00AD0D58">
        <w:t>et al</w:t>
      </w:r>
      <w:r w:rsidRPr="000329FE">
        <w:t xml:space="preserve">. 2003. The Broward Mental Health Court: Process, outcomes, and service utilization. </w:t>
      </w:r>
      <w:r w:rsidRPr="000329FE">
        <w:rPr>
          <w:i/>
          <w:iCs/>
        </w:rPr>
        <w:t xml:space="preserve">International Journal of Law and Psychiatry </w:t>
      </w:r>
      <w:r w:rsidRPr="00561492">
        <w:t>26</w:t>
      </w:r>
      <w:r w:rsidRPr="000329FE">
        <w:t>(1)</w:t>
      </w:r>
      <w:r>
        <w:t>:</w:t>
      </w:r>
      <w:r w:rsidRPr="000329FE">
        <w:t xml:space="preserve"> 55–71. </w:t>
      </w:r>
      <w:r>
        <w:t>DOI</w:t>
      </w:r>
      <w:r w:rsidRPr="000329FE">
        <w:t>:</w:t>
      </w:r>
      <w:r>
        <w:t xml:space="preserve"> </w:t>
      </w:r>
      <w:r w:rsidRPr="000329FE">
        <w:t>10.1016/S0160-2527(02)00203-0</w:t>
      </w:r>
      <w:r>
        <w:t xml:space="preserve"> (accessed 27 October 2021).</w:t>
      </w:r>
    </w:p>
    <w:p w14:paraId="29BDA431" w14:textId="77777777" w:rsidR="009636B7" w:rsidRPr="000329FE" w:rsidRDefault="009636B7" w:rsidP="009636B7">
      <w:pPr>
        <w:pStyle w:val="References"/>
      </w:pPr>
      <w:r w:rsidRPr="000329FE">
        <w:t xml:space="preserve">Bourne R, Rajput R, Field R. 2015. Working with probation services and mentally disordered offenders. </w:t>
      </w:r>
      <w:r w:rsidRPr="000329FE">
        <w:rPr>
          <w:i/>
          <w:iCs/>
        </w:rPr>
        <w:t xml:space="preserve">BJPsych Advances </w:t>
      </w:r>
      <w:r w:rsidRPr="00561492">
        <w:t>21</w:t>
      </w:r>
      <w:r w:rsidRPr="000329FE">
        <w:t>(4)</w:t>
      </w:r>
      <w:r>
        <w:t>:</w:t>
      </w:r>
      <w:r w:rsidRPr="000329FE">
        <w:t xml:space="preserve"> 273–80. </w:t>
      </w:r>
      <w:r>
        <w:t>DOI</w:t>
      </w:r>
      <w:r w:rsidRPr="000329FE">
        <w:t>:</w:t>
      </w:r>
      <w:r>
        <w:t xml:space="preserve"> </w:t>
      </w:r>
      <w:r w:rsidRPr="000329FE">
        <w:t>10.1192/apt.bp.114.013342</w:t>
      </w:r>
      <w:r>
        <w:t xml:space="preserve"> (accessed 22 October 2021).</w:t>
      </w:r>
    </w:p>
    <w:p w14:paraId="6B50BD76" w14:textId="77777777" w:rsidR="009636B7" w:rsidRPr="000329FE" w:rsidRDefault="009636B7" w:rsidP="009636B7">
      <w:pPr>
        <w:pStyle w:val="References"/>
      </w:pPr>
      <w:r w:rsidRPr="000329FE">
        <w:t xml:space="preserve">Bowers L. 2014. Safewards: A new model of conflict and containment on psychiatric wards. </w:t>
      </w:r>
      <w:r w:rsidRPr="00561492">
        <w:rPr>
          <w:rFonts w:cs="Segoe UI"/>
          <w:i/>
          <w:iCs/>
        </w:rPr>
        <w:t>Journal of Psychiatric and Mental Health Nursing</w:t>
      </w:r>
      <w:r w:rsidRPr="005838C6">
        <w:rPr>
          <w:rFonts w:cs="Segoe UI"/>
          <w:i/>
          <w:iCs/>
        </w:rPr>
        <w:t xml:space="preserve"> </w:t>
      </w:r>
      <w:r w:rsidRPr="00561492">
        <w:rPr>
          <w:rFonts w:cs="Segoe UI"/>
        </w:rPr>
        <w:t>21</w:t>
      </w:r>
      <w:r>
        <w:t>:</w:t>
      </w:r>
      <w:r w:rsidRPr="000329FE">
        <w:t xml:space="preserve"> 499</w:t>
      </w:r>
      <w:r w:rsidRPr="000329FE">
        <w:rPr>
          <w:rFonts w:ascii="AdvTTfa35afa0+20" w:hAnsi="AdvTTfa35afa0+20" w:hint="eastAsia"/>
        </w:rPr>
        <w:t>–</w:t>
      </w:r>
      <w:r w:rsidRPr="000329FE">
        <w:t xml:space="preserve">508. </w:t>
      </w:r>
      <w:r>
        <w:t>DOI</w:t>
      </w:r>
      <w:r w:rsidRPr="000329FE">
        <w:t>:</w:t>
      </w:r>
      <w:r>
        <w:t xml:space="preserve"> </w:t>
      </w:r>
      <w:r w:rsidRPr="000329FE">
        <w:t xml:space="preserve">10.1111/jpm.12129 </w:t>
      </w:r>
      <w:r>
        <w:t>(accessed 12 October 2021).</w:t>
      </w:r>
    </w:p>
    <w:p w14:paraId="13814860" w14:textId="77777777" w:rsidR="009636B7" w:rsidRPr="000329FE" w:rsidRDefault="009636B7" w:rsidP="009636B7">
      <w:pPr>
        <w:pStyle w:val="References"/>
        <w:rPr>
          <w:rFonts w:cs="Segoe UI"/>
        </w:rPr>
      </w:pPr>
      <w:r w:rsidRPr="00D4751F">
        <w:rPr>
          <w:rFonts w:cs="Segoe UI"/>
        </w:rPr>
        <w:lastRenderedPageBreak/>
        <w:t xml:space="preserve">Bowers L, Alexander J, Bilgin H, </w:t>
      </w:r>
      <w:r w:rsidR="00AD0D58" w:rsidRPr="00D4751F">
        <w:rPr>
          <w:rFonts w:cs="Segoe UI"/>
        </w:rPr>
        <w:t>et al</w:t>
      </w:r>
      <w:r w:rsidRPr="00D4751F">
        <w:rPr>
          <w:rFonts w:cs="Segoe UI"/>
        </w:rPr>
        <w:t xml:space="preserve">. 2014. Safewards: The empirical basis of the model and a critical appraisal. </w:t>
      </w:r>
      <w:r w:rsidRPr="00D4751F">
        <w:rPr>
          <w:rFonts w:cs="Segoe UI"/>
          <w:i/>
          <w:iCs/>
        </w:rPr>
        <w:t xml:space="preserve">Journal of Psychiatric and Mental Health Nursing </w:t>
      </w:r>
      <w:r w:rsidRPr="00D4751F">
        <w:rPr>
          <w:rFonts w:cs="Segoe UI"/>
        </w:rPr>
        <w:t>21(4): 354–64. DOI: 10.1111/jpm.12085 (accessed 2 November 2021).</w:t>
      </w:r>
    </w:p>
    <w:p w14:paraId="61C24757" w14:textId="77777777" w:rsidR="009636B7" w:rsidRPr="000329FE" w:rsidRDefault="009636B7" w:rsidP="009636B7">
      <w:pPr>
        <w:pStyle w:val="References"/>
      </w:pPr>
      <w:r w:rsidRPr="000329FE">
        <w:t xml:space="preserve">Bowers L, James K, Quirk A, </w:t>
      </w:r>
      <w:r w:rsidR="00AD0D58">
        <w:t>et al</w:t>
      </w:r>
      <w:r w:rsidRPr="000329FE">
        <w:t xml:space="preserve">. 2015. Reducing conflict and containment rates on acute psychiatric wards: The Safewards cluster randomised controlled trial. </w:t>
      </w:r>
      <w:r w:rsidRPr="000329FE">
        <w:rPr>
          <w:rFonts w:cs="Segoe UI"/>
          <w:i/>
          <w:iCs/>
        </w:rPr>
        <w:t xml:space="preserve">International Journal of Nursing Studies </w:t>
      </w:r>
      <w:r w:rsidRPr="00561492">
        <w:rPr>
          <w:rFonts w:cs="Segoe UI"/>
        </w:rPr>
        <w:t>52</w:t>
      </w:r>
      <w:r w:rsidRPr="000329FE">
        <w:rPr>
          <w:rFonts w:cs="Segoe UI"/>
        </w:rPr>
        <w:t>(9)</w:t>
      </w:r>
      <w:r>
        <w:rPr>
          <w:rFonts w:cs="Segoe UI"/>
        </w:rPr>
        <w:t>:</w:t>
      </w:r>
      <w:r w:rsidRPr="000329FE">
        <w:rPr>
          <w:rFonts w:cs="Segoe UI"/>
        </w:rPr>
        <w:t xml:space="preserve"> 1412–</w:t>
      </w:r>
      <w:r w:rsidRPr="000329FE">
        <w:t xml:space="preserve">22. </w:t>
      </w:r>
      <w:r>
        <w:t>DOI</w:t>
      </w:r>
      <w:r w:rsidRPr="000329FE">
        <w:t>:</w:t>
      </w:r>
      <w:r>
        <w:t xml:space="preserve"> </w:t>
      </w:r>
      <w:r w:rsidRPr="000329FE">
        <w:t>10.1016/j.ijnurstu.2015.05.001</w:t>
      </w:r>
      <w:r>
        <w:t xml:space="preserve"> (accessed 12 October 2021).</w:t>
      </w:r>
    </w:p>
    <w:p w14:paraId="7537C4D8" w14:textId="77777777" w:rsidR="009636B7" w:rsidRPr="000329FE" w:rsidRDefault="009636B7" w:rsidP="009636B7">
      <w:pPr>
        <w:pStyle w:val="References"/>
      </w:pPr>
      <w:r w:rsidRPr="000329FE">
        <w:t xml:space="preserve">Bradford D, Smith N. 2009. </w:t>
      </w:r>
      <w:r w:rsidRPr="000329FE">
        <w:rPr>
          <w:i/>
          <w:iCs/>
        </w:rPr>
        <w:t xml:space="preserve">An </w:t>
      </w:r>
      <w:r w:rsidR="00D4751F">
        <w:rPr>
          <w:i/>
          <w:iCs/>
        </w:rPr>
        <w:t>E</w:t>
      </w:r>
      <w:r w:rsidRPr="000329FE">
        <w:rPr>
          <w:i/>
          <w:iCs/>
        </w:rPr>
        <w:t xml:space="preserve">valuation of the NSW </w:t>
      </w:r>
      <w:r w:rsidR="00D4751F">
        <w:rPr>
          <w:i/>
          <w:iCs/>
        </w:rPr>
        <w:t>C</w:t>
      </w:r>
      <w:r w:rsidRPr="000329FE">
        <w:rPr>
          <w:i/>
          <w:iCs/>
        </w:rPr>
        <w:t xml:space="preserve">ourt </w:t>
      </w:r>
      <w:r w:rsidR="00D4751F">
        <w:rPr>
          <w:i/>
          <w:iCs/>
        </w:rPr>
        <w:t>L</w:t>
      </w:r>
      <w:r w:rsidRPr="000329FE">
        <w:rPr>
          <w:i/>
          <w:iCs/>
        </w:rPr>
        <w:t xml:space="preserve">iaison </w:t>
      </w:r>
      <w:r w:rsidR="00D4751F">
        <w:rPr>
          <w:i/>
          <w:iCs/>
        </w:rPr>
        <w:t>S</w:t>
      </w:r>
      <w:r w:rsidRPr="000329FE">
        <w:rPr>
          <w:i/>
          <w:iCs/>
        </w:rPr>
        <w:t>ervices</w:t>
      </w:r>
      <w:r w:rsidRPr="000329FE">
        <w:t xml:space="preserve">. NSW Bureau of Crime Statistics and Research. </w:t>
      </w:r>
      <w:r>
        <w:t>URL:</w:t>
      </w:r>
      <w:r w:rsidRPr="000329FE">
        <w:t xml:space="preserve"> </w:t>
      </w:r>
      <w:hyperlink r:id="rId52" w:history="1">
        <w:r w:rsidR="00D4751F" w:rsidRPr="00D4751F">
          <w:rPr>
            <w:rStyle w:val="Hyperlink"/>
          </w:rPr>
          <w:t>www.bocsar.nsw.gov.au/Documents/r58_cls.pdf</w:t>
        </w:r>
      </w:hyperlink>
      <w:r>
        <w:t xml:space="preserve"> (accessed 26 October 2021).</w:t>
      </w:r>
    </w:p>
    <w:p w14:paraId="7787966A" w14:textId="77777777" w:rsidR="009636B7" w:rsidRPr="000329FE" w:rsidRDefault="009636B7" w:rsidP="009636B7">
      <w:pPr>
        <w:pStyle w:val="References"/>
      </w:pPr>
      <w:r w:rsidRPr="000329FE">
        <w:t xml:space="preserve">Bradley K. 2009. </w:t>
      </w:r>
      <w:r w:rsidRPr="000329FE">
        <w:rPr>
          <w:i/>
          <w:iCs/>
        </w:rPr>
        <w:t>Lord Bradley</w:t>
      </w:r>
      <w:r w:rsidR="00EE0ADB">
        <w:rPr>
          <w:i/>
          <w:iCs/>
        </w:rPr>
        <w:t>’</w:t>
      </w:r>
      <w:r w:rsidRPr="000329FE">
        <w:rPr>
          <w:i/>
          <w:iCs/>
        </w:rPr>
        <w:t xml:space="preserve">s </w:t>
      </w:r>
      <w:r w:rsidR="00D4751F">
        <w:rPr>
          <w:i/>
          <w:iCs/>
        </w:rPr>
        <w:t>R</w:t>
      </w:r>
      <w:r w:rsidRPr="000329FE">
        <w:rPr>
          <w:i/>
          <w:iCs/>
        </w:rPr>
        <w:t xml:space="preserve">eview of </w:t>
      </w:r>
      <w:r w:rsidR="00D4751F">
        <w:rPr>
          <w:i/>
          <w:iCs/>
        </w:rPr>
        <w:t>P</w:t>
      </w:r>
      <w:r w:rsidRPr="000329FE">
        <w:rPr>
          <w:i/>
          <w:iCs/>
        </w:rPr>
        <w:t xml:space="preserve">eople with </w:t>
      </w:r>
      <w:r w:rsidR="00D4751F">
        <w:rPr>
          <w:i/>
          <w:iCs/>
        </w:rPr>
        <w:t>M</w:t>
      </w:r>
      <w:r w:rsidRPr="000329FE">
        <w:rPr>
          <w:i/>
          <w:iCs/>
        </w:rPr>
        <w:t xml:space="preserve">ental </w:t>
      </w:r>
      <w:r w:rsidR="00D4751F">
        <w:rPr>
          <w:i/>
          <w:iCs/>
        </w:rPr>
        <w:t>H</w:t>
      </w:r>
      <w:r w:rsidRPr="000329FE">
        <w:rPr>
          <w:i/>
          <w:iCs/>
        </w:rPr>
        <w:t xml:space="preserve">ealth </w:t>
      </w:r>
      <w:r w:rsidR="00D4751F">
        <w:rPr>
          <w:i/>
          <w:iCs/>
        </w:rPr>
        <w:t>P</w:t>
      </w:r>
      <w:r w:rsidRPr="000329FE">
        <w:rPr>
          <w:i/>
          <w:iCs/>
        </w:rPr>
        <w:t xml:space="preserve">roblems or </w:t>
      </w:r>
      <w:r w:rsidR="00D4751F">
        <w:rPr>
          <w:i/>
          <w:iCs/>
        </w:rPr>
        <w:t>L</w:t>
      </w:r>
      <w:r w:rsidRPr="000329FE">
        <w:rPr>
          <w:i/>
          <w:iCs/>
        </w:rPr>
        <w:t xml:space="preserve">earning </w:t>
      </w:r>
      <w:r w:rsidR="00D4751F">
        <w:rPr>
          <w:i/>
          <w:iCs/>
        </w:rPr>
        <w:t>D</w:t>
      </w:r>
      <w:r w:rsidRPr="000329FE">
        <w:rPr>
          <w:i/>
          <w:iCs/>
        </w:rPr>
        <w:t xml:space="preserve">isabilities in the </w:t>
      </w:r>
      <w:r w:rsidR="00D4751F">
        <w:rPr>
          <w:i/>
          <w:iCs/>
        </w:rPr>
        <w:t>C</w:t>
      </w:r>
      <w:r w:rsidRPr="000329FE">
        <w:rPr>
          <w:i/>
          <w:iCs/>
        </w:rPr>
        <w:t xml:space="preserve">riminal </w:t>
      </w:r>
      <w:r w:rsidR="00D4751F">
        <w:rPr>
          <w:i/>
          <w:iCs/>
        </w:rPr>
        <w:t>J</w:t>
      </w:r>
      <w:r w:rsidRPr="000329FE">
        <w:rPr>
          <w:i/>
          <w:iCs/>
        </w:rPr>
        <w:t xml:space="preserve">ustice </w:t>
      </w:r>
      <w:r w:rsidR="00D4751F">
        <w:rPr>
          <w:i/>
          <w:iCs/>
        </w:rPr>
        <w:t>S</w:t>
      </w:r>
      <w:r w:rsidRPr="000329FE">
        <w:rPr>
          <w:i/>
          <w:iCs/>
        </w:rPr>
        <w:t>ystem</w:t>
      </w:r>
      <w:r w:rsidRPr="000329FE">
        <w:t xml:space="preserve"> </w:t>
      </w:r>
      <w:r>
        <w:t>(</w:t>
      </w:r>
      <w:r w:rsidRPr="000329FE">
        <w:t xml:space="preserve">The Bradley </w:t>
      </w:r>
      <w:r>
        <w:t>R</w:t>
      </w:r>
      <w:r w:rsidRPr="000329FE">
        <w:t>eport</w:t>
      </w:r>
      <w:r>
        <w:t>)</w:t>
      </w:r>
      <w:r w:rsidRPr="000329FE">
        <w:t>. London: Department of Health.</w:t>
      </w:r>
      <w:r>
        <w:t xml:space="preserve"> URL: </w:t>
      </w:r>
      <w:hyperlink r:id="rId53" w:history="1">
        <w:r w:rsidR="00D4751F" w:rsidRPr="00D4751F">
          <w:rPr>
            <w:rStyle w:val="Hyperlink"/>
          </w:rPr>
          <w:t>https://webarchive.nationalarchives.gov.uk/ukgwa/20130107105354/http://www.dh.gov.uk/prod_consum_dh/groups/dh_digitalassets/documents/digitalasset/dh_098698.pdf</w:t>
        </w:r>
      </w:hyperlink>
      <w:r>
        <w:t xml:space="preserve"> (accessed 27 October 2021).</w:t>
      </w:r>
    </w:p>
    <w:p w14:paraId="27A25BC4" w14:textId="77777777" w:rsidR="00EE0ADB" w:rsidRDefault="009636B7" w:rsidP="009636B7">
      <w:pPr>
        <w:pStyle w:val="References"/>
      </w:pPr>
      <w:r w:rsidRPr="000329FE">
        <w:t>Brett A. 2010. Western Australia</w:t>
      </w:r>
      <w:r w:rsidR="00EE0ADB">
        <w:t>’</w:t>
      </w:r>
      <w:r w:rsidRPr="000329FE">
        <w:t xml:space="preserve">s mental health court liaison service. </w:t>
      </w:r>
      <w:r w:rsidRPr="000329FE">
        <w:rPr>
          <w:i/>
          <w:iCs/>
        </w:rPr>
        <w:t xml:space="preserve">Australasian Psychiatry </w:t>
      </w:r>
      <w:r w:rsidRPr="00561492">
        <w:t>18</w:t>
      </w:r>
      <w:r w:rsidRPr="000329FE">
        <w:t xml:space="preserve">(2): 158–62. </w:t>
      </w:r>
      <w:r>
        <w:t>DOI</w:t>
      </w:r>
      <w:r w:rsidRPr="000329FE">
        <w:t>:</w:t>
      </w:r>
      <w:r>
        <w:t xml:space="preserve"> </w:t>
      </w:r>
      <w:r w:rsidRPr="000329FE">
        <w:t>10.3109/10398560903294298</w:t>
      </w:r>
      <w:r>
        <w:t xml:space="preserve"> (accessed 26 October 2021).</w:t>
      </w:r>
    </w:p>
    <w:p w14:paraId="1AA74067" w14:textId="77777777" w:rsidR="009636B7" w:rsidRPr="000329FE" w:rsidRDefault="009636B7" w:rsidP="009636B7">
      <w:pPr>
        <w:pStyle w:val="References"/>
      </w:pPr>
      <w:r w:rsidRPr="000329FE">
        <w:t>Brett A,</w:t>
      </w:r>
      <w:r w:rsidR="00EE0ADB">
        <w:t xml:space="preserve"> </w:t>
      </w:r>
      <w:r w:rsidRPr="000329FE">
        <w:t xml:space="preserve">Blumberg L. 2006. Video-linked court liaison services: Forging new frontiers in psychiatry in Western Australia. </w:t>
      </w:r>
      <w:r w:rsidRPr="000329FE">
        <w:rPr>
          <w:i/>
          <w:iCs/>
        </w:rPr>
        <w:t xml:space="preserve">Australasian Psychiatry </w:t>
      </w:r>
      <w:r w:rsidRPr="00561492">
        <w:t>14</w:t>
      </w:r>
      <w:r w:rsidRPr="000329FE">
        <w:t>(1)</w:t>
      </w:r>
      <w:r>
        <w:t>:</w:t>
      </w:r>
      <w:r w:rsidRPr="000329FE">
        <w:t xml:space="preserve"> 53–6. </w:t>
      </w:r>
      <w:r>
        <w:t>DOI</w:t>
      </w:r>
      <w:r w:rsidRPr="000329FE">
        <w:t>:</w:t>
      </w:r>
      <w:r>
        <w:t xml:space="preserve"> </w:t>
      </w:r>
      <w:r w:rsidRPr="000329FE">
        <w:t>10.1111/j.1440-1665.2006.02236.x</w:t>
      </w:r>
      <w:r>
        <w:t xml:space="preserve"> (accessed 27 October 2021).</w:t>
      </w:r>
    </w:p>
    <w:p w14:paraId="1D5E6CDD" w14:textId="77777777" w:rsidR="009636B7" w:rsidRPr="000329FE" w:rsidRDefault="009636B7" w:rsidP="009636B7">
      <w:pPr>
        <w:pStyle w:val="References"/>
      </w:pPr>
      <w:r w:rsidRPr="000329FE">
        <w:t xml:space="preserve">Brett A, Carroll A, Green B, </w:t>
      </w:r>
      <w:r w:rsidR="00AD0D58">
        <w:t>et al</w:t>
      </w:r>
      <w:r w:rsidRPr="000329FE">
        <w:t xml:space="preserve">. 2012. </w:t>
      </w:r>
      <w:r w:rsidRPr="00561492">
        <w:rPr>
          <w:shd w:val="clear" w:color="auto" w:fill="FFFFFF"/>
        </w:rPr>
        <w:t>Treatment</w:t>
      </w:r>
      <w:r w:rsidRPr="000329FE">
        <w:t xml:space="preserve"> and security outside the wall: Diverse approaches to common challenges in community mental health. </w:t>
      </w:r>
      <w:r w:rsidRPr="000329FE">
        <w:rPr>
          <w:i/>
          <w:iCs/>
        </w:rPr>
        <w:t xml:space="preserve">International Journal of Forensic Mental Health </w:t>
      </w:r>
      <w:r w:rsidRPr="00561492">
        <w:t>6</w:t>
      </w:r>
      <w:r w:rsidRPr="000329FE">
        <w:t>(1)</w:t>
      </w:r>
      <w:r>
        <w:t>:</w:t>
      </w:r>
      <w:r w:rsidRPr="000329FE">
        <w:t xml:space="preserve"> 87–99. </w:t>
      </w:r>
      <w:r>
        <w:t xml:space="preserve">URL: </w:t>
      </w:r>
      <w:hyperlink r:id="rId54" w:history="1">
        <w:r w:rsidR="00D4751F" w:rsidRPr="00D4751F">
          <w:rPr>
            <w:rStyle w:val="Hyperlink"/>
          </w:rPr>
          <w:t>https://doi.org/10.1080/14999013.2007.10471252</w:t>
        </w:r>
      </w:hyperlink>
      <w:r>
        <w:t xml:space="preserve"> (accessed 14 October 2021).</w:t>
      </w:r>
    </w:p>
    <w:p w14:paraId="4A830BAA" w14:textId="77777777" w:rsidR="009636B7" w:rsidRPr="000329FE" w:rsidRDefault="009636B7" w:rsidP="009636B7">
      <w:pPr>
        <w:pStyle w:val="References"/>
      </w:pPr>
      <w:r w:rsidRPr="000329FE">
        <w:t xml:space="preserve">Brinded P. 2000. Forensic psychiatry in New Zealand: A review. </w:t>
      </w:r>
      <w:r w:rsidRPr="000329FE">
        <w:rPr>
          <w:i/>
          <w:iCs/>
        </w:rPr>
        <w:t xml:space="preserve">International Journal of Law and Psychiatry </w:t>
      </w:r>
      <w:r w:rsidRPr="00561492">
        <w:t>23</w:t>
      </w:r>
      <w:r w:rsidRPr="000329FE">
        <w:t>(5–6)</w:t>
      </w:r>
      <w:r>
        <w:t>:</w:t>
      </w:r>
      <w:r w:rsidRPr="000329FE">
        <w:t xml:space="preserve"> 453</w:t>
      </w:r>
      <w:r>
        <w:t>–</w:t>
      </w:r>
      <w:r w:rsidRPr="000329FE">
        <w:t xml:space="preserve">65. </w:t>
      </w:r>
      <w:r>
        <w:t xml:space="preserve">URL: </w:t>
      </w:r>
      <w:hyperlink r:id="rId55" w:history="1">
        <w:r w:rsidR="00D4751F" w:rsidRPr="00D4751F">
          <w:rPr>
            <w:rStyle w:val="Hyperlink"/>
          </w:rPr>
          <w:t>https://doi.org/10.1016/S0160-2527(00)00053-4</w:t>
        </w:r>
      </w:hyperlink>
      <w:r>
        <w:t xml:space="preserve"> (accessed 11 October 2021).</w:t>
      </w:r>
    </w:p>
    <w:p w14:paraId="20634723" w14:textId="77777777" w:rsidR="009636B7" w:rsidRPr="000329FE" w:rsidRDefault="009636B7" w:rsidP="009636B7">
      <w:pPr>
        <w:pStyle w:val="References"/>
        <w:rPr>
          <w:shd w:val="clear" w:color="auto" w:fill="FFFFFF"/>
        </w:rPr>
      </w:pPr>
      <w:r w:rsidRPr="000329FE">
        <w:rPr>
          <w:shd w:val="clear" w:color="auto" w:fill="FFFFFF"/>
        </w:rPr>
        <w:t>Brinded P, Evans C. 2007. The delivery of mental health services in prisons. In W</w:t>
      </w:r>
      <w:r w:rsidR="00D4751F">
        <w:rPr>
          <w:shd w:val="clear" w:color="auto" w:fill="FFFFFF"/>
        </w:rPr>
        <w:t> </w:t>
      </w:r>
      <w:r w:rsidRPr="000329FE">
        <w:rPr>
          <w:shd w:val="clear" w:color="auto" w:fill="FFFFFF"/>
        </w:rPr>
        <w:t>Brookbanks</w:t>
      </w:r>
      <w:r>
        <w:rPr>
          <w:shd w:val="clear" w:color="auto" w:fill="FFFFFF"/>
        </w:rPr>
        <w:t>,</w:t>
      </w:r>
      <w:r w:rsidRPr="000329FE">
        <w:rPr>
          <w:shd w:val="clear" w:color="auto" w:fill="FFFFFF"/>
        </w:rPr>
        <w:t xml:space="preserve"> S Simpson (</w:t>
      </w:r>
      <w:r>
        <w:rPr>
          <w:shd w:val="clear" w:color="auto" w:fill="FFFFFF"/>
        </w:rPr>
        <w:t>e</w:t>
      </w:r>
      <w:r w:rsidRPr="000329FE">
        <w:rPr>
          <w:shd w:val="clear" w:color="auto" w:fill="FFFFFF"/>
        </w:rPr>
        <w:t xml:space="preserve">ds) </w:t>
      </w:r>
      <w:r w:rsidRPr="000329FE">
        <w:rPr>
          <w:i/>
          <w:iCs/>
          <w:shd w:val="clear" w:color="auto" w:fill="FFFFFF"/>
        </w:rPr>
        <w:t xml:space="preserve">Psychiatry and the </w:t>
      </w:r>
      <w:r>
        <w:rPr>
          <w:i/>
          <w:iCs/>
          <w:shd w:val="clear" w:color="auto" w:fill="FFFFFF"/>
        </w:rPr>
        <w:t>L</w:t>
      </w:r>
      <w:r w:rsidRPr="000329FE">
        <w:rPr>
          <w:i/>
          <w:iCs/>
          <w:shd w:val="clear" w:color="auto" w:fill="FFFFFF"/>
        </w:rPr>
        <w:t>aw</w:t>
      </w:r>
      <w:r w:rsidRPr="000329FE">
        <w:rPr>
          <w:shd w:val="clear" w:color="auto" w:fill="FFFFFF"/>
        </w:rPr>
        <w:t xml:space="preserve"> (pp. 423–45). Wellington: LexisNexis.</w:t>
      </w:r>
    </w:p>
    <w:p w14:paraId="1BACBD0B" w14:textId="77777777" w:rsidR="009636B7" w:rsidRPr="000329FE" w:rsidRDefault="009636B7" w:rsidP="009636B7">
      <w:pPr>
        <w:pStyle w:val="References"/>
      </w:pPr>
      <w:r w:rsidRPr="000329FE">
        <w:t xml:space="preserve">Brinded P, Malcolm F, Fairley N, </w:t>
      </w:r>
      <w:r w:rsidR="00AD0D58">
        <w:t>et al</w:t>
      </w:r>
      <w:r w:rsidRPr="000329FE">
        <w:t xml:space="preserve">. 1996. Diversion versus liaison: Psychiatric services to the courts, Wellington, New Zealand. </w:t>
      </w:r>
      <w:r w:rsidRPr="000329FE">
        <w:rPr>
          <w:i/>
          <w:iCs/>
        </w:rPr>
        <w:t>Criminal Behavior and Mental Health</w:t>
      </w:r>
      <w:r w:rsidR="00D4751F">
        <w:rPr>
          <w:iCs/>
        </w:rPr>
        <w:br/>
      </w:r>
      <w:r w:rsidRPr="00561492">
        <w:t>6</w:t>
      </w:r>
      <w:r w:rsidRPr="000329FE">
        <w:t>(2)</w:t>
      </w:r>
      <w:r>
        <w:t>:</w:t>
      </w:r>
      <w:r w:rsidRPr="000329FE">
        <w:t xml:space="preserve"> 167–76. </w:t>
      </w:r>
      <w:r>
        <w:t>DOI</w:t>
      </w:r>
      <w:r w:rsidRPr="000329FE">
        <w:t>:</w:t>
      </w:r>
      <w:r>
        <w:t xml:space="preserve"> </w:t>
      </w:r>
      <w:r w:rsidRPr="000329FE">
        <w:t>10.1002/cbm.84</w:t>
      </w:r>
      <w:r>
        <w:t xml:space="preserve"> (accessed 11 October 2021).</w:t>
      </w:r>
    </w:p>
    <w:p w14:paraId="4CDD12BB" w14:textId="77777777" w:rsidR="009636B7" w:rsidRPr="000329FE" w:rsidRDefault="009636B7" w:rsidP="009636B7">
      <w:pPr>
        <w:pStyle w:val="References"/>
      </w:pPr>
      <w:r w:rsidRPr="000329FE">
        <w:t>Brookbanks W, Simpson S (</w:t>
      </w:r>
      <w:r>
        <w:t>e</w:t>
      </w:r>
      <w:r w:rsidRPr="000329FE">
        <w:t xml:space="preserve">ds). 2007. </w:t>
      </w:r>
      <w:r w:rsidRPr="000329FE">
        <w:rPr>
          <w:i/>
          <w:iCs/>
        </w:rPr>
        <w:t xml:space="preserve">Psychiatry and the </w:t>
      </w:r>
      <w:r>
        <w:rPr>
          <w:i/>
          <w:iCs/>
        </w:rPr>
        <w:t>L</w:t>
      </w:r>
      <w:r w:rsidRPr="000329FE">
        <w:rPr>
          <w:i/>
          <w:iCs/>
        </w:rPr>
        <w:t xml:space="preserve">aw. </w:t>
      </w:r>
      <w:r w:rsidRPr="000329FE">
        <w:t>Wellington: LexisNex</w:t>
      </w:r>
      <w:r>
        <w:t>i</w:t>
      </w:r>
      <w:r w:rsidRPr="000329FE">
        <w:t>s.</w:t>
      </w:r>
    </w:p>
    <w:p w14:paraId="58247190" w14:textId="77777777" w:rsidR="009636B7" w:rsidRPr="000329FE" w:rsidRDefault="009636B7" w:rsidP="009636B7">
      <w:pPr>
        <w:pStyle w:val="References"/>
      </w:pPr>
      <w:r w:rsidRPr="000329FE">
        <w:t xml:space="preserve">Brooker C, Webster R. 2017. Prison mental health in-reach teams, serious mental illness and the Care Programme Approach in England. </w:t>
      </w:r>
      <w:r w:rsidRPr="000329FE">
        <w:rPr>
          <w:i/>
          <w:iCs/>
        </w:rPr>
        <w:t xml:space="preserve">Journal of Forensic and Legal Medicine </w:t>
      </w:r>
      <w:r w:rsidRPr="00561492">
        <w:t>50</w:t>
      </w:r>
      <w:r>
        <w:t>:</w:t>
      </w:r>
      <w:r w:rsidRPr="000329FE">
        <w:t xml:space="preserve"> 44–8. </w:t>
      </w:r>
      <w:r>
        <w:t>DOI</w:t>
      </w:r>
      <w:r w:rsidRPr="000329FE">
        <w:t>:</w:t>
      </w:r>
      <w:r>
        <w:t xml:space="preserve"> </w:t>
      </w:r>
      <w:r w:rsidRPr="000329FE">
        <w:t>10.1016/j.jflm.2017.07.010</w:t>
      </w:r>
      <w:r>
        <w:t xml:space="preserve"> (accessed 14 October 2021).</w:t>
      </w:r>
    </w:p>
    <w:p w14:paraId="09259528" w14:textId="77777777" w:rsidR="009636B7" w:rsidRDefault="009636B7" w:rsidP="00A0717A">
      <w:pPr>
        <w:pStyle w:val="References"/>
        <w:keepNext/>
      </w:pPr>
      <w:r w:rsidRPr="000329FE">
        <w:lastRenderedPageBreak/>
        <w:t>Brown SA, Lewis K. 2015. Hope for successful implementation of psychosocial/</w:t>
      </w:r>
      <w:r w:rsidR="00D4751F">
        <w:t xml:space="preserve"> </w:t>
      </w:r>
      <w:r w:rsidRPr="000329FE">
        <w:t xml:space="preserve">psychiatric rehabilitation in the forensic mental health setting. </w:t>
      </w:r>
      <w:r w:rsidRPr="000329FE">
        <w:rPr>
          <w:i/>
          <w:iCs/>
        </w:rPr>
        <w:t xml:space="preserve">Psychiatric Rehabilitation Journal </w:t>
      </w:r>
      <w:r w:rsidRPr="00561492">
        <w:t>38</w:t>
      </w:r>
      <w:r w:rsidRPr="000329FE">
        <w:t>(4)</w:t>
      </w:r>
      <w:r>
        <w:t>:</w:t>
      </w:r>
      <w:r w:rsidRPr="000329FE">
        <w:t xml:space="preserve"> 365–70. </w:t>
      </w:r>
      <w:r>
        <w:t>DOI</w:t>
      </w:r>
      <w:r w:rsidRPr="000329FE">
        <w:t>:</w:t>
      </w:r>
      <w:r>
        <w:t xml:space="preserve"> </w:t>
      </w:r>
      <w:r w:rsidRPr="000329FE">
        <w:t>10.1037/prj0000086</w:t>
      </w:r>
      <w:r>
        <w:t xml:space="preserve"> (accessed 11 October 2021).</w:t>
      </w:r>
    </w:p>
    <w:p w14:paraId="01D7CBF8" w14:textId="77777777" w:rsidR="009636B7" w:rsidRPr="000329FE" w:rsidRDefault="009636B7" w:rsidP="009636B7">
      <w:pPr>
        <w:pStyle w:val="References"/>
      </w:pPr>
      <w:r w:rsidRPr="000329FE">
        <w:t xml:space="preserve">Buchanan A, Wootton L. 2017. </w:t>
      </w:r>
      <w:r w:rsidRPr="000329FE">
        <w:rPr>
          <w:i/>
          <w:iCs/>
        </w:rPr>
        <w:t xml:space="preserve">Care of the </w:t>
      </w:r>
      <w:r>
        <w:rPr>
          <w:i/>
          <w:iCs/>
        </w:rPr>
        <w:t>M</w:t>
      </w:r>
      <w:r w:rsidRPr="000329FE">
        <w:rPr>
          <w:i/>
          <w:iCs/>
        </w:rPr>
        <w:t xml:space="preserve">entally </w:t>
      </w:r>
      <w:r>
        <w:rPr>
          <w:i/>
          <w:iCs/>
        </w:rPr>
        <w:t>D</w:t>
      </w:r>
      <w:r w:rsidRPr="000329FE">
        <w:rPr>
          <w:i/>
          <w:iCs/>
        </w:rPr>
        <w:t xml:space="preserve">isordered </w:t>
      </w:r>
      <w:r>
        <w:rPr>
          <w:i/>
          <w:iCs/>
        </w:rPr>
        <w:t>O</w:t>
      </w:r>
      <w:r w:rsidRPr="000329FE">
        <w:rPr>
          <w:i/>
          <w:iCs/>
        </w:rPr>
        <w:t xml:space="preserve">ffender in the </w:t>
      </w:r>
      <w:r>
        <w:rPr>
          <w:i/>
          <w:iCs/>
        </w:rPr>
        <w:t>C</w:t>
      </w:r>
      <w:r w:rsidRPr="000329FE">
        <w:rPr>
          <w:i/>
          <w:iCs/>
        </w:rPr>
        <w:t>ommunity</w:t>
      </w:r>
      <w:r w:rsidRPr="000329FE">
        <w:t xml:space="preserve"> (2</w:t>
      </w:r>
      <w:r w:rsidRPr="00561492">
        <w:t>nd</w:t>
      </w:r>
      <w:r w:rsidRPr="000329FE">
        <w:t xml:space="preserve"> ed). Oxford: Oxford University Press.</w:t>
      </w:r>
    </w:p>
    <w:p w14:paraId="4EB8918E" w14:textId="77777777" w:rsidR="009636B7" w:rsidRPr="000329FE" w:rsidRDefault="009636B7" w:rsidP="009636B7">
      <w:pPr>
        <w:pStyle w:val="References"/>
      </w:pPr>
      <w:r w:rsidRPr="000329FE">
        <w:t xml:space="preserve">Buschmann C, Peters M. 2013. How sick is the defendant? Forensic and emergency medical aspects at trial. </w:t>
      </w:r>
      <w:r w:rsidRPr="000329FE">
        <w:rPr>
          <w:i/>
          <w:iCs/>
        </w:rPr>
        <w:t xml:space="preserve">Legal Medicine </w:t>
      </w:r>
      <w:r w:rsidRPr="00561492">
        <w:t>15</w:t>
      </w:r>
      <w:r w:rsidRPr="000329FE">
        <w:t>(1)</w:t>
      </w:r>
      <w:r>
        <w:t>:</w:t>
      </w:r>
      <w:r w:rsidRPr="000329FE">
        <w:t xml:space="preserve"> 38–42. </w:t>
      </w:r>
      <w:r>
        <w:t>DOI</w:t>
      </w:r>
      <w:r w:rsidRPr="000329FE">
        <w:t>:</w:t>
      </w:r>
      <w:r>
        <w:t xml:space="preserve"> </w:t>
      </w:r>
      <w:r w:rsidRPr="000329FE">
        <w:t>10.1016/j.legalmed.2012.08.006</w:t>
      </w:r>
      <w:r>
        <w:t xml:space="preserve"> (accessed 2 November 2021).</w:t>
      </w:r>
    </w:p>
    <w:p w14:paraId="19B4D1BA" w14:textId="77777777" w:rsidR="009636B7" w:rsidRPr="000329FE" w:rsidRDefault="009636B7" w:rsidP="009636B7">
      <w:pPr>
        <w:pStyle w:val="References"/>
      </w:pPr>
      <w:r w:rsidRPr="000329FE">
        <w:t xml:space="preserve">Campbell MA, Canales DD, Wei R, </w:t>
      </w:r>
      <w:r w:rsidR="00AD0D58">
        <w:t>et al</w:t>
      </w:r>
      <w:r w:rsidRPr="000329FE">
        <w:t xml:space="preserve">. 2015. Multidimensional evaluation of a mental health court: Adherence to the risk-need-responsivity model. </w:t>
      </w:r>
      <w:r w:rsidRPr="000329FE">
        <w:rPr>
          <w:i/>
          <w:iCs/>
        </w:rPr>
        <w:t xml:space="preserve">Law and Human Behavior </w:t>
      </w:r>
      <w:r w:rsidRPr="00561492">
        <w:t>39</w:t>
      </w:r>
      <w:r w:rsidRPr="000329FE">
        <w:t>(5)</w:t>
      </w:r>
      <w:r>
        <w:t>:</w:t>
      </w:r>
      <w:r w:rsidRPr="000329FE">
        <w:t xml:space="preserve"> 489–502. </w:t>
      </w:r>
      <w:r>
        <w:t>DOI</w:t>
      </w:r>
      <w:r w:rsidRPr="000329FE">
        <w:t>:</w:t>
      </w:r>
      <w:r>
        <w:t xml:space="preserve"> </w:t>
      </w:r>
      <w:r w:rsidRPr="000329FE">
        <w:t>10.1037/lhb0000135</w:t>
      </w:r>
      <w:r>
        <w:t xml:space="preserve"> (accessed 27 October 2021).</w:t>
      </w:r>
    </w:p>
    <w:p w14:paraId="48DE8E95" w14:textId="77777777" w:rsidR="009636B7" w:rsidRPr="000329FE" w:rsidRDefault="009636B7" w:rsidP="009636B7">
      <w:pPr>
        <w:pStyle w:val="References"/>
      </w:pPr>
      <w:r w:rsidRPr="000329FE">
        <w:t>Campbell N. 2016. The Department of Corrections</w:t>
      </w:r>
      <w:r w:rsidR="00EE0ADB">
        <w:t>’</w:t>
      </w:r>
      <w:r w:rsidRPr="000329FE">
        <w:t xml:space="preserve"> tikanga-based programmes. </w:t>
      </w:r>
      <w:r w:rsidRPr="000329FE">
        <w:rPr>
          <w:i/>
          <w:iCs/>
        </w:rPr>
        <w:t xml:space="preserve">Practice: The New Zealand Corrections Journal </w:t>
      </w:r>
      <w:r w:rsidRPr="00561492">
        <w:t>4</w:t>
      </w:r>
      <w:r w:rsidRPr="000329FE">
        <w:t>(2)</w:t>
      </w:r>
      <w:r>
        <w:t>:</w:t>
      </w:r>
      <w:r w:rsidRPr="000329FE">
        <w:t xml:space="preserve"> np.</w:t>
      </w:r>
      <w:hyperlink w:history="1"/>
      <w:r>
        <w:t xml:space="preserve"> URL: </w:t>
      </w:r>
      <w:hyperlink r:id="rId56" w:history="1">
        <w:r w:rsidR="00D4751F" w:rsidRPr="00D4751F">
          <w:rPr>
            <w:rStyle w:val="Hyperlink"/>
          </w:rPr>
          <w:t>www.corrections.govt.nz/resources/research/journal/volume_4_issue_2_december_2016/the_department_of_corrections_tikanga-based_programmes</w:t>
        </w:r>
      </w:hyperlink>
      <w:r>
        <w:t xml:space="preserve"> (accessed 22 October 2021).</w:t>
      </w:r>
    </w:p>
    <w:p w14:paraId="1D10C4F2" w14:textId="77777777" w:rsidR="009636B7" w:rsidRPr="000329FE" w:rsidRDefault="009636B7" w:rsidP="009636B7">
      <w:pPr>
        <w:pStyle w:val="References"/>
      </w:pPr>
      <w:r w:rsidRPr="000329FE">
        <w:t xml:space="preserve">Campbell N. 2018. A brief history of Te Tirohanga units. </w:t>
      </w:r>
      <w:r w:rsidRPr="000329FE">
        <w:rPr>
          <w:i/>
          <w:iCs/>
        </w:rPr>
        <w:t xml:space="preserve">Practice: The New Zealand Corrections Journal </w:t>
      </w:r>
      <w:r w:rsidRPr="00561492">
        <w:t>6</w:t>
      </w:r>
      <w:r w:rsidRPr="000329FE">
        <w:t>(1)</w:t>
      </w:r>
      <w:r>
        <w:t>:</w:t>
      </w:r>
      <w:r w:rsidRPr="000329FE">
        <w:t xml:space="preserve"> np.</w:t>
      </w:r>
      <w:r w:rsidR="00EE0ADB">
        <w:t xml:space="preserve"> </w:t>
      </w:r>
      <w:r>
        <w:t xml:space="preserve">URL: </w:t>
      </w:r>
      <w:hyperlink r:id="rId57" w:history="1">
        <w:r w:rsidR="00D4751F" w:rsidRPr="00D4751F">
          <w:rPr>
            <w:rStyle w:val="Hyperlink"/>
          </w:rPr>
          <w:t>www.corrections.govt.nz/resources/research/journal/volume_6_issue_1_july_2018/a_brief_history_of_te_tirohanga_units</w:t>
        </w:r>
      </w:hyperlink>
      <w:r>
        <w:t xml:space="preserve"> (accessed 22 October 2021).</w:t>
      </w:r>
    </w:p>
    <w:p w14:paraId="27603116" w14:textId="77777777" w:rsidR="009636B7" w:rsidRPr="000329FE" w:rsidRDefault="009636B7" w:rsidP="009636B7">
      <w:pPr>
        <w:pStyle w:val="References"/>
      </w:pPr>
      <w:r w:rsidRPr="000329FE">
        <w:t>Canada KE, Ray B. 2016. Mental health court participants</w:t>
      </w:r>
      <w:r w:rsidR="00EE0ADB">
        <w:t>’</w:t>
      </w:r>
      <w:r w:rsidRPr="000329FE">
        <w:t xml:space="preserve"> perspectives of success: What key outcomes are we missing? </w:t>
      </w:r>
      <w:r w:rsidRPr="000329FE">
        <w:rPr>
          <w:i/>
          <w:iCs/>
        </w:rPr>
        <w:t xml:space="preserve">International Journal of Forensic Mental Health </w:t>
      </w:r>
      <w:r w:rsidRPr="00561492">
        <w:t>15</w:t>
      </w:r>
      <w:r w:rsidRPr="000329FE">
        <w:t>(4)</w:t>
      </w:r>
      <w:r>
        <w:t>:</w:t>
      </w:r>
      <w:r w:rsidR="00D4751F">
        <w:t> </w:t>
      </w:r>
      <w:r w:rsidRPr="000329FE">
        <w:t xml:space="preserve">352–61. </w:t>
      </w:r>
      <w:r>
        <w:t>DOI</w:t>
      </w:r>
      <w:r w:rsidRPr="000329FE">
        <w:t>:</w:t>
      </w:r>
      <w:r>
        <w:t xml:space="preserve"> </w:t>
      </w:r>
      <w:r w:rsidRPr="000329FE">
        <w:t>10.1080/14999013.2016.1230155</w:t>
      </w:r>
      <w:r>
        <w:t xml:space="preserve"> (accessed 27 October 2021).</w:t>
      </w:r>
    </w:p>
    <w:p w14:paraId="3047E32C" w14:textId="77777777" w:rsidR="009636B7" w:rsidRPr="000329FE" w:rsidRDefault="009636B7" w:rsidP="009636B7">
      <w:pPr>
        <w:pStyle w:val="References"/>
      </w:pPr>
      <w:r w:rsidRPr="000329FE">
        <w:t xml:space="preserve">Carabellese F, Felthous AR. 2016. Closing Italian forensic psychiatric hospitals in favor of treating insanity acquittees in the community. </w:t>
      </w:r>
      <w:r w:rsidRPr="000329FE">
        <w:rPr>
          <w:i/>
          <w:iCs/>
        </w:rPr>
        <w:t xml:space="preserve">Behavioral Sciences &amp; the Law </w:t>
      </w:r>
      <w:r w:rsidRPr="00561492">
        <w:t>34</w:t>
      </w:r>
      <w:r w:rsidRPr="000329FE">
        <w:t>(2–3)</w:t>
      </w:r>
      <w:r>
        <w:t>:</w:t>
      </w:r>
      <w:r w:rsidRPr="000329FE">
        <w:t xml:space="preserve"> 444–59. </w:t>
      </w:r>
      <w:r>
        <w:t>DOI</w:t>
      </w:r>
      <w:r w:rsidRPr="000329FE">
        <w:t>:</w:t>
      </w:r>
      <w:r>
        <w:t xml:space="preserve"> </w:t>
      </w:r>
      <w:r w:rsidRPr="000329FE">
        <w:t>10.1002/bsl.2234</w:t>
      </w:r>
      <w:r>
        <w:t xml:space="preserve"> (accessed 12 October 2021).</w:t>
      </w:r>
    </w:p>
    <w:p w14:paraId="50E2E214" w14:textId="77777777" w:rsidR="009636B7" w:rsidRPr="000329FE" w:rsidRDefault="009636B7" w:rsidP="009636B7">
      <w:pPr>
        <w:pStyle w:val="References"/>
      </w:pPr>
      <w:r w:rsidRPr="000329FE">
        <w:t>Castell B, Kilgour G, Tamatea A. 2018. Are psychologists meeting the needs of Māori? A perspective from Psychological Services</w:t>
      </w:r>
      <w:r w:rsidRPr="000329FE">
        <w:rPr>
          <w:i/>
          <w:iCs/>
        </w:rPr>
        <w:t xml:space="preserve">. Practice: The New Zealand Corrections Journal </w:t>
      </w:r>
      <w:r w:rsidRPr="00561492">
        <w:t>6</w:t>
      </w:r>
      <w:r w:rsidRPr="000329FE">
        <w:t>(2)</w:t>
      </w:r>
      <w:r>
        <w:t>:</w:t>
      </w:r>
      <w:r w:rsidRPr="000329FE">
        <w:t xml:space="preserve"> np. </w:t>
      </w:r>
      <w:r>
        <w:t xml:space="preserve">URL: </w:t>
      </w:r>
      <w:hyperlink r:id="rId58" w:history="1">
        <w:r w:rsidR="00D4751F" w:rsidRPr="00D4751F">
          <w:rPr>
            <w:rStyle w:val="Hyperlink"/>
          </w:rPr>
          <w:t>www.corrections.govt.nz/resources/research/journal/volume_6_issue_2_november_2018/are_psychologists_meeting_the_needs_of_mori_a_perspective_from_psychological_services</w:t>
        </w:r>
      </w:hyperlink>
      <w:r>
        <w:t xml:space="preserve"> (accessed 22 October 2021).</w:t>
      </w:r>
    </w:p>
    <w:p w14:paraId="2B0803F7" w14:textId="77777777" w:rsidR="009636B7" w:rsidRPr="000329FE" w:rsidRDefault="009636B7" w:rsidP="009636B7">
      <w:pPr>
        <w:pStyle w:val="References"/>
      </w:pPr>
      <w:r w:rsidRPr="000329FE">
        <w:t xml:space="preserve">Castelletti L, Scarpa F, Carabellese F. 2018. Treating not guilty by reason of insanity and socially dangerous subjects by community psychiatric services: An Italian perspective. </w:t>
      </w:r>
      <w:r w:rsidRPr="000329FE">
        <w:rPr>
          <w:i/>
          <w:iCs/>
        </w:rPr>
        <w:t xml:space="preserve">Rassegna Italiana di Criminologia </w:t>
      </w:r>
      <w:r w:rsidRPr="00561492">
        <w:t>12</w:t>
      </w:r>
      <w:r w:rsidRPr="000329FE">
        <w:t>(3)</w:t>
      </w:r>
      <w:r>
        <w:t>:</w:t>
      </w:r>
      <w:r w:rsidRPr="000329FE">
        <w:t xml:space="preserve"> 182–9. </w:t>
      </w:r>
      <w:r>
        <w:t>URL:</w:t>
      </w:r>
      <w:r w:rsidRPr="000329FE">
        <w:t xml:space="preserve"> </w:t>
      </w:r>
      <w:hyperlink r:id="rId59" w:history="1">
        <w:r w:rsidR="00D4751F" w:rsidRPr="00D4751F">
          <w:rPr>
            <w:rStyle w:val="Hyperlink"/>
          </w:rPr>
          <w:t>www.rassegnaitalianadicriminologia.it/</w:t>
        </w:r>
      </w:hyperlink>
      <w:r>
        <w:t xml:space="preserve"> (accessed 12 October 2021).</w:t>
      </w:r>
    </w:p>
    <w:p w14:paraId="6D8CE761" w14:textId="77777777" w:rsidR="009636B7" w:rsidRPr="000329FE" w:rsidRDefault="009636B7" w:rsidP="009636B7">
      <w:pPr>
        <w:pStyle w:val="References"/>
      </w:pPr>
      <w:r w:rsidRPr="000329FE">
        <w:t xml:space="preserve">Cavney J, Hatters Friedman S. 2018. Culture, mental illness, and prison: A New Zealand perspective. In A Mills </w:t>
      </w:r>
      <w:r>
        <w:t>and</w:t>
      </w:r>
      <w:r w:rsidRPr="000329FE">
        <w:t xml:space="preserve"> K Kendall (</w:t>
      </w:r>
      <w:r>
        <w:t>e</w:t>
      </w:r>
      <w:r w:rsidRPr="000329FE">
        <w:t xml:space="preserve">ds), </w:t>
      </w:r>
      <w:r w:rsidRPr="000329FE">
        <w:rPr>
          <w:i/>
          <w:iCs/>
        </w:rPr>
        <w:t xml:space="preserve">Mental </w:t>
      </w:r>
      <w:r>
        <w:rPr>
          <w:i/>
          <w:iCs/>
        </w:rPr>
        <w:t>H</w:t>
      </w:r>
      <w:r w:rsidRPr="000329FE">
        <w:rPr>
          <w:i/>
          <w:iCs/>
        </w:rPr>
        <w:t xml:space="preserve">ealth in </w:t>
      </w:r>
      <w:r>
        <w:rPr>
          <w:i/>
          <w:iCs/>
        </w:rPr>
        <w:t>P</w:t>
      </w:r>
      <w:r w:rsidRPr="000329FE">
        <w:rPr>
          <w:i/>
          <w:iCs/>
        </w:rPr>
        <w:t>risons: Critical perspectives on treatment and confinement</w:t>
      </w:r>
      <w:r w:rsidRPr="000329FE">
        <w:t xml:space="preserve"> (pp. 211–34). Cham, Switzerland: Palgrave MacMillan.</w:t>
      </w:r>
    </w:p>
    <w:p w14:paraId="51956D79" w14:textId="77777777" w:rsidR="009636B7" w:rsidRPr="000329FE" w:rsidRDefault="009636B7" w:rsidP="00A0717A">
      <w:pPr>
        <w:pStyle w:val="References"/>
        <w:keepNext/>
      </w:pPr>
      <w:r w:rsidRPr="000329FE">
        <w:lastRenderedPageBreak/>
        <w:t xml:space="preserve">Central Regional Forensic Community Mental Health Service. 2017. </w:t>
      </w:r>
      <w:r w:rsidRPr="000329FE">
        <w:rPr>
          <w:i/>
        </w:rPr>
        <w:t>Ngā Tapuwae: Walking the walk</w:t>
      </w:r>
      <w:r>
        <w:rPr>
          <w:i/>
        </w:rPr>
        <w:t xml:space="preserve"> </w:t>
      </w:r>
      <w:r w:rsidRPr="000329FE">
        <w:rPr>
          <w:i/>
        </w:rPr>
        <w:t>– A co-design service pathway project at Te Korowai Whāriki</w:t>
      </w:r>
      <w:r>
        <w:rPr>
          <w:i/>
        </w:rPr>
        <w:t xml:space="preserve"> </w:t>
      </w:r>
      <w:r w:rsidRPr="000329FE">
        <w:rPr>
          <w:i/>
        </w:rPr>
        <w:t>– July 2017</w:t>
      </w:r>
      <w:r w:rsidRPr="00561492">
        <w:rPr>
          <w:iCs/>
        </w:rPr>
        <w:t>.</w:t>
      </w:r>
      <w:r w:rsidRPr="000329FE">
        <w:rPr>
          <w:i/>
        </w:rPr>
        <w:t xml:space="preserve"> </w:t>
      </w:r>
      <w:r w:rsidRPr="000329FE">
        <w:rPr>
          <w:iCs/>
        </w:rPr>
        <w:t xml:space="preserve">Wellington: </w:t>
      </w:r>
      <w:r w:rsidRPr="000329FE">
        <w:t>Central Regional Forensic Community Mental Health Service.</w:t>
      </w:r>
    </w:p>
    <w:p w14:paraId="6C9590E6" w14:textId="77777777" w:rsidR="00EE0ADB" w:rsidRDefault="009636B7" w:rsidP="009636B7">
      <w:pPr>
        <w:pStyle w:val="References"/>
      </w:pPr>
      <w:r w:rsidRPr="000329FE">
        <w:t xml:space="preserve">Central Regional Forensic Community Mental Health Service. 2019. </w:t>
      </w:r>
      <w:r w:rsidRPr="000329FE">
        <w:rPr>
          <w:i/>
        </w:rPr>
        <w:t>The Redesign and Implementation of the Ngā Tapuwae Forensic Model of Care</w:t>
      </w:r>
      <w:r w:rsidRPr="00561492">
        <w:rPr>
          <w:iCs/>
        </w:rPr>
        <w:t>.</w:t>
      </w:r>
      <w:r w:rsidRPr="000329FE">
        <w:rPr>
          <w:i/>
        </w:rPr>
        <w:t xml:space="preserve"> </w:t>
      </w:r>
      <w:r w:rsidRPr="000329FE">
        <w:rPr>
          <w:iCs/>
        </w:rPr>
        <w:t>Wellington:</w:t>
      </w:r>
      <w:r w:rsidRPr="000329FE">
        <w:rPr>
          <w:i/>
        </w:rPr>
        <w:t xml:space="preserve"> </w:t>
      </w:r>
      <w:r w:rsidRPr="000329FE">
        <w:t>Central Regional Forensic Community Mental Health Service.</w:t>
      </w:r>
    </w:p>
    <w:p w14:paraId="40E4AE82" w14:textId="77777777" w:rsidR="009636B7" w:rsidRPr="000329FE" w:rsidRDefault="009636B7" w:rsidP="009636B7">
      <w:pPr>
        <w:pStyle w:val="References"/>
      </w:pPr>
      <w:r w:rsidRPr="000329FE">
        <w:t xml:space="preserve">Childs L, Brinded P. 2002. Rehabilitation of the mentally disordered offender. </w:t>
      </w:r>
      <w:r w:rsidRPr="000329FE">
        <w:rPr>
          <w:i/>
          <w:iCs/>
        </w:rPr>
        <w:t xml:space="preserve">Australian Psychologist </w:t>
      </w:r>
      <w:r w:rsidRPr="00561492">
        <w:t>37</w:t>
      </w:r>
      <w:r w:rsidRPr="000329FE">
        <w:t>(3)</w:t>
      </w:r>
      <w:r>
        <w:t>:</w:t>
      </w:r>
      <w:r w:rsidRPr="000329FE">
        <w:t xml:space="preserve"> 229–36. </w:t>
      </w:r>
      <w:r>
        <w:t>DOI</w:t>
      </w:r>
      <w:r w:rsidRPr="000329FE">
        <w:t>:</w:t>
      </w:r>
      <w:r>
        <w:t xml:space="preserve"> </w:t>
      </w:r>
      <w:r w:rsidRPr="000329FE">
        <w:t>10.1080/00050060210001706916</w:t>
      </w:r>
      <w:r>
        <w:t xml:space="preserve"> (11 October 2021).</w:t>
      </w:r>
    </w:p>
    <w:p w14:paraId="20077AE2" w14:textId="77777777" w:rsidR="009636B7" w:rsidRPr="000329FE" w:rsidRDefault="009636B7" w:rsidP="009636B7">
      <w:pPr>
        <w:pStyle w:val="References"/>
      </w:pPr>
      <w:r w:rsidRPr="000329FE">
        <w:t xml:space="preserve">Chung MC, Cumella S, Wensley J, </w:t>
      </w:r>
      <w:r w:rsidR="00AD0D58">
        <w:t>et al</w:t>
      </w:r>
      <w:r w:rsidRPr="000329FE">
        <w:t xml:space="preserve">. 1998. A description of a forensic diversion service in one city in the United Kingdom. </w:t>
      </w:r>
      <w:r w:rsidRPr="000329FE">
        <w:rPr>
          <w:i/>
          <w:iCs/>
        </w:rPr>
        <w:t xml:space="preserve">Medicine, Science and the Law </w:t>
      </w:r>
      <w:r w:rsidRPr="00561492">
        <w:t>38</w:t>
      </w:r>
      <w:r w:rsidRPr="000329FE">
        <w:t>(3)</w:t>
      </w:r>
      <w:r>
        <w:t>:</w:t>
      </w:r>
      <w:r w:rsidRPr="000329FE">
        <w:t xml:space="preserve"> 242–50. </w:t>
      </w:r>
      <w:r>
        <w:t>DOI</w:t>
      </w:r>
      <w:r w:rsidRPr="000329FE">
        <w:t>:</w:t>
      </w:r>
      <w:r>
        <w:t xml:space="preserve"> </w:t>
      </w:r>
      <w:r w:rsidRPr="000329FE">
        <w:t>10.1177/002580249803800311</w:t>
      </w:r>
      <w:r>
        <w:t xml:space="preserve"> (accessed 26 October 2021).</w:t>
      </w:r>
    </w:p>
    <w:p w14:paraId="5A01F8C8" w14:textId="77777777" w:rsidR="009636B7" w:rsidRPr="000329FE" w:rsidRDefault="009636B7" w:rsidP="009636B7">
      <w:pPr>
        <w:pStyle w:val="References"/>
      </w:pPr>
      <w:r w:rsidRPr="000329FE">
        <w:t xml:space="preserve">Chung MC, Cumella S, Wensley J, </w:t>
      </w:r>
      <w:r w:rsidR="00AD0D58">
        <w:t>et al</w:t>
      </w:r>
      <w:r w:rsidRPr="000329FE">
        <w:t xml:space="preserve">. 1999. The outcome of a court diversion scheme: Six month follow up. </w:t>
      </w:r>
      <w:r w:rsidRPr="000329FE">
        <w:rPr>
          <w:i/>
          <w:iCs/>
        </w:rPr>
        <w:t xml:space="preserve">European Journal of Psychiatry </w:t>
      </w:r>
      <w:r w:rsidRPr="00561492">
        <w:t>13</w:t>
      </w:r>
      <w:r w:rsidRPr="000329FE">
        <w:t>(3)</w:t>
      </w:r>
      <w:r>
        <w:t>:</w:t>
      </w:r>
      <w:r w:rsidRPr="000329FE">
        <w:t xml:space="preserve"> 161–75.</w:t>
      </w:r>
    </w:p>
    <w:p w14:paraId="18B1F1D7" w14:textId="77777777" w:rsidR="009636B7" w:rsidRPr="000329FE" w:rsidRDefault="009636B7" w:rsidP="009636B7">
      <w:pPr>
        <w:pStyle w:val="References"/>
      </w:pPr>
      <w:r w:rsidRPr="000329FE">
        <w:rPr>
          <w:shd w:val="clear" w:color="auto" w:fill="FFFFFF"/>
        </w:rPr>
        <w:t>Clark D. 2013. Non-custodial sentences and mentally disordered offenders. In K</w:t>
      </w:r>
      <w:r w:rsidR="00D4751F">
        <w:rPr>
          <w:shd w:val="clear" w:color="auto" w:fill="FFFFFF"/>
        </w:rPr>
        <w:t> </w:t>
      </w:r>
      <w:r w:rsidRPr="000329FE">
        <w:rPr>
          <w:shd w:val="clear" w:color="auto" w:fill="FFFFFF"/>
        </w:rPr>
        <w:t>Soothill, P Rogers, M</w:t>
      </w:r>
      <w:r w:rsidR="00F74BB4">
        <w:rPr>
          <w:shd w:val="clear" w:color="auto" w:fill="FFFFFF"/>
        </w:rPr>
        <w:t xml:space="preserve"> </w:t>
      </w:r>
      <w:r w:rsidRPr="000329FE">
        <w:rPr>
          <w:shd w:val="clear" w:color="auto" w:fill="FFFFFF"/>
        </w:rPr>
        <w:t>Dolan (</w:t>
      </w:r>
      <w:r>
        <w:rPr>
          <w:shd w:val="clear" w:color="auto" w:fill="FFFFFF"/>
        </w:rPr>
        <w:t>e</w:t>
      </w:r>
      <w:r w:rsidRPr="000329FE">
        <w:rPr>
          <w:shd w:val="clear" w:color="auto" w:fill="FFFFFF"/>
        </w:rPr>
        <w:t xml:space="preserve">ds), </w:t>
      </w:r>
      <w:r w:rsidRPr="000329FE">
        <w:rPr>
          <w:i/>
          <w:iCs/>
          <w:shd w:val="clear" w:color="auto" w:fill="FFFFFF"/>
        </w:rPr>
        <w:t xml:space="preserve">Handbook of </w:t>
      </w:r>
      <w:r>
        <w:rPr>
          <w:i/>
          <w:iCs/>
          <w:shd w:val="clear" w:color="auto" w:fill="FFFFFF"/>
        </w:rPr>
        <w:t>F</w:t>
      </w:r>
      <w:r w:rsidRPr="000329FE">
        <w:rPr>
          <w:i/>
          <w:iCs/>
          <w:shd w:val="clear" w:color="auto" w:fill="FFFFFF"/>
        </w:rPr>
        <w:t xml:space="preserve">orensic </w:t>
      </w:r>
      <w:r>
        <w:rPr>
          <w:i/>
          <w:iCs/>
          <w:shd w:val="clear" w:color="auto" w:fill="FFFFFF"/>
        </w:rPr>
        <w:t>M</w:t>
      </w:r>
      <w:r w:rsidRPr="000329FE">
        <w:rPr>
          <w:i/>
          <w:iCs/>
          <w:shd w:val="clear" w:color="auto" w:fill="FFFFFF"/>
        </w:rPr>
        <w:t xml:space="preserve">ental </w:t>
      </w:r>
      <w:r>
        <w:rPr>
          <w:i/>
          <w:iCs/>
          <w:shd w:val="clear" w:color="auto" w:fill="FFFFFF"/>
        </w:rPr>
        <w:t>H</w:t>
      </w:r>
      <w:r w:rsidRPr="000329FE">
        <w:rPr>
          <w:i/>
          <w:iCs/>
          <w:shd w:val="clear" w:color="auto" w:fill="FFFFFF"/>
        </w:rPr>
        <w:t>ealth</w:t>
      </w:r>
      <w:r w:rsidRPr="000329FE">
        <w:rPr>
          <w:shd w:val="clear" w:color="auto" w:fill="FFFFFF"/>
        </w:rPr>
        <w:t xml:space="preserve"> (2</w:t>
      </w:r>
      <w:r w:rsidRPr="00561492">
        <w:rPr>
          <w:shd w:val="clear" w:color="auto" w:fill="FFFFFF"/>
        </w:rPr>
        <w:t>nd</w:t>
      </w:r>
      <w:r w:rsidRPr="000329FE">
        <w:rPr>
          <w:shd w:val="clear" w:color="auto" w:fill="FFFFFF"/>
        </w:rPr>
        <w:t xml:space="preserve"> ed, pp.</w:t>
      </w:r>
      <w:r w:rsidR="00D4751F">
        <w:rPr>
          <w:shd w:val="clear" w:color="auto" w:fill="FFFFFF"/>
        </w:rPr>
        <w:t> </w:t>
      </w:r>
      <w:r w:rsidRPr="000329FE">
        <w:rPr>
          <w:shd w:val="clear" w:color="auto" w:fill="FFFFFF"/>
        </w:rPr>
        <w:t>144–74). London: Routledge.</w:t>
      </w:r>
    </w:p>
    <w:p w14:paraId="7D978F22" w14:textId="77777777" w:rsidR="009636B7" w:rsidRPr="000329FE" w:rsidRDefault="009636B7" w:rsidP="009636B7">
      <w:pPr>
        <w:pStyle w:val="References"/>
      </w:pPr>
      <w:r w:rsidRPr="000329FE">
        <w:t xml:space="preserve">Clarke C, Lumbard D, Sambrook S, </w:t>
      </w:r>
      <w:r w:rsidR="00AD0D58">
        <w:t>et al</w:t>
      </w:r>
      <w:r w:rsidRPr="000329FE">
        <w:t xml:space="preserve">. 2016. What does recovery mean to a forensic mental health patient? A systematic review and narrative synthesis of the qualitative literature. </w:t>
      </w:r>
      <w:r w:rsidRPr="000329FE">
        <w:rPr>
          <w:i/>
          <w:iCs/>
        </w:rPr>
        <w:t xml:space="preserve">Journal of Forensic Psychiatry and Psychology </w:t>
      </w:r>
      <w:r w:rsidRPr="00561492">
        <w:t>27</w:t>
      </w:r>
      <w:r w:rsidRPr="000329FE">
        <w:t>(1)</w:t>
      </w:r>
      <w:r>
        <w:t>:</w:t>
      </w:r>
      <w:r w:rsidRPr="000329FE">
        <w:t xml:space="preserve"> 38–54. </w:t>
      </w:r>
      <w:r>
        <w:t>DOI</w:t>
      </w:r>
      <w:r w:rsidRPr="000329FE">
        <w:t>:</w:t>
      </w:r>
      <w:r>
        <w:t xml:space="preserve"> </w:t>
      </w:r>
      <w:r w:rsidRPr="000329FE">
        <w:t>10.1080/14789949.2015.1102311</w:t>
      </w:r>
      <w:r>
        <w:t xml:space="preserve"> (accessed 12 October 2021).</w:t>
      </w:r>
    </w:p>
    <w:p w14:paraId="3A5AF6E0" w14:textId="77777777" w:rsidR="009636B7" w:rsidRPr="000329FE" w:rsidRDefault="009636B7" w:rsidP="009636B7">
      <w:pPr>
        <w:pStyle w:val="References"/>
      </w:pPr>
      <w:r w:rsidRPr="000329FE">
        <w:t>Collier S, Friedman S</w:t>
      </w:r>
      <w:r>
        <w:t>.</w:t>
      </w:r>
      <w:r w:rsidRPr="000329FE">
        <w:t xml:space="preserve"> 2016. Mental </w:t>
      </w:r>
      <w:r>
        <w:t>i</w:t>
      </w:r>
      <w:r w:rsidRPr="000329FE">
        <w:t>llness among women referred for psychiatric services in a New Zealand women</w:t>
      </w:r>
      <w:r w:rsidR="00EE0ADB">
        <w:t>’</w:t>
      </w:r>
      <w:r w:rsidRPr="000329FE">
        <w:t xml:space="preserve">s prison. </w:t>
      </w:r>
      <w:r w:rsidRPr="000329FE">
        <w:rPr>
          <w:i/>
          <w:iCs/>
        </w:rPr>
        <w:t xml:space="preserve">Behavioral Sciences </w:t>
      </w:r>
      <w:r>
        <w:rPr>
          <w:i/>
          <w:iCs/>
        </w:rPr>
        <w:t xml:space="preserve">&amp; </w:t>
      </w:r>
      <w:r w:rsidRPr="000329FE">
        <w:rPr>
          <w:i/>
          <w:iCs/>
        </w:rPr>
        <w:t xml:space="preserve">the Law </w:t>
      </w:r>
      <w:r w:rsidRPr="00561492">
        <w:t>34</w:t>
      </w:r>
      <w:r>
        <w:t>:</w:t>
      </w:r>
      <w:r w:rsidRPr="000329FE">
        <w:t xml:space="preserve"> 539–50. </w:t>
      </w:r>
      <w:r>
        <w:t xml:space="preserve">URL: </w:t>
      </w:r>
      <w:hyperlink r:id="rId60" w:history="1">
        <w:r w:rsidR="00D4751F" w:rsidRPr="00D4751F">
          <w:rPr>
            <w:rStyle w:val="Hyperlink"/>
          </w:rPr>
          <w:t>https://doi.org/10.1002/bsl.2238</w:t>
        </w:r>
      </w:hyperlink>
      <w:r>
        <w:t xml:space="preserve"> (accessed 11 October 2021).</w:t>
      </w:r>
    </w:p>
    <w:p w14:paraId="4EBDBC07" w14:textId="77777777" w:rsidR="009636B7" w:rsidRPr="000329FE" w:rsidRDefault="009636B7" w:rsidP="009636B7">
      <w:pPr>
        <w:pStyle w:val="References"/>
      </w:pPr>
      <w:r w:rsidRPr="000329FE">
        <w:t xml:space="preserve">Connell C. 2016. Forensic occupational therapy to reduce risk of reoffending: A survey of practice in the United Kingdom. </w:t>
      </w:r>
      <w:r w:rsidRPr="000329FE">
        <w:rPr>
          <w:i/>
          <w:iCs/>
        </w:rPr>
        <w:t xml:space="preserve">Journal of Forensic Psychiatry and Psychology </w:t>
      </w:r>
      <w:r w:rsidRPr="00561492">
        <w:t>27</w:t>
      </w:r>
      <w:r w:rsidRPr="000329FE">
        <w:t>(6)</w:t>
      </w:r>
      <w:r>
        <w:t>:</w:t>
      </w:r>
      <w:r w:rsidR="00D4751F">
        <w:t> </w:t>
      </w:r>
      <w:r w:rsidRPr="000329FE">
        <w:t xml:space="preserve">907–28. </w:t>
      </w:r>
      <w:r>
        <w:t>DOI</w:t>
      </w:r>
      <w:r w:rsidRPr="000329FE">
        <w:t>:</w:t>
      </w:r>
      <w:r>
        <w:t xml:space="preserve"> </w:t>
      </w:r>
      <w:r w:rsidRPr="000329FE">
        <w:t>10.1080/14789949.2016.1237535</w:t>
      </w:r>
      <w:r>
        <w:t xml:space="preserve"> (accessed 14 October 2021).</w:t>
      </w:r>
    </w:p>
    <w:p w14:paraId="5FE32B69" w14:textId="77777777" w:rsidR="009636B7" w:rsidRPr="000329FE" w:rsidRDefault="009636B7" w:rsidP="009636B7">
      <w:pPr>
        <w:pStyle w:val="References"/>
      </w:pPr>
      <w:r w:rsidRPr="000329FE">
        <w:t xml:space="preserve">Cook NR, Phillips BN, Sadler D. 2005. The tidal model as experienced by patients and nurses in a regional forensic unit. </w:t>
      </w:r>
      <w:r w:rsidRPr="000329FE">
        <w:rPr>
          <w:i/>
          <w:iCs/>
        </w:rPr>
        <w:t xml:space="preserve">Journal of Psychiatric and Mental Health Nursing </w:t>
      </w:r>
      <w:r w:rsidRPr="00561492">
        <w:t>12</w:t>
      </w:r>
      <w:r>
        <w:t>:</w:t>
      </w:r>
      <w:r w:rsidR="00D4751F">
        <w:t> </w:t>
      </w:r>
      <w:r w:rsidRPr="000329FE">
        <w:t xml:space="preserve">536–40. </w:t>
      </w:r>
      <w:r>
        <w:t>DOI</w:t>
      </w:r>
      <w:r w:rsidRPr="000329FE">
        <w:t>:</w:t>
      </w:r>
      <w:r>
        <w:t xml:space="preserve"> </w:t>
      </w:r>
      <w:r w:rsidRPr="000329FE">
        <w:t>10.1111/j.1365-2850.2005.00872.x</w:t>
      </w:r>
      <w:r>
        <w:t xml:space="preserve"> (accessed 12 October 2021).</w:t>
      </w:r>
    </w:p>
    <w:p w14:paraId="2905574D" w14:textId="77777777" w:rsidR="009636B7" w:rsidRPr="000329FE" w:rsidRDefault="009636B7" w:rsidP="009636B7">
      <w:pPr>
        <w:pStyle w:val="References"/>
      </w:pPr>
      <w:r w:rsidRPr="000329FE">
        <w:t xml:space="preserve">Coombs T, Taylor M, Pirkis J. 2011. Benchmarking forensic mental health organizations. </w:t>
      </w:r>
      <w:r w:rsidRPr="000329FE">
        <w:rPr>
          <w:i/>
          <w:iCs/>
        </w:rPr>
        <w:t xml:space="preserve">Australasian Psychiatry </w:t>
      </w:r>
      <w:r w:rsidRPr="00561492">
        <w:t>19</w:t>
      </w:r>
      <w:r w:rsidRPr="000329FE">
        <w:t>(2)</w:t>
      </w:r>
      <w:r>
        <w:t>:</w:t>
      </w:r>
      <w:r w:rsidRPr="000329FE">
        <w:t xml:space="preserve"> 133–42. </w:t>
      </w:r>
      <w:r>
        <w:t>DOI</w:t>
      </w:r>
      <w:r w:rsidRPr="000329FE">
        <w:t>:</w:t>
      </w:r>
      <w:r>
        <w:t xml:space="preserve"> </w:t>
      </w:r>
      <w:r w:rsidRPr="000329FE">
        <w:t>10.3109/10398562.2011.562299</w:t>
      </w:r>
      <w:r>
        <w:t xml:space="preserve"> (accessed 27 October 2021).</w:t>
      </w:r>
    </w:p>
    <w:p w14:paraId="4CF2FDFD" w14:textId="77777777" w:rsidR="009636B7" w:rsidRPr="000329FE" w:rsidRDefault="009636B7" w:rsidP="009636B7">
      <w:pPr>
        <w:pStyle w:val="References"/>
      </w:pPr>
      <w:r w:rsidRPr="000329FE">
        <w:rPr>
          <w:shd w:val="clear" w:color="auto" w:fill="FFFFFF"/>
        </w:rPr>
        <w:t>Cortoni F, Gannon TA. 2013. What works with female sexual offenders. In LA Craig, L</w:t>
      </w:r>
      <w:r w:rsidR="00D4751F">
        <w:rPr>
          <w:shd w:val="clear" w:color="auto" w:fill="FFFFFF"/>
        </w:rPr>
        <w:t> </w:t>
      </w:r>
      <w:r w:rsidRPr="000329FE">
        <w:rPr>
          <w:shd w:val="clear" w:color="auto" w:fill="FFFFFF"/>
        </w:rPr>
        <w:t>Dixon, TA Gannon (</w:t>
      </w:r>
      <w:r>
        <w:rPr>
          <w:shd w:val="clear" w:color="auto" w:fill="FFFFFF"/>
        </w:rPr>
        <w:t>e</w:t>
      </w:r>
      <w:r w:rsidRPr="000329FE">
        <w:rPr>
          <w:shd w:val="clear" w:color="auto" w:fill="FFFFFF"/>
        </w:rPr>
        <w:t xml:space="preserve">ds), </w:t>
      </w:r>
      <w:r w:rsidRPr="000329FE">
        <w:rPr>
          <w:i/>
          <w:iCs/>
        </w:rPr>
        <w:t xml:space="preserve">What </w:t>
      </w:r>
      <w:r>
        <w:rPr>
          <w:i/>
          <w:iCs/>
        </w:rPr>
        <w:t>W</w:t>
      </w:r>
      <w:r w:rsidRPr="000329FE">
        <w:rPr>
          <w:i/>
          <w:iCs/>
        </w:rPr>
        <w:t xml:space="preserve">orks in </w:t>
      </w:r>
      <w:r>
        <w:rPr>
          <w:i/>
          <w:iCs/>
        </w:rPr>
        <w:t>O</w:t>
      </w:r>
      <w:r w:rsidRPr="000329FE">
        <w:rPr>
          <w:i/>
          <w:iCs/>
        </w:rPr>
        <w:t xml:space="preserve">ffender </w:t>
      </w:r>
      <w:r>
        <w:rPr>
          <w:i/>
          <w:iCs/>
        </w:rPr>
        <w:t>R</w:t>
      </w:r>
      <w:r w:rsidRPr="000329FE">
        <w:rPr>
          <w:i/>
          <w:iCs/>
        </w:rPr>
        <w:t xml:space="preserve">ehabilitation: An evidence-based approach to assessment and treatment </w:t>
      </w:r>
      <w:r w:rsidRPr="000329FE">
        <w:t>(pp. 271–84)</w:t>
      </w:r>
      <w:r w:rsidRPr="000329FE">
        <w:rPr>
          <w:i/>
          <w:iCs/>
        </w:rPr>
        <w:t>.</w:t>
      </w:r>
      <w:r w:rsidRPr="000329FE">
        <w:t xml:space="preserve"> Hoboken, NJ: John Wiley </w:t>
      </w:r>
      <w:r>
        <w:t>&amp;</w:t>
      </w:r>
      <w:r w:rsidRPr="000329FE">
        <w:t xml:space="preserve"> Sons.</w:t>
      </w:r>
    </w:p>
    <w:p w14:paraId="2106A4A9" w14:textId="77777777" w:rsidR="009636B7" w:rsidRPr="000329FE" w:rsidRDefault="009636B7" w:rsidP="009636B7">
      <w:pPr>
        <w:pStyle w:val="References"/>
      </w:pPr>
      <w:r w:rsidRPr="000329FE">
        <w:t xml:space="preserve">Cosden M, Ellens JK, Schnell JL, </w:t>
      </w:r>
      <w:r w:rsidR="00AD0D58">
        <w:t>et al</w:t>
      </w:r>
      <w:r w:rsidRPr="000329FE">
        <w:t xml:space="preserve">. 2003. Evaluation of a mental health treatment court with assertive community treatment. </w:t>
      </w:r>
      <w:r w:rsidRPr="000329FE">
        <w:rPr>
          <w:i/>
          <w:iCs/>
        </w:rPr>
        <w:t xml:space="preserve">Behavioral Sciences </w:t>
      </w:r>
      <w:r>
        <w:rPr>
          <w:i/>
          <w:iCs/>
        </w:rPr>
        <w:t>&amp;</w:t>
      </w:r>
      <w:r w:rsidRPr="000329FE">
        <w:rPr>
          <w:i/>
          <w:iCs/>
        </w:rPr>
        <w:t xml:space="preserve"> the Law </w:t>
      </w:r>
      <w:r w:rsidRPr="00561492">
        <w:t>21</w:t>
      </w:r>
      <w:r w:rsidRPr="000329FE">
        <w:t>(4)</w:t>
      </w:r>
      <w:r>
        <w:t>:</w:t>
      </w:r>
      <w:r w:rsidRPr="000329FE">
        <w:t xml:space="preserve"> 415–27. </w:t>
      </w:r>
      <w:r>
        <w:t>DOI</w:t>
      </w:r>
      <w:r w:rsidRPr="000329FE">
        <w:t>:</w:t>
      </w:r>
      <w:r>
        <w:t xml:space="preserve"> </w:t>
      </w:r>
      <w:r w:rsidRPr="000329FE">
        <w:t>10.1002/bsl.542</w:t>
      </w:r>
      <w:r>
        <w:t xml:space="preserve"> (accessed 27 October 2021).</w:t>
      </w:r>
    </w:p>
    <w:p w14:paraId="16E7A164" w14:textId="77777777" w:rsidR="00A0717A" w:rsidRPr="000329FE" w:rsidRDefault="009636B7" w:rsidP="009636B7">
      <w:pPr>
        <w:pStyle w:val="References"/>
      </w:pPr>
      <w:r w:rsidRPr="000329FE">
        <w:rPr>
          <w:shd w:val="clear" w:color="auto" w:fill="FFFFFF"/>
        </w:rPr>
        <w:t>Craig LA, Dixon L, Gannon TA</w:t>
      </w:r>
      <w:r w:rsidRPr="000329FE">
        <w:t xml:space="preserve"> (</w:t>
      </w:r>
      <w:r>
        <w:t>e</w:t>
      </w:r>
      <w:r w:rsidRPr="000329FE">
        <w:t>ds). 2013.</w:t>
      </w:r>
      <w:r>
        <w:t xml:space="preserve"> </w:t>
      </w:r>
      <w:r w:rsidRPr="000329FE">
        <w:rPr>
          <w:i/>
          <w:iCs/>
        </w:rPr>
        <w:t xml:space="preserve">What </w:t>
      </w:r>
      <w:r>
        <w:rPr>
          <w:i/>
          <w:iCs/>
        </w:rPr>
        <w:t>W</w:t>
      </w:r>
      <w:r w:rsidRPr="000329FE">
        <w:rPr>
          <w:i/>
          <w:iCs/>
        </w:rPr>
        <w:t xml:space="preserve">orks in </w:t>
      </w:r>
      <w:r>
        <w:rPr>
          <w:i/>
          <w:iCs/>
        </w:rPr>
        <w:t>O</w:t>
      </w:r>
      <w:r w:rsidRPr="000329FE">
        <w:rPr>
          <w:i/>
          <w:iCs/>
        </w:rPr>
        <w:t xml:space="preserve">ffender </w:t>
      </w:r>
      <w:r>
        <w:rPr>
          <w:i/>
          <w:iCs/>
        </w:rPr>
        <w:t>R</w:t>
      </w:r>
      <w:r w:rsidRPr="000329FE">
        <w:rPr>
          <w:i/>
          <w:iCs/>
        </w:rPr>
        <w:t>ehabilitation: An</w:t>
      </w:r>
      <w:r w:rsidR="00D4751F">
        <w:rPr>
          <w:i/>
          <w:iCs/>
        </w:rPr>
        <w:t> </w:t>
      </w:r>
      <w:r w:rsidRPr="000329FE">
        <w:rPr>
          <w:i/>
          <w:iCs/>
        </w:rPr>
        <w:t>evidence-based approach to assessment and treatment</w:t>
      </w:r>
      <w:r w:rsidRPr="00561492">
        <w:t>.</w:t>
      </w:r>
      <w:r w:rsidRPr="000329FE">
        <w:t xml:space="preserve"> Hoboken, NJ: John Wiley &amp; Sons.</w:t>
      </w:r>
    </w:p>
    <w:p w14:paraId="4F27436E" w14:textId="77777777" w:rsidR="00EE0ADB" w:rsidRDefault="009636B7" w:rsidP="009636B7">
      <w:pPr>
        <w:pStyle w:val="References"/>
      </w:pPr>
      <w:r w:rsidRPr="00075571">
        <w:lastRenderedPageBreak/>
        <w:t xml:space="preserve">Craissati J, Taylor PJ. 2014. Forensic mental health services in the United Kingdom and Ireland. In J Gunn </w:t>
      </w:r>
      <w:r>
        <w:t>and</w:t>
      </w:r>
      <w:r w:rsidRPr="00075571">
        <w:t xml:space="preserve"> PJ Taylor (</w:t>
      </w:r>
      <w:r>
        <w:t>e</w:t>
      </w:r>
      <w:r w:rsidRPr="00075571">
        <w:t xml:space="preserve">ds), </w:t>
      </w:r>
      <w:r w:rsidRPr="00075571">
        <w:rPr>
          <w:i/>
          <w:iCs/>
        </w:rPr>
        <w:t xml:space="preserve">Forensic </w:t>
      </w:r>
      <w:r>
        <w:rPr>
          <w:i/>
          <w:iCs/>
        </w:rPr>
        <w:t>P</w:t>
      </w:r>
      <w:r w:rsidRPr="00075571">
        <w:rPr>
          <w:i/>
          <w:iCs/>
        </w:rPr>
        <w:t xml:space="preserve">sychiatry: Clinical, legal and ethical issues </w:t>
      </w:r>
      <w:r w:rsidRPr="00075571">
        <w:t>(2</w:t>
      </w:r>
      <w:r w:rsidRPr="00561492">
        <w:t>nd</w:t>
      </w:r>
      <w:r w:rsidRPr="00075571">
        <w:rPr>
          <w:vertAlign w:val="superscript"/>
        </w:rPr>
        <w:t xml:space="preserve"> </w:t>
      </w:r>
      <w:r w:rsidRPr="00075571">
        <w:t>ed, pp. 587–618)</w:t>
      </w:r>
      <w:r w:rsidRPr="00075571">
        <w:rPr>
          <w:i/>
          <w:iCs/>
        </w:rPr>
        <w:t xml:space="preserve">. </w:t>
      </w:r>
      <w:r w:rsidRPr="00075571">
        <w:t>Boca Raton, FL: CRC Press.</w:t>
      </w:r>
    </w:p>
    <w:p w14:paraId="3052C574" w14:textId="77777777" w:rsidR="009636B7" w:rsidRPr="00DD29A3" w:rsidRDefault="009636B7" w:rsidP="009636B7">
      <w:pPr>
        <w:pStyle w:val="References"/>
      </w:pPr>
      <w:r w:rsidRPr="001A28C6">
        <w:rPr>
          <w:shd w:val="clear" w:color="auto" w:fill="FFFFFF"/>
        </w:rPr>
        <w:t xml:space="preserve">Cuddeback GS, Morrissey JP, Cusack KJ. 2008. </w:t>
      </w:r>
      <w:r w:rsidRPr="001A28C6">
        <w:t xml:space="preserve">How many forensic assertive community treatment teams do we need? </w:t>
      </w:r>
      <w:r w:rsidRPr="00E42BE0">
        <w:rPr>
          <w:i/>
          <w:iCs/>
          <w:shd w:val="clear" w:color="auto" w:fill="FFFFFF"/>
        </w:rPr>
        <w:t>Psychiatric Services</w:t>
      </w:r>
      <w:r w:rsidRPr="00561492">
        <w:rPr>
          <w:shd w:val="clear" w:color="auto" w:fill="FFFFFF"/>
        </w:rPr>
        <w:t xml:space="preserve"> 59(2)</w:t>
      </w:r>
      <w:r>
        <w:rPr>
          <w:shd w:val="clear" w:color="auto" w:fill="FFFFFF"/>
        </w:rPr>
        <w:t>:</w:t>
      </w:r>
      <w:r w:rsidRPr="00561492">
        <w:rPr>
          <w:shd w:val="clear" w:color="auto" w:fill="FFFFFF"/>
        </w:rPr>
        <w:t xml:space="preserve"> 205–8.</w:t>
      </w:r>
      <w:r w:rsidRPr="00E42BE0">
        <w:rPr>
          <w:i/>
          <w:iCs/>
          <w:shd w:val="clear" w:color="auto" w:fill="FFFFFF"/>
        </w:rPr>
        <w:t xml:space="preserve"> </w:t>
      </w:r>
      <w:r>
        <w:rPr>
          <w:shd w:val="clear" w:color="auto" w:fill="FFFFFF"/>
        </w:rPr>
        <w:t>DOI</w:t>
      </w:r>
      <w:r w:rsidRPr="00DD29A3">
        <w:rPr>
          <w:shd w:val="clear" w:color="auto" w:fill="FFFFFF"/>
        </w:rPr>
        <w:t>:</w:t>
      </w:r>
      <w:r>
        <w:rPr>
          <w:shd w:val="clear" w:color="auto" w:fill="FFFFFF"/>
        </w:rPr>
        <w:t xml:space="preserve"> </w:t>
      </w:r>
      <w:r w:rsidRPr="00DD29A3">
        <w:rPr>
          <w:shd w:val="clear" w:color="auto" w:fill="FFFFFF"/>
        </w:rPr>
        <w:t>10.1176/ps.2008.59.2.205</w:t>
      </w:r>
      <w:r>
        <w:rPr>
          <w:shd w:val="clear" w:color="auto" w:fill="FFFFFF"/>
        </w:rPr>
        <w:t xml:space="preserve"> (accessed 14 October 2021).</w:t>
      </w:r>
    </w:p>
    <w:p w14:paraId="726DBB98" w14:textId="77777777" w:rsidR="009636B7" w:rsidRPr="000329FE" w:rsidRDefault="009636B7" w:rsidP="009636B7">
      <w:pPr>
        <w:pStyle w:val="References"/>
      </w:pPr>
      <w:r w:rsidRPr="00482A5B">
        <w:rPr>
          <w:shd w:val="clear" w:color="auto" w:fill="FFFFFF"/>
        </w:rPr>
        <w:t xml:space="preserve">Cuddeback GS, Morrissey JP, Cusack KJ, </w:t>
      </w:r>
      <w:r w:rsidR="00AD0D58">
        <w:rPr>
          <w:shd w:val="clear" w:color="auto" w:fill="FFFFFF"/>
        </w:rPr>
        <w:t>et al</w:t>
      </w:r>
      <w:r w:rsidRPr="00482A5B">
        <w:rPr>
          <w:shd w:val="clear" w:color="auto" w:fill="FFFFFF"/>
        </w:rPr>
        <w:t xml:space="preserve">. 2009. </w:t>
      </w:r>
      <w:r w:rsidRPr="00A537F0">
        <w:t xml:space="preserve">Challenges to developing forensic assertive community treatment. </w:t>
      </w:r>
      <w:r w:rsidRPr="00FB779C">
        <w:rPr>
          <w:i/>
          <w:iCs/>
        </w:rPr>
        <w:t xml:space="preserve">American Journal of Psychiatric Rehabilitation </w:t>
      </w:r>
      <w:r w:rsidRPr="00561492">
        <w:t>12</w:t>
      </w:r>
      <w:r w:rsidRPr="000329FE">
        <w:t>(3)</w:t>
      </w:r>
      <w:r>
        <w:t>:</w:t>
      </w:r>
      <w:r w:rsidRPr="000329FE">
        <w:t xml:space="preserve"> 225–46. </w:t>
      </w:r>
      <w:r>
        <w:t>DOI</w:t>
      </w:r>
      <w:r w:rsidRPr="000329FE">
        <w:t>:</w:t>
      </w:r>
      <w:r>
        <w:t xml:space="preserve"> </w:t>
      </w:r>
      <w:r w:rsidRPr="000329FE">
        <w:t>10.1080/15487760903066362</w:t>
      </w:r>
      <w:r>
        <w:t xml:space="preserve"> (accessed 14 October 2021).</w:t>
      </w:r>
    </w:p>
    <w:p w14:paraId="76C2A8DB" w14:textId="77777777" w:rsidR="009636B7" w:rsidRPr="000329FE" w:rsidRDefault="009636B7" w:rsidP="009636B7">
      <w:pPr>
        <w:pStyle w:val="References"/>
      </w:pPr>
      <w:r w:rsidRPr="000329FE">
        <w:rPr>
          <w:shd w:val="clear" w:color="auto" w:fill="FFFFFF"/>
        </w:rPr>
        <w:t xml:space="preserve">Cumming I. 2018. Psychiatric treatment in prison. </w:t>
      </w:r>
      <w:r w:rsidRPr="000329FE">
        <w:t>In BK Puri</w:t>
      </w:r>
      <w:r>
        <w:t>,</w:t>
      </w:r>
      <w:r w:rsidRPr="000329FE">
        <w:t xml:space="preserve"> IH Treasaden (</w:t>
      </w:r>
      <w:r>
        <w:t>e</w:t>
      </w:r>
      <w:r w:rsidRPr="000329FE">
        <w:t xml:space="preserve">ds), </w:t>
      </w:r>
      <w:r w:rsidRPr="000329FE">
        <w:rPr>
          <w:i/>
          <w:iCs/>
        </w:rPr>
        <w:t xml:space="preserve">Forensic </w:t>
      </w:r>
      <w:r>
        <w:rPr>
          <w:i/>
          <w:iCs/>
        </w:rPr>
        <w:t>P</w:t>
      </w:r>
      <w:r w:rsidRPr="000329FE">
        <w:rPr>
          <w:i/>
          <w:iCs/>
        </w:rPr>
        <w:t>sychiatry: Fundamentals and clinical practice</w:t>
      </w:r>
      <w:r w:rsidRPr="000329FE">
        <w:t xml:space="preserve"> (pp. 823–8). Boca Raton, FL: CRC Press.</w:t>
      </w:r>
    </w:p>
    <w:p w14:paraId="24D4D677" w14:textId="77777777" w:rsidR="009636B7" w:rsidRPr="000329FE" w:rsidRDefault="009636B7" w:rsidP="009636B7">
      <w:pPr>
        <w:pStyle w:val="References"/>
      </w:pPr>
      <w:r w:rsidRPr="000329FE">
        <w:t xml:space="preserve">Cyr JJ, Paradis J. 2012. The forensic float nurse: A new concept </w:t>
      </w:r>
      <w:r>
        <w:t xml:space="preserve">in </w:t>
      </w:r>
      <w:r w:rsidRPr="000329FE">
        <w:t xml:space="preserve">the effective management of service delivery </w:t>
      </w:r>
      <w:r>
        <w:t xml:space="preserve">in </w:t>
      </w:r>
      <w:r w:rsidRPr="000329FE">
        <w:t xml:space="preserve">a forensic program. </w:t>
      </w:r>
      <w:r w:rsidRPr="000329FE">
        <w:rPr>
          <w:i/>
          <w:iCs/>
        </w:rPr>
        <w:t xml:space="preserve">Journal of Forensic Nursing </w:t>
      </w:r>
      <w:r w:rsidRPr="00561492">
        <w:t>8</w:t>
      </w:r>
      <w:r w:rsidRPr="000329FE">
        <w:t>(4)</w:t>
      </w:r>
      <w:r>
        <w:t>:</w:t>
      </w:r>
      <w:r w:rsidR="00D4751F">
        <w:t> </w:t>
      </w:r>
      <w:r w:rsidRPr="000329FE">
        <w:t xml:space="preserve">188–94. </w:t>
      </w:r>
      <w:r>
        <w:t>DOI</w:t>
      </w:r>
      <w:r w:rsidRPr="000329FE">
        <w:t>:</w:t>
      </w:r>
      <w:r>
        <w:t xml:space="preserve"> </w:t>
      </w:r>
      <w:r w:rsidRPr="000329FE">
        <w:t>10.1111/j.1939-3938.2012.01145.x</w:t>
      </w:r>
      <w:r>
        <w:t xml:space="preserve"> (accessed 26 October 2021).</w:t>
      </w:r>
    </w:p>
    <w:p w14:paraId="14346548" w14:textId="77777777" w:rsidR="009636B7" w:rsidRPr="000329FE" w:rsidRDefault="009636B7" w:rsidP="009636B7">
      <w:pPr>
        <w:pStyle w:val="References"/>
      </w:pPr>
      <w:r w:rsidRPr="000329FE">
        <w:t xml:space="preserve">Davidson F. 2015. </w:t>
      </w:r>
      <w:r w:rsidRPr="000329FE">
        <w:rPr>
          <w:i/>
          <w:iCs/>
        </w:rPr>
        <w:t xml:space="preserve">Mental </w:t>
      </w:r>
      <w:r>
        <w:rPr>
          <w:i/>
          <w:iCs/>
        </w:rPr>
        <w:t>H</w:t>
      </w:r>
      <w:r w:rsidRPr="000329FE">
        <w:rPr>
          <w:i/>
          <w:iCs/>
        </w:rPr>
        <w:t xml:space="preserve">ealth </w:t>
      </w:r>
      <w:r>
        <w:rPr>
          <w:i/>
          <w:iCs/>
        </w:rPr>
        <w:t>L</w:t>
      </w:r>
      <w:r w:rsidRPr="000329FE">
        <w:rPr>
          <w:i/>
          <w:iCs/>
        </w:rPr>
        <w:t xml:space="preserve">iaison and </w:t>
      </w:r>
      <w:r>
        <w:rPr>
          <w:i/>
          <w:iCs/>
        </w:rPr>
        <w:t>D</w:t>
      </w:r>
      <w:r w:rsidRPr="000329FE">
        <w:rPr>
          <w:i/>
          <w:iCs/>
        </w:rPr>
        <w:t>iversion: Court liaison services and mental health court programs in Australia</w:t>
      </w:r>
      <w:r w:rsidRPr="00561492">
        <w:t>.</w:t>
      </w:r>
      <w:r w:rsidRPr="000329FE">
        <w:t xml:space="preserve"> Sydney: Australian Centre for Research Excellence in Offender Health. </w:t>
      </w:r>
      <w:r>
        <w:t>URL:</w:t>
      </w:r>
      <w:r w:rsidRPr="000329FE">
        <w:rPr>
          <w:bCs/>
        </w:rPr>
        <w:t xml:space="preserve"> </w:t>
      </w:r>
      <w:hyperlink r:id="rId61" w:history="1">
        <w:r w:rsidR="00D4751F" w:rsidRPr="00D4751F">
          <w:rPr>
            <w:rStyle w:val="Hyperlink"/>
            <w:bCs/>
          </w:rPr>
          <w:t>https://offenderhealth.net.au/sites/default/files/strands_projects/Mental%20Health%20and%20Diversion%20National%20Report.pdf</w:t>
        </w:r>
      </w:hyperlink>
      <w:r>
        <w:t xml:space="preserve"> (accessed 26 October 2021).</w:t>
      </w:r>
    </w:p>
    <w:p w14:paraId="391E2AA9" w14:textId="77777777" w:rsidR="009636B7" w:rsidRPr="000329FE" w:rsidRDefault="009636B7" w:rsidP="009636B7">
      <w:pPr>
        <w:pStyle w:val="References"/>
      </w:pPr>
      <w:r w:rsidRPr="000329FE">
        <w:t xml:space="preserve">Davidson F. 2016. </w:t>
      </w:r>
      <w:r w:rsidRPr="000329FE">
        <w:rPr>
          <w:i/>
          <w:iCs/>
        </w:rPr>
        <w:t xml:space="preserve">Key </w:t>
      </w:r>
      <w:r>
        <w:rPr>
          <w:i/>
          <w:iCs/>
        </w:rPr>
        <w:t>P</w:t>
      </w:r>
      <w:r w:rsidRPr="000329FE">
        <w:rPr>
          <w:i/>
          <w:iCs/>
        </w:rPr>
        <w:t xml:space="preserve">erformance </w:t>
      </w:r>
      <w:r>
        <w:rPr>
          <w:i/>
          <w:iCs/>
        </w:rPr>
        <w:t>I</w:t>
      </w:r>
      <w:r w:rsidRPr="000329FE">
        <w:rPr>
          <w:i/>
          <w:iCs/>
        </w:rPr>
        <w:t xml:space="preserve">ndicators for Australian </w:t>
      </w:r>
      <w:r>
        <w:rPr>
          <w:i/>
          <w:iCs/>
        </w:rPr>
        <w:t>M</w:t>
      </w:r>
      <w:r w:rsidRPr="000329FE">
        <w:rPr>
          <w:i/>
          <w:iCs/>
        </w:rPr>
        <w:t xml:space="preserve">ental </w:t>
      </w:r>
      <w:r>
        <w:rPr>
          <w:i/>
          <w:iCs/>
        </w:rPr>
        <w:t>H</w:t>
      </w:r>
      <w:r w:rsidRPr="000329FE">
        <w:rPr>
          <w:i/>
          <w:iCs/>
        </w:rPr>
        <w:t xml:space="preserve">ealth </w:t>
      </w:r>
      <w:r>
        <w:rPr>
          <w:i/>
          <w:iCs/>
        </w:rPr>
        <w:t>C</w:t>
      </w:r>
      <w:r w:rsidRPr="000329FE">
        <w:rPr>
          <w:i/>
          <w:iCs/>
        </w:rPr>
        <w:t xml:space="preserve">ourt </w:t>
      </w:r>
      <w:r>
        <w:rPr>
          <w:i/>
          <w:iCs/>
        </w:rPr>
        <w:t>L</w:t>
      </w:r>
      <w:r w:rsidRPr="000329FE">
        <w:rPr>
          <w:i/>
          <w:iCs/>
        </w:rPr>
        <w:t xml:space="preserve">iaison </w:t>
      </w:r>
      <w:r>
        <w:rPr>
          <w:i/>
          <w:iCs/>
        </w:rPr>
        <w:t>S</w:t>
      </w:r>
      <w:r w:rsidRPr="000329FE">
        <w:rPr>
          <w:i/>
          <w:iCs/>
        </w:rPr>
        <w:t>ervices</w:t>
      </w:r>
      <w:r w:rsidRPr="000329FE">
        <w:t xml:space="preserve">. </w:t>
      </w:r>
      <w:r>
        <w:t xml:space="preserve">Sydney: </w:t>
      </w:r>
      <w:r w:rsidRPr="000329FE">
        <w:t xml:space="preserve">National Mental Health Court Liaison Service Performance Working Group </w:t>
      </w:r>
      <w:r>
        <w:t>and</w:t>
      </w:r>
      <w:r w:rsidRPr="000329FE">
        <w:t xml:space="preserve"> NHMRC Centre of Research Excellence in Offender Health. </w:t>
      </w:r>
      <w:r>
        <w:t>URL:</w:t>
      </w:r>
      <w:r w:rsidRPr="000329FE">
        <w:t xml:space="preserve"> </w:t>
      </w:r>
      <w:hyperlink r:id="rId62" w:history="1">
        <w:r w:rsidR="00000776" w:rsidRPr="00000776">
          <w:rPr>
            <w:rStyle w:val="Hyperlink"/>
          </w:rPr>
          <w:t>https://offenderhealth.net.au/sites/default/files/CLS%20Performance%20Framework%20and%20Measures%202016.pdf</w:t>
        </w:r>
      </w:hyperlink>
      <w:r>
        <w:t xml:space="preserve"> (accessed 26 October 2021).</w:t>
      </w:r>
    </w:p>
    <w:p w14:paraId="55577560" w14:textId="77777777" w:rsidR="009636B7" w:rsidRPr="000329FE" w:rsidRDefault="009636B7" w:rsidP="009636B7">
      <w:pPr>
        <w:pStyle w:val="References"/>
      </w:pPr>
      <w:r w:rsidRPr="000329FE">
        <w:t xml:space="preserve">Davidson F, Heffernan E, Greenberg D, </w:t>
      </w:r>
      <w:r w:rsidR="00AD0D58">
        <w:t>et al</w:t>
      </w:r>
      <w:r w:rsidRPr="000329FE">
        <w:t xml:space="preserve">. 2016. A critical review of mental health court liaison services in Australia: A first national survey. </w:t>
      </w:r>
      <w:r w:rsidRPr="000329FE">
        <w:rPr>
          <w:i/>
          <w:iCs/>
        </w:rPr>
        <w:t xml:space="preserve">Psychiatry, Psychology and Law </w:t>
      </w:r>
      <w:r w:rsidRPr="00561492">
        <w:t>23</w:t>
      </w:r>
      <w:r w:rsidRPr="000329FE">
        <w:t>(6)</w:t>
      </w:r>
      <w:r>
        <w:t>:</w:t>
      </w:r>
      <w:r w:rsidRPr="000329FE">
        <w:t xml:space="preserve"> 908–21. </w:t>
      </w:r>
      <w:r>
        <w:t>DOI</w:t>
      </w:r>
      <w:r w:rsidRPr="000329FE">
        <w:t>:</w:t>
      </w:r>
      <w:r>
        <w:t xml:space="preserve"> </w:t>
      </w:r>
      <w:r w:rsidRPr="000329FE">
        <w:t>10.1080/13218719.2016.1155509</w:t>
      </w:r>
      <w:r>
        <w:t xml:space="preserve"> (accessed 26 October 2021).</w:t>
      </w:r>
    </w:p>
    <w:p w14:paraId="173ED7DE" w14:textId="77777777" w:rsidR="009636B7" w:rsidRPr="000329FE" w:rsidRDefault="009636B7" w:rsidP="009636B7">
      <w:pPr>
        <w:pStyle w:val="References"/>
      </w:pPr>
      <w:r w:rsidRPr="000329FE">
        <w:t xml:space="preserve">Davidson F, Heffernan E, Greenberg D, </w:t>
      </w:r>
      <w:r w:rsidR="00AD0D58">
        <w:t>et al</w:t>
      </w:r>
      <w:r w:rsidRPr="000329FE">
        <w:t>. 2017</w:t>
      </w:r>
      <w:r>
        <w:t>a</w:t>
      </w:r>
      <w:r w:rsidRPr="000329FE">
        <w:t xml:space="preserve">. Key performance indicators for Australian mental health court liaison services. </w:t>
      </w:r>
      <w:r w:rsidRPr="000329FE">
        <w:rPr>
          <w:i/>
          <w:iCs/>
        </w:rPr>
        <w:t xml:space="preserve">Australasian Psychiatry </w:t>
      </w:r>
      <w:r w:rsidRPr="00561492">
        <w:t>25</w:t>
      </w:r>
      <w:r w:rsidRPr="000329FE">
        <w:t>(6)</w:t>
      </w:r>
      <w:r>
        <w:t>:</w:t>
      </w:r>
      <w:r w:rsidRPr="000329FE">
        <w:t xml:space="preserve"> 609–13. </w:t>
      </w:r>
      <w:r>
        <w:t>DOI</w:t>
      </w:r>
      <w:r w:rsidRPr="000329FE">
        <w:t>:</w:t>
      </w:r>
      <w:r>
        <w:t xml:space="preserve"> </w:t>
      </w:r>
      <w:r w:rsidRPr="000329FE">
        <w:t>10.1177/1039856217711052</w:t>
      </w:r>
      <w:r>
        <w:t xml:space="preserve"> (accessed 26 October 2021).</w:t>
      </w:r>
    </w:p>
    <w:p w14:paraId="60EC1A04" w14:textId="77777777" w:rsidR="00EE0ADB" w:rsidRDefault="009636B7" w:rsidP="009636B7">
      <w:pPr>
        <w:pStyle w:val="References"/>
      </w:pPr>
      <w:r w:rsidRPr="000329FE">
        <w:t xml:space="preserve">Davidson F, Heffernan E, Greenberg D, </w:t>
      </w:r>
      <w:r w:rsidR="00AD0D58">
        <w:t>et al</w:t>
      </w:r>
      <w:r w:rsidRPr="000329FE">
        <w:t>. 2017</w:t>
      </w:r>
      <w:r>
        <w:t>b</w:t>
      </w:r>
      <w:r w:rsidRPr="000329FE">
        <w:t xml:space="preserve">. Mental health and criminal charges: Variation in diversion pathways in Australia. </w:t>
      </w:r>
      <w:r w:rsidRPr="000329FE">
        <w:rPr>
          <w:i/>
          <w:iCs/>
        </w:rPr>
        <w:t xml:space="preserve">Psychiatry, Psychology and Law </w:t>
      </w:r>
      <w:r w:rsidRPr="00561492">
        <w:t>24</w:t>
      </w:r>
      <w:r w:rsidRPr="000329FE">
        <w:t>(6)</w:t>
      </w:r>
      <w:r>
        <w:t>:</w:t>
      </w:r>
      <w:r w:rsidR="00000776">
        <w:br/>
      </w:r>
      <w:r w:rsidRPr="000329FE">
        <w:t xml:space="preserve">888–98. </w:t>
      </w:r>
      <w:r>
        <w:t>DOI</w:t>
      </w:r>
      <w:r w:rsidRPr="000329FE">
        <w:t>:</w:t>
      </w:r>
      <w:r>
        <w:t xml:space="preserve"> </w:t>
      </w:r>
      <w:r w:rsidRPr="000329FE">
        <w:t>10.1080/13218719.2017.1327305</w:t>
      </w:r>
      <w:r>
        <w:t xml:space="preserve"> (accessed 27 October 2021).</w:t>
      </w:r>
    </w:p>
    <w:p w14:paraId="5CAEF866" w14:textId="77777777" w:rsidR="00EE0ADB" w:rsidRDefault="009636B7" w:rsidP="009636B7">
      <w:pPr>
        <w:pStyle w:val="References"/>
      </w:pPr>
      <w:r w:rsidRPr="000329FE">
        <w:t xml:space="preserve">Davidson F, Heffernan E, Hamilton B, </w:t>
      </w:r>
      <w:r w:rsidR="00AD0D58">
        <w:t>et al</w:t>
      </w:r>
      <w:r w:rsidRPr="000329FE">
        <w:t>. 2019. Benchmarking Australian mental health court liaison services</w:t>
      </w:r>
      <w:r>
        <w:t xml:space="preserve"> </w:t>
      </w:r>
      <w:r w:rsidRPr="000329FE">
        <w:t xml:space="preserve">– Results from the first national study. </w:t>
      </w:r>
      <w:r w:rsidRPr="000329FE">
        <w:rPr>
          <w:i/>
          <w:iCs/>
        </w:rPr>
        <w:t xml:space="preserve">Journal of Forensic Psychiatry </w:t>
      </w:r>
      <w:r>
        <w:rPr>
          <w:i/>
          <w:iCs/>
        </w:rPr>
        <w:t>and</w:t>
      </w:r>
      <w:r w:rsidRPr="000329FE">
        <w:rPr>
          <w:i/>
          <w:iCs/>
        </w:rPr>
        <w:t xml:space="preserve"> Psychology</w:t>
      </w:r>
      <w:r w:rsidRPr="000329FE">
        <w:t xml:space="preserve"> (advance online publication)</w:t>
      </w:r>
      <w:r>
        <w:t>:</w:t>
      </w:r>
      <w:r w:rsidRPr="000329FE">
        <w:t xml:space="preserve"> np. </w:t>
      </w:r>
      <w:r>
        <w:t xml:space="preserve">URL: </w:t>
      </w:r>
      <w:hyperlink r:id="rId63" w:history="1">
        <w:r w:rsidR="00000776" w:rsidRPr="00000776">
          <w:rPr>
            <w:rStyle w:val="Hyperlink"/>
          </w:rPr>
          <w:t>https://doi.org/10.1080/14789949.2019.1646788</w:t>
        </w:r>
      </w:hyperlink>
      <w:r>
        <w:t xml:space="preserve"> (accessed 27 October 2021).</w:t>
      </w:r>
    </w:p>
    <w:p w14:paraId="3F7C3EF1" w14:textId="77777777" w:rsidR="00A0717A" w:rsidRPr="000329FE" w:rsidRDefault="009636B7" w:rsidP="009636B7">
      <w:pPr>
        <w:pStyle w:val="References"/>
      </w:pPr>
      <w:r w:rsidRPr="000329FE">
        <w:t xml:space="preserve">Davies J, Maggs RG, Lewis R. 2010. The development of a UK low secure service: Philosophy, training, supervision and evaluation. </w:t>
      </w:r>
      <w:r w:rsidRPr="000329FE">
        <w:rPr>
          <w:i/>
          <w:iCs/>
        </w:rPr>
        <w:t xml:space="preserve">International Journal of Forensic Mental Health </w:t>
      </w:r>
      <w:r w:rsidRPr="00561492">
        <w:t>9</w:t>
      </w:r>
      <w:r w:rsidRPr="000329FE">
        <w:t>(4)</w:t>
      </w:r>
      <w:r>
        <w:t>:</w:t>
      </w:r>
      <w:r w:rsidRPr="000329FE">
        <w:t xml:space="preserve"> 334–42. </w:t>
      </w:r>
      <w:r>
        <w:t>DOI</w:t>
      </w:r>
      <w:r w:rsidRPr="000329FE">
        <w:t>:</w:t>
      </w:r>
      <w:r>
        <w:t xml:space="preserve"> </w:t>
      </w:r>
      <w:r w:rsidRPr="000329FE">
        <w:t>10.1080/14999013.2010.531885</w:t>
      </w:r>
      <w:r>
        <w:t xml:space="preserve"> (accessed 12 October 2021).</w:t>
      </w:r>
    </w:p>
    <w:p w14:paraId="1C876DE2" w14:textId="77777777" w:rsidR="009636B7" w:rsidRDefault="009636B7" w:rsidP="009636B7">
      <w:pPr>
        <w:pStyle w:val="References"/>
      </w:pPr>
      <w:r w:rsidRPr="00AB195B">
        <w:lastRenderedPageBreak/>
        <w:t>Dean K</w:t>
      </w:r>
      <w:r>
        <w:t>.</w:t>
      </w:r>
      <w:r w:rsidRPr="00AB195B">
        <w:t xml:space="preserve"> 2020. </w:t>
      </w:r>
      <w:r w:rsidRPr="009666B9">
        <w:rPr>
          <w:i/>
          <w:iCs/>
        </w:rPr>
        <w:t xml:space="preserve">Literature Review: Forensic </w:t>
      </w:r>
      <w:r>
        <w:rPr>
          <w:i/>
          <w:iCs/>
        </w:rPr>
        <w:t>m</w:t>
      </w:r>
      <w:r w:rsidRPr="009666B9">
        <w:rPr>
          <w:i/>
          <w:iCs/>
        </w:rPr>
        <w:t xml:space="preserve">ental </w:t>
      </w:r>
      <w:r>
        <w:rPr>
          <w:i/>
          <w:iCs/>
        </w:rPr>
        <w:t>h</w:t>
      </w:r>
      <w:r w:rsidRPr="009666B9">
        <w:rPr>
          <w:i/>
          <w:iCs/>
        </w:rPr>
        <w:t xml:space="preserve">ealth </w:t>
      </w:r>
      <w:r>
        <w:rPr>
          <w:i/>
          <w:iCs/>
        </w:rPr>
        <w:t>m</w:t>
      </w:r>
      <w:r w:rsidRPr="009666B9">
        <w:rPr>
          <w:i/>
          <w:iCs/>
        </w:rPr>
        <w:t xml:space="preserve">odels of </w:t>
      </w:r>
      <w:r>
        <w:rPr>
          <w:i/>
          <w:iCs/>
        </w:rPr>
        <w:t>c</w:t>
      </w:r>
      <w:r w:rsidRPr="009666B9">
        <w:rPr>
          <w:i/>
          <w:iCs/>
        </w:rPr>
        <w:t>are</w:t>
      </w:r>
      <w:r w:rsidRPr="00561492">
        <w:t>.</w:t>
      </w:r>
      <w:r w:rsidRPr="00AB195B">
        <w:t xml:space="preserve"> </w:t>
      </w:r>
      <w:r>
        <w:t xml:space="preserve">Sydney: </w:t>
      </w:r>
      <w:r w:rsidRPr="00AB195B">
        <w:t>Mental Health Commission</w:t>
      </w:r>
      <w:r>
        <w:t xml:space="preserve"> of New South Wales.</w:t>
      </w:r>
    </w:p>
    <w:p w14:paraId="128F31C6" w14:textId="77777777" w:rsidR="009636B7" w:rsidRPr="000329FE" w:rsidRDefault="009636B7" w:rsidP="009636B7">
      <w:pPr>
        <w:pStyle w:val="References"/>
      </w:pPr>
      <w:r w:rsidRPr="000329FE">
        <w:t xml:space="preserve">Dean K, Parsons V, Yee N, </w:t>
      </w:r>
      <w:r w:rsidR="00AD0D58">
        <w:t>et al</w:t>
      </w:r>
      <w:r w:rsidRPr="000329FE">
        <w:t xml:space="preserve">. 2013. </w:t>
      </w:r>
      <w:r w:rsidRPr="000329FE">
        <w:rPr>
          <w:i/>
          <w:iCs/>
        </w:rPr>
        <w:t xml:space="preserve">The </w:t>
      </w:r>
      <w:r w:rsidR="00000776">
        <w:rPr>
          <w:i/>
          <w:iCs/>
        </w:rPr>
        <w:t>J</w:t>
      </w:r>
      <w:r w:rsidRPr="000329FE">
        <w:rPr>
          <w:i/>
          <w:iCs/>
        </w:rPr>
        <w:t xml:space="preserve">ustice </w:t>
      </w:r>
      <w:r w:rsidR="00000776">
        <w:rPr>
          <w:i/>
          <w:iCs/>
        </w:rPr>
        <w:t>S</w:t>
      </w:r>
      <w:r w:rsidRPr="000329FE">
        <w:rPr>
          <w:i/>
          <w:iCs/>
        </w:rPr>
        <w:t xml:space="preserve">ystem and </w:t>
      </w:r>
      <w:r w:rsidR="00000776">
        <w:rPr>
          <w:i/>
          <w:iCs/>
        </w:rPr>
        <w:t>M</w:t>
      </w:r>
      <w:r w:rsidRPr="000329FE">
        <w:rPr>
          <w:i/>
          <w:iCs/>
        </w:rPr>
        <w:t xml:space="preserve">ental </w:t>
      </w:r>
      <w:r w:rsidR="00000776">
        <w:rPr>
          <w:i/>
          <w:iCs/>
        </w:rPr>
        <w:t>H</w:t>
      </w:r>
      <w:r w:rsidRPr="000329FE">
        <w:rPr>
          <w:i/>
          <w:iCs/>
        </w:rPr>
        <w:t>ealth: A review of the literature</w:t>
      </w:r>
      <w:r w:rsidRPr="000329FE">
        <w:t xml:space="preserve">. </w:t>
      </w:r>
      <w:r>
        <w:t>Sydney</w:t>
      </w:r>
      <w:r w:rsidRPr="000329FE">
        <w:t xml:space="preserve">: Australian Government National Mental Health Commission. </w:t>
      </w:r>
      <w:r>
        <w:t>URL:</w:t>
      </w:r>
      <w:r w:rsidRPr="000329FE">
        <w:t xml:space="preserve"> </w:t>
      </w:r>
      <w:hyperlink r:id="rId64" w:history="1">
        <w:r w:rsidR="00000776" w:rsidRPr="00000776">
          <w:rPr>
            <w:rStyle w:val="Hyperlink"/>
          </w:rPr>
          <w:t>https://pdfs.semanticscholar.org/d05f/ab419a76119c49f75821339e0b0468814ee7.pdf</w:t>
        </w:r>
      </w:hyperlink>
      <w:r>
        <w:t xml:space="preserve"> (accessed 27 October 2021).</w:t>
      </w:r>
    </w:p>
    <w:p w14:paraId="1A753506" w14:textId="77777777" w:rsidR="00EE0ADB" w:rsidRDefault="009636B7" w:rsidP="009636B7">
      <w:pPr>
        <w:pStyle w:val="References"/>
      </w:pPr>
      <w:r w:rsidRPr="000329FE">
        <w:t xml:space="preserve">Department of Corrections. 2009. </w:t>
      </w:r>
      <w:r w:rsidRPr="000329FE">
        <w:rPr>
          <w:i/>
          <w:iCs/>
        </w:rPr>
        <w:t xml:space="preserve">Māori </w:t>
      </w:r>
      <w:r>
        <w:rPr>
          <w:i/>
          <w:iCs/>
        </w:rPr>
        <w:t>F</w:t>
      </w:r>
      <w:r w:rsidRPr="000329FE">
        <w:rPr>
          <w:i/>
          <w:iCs/>
        </w:rPr>
        <w:t xml:space="preserve">ocus </w:t>
      </w:r>
      <w:r>
        <w:rPr>
          <w:i/>
          <w:iCs/>
        </w:rPr>
        <w:t>U</w:t>
      </w:r>
      <w:r w:rsidRPr="000329FE">
        <w:rPr>
          <w:i/>
          <w:iCs/>
        </w:rPr>
        <w:t xml:space="preserve">nits and Māori </w:t>
      </w:r>
      <w:r>
        <w:rPr>
          <w:i/>
          <w:iCs/>
        </w:rPr>
        <w:t>T</w:t>
      </w:r>
      <w:r w:rsidRPr="000329FE">
        <w:rPr>
          <w:i/>
          <w:iCs/>
        </w:rPr>
        <w:t xml:space="preserve">herapeutic </w:t>
      </w:r>
      <w:r>
        <w:rPr>
          <w:i/>
          <w:iCs/>
        </w:rPr>
        <w:t>P</w:t>
      </w:r>
      <w:r w:rsidRPr="000329FE">
        <w:rPr>
          <w:i/>
          <w:iCs/>
        </w:rPr>
        <w:t>rogram</w:t>
      </w:r>
      <w:r>
        <w:rPr>
          <w:i/>
          <w:iCs/>
        </w:rPr>
        <w:t>me</w:t>
      </w:r>
      <w:r w:rsidRPr="000329FE">
        <w:rPr>
          <w:i/>
          <w:iCs/>
        </w:rPr>
        <w:t>s: Evaluation report</w:t>
      </w:r>
      <w:r w:rsidRPr="00561492">
        <w:t>.</w:t>
      </w:r>
      <w:r w:rsidRPr="000329FE">
        <w:rPr>
          <w:i/>
          <w:iCs/>
        </w:rPr>
        <w:t xml:space="preserve"> </w:t>
      </w:r>
      <w:r w:rsidRPr="000329FE">
        <w:t xml:space="preserve">Wellington: Department of Corrections. </w:t>
      </w:r>
      <w:r>
        <w:t>URL:</w:t>
      </w:r>
      <w:r w:rsidRPr="000329FE">
        <w:t xml:space="preserve"> </w:t>
      </w:r>
      <w:hyperlink r:id="rId65" w:history="1">
        <w:r w:rsidR="00000776" w:rsidRPr="00000776">
          <w:rPr>
            <w:rStyle w:val="Hyperlink"/>
          </w:rPr>
          <w:t>www.corrections.govt.nz/__data/assets/pdf_file/0016/13840/MFU_MTP_evaluation_final_report.pdf</w:t>
        </w:r>
      </w:hyperlink>
      <w:r w:rsidRPr="008E5F7E">
        <w:t xml:space="preserve"> </w:t>
      </w:r>
      <w:r>
        <w:t>(accessed 22 October 2021).</w:t>
      </w:r>
    </w:p>
    <w:p w14:paraId="1D7FF495" w14:textId="77777777" w:rsidR="009636B7" w:rsidRPr="000329FE" w:rsidRDefault="009636B7" w:rsidP="009636B7">
      <w:pPr>
        <w:pStyle w:val="References"/>
      </w:pPr>
      <w:r w:rsidRPr="000329FE">
        <w:t xml:space="preserve">Department of Corrections. 2010. Growth of women in prison nearly double that of men. </w:t>
      </w:r>
      <w:r>
        <w:t>URL:</w:t>
      </w:r>
      <w:r w:rsidRPr="000329FE">
        <w:t xml:space="preserve"> </w:t>
      </w:r>
      <w:hyperlink r:id="rId66" w:history="1">
        <w:r w:rsidR="004767BA" w:rsidRPr="004767BA">
          <w:rPr>
            <w:rStyle w:val="Hyperlink"/>
          </w:rPr>
          <w:t>www.corrections.govt.nz/news-and-publications/media-releases/2010-media-releases/growth-of-women-in-prison-nearly-double-that-of-men.html</w:t>
        </w:r>
      </w:hyperlink>
      <w:r w:rsidR="004767BA">
        <w:t>.</w:t>
      </w:r>
    </w:p>
    <w:p w14:paraId="50D6C3F5" w14:textId="77777777" w:rsidR="009636B7" w:rsidRPr="000329FE" w:rsidRDefault="009636B7" w:rsidP="009636B7">
      <w:pPr>
        <w:pStyle w:val="References"/>
      </w:pPr>
      <w:r w:rsidRPr="000329FE">
        <w:t xml:space="preserve">Department of Corrections. 2014. </w:t>
      </w:r>
      <w:r w:rsidRPr="000329FE">
        <w:rPr>
          <w:i/>
          <w:iCs/>
        </w:rPr>
        <w:t>Corrections Works: Special Māori services edition</w:t>
      </w:r>
      <w:r w:rsidRPr="000329FE">
        <w:t>. Wellington: Department of Corrections</w:t>
      </w:r>
      <w:r>
        <w:t>. URL:</w:t>
      </w:r>
      <w:r w:rsidRPr="000329FE">
        <w:t xml:space="preserve"> </w:t>
      </w:r>
      <w:hyperlink r:id="rId67" w:history="1">
        <w:r w:rsidR="004767BA" w:rsidRPr="004767BA">
          <w:rPr>
            <w:rStyle w:val="Hyperlink"/>
          </w:rPr>
          <w:t>www.corrections.govt.nz/__data/assets/pdf_file/0004/12739/COR_14503_Corrections_Works_v8lowres.pdf</w:t>
        </w:r>
      </w:hyperlink>
      <w:r>
        <w:t xml:space="preserve"> (accessed 22 October 2021).</w:t>
      </w:r>
    </w:p>
    <w:p w14:paraId="5A2860F3" w14:textId="77777777" w:rsidR="00EE0ADB" w:rsidRDefault="009636B7" w:rsidP="009636B7">
      <w:pPr>
        <w:pStyle w:val="References"/>
      </w:pPr>
      <w:r w:rsidRPr="000329FE">
        <w:t xml:space="preserve">Department of Corrections. 2017. </w:t>
      </w:r>
      <w:r w:rsidRPr="000329FE">
        <w:rPr>
          <w:i/>
          <w:iCs/>
        </w:rPr>
        <w:t>Wahine</w:t>
      </w:r>
      <w:r>
        <w:rPr>
          <w:i/>
          <w:iCs/>
        </w:rPr>
        <w:t xml:space="preserve"> </w:t>
      </w:r>
      <w:r w:rsidRPr="000329FE">
        <w:rPr>
          <w:i/>
          <w:iCs/>
        </w:rPr>
        <w:t>– E rere ana kit e pae hou: Women</w:t>
      </w:r>
      <w:r w:rsidR="00EE0ADB">
        <w:rPr>
          <w:i/>
          <w:iCs/>
        </w:rPr>
        <w:t>’</w:t>
      </w:r>
      <w:r w:rsidRPr="000329FE">
        <w:rPr>
          <w:i/>
          <w:iCs/>
        </w:rPr>
        <w:t>s strategy 2017–2021</w:t>
      </w:r>
      <w:r w:rsidRPr="000329FE">
        <w:t>. Wellington: Department of Corrections.</w:t>
      </w:r>
    </w:p>
    <w:p w14:paraId="5A1C270A" w14:textId="77777777" w:rsidR="009636B7" w:rsidRPr="000329FE" w:rsidRDefault="009636B7" w:rsidP="009636B7">
      <w:pPr>
        <w:pStyle w:val="References"/>
      </w:pPr>
      <w:r w:rsidRPr="000329FE">
        <w:t xml:space="preserve">Department of Corrections. 2019a. </w:t>
      </w:r>
      <w:r w:rsidRPr="000329FE">
        <w:rPr>
          <w:i/>
          <w:iCs/>
        </w:rPr>
        <w:t xml:space="preserve">Hōkai </w:t>
      </w:r>
      <w:r>
        <w:rPr>
          <w:i/>
          <w:iCs/>
        </w:rPr>
        <w:t>R</w:t>
      </w:r>
      <w:r w:rsidRPr="000329FE">
        <w:rPr>
          <w:i/>
          <w:iCs/>
        </w:rPr>
        <w:t>angi: Ara Poutama Aotearoa strategy</w:t>
      </w:r>
      <w:r w:rsidR="00905935">
        <w:rPr>
          <w:i/>
          <w:iCs/>
        </w:rPr>
        <w:br/>
      </w:r>
      <w:r w:rsidRPr="000329FE">
        <w:rPr>
          <w:i/>
          <w:iCs/>
        </w:rPr>
        <w:t>2019–2024</w:t>
      </w:r>
      <w:r w:rsidRPr="000329FE">
        <w:t xml:space="preserve">. Wellington: Department of Corrections. </w:t>
      </w:r>
      <w:r>
        <w:t xml:space="preserve">URL: </w:t>
      </w:r>
      <w:hyperlink r:id="rId68" w:history="1">
        <w:r w:rsidR="00905935" w:rsidRPr="00905935">
          <w:rPr>
            <w:rStyle w:val="Hyperlink"/>
          </w:rPr>
          <w:t>www.corrections.govt.nz/resources/strategic_reports/corrections_strategic_plans/hkai_rangi.html</w:t>
        </w:r>
      </w:hyperlink>
      <w:r>
        <w:t xml:space="preserve"> (accessed 28 October 2021).</w:t>
      </w:r>
    </w:p>
    <w:p w14:paraId="05127F88" w14:textId="77777777" w:rsidR="009636B7" w:rsidRPr="000329FE" w:rsidRDefault="009636B7" w:rsidP="009636B7">
      <w:pPr>
        <w:pStyle w:val="References"/>
      </w:pPr>
      <w:r w:rsidRPr="000329FE">
        <w:t xml:space="preserve">Department of Corrections. 2019b. </w:t>
      </w:r>
      <w:r w:rsidRPr="00905935">
        <w:rPr>
          <w:i/>
        </w:rPr>
        <w:t xml:space="preserve">Specialist </w:t>
      </w:r>
      <w:r w:rsidR="00905935">
        <w:rPr>
          <w:i/>
        </w:rPr>
        <w:t>U</w:t>
      </w:r>
      <w:r w:rsidRPr="00905935">
        <w:rPr>
          <w:i/>
        </w:rPr>
        <w:t>nits</w:t>
      </w:r>
      <w:r w:rsidRPr="000329FE">
        <w:t xml:space="preserve">. </w:t>
      </w:r>
      <w:r>
        <w:t>URL:</w:t>
      </w:r>
      <w:r w:rsidRPr="000329FE">
        <w:t xml:space="preserve"> </w:t>
      </w:r>
      <w:hyperlink r:id="rId69" w:history="1">
        <w:r w:rsidR="00905935" w:rsidRPr="00905935">
          <w:rPr>
            <w:rStyle w:val="Hyperlink"/>
          </w:rPr>
          <w:t>www.corrections.govt.nz/working_with_offenders/prison_sentences/employment_and_support_programmes/rehabilitation_programmes/specialist_units</w:t>
        </w:r>
      </w:hyperlink>
      <w:r>
        <w:t xml:space="preserve"> (accessed 22 October 2021).</w:t>
      </w:r>
    </w:p>
    <w:p w14:paraId="31B3302A" w14:textId="77777777" w:rsidR="009636B7" w:rsidRPr="000329FE" w:rsidRDefault="009636B7" w:rsidP="009636B7">
      <w:pPr>
        <w:pStyle w:val="References"/>
      </w:pPr>
      <w:r w:rsidRPr="000329FE">
        <w:t xml:space="preserve">Department of Corrections. </w:t>
      </w:r>
      <w:r>
        <w:t>2016</w:t>
      </w:r>
      <w:r w:rsidRPr="000329FE">
        <w:t xml:space="preserve">. </w:t>
      </w:r>
      <w:r w:rsidRPr="000329FE">
        <w:rPr>
          <w:i/>
          <w:iCs/>
        </w:rPr>
        <w:t xml:space="preserve">Change </w:t>
      </w:r>
      <w:r>
        <w:rPr>
          <w:i/>
          <w:iCs/>
        </w:rPr>
        <w:t>L</w:t>
      </w:r>
      <w:r w:rsidRPr="000329FE">
        <w:rPr>
          <w:i/>
          <w:iCs/>
        </w:rPr>
        <w:t xml:space="preserve">ives </w:t>
      </w:r>
      <w:r>
        <w:rPr>
          <w:i/>
          <w:iCs/>
        </w:rPr>
        <w:t>S</w:t>
      </w:r>
      <w:r w:rsidRPr="000329FE">
        <w:rPr>
          <w:i/>
          <w:iCs/>
        </w:rPr>
        <w:t xml:space="preserve">hape </w:t>
      </w:r>
      <w:r>
        <w:rPr>
          <w:i/>
          <w:iCs/>
        </w:rPr>
        <w:t>F</w:t>
      </w:r>
      <w:r w:rsidRPr="000329FE">
        <w:rPr>
          <w:i/>
          <w:iCs/>
        </w:rPr>
        <w:t>utures: Investing in better mental health for offenders</w:t>
      </w:r>
      <w:r w:rsidRPr="000329FE">
        <w:t xml:space="preserve">. Wellington: </w:t>
      </w:r>
      <w:r>
        <w:t>Department of Corrections</w:t>
      </w:r>
      <w:r w:rsidRPr="000329FE">
        <w:t xml:space="preserve">. </w:t>
      </w:r>
      <w:r>
        <w:t>URL:</w:t>
      </w:r>
      <w:r w:rsidRPr="000329FE">
        <w:t xml:space="preserve"> </w:t>
      </w:r>
      <w:hyperlink r:id="rId70" w:history="1">
        <w:r w:rsidR="00905935" w:rsidRPr="00905935">
          <w:rPr>
            <w:rStyle w:val="Hyperlink"/>
          </w:rPr>
          <w:t>www.corrections.govt.nz/resources/strategic_reports/investing_in_better_mental_health_for_offenders.html</w:t>
        </w:r>
      </w:hyperlink>
      <w:r>
        <w:t xml:space="preserve"> (accessed 28 October 2021).</w:t>
      </w:r>
    </w:p>
    <w:p w14:paraId="424B9818" w14:textId="77777777" w:rsidR="009636B7" w:rsidRPr="000329FE" w:rsidRDefault="009636B7" w:rsidP="009636B7">
      <w:pPr>
        <w:pStyle w:val="References"/>
      </w:pPr>
      <w:r w:rsidRPr="000329FE">
        <w:t xml:space="preserve">Department of Health and Social Care. 2018. </w:t>
      </w:r>
      <w:r w:rsidRPr="000329FE">
        <w:rPr>
          <w:i/>
          <w:iCs/>
        </w:rPr>
        <w:t>The Women</w:t>
      </w:r>
      <w:r w:rsidR="00EE0ADB">
        <w:rPr>
          <w:i/>
          <w:iCs/>
        </w:rPr>
        <w:t>’</w:t>
      </w:r>
      <w:r w:rsidRPr="000329FE">
        <w:rPr>
          <w:i/>
          <w:iCs/>
        </w:rPr>
        <w:t>s Mental Health Taskforce: Final report</w:t>
      </w:r>
      <w:r w:rsidRPr="000329FE">
        <w:t xml:space="preserve">. </w:t>
      </w:r>
      <w:r>
        <w:t>URL:</w:t>
      </w:r>
      <w:r w:rsidRPr="000329FE">
        <w:t xml:space="preserve"> </w:t>
      </w:r>
      <w:hyperlink r:id="rId71" w:history="1">
        <w:r w:rsidR="00905935" w:rsidRPr="00905935">
          <w:rPr>
            <w:rStyle w:val="Hyperlink"/>
          </w:rPr>
          <w:t>www.gov.uk/government/publications/the-womens-mental-health-taskforce-report</w:t>
        </w:r>
      </w:hyperlink>
      <w:r>
        <w:t xml:space="preserve"> (accessed 12 October 2021).</w:t>
      </w:r>
    </w:p>
    <w:p w14:paraId="6916AC94" w14:textId="77777777" w:rsidR="009636B7" w:rsidRPr="000329FE" w:rsidRDefault="009636B7" w:rsidP="009636B7">
      <w:pPr>
        <w:pStyle w:val="References"/>
      </w:pPr>
      <w:r w:rsidRPr="000329FE">
        <w:t xml:space="preserve">De Vito CG. 2014. Forensic psychiatric units in Italy from the 1960s to the present. </w:t>
      </w:r>
      <w:r w:rsidRPr="000329FE">
        <w:rPr>
          <w:i/>
          <w:iCs/>
        </w:rPr>
        <w:t xml:space="preserve">International Journal of Law and Psychiatry </w:t>
      </w:r>
      <w:r w:rsidRPr="00561492">
        <w:t>37</w:t>
      </w:r>
      <w:r>
        <w:t>:</w:t>
      </w:r>
      <w:r w:rsidRPr="000329FE">
        <w:t xml:space="preserve"> 127–34. </w:t>
      </w:r>
      <w:r>
        <w:t xml:space="preserve">URL: </w:t>
      </w:r>
      <w:hyperlink r:id="rId72" w:history="1">
        <w:r w:rsidR="00905935" w:rsidRPr="00905935">
          <w:rPr>
            <w:rStyle w:val="Hyperlink"/>
          </w:rPr>
          <w:t>http://dx.doi.org/10.1016/j.ijlp.2013.09.012</w:t>
        </w:r>
      </w:hyperlink>
      <w:r>
        <w:t xml:space="preserve"> (accessed 12 October 2021).</w:t>
      </w:r>
    </w:p>
    <w:p w14:paraId="25E79E22" w14:textId="77777777" w:rsidR="009636B7" w:rsidRPr="000329FE" w:rsidRDefault="009636B7" w:rsidP="009636B7">
      <w:pPr>
        <w:pStyle w:val="References"/>
      </w:pPr>
      <w:r>
        <w:t>d</w:t>
      </w:r>
      <w:r w:rsidRPr="000329FE">
        <w:t xml:space="preserve">e Vogel V, Nicholls TL. 2016. Gender matters: An introduction to the special issues on women and girls. </w:t>
      </w:r>
      <w:r w:rsidRPr="000329FE">
        <w:rPr>
          <w:i/>
          <w:iCs/>
        </w:rPr>
        <w:t xml:space="preserve">International Journal of Forensic Mental Health </w:t>
      </w:r>
      <w:r w:rsidRPr="00561492">
        <w:t>15</w:t>
      </w:r>
      <w:r w:rsidRPr="000329FE">
        <w:t>(1)</w:t>
      </w:r>
      <w:r>
        <w:t>:</w:t>
      </w:r>
      <w:r w:rsidRPr="000329FE">
        <w:t xml:space="preserve"> 1–25. </w:t>
      </w:r>
      <w:r>
        <w:t>DOI</w:t>
      </w:r>
      <w:r w:rsidRPr="000329FE">
        <w:t>:</w:t>
      </w:r>
      <w:r>
        <w:t xml:space="preserve"> </w:t>
      </w:r>
      <w:r w:rsidRPr="000329FE">
        <w:t>10.1080/14999013.2016.1141439</w:t>
      </w:r>
      <w:r>
        <w:t xml:space="preserve"> (accessed 12 October 2021).</w:t>
      </w:r>
    </w:p>
    <w:p w14:paraId="41AA3533" w14:textId="77777777" w:rsidR="009636B7" w:rsidRPr="000329FE" w:rsidRDefault="009636B7" w:rsidP="009636B7">
      <w:pPr>
        <w:pStyle w:val="References"/>
      </w:pPr>
      <w:r w:rsidRPr="000329FE">
        <w:lastRenderedPageBreak/>
        <w:t>Dlugacz HA. 2014. Correctional mental health in the USA</w:t>
      </w:r>
      <w:r w:rsidRPr="000329FE">
        <w:rPr>
          <w:i/>
          <w:iCs/>
        </w:rPr>
        <w:t xml:space="preserve">. International Journal of Prisoner Health </w:t>
      </w:r>
      <w:r w:rsidRPr="00561492">
        <w:t>10</w:t>
      </w:r>
      <w:r w:rsidRPr="000329FE">
        <w:t>(1)</w:t>
      </w:r>
      <w:r>
        <w:t>:</w:t>
      </w:r>
      <w:r w:rsidRPr="000329FE">
        <w:t xml:space="preserve"> 3–26. </w:t>
      </w:r>
      <w:r>
        <w:t>DOI</w:t>
      </w:r>
      <w:r w:rsidRPr="000329FE">
        <w:t>:</w:t>
      </w:r>
      <w:r>
        <w:t xml:space="preserve"> </w:t>
      </w:r>
      <w:r w:rsidRPr="000329FE">
        <w:t>10.1108/IJPH-06-2013-0028</w:t>
      </w:r>
      <w:r>
        <w:t xml:space="preserve"> (accessed 22 October 2021).</w:t>
      </w:r>
    </w:p>
    <w:p w14:paraId="39C7BDDE" w14:textId="77777777" w:rsidR="009636B7" w:rsidRPr="000329FE" w:rsidRDefault="009636B7" w:rsidP="009636B7">
      <w:pPr>
        <w:pStyle w:val="References"/>
      </w:pPr>
      <w:r w:rsidRPr="000329FE">
        <w:t xml:space="preserve">Dolin G. 2002–2003. A healer or an executioner? The proper role of a psychiatrist in a criminal justice system. </w:t>
      </w:r>
      <w:r w:rsidRPr="000329FE">
        <w:rPr>
          <w:i/>
          <w:iCs/>
        </w:rPr>
        <w:t xml:space="preserve">Journal of Law and Health </w:t>
      </w:r>
      <w:r w:rsidRPr="00561492">
        <w:t>17</w:t>
      </w:r>
      <w:r w:rsidRPr="000329FE">
        <w:t>(2)</w:t>
      </w:r>
      <w:r>
        <w:t>:</w:t>
      </w:r>
      <w:r w:rsidRPr="000329FE">
        <w:t xml:space="preserve"> 169–216.</w:t>
      </w:r>
    </w:p>
    <w:p w14:paraId="3ECBCD68" w14:textId="77777777" w:rsidR="009636B7" w:rsidRPr="000329FE" w:rsidRDefault="009636B7" w:rsidP="009636B7">
      <w:pPr>
        <w:pStyle w:val="References"/>
      </w:pPr>
      <w:r w:rsidRPr="000329FE">
        <w:t xml:space="preserve">Doyle M, Logan C, Ludlow A, </w:t>
      </w:r>
      <w:r w:rsidR="00AD0D58">
        <w:t>et al</w:t>
      </w:r>
      <w:r w:rsidRPr="000329FE">
        <w:t xml:space="preserve">. 2012. Milestones to recovery: Preliminary validation of a framework to promote recovery and map progress through the medium secure inpatient pathway. </w:t>
      </w:r>
      <w:r w:rsidRPr="000329FE">
        <w:rPr>
          <w:i/>
          <w:iCs/>
        </w:rPr>
        <w:t xml:space="preserve">Criminal Behaviour and Mental Health </w:t>
      </w:r>
      <w:r w:rsidRPr="00561492">
        <w:t>22</w:t>
      </w:r>
      <w:r w:rsidRPr="000329FE">
        <w:t>(1)</w:t>
      </w:r>
      <w:r>
        <w:t>:</w:t>
      </w:r>
      <w:r w:rsidRPr="000329FE">
        <w:t xml:space="preserve"> 53–64. </w:t>
      </w:r>
      <w:r>
        <w:t>DOI</w:t>
      </w:r>
      <w:r w:rsidRPr="000329FE">
        <w:t>:</w:t>
      </w:r>
      <w:r>
        <w:t xml:space="preserve"> </w:t>
      </w:r>
      <w:r w:rsidRPr="000329FE">
        <w:t>10.1002/cbm.818</w:t>
      </w:r>
      <w:r>
        <w:t xml:space="preserve"> (accessed 12 October 2021).</w:t>
      </w:r>
    </w:p>
    <w:p w14:paraId="2B93EDDE" w14:textId="77777777" w:rsidR="009636B7" w:rsidRPr="000329FE" w:rsidRDefault="009636B7" w:rsidP="009636B7">
      <w:pPr>
        <w:pStyle w:val="References"/>
      </w:pPr>
      <w:r w:rsidRPr="000329FE">
        <w:t xml:space="preserve">Draine J, Wolff N, Jacoby JE, </w:t>
      </w:r>
      <w:r w:rsidR="00AD0D58">
        <w:t>et al</w:t>
      </w:r>
      <w:r w:rsidRPr="000329FE">
        <w:t xml:space="preserve">. 2005. Understanding community re-entry of former prisoners with mental illness: A conceptual model to guide new research. </w:t>
      </w:r>
      <w:r w:rsidRPr="000329FE">
        <w:rPr>
          <w:i/>
          <w:iCs/>
        </w:rPr>
        <w:t xml:space="preserve">Behavioral Sciences </w:t>
      </w:r>
      <w:r>
        <w:rPr>
          <w:i/>
          <w:iCs/>
        </w:rPr>
        <w:t>&amp;</w:t>
      </w:r>
      <w:r w:rsidRPr="000329FE">
        <w:rPr>
          <w:i/>
          <w:iCs/>
        </w:rPr>
        <w:t xml:space="preserve"> the Law </w:t>
      </w:r>
      <w:r w:rsidRPr="00561492">
        <w:t>23</w:t>
      </w:r>
      <w:r w:rsidRPr="000329FE">
        <w:t>(5)</w:t>
      </w:r>
      <w:r>
        <w:t>:</w:t>
      </w:r>
      <w:r w:rsidRPr="000329FE">
        <w:t xml:space="preserve"> 689–707. </w:t>
      </w:r>
      <w:r>
        <w:t>DOI</w:t>
      </w:r>
      <w:r w:rsidRPr="000329FE">
        <w:t>:</w:t>
      </w:r>
      <w:r>
        <w:t xml:space="preserve"> </w:t>
      </w:r>
      <w:r w:rsidRPr="000329FE">
        <w:t>10.1002/bsl.642</w:t>
      </w:r>
      <w:r>
        <w:t xml:space="preserve"> (accessed 22 October 2021).</w:t>
      </w:r>
    </w:p>
    <w:p w14:paraId="65192461" w14:textId="77777777" w:rsidR="009636B7" w:rsidRPr="000329FE" w:rsidRDefault="009636B7" w:rsidP="009636B7">
      <w:pPr>
        <w:pStyle w:val="References"/>
      </w:pPr>
      <w:r w:rsidRPr="000329FE">
        <w:t xml:space="preserve">Dressing H, Salize H-J. 2009. Pathways to psychiatric care in European prison systems. </w:t>
      </w:r>
      <w:r w:rsidRPr="000329FE">
        <w:rPr>
          <w:i/>
          <w:iCs/>
        </w:rPr>
        <w:t xml:space="preserve">Behavioral Sciences </w:t>
      </w:r>
      <w:r>
        <w:rPr>
          <w:i/>
          <w:iCs/>
        </w:rPr>
        <w:t>&amp;</w:t>
      </w:r>
      <w:r w:rsidRPr="000329FE">
        <w:rPr>
          <w:i/>
          <w:iCs/>
        </w:rPr>
        <w:t xml:space="preserve"> the Law </w:t>
      </w:r>
      <w:r w:rsidRPr="00561492">
        <w:t>27</w:t>
      </w:r>
      <w:r w:rsidRPr="000329FE">
        <w:t>(5)</w:t>
      </w:r>
      <w:r>
        <w:t>:</w:t>
      </w:r>
      <w:r w:rsidRPr="000329FE">
        <w:t xml:space="preserve"> 801–10. </w:t>
      </w:r>
      <w:r>
        <w:t>DOI</w:t>
      </w:r>
      <w:r w:rsidRPr="000329FE">
        <w:t>:</w:t>
      </w:r>
      <w:r>
        <w:t xml:space="preserve"> </w:t>
      </w:r>
      <w:r w:rsidRPr="000329FE">
        <w:t>10.1002/bsl.893</w:t>
      </w:r>
      <w:r>
        <w:t xml:space="preserve"> (accessed 14 October 2021).</w:t>
      </w:r>
    </w:p>
    <w:p w14:paraId="10958910" w14:textId="77777777" w:rsidR="009636B7" w:rsidRPr="000329FE" w:rsidRDefault="009636B7" w:rsidP="009636B7">
      <w:pPr>
        <w:pStyle w:val="References"/>
      </w:pPr>
      <w:r w:rsidRPr="000329FE">
        <w:t xml:space="preserve">Duggan C, Khalifa N. 2007. Community treatment for offenders with personality disorder. </w:t>
      </w:r>
      <w:r w:rsidRPr="000329FE">
        <w:rPr>
          <w:i/>
          <w:iCs/>
        </w:rPr>
        <w:t xml:space="preserve">Psychiatry </w:t>
      </w:r>
      <w:r w:rsidRPr="00561492">
        <w:t>6</w:t>
      </w:r>
      <w:r w:rsidRPr="000329FE">
        <w:t>(11)</w:t>
      </w:r>
      <w:r>
        <w:t>:</w:t>
      </w:r>
      <w:r w:rsidRPr="000329FE">
        <w:t xml:space="preserve"> 470–3. </w:t>
      </w:r>
      <w:r>
        <w:t xml:space="preserve">URL: </w:t>
      </w:r>
      <w:hyperlink r:id="rId73" w:history="1">
        <w:r w:rsidR="00905935" w:rsidRPr="00905935">
          <w:rPr>
            <w:rStyle w:val="Hyperlink"/>
          </w:rPr>
          <w:t>https://doi.org/10.1016/j.mppsy.2007.08.007</w:t>
        </w:r>
      </w:hyperlink>
      <w:r>
        <w:t xml:space="preserve"> (accessed 2 November 2021).</w:t>
      </w:r>
    </w:p>
    <w:p w14:paraId="53B7ECE6" w14:textId="77777777" w:rsidR="009636B7" w:rsidRPr="000329FE" w:rsidRDefault="009636B7" w:rsidP="009636B7">
      <w:pPr>
        <w:pStyle w:val="References"/>
      </w:pPr>
      <w:r w:rsidRPr="000329FE">
        <w:t>Durey A, Wynaden D, O</w:t>
      </w:r>
      <w:r w:rsidR="00EE0ADB">
        <w:t>’</w:t>
      </w:r>
      <w:r w:rsidRPr="000329FE">
        <w:t xml:space="preserve">Kane M. 2013. Improving forensic mental health care to Indigenous Australians: Theorizing the intercultural space. </w:t>
      </w:r>
      <w:r w:rsidRPr="000329FE">
        <w:rPr>
          <w:i/>
          <w:iCs/>
        </w:rPr>
        <w:t xml:space="preserve">Journal of Psychiatric and Mental Health Nursing </w:t>
      </w:r>
      <w:r w:rsidRPr="00561492">
        <w:t>21</w:t>
      </w:r>
      <w:r w:rsidRPr="000329FE">
        <w:t>(4)</w:t>
      </w:r>
      <w:r>
        <w:t>:</w:t>
      </w:r>
      <w:r w:rsidRPr="000329FE">
        <w:t xml:space="preserve"> 296–302. </w:t>
      </w:r>
      <w:r>
        <w:t xml:space="preserve">URL: </w:t>
      </w:r>
      <w:hyperlink r:id="rId74" w:history="1">
        <w:r w:rsidR="00905935" w:rsidRPr="00905935">
          <w:rPr>
            <w:rStyle w:val="Hyperlink"/>
          </w:rPr>
          <w:t>https://doi.org/10.1111/jpm.12105</w:t>
        </w:r>
      </w:hyperlink>
      <w:r>
        <w:t xml:space="preserve"> (accessed 12 October 2021).</w:t>
      </w:r>
    </w:p>
    <w:p w14:paraId="52081556" w14:textId="77777777" w:rsidR="009636B7" w:rsidRPr="00075571" w:rsidRDefault="009636B7" w:rsidP="009636B7">
      <w:pPr>
        <w:pStyle w:val="References"/>
      </w:pPr>
      <w:r w:rsidRPr="00075571">
        <w:t xml:space="preserve">Durie M. 1998. </w:t>
      </w:r>
      <w:r w:rsidRPr="00075571">
        <w:rPr>
          <w:i/>
        </w:rPr>
        <w:t>Whaiora: M</w:t>
      </w:r>
      <w:r>
        <w:rPr>
          <w:i/>
        </w:rPr>
        <w:t>a</w:t>
      </w:r>
      <w:r w:rsidRPr="00075571">
        <w:rPr>
          <w:i/>
        </w:rPr>
        <w:t xml:space="preserve">ori </w:t>
      </w:r>
      <w:r w:rsidRPr="001A28C6">
        <w:rPr>
          <w:i/>
        </w:rPr>
        <w:t xml:space="preserve">health development </w:t>
      </w:r>
      <w:r w:rsidRPr="009E213B">
        <w:rPr>
          <w:iCs/>
        </w:rPr>
        <w:t>(</w:t>
      </w:r>
      <w:r w:rsidRPr="00075571">
        <w:t>2</w:t>
      </w:r>
      <w:r w:rsidRPr="00561492">
        <w:t>nd</w:t>
      </w:r>
      <w:r w:rsidRPr="00075571">
        <w:t xml:space="preserve"> ed</w:t>
      </w:r>
      <w:r w:rsidRPr="001A28C6">
        <w:t>).</w:t>
      </w:r>
      <w:r w:rsidRPr="00075571">
        <w:t xml:space="preserve"> Oxford: Oxford University Press.</w:t>
      </w:r>
    </w:p>
    <w:p w14:paraId="1B275FA8" w14:textId="77777777" w:rsidR="009636B7" w:rsidRPr="0043256B" w:rsidRDefault="009636B7" w:rsidP="009636B7">
      <w:pPr>
        <w:pStyle w:val="References"/>
      </w:pPr>
      <w:r w:rsidRPr="001A28C6">
        <w:t xml:space="preserve">Dyer W. 2013. Criminal justice diversion and liaison services: A path to success? </w:t>
      </w:r>
      <w:r w:rsidRPr="001A28C6">
        <w:rPr>
          <w:i/>
          <w:iCs/>
        </w:rPr>
        <w:t xml:space="preserve">Social Policy and Society </w:t>
      </w:r>
      <w:r w:rsidRPr="00561492">
        <w:t>12</w:t>
      </w:r>
      <w:r w:rsidRPr="00E42BE0">
        <w:t>(1)</w:t>
      </w:r>
      <w:r>
        <w:t>:</w:t>
      </w:r>
      <w:r w:rsidRPr="00E42BE0">
        <w:t xml:space="preserve"> 31–45. </w:t>
      </w:r>
      <w:r>
        <w:t>DOI</w:t>
      </w:r>
      <w:r w:rsidRPr="00E42BE0">
        <w:t>:</w:t>
      </w:r>
      <w:r>
        <w:t xml:space="preserve"> </w:t>
      </w:r>
      <w:r w:rsidRPr="00E42BE0">
        <w:t>10.1017/S1474746412000188</w:t>
      </w:r>
      <w:r>
        <w:t xml:space="preserve"> (accessed 26 October 2021).</w:t>
      </w:r>
    </w:p>
    <w:p w14:paraId="508D7A96" w14:textId="77777777" w:rsidR="00EE0ADB" w:rsidRDefault="009636B7" w:rsidP="009636B7">
      <w:pPr>
        <w:pStyle w:val="References"/>
      </w:pPr>
      <w:r w:rsidRPr="00DD29A3">
        <w:t xml:space="preserve">Earl F, Cocksedge K, Morgan J, </w:t>
      </w:r>
      <w:r w:rsidR="00AD0D58">
        <w:t>et al</w:t>
      </w:r>
      <w:r w:rsidRPr="00DD29A3">
        <w:t xml:space="preserve">. 2017. Evaluating liaison and diversion schemes: </w:t>
      </w:r>
      <w:r w:rsidRPr="00482A5B">
        <w:t>A</w:t>
      </w:r>
      <w:r w:rsidRPr="00A537F0">
        <w:t>n analysis of health, criminal and economic data.</w:t>
      </w:r>
      <w:r w:rsidRPr="004034BB">
        <w:t xml:space="preserve"> </w:t>
      </w:r>
      <w:r w:rsidRPr="00FB779C">
        <w:rPr>
          <w:i/>
          <w:iCs/>
        </w:rPr>
        <w:t xml:space="preserve">Journal of Forensic Psychiatry and Psychology </w:t>
      </w:r>
      <w:r w:rsidRPr="00561492">
        <w:t>28</w:t>
      </w:r>
      <w:r w:rsidRPr="000329FE">
        <w:t>(4)</w:t>
      </w:r>
      <w:r>
        <w:t>:</w:t>
      </w:r>
      <w:r w:rsidRPr="000329FE">
        <w:t xml:space="preserve"> 562–80. </w:t>
      </w:r>
      <w:r>
        <w:t>DOI</w:t>
      </w:r>
      <w:r w:rsidRPr="000329FE">
        <w:t>:</w:t>
      </w:r>
      <w:r>
        <w:t xml:space="preserve"> </w:t>
      </w:r>
      <w:r w:rsidRPr="000329FE">
        <w:t>10.1080/14789949.2017.1308539</w:t>
      </w:r>
      <w:r>
        <w:t xml:space="preserve"> (accessed 27 October 2021).</w:t>
      </w:r>
    </w:p>
    <w:p w14:paraId="5EA49C11" w14:textId="77777777" w:rsidR="009636B7" w:rsidRPr="000329FE" w:rsidRDefault="009636B7" w:rsidP="009636B7">
      <w:pPr>
        <w:pStyle w:val="References"/>
      </w:pPr>
      <w:r w:rsidRPr="000329FE">
        <w:t xml:space="preserve">Earl F, Cocksedge K, Rheeder B, </w:t>
      </w:r>
      <w:r w:rsidR="00AD0D58">
        <w:t>et al</w:t>
      </w:r>
      <w:r w:rsidRPr="000329FE">
        <w:t xml:space="preserve">. 2015. Neighbourhood outreach: A novel approach to liaison and diversion. </w:t>
      </w:r>
      <w:r w:rsidRPr="000329FE">
        <w:rPr>
          <w:i/>
          <w:iCs/>
        </w:rPr>
        <w:t xml:space="preserve">Journal of Forensic Psychiatry and Psychology </w:t>
      </w:r>
      <w:r w:rsidRPr="00561492">
        <w:t>26</w:t>
      </w:r>
      <w:r w:rsidRPr="000329FE">
        <w:t>(5)</w:t>
      </w:r>
      <w:r>
        <w:t>:</w:t>
      </w:r>
      <w:r w:rsidR="00905935">
        <w:t> </w:t>
      </w:r>
      <w:r w:rsidRPr="000329FE">
        <w:t xml:space="preserve">573–85. </w:t>
      </w:r>
      <w:r>
        <w:t>DOI</w:t>
      </w:r>
      <w:r w:rsidRPr="000329FE">
        <w:t>:</w:t>
      </w:r>
      <w:r>
        <w:t xml:space="preserve"> </w:t>
      </w:r>
      <w:r w:rsidRPr="000329FE">
        <w:t>10.1080/14789949.2015.1045428</w:t>
      </w:r>
      <w:r>
        <w:t xml:space="preserve"> (accessed 27 October 2021).</w:t>
      </w:r>
    </w:p>
    <w:p w14:paraId="6C040E44" w14:textId="77777777" w:rsidR="009636B7" w:rsidRPr="000329FE" w:rsidRDefault="009636B7" w:rsidP="009636B7">
      <w:pPr>
        <w:pStyle w:val="References"/>
      </w:pPr>
      <w:r w:rsidRPr="000329FE">
        <w:t xml:space="preserve">Edge D, Walker T, Meacock R, </w:t>
      </w:r>
      <w:r w:rsidR="00AD0D58">
        <w:t>et al</w:t>
      </w:r>
      <w:r w:rsidRPr="000329FE">
        <w:t xml:space="preserve">. 2017. </w:t>
      </w:r>
      <w:r w:rsidRPr="000329FE">
        <w:rPr>
          <w:shd w:val="clear" w:color="auto" w:fill="FFFFFF"/>
        </w:rPr>
        <w:t>Secure pathways for women in the UK: Lessons from the women</w:t>
      </w:r>
      <w:r w:rsidR="00EE0ADB">
        <w:rPr>
          <w:shd w:val="clear" w:color="auto" w:fill="FFFFFF"/>
        </w:rPr>
        <w:t>’</w:t>
      </w:r>
      <w:r w:rsidRPr="000329FE">
        <w:rPr>
          <w:shd w:val="clear" w:color="auto" w:fill="FFFFFF"/>
        </w:rPr>
        <w:t xml:space="preserve">s enhanced medium secure services (WEMSS) pilots. </w:t>
      </w:r>
      <w:r w:rsidRPr="000329FE">
        <w:rPr>
          <w:i/>
          <w:iCs/>
        </w:rPr>
        <w:t xml:space="preserve">Journal of Forensic Psychiatry &amp; Psychology </w:t>
      </w:r>
      <w:r w:rsidRPr="00561492">
        <w:t>28</w:t>
      </w:r>
      <w:r w:rsidRPr="000329FE">
        <w:t>(2)</w:t>
      </w:r>
      <w:r>
        <w:t>:</w:t>
      </w:r>
      <w:r w:rsidRPr="000329FE">
        <w:t xml:space="preserve"> 206–25.</w:t>
      </w:r>
      <w:r w:rsidRPr="000329FE">
        <w:rPr>
          <w:shd w:val="clear" w:color="auto" w:fill="FFFFFF"/>
        </w:rPr>
        <w:t xml:space="preserve">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10.1080/14789949.2016.1244279</w:t>
      </w:r>
      <w:r>
        <w:rPr>
          <w:shd w:val="clear" w:color="auto" w:fill="FFFFFF"/>
        </w:rPr>
        <w:t xml:space="preserve"> (accessed 12 October 2021).</w:t>
      </w:r>
    </w:p>
    <w:p w14:paraId="72A43B97" w14:textId="77777777" w:rsidR="00A0717A" w:rsidRPr="000329FE" w:rsidRDefault="009636B7" w:rsidP="009636B7">
      <w:pPr>
        <w:pStyle w:val="References"/>
      </w:pPr>
      <w:r w:rsidRPr="000329FE">
        <w:t xml:space="preserve">Edgely M. 2014. Why do mental health courts work? A confluence of treatment, support </w:t>
      </w:r>
      <w:r w:rsidR="00905935">
        <w:t>and</w:t>
      </w:r>
      <w:r w:rsidRPr="000329FE">
        <w:t xml:space="preserve"> adroit judicial supervision. </w:t>
      </w:r>
      <w:r w:rsidRPr="000329FE">
        <w:rPr>
          <w:i/>
          <w:iCs/>
        </w:rPr>
        <w:t xml:space="preserve">International Journal of Law and Psychiatry </w:t>
      </w:r>
      <w:r w:rsidRPr="00561492">
        <w:t>37</w:t>
      </w:r>
      <w:r w:rsidRPr="000329FE">
        <w:t>(6)</w:t>
      </w:r>
      <w:r>
        <w:t>:</w:t>
      </w:r>
      <w:r w:rsidRPr="000329FE">
        <w:t xml:space="preserve"> 572–80. </w:t>
      </w:r>
      <w:r>
        <w:t>DOI</w:t>
      </w:r>
      <w:r w:rsidRPr="000329FE">
        <w:t>:</w:t>
      </w:r>
      <w:r>
        <w:t xml:space="preserve"> </w:t>
      </w:r>
      <w:r w:rsidRPr="000329FE">
        <w:t>10.1016/j.ijlp.2014.02.031</w:t>
      </w:r>
      <w:r>
        <w:t xml:space="preserve"> (accessed 27 October 2021).</w:t>
      </w:r>
    </w:p>
    <w:p w14:paraId="218EF77C" w14:textId="77777777" w:rsidR="009636B7" w:rsidRPr="000329FE" w:rsidRDefault="009636B7" w:rsidP="009636B7">
      <w:pPr>
        <w:pStyle w:val="References"/>
      </w:pPr>
      <w:r w:rsidRPr="000329FE">
        <w:rPr>
          <w:shd w:val="clear" w:color="auto" w:fill="FFFFFF"/>
        </w:rPr>
        <w:lastRenderedPageBreak/>
        <w:t xml:space="preserve">Edwards T, Macpherson R, Commander M, </w:t>
      </w:r>
      <w:r w:rsidR="00AD0D58">
        <w:rPr>
          <w:shd w:val="clear" w:color="auto" w:fill="FFFFFF"/>
        </w:rPr>
        <w:t>et al</w:t>
      </w:r>
      <w:r w:rsidRPr="000329FE">
        <w:rPr>
          <w:shd w:val="clear" w:color="auto" w:fill="FFFFFF"/>
        </w:rPr>
        <w:t xml:space="preserve">. 2016. Services for people with complex psychosis: Towards a new understanding. </w:t>
      </w:r>
      <w:r w:rsidRPr="000329FE">
        <w:rPr>
          <w:i/>
          <w:iCs/>
        </w:rPr>
        <w:t xml:space="preserve">Psychiatrist </w:t>
      </w:r>
      <w:r w:rsidRPr="00561492">
        <w:t>40</w:t>
      </w:r>
      <w:r w:rsidRPr="000329FE">
        <w:t>(3)</w:t>
      </w:r>
      <w:r>
        <w:t>:</w:t>
      </w:r>
      <w:r w:rsidRPr="000329FE">
        <w:t xml:space="preserve"> 156–61.</w:t>
      </w:r>
      <w:r w:rsidRPr="000329FE">
        <w:rPr>
          <w:shd w:val="clear" w:color="auto" w:fill="FFFFFF"/>
        </w:rPr>
        <w:t xml:space="preserve">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10.1192/pb.bp.114.050278</w:t>
      </w:r>
      <w:r>
        <w:rPr>
          <w:shd w:val="clear" w:color="auto" w:fill="FFFFFF"/>
        </w:rPr>
        <w:t xml:space="preserve"> (accessed 11 October 2021).</w:t>
      </w:r>
    </w:p>
    <w:p w14:paraId="04B90B9E" w14:textId="77777777" w:rsidR="009636B7" w:rsidRPr="000329FE" w:rsidRDefault="009636B7" w:rsidP="009636B7">
      <w:pPr>
        <w:pStyle w:val="References"/>
        <w:rPr>
          <w:shd w:val="clear" w:color="auto" w:fill="FFFFFF"/>
        </w:rPr>
      </w:pPr>
      <w:r w:rsidRPr="000329FE">
        <w:t xml:space="preserve">Evans C. 2007. Ethical issues in forensic psychiatry. </w:t>
      </w:r>
      <w:r w:rsidRPr="000329FE">
        <w:rPr>
          <w:shd w:val="clear" w:color="auto" w:fill="FFFFFF"/>
        </w:rPr>
        <w:t>In W Brookbanks</w:t>
      </w:r>
      <w:r>
        <w:rPr>
          <w:shd w:val="clear" w:color="auto" w:fill="FFFFFF"/>
        </w:rPr>
        <w:t>,</w:t>
      </w:r>
      <w:r w:rsidRPr="000329FE">
        <w:rPr>
          <w:shd w:val="clear" w:color="auto" w:fill="FFFFFF"/>
        </w:rPr>
        <w:t xml:space="preserve"> S Simpson (</w:t>
      </w:r>
      <w:r>
        <w:rPr>
          <w:shd w:val="clear" w:color="auto" w:fill="FFFFFF"/>
        </w:rPr>
        <w:t>e</w:t>
      </w:r>
      <w:r w:rsidRPr="000329FE">
        <w:rPr>
          <w:shd w:val="clear" w:color="auto" w:fill="FFFFFF"/>
        </w:rPr>
        <w:t xml:space="preserve">ds), </w:t>
      </w:r>
      <w:r w:rsidRPr="000329FE">
        <w:rPr>
          <w:i/>
          <w:iCs/>
          <w:shd w:val="clear" w:color="auto" w:fill="FFFFFF"/>
        </w:rPr>
        <w:t xml:space="preserve">Psychiatry and the </w:t>
      </w:r>
      <w:r>
        <w:rPr>
          <w:i/>
          <w:iCs/>
          <w:shd w:val="clear" w:color="auto" w:fill="FFFFFF"/>
        </w:rPr>
        <w:t>L</w:t>
      </w:r>
      <w:r w:rsidRPr="000329FE">
        <w:rPr>
          <w:i/>
          <w:iCs/>
          <w:shd w:val="clear" w:color="auto" w:fill="FFFFFF"/>
        </w:rPr>
        <w:t>aw</w:t>
      </w:r>
      <w:r w:rsidRPr="000329FE">
        <w:rPr>
          <w:shd w:val="clear" w:color="auto" w:fill="FFFFFF"/>
        </w:rPr>
        <w:t xml:space="preserve"> (pp. 15–40). Wellington: LexisNexis.</w:t>
      </w:r>
    </w:p>
    <w:p w14:paraId="49FF6F62" w14:textId="77777777" w:rsidR="009636B7" w:rsidRPr="000329FE" w:rsidRDefault="009636B7" w:rsidP="009636B7">
      <w:pPr>
        <w:pStyle w:val="References"/>
      </w:pPr>
      <w:r w:rsidRPr="000329FE">
        <w:rPr>
          <w:shd w:val="clear" w:color="auto" w:fill="FFFFFF"/>
        </w:rPr>
        <w:t xml:space="preserve">Evans C. 2010. Forensic mental health in New Zealand. </w:t>
      </w:r>
      <w:r w:rsidRPr="000329FE">
        <w:t xml:space="preserve">In A Bartlett </w:t>
      </w:r>
      <w:r>
        <w:t>and</w:t>
      </w:r>
      <w:r w:rsidRPr="000329FE">
        <w:t xml:space="preserve"> G McGauley (</w:t>
      </w:r>
      <w:r>
        <w:t>e</w:t>
      </w:r>
      <w:r w:rsidRPr="000329FE">
        <w:t xml:space="preserve">ds), </w:t>
      </w:r>
      <w:r w:rsidRPr="000329FE">
        <w:rPr>
          <w:i/>
          <w:iCs/>
        </w:rPr>
        <w:t xml:space="preserve">Forensic </w:t>
      </w:r>
      <w:r>
        <w:rPr>
          <w:i/>
          <w:iCs/>
        </w:rPr>
        <w:t>M</w:t>
      </w:r>
      <w:r w:rsidRPr="000329FE">
        <w:rPr>
          <w:i/>
          <w:iCs/>
        </w:rPr>
        <w:t xml:space="preserve">ental </w:t>
      </w:r>
      <w:r>
        <w:rPr>
          <w:i/>
          <w:iCs/>
        </w:rPr>
        <w:t>H</w:t>
      </w:r>
      <w:r w:rsidRPr="000329FE">
        <w:rPr>
          <w:i/>
          <w:iCs/>
        </w:rPr>
        <w:t xml:space="preserve">ealth: Concepts, systems and practice </w:t>
      </w:r>
      <w:r w:rsidRPr="000329FE">
        <w:t xml:space="preserve">(pp. </w:t>
      </w:r>
      <w:r w:rsidRPr="000329FE">
        <w:rPr>
          <w:shd w:val="clear" w:color="auto" w:fill="FFFFFF"/>
        </w:rPr>
        <w:t>369–75)</w:t>
      </w:r>
      <w:r w:rsidRPr="000329FE">
        <w:rPr>
          <w:i/>
          <w:iCs/>
        </w:rPr>
        <w:t xml:space="preserve">. </w:t>
      </w:r>
      <w:r w:rsidRPr="000329FE">
        <w:t>Oxford: Oxford University Press.</w:t>
      </w:r>
    </w:p>
    <w:p w14:paraId="6760EB46" w14:textId="77777777" w:rsidR="009636B7" w:rsidRPr="000329FE" w:rsidRDefault="009636B7" w:rsidP="009636B7">
      <w:pPr>
        <w:pStyle w:val="References"/>
      </w:pPr>
      <w:r w:rsidRPr="000329FE">
        <w:t>Exworthy T, Parrot J. 1993. Evaluation of a diversion from custody scheme at magistrates</w:t>
      </w:r>
      <w:r w:rsidR="00EE0ADB">
        <w:t>’</w:t>
      </w:r>
      <w:r w:rsidRPr="000329FE">
        <w:t xml:space="preserve"> courts. </w:t>
      </w:r>
      <w:r w:rsidRPr="000329FE">
        <w:rPr>
          <w:i/>
          <w:iCs/>
        </w:rPr>
        <w:t xml:space="preserve">Journal of Forensic Psychiatry </w:t>
      </w:r>
      <w:r w:rsidRPr="00561492">
        <w:t>4</w:t>
      </w:r>
      <w:r w:rsidRPr="000329FE">
        <w:t>(3)</w:t>
      </w:r>
      <w:r>
        <w:t>:</w:t>
      </w:r>
      <w:r w:rsidRPr="000329FE">
        <w:t xml:space="preserve"> 497–505. </w:t>
      </w:r>
      <w:r>
        <w:t>DOI</w:t>
      </w:r>
      <w:r w:rsidRPr="000329FE">
        <w:t>:</w:t>
      </w:r>
      <w:r>
        <w:t xml:space="preserve"> </w:t>
      </w:r>
      <w:r w:rsidRPr="000329FE">
        <w:t>10.1080/09585189308408217</w:t>
      </w:r>
      <w:r>
        <w:t xml:space="preserve"> (accessed 26 October 2021).</w:t>
      </w:r>
    </w:p>
    <w:p w14:paraId="0C2ED31F" w14:textId="77777777" w:rsidR="009636B7" w:rsidRPr="000329FE" w:rsidRDefault="009636B7" w:rsidP="009636B7">
      <w:pPr>
        <w:pStyle w:val="References"/>
      </w:pPr>
      <w:r w:rsidRPr="000329FE">
        <w:t xml:space="preserve">Ferracuti S, Pucci D, Trobia F, </w:t>
      </w:r>
      <w:r w:rsidR="00AD0D58">
        <w:t>et al</w:t>
      </w:r>
      <w:r w:rsidRPr="000329FE">
        <w:t>. 2019. Evolution of forensic psychiatry in Italy over the past 40</w:t>
      </w:r>
      <w:r w:rsidRPr="000329FE">
        <w:rPr>
          <w:rFonts w:ascii="Times New Roman" w:hAnsi="Times New Roman"/>
        </w:rPr>
        <w:t> </w:t>
      </w:r>
      <w:r w:rsidRPr="000329FE">
        <w:t xml:space="preserve">years (1978–2018). </w:t>
      </w:r>
      <w:r w:rsidRPr="000329FE">
        <w:rPr>
          <w:i/>
          <w:iCs/>
        </w:rPr>
        <w:t xml:space="preserve">International Journal of Law and Psychiatry </w:t>
      </w:r>
      <w:r w:rsidRPr="00561492">
        <w:t>62</w:t>
      </w:r>
      <w:r>
        <w:t>:</w:t>
      </w:r>
      <w:r w:rsidRPr="000329FE">
        <w:t xml:space="preserve"> 45–9. </w:t>
      </w:r>
      <w:r>
        <w:t xml:space="preserve">URL: </w:t>
      </w:r>
      <w:hyperlink r:id="rId75" w:history="1">
        <w:r w:rsidR="00905935" w:rsidRPr="00905935">
          <w:rPr>
            <w:rStyle w:val="Hyperlink"/>
          </w:rPr>
          <w:t>https://doi.org/10.1016/j.ijlp.2018.10.003</w:t>
        </w:r>
      </w:hyperlink>
      <w:r>
        <w:t xml:space="preserve"> (accessed 12 October 2021).</w:t>
      </w:r>
    </w:p>
    <w:p w14:paraId="7B65F4F2" w14:textId="77777777" w:rsidR="009636B7" w:rsidRPr="000329FE" w:rsidRDefault="009636B7" w:rsidP="009636B7">
      <w:pPr>
        <w:pStyle w:val="References"/>
      </w:pPr>
      <w:r w:rsidRPr="000329FE">
        <w:t xml:space="preserve">Ferrazzi P, Krupa T. 2016a. Re: Mental health rehabilitation in therapeutic jurisprudence: Theoretical improvements. </w:t>
      </w:r>
      <w:r w:rsidRPr="000329FE">
        <w:rPr>
          <w:i/>
          <w:iCs/>
        </w:rPr>
        <w:t xml:space="preserve">International Journal of Law and Psychiatry </w:t>
      </w:r>
      <w:r w:rsidRPr="00561492">
        <w:t>46</w:t>
      </w:r>
      <w:r w:rsidRPr="000329FE">
        <w:t>(1)</w:t>
      </w:r>
      <w:r>
        <w:t>:</w:t>
      </w:r>
      <w:r w:rsidRPr="000329FE">
        <w:t xml:space="preserve"> 42–9. </w:t>
      </w:r>
      <w:r>
        <w:t>DOI</w:t>
      </w:r>
      <w:r w:rsidRPr="000329FE">
        <w:t>:</w:t>
      </w:r>
      <w:r>
        <w:t xml:space="preserve"> </w:t>
      </w:r>
      <w:r w:rsidRPr="000329FE">
        <w:t>10.1016/j.ijlp.2016.02.028</w:t>
      </w:r>
      <w:r>
        <w:t xml:space="preserve"> (accessed 26 October 2021).</w:t>
      </w:r>
    </w:p>
    <w:p w14:paraId="1172D9F5" w14:textId="77777777" w:rsidR="00EE0ADB" w:rsidRDefault="009636B7" w:rsidP="009636B7">
      <w:pPr>
        <w:pStyle w:val="References"/>
      </w:pPr>
      <w:r w:rsidRPr="000329FE">
        <w:t xml:space="preserve">Ferrazzi P, Krupa T. 2016b. </w:t>
      </w:r>
      <w:r w:rsidR="00EE0ADB">
        <w:t>‘</w:t>
      </w:r>
      <w:r w:rsidRPr="000329FE">
        <w:t>Symptoms of something all around us</w:t>
      </w:r>
      <w:r w:rsidR="00EE0ADB">
        <w:t>’</w:t>
      </w:r>
      <w:r w:rsidRPr="000329FE">
        <w:t xml:space="preserve">: Mental health, Inuit culture, and criminal justice in Arctic communities in Nunavut, Canada. </w:t>
      </w:r>
      <w:r w:rsidRPr="000329FE">
        <w:rPr>
          <w:i/>
          <w:iCs/>
        </w:rPr>
        <w:t xml:space="preserve">Social Science and Medicine </w:t>
      </w:r>
      <w:r w:rsidRPr="00561492">
        <w:t>165</w:t>
      </w:r>
      <w:r>
        <w:t>:</w:t>
      </w:r>
      <w:r w:rsidRPr="000329FE">
        <w:t xml:space="preserve"> 159–67. </w:t>
      </w:r>
      <w:r>
        <w:t>DOI</w:t>
      </w:r>
      <w:r w:rsidRPr="000329FE">
        <w:t>:</w:t>
      </w:r>
      <w:r>
        <w:t xml:space="preserve"> </w:t>
      </w:r>
      <w:r w:rsidRPr="000329FE">
        <w:t>10.1016/j.socscimed.2016.07.033</w:t>
      </w:r>
      <w:r>
        <w:t xml:space="preserve"> (26 October 2021).</w:t>
      </w:r>
    </w:p>
    <w:p w14:paraId="7E205129" w14:textId="77777777" w:rsidR="009636B7" w:rsidRPr="000329FE" w:rsidRDefault="009636B7" w:rsidP="009636B7">
      <w:pPr>
        <w:pStyle w:val="References"/>
      </w:pPr>
      <w:r w:rsidRPr="000329FE">
        <w:t xml:space="preserve">Firn M, Hindhaugh K, Hubbeling D, </w:t>
      </w:r>
      <w:r w:rsidR="00AD0D58">
        <w:t>et al</w:t>
      </w:r>
      <w:r w:rsidRPr="000329FE">
        <w:t xml:space="preserve">. 2013. A dismantling study of assertive outreach services: Comparing activity and outcomes following replacement with the FACT model. </w:t>
      </w:r>
      <w:r w:rsidRPr="000329FE">
        <w:rPr>
          <w:i/>
          <w:iCs/>
        </w:rPr>
        <w:t xml:space="preserve">Social Psychiatry and Psychiatric Epidemiology </w:t>
      </w:r>
      <w:r w:rsidRPr="00561492">
        <w:t>48</w:t>
      </w:r>
      <w:r>
        <w:t>:</w:t>
      </w:r>
      <w:r w:rsidRPr="000329FE">
        <w:t xml:space="preserve"> 997–1003. </w:t>
      </w:r>
      <w:r>
        <w:t>DOI</w:t>
      </w:r>
      <w:r w:rsidRPr="000329FE">
        <w:t>:</w:t>
      </w:r>
      <w:r>
        <w:t xml:space="preserve"> </w:t>
      </w:r>
      <w:r w:rsidRPr="000329FE">
        <w:t>10.1007/s00127-012-0602-x</w:t>
      </w:r>
      <w:r>
        <w:t xml:space="preserve"> </w:t>
      </w:r>
      <w:r w:rsidR="00905935">
        <w:t>(</w:t>
      </w:r>
      <w:r>
        <w:t>accessed 14 October 2021).</w:t>
      </w:r>
    </w:p>
    <w:p w14:paraId="38D684D6" w14:textId="77777777" w:rsidR="009636B7" w:rsidRPr="000329FE" w:rsidRDefault="009636B7" w:rsidP="009636B7">
      <w:pPr>
        <w:pStyle w:val="References"/>
      </w:pPr>
      <w:r w:rsidRPr="000329FE">
        <w:t xml:space="preserve">Fisher WH, Packer IK, Grisso T, </w:t>
      </w:r>
      <w:r w:rsidR="00AD0D58">
        <w:t>et al</w:t>
      </w:r>
      <w:r w:rsidRPr="000329FE">
        <w:t xml:space="preserve">. 2000. From case management to court clinic: Examining forensic system involvement of persons with severe mental illness. </w:t>
      </w:r>
      <w:r w:rsidRPr="000329FE">
        <w:rPr>
          <w:i/>
          <w:iCs/>
        </w:rPr>
        <w:t xml:space="preserve">Mental Health Services Research </w:t>
      </w:r>
      <w:r w:rsidRPr="00561492">
        <w:t>2</w:t>
      </w:r>
      <w:r w:rsidRPr="000329FE">
        <w:t>(1)</w:t>
      </w:r>
      <w:r>
        <w:t>:</w:t>
      </w:r>
      <w:r w:rsidRPr="000329FE">
        <w:t xml:space="preserve"> 41–9. </w:t>
      </w:r>
      <w:r>
        <w:t>DOI</w:t>
      </w:r>
      <w:r w:rsidRPr="000329FE">
        <w:t>:</w:t>
      </w:r>
      <w:r>
        <w:t xml:space="preserve"> </w:t>
      </w:r>
      <w:r w:rsidRPr="000329FE">
        <w:t>10.1023/A:1010143924699</w:t>
      </w:r>
      <w:r>
        <w:t xml:space="preserve"> (accessed 27 October 2021).</w:t>
      </w:r>
    </w:p>
    <w:p w14:paraId="18B2D1CC" w14:textId="77777777" w:rsidR="009636B7" w:rsidRPr="000329FE" w:rsidRDefault="009636B7" w:rsidP="009636B7">
      <w:pPr>
        <w:pStyle w:val="References"/>
        <w:rPr>
          <w:bCs/>
        </w:rPr>
      </w:pPr>
      <w:r w:rsidRPr="000329FE">
        <w:t>Forensic Mental Health Services Managed Care Network, Care Standards Working Group.</w:t>
      </w:r>
      <w:r w:rsidRPr="000329FE">
        <w:rPr>
          <w:bCs/>
        </w:rPr>
        <w:t xml:space="preserve"> 2005. </w:t>
      </w:r>
      <w:r w:rsidRPr="000329FE">
        <w:rPr>
          <w:bCs/>
          <w:i/>
          <w:iCs/>
        </w:rPr>
        <w:t xml:space="preserve">Care </w:t>
      </w:r>
      <w:r>
        <w:rPr>
          <w:bCs/>
          <w:i/>
          <w:iCs/>
        </w:rPr>
        <w:t>S</w:t>
      </w:r>
      <w:r w:rsidRPr="000329FE">
        <w:rPr>
          <w:bCs/>
          <w:i/>
          <w:iCs/>
        </w:rPr>
        <w:t xml:space="preserve">tandards for </w:t>
      </w:r>
      <w:r>
        <w:rPr>
          <w:bCs/>
          <w:i/>
          <w:iCs/>
        </w:rPr>
        <w:t>F</w:t>
      </w:r>
      <w:r w:rsidRPr="000329FE">
        <w:rPr>
          <w:bCs/>
          <w:i/>
          <w:iCs/>
        </w:rPr>
        <w:t xml:space="preserve">orensic </w:t>
      </w:r>
      <w:r>
        <w:rPr>
          <w:bCs/>
          <w:i/>
          <w:iCs/>
        </w:rPr>
        <w:t>M</w:t>
      </w:r>
      <w:r w:rsidRPr="000329FE">
        <w:rPr>
          <w:bCs/>
          <w:i/>
          <w:iCs/>
        </w:rPr>
        <w:t xml:space="preserve">ental </w:t>
      </w:r>
      <w:r>
        <w:rPr>
          <w:bCs/>
          <w:i/>
          <w:iCs/>
        </w:rPr>
        <w:t>H</w:t>
      </w:r>
      <w:r w:rsidRPr="000329FE">
        <w:rPr>
          <w:bCs/>
          <w:i/>
          <w:iCs/>
        </w:rPr>
        <w:t xml:space="preserve">ealth </w:t>
      </w:r>
      <w:r>
        <w:rPr>
          <w:bCs/>
          <w:i/>
          <w:iCs/>
        </w:rPr>
        <w:t>I</w:t>
      </w:r>
      <w:r w:rsidRPr="000329FE">
        <w:rPr>
          <w:bCs/>
          <w:i/>
          <w:iCs/>
        </w:rPr>
        <w:t xml:space="preserve">npatient </w:t>
      </w:r>
      <w:r>
        <w:rPr>
          <w:bCs/>
          <w:i/>
          <w:iCs/>
        </w:rPr>
        <w:t>F</w:t>
      </w:r>
      <w:r w:rsidRPr="000329FE">
        <w:rPr>
          <w:bCs/>
          <w:i/>
          <w:iCs/>
        </w:rPr>
        <w:t>acilities in Scotland</w:t>
      </w:r>
      <w:r w:rsidRPr="000329FE">
        <w:rPr>
          <w:bCs/>
        </w:rPr>
        <w:t xml:space="preserve">. </w:t>
      </w:r>
      <w:r>
        <w:rPr>
          <w:bCs/>
        </w:rPr>
        <w:t>URL:</w:t>
      </w:r>
      <w:r w:rsidRPr="000329FE">
        <w:t xml:space="preserve"> </w:t>
      </w:r>
      <w:hyperlink r:id="rId76" w:history="1">
        <w:r w:rsidR="00905935" w:rsidRPr="00905935">
          <w:rPr>
            <w:rStyle w:val="Hyperlink"/>
          </w:rPr>
          <w:t>www.forensicnetwork.scot.nhs.uk/wp-content/uploads/2016/10/Care-Standards-FINAL-DRAFT.pdf</w:t>
        </w:r>
      </w:hyperlink>
      <w:r>
        <w:t xml:space="preserve"> (accessed 2 November 2021).</w:t>
      </w:r>
    </w:p>
    <w:p w14:paraId="1F274099" w14:textId="77777777" w:rsidR="009636B7" w:rsidRPr="000329FE" w:rsidRDefault="009636B7" w:rsidP="009636B7">
      <w:pPr>
        <w:pStyle w:val="References"/>
        <w:rPr>
          <w:bCs/>
        </w:rPr>
      </w:pPr>
      <w:r w:rsidRPr="000329FE">
        <w:t>Forensic Mental Health Services Managed Care Network, Care Standards Working Group.</w:t>
      </w:r>
      <w:r w:rsidRPr="000329FE">
        <w:rPr>
          <w:bCs/>
        </w:rPr>
        <w:t xml:space="preserve"> 2006a. </w:t>
      </w:r>
      <w:r w:rsidRPr="000329FE">
        <w:rPr>
          <w:bCs/>
          <w:i/>
          <w:iCs/>
        </w:rPr>
        <w:t xml:space="preserve">High </w:t>
      </w:r>
      <w:r>
        <w:rPr>
          <w:bCs/>
          <w:i/>
          <w:iCs/>
        </w:rPr>
        <w:t>S</w:t>
      </w:r>
      <w:r w:rsidRPr="000329FE">
        <w:rPr>
          <w:bCs/>
          <w:i/>
          <w:iCs/>
        </w:rPr>
        <w:t xml:space="preserve">ecure </w:t>
      </w:r>
      <w:r>
        <w:rPr>
          <w:bCs/>
          <w:i/>
          <w:iCs/>
        </w:rPr>
        <w:t>C</w:t>
      </w:r>
      <w:r w:rsidRPr="000329FE">
        <w:rPr>
          <w:bCs/>
          <w:i/>
          <w:iCs/>
        </w:rPr>
        <w:t xml:space="preserve">are </w:t>
      </w:r>
      <w:r>
        <w:rPr>
          <w:bCs/>
          <w:i/>
          <w:iCs/>
        </w:rPr>
        <w:t>S</w:t>
      </w:r>
      <w:r w:rsidRPr="000329FE">
        <w:rPr>
          <w:bCs/>
          <w:i/>
          <w:iCs/>
        </w:rPr>
        <w:t>tandards</w:t>
      </w:r>
      <w:r w:rsidRPr="000329FE">
        <w:rPr>
          <w:bCs/>
        </w:rPr>
        <w:t xml:space="preserve">. </w:t>
      </w:r>
      <w:r>
        <w:rPr>
          <w:bCs/>
        </w:rPr>
        <w:t xml:space="preserve">Carstairs: </w:t>
      </w:r>
      <w:r w:rsidRPr="000329FE">
        <w:t>Forensic Mental Health Services Managed Care Network</w:t>
      </w:r>
      <w:r>
        <w:rPr>
          <w:bCs/>
        </w:rPr>
        <w:t>.</w:t>
      </w:r>
    </w:p>
    <w:p w14:paraId="3FE5FDFB" w14:textId="77777777" w:rsidR="00EE0ADB" w:rsidRDefault="009636B7" w:rsidP="009636B7">
      <w:pPr>
        <w:pStyle w:val="References"/>
      </w:pPr>
      <w:r w:rsidRPr="000329FE">
        <w:t>Forensic Mental Health Services Managed Care Network, Care Standards Working Group.</w:t>
      </w:r>
      <w:r w:rsidRPr="000329FE">
        <w:rPr>
          <w:bCs/>
        </w:rPr>
        <w:t xml:space="preserve"> 2006b. </w:t>
      </w:r>
      <w:r w:rsidRPr="000329FE">
        <w:rPr>
          <w:bCs/>
          <w:i/>
          <w:iCs/>
        </w:rPr>
        <w:t xml:space="preserve">Low </w:t>
      </w:r>
      <w:r>
        <w:rPr>
          <w:bCs/>
          <w:i/>
          <w:iCs/>
        </w:rPr>
        <w:t>S</w:t>
      </w:r>
      <w:r w:rsidRPr="000329FE">
        <w:rPr>
          <w:bCs/>
          <w:i/>
          <w:iCs/>
        </w:rPr>
        <w:t xml:space="preserve">ecure </w:t>
      </w:r>
      <w:r>
        <w:rPr>
          <w:bCs/>
          <w:i/>
          <w:iCs/>
        </w:rPr>
        <w:t>C</w:t>
      </w:r>
      <w:r w:rsidRPr="000329FE">
        <w:rPr>
          <w:bCs/>
          <w:i/>
          <w:iCs/>
        </w:rPr>
        <w:t xml:space="preserve">are </w:t>
      </w:r>
      <w:r>
        <w:rPr>
          <w:bCs/>
          <w:i/>
          <w:iCs/>
        </w:rPr>
        <w:t>S</w:t>
      </w:r>
      <w:r w:rsidRPr="000329FE">
        <w:rPr>
          <w:bCs/>
          <w:i/>
          <w:iCs/>
        </w:rPr>
        <w:t>tandards</w:t>
      </w:r>
      <w:r w:rsidRPr="000329FE">
        <w:rPr>
          <w:bCs/>
        </w:rPr>
        <w:t xml:space="preserve">. </w:t>
      </w:r>
      <w:r>
        <w:rPr>
          <w:bCs/>
        </w:rPr>
        <w:t xml:space="preserve">Carstairs: </w:t>
      </w:r>
      <w:r w:rsidRPr="000329FE">
        <w:t>Forensic Mental Health Services Managed Care Network</w:t>
      </w:r>
      <w:r>
        <w:t>.</w:t>
      </w:r>
    </w:p>
    <w:p w14:paraId="754D5C33" w14:textId="77777777" w:rsidR="00A0717A" w:rsidRDefault="009636B7" w:rsidP="009636B7">
      <w:pPr>
        <w:pStyle w:val="References"/>
      </w:pPr>
      <w:r w:rsidRPr="000329FE">
        <w:t>Forensic Mental Health Services Managed Care Network, Community Services Working Group.</w:t>
      </w:r>
      <w:r w:rsidRPr="000329FE">
        <w:rPr>
          <w:bCs/>
        </w:rPr>
        <w:t xml:space="preserve"> 2005. </w:t>
      </w:r>
      <w:r w:rsidRPr="000329FE">
        <w:rPr>
          <w:bCs/>
          <w:i/>
          <w:iCs/>
        </w:rPr>
        <w:t xml:space="preserve">Community </w:t>
      </w:r>
      <w:r>
        <w:rPr>
          <w:bCs/>
          <w:i/>
          <w:iCs/>
        </w:rPr>
        <w:t>S</w:t>
      </w:r>
      <w:r w:rsidRPr="000329FE">
        <w:rPr>
          <w:bCs/>
          <w:i/>
          <w:iCs/>
        </w:rPr>
        <w:t xml:space="preserve">ervices for </w:t>
      </w:r>
      <w:r>
        <w:rPr>
          <w:bCs/>
          <w:i/>
          <w:iCs/>
        </w:rPr>
        <w:t>M</w:t>
      </w:r>
      <w:r w:rsidRPr="000329FE">
        <w:rPr>
          <w:bCs/>
          <w:i/>
          <w:iCs/>
        </w:rPr>
        <w:t xml:space="preserve">entally </w:t>
      </w:r>
      <w:r>
        <w:rPr>
          <w:bCs/>
          <w:i/>
          <w:iCs/>
        </w:rPr>
        <w:t>D</w:t>
      </w:r>
      <w:r w:rsidRPr="000329FE">
        <w:rPr>
          <w:bCs/>
          <w:i/>
          <w:iCs/>
        </w:rPr>
        <w:t xml:space="preserve">isordered </w:t>
      </w:r>
      <w:r>
        <w:rPr>
          <w:bCs/>
          <w:i/>
          <w:iCs/>
        </w:rPr>
        <w:t>O</w:t>
      </w:r>
      <w:r w:rsidRPr="000329FE">
        <w:rPr>
          <w:bCs/>
          <w:i/>
          <w:iCs/>
        </w:rPr>
        <w:t>ffenders in Scotland</w:t>
      </w:r>
      <w:r w:rsidRPr="000329FE">
        <w:rPr>
          <w:bCs/>
        </w:rPr>
        <w:t xml:space="preserve">. </w:t>
      </w:r>
      <w:r>
        <w:rPr>
          <w:bCs/>
        </w:rPr>
        <w:t xml:space="preserve">Carstairs: </w:t>
      </w:r>
      <w:r w:rsidRPr="000329FE">
        <w:t>Forensic Mental Health Services Managed Care Network</w:t>
      </w:r>
      <w:r>
        <w:t>.</w:t>
      </w:r>
    </w:p>
    <w:p w14:paraId="33D6FE73" w14:textId="77777777" w:rsidR="00EE0ADB" w:rsidRDefault="009636B7" w:rsidP="009636B7">
      <w:pPr>
        <w:pStyle w:val="References"/>
        <w:rPr>
          <w:i/>
          <w:iCs/>
        </w:rPr>
      </w:pPr>
      <w:r w:rsidRPr="000329FE">
        <w:lastRenderedPageBreak/>
        <w:t>Forensic Mental Health Services Managed Care Network, Leading Change Programme. 2008.</w:t>
      </w:r>
      <w:r w:rsidRPr="000329FE">
        <w:rPr>
          <w:i/>
          <w:iCs/>
        </w:rPr>
        <w:t xml:space="preserve"> </w:t>
      </w:r>
      <w:r w:rsidRPr="00075571">
        <w:rPr>
          <w:i/>
          <w:iCs/>
        </w:rPr>
        <w:t xml:space="preserve">Leading </w:t>
      </w:r>
      <w:r>
        <w:rPr>
          <w:i/>
          <w:iCs/>
        </w:rPr>
        <w:t>C</w:t>
      </w:r>
      <w:r w:rsidRPr="001A28C6">
        <w:rPr>
          <w:i/>
          <w:iCs/>
        </w:rPr>
        <w:t xml:space="preserve">hange in </w:t>
      </w:r>
      <w:r>
        <w:rPr>
          <w:i/>
          <w:iCs/>
        </w:rPr>
        <w:t>F</w:t>
      </w:r>
      <w:r w:rsidRPr="001A28C6">
        <w:rPr>
          <w:i/>
          <w:iCs/>
        </w:rPr>
        <w:t xml:space="preserve">orensic </w:t>
      </w:r>
      <w:r>
        <w:rPr>
          <w:i/>
          <w:iCs/>
        </w:rPr>
        <w:t>S</w:t>
      </w:r>
      <w:r w:rsidRPr="001A28C6">
        <w:rPr>
          <w:i/>
          <w:iCs/>
        </w:rPr>
        <w:t>ervices: A multi-disciplinary</w:t>
      </w:r>
      <w:r w:rsidRPr="009E213B">
        <w:rPr>
          <w:i/>
          <w:iCs/>
        </w:rPr>
        <w:t xml:space="preserve"> and multi-agency</w:t>
      </w:r>
      <w:r w:rsidRPr="00E42BE0">
        <w:rPr>
          <w:i/>
          <w:iCs/>
        </w:rPr>
        <w:t xml:space="preserve"> approach to improve care pathways for forensic service users i</w:t>
      </w:r>
      <w:r w:rsidRPr="00075571">
        <w:rPr>
          <w:i/>
          <w:iCs/>
        </w:rPr>
        <w:t>n Scotland</w:t>
      </w:r>
      <w:r w:rsidRPr="001A28C6">
        <w:rPr>
          <w:i/>
          <w:iCs/>
        </w:rPr>
        <w:t>.</w:t>
      </w:r>
      <w:r>
        <w:rPr>
          <w:i/>
          <w:iCs/>
        </w:rPr>
        <w:t xml:space="preserve"> </w:t>
      </w:r>
      <w:r>
        <w:t xml:space="preserve">Carstairs: </w:t>
      </w:r>
      <w:r w:rsidRPr="000329FE">
        <w:t>Forensic Mental Health Services Managed Care Network</w:t>
      </w:r>
      <w:r>
        <w:t>.</w:t>
      </w:r>
    </w:p>
    <w:p w14:paraId="59EC473C" w14:textId="77777777" w:rsidR="00EE0ADB" w:rsidRDefault="009636B7" w:rsidP="009636B7">
      <w:pPr>
        <w:pStyle w:val="References"/>
      </w:pPr>
      <w:r w:rsidRPr="00482A5B">
        <w:t xml:space="preserve">Forensic Mental Health Services Managed Care Network, Matrix Working Group. 2012. </w:t>
      </w:r>
      <w:r w:rsidR="00EE0ADB">
        <w:rPr>
          <w:i/>
          <w:iCs/>
        </w:rPr>
        <w:t>‘</w:t>
      </w:r>
      <w:r w:rsidRPr="00561492">
        <w:rPr>
          <w:i/>
          <w:iCs/>
        </w:rPr>
        <w:t xml:space="preserve">The </w:t>
      </w:r>
      <w:r w:rsidRPr="00075571">
        <w:rPr>
          <w:i/>
          <w:iCs/>
        </w:rPr>
        <w:t xml:space="preserve">Forensic </w:t>
      </w:r>
      <w:r>
        <w:rPr>
          <w:i/>
          <w:iCs/>
        </w:rPr>
        <w:t>M</w:t>
      </w:r>
      <w:r w:rsidRPr="00075571">
        <w:rPr>
          <w:i/>
          <w:iCs/>
        </w:rPr>
        <w:t xml:space="preserve">ental </w:t>
      </w:r>
      <w:r>
        <w:rPr>
          <w:i/>
          <w:iCs/>
        </w:rPr>
        <w:t>H</w:t>
      </w:r>
      <w:r w:rsidRPr="00075571">
        <w:rPr>
          <w:i/>
          <w:iCs/>
        </w:rPr>
        <w:t xml:space="preserve">ealth </w:t>
      </w:r>
      <w:r>
        <w:rPr>
          <w:i/>
          <w:iCs/>
        </w:rPr>
        <w:t>M</w:t>
      </w:r>
      <w:r w:rsidRPr="00075571">
        <w:rPr>
          <w:i/>
          <w:iCs/>
        </w:rPr>
        <w:t>atrix</w:t>
      </w:r>
      <w:r w:rsidR="00EE0ADB">
        <w:rPr>
          <w:i/>
          <w:iCs/>
        </w:rPr>
        <w:t>’</w:t>
      </w:r>
      <w:r w:rsidRPr="001A28C6">
        <w:rPr>
          <w:i/>
          <w:iCs/>
        </w:rPr>
        <w:t xml:space="preserve">: A guide to delivering evidence based psychological therapies in forensic mental health services in Scotland. </w:t>
      </w:r>
      <w:r>
        <w:t xml:space="preserve">Carstairs: </w:t>
      </w:r>
      <w:r w:rsidRPr="000329FE">
        <w:t>Forensic Mental Health Services Managed Care Network</w:t>
      </w:r>
      <w:r>
        <w:t>.</w:t>
      </w:r>
    </w:p>
    <w:p w14:paraId="5875B13F" w14:textId="77777777" w:rsidR="00EE0ADB" w:rsidRDefault="009636B7" w:rsidP="009636B7">
      <w:pPr>
        <w:pStyle w:val="References"/>
      </w:pPr>
      <w:r w:rsidRPr="00482A5B">
        <w:t>Forensic Mental Health Services Managed Care Network</w:t>
      </w:r>
      <w:r w:rsidRPr="00DD29A3">
        <w:t xml:space="preserve">. 2017. </w:t>
      </w:r>
      <w:r w:rsidRPr="00DD29A3">
        <w:rPr>
          <w:i/>
          <w:iCs/>
        </w:rPr>
        <w:t>Forensic Mental Health Services Managed Care Network: Annual report 2016</w:t>
      </w:r>
      <w:r>
        <w:rPr>
          <w:i/>
          <w:iCs/>
        </w:rPr>
        <w:t>–</w:t>
      </w:r>
      <w:r w:rsidRPr="00DD29A3">
        <w:rPr>
          <w:i/>
          <w:iCs/>
        </w:rPr>
        <w:t xml:space="preserve">2017. </w:t>
      </w:r>
      <w:r>
        <w:t>URL:</w:t>
      </w:r>
      <w:r w:rsidRPr="00482A5B">
        <w:t xml:space="preserve"> </w:t>
      </w:r>
      <w:hyperlink r:id="rId77" w:history="1">
        <w:r w:rsidR="00905935" w:rsidRPr="00905935">
          <w:rPr>
            <w:rStyle w:val="Hyperlink"/>
          </w:rPr>
          <w:t>www.forensicnetwork.scot.nhs.uk/wp-content/uploads/Annual-Report-2017.pdf</w:t>
        </w:r>
      </w:hyperlink>
      <w:r w:rsidRPr="00E71B0E" w:rsidDel="003B12F6">
        <w:t xml:space="preserve"> </w:t>
      </w:r>
      <w:r>
        <w:t>(accessed 2 November 2021).</w:t>
      </w:r>
    </w:p>
    <w:p w14:paraId="361D9FAB" w14:textId="77777777" w:rsidR="009636B7" w:rsidRPr="000329FE" w:rsidRDefault="009636B7" w:rsidP="009636B7">
      <w:pPr>
        <w:pStyle w:val="References"/>
      </w:pPr>
      <w:r w:rsidRPr="000329FE">
        <w:t xml:space="preserve">Forensicare. 2019a. About us. </w:t>
      </w:r>
      <w:r>
        <w:t>URL:</w:t>
      </w:r>
      <w:r w:rsidRPr="000329FE">
        <w:t xml:space="preserve"> </w:t>
      </w:r>
      <w:hyperlink r:id="rId78" w:history="1">
        <w:r w:rsidR="00905935" w:rsidRPr="00905935">
          <w:rPr>
            <w:rStyle w:val="Hyperlink"/>
          </w:rPr>
          <w:t>www.forensicare.vic.gov.au/about-us/</w:t>
        </w:r>
      </w:hyperlink>
      <w:r>
        <w:t xml:space="preserve"> (accessed 2 November 2021).</w:t>
      </w:r>
    </w:p>
    <w:p w14:paraId="29833E89" w14:textId="77777777" w:rsidR="009636B7" w:rsidRPr="000329FE" w:rsidRDefault="009636B7" w:rsidP="009636B7">
      <w:pPr>
        <w:pStyle w:val="References"/>
      </w:pPr>
      <w:r w:rsidRPr="000329FE">
        <w:t xml:space="preserve">Forensicare. 2019b. </w:t>
      </w:r>
      <w:r w:rsidRPr="000329FE">
        <w:rPr>
          <w:i/>
          <w:iCs/>
        </w:rPr>
        <w:t xml:space="preserve">Forensicare </w:t>
      </w:r>
      <w:r>
        <w:rPr>
          <w:i/>
          <w:iCs/>
        </w:rPr>
        <w:t>S</w:t>
      </w:r>
      <w:r w:rsidRPr="000329FE">
        <w:rPr>
          <w:i/>
          <w:iCs/>
        </w:rPr>
        <w:t xml:space="preserve">trategic </w:t>
      </w:r>
      <w:r>
        <w:rPr>
          <w:i/>
          <w:iCs/>
        </w:rPr>
        <w:t>P</w:t>
      </w:r>
      <w:r w:rsidRPr="000329FE">
        <w:rPr>
          <w:i/>
          <w:iCs/>
        </w:rPr>
        <w:t>lan 2018/19–2020/21</w:t>
      </w:r>
      <w:r w:rsidRPr="000329FE">
        <w:t xml:space="preserve">. </w:t>
      </w:r>
      <w:r>
        <w:t>Melbourne: Forensicare. URL:</w:t>
      </w:r>
      <w:r w:rsidRPr="000329FE">
        <w:t xml:space="preserve"> </w:t>
      </w:r>
      <w:hyperlink r:id="rId79" w:history="1">
        <w:r w:rsidR="001B5D91" w:rsidRPr="001B5D91">
          <w:rPr>
            <w:rStyle w:val="Hyperlink"/>
          </w:rPr>
          <w:t>www.forensicare.vic.gov.au/wp-content/uploads/2018/11/FORENSICARE-Strategic-Plan-2018-19-FINAL.pdf</w:t>
        </w:r>
      </w:hyperlink>
      <w:r>
        <w:t xml:space="preserve"> (accessed 2 November 2021).</w:t>
      </w:r>
    </w:p>
    <w:p w14:paraId="2B02D853" w14:textId="77777777" w:rsidR="009636B7" w:rsidRPr="000329FE" w:rsidRDefault="009636B7" w:rsidP="009636B7">
      <w:pPr>
        <w:pStyle w:val="References"/>
      </w:pPr>
      <w:r w:rsidRPr="000329FE">
        <w:t xml:space="preserve">Forrester A, Exworthy T, Chao O, </w:t>
      </w:r>
      <w:r w:rsidR="00AD0D58">
        <w:t>et al</w:t>
      </w:r>
      <w:r w:rsidRPr="000329FE">
        <w:t>. 2013</w:t>
      </w:r>
      <w:r>
        <w:t>a</w:t>
      </w:r>
      <w:r w:rsidRPr="000329FE">
        <w:t xml:space="preserve">. Influencing the care pathway for prisoners with acute mental illness. </w:t>
      </w:r>
      <w:r w:rsidRPr="000329FE">
        <w:rPr>
          <w:i/>
          <w:iCs/>
        </w:rPr>
        <w:t xml:space="preserve">Criminal Behavior and Mental Health </w:t>
      </w:r>
      <w:r w:rsidRPr="00561492">
        <w:t>23</w:t>
      </w:r>
      <w:r w:rsidRPr="000329FE">
        <w:t>(3)</w:t>
      </w:r>
      <w:r>
        <w:t>:</w:t>
      </w:r>
      <w:r w:rsidRPr="000329FE">
        <w:t xml:space="preserve"> 217–26. </w:t>
      </w:r>
      <w:r>
        <w:t>DOI</w:t>
      </w:r>
      <w:r w:rsidRPr="000329FE">
        <w:t>:</w:t>
      </w:r>
      <w:r>
        <w:t xml:space="preserve"> </w:t>
      </w:r>
      <w:r w:rsidRPr="000329FE">
        <w:t>10.1002/cbm.1870</w:t>
      </w:r>
      <w:r>
        <w:t xml:space="preserve"> (accessed 14 October 2021).</w:t>
      </w:r>
    </w:p>
    <w:p w14:paraId="2731B7BA" w14:textId="77777777" w:rsidR="009636B7" w:rsidRPr="000329FE" w:rsidRDefault="009636B7" w:rsidP="009636B7">
      <w:pPr>
        <w:pStyle w:val="References"/>
      </w:pPr>
      <w:r w:rsidRPr="000329FE">
        <w:t xml:space="preserve">Forrester A, Exworthy T, Olumoroti O, </w:t>
      </w:r>
      <w:r w:rsidR="00AD0D58">
        <w:t>et al</w:t>
      </w:r>
      <w:r w:rsidRPr="000329FE">
        <w:t>. 2013</w:t>
      </w:r>
      <w:r>
        <w:t>b</w:t>
      </w:r>
      <w:r w:rsidRPr="000329FE">
        <w:t xml:space="preserve">. Variations in prison mental health services in England and Wales. </w:t>
      </w:r>
      <w:r w:rsidRPr="000329FE">
        <w:rPr>
          <w:i/>
          <w:iCs/>
        </w:rPr>
        <w:t xml:space="preserve">International Journal of Law and Psychiatry </w:t>
      </w:r>
      <w:r w:rsidRPr="00561492">
        <w:t>36</w:t>
      </w:r>
      <w:r w:rsidRPr="000329FE">
        <w:t>(3–4)</w:t>
      </w:r>
      <w:r>
        <w:t>:</w:t>
      </w:r>
      <w:r w:rsidRPr="000329FE">
        <w:t xml:space="preserve"> 326—32. </w:t>
      </w:r>
      <w:r>
        <w:t>DOI</w:t>
      </w:r>
      <w:r w:rsidRPr="000329FE">
        <w:t>:</w:t>
      </w:r>
      <w:r>
        <w:t xml:space="preserve"> </w:t>
      </w:r>
      <w:r w:rsidRPr="000329FE">
        <w:t>10.1016/j.ijlp.2013.04.007</w:t>
      </w:r>
      <w:r>
        <w:t xml:space="preserve"> (accessed 14 October 2021).</w:t>
      </w:r>
    </w:p>
    <w:p w14:paraId="396230AA" w14:textId="77777777" w:rsidR="009636B7" w:rsidRPr="000329FE" w:rsidRDefault="009636B7" w:rsidP="009636B7">
      <w:pPr>
        <w:pStyle w:val="References"/>
      </w:pPr>
      <w:r w:rsidRPr="000329FE">
        <w:t xml:space="preserve">Forrester A, Singh J, Slade K, </w:t>
      </w:r>
      <w:r w:rsidR="00AD0D58">
        <w:t>et al</w:t>
      </w:r>
      <w:r w:rsidRPr="000329FE">
        <w:t xml:space="preserve">. 2014. Mental health in-reach in an urban UK remand prison. </w:t>
      </w:r>
      <w:r w:rsidRPr="000329FE">
        <w:rPr>
          <w:i/>
          <w:iCs/>
        </w:rPr>
        <w:t xml:space="preserve">International Journal of Prisoner Health </w:t>
      </w:r>
      <w:r w:rsidRPr="00561492">
        <w:t>10</w:t>
      </w:r>
      <w:r w:rsidRPr="000329FE">
        <w:t>(3)</w:t>
      </w:r>
      <w:r>
        <w:t>:</w:t>
      </w:r>
      <w:r w:rsidRPr="000329FE">
        <w:t xml:space="preserve"> 155–63. </w:t>
      </w:r>
      <w:r>
        <w:t>DOI</w:t>
      </w:r>
      <w:r w:rsidRPr="000329FE">
        <w:t>:</w:t>
      </w:r>
      <w:r>
        <w:t xml:space="preserve"> </w:t>
      </w:r>
      <w:r w:rsidRPr="000329FE">
        <w:t>10.1108/IJPH-07-2013-0035</w:t>
      </w:r>
      <w:r>
        <w:t xml:space="preserve"> (accessed 14 October 2021).</w:t>
      </w:r>
    </w:p>
    <w:p w14:paraId="06F1B849" w14:textId="77777777" w:rsidR="009636B7" w:rsidRPr="000329FE" w:rsidRDefault="009636B7" w:rsidP="009636B7">
      <w:pPr>
        <w:pStyle w:val="References"/>
      </w:pPr>
      <w:r w:rsidRPr="000329FE">
        <w:t xml:space="preserve">Forrester A, Till A, Simpson A, </w:t>
      </w:r>
      <w:r w:rsidR="00AD0D58">
        <w:t>et al</w:t>
      </w:r>
      <w:r w:rsidRPr="000329FE">
        <w:t xml:space="preserve">. 2018. Mental illness and the provision of mental health services in prisons. </w:t>
      </w:r>
      <w:r w:rsidRPr="000329FE">
        <w:rPr>
          <w:i/>
          <w:iCs/>
        </w:rPr>
        <w:t xml:space="preserve">British Medical Bulletin </w:t>
      </w:r>
      <w:r w:rsidRPr="00561492">
        <w:t>127</w:t>
      </w:r>
      <w:r>
        <w:t>:</w:t>
      </w:r>
      <w:r w:rsidRPr="000329FE">
        <w:t xml:space="preserve"> 101–9. </w:t>
      </w:r>
      <w:r>
        <w:t>DOI</w:t>
      </w:r>
      <w:r w:rsidRPr="000329FE">
        <w:t>:</w:t>
      </w:r>
      <w:r>
        <w:t xml:space="preserve"> </w:t>
      </w:r>
      <w:r w:rsidRPr="000329FE">
        <w:t>10.1093/bmb/ldy027</w:t>
      </w:r>
      <w:r>
        <w:t xml:space="preserve"> (accessed 11 October 2021).</w:t>
      </w:r>
    </w:p>
    <w:p w14:paraId="023789C9" w14:textId="77777777" w:rsidR="009636B7" w:rsidRPr="000329FE" w:rsidRDefault="009636B7" w:rsidP="009636B7">
      <w:pPr>
        <w:pStyle w:val="References"/>
      </w:pPr>
      <w:r w:rsidRPr="000329FE">
        <w:rPr>
          <w:shd w:val="clear" w:color="auto" w:fill="FFFFFF"/>
        </w:rPr>
        <w:t xml:space="preserve">Fortun, C-A, Ward T, Polaschek DLL. 2014. The good lives model and therapeutic environments in forensic settings. </w:t>
      </w:r>
      <w:r w:rsidRPr="000329FE">
        <w:rPr>
          <w:i/>
          <w:iCs/>
        </w:rPr>
        <w:t xml:space="preserve">Therapeutic Communities </w:t>
      </w:r>
      <w:r w:rsidRPr="00561492">
        <w:t>35</w:t>
      </w:r>
      <w:r w:rsidRPr="000329FE">
        <w:t>(3)</w:t>
      </w:r>
      <w:r>
        <w:t>:</w:t>
      </w:r>
      <w:r w:rsidRPr="000329FE">
        <w:t xml:space="preserve"> 95–104.</w:t>
      </w:r>
      <w:r w:rsidRPr="000329FE">
        <w:rPr>
          <w:shd w:val="clear" w:color="auto" w:fill="FFFFFF"/>
        </w:rPr>
        <w:t xml:space="preserve">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10.1108/TC-02-2014-0006</w:t>
      </w:r>
      <w:r>
        <w:rPr>
          <w:shd w:val="clear" w:color="auto" w:fill="FFFFFF"/>
        </w:rPr>
        <w:t xml:space="preserve"> (accessed 12 October 2021).</w:t>
      </w:r>
    </w:p>
    <w:p w14:paraId="27AD9F84" w14:textId="77777777" w:rsidR="009636B7" w:rsidRPr="000329FE" w:rsidRDefault="009636B7" w:rsidP="009636B7">
      <w:pPr>
        <w:pStyle w:val="References"/>
        <w:rPr>
          <w:rFonts w:ascii="Times New Roman" w:hAnsi="Times New Roman"/>
        </w:rPr>
      </w:pPr>
      <w:r w:rsidRPr="000329FE">
        <w:t xml:space="preserve">Fotu M, Tafa T. 2009. The Popao model: A Pacific recovery and strength concept in mental health. </w:t>
      </w:r>
      <w:r w:rsidRPr="000329FE">
        <w:rPr>
          <w:i/>
          <w:iCs/>
        </w:rPr>
        <w:t xml:space="preserve">Pacific Health Dialog </w:t>
      </w:r>
      <w:r w:rsidRPr="00561492">
        <w:t>15(1)</w:t>
      </w:r>
      <w:r>
        <w:t>:</w:t>
      </w:r>
      <w:r w:rsidRPr="00561492">
        <w:t xml:space="preserve"> 164–70.</w:t>
      </w:r>
      <w:r w:rsidRPr="000329FE">
        <w:rPr>
          <w:i/>
          <w:iCs/>
        </w:rPr>
        <w:t xml:space="preserve"> </w:t>
      </w:r>
      <w:r>
        <w:t>URL:</w:t>
      </w:r>
      <w:r w:rsidRPr="000329FE">
        <w:t xml:space="preserve"> </w:t>
      </w:r>
      <w:hyperlink r:id="rId80" w:history="1">
        <w:r w:rsidR="001B5D91" w:rsidRPr="001B5D91">
          <w:rPr>
            <w:rStyle w:val="Hyperlink"/>
          </w:rPr>
          <w:t>www.pacifichealthdialog.nz</w:t>
        </w:r>
      </w:hyperlink>
      <w:r>
        <w:t xml:space="preserve"> (accessed 12 October 2021).</w:t>
      </w:r>
    </w:p>
    <w:p w14:paraId="4ACD46F9" w14:textId="77777777" w:rsidR="00A0717A" w:rsidRPr="000329FE" w:rsidRDefault="009636B7" w:rsidP="009636B7">
      <w:pPr>
        <w:pStyle w:val="References"/>
      </w:pPr>
      <w:r w:rsidRPr="000329FE">
        <w:t xml:space="preserve">Frame-Reid K, Thurston J. 2016. State of mind: Mental health services in New Zealand prisons. </w:t>
      </w:r>
      <w:r w:rsidRPr="000329FE">
        <w:rPr>
          <w:i/>
          <w:iCs/>
        </w:rPr>
        <w:t xml:space="preserve">Practice: The New Zealand Corrections Journal </w:t>
      </w:r>
      <w:r w:rsidRPr="00561492">
        <w:t>4</w:t>
      </w:r>
      <w:r w:rsidRPr="000329FE">
        <w:t>(2)</w:t>
      </w:r>
      <w:r>
        <w:t>:</w:t>
      </w:r>
      <w:r w:rsidRPr="000329FE">
        <w:t xml:space="preserve"> 38–41. </w:t>
      </w:r>
      <w:r>
        <w:t>URL:</w:t>
      </w:r>
      <w:r w:rsidRPr="000329FE">
        <w:t xml:space="preserve"> </w:t>
      </w:r>
      <w:hyperlink r:id="rId81" w:history="1">
        <w:r w:rsidR="001B5D91" w:rsidRPr="001B5D91">
          <w:rPr>
            <w:rStyle w:val="Hyperlink"/>
          </w:rPr>
          <w:t>www.corrections.govt.nz/resources/research/journal/volume_4_issue_2_december_2016/state_of_mind_mental_health_services_in_new_zealand_prisons</w:t>
        </w:r>
      </w:hyperlink>
      <w:r>
        <w:t xml:space="preserve"> (accessed 22 October 2021).</w:t>
      </w:r>
    </w:p>
    <w:p w14:paraId="40289BE5" w14:textId="77777777" w:rsidR="009636B7" w:rsidRPr="000329FE" w:rsidRDefault="009636B7" w:rsidP="009636B7">
      <w:pPr>
        <w:pStyle w:val="References"/>
      </w:pPr>
      <w:r w:rsidRPr="000329FE">
        <w:lastRenderedPageBreak/>
        <w:t xml:space="preserve">Frayn E, Duke J, Smith H, </w:t>
      </w:r>
      <w:r w:rsidR="00AD0D58">
        <w:t>et al</w:t>
      </w:r>
      <w:r w:rsidRPr="000329FE">
        <w:t xml:space="preserve">. 2016. A voyage of discovery: Setting up a recovery college in a secure setting. </w:t>
      </w:r>
      <w:r w:rsidRPr="000329FE">
        <w:rPr>
          <w:i/>
          <w:iCs/>
        </w:rPr>
        <w:t xml:space="preserve">Mental Health and Social Inclusion </w:t>
      </w:r>
      <w:r w:rsidRPr="00561492">
        <w:t>20</w:t>
      </w:r>
      <w:r w:rsidRPr="000329FE">
        <w:t>(1)</w:t>
      </w:r>
      <w:r>
        <w:t>:</w:t>
      </w:r>
      <w:r w:rsidRPr="000329FE">
        <w:t xml:space="preserve"> 29–35. </w:t>
      </w:r>
      <w:r>
        <w:t>DOI</w:t>
      </w:r>
      <w:r w:rsidRPr="000329FE">
        <w:t>:</w:t>
      </w:r>
      <w:r>
        <w:t xml:space="preserve"> </w:t>
      </w:r>
      <w:r w:rsidRPr="000329FE">
        <w:t>10.1108/MHSI-06-2015-0025</w:t>
      </w:r>
      <w:r>
        <w:t xml:space="preserve"> (accessed 14 October 2021).</w:t>
      </w:r>
    </w:p>
    <w:p w14:paraId="70F16712" w14:textId="77777777" w:rsidR="009636B7" w:rsidRPr="000329FE" w:rsidRDefault="009636B7" w:rsidP="009636B7">
      <w:pPr>
        <w:pStyle w:val="References"/>
      </w:pPr>
      <w:r w:rsidRPr="000329FE">
        <w:t xml:space="preserve">Freckelton I. 2007. Psychiatrists as expert witnesses and report writers. </w:t>
      </w:r>
      <w:r w:rsidRPr="000329FE">
        <w:rPr>
          <w:shd w:val="clear" w:color="auto" w:fill="FFFFFF"/>
        </w:rPr>
        <w:t>In W</w:t>
      </w:r>
      <w:r w:rsidR="001B5D91">
        <w:rPr>
          <w:shd w:val="clear" w:color="auto" w:fill="FFFFFF"/>
        </w:rPr>
        <w:t> </w:t>
      </w:r>
      <w:r w:rsidRPr="000329FE">
        <w:rPr>
          <w:shd w:val="clear" w:color="auto" w:fill="FFFFFF"/>
        </w:rPr>
        <w:t xml:space="preserve">Brookbanks </w:t>
      </w:r>
      <w:r>
        <w:rPr>
          <w:shd w:val="clear" w:color="auto" w:fill="FFFFFF"/>
        </w:rPr>
        <w:t>and</w:t>
      </w:r>
      <w:r w:rsidRPr="000329FE">
        <w:rPr>
          <w:shd w:val="clear" w:color="auto" w:fill="FFFFFF"/>
        </w:rPr>
        <w:t xml:space="preserve"> S Simpson (</w:t>
      </w:r>
      <w:r>
        <w:rPr>
          <w:shd w:val="clear" w:color="auto" w:fill="FFFFFF"/>
        </w:rPr>
        <w:t>e</w:t>
      </w:r>
      <w:r w:rsidRPr="000329FE">
        <w:rPr>
          <w:shd w:val="clear" w:color="auto" w:fill="FFFFFF"/>
        </w:rPr>
        <w:t xml:space="preserve">ds), </w:t>
      </w:r>
      <w:r w:rsidRPr="000329FE">
        <w:rPr>
          <w:i/>
          <w:iCs/>
          <w:shd w:val="clear" w:color="auto" w:fill="FFFFFF"/>
        </w:rPr>
        <w:t xml:space="preserve">Psychiatry and the </w:t>
      </w:r>
      <w:r>
        <w:rPr>
          <w:i/>
          <w:iCs/>
          <w:shd w:val="clear" w:color="auto" w:fill="FFFFFF"/>
        </w:rPr>
        <w:t>L</w:t>
      </w:r>
      <w:r w:rsidRPr="000329FE">
        <w:rPr>
          <w:i/>
          <w:iCs/>
          <w:shd w:val="clear" w:color="auto" w:fill="FFFFFF"/>
        </w:rPr>
        <w:t>aw</w:t>
      </w:r>
      <w:r w:rsidRPr="000329FE">
        <w:rPr>
          <w:shd w:val="clear" w:color="auto" w:fill="FFFFFF"/>
        </w:rPr>
        <w:t xml:space="preserve"> (pp. 229–63). Wellington: LexisNexis.</w:t>
      </w:r>
    </w:p>
    <w:p w14:paraId="780C174B" w14:textId="77777777" w:rsidR="009636B7" w:rsidRPr="000329FE" w:rsidRDefault="009636B7" w:rsidP="009636B7">
      <w:pPr>
        <w:pStyle w:val="References"/>
      </w:pPr>
      <w:r w:rsidRPr="000329FE">
        <w:rPr>
          <w:shd w:val="clear" w:color="auto" w:fill="FFFFFF"/>
        </w:rPr>
        <w:t>Fritzon K, Doley R, Clark F. 2013. What works in reducing arson-related offending. In LA</w:t>
      </w:r>
      <w:r w:rsidR="001B5D91">
        <w:rPr>
          <w:shd w:val="clear" w:color="auto" w:fill="FFFFFF"/>
        </w:rPr>
        <w:t> </w:t>
      </w:r>
      <w:r w:rsidRPr="000329FE">
        <w:rPr>
          <w:shd w:val="clear" w:color="auto" w:fill="FFFFFF"/>
        </w:rPr>
        <w:t>Craig, L Dixon, TA Gannon (</w:t>
      </w:r>
      <w:r>
        <w:rPr>
          <w:shd w:val="clear" w:color="auto" w:fill="FFFFFF"/>
        </w:rPr>
        <w:t>e</w:t>
      </w:r>
      <w:r w:rsidRPr="000329FE">
        <w:rPr>
          <w:shd w:val="clear" w:color="auto" w:fill="FFFFFF"/>
        </w:rPr>
        <w:t xml:space="preserve">ds), </w:t>
      </w:r>
      <w:r w:rsidRPr="000329FE">
        <w:rPr>
          <w:i/>
          <w:iCs/>
        </w:rPr>
        <w:t xml:space="preserve">What </w:t>
      </w:r>
      <w:r>
        <w:rPr>
          <w:i/>
          <w:iCs/>
        </w:rPr>
        <w:t>W</w:t>
      </w:r>
      <w:r w:rsidRPr="000329FE">
        <w:rPr>
          <w:i/>
          <w:iCs/>
        </w:rPr>
        <w:t xml:space="preserve">orks in </w:t>
      </w:r>
      <w:r>
        <w:rPr>
          <w:i/>
          <w:iCs/>
        </w:rPr>
        <w:t>O</w:t>
      </w:r>
      <w:r w:rsidRPr="000329FE">
        <w:rPr>
          <w:i/>
          <w:iCs/>
        </w:rPr>
        <w:t xml:space="preserve">ffender </w:t>
      </w:r>
      <w:r>
        <w:rPr>
          <w:i/>
          <w:iCs/>
        </w:rPr>
        <w:t>R</w:t>
      </w:r>
      <w:r w:rsidRPr="000329FE">
        <w:rPr>
          <w:i/>
          <w:iCs/>
        </w:rPr>
        <w:t xml:space="preserve">ehabilitation: An evidence-based approach to assessment and treatment </w:t>
      </w:r>
      <w:r w:rsidRPr="000329FE">
        <w:t>(pp. 255–70)</w:t>
      </w:r>
      <w:r w:rsidRPr="000329FE">
        <w:rPr>
          <w:i/>
          <w:iCs/>
        </w:rPr>
        <w:t>.</w:t>
      </w:r>
      <w:r w:rsidRPr="000329FE">
        <w:t xml:space="preserve"> Hoboken, NJ: John Wiley &amp; Sons.</w:t>
      </w:r>
    </w:p>
    <w:p w14:paraId="02E69EE5" w14:textId="77777777" w:rsidR="009636B7" w:rsidRPr="000329FE" w:rsidRDefault="009636B7" w:rsidP="009636B7">
      <w:pPr>
        <w:pStyle w:val="References"/>
      </w:pPr>
      <w:r w:rsidRPr="000329FE">
        <w:t xml:space="preserve">Galpin G. 2007. Writing court reports. </w:t>
      </w:r>
      <w:r w:rsidRPr="000329FE">
        <w:rPr>
          <w:shd w:val="clear" w:color="auto" w:fill="FFFFFF"/>
        </w:rPr>
        <w:t xml:space="preserve">In W Brookbanks </w:t>
      </w:r>
      <w:r>
        <w:rPr>
          <w:shd w:val="clear" w:color="auto" w:fill="FFFFFF"/>
        </w:rPr>
        <w:t>and</w:t>
      </w:r>
      <w:r w:rsidRPr="000329FE">
        <w:rPr>
          <w:shd w:val="clear" w:color="auto" w:fill="FFFFFF"/>
        </w:rPr>
        <w:t xml:space="preserve"> S Simpson (</w:t>
      </w:r>
      <w:r>
        <w:rPr>
          <w:shd w:val="clear" w:color="auto" w:fill="FFFFFF"/>
        </w:rPr>
        <w:t>e</w:t>
      </w:r>
      <w:r w:rsidRPr="000329FE">
        <w:rPr>
          <w:shd w:val="clear" w:color="auto" w:fill="FFFFFF"/>
        </w:rPr>
        <w:t xml:space="preserve">ds), </w:t>
      </w:r>
      <w:r w:rsidRPr="000329FE">
        <w:rPr>
          <w:i/>
          <w:iCs/>
          <w:shd w:val="clear" w:color="auto" w:fill="FFFFFF"/>
        </w:rPr>
        <w:t xml:space="preserve">Psychiatry and the </w:t>
      </w:r>
      <w:r>
        <w:rPr>
          <w:i/>
          <w:iCs/>
          <w:shd w:val="clear" w:color="auto" w:fill="FFFFFF"/>
        </w:rPr>
        <w:t>L</w:t>
      </w:r>
      <w:r w:rsidRPr="000329FE">
        <w:rPr>
          <w:i/>
          <w:iCs/>
          <w:shd w:val="clear" w:color="auto" w:fill="FFFFFF"/>
        </w:rPr>
        <w:t>aw</w:t>
      </w:r>
      <w:r w:rsidRPr="000329FE">
        <w:rPr>
          <w:shd w:val="clear" w:color="auto" w:fill="FFFFFF"/>
        </w:rPr>
        <w:t xml:space="preserve"> (pp. 265–89). Wellington: LexisNexis.</w:t>
      </w:r>
    </w:p>
    <w:p w14:paraId="646A7A66" w14:textId="77777777" w:rsidR="009636B7" w:rsidRPr="000329FE" w:rsidRDefault="009636B7" w:rsidP="009636B7">
      <w:pPr>
        <w:pStyle w:val="References"/>
      </w:pPr>
      <w:r w:rsidRPr="000329FE">
        <w:t>G</w:t>
      </w:r>
      <w:r w:rsidRPr="00582558">
        <w:t>eelan</w:t>
      </w:r>
      <w:r w:rsidRPr="000329FE">
        <w:t xml:space="preserve"> S, Griffin N, Briscoe J, </w:t>
      </w:r>
      <w:r w:rsidR="00AD0D58">
        <w:t>et al</w:t>
      </w:r>
      <w:r w:rsidRPr="000329FE">
        <w:t xml:space="preserve">. 2000. A bail and probation hostel for mentally disordered defendants. </w:t>
      </w:r>
      <w:r w:rsidRPr="000329FE">
        <w:rPr>
          <w:i/>
          <w:iCs/>
        </w:rPr>
        <w:t xml:space="preserve">Journal of Forensic Psychiatry </w:t>
      </w:r>
      <w:r w:rsidRPr="00561492">
        <w:t>11</w:t>
      </w:r>
      <w:r w:rsidRPr="000329FE">
        <w:t>(1)</w:t>
      </w:r>
      <w:r>
        <w:t>:</w:t>
      </w:r>
      <w:r w:rsidRPr="000329FE">
        <w:t xml:space="preserve"> 93–104. </w:t>
      </w:r>
      <w:r>
        <w:t>DOI</w:t>
      </w:r>
      <w:r w:rsidRPr="000329FE">
        <w:t>:</w:t>
      </w:r>
      <w:r>
        <w:t xml:space="preserve"> </w:t>
      </w:r>
      <w:r w:rsidRPr="000329FE">
        <w:t>10.1080/095851800362382</w:t>
      </w:r>
      <w:r>
        <w:t xml:space="preserve"> (accessed 22 October 2021).</w:t>
      </w:r>
    </w:p>
    <w:p w14:paraId="63E698A3" w14:textId="77777777" w:rsidR="009636B7" w:rsidRPr="000329FE" w:rsidRDefault="009636B7" w:rsidP="009636B7">
      <w:pPr>
        <w:pStyle w:val="References"/>
      </w:pPr>
      <w:r w:rsidRPr="000329FE">
        <w:t>Georgiou M, Oultram M, Quazi H (</w:t>
      </w:r>
      <w:r>
        <w:t>e</w:t>
      </w:r>
      <w:r w:rsidRPr="000329FE">
        <w:t xml:space="preserve">ds). 2019. </w:t>
      </w:r>
      <w:r w:rsidRPr="000329FE">
        <w:rPr>
          <w:i/>
          <w:iCs/>
        </w:rPr>
        <w:t xml:space="preserve">Standards for </w:t>
      </w:r>
      <w:r>
        <w:rPr>
          <w:i/>
          <w:iCs/>
        </w:rPr>
        <w:t>F</w:t>
      </w:r>
      <w:r w:rsidRPr="000329FE">
        <w:rPr>
          <w:i/>
          <w:iCs/>
        </w:rPr>
        <w:t xml:space="preserve">orensic </w:t>
      </w:r>
      <w:r>
        <w:rPr>
          <w:i/>
          <w:iCs/>
        </w:rPr>
        <w:t>M</w:t>
      </w:r>
      <w:r w:rsidRPr="000329FE">
        <w:rPr>
          <w:i/>
          <w:iCs/>
        </w:rPr>
        <w:t xml:space="preserve">ental </w:t>
      </w:r>
      <w:r>
        <w:rPr>
          <w:i/>
          <w:iCs/>
        </w:rPr>
        <w:t>H</w:t>
      </w:r>
      <w:r w:rsidRPr="000329FE">
        <w:rPr>
          <w:i/>
          <w:iCs/>
        </w:rPr>
        <w:t xml:space="preserve">ealth </w:t>
      </w:r>
      <w:r>
        <w:rPr>
          <w:i/>
          <w:iCs/>
        </w:rPr>
        <w:t>S</w:t>
      </w:r>
      <w:r w:rsidRPr="000329FE">
        <w:rPr>
          <w:i/>
          <w:iCs/>
        </w:rPr>
        <w:t>ervices: Low and medium secure care</w:t>
      </w:r>
      <w:r w:rsidRPr="000329FE">
        <w:t xml:space="preserve"> (3</w:t>
      </w:r>
      <w:r w:rsidRPr="00561492">
        <w:t>rd</w:t>
      </w:r>
      <w:r w:rsidRPr="000329FE">
        <w:t xml:space="preserve"> ed). </w:t>
      </w:r>
      <w:r>
        <w:t xml:space="preserve">London: </w:t>
      </w:r>
      <w:r w:rsidRPr="000329FE">
        <w:t xml:space="preserve">Quality Network for Prison Mental Health Services </w:t>
      </w:r>
      <w:r>
        <w:t>and</w:t>
      </w:r>
      <w:r w:rsidRPr="000329FE">
        <w:t xml:space="preserve"> Royal College of Psychiatrists. </w:t>
      </w:r>
      <w:r>
        <w:t>URL:</w:t>
      </w:r>
      <w:r w:rsidRPr="000329FE">
        <w:t xml:space="preserve"> </w:t>
      </w:r>
      <w:hyperlink r:id="rId82" w:history="1">
        <w:r w:rsidR="001B5D91" w:rsidRPr="001B5D91">
          <w:rPr>
            <w:rStyle w:val="Hyperlink"/>
          </w:rPr>
          <w:t>www.rcpsych.ac.uk/docs/default-source/improving-care/ccqi/quality-networks/secure-forensic/forensic-standards-qnfmhs/standards-for-forensic-mental-health-services-fourth-edition.pdf?sfvrsn=2d2daabf_6</w:t>
        </w:r>
      </w:hyperlink>
      <w:r>
        <w:t xml:space="preserve"> (accessed 2 November 2021).</w:t>
      </w:r>
    </w:p>
    <w:p w14:paraId="207A802E" w14:textId="77777777" w:rsidR="009636B7" w:rsidRPr="000329FE" w:rsidRDefault="009636B7" w:rsidP="009636B7">
      <w:pPr>
        <w:pStyle w:val="References"/>
      </w:pPr>
      <w:r w:rsidRPr="000329FE">
        <w:t>Georgiou M, Stone H,</w:t>
      </w:r>
      <w:r w:rsidR="00EE0ADB">
        <w:t xml:space="preserve"> </w:t>
      </w:r>
      <w:r w:rsidRPr="000329FE">
        <w:t>Davies S (</w:t>
      </w:r>
      <w:r>
        <w:t>e</w:t>
      </w:r>
      <w:r w:rsidRPr="000329FE">
        <w:t xml:space="preserve">ds). 2018. </w:t>
      </w:r>
      <w:r w:rsidRPr="000329FE">
        <w:rPr>
          <w:i/>
          <w:iCs/>
        </w:rPr>
        <w:t xml:space="preserve">Standards for </w:t>
      </w:r>
      <w:r>
        <w:rPr>
          <w:i/>
          <w:iCs/>
        </w:rPr>
        <w:t>P</w:t>
      </w:r>
      <w:r w:rsidRPr="000329FE">
        <w:rPr>
          <w:i/>
          <w:iCs/>
        </w:rPr>
        <w:t xml:space="preserve">rison </w:t>
      </w:r>
      <w:r>
        <w:rPr>
          <w:i/>
          <w:iCs/>
        </w:rPr>
        <w:t>M</w:t>
      </w:r>
      <w:r w:rsidRPr="000329FE">
        <w:rPr>
          <w:i/>
          <w:iCs/>
        </w:rPr>
        <w:t xml:space="preserve">ental </w:t>
      </w:r>
      <w:r>
        <w:rPr>
          <w:i/>
          <w:iCs/>
        </w:rPr>
        <w:t>H</w:t>
      </w:r>
      <w:r w:rsidRPr="000329FE">
        <w:rPr>
          <w:i/>
          <w:iCs/>
        </w:rPr>
        <w:t xml:space="preserve">ealth </w:t>
      </w:r>
      <w:r>
        <w:rPr>
          <w:i/>
          <w:iCs/>
        </w:rPr>
        <w:t>S</w:t>
      </w:r>
      <w:r w:rsidRPr="000329FE">
        <w:rPr>
          <w:i/>
          <w:iCs/>
        </w:rPr>
        <w:t>ervices</w:t>
      </w:r>
      <w:r w:rsidRPr="000329FE">
        <w:t xml:space="preserve"> (4</w:t>
      </w:r>
      <w:r w:rsidRPr="00561492">
        <w:t>th</w:t>
      </w:r>
      <w:r w:rsidRPr="000329FE">
        <w:t xml:space="preserve"> ed; Publication No CCQI1293). </w:t>
      </w:r>
      <w:r>
        <w:t xml:space="preserve">London: </w:t>
      </w:r>
      <w:r w:rsidRPr="000329FE">
        <w:t xml:space="preserve">Quality Network for Prison Mental Health Services </w:t>
      </w:r>
      <w:r>
        <w:t>and</w:t>
      </w:r>
      <w:r w:rsidRPr="000329FE">
        <w:t xml:space="preserve"> Royal College of Psychiatrists. </w:t>
      </w:r>
      <w:r>
        <w:t xml:space="preserve">URL: </w:t>
      </w:r>
      <w:hyperlink r:id="rId83" w:history="1">
        <w:r w:rsidR="001B5D91" w:rsidRPr="001B5D91">
          <w:rPr>
            <w:rStyle w:val="Hyperlink"/>
          </w:rPr>
          <w:t>www.rcpsych.ac.uk/docs/default-source/improving-care/ccqi/quality-networks/prison-quality-network-prison/prison-qn-standards/prisons-standards-4th-edition.pdf?sfvrsn=465c58de_2</w:t>
        </w:r>
      </w:hyperlink>
      <w:r>
        <w:t xml:space="preserve"> (accessed 2 November 2021).</w:t>
      </w:r>
    </w:p>
    <w:p w14:paraId="16942BD2" w14:textId="77777777" w:rsidR="009636B7" w:rsidRPr="000329FE" w:rsidRDefault="009636B7" w:rsidP="009636B7">
      <w:pPr>
        <w:pStyle w:val="References"/>
        <w:rPr>
          <w:shd w:val="clear" w:color="auto" w:fill="FFFFFF"/>
        </w:rPr>
      </w:pPr>
      <w:r w:rsidRPr="000329FE">
        <w:rPr>
          <w:shd w:val="clear" w:color="auto" w:fill="FFFFFF"/>
        </w:rPr>
        <w:t xml:space="preserve">Giblin Y, Kelly A, Kelly E, </w:t>
      </w:r>
      <w:r w:rsidR="00AD0D58">
        <w:rPr>
          <w:shd w:val="clear" w:color="auto" w:fill="FFFFFF"/>
        </w:rPr>
        <w:t>et al</w:t>
      </w:r>
      <w:r w:rsidRPr="000329FE">
        <w:rPr>
          <w:shd w:val="clear" w:color="auto" w:fill="FFFFFF"/>
        </w:rPr>
        <w:t xml:space="preserve">. 2012. Reducing the use of seclusion for mental disorder in a prison: Implementing a high support unit in a prison using participant action research. </w:t>
      </w:r>
      <w:r w:rsidRPr="000329FE">
        <w:rPr>
          <w:i/>
          <w:iCs/>
          <w:shd w:val="clear" w:color="auto" w:fill="FFFFFF"/>
        </w:rPr>
        <w:t xml:space="preserve">International Journal of Mental Health Systems </w:t>
      </w:r>
      <w:r w:rsidRPr="00561492">
        <w:rPr>
          <w:shd w:val="clear" w:color="auto" w:fill="FFFFFF"/>
        </w:rPr>
        <w:t>6</w:t>
      </w:r>
      <w:r w:rsidRPr="000329FE">
        <w:rPr>
          <w:shd w:val="clear" w:color="auto" w:fill="FFFFFF"/>
        </w:rPr>
        <w:t xml:space="preserve">, Article No. 2.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10.1186/1752-4458-6-2</w:t>
      </w:r>
      <w:r>
        <w:rPr>
          <w:shd w:val="clear" w:color="auto" w:fill="FFFFFF"/>
        </w:rPr>
        <w:t xml:space="preserve"> (accessed 22 October 2021).</w:t>
      </w:r>
    </w:p>
    <w:p w14:paraId="4D61D93A" w14:textId="77777777" w:rsidR="009636B7" w:rsidRPr="000329FE" w:rsidRDefault="009636B7" w:rsidP="009636B7">
      <w:pPr>
        <w:pStyle w:val="References"/>
      </w:pPr>
      <w:r w:rsidRPr="000329FE">
        <w:rPr>
          <w:shd w:val="clear" w:color="auto" w:fill="FFFFFF"/>
        </w:rPr>
        <w:t>Gill P, McKenna P, O</w:t>
      </w:r>
      <w:r w:rsidR="00EE0ADB">
        <w:rPr>
          <w:shd w:val="clear" w:color="auto" w:fill="FFFFFF"/>
        </w:rPr>
        <w:t>’</w:t>
      </w:r>
      <w:r w:rsidRPr="000329FE">
        <w:rPr>
          <w:shd w:val="clear" w:color="auto" w:fill="FFFFFF"/>
        </w:rPr>
        <w:t xml:space="preserve">Neill H, </w:t>
      </w:r>
      <w:r w:rsidR="00AD0D58">
        <w:rPr>
          <w:shd w:val="clear" w:color="auto" w:fill="FFFFFF"/>
        </w:rPr>
        <w:t>et al</w:t>
      </w:r>
      <w:r w:rsidRPr="000329FE">
        <w:rPr>
          <w:shd w:val="clear" w:color="auto" w:fill="FFFFFF"/>
        </w:rPr>
        <w:t xml:space="preserve">. 2010. Pillars and pathways: Foundations of recovery in Irish forensic mental health care. </w:t>
      </w:r>
      <w:r w:rsidRPr="000329FE">
        <w:rPr>
          <w:i/>
          <w:iCs/>
        </w:rPr>
        <w:t xml:space="preserve">British Journal of Forensic Practice </w:t>
      </w:r>
      <w:r w:rsidRPr="00561492">
        <w:t>12</w:t>
      </w:r>
      <w:r w:rsidRPr="000329FE">
        <w:t>(3)</w:t>
      </w:r>
      <w:r>
        <w:t>:</w:t>
      </w:r>
      <w:r w:rsidRPr="000329FE">
        <w:t xml:space="preserve"> 29–36.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10.5042/bjfp.2010.0423</w:t>
      </w:r>
      <w:r>
        <w:rPr>
          <w:shd w:val="clear" w:color="auto" w:fill="FFFFFF"/>
        </w:rPr>
        <w:t xml:space="preserve"> (accessed 12 October 2021).</w:t>
      </w:r>
    </w:p>
    <w:p w14:paraId="3DD759EA" w14:textId="77777777" w:rsidR="009636B7" w:rsidRPr="000329FE" w:rsidRDefault="009636B7" w:rsidP="009636B7">
      <w:pPr>
        <w:pStyle w:val="References"/>
        <w:rPr>
          <w:shd w:val="clear" w:color="auto" w:fill="FFFFFF"/>
        </w:rPr>
      </w:pPr>
      <w:r w:rsidRPr="000329FE">
        <w:rPr>
          <w:shd w:val="clear" w:color="auto" w:fill="FFFFFF"/>
        </w:rPr>
        <w:t xml:space="preserve">Golding SL. 1990. Mental health professionals and the courts: The ethics of expertise. </w:t>
      </w:r>
      <w:r w:rsidRPr="000329FE">
        <w:rPr>
          <w:i/>
          <w:iCs/>
          <w:shd w:val="clear" w:color="auto" w:fill="FFFFFF"/>
        </w:rPr>
        <w:t xml:space="preserve">International Journal of Law and Psychiatry </w:t>
      </w:r>
      <w:r w:rsidRPr="00561492">
        <w:rPr>
          <w:shd w:val="clear" w:color="auto" w:fill="FFFFFF"/>
        </w:rPr>
        <w:t>13</w:t>
      </w:r>
      <w:r w:rsidRPr="000329FE">
        <w:rPr>
          <w:shd w:val="clear" w:color="auto" w:fill="FFFFFF"/>
        </w:rPr>
        <w:t>(4)</w:t>
      </w:r>
      <w:r>
        <w:rPr>
          <w:shd w:val="clear" w:color="auto" w:fill="FFFFFF"/>
        </w:rPr>
        <w:t>:</w:t>
      </w:r>
      <w:r w:rsidRPr="000329FE">
        <w:rPr>
          <w:shd w:val="clear" w:color="auto" w:fill="FFFFFF"/>
        </w:rPr>
        <w:t xml:space="preserve"> 281–307.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10.1016/0160-2527(90)90023-V</w:t>
      </w:r>
      <w:r>
        <w:rPr>
          <w:shd w:val="clear" w:color="auto" w:fill="FFFFFF"/>
        </w:rPr>
        <w:t xml:space="preserve"> (accessed 26 October 2021).</w:t>
      </w:r>
    </w:p>
    <w:p w14:paraId="09A149AB" w14:textId="77777777" w:rsidR="009636B7" w:rsidRPr="000329FE" w:rsidRDefault="009636B7" w:rsidP="009636B7">
      <w:pPr>
        <w:pStyle w:val="References"/>
      </w:pPr>
      <w:r w:rsidRPr="000329FE">
        <w:rPr>
          <w:shd w:val="clear" w:color="auto" w:fill="FFFFFF"/>
        </w:rPr>
        <w:t xml:space="preserve">Gordon A, Wong S. 2015. The use of a structured guide to assess proxies of offending behaviours and change in custodial settings. </w:t>
      </w:r>
      <w:r w:rsidRPr="000329FE">
        <w:rPr>
          <w:i/>
          <w:iCs/>
        </w:rPr>
        <w:t xml:space="preserve">Journal of Forensic Practice </w:t>
      </w:r>
      <w:r w:rsidRPr="00561492">
        <w:t>17</w:t>
      </w:r>
      <w:r w:rsidRPr="000329FE">
        <w:t>(2)</w:t>
      </w:r>
      <w:r>
        <w:t>:</w:t>
      </w:r>
      <w:r w:rsidRPr="000329FE">
        <w:t xml:space="preserve"> 83–100.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10.1108/JFP-10-2013-0048</w:t>
      </w:r>
      <w:r>
        <w:rPr>
          <w:shd w:val="clear" w:color="auto" w:fill="FFFFFF"/>
        </w:rPr>
        <w:t xml:space="preserve"> (accessed 11 October 2021).</w:t>
      </w:r>
    </w:p>
    <w:p w14:paraId="0B93C891" w14:textId="77777777" w:rsidR="009636B7" w:rsidRPr="000329FE" w:rsidRDefault="009636B7" w:rsidP="00A0717A">
      <w:pPr>
        <w:pStyle w:val="References"/>
        <w:keepNext/>
        <w:keepLines/>
      </w:pPr>
      <w:r w:rsidRPr="000329FE">
        <w:lastRenderedPageBreak/>
        <w:t xml:space="preserve">Gough K, Magness L, Winstanley J. 2012. Auditing a court assessment and advice service for defendants with mental health difficulties: Utilizing electronic patient records. </w:t>
      </w:r>
      <w:r w:rsidRPr="000329FE">
        <w:rPr>
          <w:i/>
          <w:iCs/>
        </w:rPr>
        <w:t xml:space="preserve">Medicine, Science and the Law </w:t>
      </w:r>
      <w:r w:rsidRPr="00561492">
        <w:t>52</w:t>
      </w:r>
      <w:r w:rsidRPr="000329FE">
        <w:t>(3)</w:t>
      </w:r>
      <w:r>
        <w:t>:</w:t>
      </w:r>
      <w:r w:rsidRPr="000329FE">
        <w:t xml:space="preserve"> 169–73. </w:t>
      </w:r>
      <w:r>
        <w:t>DOI</w:t>
      </w:r>
      <w:r w:rsidRPr="000329FE">
        <w:t>:</w:t>
      </w:r>
      <w:r>
        <w:t xml:space="preserve"> </w:t>
      </w:r>
      <w:r w:rsidRPr="000329FE">
        <w:t>10.1258/msl.2011.011069</w:t>
      </w:r>
      <w:r>
        <w:t xml:space="preserve"> (accessed 27 October 2021).</w:t>
      </w:r>
    </w:p>
    <w:p w14:paraId="3F8212EE" w14:textId="77777777" w:rsidR="009636B7" w:rsidRPr="000329FE" w:rsidRDefault="009636B7" w:rsidP="009636B7">
      <w:pPr>
        <w:pStyle w:val="References"/>
      </w:pPr>
      <w:bookmarkStart w:id="194" w:name="_Hlk84424179"/>
      <w:r w:rsidRPr="000329FE">
        <w:rPr>
          <w:shd w:val="clear" w:color="auto" w:fill="FFFFFF"/>
        </w:rPr>
        <w:t>Gournay K</w:t>
      </w:r>
      <w:r>
        <w:rPr>
          <w:shd w:val="clear" w:color="auto" w:fill="FFFFFF"/>
        </w:rPr>
        <w:t>,</w:t>
      </w:r>
      <w:r w:rsidRPr="000329FE">
        <w:rPr>
          <w:shd w:val="clear" w:color="auto" w:fill="FFFFFF"/>
        </w:rPr>
        <w:t xml:space="preserve"> Benson R</w:t>
      </w:r>
      <w:r>
        <w:rPr>
          <w:shd w:val="clear" w:color="auto" w:fill="FFFFFF"/>
        </w:rPr>
        <w:t>,</w:t>
      </w:r>
      <w:r w:rsidRPr="000329FE">
        <w:rPr>
          <w:shd w:val="clear" w:color="auto" w:fill="FFFFFF"/>
        </w:rPr>
        <w:t xml:space="preserve"> Rogers P. 2013. Inpatient care and management. In K Soothill, P</w:t>
      </w:r>
      <w:r w:rsidR="001B5D91">
        <w:rPr>
          <w:shd w:val="clear" w:color="auto" w:fill="FFFFFF"/>
        </w:rPr>
        <w:t> </w:t>
      </w:r>
      <w:r w:rsidRPr="000329FE">
        <w:rPr>
          <w:shd w:val="clear" w:color="auto" w:fill="FFFFFF"/>
        </w:rPr>
        <w:t>Rogers, M Dolan (</w:t>
      </w:r>
      <w:r>
        <w:rPr>
          <w:shd w:val="clear" w:color="auto" w:fill="FFFFFF"/>
        </w:rPr>
        <w:t>e</w:t>
      </w:r>
      <w:r w:rsidRPr="000329FE">
        <w:rPr>
          <w:shd w:val="clear" w:color="auto" w:fill="FFFFFF"/>
        </w:rPr>
        <w:t xml:space="preserve">ds), </w:t>
      </w:r>
      <w:r w:rsidRPr="000329FE">
        <w:rPr>
          <w:i/>
          <w:iCs/>
          <w:shd w:val="clear" w:color="auto" w:fill="FFFFFF"/>
        </w:rPr>
        <w:t xml:space="preserve">Handbook of </w:t>
      </w:r>
      <w:r>
        <w:rPr>
          <w:i/>
          <w:iCs/>
          <w:shd w:val="clear" w:color="auto" w:fill="FFFFFF"/>
        </w:rPr>
        <w:t>F</w:t>
      </w:r>
      <w:r w:rsidRPr="000329FE">
        <w:rPr>
          <w:i/>
          <w:iCs/>
          <w:shd w:val="clear" w:color="auto" w:fill="FFFFFF"/>
        </w:rPr>
        <w:t xml:space="preserve">orensic </w:t>
      </w:r>
      <w:r>
        <w:rPr>
          <w:i/>
          <w:iCs/>
          <w:shd w:val="clear" w:color="auto" w:fill="FFFFFF"/>
        </w:rPr>
        <w:t>M</w:t>
      </w:r>
      <w:r w:rsidRPr="000329FE">
        <w:rPr>
          <w:i/>
          <w:iCs/>
          <w:shd w:val="clear" w:color="auto" w:fill="FFFFFF"/>
        </w:rPr>
        <w:t xml:space="preserve">ental </w:t>
      </w:r>
      <w:r>
        <w:rPr>
          <w:i/>
          <w:iCs/>
          <w:shd w:val="clear" w:color="auto" w:fill="FFFFFF"/>
        </w:rPr>
        <w:t>H</w:t>
      </w:r>
      <w:r w:rsidRPr="000329FE">
        <w:rPr>
          <w:i/>
          <w:iCs/>
          <w:shd w:val="clear" w:color="auto" w:fill="FFFFFF"/>
        </w:rPr>
        <w:t>ealth</w:t>
      </w:r>
      <w:r w:rsidRPr="000329FE">
        <w:rPr>
          <w:shd w:val="clear" w:color="auto" w:fill="FFFFFF"/>
        </w:rPr>
        <w:t xml:space="preserve"> (2</w:t>
      </w:r>
      <w:r w:rsidRPr="00561492">
        <w:rPr>
          <w:shd w:val="clear" w:color="auto" w:fill="FFFFFF"/>
        </w:rPr>
        <w:t>nd</w:t>
      </w:r>
      <w:r w:rsidRPr="000329FE">
        <w:rPr>
          <w:shd w:val="clear" w:color="auto" w:fill="FFFFFF"/>
        </w:rPr>
        <w:t xml:space="preserve"> ed, pp. 525–54). London: Routledge.</w:t>
      </w:r>
    </w:p>
    <w:bookmarkEnd w:id="194"/>
    <w:p w14:paraId="7C1D0D66" w14:textId="77777777" w:rsidR="009636B7" w:rsidRPr="000329FE" w:rsidRDefault="009636B7" w:rsidP="009636B7">
      <w:pPr>
        <w:pStyle w:val="References"/>
      </w:pPr>
      <w:r w:rsidRPr="000329FE">
        <w:t xml:space="preserve">Gowensmith WN, Peters AJ, Lex IA, </w:t>
      </w:r>
      <w:r w:rsidR="00AD0D58">
        <w:t>et al</w:t>
      </w:r>
      <w:r w:rsidRPr="000329FE">
        <w:t xml:space="preserve">. 2016. New frontiers of conditional release: Applying lessons learned from other offenders with mental illness. </w:t>
      </w:r>
      <w:r w:rsidRPr="000329FE">
        <w:rPr>
          <w:i/>
          <w:iCs/>
        </w:rPr>
        <w:t xml:space="preserve">Behavioral Sciences &amp; the Law </w:t>
      </w:r>
      <w:r w:rsidRPr="00561492">
        <w:t>34</w:t>
      </w:r>
      <w:r w:rsidRPr="000329FE">
        <w:t xml:space="preserve">(2–3), 407–22. </w:t>
      </w:r>
      <w:r>
        <w:t>DOI</w:t>
      </w:r>
      <w:r w:rsidRPr="000329FE">
        <w:t>:</w:t>
      </w:r>
      <w:r>
        <w:t xml:space="preserve"> </w:t>
      </w:r>
      <w:r w:rsidRPr="000329FE">
        <w:t>10.1002/bsl.2217</w:t>
      </w:r>
      <w:r>
        <w:t xml:space="preserve"> (accessed 14 October 2021).</w:t>
      </w:r>
    </w:p>
    <w:p w14:paraId="0197F333" w14:textId="77777777" w:rsidR="009636B7" w:rsidRPr="000329FE" w:rsidRDefault="009636B7" w:rsidP="009636B7">
      <w:pPr>
        <w:pStyle w:val="References"/>
      </w:pPr>
      <w:r w:rsidRPr="000329FE">
        <w:rPr>
          <w:shd w:val="clear" w:color="auto" w:fill="FFFFFF"/>
        </w:rPr>
        <w:t>Gray N, Williams T. 2013. The expert witness: Professional practice and pitfalls. In K</w:t>
      </w:r>
      <w:r w:rsidR="001B5D91">
        <w:rPr>
          <w:shd w:val="clear" w:color="auto" w:fill="FFFFFF"/>
        </w:rPr>
        <w:t> </w:t>
      </w:r>
      <w:r w:rsidRPr="000329FE">
        <w:rPr>
          <w:shd w:val="clear" w:color="auto" w:fill="FFFFFF"/>
        </w:rPr>
        <w:t>Soothill, P Rogers, M Dolan (</w:t>
      </w:r>
      <w:r>
        <w:rPr>
          <w:shd w:val="clear" w:color="auto" w:fill="FFFFFF"/>
        </w:rPr>
        <w:t>e</w:t>
      </w:r>
      <w:r w:rsidRPr="000329FE">
        <w:rPr>
          <w:shd w:val="clear" w:color="auto" w:fill="FFFFFF"/>
        </w:rPr>
        <w:t xml:space="preserve">ds), </w:t>
      </w:r>
      <w:r w:rsidRPr="000329FE">
        <w:rPr>
          <w:i/>
          <w:iCs/>
          <w:shd w:val="clear" w:color="auto" w:fill="FFFFFF"/>
        </w:rPr>
        <w:t xml:space="preserve">Handbook of </w:t>
      </w:r>
      <w:r>
        <w:rPr>
          <w:i/>
          <w:iCs/>
          <w:shd w:val="clear" w:color="auto" w:fill="FFFFFF"/>
        </w:rPr>
        <w:t>F</w:t>
      </w:r>
      <w:r w:rsidRPr="000329FE">
        <w:rPr>
          <w:i/>
          <w:iCs/>
          <w:shd w:val="clear" w:color="auto" w:fill="FFFFFF"/>
        </w:rPr>
        <w:t xml:space="preserve">orensic </w:t>
      </w:r>
      <w:r>
        <w:rPr>
          <w:i/>
          <w:iCs/>
          <w:shd w:val="clear" w:color="auto" w:fill="FFFFFF"/>
        </w:rPr>
        <w:t>M</w:t>
      </w:r>
      <w:r w:rsidRPr="000329FE">
        <w:rPr>
          <w:i/>
          <w:iCs/>
          <w:shd w:val="clear" w:color="auto" w:fill="FFFFFF"/>
        </w:rPr>
        <w:t xml:space="preserve">ental </w:t>
      </w:r>
      <w:r>
        <w:rPr>
          <w:i/>
          <w:iCs/>
          <w:shd w:val="clear" w:color="auto" w:fill="FFFFFF"/>
        </w:rPr>
        <w:t>H</w:t>
      </w:r>
      <w:r w:rsidRPr="000329FE">
        <w:rPr>
          <w:i/>
          <w:iCs/>
          <w:shd w:val="clear" w:color="auto" w:fill="FFFFFF"/>
        </w:rPr>
        <w:t>ealth</w:t>
      </w:r>
      <w:r w:rsidRPr="000329FE">
        <w:rPr>
          <w:shd w:val="clear" w:color="auto" w:fill="FFFFFF"/>
        </w:rPr>
        <w:t xml:space="preserve"> (2</w:t>
      </w:r>
      <w:r w:rsidRPr="00561492">
        <w:rPr>
          <w:shd w:val="clear" w:color="auto" w:fill="FFFFFF"/>
        </w:rPr>
        <w:t>nd</w:t>
      </w:r>
      <w:r w:rsidRPr="000329FE">
        <w:rPr>
          <w:shd w:val="clear" w:color="auto" w:fill="FFFFFF"/>
        </w:rPr>
        <w:t xml:space="preserve"> ed, pp.</w:t>
      </w:r>
      <w:r w:rsidR="001B5D91">
        <w:rPr>
          <w:shd w:val="clear" w:color="auto" w:fill="FFFFFF"/>
        </w:rPr>
        <w:t> </w:t>
      </w:r>
      <w:r w:rsidRPr="000329FE">
        <w:rPr>
          <w:shd w:val="clear" w:color="auto" w:fill="FFFFFF"/>
        </w:rPr>
        <w:t>483–504). London: Routledge.</w:t>
      </w:r>
    </w:p>
    <w:p w14:paraId="3D59A9CB" w14:textId="77777777" w:rsidR="009636B7" w:rsidRPr="000329FE" w:rsidRDefault="009636B7" w:rsidP="009636B7">
      <w:pPr>
        <w:pStyle w:val="References"/>
      </w:pPr>
      <w:r w:rsidRPr="000329FE">
        <w:t xml:space="preserve">Gredecki N, Turner P. 2009. Positive psychology and forensic clients: Applications to relapse prevention in offending behaviour interventions. </w:t>
      </w:r>
      <w:r w:rsidRPr="000329FE">
        <w:rPr>
          <w:i/>
          <w:iCs/>
        </w:rPr>
        <w:t xml:space="preserve">British Journal of Forensic Practice </w:t>
      </w:r>
      <w:r w:rsidRPr="00561492">
        <w:t>11</w:t>
      </w:r>
      <w:r w:rsidRPr="000329FE">
        <w:t>(4)</w:t>
      </w:r>
      <w:r>
        <w:t>:</w:t>
      </w:r>
      <w:r w:rsidRPr="000329FE">
        <w:t xml:space="preserve"> 50–9. </w:t>
      </w:r>
      <w:r>
        <w:t>DOI</w:t>
      </w:r>
      <w:r w:rsidRPr="000329FE">
        <w:t>:</w:t>
      </w:r>
      <w:r>
        <w:t xml:space="preserve"> </w:t>
      </w:r>
      <w:r w:rsidRPr="000329FE">
        <w:t>10.1108/14636646200900028</w:t>
      </w:r>
      <w:r>
        <w:t xml:space="preserve"> (accessed 14 October 2021).</w:t>
      </w:r>
    </w:p>
    <w:p w14:paraId="33D3A86A" w14:textId="77777777" w:rsidR="009636B7" w:rsidRPr="000329FE" w:rsidRDefault="009636B7" w:rsidP="009636B7">
      <w:pPr>
        <w:pStyle w:val="References"/>
        <w:rPr>
          <w:shd w:val="clear" w:color="auto" w:fill="FFFFFF"/>
        </w:rPr>
      </w:pPr>
      <w:r w:rsidRPr="000329FE">
        <w:rPr>
          <w:shd w:val="clear" w:color="auto" w:fill="FFFFFF"/>
        </w:rPr>
        <w:t xml:space="preserve">Green G, Smith R, South N. 2005. Court-based psychiatric assessment: Case for an integrated diversionary and public health role. </w:t>
      </w:r>
      <w:r w:rsidRPr="000329FE">
        <w:rPr>
          <w:i/>
          <w:iCs/>
          <w:shd w:val="clear" w:color="auto" w:fill="FFFFFF"/>
        </w:rPr>
        <w:t xml:space="preserve">Journal of Forensic Psychiatry and Psychology </w:t>
      </w:r>
      <w:r w:rsidRPr="00561492">
        <w:rPr>
          <w:shd w:val="clear" w:color="auto" w:fill="FFFFFF"/>
        </w:rPr>
        <w:t>16</w:t>
      </w:r>
      <w:r w:rsidRPr="000329FE">
        <w:rPr>
          <w:shd w:val="clear" w:color="auto" w:fill="FFFFFF"/>
        </w:rPr>
        <w:t>(3)</w:t>
      </w:r>
      <w:r>
        <w:rPr>
          <w:shd w:val="clear" w:color="auto" w:fill="FFFFFF"/>
        </w:rPr>
        <w:t>:</w:t>
      </w:r>
      <w:r w:rsidRPr="000329FE">
        <w:rPr>
          <w:shd w:val="clear" w:color="auto" w:fill="FFFFFF"/>
        </w:rPr>
        <w:t xml:space="preserve"> 577–91.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10.1080/14789940412331313160</w:t>
      </w:r>
      <w:r>
        <w:rPr>
          <w:shd w:val="clear" w:color="auto" w:fill="FFFFFF"/>
        </w:rPr>
        <w:t xml:space="preserve"> (accessed 27 October 2021).</w:t>
      </w:r>
    </w:p>
    <w:p w14:paraId="59F0BD61" w14:textId="77777777" w:rsidR="009636B7" w:rsidRPr="000329FE" w:rsidRDefault="009636B7" w:rsidP="009636B7">
      <w:pPr>
        <w:pStyle w:val="References"/>
        <w:rPr>
          <w:shd w:val="clear" w:color="auto" w:fill="FFFFFF"/>
        </w:rPr>
      </w:pPr>
      <w:r w:rsidRPr="000329FE">
        <w:rPr>
          <w:shd w:val="clear" w:color="auto" w:fill="FFFFFF"/>
        </w:rPr>
        <w:t xml:space="preserve">Greenberg D, Nielsen B. 2002. Court diversion in NSW for people with mental health problems and disorders. </w:t>
      </w:r>
      <w:r w:rsidRPr="000329FE">
        <w:rPr>
          <w:i/>
          <w:iCs/>
          <w:shd w:val="clear" w:color="auto" w:fill="FFFFFF"/>
        </w:rPr>
        <w:t xml:space="preserve">New South Wales Public Health Bulletin </w:t>
      </w:r>
      <w:r w:rsidRPr="00561492">
        <w:rPr>
          <w:shd w:val="clear" w:color="auto" w:fill="FFFFFF"/>
        </w:rPr>
        <w:t>13</w:t>
      </w:r>
      <w:r w:rsidRPr="000329FE">
        <w:rPr>
          <w:shd w:val="clear" w:color="auto" w:fill="FFFFFF"/>
        </w:rPr>
        <w:t>(7)</w:t>
      </w:r>
      <w:r>
        <w:rPr>
          <w:shd w:val="clear" w:color="auto" w:fill="FFFFFF"/>
        </w:rPr>
        <w:t>:</w:t>
      </w:r>
      <w:r w:rsidRPr="000329FE">
        <w:rPr>
          <w:shd w:val="clear" w:color="auto" w:fill="FFFFFF"/>
        </w:rPr>
        <w:t xml:space="preserve"> 158–60.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10.1071/NB02064</w:t>
      </w:r>
      <w:r>
        <w:rPr>
          <w:shd w:val="clear" w:color="auto" w:fill="FFFFFF"/>
        </w:rPr>
        <w:t xml:space="preserve"> (accessed 27 October 2021).</w:t>
      </w:r>
    </w:p>
    <w:p w14:paraId="039E0809" w14:textId="77777777" w:rsidR="009636B7" w:rsidRPr="000329FE" w:rsidRDefault="009636B7" w:rsidP="009636B7">
      <w:pPr>
        <w:pStyle w:val="References"/>
        <w:rPr>
          <w:shd w:val="clear" w:color="auto" w:fill="FFFFFF"/>
        </w:rPr>
      </w:pPr>
      <w:r w:rsidRPr="000329FE">
        <w:rPr>
          <w:shd w:val="clear" w:color="auto" w:fill="FFFFFF"/>
        </w:rPr>
        <w:t xml:space="preserve">Greenberg D, Nielsen B. 2003. Moving towards a statewide approach to court diversion in New South Wales. </w:t>
      </w:r>
      <w:r w:rsidRPr="000329FE">
        <w:rPr>
          <w:i/>
          <w:iCs/>
          <w:shd w:val="clear" w:color="auto" w:fill="FFFFFF"/>
        </w:rPr>
        <w:t xml:space="preserve">New South Wales Public Health Bulletin </w:t>
      </w:r>
      <w:r w:rsidRPr="00561492">
        <w:rPr>
          <w:shd w:val="clear" w:color="auto" w:fill="FFFFFF"/>
        </w:rPr>
        <w:t>14</w:t>
      </w:r>
      <w:r w:rsidRPr="000329FE">
        <w:rPr>
          <w:shd w:val="clear" w:color="auto" w:fill="FFFFFF"/>
        </w:rPr>
        <w:t>(11–12)</w:t>
      </w:r>
      <w:r>
        <w:rPr>
          <w:shd w:val="clear" w:color="auto" w:fill="FFFFFF"/>
        </w:rPr>
        <w:t>:</w:t>
      </w:r>
      <w:r w:rsidRPr="000329FE">
        <w:rPr>
          <w:shd w:val="clear" w:color="auto" w:fill="FFFFFF"/>
        </w:rPr>
        <w:t xml:space="preserve"> 227–9.</w:t>
      </w:r>
    </w:p>
    <w:p w14:paraId="60A6F3EB" w14:textId="77777777" w:rsidR="009636B7" w:rsidRPr="000329FE" w:rsidRDefault="009636B7" w:rsidP="009636B7">
      <w:pPr>
        <w:pStyle w:val="References"/>
      </w:pPr>
      <w:r w:rsidRPr="000329FE">
        <w:rPr>
          <w:shd w:val="clear" w:color="auto" w:fill="FFFFFF"/>
        </w:rPr>
        <w:t xml:space="preserve">Gudjonsson GH, Young S. 2007. The role and scope of forensic clinical psychology in secure unit provisions: A proposed service model for psychological therapies. </w:t>
      </w:r>
      <w:r w:rsidRPr="000329FE">
        <w:rPr>
          <w:i/>
          <w:iCs/>
        </w:rPr>
        <w:t xml:space="preserve">Journal of Forensic Psychiatry </w:t>
      </w:r>
      <w:r>
        <w:rPr>
          <w:i/>
          <w:iCs/>
        </w:rPr>
        <w:t>and</w:t>
      </w:r>
      <w:r w:rsidRPr="000329FE">
        <w:rPr>
          <w:i/>
          <w:iCs/>
        </w:rPr>
        <w:t xml:space="preserve"> Psychology </w:t>
      </w:r>
      <w:r w:rsidRPr="00561492">
        <w:t>18</w:t>
      </w:r>
      <w:r w:rsidRPr="000329FE">
        <w:t>(4)</w:t>
      </w:r>
      <w:r>
        <w:t>:</w:t>
      </w:r>
      <w:r w:rsidRPr="000329FE">
        <w:t xml:space="preserve"> 534–56.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10.1080/14789940701592649</w:t>
      </w:r>
      <w:r>
        <w:rPr>
          <w:shd w:val="clear" w:color="auto" w:fill="FFFFFF"/>
        </w:rPr>
        <w:t xml:space="preserve"> (accessed 12 October 2021).</w:t>
      </w:r>
    </w:p>
    <w:p w14:paraId="7FE8767A" w14:textId="77777777" w:rsidR="009636B7" w:rsidRPr="000329FE" w:rsidRDefault="009636B7" w:rsidP="009636B7">
      <w:pPr>
        <w:pStyle w:val="References"/>
      </w:pPr>
      <w:r w:rsidRPr="000329FE">
        <w:t xml:space="preserve">Gulati G, Kelly BD. 2018. Diversion of mentally ill offenders from the criminal justice system in Ireland: Comparison with England and Wales. </w:t>
      </w:r>
      <w:r w:rsidRPr="000329FE">
        <w:rPr>
          <w:i/>
          <w:iCs/>
        </w:rPr>
        <w:t xml:space="preserve">Irish Medical Journal </w:t>
      </w:r>
      <w:r w:rsidRPr="00561492">
        <w:t>111</w:t>
      </w:r>
      <w:r w:rsidRPr="000329FE">
        <w:t>(3)</w:t>
      </w:r>
      <w:r>
        <w:t>:</w:t>
      </w:r>
      <w:r w:rsidR="001B5D91">
        <w:t> </w:t>
      </w:r>
      <w:r w:rsidRPr="000329FE">
        <w:t>719.</w:t>
      </w:r>
    </w:p>
    <w:p w14:paraId="14162D0B" w14:textId="77777777" w:rsidR="009636B7" w:rsidRPr="00075571" w:rsidRDefault="009636B7" w:rsidP="009636B7">
      <w:pPr>
        <w:pStyle w:val="References"/>
      </w:pPr>
      <w:r w:rsidRPr="00075571">
        <w:t xml:space="preserve">Gunn J. 1977. Management of the mentally abnormal offender. </w:t>
      </w:r>
      <w:r w:rsidRPr="00075571">
        <w:rPr>
          <w:i/>
          <w:iCs/>
        </w:rPr>
        <w:t xml:space="preserve">Proceedings of the Royal Society of Medicine </w:t>
      </w:r>
      <w:r w:rsidRPr="00561492">
        <w:t>70</w:t>
      </w:r>
      <w:r>
        <w:t>:</w:t>
      </w:r>
      <w:r w:rsidRPr="00075571">
        <w:t xml:space="preserve"> 877–80.</w:t>
      </w:r>
    </w:p>
    <w:p w14:paraId="31CAC940" w14:textId="77777777" w:rsidR="00EE0ADB" w:rsidRDefault="009636B7" w:rsidP="009636B7">
      <w:pPr>
        <w:pStyle w:val="References"/>
      </w:pPr>
      <w:r w:rsidRPr="00075571">
        <w:t>Gunn J, Ridley A, Rix K. 2014. Psychiatric reports for legal purposes in England and Wales. In J Gunn</w:t>
      </w:r>
      <w:r>
        <w:t>,</w:t>
      </w:r>
      <w:r w:rsidRPr="00075571">
        <w:t xml:space="preserve"> PJ Taylor (</w:t>
      </w:r>
      <w:r>
        <w:t>e</w:t>
      </w:r>
      <w:r w:rsidRPr="00075571">
        <w:t xml:space="preserve">ds), </w:t>
      </w:r>
      <w:r w:rsidRPr="00075571">
        <w:rPr>
          <w:i/>
          <w:iCs/>
        </w:rPr>
        <w:t xml:space="preserve">Forensic </w:t>
      </w:r>
      <w:r>
        <w:rPr>
          <w:i/>
          <w:iCs/>
        </w:rPr>
        <w:t>P</w:t>
      </w:r>
      <w:r w:rsidRPr="00075571">
        <w:rPr>
          <w:i/>
          <w:iCs/>
        </w:rPr>
        <w:t xml:space="preserve">sychiatry: Clinical, legal and ethical issues </w:t>
      </w:r>
      <w:r w:rsidRPr="00075571">
        <w:t>(2</w:t>
      </w:r>
      <w:r w:rsidRPr="00561492">
        <w:t>nd</w:t>
      </w:r>
      <w:r w:rsidRPr="00075571">
        <w:rPr>
          <w:vertAlign w:val="superscript"/>
        </w:rPr>
        <w:t xml:space="preserve"> </w:t>
      </w:r>
      <w:r w:rsidRPr="00075571">
        <w:t>ed, pp. 148–69)</w:t>
      </w:r>
      <w:r w:rsidRPr="00075571">
        <w:rPr>
          <w:i/>
          <w:iCs/>
        </w:rPr>
        <w:t xml:space="preserve">. </w:t>
      </w:r>
      <w:r w:rsidRPr="00075571">
        <w:t>Boca Raton, FL: CRC Press.</w:t>
      </w:r>
    </w:p>
    <w:p w14:paraId="4B977650" w14:textId="77777777" w:rsidR="009636B7" w:rsidRPr="00C9607A" w:rsidRDefault="009636B7" w:rsidP="009636B7">
      <w:pPr>
        <w:pStyle w:val="References"/>
      </w:pPr>
      <w:r w:rsidRPr="001A28C6">
        <w:rPr>
          <w:shd w:val="clear" w:color="auto" w:fill="FFFFFF"/>
        </w:rPr>
        <w:t>Gunn J, Taylor PJ</w:t>
      </w:r>
      <w:r w:rsidRPr="009E213B">
        <w:rPr>
          <w:shd w:val="clear" w:color="auto" w:fill="FFFFFF"/>
        </w:rPr>
        <w:t xml:space="preserve"> </w:t>
      </w:r>
      <w:r w:rsidRPr="00E42BE0">
        <w:rPr>
          <w:shd w:val="clear" w:color="auto" w:fill="FFFFFF"/>
        </w:rPr>
        <w:t>(</w:t>
      </w:r>
      <w:r>
        <w:rPr>
          <w:shd w:val="clear" w:color="auto" w:fill="FFFFFF"/>
        </w:rPr>
        <w:t>e</w:t>
      </w:r>
      <w:r w:rsidRPr="00E42BE0">
        <w:rPr>
          <w:shd w:val="clear" w:color="auto" w:fill="FFFFFF"/>
        </w:rPr>
        <w:t xml:space="preserve">ds). </w:t>
      </w:r>
      <w:r w:rsidRPr="0043256B">
        <w:rPr>
          <w:shd w:val="clear" w:color="auto" w:fill="FFFFFF"/>
        </w:rPr>
        <w:t xml:space="preserve">2014. </w:t>
      </w:r>
      <w:r w:rsidRPr="00DD29A3">
        <w:rPr>
          <w:i/>
          <w:iCs/>
          <w:shd w:val="clear" w:color="auto" w:fill="FFFFFF"/>
        </w:rPr>
        <w:t xml:space="preserve">Forensic </w:t>
      </w:r>
      <w:r>
        <w:rPr>
          <w:i/>
          <w:iCs/>
          <w:shd w:val="clear" w:color="auto" w:fill="FFFFFF"/>
        </w:rPr>
        <w:t>P</w:t>
      </w:r>
      <w:r w:rsidRPr="00DD29A3">
        <w:rPr>
          <w:i/>
          <w:iCs/>
          <w:shd w:val="clear" w:color="auto" w:fill="FFFFFF"/>
        </w:rPr>
        <w:t>sychiatry: Clinical, legal and ethical issues</w:t>
      </w:r>
      <w:r w:rsidRPr="00DD29A3">
        <w:rPr>
          <w:shd w:val="clear" w:color="auto" w:fill="FFFFFF"/>
        </w:rPr>
        <w:t xml:space="preserve"> (2</w:t>
      </w:r>
      <w:r w:rsidRPr="00561492">
        <w:rPr>
          <w:shd w:val="clear" w:color="auto" w:fill="FFFFFF"/>
        </w:rPr>
        <w:t>nd</w:t>
      </w:r>
      <w:r w:rsidR="001B5D91">
        <w:rPr>
          <w:shd w:val="clear" w:color="auto" w:fill="FFFFFF"/>
        </w:rPr>
        <w:t> </w:t>
      </w:r>
      <w:r w:rsidRPr="00A537F0">
        <w:rPr>
          <w:shd w:val="clear" w:color="auto" w:fill="FFFFFF"/>
        </w:rPr>
        <w:t xml:space="preserve">ed). </w:t>
      </w:r>
      <w:r w:rsidRPr="004034BB">
        <w:rPr>
          <w:shd w:val="clear" w:color="auto" w:fill="FFFFFF"/>
        </w:rPr>
        <w:t>Boca Raton, FL:</w:t>
      </w:r>
      <w:r w:rsidRPr="00FB779C">
        <w:rPr>
          <w:shd w:val="clear" w:color="auto" w:fill="FFFFFF"/>
        </w:rPr>
        <w:t xml:space="preserve"> CRC Press.</w:t>
      </w:r>
    </w:p>
    <w:p w14:paraId="0CA2C1A5" w14:textId="77777777" w:rsidR="009636B7" w:rsidRPr="000329FE" w:rsidRDefault="009636B7" w:rsidP="00A0717A">
      <w:pPr>
        <w:pStyle w:val="References"/>
        <w:keepNext/>
      </w:pPr>
      <w:r w:rsidRPr="000329FE">
        <w:rPr>
          <w:shd w:val="clear" w:color="auto" w:fill="FFFFFF"/>
        </w:rPr>
        <w:lastRenderedPageBreak/>
        <w:t xml:space="preserve">Haines A, Perkins E, Evans EA, </w:t>
      </w:r>
      <w:r w:rsidR="00AD0D58">
        <w:rPr>
          <w:shd w:val="clear" w:color="auto" w:fill="FFFFFF"/>
        </w:rPr>
        <w:t>et al</w:t>
      </w:r>
      <w:r w:rsidRPr="000329FE">
        <w:rPr>
          <w:shd w:val="clear" w:color="auto" w:fill="FFFFFF"/>
        </w:rPr>
        <w:t xml:space="preserve">. 2018. Multidisciplinary team functioning and decision making within forensic mental health. </w:t>
      </w:r>
      <w:r w:rsidRPr="000329FE">
        <w:rPr>
          <w:i/>
          <w:iCs/>
        </w:rPr>
        <w:t xml:space="preserve">Mental Health Review Journal </w:t>
      </w:r>
      <w:r w:rsidRPr="00561492">
        <w:t>23</w:t>
      </w:r>
      <w:r w:rsidRPr="000329FE">
        <w:t>(3)</w:t>
      </w:r>
      <w:r>
        <w:t>:</w:t>
      </w:r>
      <w:r w:rsidR="001B5D91">
        <w:t> </w:t>
      </w:r>
      <w:r w:rsidRPr="000329FE">
        <w:t xml:space="preserve">185–96.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10.1108/MHRJ-01-2018-0001</w:t>
      </w:r>
      <w:r>
        <w:rPr>
          <w:shd w:val="clear" w:color="auto" w:fill="FFFFFF"/>
        </w:rPr>
        <w:t xml:space="preserve"> (accessed 11 October 2021).</w:t>
      </w:r>
    </w:p>
    <w:p w14:paraId="5AEB7D9A" w14:textId="77777777" w:rsidR="00EE0ADB" w:rsidRDefault="009636B7" w:rsidP="009636B7">
      <w:pPr>
        <w:pStyle w:val="References"/>
      </w:pPr>
      <w:r w:rsidRPr="000329FE">
        <w:t xml:space="preserve">Hall DJ. 2010. </w:t>
      </w:r>
      <w:r w:rsidRPr="000329FE">
        <w:rPr>
          <w:i/>
          <w:iCs/>
        </w:rPr>
        <w:t xml:space="preserve">Forensic </w:t>
      </w:r>
      <w:r>
        <w:rPr>
          <w:i/>
          <w:iCs/>
        </w:rPr>
        <w:t>L</w:t>
      </w:r>
      <w:r w:rsidRPr="000329FE">
        <w:rPr>
          <w:i/>
          <w:iCs/>
        </w:rPr>
        <w:t>ong</w:t>
      </w:r>
      <w:r>
        <w:rPr>
          <w:i/>
          <w:iCs/>
        </w:rPr>
        <w:t xml:space="preserve"> T</w:t>
      </w:r>
      <w:r w:rsidRPr="000329FE">
        <w:rPr>
          <w:i/>
          <w:iCs/>
        </w:rPr>
        <w:t xml:space="preserve">erm </w:t>
      </w:r>
      <w:r>
        <w:rPr>
          <w:i/>
          <w:iCs/>
        </w:rPr>
        <w:t>C</w:t>
      </w:r>
      <w:r w:rsidRPr="000329FE">
        <w:rPr>
          <w:i/>
          <w:iCs/>
        </w:rPr>
        <w:t>are: Report of working group</w:t>
      </w:r>
      <w:r w:rsidRPr="00561492">
        <w:t>.</w:t>
      </w:r>
      <w:r w:rsidRPr="000329FE">
        <w:t xml:space="preserve"> </w:t>
      </w:r>
      <w:r>
        <w:t xml:space="preserve">Carstairs: </w:t>
      </w:r>
      <w:r w:rsidRPr="000329FE">
        <w:t>Forensic Mental Health Services Managed Care Network.</w:t>
      </w:r>
    </w:p>
    <w:p w14:paraId="173E72A9" w14:textId="77777777" w:rsidR="00EE0ADB" w:rsidRDefault="009636B7" w:rsidP="009636B7">
      <w:pPr>
        <w:pStyle w:val="References"/>
      </w:pPr>
      <w:r w:rsidRPr="000329FE">
        <w:t>Han W. 2019. Life changes matter more than satisfaction or sanctions/incentives: An</w:t>
      </w:r>
      <w:r w:rsidR="001B5D91">
        <w:t> </w:t>
      </w:r>
      <w:r w:rsidRPr="000329FE">
        <w:t xml:space="preserve">examination of mental health court experience factors associated with arrest. </w:t>
      </w:r>
      <w:r w:rsidRPr="000329FE">
        <w:rPr>
          <w:i/>
          <w:iCs/>
        </w:rPr>
        <w:t xml:space="preserve">International Journal of Forensic Mental Health </w:t>
      </w:r>
      <w:r w:rsidRPr="000329FE">
        <w:t>(advance online publication)</w:t>
      </w:r>
      <w:r>
        <w:t>:</w:t>
      </w:r>
      <w:r w:rsidRPr="000329FE">
        <w:t xml:space="preserve"> np. </w:t>
      </w:r>
      <w:r>
        <w:t>DOI</w:t>
      </w:r>
      <w:r w:rsidRPr="000329FE">
        <w:t>:</w:t>
      </w:r>
      <w:r>
        <w:t xml:space="preserve"> </w:t>
      </w:r>
      <w:r w:rsidRPr="000329FE">
        <w:t>10.1080/14999013.2019.1588434</w:t>
      </w:r>
      <w:r>
        <w:t xml:space="preserve"> (accessed 27 October 2021).</w:t>
      </w:r>
    </w:p>
    <w:p w14:paraId="51C17E95" w14:textId="77777777" w:rsidR="009636B7" w:rsidRPr="000329FE" w:rsidRDefault="009636B7" w:rsidP="009636B7">
      <w:pPr>
        <w:pStyle w:val="References"/>
      </w:pPr>
      <w:r w:rsidRPr="000329FE">
        <w:t xml:space="preserve">Han W, Redlich AD. 2016. The impact of community treatment on recidivism among mental health court participants. </w:t>
      </w:r>
      <w:r w:rsidRPr="000329FE">
        <w:rPr>
          <w:i/>
          <w:iCs/>
        </w:rPr>
        <w:t xml:space="preserve">Psychiatric Services </w:t>
      </w:r>
      <w:r w:rsidRPr="00561492">
        <w:t>67</w:t>
      </w:r>
      <w:r w:rsidRPr="000329FE">
        <w:t>(4)</w:t>
      </w:r>
      <w:r>
        <w:t>:</w:t>
      </w:r>
      <w:r w:rsidRPr="000329FE">
        <w:t xml:space="preserve"> 384–90. </w:t>
      </w:r>
      <w:r>
        <w:t>DOI</w:t>
      </w:r>
      <w:r w:rsidRPr="000329FE">
        <w:t>:</w:t>
      </w:r>
      <w:r>
        <w:t xml:space="preserve"> </w:t>
      </w:r>
      <w:r w:rsidRPr="000329FE">
        <w:t>10.1176/appi.ps.201500006</w:t>
      </w:r>
      <w:r>
        <w:t xml:space="preserve"> (accessed 27 October 2021).</w:t>
      </w:r>
    </w:p>
    <w:p w14:paraId="0721F505" w14:textId="77777777" w:rsidR="009636B7" w:rsidRPr="000329FE" w:rsidRDefault="009636B7" w:rsidP="009636B7">
      <w:pPr>
        <w:pStyle w:val="References"/>
      </w:pPr>
      <w:r w:rsidRPr="000329FE">
        <w:t xml:space="preserve">Hancock N, Smith-Merry J, Mckenzie K. 2018. Facilitating people living with severe and persistent mental illness to transition from prison to community: A qualitative exploration of staff experiences. </w:t>
      </w:r>
      <w:r w:rsidRPr="000329FE">
        <w:rPr>
          <w:i/>
          <w:iCs/>
        </w:rPr>
        <w:t xml:space="preserve">International Journal of Mental Health Systems </w:t>
      </w:r>
      <w:r w:rsidRPr="00561492">
        <w:t>12</w:t>
      </w:r>
      <w:r w:rsidRPr="000329FE">
        <w:t>(1)</w:t>
      </w:r>
      <w:r>
        <w:t>:</w:t>
      </w:r>
      <w:r w:rsidR="001B5D91">
        <w:t> </w:t>
      </w:r>
      <w:r w:rsidRPr="000329FE">
        <w:t xml:space="preserve">Article No. 45. </w:t>
      </w:r>
      <w:r>
        <w:t>DOI</w:t>
      </w:r>
      <w:r w:rsidRPr="000329FE">
        <w:t>:</w:t>
      </w:r>
      <w:r>
        <w:t xml:space="preserve"> </w:t>
      </w:r>
      <w:r w:rsidRPr="000329FE">
        <w:t>10.1186/s13033-018-0225-z</w:t>
      </w:r>
      <w:r>
        <w:t xml:space="preserve"> (accessed 14 October 2021).</w:t>
      </w:r>
    </w:p>
    <w:p w14:paraId="3CC180F5" w14:textId="77777777" w:rsidR="009636B7" w:rsidRPr="00075571" w:rsidRDefault="009636B7" w:rsidP="009636B7">
      <w:pPr>
        <w:pStyle w:val="References"/>
      </w:pPr>
      <w:r w:rsidRPr="00075571">
        <w:t xml:space="preserve">Hannah-Moffat K. 2009. Gridlock or mutability: Reconsidering </w:t>
      </w:r>
      <w:r w:rsidR="00EE0ADB">
        <w:t>‘</w:t>
      </w:r>
      <w:r w:rsidRPr="00075571">
        <w:t>gender</w:t>
      </w:r>
      <w:r w:rsidR="00EE0ADB">
        <w:t>’</w:t>
      </w:r>
      <w:r w:rsidRPr="00075571">
        <w:t xml:space="preserve"> and risk assessment. </w:t>
      </w:r>
      <w:r w:rsidRPr="00075571">
        <w:rPr>
          <w:i/>
          <w:iCs/>
        </w:rPr>
        <w:t xml:space="preserve">Criminology &amp; Public Policy </w:t>
      </w:r>
      <w:r w:rsidRPr="00561492">
        <w:t>8</w:t>
      </w:r>
      <w:r w:rsidRPr="00075571">
        <w:t>(1)</w:t>
      </w:r>
      <w:r>
        <w:t>:</w:t>
      </w:r>
      <w:r w:rsidRPr="00075571">
        <w:t xml:space="preserve"> 209–19. </w:t>
      </w:r>
      <w:r>
        <w:t>DOI</w:t>
      </w:r>
      <w:r w:rsidRPr="00075571">
        <w:t>:</w:t>
      </w:r>
      <w:r>
        <w:t xml:space="preserve"> </w:t>
      </w:r>
      <w:r w:rsidRPr="00075571">
        <w:t>10.1111/j.1745-9133.2009.00549.x</w:t>
      </w:r>
      <w:r>
        <w:t xml:space="preserve"> (12 October 2021).</w:t>
      </w:r>
    </w:p>
    <w:p w14:paraId="667CFD0F" w14:textId="77777777" w:rsidR="009636B7" w:rsidRPr="00075571" w:rsidRDefault="009636B7" w:rsidP="009636B7">
      <w:pPr>
        <w:pStyle w:val="References"/>
        <w:rPr>
          <w:i/>
          <w:iCs/>
        </w:rPr>
      </w:pPr>
      <w:r w:rsidRPr="00075571">
        <w:t xml:space="preserve">Hanson RK, Bourgon G, Helmus L, </w:t>
      </w:r>
      <w:r w:rsidR="00AD0D58">
        <w:t>et al</w:t>
      </w:r>
      <w:r w:rsidRPr="00075571">
        <w:t xml:space="preserve">. 2009. The principles of effective correctional treatment also apply to sexual offenders: A meta-analysis. </w:t>
      </w:r>
      <w:r w:rsidRPr="00075571">
        <w:rPr>
          <w:i/>
          <w:iCs/>
        </w:rPr>
        <w:t xml:space="preserve">Criminal Justice and Behavior </w:t>
      </w:r>
      <w:r w:rsidRPr="00561492">
        <w:t>36</w:t>
      </w:r>
      <w:r w:rsidRPr="00075571">
        <w:t>(9)</w:t>
      </w:r>
      <w:r>
        <w:t>:</w:t>
      </w:r>
      <w:r w:rsidRPr="00075571">
        <w:t xml:space="preserve"> 865–91. </w:t>
      </w:r>
      <w:r>
        <w:t xml:space="preserve">URL: </w:t>
      </w:r>
      <w:hyperlink r:id="rId84" w:history="1">
        <w:r w:rsidR="001B5D91" w:rsidRPr="001B5D91">
          <w:rPr>
            <w:rStyle w:val="Hyperlink"/>
          </w:rPr>
          <w:t>https://doi.org/10.1177/0093854809338545</w:t>
        </w:r>
      </w:hyperlink>
      <w:r>
        <w:t xml:space="preserve"> (accessed 11 October 2021).</w:t>
      </w:r>
    </w:p>
    <w:p w14:paraId="64052248" w14:textId="77777777" w:rsidR="00EE0ADB" w:rsidRDefault="009636B7" w:rsidP="009636B7">
      <w:pPr>
        <w:pStyle w:val="References"/>
      </w:pPr>
      <w:r w:rsidRPr="001A28C6">
        <w:t xml:space="preserve">Hape T. 2017. From Māori </w:t>
      </w:r>
      <w:r w:rsidR="001B5D91">
        <w:t>t</w:t>
      </w:r>
      <w:r w:rsidRPr="001A28C6">
        <w:t xml:space="preserve">herapeutic </w:t>
      </w:r>
      <w:r w:rsidR="001B5D91">
        <w:t>p</w:t>
      </w:r>
      <w:r w:rsidRPr="001A28C6">
        <w:t>rogrammes to Mauri Tū Pae</w:t>
      </w:r>
      <w:r w:rsidRPr="009E213B">
        <w:rPr>
          <w:i/>
          <w:iCs/>
        </w:rPr>
        <w:t xml:space="preserve">. Practice: The New Zealand Corrections Journal </w:t>
      </w:r>
      <w:r w:rsidRPr="00561492">
        <w:t>5</w:t>
      </w:r>
      <w:r w:rsidRPr="00E42BE0">
        <w:t>(2)</w:t>
      </w:r>
      <w:r>
        <w:t>:</w:t>
      </w:r>
      <w:r w:rsidRPr="00E42BE0">
        <w:t xml:space="preserve"> np. </w:t>
      </w:r>
      <w:r>
        <w:t xml:space="preserve">URL: </w:t>
      </w:r>
      <w:hyperlink r:id="rId85" w:history="1">
        <w:r w:rsidR="001B5D91" w:rsidRPr="001B5D91">
          <w:rPr>
            <w:rStyle w:val="Hyperlink"/>
          </w:rPr>
          <w:t>www.corrections.govt.nz/resources/research/journal/volume_5_issue_2_november_2017/from_mori_therapeutic_programmes_to_mauri_t_pae</w:t>
        </w:r>
      </w:hyperlink>
      <w:r w:rsidRPr="002773F2">
        <w:t xml:space="preserve"> </w:t>
      </w:r>
      <w:r>
        <w:t>(accessed 22 October 2021).</w:t>
      </w:r>
    </w:p>
    <w:p w14:paraId="34010B55" w14:textId="77777777" w:rsidR="009636B7" w:rsidRPr="000329FE" w:rsidRDefault="009636B7" w:rsidP="009636B7">
      <w:pPr>
        <w:pStyle w:val="References"/>
      </w:pPr>
      <w:r w:rsidRPr="00482A5B">
        <w:t>Harkins L, Flak VE, Beech AR,</w:t>
      </w:r>
      <w:r w:rsidRPr="00A537F0">
        <w:t xml:space="preserve"> </w:t>
      </w:r>
      <w:r w:rsidR="00AD0D58">
        <w:t>et al</w:t>
      </w:r>
      <w:r w:rsidRPr="00A537F0">
        <w:t xml:space="preserve">. 2012. Evaluation of a community-based sex offender treatment program using a good lives model approach. </w:t>
      </w:r>
      <w:r w:rsidRPr="00FB779C">
        <w:rPr>
          <w:i/>
          <w:iCs/>
        </w:rPr>
        <w:t xml:space="preserve">Sexual Abuse: Journal of Research and Treatment </w:t>
      </w:r>
      <w:r w:rsidRPr="00561492">
        <w:t>24</w:t>
      </w:r>
      <w:r w:rsidRPr="000329FE">
        <w:t>(6)</w:t>
      </w:r>
      <w:r>
        <w:t>:</w:t>
      </w:r>
      <w:r w:rsidRPr="000329FE">
        <w:t xml:space="preserve"> 519–43. </w:t>
      </w:r>
      <w:r>
        <w:t>DOI</w:t>
      </w:r>
      <w:r w:rsidRPr="000329FE">
        <w:t>:</w:t>
      </w:r>
      <w:r>
        <w:t xml:space="preserve"> </w:t>
      </w:r>
      <w:r w:rsidRPr="000329FE">
        <w:t>10.1177/1079063211429469</w:t>
      </w:r>
      <w:r>
        <w:t xml:space="preserve"> (accessed 14 October 2021).</w:t>
      </w:r>
    </w:p>
    <w:p w14:paraId="271C9A4A" w14:textId="77777777" w:rsidR="009636B7" w:rsidRPr="000329FE" w:rsidRDefault="009636B7" w:rsidP="009636B7">
      <w:pPr>
        <w:pStyle w:val="References"/>
      </w:pPr>
      <w:r w:rsidRPr="000329FE">
        <w:t xml:space="preserve">Hartford K, Davies S, Dobson C, </w:t>
      </w:r>
      <w:r w:rsidR="00AD0D58">
        <w:t>et al</w:t>
      </w:r>
      <w:r w:rsidRPr="000329FE">
        <w:t xml:space="preserve">. 2004. </w:t>
      </w:r>
      <w:r w:rsidRPr="000329FE">
        <w:rPr>
          <w:i/>
          <w:iCs/>
        </w:rPr>
        <w:t>Evidence-</w:t>
      </w:r>
      <w:r>
        <w:rPr>
          <w:i/>
          <w:iCs/>
        </w:rPr>
        <w:t>B</w:t>
      </w:r>
      <w:r w:rsidRPr="000329FE">
        <w:rPr>
          <w:i/>
          <w:iCs/>
        </w:rPr>
        <w:t xml:space="preserve">ased </w:t>
      </w:r>
      <w:r>
        <w:rPr>
          <w:i/>
          <w:iCs/>
        </w:rPr>
        <w:t>P</w:t>
      </w:r>
      <w:r w:rsidRPr="000329FE">
        <w:rPr>
          <w:i/>
          <w:iCs/>
        </w:rPr>
        <w:t xml:space="preserve">ractices in </w:t>
      </w:r>
      <w:r>
        <w:rPr>
          <w:i/>
          <w:iCs/>
        </w:rPr>
        <w:t>D</w:t>
      </w:r>
      <w:r w:rsidRPr="000329FE">
        <w:rPr>
          <w:i/>
          <w:iCs/>
        </w:rPr>
        <w:t xml:space="preserve">iversion </w:t>
      </w:r>
      <w:r>
        <w:rPr>
          <w:i/>
          <w:iCs/>
        </w:rPr>
        <w:t>P</w:t>
      </w:r>
      <w:r w:rsidRPr="000329FE">
        <w:rPr>
          <w:i/>
          <w:iCs/>
        </w:rPr>
        <w:t xml:space="preserve">rograms for </w:t>
      </w:r>
      <w:r>
        <w:rPr>
          <w:i/>
          <w:iCs/>
        </w:rPr>
        <w:t>P</w:t>
      </w:r>
      <w:r w:rsidRPr="000329FE">
        <w:rPr>
          <w:i/>
          <w:iCs/>
        </w:rPr>
        <w:t xml:space="preserve">ersons with </w:t>
      </w:r>
      <w:r>
        <w:rPr>
          <w:i/>
          <w:iCs/>
        </w:rPr>
        <w:t>S</w:t>
      </w:r>
      <w:r w:rsidRPr="000329FE">
        <w:rPr>
          <w:i/>
          <w:iCs/>
        </w:rPr>
        <w:t xml:space="preserve">erious </w:t>
      </w:r>
      <w:r>
        <w:rPr>
          <w:i/>
          <w:iCs/>
        </w:rPr>
        <w:t>M</w:t>
      </w:r>
      <w:r w:rsidRPr="000329FE">
        <w:rPr>
          <w:i/>
          <w:iCs/>
        </w:rPr>
        <w:t xml:space="preserve">ental </w:t>
      </w:r>
      <w:r>
        <w:rPr>
          <w:i/>
          <w:iCs/>
        </w:rPr>
        <w:t>I</w:t>
      </w:r>
      <w:r w:rsidRPr="000329FE">
        <w:rPr>
          <w:i/>
          <w:iCs/>
        </w:rPr>
        <w:t xml:space="preserve">llness who are in </w:t>
      </w:r>
      <w:r>
        <w:rPr>
          <w:i/>
          <w:iCs/>
        </w:rPr>
        <w:t>C</w:t>
      </w:r>
      <w:r w:rsidRPr="000329FE">
        <w:rPr>
          <w:i/>
          <w:iCs/>
        </w:rPr>
        <w:t xml:space="preserve">onflict with the </w:t>
      </w:r>
      <w:r>
        <w:rPr>
          <w:i/>
          <w:iCs/>
        </w:rPr>
        <w:t>L</w:t>
      </w:r>
      <w:r w:rsidRPr="000329FE">
        <w:rPr>
          <w:i/>
          <w:iCs/>
        </w:rPr>
        <w:t>aw: Literature review and synthesis</w:t>
      </w:r>
      <w:r w:rsidRPr="00561492">
        <w:t>.</w:t>
      </w:r>
      <w:r w:rsidRPr="000329FE">
        <w:t xml:space="preserve"> </w:t>
      </w:r>
      <w:r>
        <w:t xml:space="preserve">Ottawa: </w:t>
      </w:r>
      <w:r w:rsidRPr="000329FE">
        <w:t xml:space="preserve">Ontario Mental Health Foundation. </w:t>
      </w:r>
      <w:r>
        <w:t>URL:</w:t>
      </w:r>
      <w:r w:rsidRPr="000329FE">
        <w:t xml:space="preserve"> </w:t>
      </w:r>
      <w:hyperlink r:id="rId86" w:history="1">
        <w:r w:rsidR="001B5D91" w:rsidRPr="001B5D91">
          <w:rPr>
            <w:rStyle w:val="Hyperlink"/>
          </w:rPr>
          <w:t>http://carrieresantementale.ca/Resource%20Library/Court%20Diversion-Support%20Programs/Evidence-Based%20Practices%20in%20Diversion%20Programs%20for%20Persons%20with%20Serious%20Mental%20Illness%20Who%20are%20in%20Conflict%20w%20the%20Law%202004.pdf</w:t>
        </w:r>
      </w:hyperlink>
      <w:r>
        <w:t xml:space="preserve"> (accessed 27 October 2021).</w:t>
      </w:r>
    </w:p>
    <w:p w14:paraId="0F57DDA1" w14:textId="77777777" w:rsidR="00A0717A" w:rsidRPr="000329FE" w:rsidRDefault="009636B7" w:rsidP="009636B7">
      <w:pPr>
        <w:pStyle w:val="References"/>
      </w:pPr>
      <w:r w:rsidRPr="000329FE">
        <w:t xml:space="preserve">Hartwell SW, Orr K. 1999. The Massachusetts forensic transition program for mentally ill offenders re-entering the community. </w:t>
      </w:r>
      <w:r w:rsidRPr="000329FE">
        <w:rPr>
          <w:i/>
          <w:iCs/>
        </w:rPr>
        <w:t xml:space="preserve">Psychiatric Services </w:t>
      </w:r>
      <w:r w:rsidRPr="00561492">
        <w:t>50</w:t>
      </w:r>
      <w:r w:rsidRPr="000329FE">
        <w:t>(9)</w:t>
      </w:r>
      <w:r>
        <w:t>:</w:t>
      </w:r>
      <w:r w:rsidRPr="000329FE">
        <w:t xml:space="preserve"> 1220–2. </w:t>
      </w:r>
      <w:r>
        <w:t>DOI</w:t>
      </w:r>
      <w:r w:rsidRPr="000329FE">
        <w:t>:</w:t>
      </w:r>
      <w:r>
        <w:t xml:space="preserve"> </w:t>
      </w:r>
      <w:r w:rsidRPr="000329FE">
        <w:t>10.1176/ps.50.9.1220</w:t>
      </w:r>
      <w:r>
        <w:t xml:space="preserve"> (accessed 22 October 2021).</w:t>
      </w:r>
    </w:p>
    <w:p w14:paraId="38DE2DAC" w14:textId="77777777" w:rsidR="009636B7" w:rsidRPr="000329FE" w:rsidRDefault="009636B7" w:rsidP="009636B7">
      <w:pPr>
        <w:pStyle w:val="References"/>
      </w:pPr>
      <w:r w:rsidRPr="000329FE">
        <w:lastRenderedPageBreak/>
        <w:t xml:space="preserve">Harty M, Jarrett M, Thornicroft G, </w:t>
      </w:r>
      <w:r w:rsidR="00AD0D58">
        <w:t>et al</w:t>
      </w:r>
      <w:r w:rsidRPr="000329FE">
        <w:t xml:space="preserve">. 2012. Unmet needs of male prisoners under the care of prison Mental Health Inreach Services. </w:t>
      </w:r>
      <w:r w:rsidRPr="000329FE">
        <w:rPr>
          <w:i/>
          <w:iCs/>
        </w:rPr>
        <w:t xml:space="preserve">Journal of Forensic Psychiatry and Psychology </w:t>
      </w:r>
      <w:r w:rsidRPr="00561492">
        <w:t>23</w:t>
      </w:r>
      <w:r w:rsidRPr="000329FE">
        <w:t>(3)</w:t>
      </w:r>
      <w:r>
        <w:t>:</w:t>
      </w:r>
      <w:r w:rsidRPr="000329FE">
        <w:t xml:space="preserve"> 285–96. </w:t>
      </w:r>
      <w:r>
        <w:t>DOI</w:t>
      </w:r>
      <w:r w:rsidRPr="000329FE">
        <w:t>:</w:t>
      </w:r>
      <w:r>
        <w:t xml:space="preserve"> </w:t>
      </w:r>
      <w:r w:rsidRPr="000329FE">
        <w:t>10.1080/14789949.2012.690101</w:t>
      </w:r>
      <w:r>
        <w:t xml:space="preserve"> (accessed 14 October 2021).</w:t>
      </w:r>
    </w:p>
    <w:p w14:paraId="3E8B0490" w14:textId="77777777" w:rsidR="00EE0ADB" w:rsidRDefault="009636B7" w:rsidP="009636B7">
      <w:pPr>
        <w:pStyle w:val="References"/>
      </w:pPr>
      <w:r w:rsidRPr="000329FE">
        <w:t xml:space="preserve">Health Service Executive, Mental Health Division. 2016. </w:t>
      </w:r>
      <w:r w:rsidRPr="000329FE">
        <w:rPr>
          <w:i/>
          <w:iCs/>
        </w:rPr>
        <w:t xml:space="preserve">Delivering </w:t>
      </w:r>
      <w:r>
        <w:rPr>
          <w:i/>
          <w:iCs/>
        </w:rPr>
        <w:t>S</w:t>
      </w:r>
      <w:r w:rsidRPr="000329FE">
        <w:rPr>
          <w:i/>
          <w:iCs/>
        </w:rPr>
        <w:t xml:space="preserve">pecialist </w:t>
      </w:r>
      <w:r>
        <w:rPr>
          <w:i/>
          <w:iCs/>
        </w:rPr>
        <w:t>M</w:t>
      </w:r>
      <w:r w:rsidRPr="000329FE">
        <w:rPr>
          <w:i/>
          <w:iCs/>
        </w:rPr>
        <w:t xml:space="preserve">ental </w:t>
      </w:r>
      <w:r>
        <w:rPr>
          <w:i/>
          <w:iCs/>
        </w:rPr>
        <w:t>H</w:t>
      </w:r>
      <w:r w:rsidRPr="000329FE">
        <w:rPr>
          <w:i/>
          <w:iCs/>
        </w:rPr>
        <w:t xml:space="preserve">ealth </w:t>
      </w:r>
      <w:r>
        <w:rPr>
          <w:i/>
          <w:iCs/>
        </w:rPr>
        <w:t>S</w:t>
      </w:r>
      <w:r w:rsidRPr="000329FE">
        <w:rPr>
          <w:i/>
          <w:iCs/>
        </w:rPr>
        <w:t>ervices</w:t>
      </w:r>
      <w:r w:rsidRPr="000329FE">
        <w:t xml:space="preserve">. </w:t>
      </w:r>
      <w:r>
        <w:t xml:space="preserve">Dublin: </w:t>
      </w:r>
      <w:r w:rsidRPr="000329FE">
        <w:t>Health Service Executive</w:t>
      </w:r>
      <w:r>
        <w:t>. URL:</w:t>
      </w:r>
      <w:r w:rsidRPr="000329FE">
        <w:t xml:space="preserve"> </w:t>
      </w:r>
      <w:hyperlink r:id="rId87" w:history="1">
        <w:r w:rsidR="001B5D91" w:rsidRPr="001B5D91">
          <w:rPr>
            <w:rStyle w:val="Hyperlink"/>
          </w:rPr>
          <w:t>www.lenus.ie/handle/10147/620156</w:t>
        </w:r>
      </w:hyperlink>
      <w:r>
        <w:t xml:space="preserve"> (accessed 2 November 2021).</w:t>
      </w:r>
    </w:p>
    <w:p w14:paraId="763AE36C" w14:textId="77777777" w:rsidR="009636B7" w:rsidRPr="000329FE" w:rsidRDefault="009636B7" w:rsidP="009636B7">
      <w:pPr>
        <w:pStyle w:val="References"/>
      </w:pPr>
      <w:r w:rsidRPr="000329FE">
        <w:t xml:space="preserve">Hean S, Warr J, Staddon S. 2009. Challenges at the interface of working between mental health services and the criminal justice system. </w:t>
      </w:r>
      <w:r w:rsidRPr="000329FE">
        <w:rPr>
          <w:i/>
          <w:iCs/>
        </w:rPr>
        <w:t xml:space="preserve">Medicine, Science and the Law </w:t>
      </w:r>
      <w:r w:rsidRPr="00561492">
        <w:t>49</w:t>
      </w:r>
      <w:r w:rsidRPr="000329FE">
        <w:t>(3)</w:t>
      </w:r>
      <w:r>
        <w:t>:</w:t>
      </w:r>
      <w:r w:rsidRPr="000329FE">
        <w:t xml:space="preserve"> 170–8. </w:t>
      </w:r>
      <w:r>
        <w:t>DOI</w:t>
      </w:r>
      <w:r w:rsidRPr="000329FE">
        <w:t>: 10.1258/rsmmsl.49.3.170</w:t>
      </w:r>
      <w:r>
        <w:t xml:space="preserve"> (accessed 26 October 2021).</w:t>
      </w:r>
    </w:p>
    <w:p w14:paraId="4C33A1A4" w14:textId="77777777" w:rsidR="00EE0ADB" w:rsidRDefault="009636B7" w:rsidP="009636B7">
      <w:pPr>
        <w:pStyle w:val="References"/>
      </w:pPr>
      <w:r w:rsidRPr="000329FE">
        <w:t xml:space="preserve">Hean S, Willumsen E, Ødegård A, </w:t>
      </w:r>
      <w:r w:rsidR="00AD0D58">
        <w:t>et al</w:t>
      </w:r>
      <w:r w:rsidRPr="000329FE">
        <w:t xml:space="preserve">. 2015. Using social innovation as a theoretical framework to guide future thinking on facilitating collaboration between mental health and criminal justice services. </w:t>
      </w:r>
      <w:r w:rsidRPr="000329FE">
        <w:rPr>
          <w:i/>
          <w:iCs/>
        </w:rPr>
        <w:t>International Journal of Forensic Mental Health</w:t>
      </w:r>
      <w:r w:rsidR="001B5D91">
        <w:rPr>
          <w:iCs/>
        </w:rPr>
        <w:br/>
      </w:r>
      <w:r w:rsidRPr="00561492">
        <w:t>14</w:t>
      </w:r>
      <w:r w:rsidRPr="000329FE">
        <w:t>(4)</w:t>
      </w:r>
      <w:r>
        <w:t>:</w:t>
      </w:r>
      <w:r w:rsidRPr="000329FE">
        <w:t xml:space="preserve"> 280–9. </w:t>
      </w:r>
      <w:r>
        <w:t>DOI</w:t>
      </w:r>
      <w:r w:rsidRPr="000329FE">
        <w:t>:</w:t>
      </w:r>
      <w:r>
        <w:t xml:space="preserve"> </w:t>
      </w:r>
      <w:r w:rsidRPr="000329FE">
        <w:t>10.1080/14999013.2015.1115445</w:t>
      </w:r>
      <w:r>
        <w:t xml:space="preserve"> (accessed 2 November 2021).</w:t>
      </w:r>
    </w:p>
    <w:p w14:paraId="73CCF0B5" w14:textId="77777777" w:rsidR="009636B7" w:rsidRPr="000329FE" w:rsidRDefault="009636B7" w:rsidP="009636B7">
      <w:pPr>
        <w:pStyle w:val="References"/>
      </w:pPr>
      <w:r w:rsidRPr="000329FE">
        <w:t xml:space="preserve">Hiday VA, Ray B, Wales H. 2016. Longer-term impacts of mental health courts: Recidivism two years after exit. </w:t>
      </w:r>
      <w:r w:rsidRPr="000329FE">
        <w:rPr>
          <w:i/>
          <w:iCs/>
        </w:rPr>
        <w:t xml:space="preserve">Psychiatric Services </w:t>
      </w:r>
      <w:r w:rsidRPr="00561492">
        <w:t>67</w:t>
      </w:r>
      <w:r w:rsidRPr="000329FE">
        <w:t>(4)</w:t>
      </w:r>
      <w:r>
        <w:t>:</w:t>
      </w:r>
      <w:r w:rsidRPr="000329FE">
        <w:t xml:space="preserve"> 378–83. </w:t>
      </w:r>
      <w:r>
        <w:t>DOI</w:t>
      </w:r>
      <w:r w:rsidRPr="000329FE">
        <w:t>:</w:t>
      </w:r>
      <w:r>
        <w:t xml:space="preserve"> </w:t>
      </w:r>
      <w:r w:rsidRPr="000329FE">
        <w:t>10.1176/appi.ps.201400569</w:t>
      </w:r>
      <w:r>
        <w:t xml:space="preserve"> (accessed 27 October 2021).</w:t>
      </w:r>
    </w:p>
    <w:p w14:paraId="183B51AF" w14:textId="77777777" w:rsidR="009636B7" w:rsidRPr="000329FE" w:rsidRDefault="009636B7" w:rsidP="009636B7">
      <w:pPr>
        <w:pStyle w:val="References"/>
      </w:pPr>
      <w:r w:rsidRPr="000329FE">
        <w:rPr>
          <w:shd w:val="clear" w:color="auto" w:fill="FFFFFF"/>
        </w:rPr>
        <w:t>Hilder S, Kemshall H. 2013. Multi-agency approaches to effective risk management in the community in England and Wales. In LA Craig, L Dixon, TA Gannon (</w:t>
      </w:r>
      <w:r>
        <w:rPr>
          <w:shd w:val="clear" w:color="auto" w:fill="FFFFFF"/>
        </w:rPr>
        <w:t>e</w:t>
      </w:r>
      <w:r w:rsidRPr="000329FE">
        <w:rPr>
          <w:shd w:val="clear" w:color="auto" w:fill="FFFFFF"/>
        </w:rPr>
        <w:t xml:space="preserve">ds), </w:t>
      </w:r>
      <w:r w:rsidRPr="000329FE">
        <w:rPr>
          <w:i/>
          <w:iCs/>
        </w:rPr>
        <w:t xml:space="preserve">What </w:t>
      </w:r>
      <w:r>
        <w:rPr>
          <w:i/>
          <w:iCs/>
        </w:rPr>
        <w:t>W</w:t>
      </w:r>
      <w:r w:rsidRPr="000329FE">
        <w:rPr>
          <w:i/>
          <w:iCs/>
        </w:rPr>
        <w:t xml:space="preserve">orks in </w:t>
      </w:r>
      <w:r>
        <w:rPr>
          <w:i/>
          <w:iCs/>
        </w:rPr>
        <w:t>O</w:t>
      </w:r>
      <w:r w:rsidRPr="000329FE">
        <w:rPr>
          <w:i/>
          <w:iCs/>
        </w:rPr>
        <w:t xml:space="preserve">ffender </w:t>
      </w:r>
      <w:r>
        <w:rPr>
          <w:i/>
          <w:iCs/>
        </w:rPr>
        <w:t>R</w:t>
      </w:r>
      <w:r w:rsidRPr="000329FE">
        <w:rPr>
          <w:i/>
          <w:iCs/>
        </w:rPr>
        <w:t xml:space="preserve">ehabilitation: An evidence-based approach to assessment and treatment </w:t>
      </w:r>
      <w:r w:rsidRPr="000329FE">
        <w:t>(pp. 436–51)</w:t>
      </w:r>
      <w:r w:rsidRPr="000329FE">
        <w:rPr>
          <w:i/>
          <w:iCs/>
        </w:rPr>
        <w:t>.</w:t>
      </w:r>
      <w:r w:rsidRPr="000329FE">
        <w:t xml:space="preserve"> Hoboken, NJ: John Wiley &amp; Sons.</w:t>
      </w:r>
    </w:p>
    <w:p w14:paraId="36B958DA" w14:textId="77777777" w:rsidR="009636B7" w:rsidRPr="000329FE" w:rsidRDefault="009636B7" w:rsidP="009636B7">
      <w:pPr>
        <w:pStyle w:val="References"/>
      </w:pPr>
      <w:r w:rsidRPr="000329FE">
        <w:t>Holloway J, Shaw J. 1992. Providing a forensic psychiatry service to a magistrates</w:t>
      </w:r>
      <w:r w:rsidR="00EE0ADB">
        <w:t>’</w:t>
      </w:r>
      <w:r w:rsidRPr="000329FE">
        <w:t xml:space="preserve"> court. </w:t>
      </w:r>
      <w:r w:rsidRPr="000329FE">
        <w:rPr>
          <w:i/>
          <w:iCs/>
        </w:rPr>
        <w:t xml:space="preserve">Journal of Forensic Psychiatry </w:t>
      </w:r>
      <w:r w:rsidRPr="00561492">
        <w:t>3</w:t>
      </w:r>
      <w:r w:rsidRPr="000329FE">
        <w:t>(1)</w:t>
      </w:r>
      <w:r>
        <w:t>:</w:t>
      </w:r>
      <w:r w:rsidRPr="000329FE">
        <w:t xml:space="preserve"> 153–9. </w:t>
      </w:r>
      <w:r>
        <w:t>DOI</w:t>
      </w:r>
      <w:r w:rsidRPr="000329FE">
        <w:t>:</w:t>
      </w:r>
      <w:r>
        <w:t xml:space="preserve"> </w:t>
      </w:r>
      <w:r w:rsidRPr="000329FE">
        <w:t>10.1080/09585189208407632</w:t>
      </w:r>
      <w:r>
        <w:t xml:space="preserve"> (accessed 26 October 2021).</w:t>
      </w:r>
    </w:p>
    <w:p w14:paraId="7F927876" w14:textId="77777777" w:rsidR="009636B7" w:rsidRPr="000329FE" w:rsidRDefault="009636B7" w:rsidP="009636B7">
      <w:pPr>
        <w:pStyle w:val="References"/>
      </w:pPr>
      <w:r w:rsidRPr="000329FE">
        <w:t>Holloway J, Shaw J. 1993. Providing a forensic psychiatry service to a magistrates</w:t>
      </w:r>
      <w:r w:rsidR="00EE0ADB">
        <w:t>’</w:t>
      </w:r>
      <w:r w:rsidRPr="000329FE">
        <w:t xml:space="preserve"> court: A follow-up study. </w:t>
      </w:r>
      <w:r w:rsidRPr="000329FE">
        <w:rPr>
          <w:i/>
          <w:iCs/>
        </w:rPr>
        <w:t xml:space="preserve">Journal of Forensic Psychiatry </w:t>
      </w:r>
      <w:r w:rsidRPr="00561492">
        <w:t>4</w:t>
      </w:r>
      <w:r w:rsidRPr="000329FE">
        <w:t>(3)</w:t>
      </w:r>
      <w:r>
        <w:t>:</w:t>
      </w:r>
      <w:r w:rsidRPr="000329FE">
        <w:t xml:space="preserve"> 575–81. </w:t>
      </w:r>
      <w:r>
        <w:t>DOI</w:t>
      </w:r>
      <w:r w:rsidRPr="000329FE">
        <w:t>:</w:t>
      </w:r>
      <w:r>
        <w:t xml:space="preserve"> </w:t>
      </w:r>
      <w:r w:rsidRPr="000329FE">
        <w:t>10.1080/09585189308408225</w:t>
      </w:r>
      <w:r>
        <w:t xml:space="preserve"> (accessed 26 October 2021).</w:t>
      </w:r>
    </w:p>
    <w:p w14:paraId="31243BD5" w14:textId="77777777" w:rsidR="00EE0ADB" w:rsidRDefault="009636B7" w:rsidP="009636B7">
      <w:pPr>
        <w:pStyle w:val="References"/>
      </w:pPr>
      <w:r w:rsidRPr="000329FE">
        <w:t xml:space="preserve">Home Office </w:t>
      </w:r>
      <w:r>
        <w:t>and</w:t>
      </w:r>
      <w:r w:rsidRPr="000329FE">
        <w:t xml:space="preserve"> Department of Health and Social Security. 1975. </w:t>
      </w:r>
      <w:r w:rsidRPr="000329FE">
        <w:rPr>
          <w:i/>
          <w:iCs/>
        </w:rPr>
        <w:t xml:space="preserve">Butler Committee </w:t>
      </w:r>
      <w:r>
        <w:rPr>
          <w:i/>
          <w:iCs/>
        </w:rPr>
        <w:t>R</w:t>
      </w:r>
      <w:r w:rsidRPr="000329FE">
        <w:rPr>
          <w:i/>
          <w:iCs/>
        </w:rPr>
        <w:t xml:space="preserve">eport on </w:t>
      </w:r>
      <w:r>
        <w:rPr>
          <w:i/>
          <w:iCs/>
        </w:rPr>
        <w:t>M</w:t>
      </w:r>
      <w:r w:rsidRPr="000329FE">
        <w:rPr>
          <w:i/>
          <w:iCs/>
        </w:rPr>
        <w:t xml:space="preserve">entally </w:t>
      </w:r>
      <w:r>
        <w:rPr>
          <w:i/>
          <w:iCs/>
        </w:rPr>
        <w:t>A</w:t>
      </w:r>
      <w:r w:rsidRPr="000329FE">
        <w:rPr>
          <w:i/>
          <w:iCs/>
        </w:rPr>
        <w:t xml:space="preserve">bnormal </w:t>
      </w:r>
      <w:r>
        <w:rPr>
          <w:i/>
          <w:iCs/>
        </w:rPr>
        <w:t>O</w:t>
      </w:r>
      <w:r w:rsidRPr="000329FE">
        <w:rPr>
          <w:i/>
          <w:iCs/>
        </w:rPr>
        <w:t>ffenders 1975: Proposals to extend the functions of the Advisory Board on Restricted Patients</w:t>
      </w:r>
      <w:r w:rsidRPr="000329FE">
        <w:t xml:space="preserve"> </w:t>
      </w:r>
      <w:r>
        <w:t>(</w:t>
      </w:r>
      <w:r w:rsidRPr="000329FE">
        <w:t>The Butler report</w:t>
      </w:r>
      <w:r>
        <w:t>)</w:t>
      </w:r>
      <w:r w:rsidRPr="000329FE">
        <w:t>. London: HM Stationery Office.</w:t>
      </w:r>
    </w:p>
    <w:p w14:paraId="561822AF" w14:textId="77777777" w:rsidR="009636B7" w:rsidRPr="000329FE" w:rsidRDefault="009636B7" w:rsidP="009636B7">
      <w:pPr>
        <w:pStyle w:val="References"/>
      </w:pPr>
      <w:r w:rsidRPr="000329FE">
        <w:t xml:space="preserve">Hopkin G, Evans-Lacko S, Forrester A. 2018. Interventions at the transition from prison to the community for prisoners with mental illness: A systematic review. </w:t>
      </w:r>
      <w:r w:rsidRPr="000329FE">
        <w:rPr>
          <w:i/>
          <w:iCs/>
        </w:rPr>
        <w:t xml:space="preserve">Administration and Policy in Mental Health and Mental Health Services Research </w:t>
      </w:r>
      <w:r w:rsidRPr="00561492">
        <w:t>45</w:t>
      </w:r>
      <w:r w:rsidRPr="000329FE">
        <w:t>(4)</w:t>
      </w:r>
      <w:r>
        <w:t>:</w:t>
      </w:r>
      <w:r w:rsidRPr="000329FE">
        <w:t xml:space="preserve"> 623–34. </w:t>
      </w:r>
      <w:r>
        <w:t>DOI</w:t>
      </w:r>
      <w:r w:rsidRPr="000329FE">
        <w:t>:</w:t>
      </w:r>
      <w:r>
        <w:t xml:space="preserve"> </w:t>
      </w:r>
      <w:r w:rsidRPr="000329FE">
        <w:t>10.1007/s10488-018-0848-z</w:t>
      </w:r>
      <w:r>
        <w:t xml:space="preserve"> (accessed 22 October 2021).</w:t>
      </w:r>
    </w:p>
    <w:p w14:paraId="76F77846" w14:textId="77777777" w:rsidR="009636B7" w:rsidRPr="000329FE" w:rsidRDefault="009636B7" w:rsidP="009636B7">
      <w:pPr>
        <w:pStyle w:val="References"/>
      </w:pPr>
      <w:r w:rsidRPr="000329FE">
        <w:t>Hug</w:t>
      </w:r>
      <w:r>
        <w:t>h</w:t>
      </w:r>
      <w:r w:rsidRPr="000329FE">
        <w:t xml:space="preserve">es A. 2018. Aotearoa New Zealand cultural interventions: Current issues and potential avenues. </w:t>
      </w:r>
      <w:r w:rsidRPr="000329FE">
        <w:rPr>
          <w:i/>
          <w:iCs/>
        </w:rPr>
        <w:t xml:space="preserve">Practice: The New Zealand Corrections Journal </w:t>
      </w:r>
      <w:r w:rsidRPr="00561492">
        <w:t>6</w:t>
      </w:r>
      <w:r w:rsidRPr="000329FE">
        <w:t>(2)</w:t>
      </w:r>
      <w:r>
        <w:t>:</w:t>
      </w:r>
      <w:r w:rsidRPr="000329FE">
        <w:t xml:space="preserve"> np.</w:t>
      </w:r>
      <w:r w:rsidR="00EE0ADB">
        <w:t xml:space="preserve"> </w:t>
      </w:r>
      <w:r>
        <w:t xml:space="preserve">URL: </w:t>
      </w:r>
      <w:hyperlink r:id="rId88" w:history="1">
        <w:r w:rsidR="001B5D91" w:rsidRPr="001B5D91">
          <w:rPr>
            <w:rStyle w:val="Hyperlink"/>
          </w:rPr>
          <w:t>www.corrections.govt.nz/resources/research/journal/volume_6_issue_2_november_2018/aotearoa_new_zealand_cultural_interventions_current_issues_and_potential_avenues</w:t>
        </w:r>
      </w:hyperlink>
      <w:r w:rsidRPr="002773F2">
        <w:t xml:space="preserve"> </w:t>
      </w:r>
      <w:r>
        <w:t>(accessed 22 October 2021).</w:t>
      </w:r>
    </w:p>
    <w:p w14:paraId="0ECE1A6E" w14:textId="77777777" w:rsidR="009636B7" w:rsidRPr="000329FE" w:rsidRDefault="009636B7" w:rsidP="00A0717A">
      <w:pPr>
        <w:pStyle w:val="References"/>
        <w:keepNext/>
        <w:keepLines/>
      </w:pPr>
      <w:r w:rsidRPr="000329FE">
        <w:lastRenderedPageBreak/>
        <w:t xml:space="preserve">Hunter G, Boyce I, Penfold C. 2007. </w:t>
      </w:r>
      <w:r w:rsidRPr="000329FE">
        <w:rPr>
          <w:i/>
          <w:iCs/>
        </w:rPr>
        <w:t xml:space="preserve">Evaluation of </w:t>
      </w:r>
      <w:r>
        <w:rPr>
          <w:i/>
          <w:iCs/>
        </w:rPr>
        <w:t>C</w:t>
      </w:r>
      <w:r w:rsidRPr="000329FE">
        <w:rPr>
          <w:i/>
          <w:iCs/>
        </w:rPr>
        <w:t xml:space="preserve">riminal </w:t>
      </w:r>
      <w:r>
        <w:rPr>
          <w:i/>
          <w:iCs/>
        </w:rPr>
        <w:t>J</w:t>
      </w:r>
      <w:r w:rsidRPr="000329FE">
        <w:rPr>
          <w:i/>
          <w:iCs/>
        </w:rPr>
        <w:t xml:space="preserve">ustice </w:t>
      </w:r>
      <w:r>
        <w:rPr>
          <w:i/>
          <w:iCs/>
        </w:rPr>
        <w:t>L</w:t>
      </w:r>
      <w:r w:rsidRPr="000329FE">
        <w:rPr>
          <w:i/>
          <w:iCs/>
        </w:rPr>
        <w:t xml:space="preserve">iaison and </w:t>
      </w:r>
      <w:r>
        <w:rPr>
          <w:i/>
          <w:iCs/>
        </w:rPr>
        <w:t>D</w:t>
      </w:r>
      <w:r w:rsidRPr="000329FE">
        <w:rPr>
          <w:i/>
          <w:iCs/>
        </w:rPr>
        <w:t xml:space="preserve">iversion </w:t>
      </w:r>
      <w:r>
        <w:rPr>
          <w:i/>
          <w:iCs/>
        </w:rPr>
        <w:t>S</w:t>
      </w:r>
      <w:r w:rsidRPr="000329FE">
        <w:rPr>
          <w:i/>
          <w:iCs/>
        </w:rPr>
        <w:t>chemes: A focus on women offenders.</w:t>
      </w:r>
      <w:r w:rsidRPr="000329FE">
        <w:t xml:space="preserve"> </w:t>
      </w:r>
      <w:r>
        <w:t>London: Institute for Criminal Policy Research, School of Law, King</w:t>
      </w:r>
      <w:r w:rsidR="00EE0ADB">
        <w:t>’</w:t>
      </w:r>
      <w:r>
        <w:t>s College. URL:</w:t>
      </w:r>
      <w:r w:rsidRPr="000329FE">
        <w:t xml:space="preserve"> </w:t>
      </w:r>
      <w:hyperlink r:id="rId89" w:history="1">
        <w:r w:rsidR="001B5D91" w:rsidRPr="001B5D91">
          <w:rPr>
            <w:rStyle w:val="Hyperlink"/>
          </w:rPr>
          <w:t>http://citeseerx.ist.psu.edu/viewdoc/download?doi=10.1.1.612.1730&amp;rep=rep1&amp;type=pdf</w:t>
        </w:r>
      </w:hyperlink>
      <w:r>
        <w:t xml:space="preserve"> (accessed 28 October 2021).</w:t>
      </w:r>
    </w:p>
    <w:p w14:paraId="13D8B153" w14:textId="77777777" w:rsidR="009636B7" w:rsidRPr="000329FE" w:rsidRDefault="009636B7" w:rsidP="009636B7">
      <w:pPr>
        <w:pStyle w:val="References"/>
        <w:rPr>
          <w:shd w:val="clear" w:color="auto" w:fill="FFFFFF"/>
        </w:rPr>
      </w:pPr>
      <w:r w:rsidRPr="000329FE">
        <w:rPr>
          <w:shd w:val="clear" w:color="auto" w:fill="FFFFFF"/>
        </w:rPr>
        <w:t xml:space="preserve">Indig D, Gear C, Wilhelm K. 2016. </w:t>
      </w:r>
      <w:r w:rsidRPr="000329FE">
        <w:rPr>
          <w:i/>
          <w:iCs/>
          <w:shd w:val="clear" w:color="auto" w:fill="FFFFFF"/>
        </w:rPr>
        <w:t xml:space="preserve">Comorbid </w:t>
      </w:r>
      <w:r>
        <w:rPr>
          <w:i/>
          <w:iCs/>
          <w:shd w:val="clear" w:color="auto" w:fill="FFFFFF"/>
        </w:rPr>
        <w:t>S</w:t>
      </w:r>
      <w:r w:rsidRPr="000329FE">
        <w:rPr>
          <w:i/>
          <w:iCs/>
          <w:shd w:val="clear" w:color="auto" w:fill="FFFFFF"/>
        </w:rPr>
        <w:t xml:space="preserve">ubstance </w:t>
      </w:r>
      <w:r>
        <w:rPr>
          <w:i/>
          <w:iCs/>
          <w:shd w:val="clear" w:color="auto" w:fill="FFFFFF"/>
        </w:rPr>
        <w:t>U</w:t>
      </w:r>
      <w:r w:rsidRPr="000329FE">
        <w:rPr>
          <w:i/>
          <w:iCs/>
          <w:shd w:val="clear" w:color="auto" w:fill="FFFFFF"/>
        </w:rPr>
        <w:t xml:space="preserve">se </w:t>
      </w:r>
      <w:r>
        <w:rPr>
          <w:i/>
          <w:iCs/>
          <w:shd w:val="clear" w:color="auto" w:fill="FFFFFF"/>
        </w:rPr>
        <w:t>D</w:t>
      </w:r>
      <w:r w:rsidRPr="000329FE">
        <w:rPr>
          <w:i/>
          <w:iCs/>
          <w:shd w:val="clear" w:color="auto" w:fill="FFFFFF"/>
        </w:rPr>
        <w:t xml:space="preserve">isorders and </w:t>
      </w:r>
      <w:r>
        <w:rPr>
          <w:i/>
          <w:iCs/>
          <w:shd w:val="clear" w:color="auto" w:fill="FFFFFF"/>
        </w:rPr>
        <w:t>M</w:t>
      </w:r>
      <w:r w:rsidRPr="000329FE">
        <w:rPr>
          <w:i/>
          <w:iCs/>
          <w:shd w:val="clear" w:color="auto" w:fill="FFFFFF"/>
        </w:rPr>
        <w:t xml:space="preserve">ental </w:t>
      </w:r>
      <w:r>
        <w:rPr>
          <w:i/>
          <w:iCs/>
          <w:shd w:val="clear" w:color="auto" w:fill="FFFFFF"/>
        </w:rPr>
        <w:t>H</w:t>
      </w:r>
      <w:r w:rsidRPr="000329FE">
        <w:rPr>
          <w:i/>
          <w:iCs/>
          <w:shd w:val="clear" w:color="auto" w:fill="FFFFFF"/>
        </w:rPr>
        <w:t xml:space="preserve">ealth </w:t>
      </w:r>
      <w:r>
        <w:rPr>
          <w:i/>
          <w:iCs/>
          <w:shd w:val="clear" w:color="auto" w:fill="FFFFFF"/>
        </w:rPr>
        <w:t>D</w:t>
      </w:r>
      <w:r w:rsidRPr="000329FE">
        <w:rPr>
          <w:i/>
          <w:iCs/>
          <w:shd w:val="clear" w:color="auto" w:fill="FFFFFF"/>
        </w:rPr>
        <w:t xml:space="preserve">isorders </w:t>
      </w:r>
      <w:r>
        <w:rPr>
          <w:i/>
          <w:iCs/>
          <w:shd w:val="clear" w:color="auto" w:fill="FFFFFF"/>
        </w:rPr>
        <w:t>A</w:t>
      </w:r>
      <w:r w:rsidRPr="000329FE">
        <w:rPr>
          <w:i/>
          <w:iCs/>
          <w:shd w:val="clear" w:color="auto" w:fill="FFFFFF"/>
        </w:rPr>
        <w:t xml:space="preserve">mong New Zealand </w:t>
      </w:r>
      <w:r>
        <w:rPr>
          <w:i/>
          <w:iCs/>
          <w:shd w:val="clear" w:color="auto" w:fill="FFFFFF"/>
        </w:rPr>
        <w:t>P</w:t>
      </w:r>
      <w:r w:rsidRPr="000329FE">
        <w:rPr>
          <w:i/>
          <w:iCs/>
          <w:shd w:val="clear" w:color="auto" w:fill="FFFFFF"/>
        </w:rPr>
        <w:t>risoners</w:t>
      </w:r>
      <w:r w:rsidRPr="00561492">
        <w:rPr>
          <w:shd w:val="clear" w:color="auto" w:fill="FFFFFF"/>
        </w:rPr>
        <w:t>.</w:t>
      </w:r>
      <w:r w:rsidRPr="000329FE">
        <w:rPr>
          <w:shd w:val="clear" w:color="auto" w:fill="FFFFFF"/>
        </w:rPr>
        <w:t xml:space="preserve"> Wellington: Department of Corrections.</w:t>
      </w:r>
    </w:p>
    <w:p w14:paraId="7B177BF0" w14:textId="77777777" w:rsidR="009636B7" w:rsidRPr="000329FE" w:rsidRDefault="009636B7" w:rsidP="009636B7">
      <w:pPr>
        <w:pStyle w:val="References"/>
      </w:pPr>
      <w:r w:rsidRPr="000329FE">
        <w:rPr>
          <w:shd w:val="clear" w:color="auto" w:fill="FFFFFF"/>
        </w:rPr>
        <w:t xml:space="preserve">Jacob JD, Holmes D, Buus N. 2008. Humanism in forensic psychiatry: The use of the tidal nursing model. </w:t>
      </w:r>
      <w:r w:rsidRPr="000329FE">
        <w:rPr>
          <w:i/>
          <w:iCs/>
        </w:rPr>
        <w:t xml:space="preserve">Nursing Inquiry </w:t>
      </w:r>
      <w:r w:rsidRPr="00561492">
        <w:t>15</w:t>
      </w:r>
      <w:r w:rsidRPr="000329FE">
        <w:t>(3)</w:t>
      </w:r>
      <w:r>
        <w:t>:</w:t>
      </w:r>
      <w:r w:rsidRPr="000329FE">
        <w:t xml:space="preserve"> 224–30.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10.1111/j.14401800.2008.00420.x</w:t>
      </w:r>
      <w:r>
        <w:rPr>
          <w:shd w:val="clear" w:color="auto" w:fill="FFFFFF"/>
        </w:rPr>
        <w:t xml:space="preserve"> (accessed 12 October 2021).</w:t>
      </w:r>
    </w:p>
    <w:p w14:paraId="4EFAAEA2" w14:textId="77777777" w:rsidR="009636B7" w:rsidRPr="000329FE" w:rsidRDefault="009636B7" w:rsidP="009636B7">
      <w:pPr>
        <w:pStyle w:val="References"/>
      </w:pPr>
      <w:r w:rsidRPr="000329FE">
        <w:t xml:space="preserve">Jacobs B, Bruce M, Sonigra K, </w:t>
      </w:r>
      <w:r w:rsidR="00AD0D58">
        <w:t>et al</w:t>
      </w:r>
      <w:r w:rsidRPr="000329FE">
        <w:t xml:space="preserve">. 2010. Service user experiences of a community forensic personality disorder service: A qualitative survey. </w:t>
      </w:r>
      <w:r w:rsidRPr="000329FE">
        <w:rPr>
          <w:i/>
          <w:iCs/>
        </w:rPr>
        <w:t xml:space="preserve">British Journal of Forensic Practice </w:t>
      </w:r>
      <w:r w:rsidRPr="00561492">
        <w:t>12</w:t>
      </w:r>
      <w:r w:rsidRPr="000329FE">
        <w:t>(4)</w:t>
      </w:r>
      <w:r>
        <w:t>:</w:t>
      </w:r>
      <w:r w:rsidRPr="000329FE">
        <w:t xml:space="preserve"> 47–56. </w:t>
      </w:r>
      <w:r>
        <w:t>DOI</w:t>
      </w:r>
      <w:r w:rsidRPr="000329FE">
        <w:t>:</w:t>
      </w:r>
      <w:r>
        <w:t xml:space="preserve"> </w:t>
      </w:r>
      <w:r w:rsidRPr="000329FE">
        <w:t>10.5042/bjfp.2010.0614</w:t>
      </w:r>
      <w:r>
        <w:t xml:space="preserve"> (accessed 2 November 2021).</w:t>
      </w:r>
    </w:p>
    <w:p w14:paraId="020A4DDA" w14:textId="77777777" w:rsidR="009636B7" w:rsidRPr="000329FE" w:rsidRDefault="009636B7" w:rsidP="009636B7">
      <w:pPr>
        <w:pStyle w:val="References"/>
      </w:pPr>
      <w:r w:rsidRPr="000329FE">
        <w:t xml:space="preserve">James D. 1999. Court diversion at 10 years: Can it work, does it work and has it a future? </w:t>
      </w:r>
      <w:r w:rsidRPr="000329FE">
        <w:rPr>
          <w:i/>
          <w:iCs/>
        </w:rPr>
        <w:t xml:space="preserve">Journal of Forensic Psychiatry </w:t>
      </w:r>
      <w:r w:rsidRPr="00561492">
        <w:t>10</w:t>
      </w:r>
      <w:r w:rsidRPr="000329FE">
        <w:t>(3)</w:t>
      </w:r>
      <w:r>
        <w:t>:</w:t>
      </w:r>
      <w:r w:rsidRPr="000329FE">
        <w:t xml:space="preserve"> 507–24. </w:t>
      </w:r>
      <w:r>
        <w:t>DOI</w:t>
      </w:r>
      <w:r w:rsidRPr="000329FE">
        <w:t>:</w:t>
      </w:r>
      <w:r>
        <w:t xml:space="preserve"> </w:t>
      </w:r>
      <w:r w:rsidRPr="000329FE">
        <w:t>10.1080/09585189908402156</w:t>
      </w:r>
      <w:r>
        <w:t xml:space="preserve"> (accessed 27 October 2021).</w:t>
      </w:r>
    </w:p>
    <w:p w14:paraId="6059653B" w14:textId="77777777" w:rsidR="009636B7" w:rsidRPr="000329FE" w:rsidRDefault="009636B7" w:rsidP="009636B7">
      <w:pPr>
        <w:pStyle w:val="References"/>
      </w:pPr>
      <w:r w:rsidRPr="000329FE">
        <w:t>James DV. 2010. Diversion of mentally disordered people from the criminal justice system in England and Wales: An overview</w:t>
      </w:r>
      <w:r w:rsidRPr="000329FE">
        <w:rPr>
          <w:i/>
          <w:iCs/>
        </w:rPr>
        <w:t xml:space="preserve">. International Journal of Law and Psychiatry </w:t>
      </w:r>
      <w:r w:rsidRPr="00561492">
        <w:t>33</w:t>
      </w:r>
      <w:r w:rsidRPr="000329FE">
        <w:t>(4)</w:t>
      </w:r>
      <w:r>
        <w:t>:</w:t>
      </w:r>
      <w:r w:rsidRPr="000329FE">
        <w:t xml:space="preserve"> 241–8. </w:t>
      </w:r>
      <w:r>
        <w:t>DOI</w:t>
      </w:r>
      <w:r w:rsidRPr="000329FE">
        <w:t>:</w:t>
      </w:r>
      <w:r>
        <w:t xml:space="preserve"> </w:t>
      </w:r>
      <w:r w:rsidRPr="000329FE">
        <w:t>10.1016/j.ijlp.2010.06.006</w:t>
      </w:r>
      <w:r>
        <w:t xml:space="preserve"> (accessed 26 October 2021).</w:t>
      </w:r>
    </w:p>
    <w:p w14:paraId="608D7BC0" w14:textId="77777777" w:rsidR="009636B7" w:rsidRPr="000329FE" w:rsidRDefault="009636B7" w:rsidP="009636B7">
      <w:pPr>
        <w:pStyle w:val="References"/>
      </w:pPr>
      <w:r w:rsidRPr="000329FE">
        <w:t>James DV, Hamilton LW. 1992. Setting up psychiatric liaison schemes to magistrates</w:t>
      </w:r>
      <w:r w:rsidR="00EE0ADB">
        <w:t>’</w:t>
      </w:r>
      <w:r w:rsidRPr="000329FE">
        <w:t xml:space="preserve"> courts: Problems and practicalities. </w:t>
      </w:r>
      <w:r w:rsidRPr="000329FE">
        <w:rPr>
          <w:i/>
          <w:iCs/>
        </w:rPr>
        <w:t xml:space="preserve">Medicine, Science and the Law </w:t>
      </w:r>
      <w:r w:rsidRPr="00561492">
        <w:t>32</w:t>
      </w:r>
      <w:r w:rsidRPr="000329FE">
        <w:t>(2)</w:t>
      </w:r>
      <w:r>
        <w:t>:</w:t>
      </w:r>
      <w:r w:rsidRPr="000329FE">
        <w:t xml:space="preserve"> 167–76. </w:t>
      </w:r>
      <w:r>
        <w:t>DOI</w:t>
      </w:r>
      <w:r w:rsidRPr="000329FE">
        <w:t>:</w:t>
      </w:r>
      <w:r>
        <w:t xml:space="preserve"> </w:t>
      </w:r>
      <w:r w:rsidRPr="000329FE">
        <w:t>10.1177/106002809203200212</w:t>
      </w:r>
      <w:r>
        <w:t xml:space="preserve"> (accessed 26 October 2021).</w:t>
      </w:r>
    </w:p>
    <w:p w14:paraId="2ED15423" w14:textId="77777777" w:rsidR="00EE0ADB" w:rsidRDefault="009636B7" w:rsidP="009636B7">
      <w:pPr>
        <w:pStyle w:val="References"/>
      </w:pPr>
      <w:r w:rsidRPr="000329FE">
        <w:t xml:space="preserve">James DV, Harlow P. 2000. Increasing the power of psychiatric court diversion: A new model of supra-district diversion centre. </w:t>
      </w:r>
      <w:r w:rsidRPr="000329FE">
        <w:rPr>
          <w:i/>
          <w:iCs/>
        </w:rPr>
        <w:t xml:space="preserve">Medicine, Science and the Law </w:t>
      </w:r>
      <w:r w:rsidRPr="00561492">
        <w:t>40</w:t>
      </w:r>
      <w:r w:rsidRPr="000329FE">
        <w:t>(1)</w:t>
      </w:r>
      <w:r>
        <w:t>:</w:t>
      </w:r>
      <w:r w:rsidRPr="000329FE">
        <w:t xml:space="preserve"> 52–60. </w:t>
      </w:r>
      <w:r>
        <w:t>DOI</w:t>
      </w:r>
      <w:r w:rsidRPr="000329FE">
        <w:t>:</w:t>
      </w:r>
      <w:r>
        <w:t xml:space="preserve"> </w:t>
      </w:r>
      <w:r w:rsidRPr="000329FE">
        <w:t>10.1177/002580240004000111</w:t>
      </w:r>
      <w:r>
        <w:t xml:space="preserve"> (accessed 26 October 2021).</w:t>
      </w:r>
    </w:p>
    <w:p w14:paraId="2F957EF5" w14:textId="77777777" w:rsidR="00EE0ADB" w:rsidRDefault="009636B7" w:rsidP="009636B7">
      <w:pPr>
        <w:pStyle w:val="References"/>
      </w:pPr>
      <w:r w:rsidRPr="000329FE">
        <w:t>Jeffcote N, Watson T (</w:t>
      </w:r>
      <w:r>
        <w:t>e</w:t>
      </w:r>
      <w:r w:rsidRPr="000329FE">
        <w:t xml:space="preserve">ds). 2004. </w:t>
      </w:r>
      <w:r w:rsidRPr="000329FE">
        <w:rPr>
          <w:i/>
          <w:iCs/>
        </w:rPr>
        <w:t xml:space="preserve">Working </w:t>
      </w:r>
      <w:r>
        <w:rPr>
          <w:i/>
          <w:iCs/>
        </w:rPr>
        <w:t>T</w:t>
      </w:r>
      <w:r w:rsidRPr="000329FE">
        <w:rPr>
          <w:i/>
          <w:iCs/>
        </w:rPr>
        <w:t xml:space="preserve">herapeutically with </w:t>
      </w:r>
      <w:r>
        <w:rPr>
          <w:i/>
          <w:iCs/>
        </w:rPr>
        <w:t>W</w:t>
      </w:r>
      <w:r w:rsidRPr="000329FE">
        <w:rPr>
          <w:i/>
          <w:iCs/>
        </w:rPr>
        <w:t xml:space="preserve">omen in </w:t>
      </w:r>
      <w:r>
        <w:rPr>
          <w:i/>
          <w:iCs/>
        </w:rPr>
        <w:t>S</w:t>
      </w:r>
      <w:r w:rsidRPr="000329FE">
        <w:rPr>
          <w:i/>
          <w:iCs/>
        </w:rPr>
        <w:t xml:space="preserve">ecure </w:t>
      </w:r>
      <w:r>
        <w:rPr>
          <w:i/>
          <w:iCs/>
        </w:rPr>
        <w:t>M</w:t>
      </w:r>
      <w:r w:rsidRPr="000329FE">
        <w:rPr>
          <w:i/>
          <w:iCs/>
        </w:rPr>
        <w:t xml:space="preserve">ental </w:t>
      </w:r>
      <w:r>
        <w:rPr>
          <w:i/>
          <w:iCs/>
        </w:rPr>
        <w:t>H</w:t>
      </w:r>
      <w:r w:rsidRPr="000329FE">
        <w:rPr>
          <w:i/>
          <w:iCs/>
        </w:rPr>
        <w:t xml:space="preserve">ealth </w:t>
      </w:r>
      <w:r>
        <w:rPr>
          <w:i/>
          <w:iCs/>
        </w:rPr>
        <w:t>S</w:t>
      </w:r>
      <w:r w:rsidRPr="000329FE">
        <w:rPr>
          <w:i/>
          <w:iCs/>
        </w:rPr>
        <w:t>ettings</w:t>
      </w:r>
      <w:r w:rsidRPr="000329FE">
        <w:t>. London: Jessica Kingsley.</w:t>
      </w:r>
    </w:p>
    <w:p w14:paraId="15345858" w14:textId="77777777" w:rsidR="009636B7" w:rsidRPr="000329FE" w:rsidRDefault="009636B7" w:rsidP="009636B7">
      <w:pPr>
        <w:pStyle w:val="References"/>
      </w:pPr>
      <w:r w:rsidRPr="000329FE">
        <w:t xml:space="preserve">Jennings JL. 2009. Does assertive community treatment work with forensic populations? Review and recommendations. </w:t>
      </w:r>
      <w:r w:rsidRPr="000329FE">
        <w:rPr>
          <w:i/>
          <w:iCs/>
        </w:rPr>
        <w:t xml:space="preserve">The Open Psychiatry Journal </w:t>
      </w:r>
      <w:r w:rsidRPr="00561492">
        <w:t>3</w:t>
      </w:r>
      <w:r>
        <w:t>:</w:t>
      </w:r>
      <w:r w:rsidRPr="000329FE">
        <w:t xml:space="preserve"> 13–19. </w:t>
      </w:r>
      <w:r>
        <w:t>URL:</w:t>
      </w:r>
      <w:r w:rsidRPr="000329FE">
        <w:t xml:space="preserve"> </w:t>
      </w:r>
      <w:hyperlink r:id="rId90" w:history="1">
        <w:r w:rsidR="000C226C" w:rsidRPr="000C226C">
          <w:rPr>
            <w:rStyle w:val="Hyperlink"/>
          </w:rPr>
          <w:t>https://pdfs.semanticscholar.org/d746/dc863848b1a81e23479e20f87a4dcac3de9f.pdf</w:t>
        </w:r>
      </w:hyperlink>
      <w:r>
        <w:t xml:space="preserve"> (accessed 14 October 2021).</w:t>
      </w:r>
    </w:p>
    <w:p w14:paraId="142DEB8F" w14:textId="77777777" w:rsidR="009636B7" w:rsidRPr="000329FE" w:rsidRDefault="009636B7" w:rsidP="009636B7">
      <w:pPr>
        <w:pStyle w:val="References"/>
      </w:pPr>
      <w:r w:rsidRPr="000329FE">
        <w:t>Johnston P. 2018. The effectiveness of Corrections</w:t>
      </w:r>
      <w:r w:rsidR="00EE0ADB">
        <w:t>’</w:t>
      </w:r>
      <w:r w:rsidRPr="000329FE">
        <w:t xml:space="preserve"> rehabilitation interventions with Māori. </w:t>
      </w:r>
      <w:r w:rsidRPr="000329FE">
        <w:rPr>
          <w:i/>
          <w:iCs/>
        </w:rPr>
        <w:t xml:space="preserve">Practice: The New Zealand Corrections Journal </w:t>
      </w:r>
      <w:r w:rsidRPr="00561492">
        <w:t>6</w:t>
      </w:r>
      <w:r w:rsidRPr="000329FE">
        <w:t>(2)</w:t>
      </w:r>
      <w:r>
        <w:t>:</w:t>
      </w:r>
      <w:r w:rsidRPr="000329FE">
        <w:t xml:space="preserve"> np.</w:t>
      </w:r>
      <w:hyperlink w:history="1"/>
      <w:r>
        <w:t xml:space="preserve"> URL: </w:t>
      </w:r>
      <w:hyperlink r:id="rId91" w:history="1">
        <w:r w:rsidR="000C226C" w:rsidRPr="000C226C">
          <w:rPr>
            <w:rStyle w:val="Hyperlink"/>
          </w:rPr>
          <w:t>www.corrections.govt.nz/resources/research/journal/volume_6_issue_2_november_2018/the_effectiveness_of_corrections_rehabilitation_interventions_with_maori</w:t>
        </w:r>
      </w:hyperlink>
      <w:r w:rsidRPr="002773F2">
        <w:t xml:space="preserve"> </w:t>
      </w:r>
      <w:r>
        <w:t>(accessed 22 October 2021).</w:t>
      </w:r>
    </w:p>
    <w:p w14:paraId="40B27A48" w14:textId="77777777" w:rsidR="009636B7" w:rsidRPr="000329FE" w:rsidRDefault="009636B7" w:rsidP="009636B7">
      <w:pPr>
        <w:pStyle w:val="References"/>
      </w:pPr>
      <w:r w:rsidRPr="000329FE">
        <w:t xml:space="preserve">Jones R, Day A. 2011. Mental health, criminal justice and culture: Some ways forward? </w:t>
      </w:r>
      <w:r w:rsidRPr="000329FE">
        <w:rPr>
          <w:i/>
          <w:iCs/>
        </w:rPr>
        <w:t xml:space="preserve">Australasian Psychiatry </w:t>
      </w:r>
      <w:r w:rsidRPr="00561492">
        <w:t>19</w:t>
      </w:r>
      <w:r w:rsidRPr="000329FE">
        <w:t>(4)</w:t>
      </w:r>
      <w:r>
        <w:t>:</w:t>
      </w:r>
      <w:r w:rsidRPr="000329FE">
        <w:t xml:space="preserve"> 325–30. </w:t>
      </w:r>
      <w:r>
        <w:t>DOI</w:t>
      </w:r>
      <w:r w:rsidRPr="000329FE">
        <w:t>:</w:t>
      </w:r>
      <w:r>
        <w:t xml:space="preserve"> </w:t>
      </w:r>
      <w:r w:rsidRPr="000329FE">
        <w:t>10.3109/10398562.2011.579613</w:t>
      </w:r>
      <w:r>
        <w:t xml:space="preserve"> (accessed 28 October 2021).</w:t>
      </w:r>
    </w:p>
    <w:p w14:paraId="1A09F1E0" w14:textId="77777777" w:rsidR="00A0717A" w:rsidRPr="000329FE" w:rsidRDefault="009636B7" w:rsidP="00A0717A">
      <w:pPr>
        <w:pStyle w:val="References"/>
        <w:keepNext/>
      </w:pPr>
      <w:r w:rsidRPr="000329FE">
        <w:lastRenderedPageBreak/>
        <w:t xml:space="preserve">Judge J, Harty MA, Fah, T. 2004. Survey of community forensic psychiatry services in England and Wales. </w:t>
      </w:r>
      <w:r w:rsidRPr="000329FE">
        <w:rPr>
          <w:i/>
          <w:iCs/>
        </w:rPr>
        <w:t xml:space="preserve">Journal of Forensic Psychiatry and Psychology </w:t>
      </w:r>
      <w:r w:rsidRPr="00561492">
        <w:t>15</w:t>
      </w:r>
      <w:r w:rsidRPr="000329FE">
        <w:t>(2)</w:t>
      </w:r>
      <w:r>
        <w:t>:</w:t>
      </w:r>
      <w:r w:rsidRPr="000329FE">
        <w:t xml:space="preserve"> 244–53. </w:t>
      </w:r>
      <w:r>
        <w:t>DOI</w:t>
      </w:r>
      <w:r w:rsidRPr="000329FE">
        <w:t>:</w:t>
      </w:r>
      <w:r>
        <w:t xml:space="preserve"> </w:t>
      </w:r>
      <w:r w:rsidRPr="000329FE">
        <w:t>10.1080/14789940410001702553</w:t>
      </w:r>
      <w:r>
        <w:t xml:space="preserve"> (accessed 14 October 2021).</w:t>
      </w:r>
    </w:p>
    <w:p w14:paraId="0A90F06D" w14:textId="77777777" w:rsidR="009636B7" w:rsidRPr="000329FE" w:rsidRDefault="009636B7" w:rsidP="009636B7">
      <w:pPr>
        <w:pStyle w:val="References"/>
      </w:pPr>
      <w:r w:rsidRPr="000329FE">
        <w:t xml:space="preserve">Kelly BL, Barrenger SL, Watson AC, </w:t>
      </w:r>
      <w:r w:rsidR="00AD0D58">
        <w:t>et al</w:t>
      </w:r>
      <w:r w:rsidRPr="000329FE">
        <w:t xml:space="preserve">. 2017. Forensic assertive community treatment: Recidivism, hospitalization, and the role of housing and support. </w:t>
      </w:r>
      <w:r w:rsidRPr="000329FE">
        <w:rPr>
          <w:i/>
          <w:iCs/>
        </w:rPr>
        <w:t xml:space="preserve">Social Work in Mental Health </w:t>
      </w:r>
      <w:r w:rsidRPr="00561492">
        <w:t>5</w:t>
      </w:r>
      <w:r w:rsidRPr="000329FE">
        <w:t>(3)</w:t>
      </w:r>
      <w:r>
        <w:t>:</w:t>
      </w:r>
      <w:r w:rsidRPr="000329FE">
        <w:t xml:space="preserve"> 567–87. </w:t>
      </w:r>
      <w:r>
        <w:t>DOI</w:t>
      </w:r>
      <w:r w:rsidRPr="000329FE">
        <w:t>:</w:t>
      </w:r>
      <w:r>
        <w:t xml:space="preserve"> </w:t>
      </w:r>
      <w:r w:rsidRPr="000329FE">
        <w:t>10.1080/15332985.2016.1261754</w:t>
      </w:r>
      <w:r>
        <w:t xml:space="preserve"> (accessed 14 October 2021).</w:t>
      </w:r>
    </w:p>
    <w:p w14:paraId="75643519" w14:textId="77777777" w:rsidR="009636B7" w:rsidRPr="000329FE" w:rsidRDefault="009636B7" w:rsidP="009636B7">
      <w:pPr>
        <w:pStyle w:val="References"/>
      </w:pPr>
      <w:r w:rsidRPr="000329FE">
        <w:t xml:space="preserve">Kelly T, Simmons W, Gregory E. 2002. Risk assessment and management: A community forensic mental health practice model. </w:t>
      </w:r>
      <w:r w:rsidRPr="000329FE">
        <w:rPr>
          <w:i/>
          <w:iCs/>
        </w:rPr>
        <w:t xml:space="preserve">International Journal of Mental Health Nursing </w:t>
      </w:r>
      <w:r w:rsidRPr="00561492">
        <w:t>11</w:t>
      </w:r>
      <w:r w:rsidRPr="000329FE">
        <w:t>(4)</w:t>
      </w:r>
      <w:r>
        <w:t>:</w:t>
      </w:r>
      <w:r w:rsidRPr="000329FE">
        <w:t xml:space="preserve"> 206–13. </w:t>
      </w:r>
      <w:r>
        <w:t>DOI</w:t>
      </w:r>
      <w:r w:rsidRPr="000329FE">
        <w:t>:</w:t>
      </w:r>
      <w:r>
        <w:t xml:space="preserve"> </w:t>
      </w:r>
      <w:r w:rsidRPr="000329FE">
        <w:t>10.1046/j.1440-0979.2002.00250.x</w:t>
      </w:r>
      <w:r>
        <w:t xml:space="preserve"> (accessed 14 October 2021).</w:t>
      </w:r>
    </w:p>
    <w:p w14:paraId="2056066E" w14:textId="77777777" w:rsidR="009636B7" w:rsidRPr="000329FE" w:rsidRDefault="009636B7" w:rsidP="009636B7">
      <w:pPr>
        <w:pStyle w:val="References"/>
      </w:pPr>
      <w:r w:rsidRPr="000329FE">
        <w:t xml:space="preserve">Kennedy HG. 2002. Therapeutic uses of security: Mapping forensic mental health services by stratifying risk. </w:t>
      </w:r>
      <w:r w:rsidRPr="000329FE">
        <w:rPr>
          <w:i/>
          <w:iCs/>
        </w:rPr>
        <w:t xml:space="preserve">Advances in Psychiatric Treatment </w:t>
      </w:r>
      <w:r w:rsidRPr="00561492">
        <w:t>8</w:t>
      </w:r>
      <w:r w:rsidRPr="000329FE">
        <w:t>(6)</w:t>
      </w:r>
      <w:r>
        <w:t>:</w:t>
      </w:r>
      <w:r w:rsidRPr="000329FE">
        <w:t xml:space="preserve"> 433–43. </w:t>
      </w:r>
      <w:r>
        <w:t xml:space="preserve">URL: </w:t>
      </w:r>
      <w:hyperlink r:id="rId92" w:history="1">
        <w:r w:rsidR="000C226C" w:rsidRPr="000C226C">
          <w:rPr>
            <w:rStyle w:val="Hyperlink"/>
          </w:rPr>
          <w:t>https://doi.org/10.1192/apt.8.6.433</w:t>
        </w:r>
      </w:hyperlink>
      <w:r>
        <w:t xml:space="preserve"> (accessed 11 October 2021).</w:t>
      </w:r>
    </w:p>
    <w:p w14:paraId="1F4177AA" w14:textId="77777777" w:rsidR="009636B7" w:rsidRPr="000329FE" w:rsidRDefault="009636B7" w:rsidP="009636B7">
      <w:pPr>
        <w:pStyle w:val="References"/>
      </w:pPr>
      <w:r w:rsidRPr="000329FE">
        <w:t>Kennedy HG. 2006. The future of forensic mental health services in Ireland</w:t>
      </w:r>
      <w:r w:rsidRPr="000329FE">
        <w:rPr>
          <w:i/>
          <w:iCs/>
        </w:rPr>
        <w:t xml:space="preserve">. International Journal of Psychological Medicine </w:t>
      </w:r>
      <w:r w:rsidRPr="00561492">
        <w:t>23</w:t>
      </w:r>
      <w:r w:rsidRPr="000329FE">
        <w:t>(2)</w:t>
      </w:r>
      <w:r>
        <w:t>:</w:t>
      </w:r>
      <w:r w:rsidRPr="000329FE">
        <w:t xml:space="preserve"> 45–6. </w:t>
      </w:r>
      <w:r>
        <w:t>DOI</w:t>
      </w:r>
      <w:r w:rsidRPr="000329FE">
        <w:t>:</w:t>
      </w:r>
      <w:r>
        <w:t xml:space="preserve"> </w:t>
      </w:r>
      <w:r w:rsidRPr="000329FE">
        <w:t>10.1017/S0790966700009563</w:t>
      </w:r>
      <w:r>
        <w:t xml:space="preserve"> (accessed 11 October 2021).</w:t>
      </w:r>
    </w:p>
    <w:p w14:paraId="2D987619" w14:textId="77777777" w:rsidR="009636B7" w:rsidRDefault="009636B7" w:rsidP="009636B7">
      <w:pPr>
        <w:pStyle w:val="References"/>
        <w:rPr>
          <w:lang w:val="mi-NZ"/>
        </w:rPr>
      </w:pPr>
      <w:r>
        <w:rPr>
          <w:lang w:val="mi-NZ"/>
        </w:rPr>
        <w:t xml:space="preserve">Kennedy HG. 2021. Models of care in forensic psychiatry. </w:t>
      </w:r>
      <w:r w:rsidRPr="00B67CD7">
        <w:rPr>
          <w:i/>
          <w:iCs/>
          <w:lang w:val="mi-NZ"/>
        </w:rPr>
        <w:t>BJPsych Advances</w:t>
      </w:r>
      <w:r w:rsidRPr="00670852">
        <w:rPr>
          <w:lang w:val="mi-NZ"/>
        </w:rPr>
        <w:t xml:space="preserve"> </w:t>
      </w:r>
      <w:r>
        <w:rPr>
          <w:lang w:val="mi-NZ"/>
        </w:rPr>
        <w:t>1–14.</w:t>
      </w:r>
      <w:r w:rsidRPr="00670852">
        <w:rPr>
          <w:lang w:val="mi-NZ"/>
        </w:rPr>
        <w:t xml:space="preserve"> </w:t>
      </w:r>
      <w:r>
        <w:rPr>
          <w:lang w:val="mi-NZ"/>
        </w:rPr>
        <w:t>DOI</w:t>
      </w:r>
      <w:r w:rsidRPr="00670852">
        <w:rPr>
          <w:lang w:val="mi-NZ"/>
        </w:rPr>
        <w:t>: 10.1192/bja.2021.34</w:t>
      </w:r>
      <w:r>
        <w:rPr>
          <w:lang w:val="mi-NZ"/>
        </w:rPr>
        <w:t xml:space="preserve"> (accessed 6 October 2021).</w:t>
      </w:r>
    </w:p>
    <w:p w14:paraId="4CF75F8B" w14:textId="77777777" w:rsidR="009636B7" w:rsidRPr="00075571" w:rsidRDefault="009636B7" w:rsidP="009636B7">
      <w:pPr>
        <w:pStyle w:val="References"/>
      </w:pPr>
      <w:r w:rsidRPr="00075571">
        <w:t>Kennedy HG, O</w:t>
      </w:r>
      <w:r w:rsidR="00EE0ADB">
        <w:t>’</w:t>
      </w:r>
      <w:r w:rsidRPr="00075571">
        <w:t xml:space="preserve">Neill C, Flynn G, </w:t>
      </w:r>
      <w:r w:rsidR="00AD0D58">
        <w:t>et al</w:t>
      </w:r>
      <w:r w:rsidRPr="00075571">
        <w:t xml:space="preserve">. 2016. </w:t>
      </w:r>
      <w:r w:rsidRPr="00075571">
        <w:rPr>
          <w:i/>
          <w:iCs/>
        </w:rPr>
        <w:t xml:space="preserve">The DUNDRUM </w:t>
      </w:r>
      <w:r>
        <w:rPr>
          <w:i/>
          <w:iCs/>
        </w:rPr>
        <w:t>T</w:t>
      </w:r>
      <w:r w:rsidRPr="00075571">
        <w:rPr>
          <w:i/>
          <w:iCs/>
        </w:rPr>
        <w:t>oolkit: Dangerousness</w:t>
      </w:r>
      <w:r>
        <w:rPr>
          <w:i/>
          <w:iCs/>
        </w:rPr>
        <w:t>,</w:t>
      </w:r>
      <w:r w:rsidRPr="00075571">
        <w:rPr>
          <w:i/>
          <w:iCs/>
        </w:rPr>
        <w:t xml:space="preserve"> understanding, recovery and urgency manual (The DUNDRUM quartet). </w:t>
      </w:r>
      <w:r w:rsidRPr="00075571">
        <w:t xml:space="preserve">Dublin: Trinity College Dublin. </w:t>
      </w:r>
      <w:r>
        <w:t>URL:</w:t>
      </w:r>
      <w:r w:rsidRPr="00075571">
        <w:t xml:space="preserve"> </w:t>
      </w:r>
      <w:hyperlink r:id="rId93" w:history="1">
        <w:r w:rsidR="000C226C" w:rsidRPr="000C226C">
          <w:rPr>
            <w:rStyle w:val="Hyperlink"/>
          </w:rPr>
          <w:t>www.tara.tcd.ie/handle/2262/39131</w:t>
        </w:r>
      </w:hyperlink>
      <w:r>
        <w:t xml:space="preserve"> (accessed 2 November 2021).</w:t>
      </w:r>
    </w:p>
    <w:p w14:paraId="491935C1" w14:textId="77777777" w:rsidR="009636B7" w:rsidRPr="00DD29A3" w:rsidRDefault="009636B7" w:rsidP="009636B7">
      <w:pPr>
        <w:pStyle w:val="References"/>
      </w:pPr>
      <w:r w:rsidRPr="001A28C6">
        <w:t>Kennedy HG,</w:t>
      </w:r>
      <w:r w:rsidRPr="009E213B">
        <w:t xml:space="preserve"> </w:t>
      </w:r>
      <w:r w:rsidR="00AD0D58">
        <w:t>et al</w:t>
      </w:r>
      <w:r w:rsidRPr="009E213B">
        <w:t xml:space="preserve">. (Forthcoming). </w:t>
      </w:r>
      <w:r w:rsidRPr="009E213B">
        <w:rPr>
          <w:i/>
          <w:iCs/>
        </w:rPr>
        <w:t xml:space="preserve">Models of </w:t>
      </w:r>
      <w:r>
        <w:rPr>
          <w:i/>
          <w:iCs/>
        </w:rPr>
        <w:t>C</w:t>
      </w:r>
      <w:r w:rsidRPr="009E213B">
        <w:rPr>
          <w:i/>
          <w:iCs/>
        </w:rPr>
        <w:t xml:space="preserve">are and </w:t>
      </w:r>
      <w:r>
        <w:rPr>
          <w:i/>
          <w:iCs/>
        </w:rPr>
        <w:t>E</w:t>
      </w:r>
      <w:r w:rsidRPr="009E213B">
        <w:rPr>
          <w:i/>
          <w:iCs/>
        </w:rPr>
        <w:t xml:space="preserve">valuation in </w:t>
      </w:r>
      <w:r>
        <w:rPr>
          <w:i/>
          <w:iCs/>
        </w:rPr>
        <w:t>F</w:t>
      </w:r>
      <w:r w:rsidRPr="009E213B">
        <w:rPr>
          <w:i/>
          <w:iCs/>
        </w:rPr>
        <w:t xml:space="preserve">orensic </w:t>
      </w:r>
      <w:r>
        <w:rPr>
          <w:i/>
          <w:iCs/>
        </w:rPr>
        <w:t>M</w:t>
      </w:r>
      <w:r w:rsidRPr="009E213B">
        <w:rPr>
          <w:i/>
          <w:iCs/>
        </w:rPr>
        <w:t xml:space="preserve">ental </w:t>
      </w:r>
      <w:r>
        <w:rPr>
          <w:i/>
          <w:iCs/>
        </w:rPr>
        <w:t>H</w:t>
      </w:r>
      <w:r w:rsidRPr="009E213B">
        <w:rPr>
          <w:i/>
          <w:iCs/>
        </w:rPr>
        <w:t xml:space="preserve">ealth </w:t>
      </w:r>
      <w:r>
        <w:rPr>
          <w:i/>
          <w:iCs/>
        </w:rPr>
        <w:t>S</w:t>
      </w:r>
      <w:r w:rsidRPr="009E213B">
        <w:rPr>
          <w:i/>
          <w:iCs/>
        </w:rPr>
        <w:t xml:space="preserve">ervices </w:t>
      </w:r>
      <w:r>
        <w:t>(</w:t>
      </w:r>
      <w:r w:rsidR="00485810">
        <w:t>u</w:t>
      </w:r>
      <w:r w:rsidRPr="00E42BE0">
        <w:t>npublished manuscript</w:t>
      </w:r>
      <w:r>
        <w:t>)</w:t>
      </w:r>
      <w:r w:rsidRPr="0043256B">
        <w:t>.</w:t>
      </w:r>
    </w:p>
    <w:p w14:paraId="67301A48" w14:textId="77777777" w:rsidR="009636B7" w:rsidRPr="000329FE" w:rsidRDefault="009636B7" w:rsidP="009636B7">
      <w:pPr>
        <w:pStyle w:val="References"/>
      </w:pPr>
      <w:r w:rsidRPr="00482A5B">
        <w:t xml:space="preserve">Kenney-Herbert J, Taylor M, Puri, </w:t>
      </w:r>
      <w:r w:rsidR="00AD0D58">
        <w:t>et al</w:t>
      </w:r>
      <w:r w:rsidRPr="00A537F0">
        <w:t xml:space="preserve"> (</w:t>
      </w:r>
      <w:r>
        <w:t>e</w:t>
      </w:r>
      <w:r w:rsidRPr="00A537F0">
        <w:t>ds).</w:t>
      </w:r>
      <w:r>
        <w:t xml:space="preserve"> </w:t>
      </w:r>
      <w:r w:rsidRPr="00A537F0">
        <w:t xml:space="preserve">2013. </w:t>
      </w:r>
      <w:r w:rsidRPr="004034BB">
        <w:rPr>
          <w:i/>
          <w:iCs/>
        </w:rPr>
        <w:t xml:space="preserve">Standards for </w:t>
      </w:r>
      <w:r>
        <w:rPr>
          <w:i/>
          <w:iCs/>
        </w:rPr>
        <w:t>C</w:t>
      </w:r>
      <w:r w:rsidRPr="004034BB">
        <w:rPr>
          <w:i/>
          <w:iCs/>
        </w:rPr>
        <w:t xml:space="preserve">ommunity </w:t>
      </w:r>
      <w:r>
        <w:rPr>
          <w:i/>
          <w:iCs/>
        </w:rPr>
        <w:t>F</w:t>
      </w:r>
      <w:r w:rsidRPr="004034BB">
        <w:rPr>
          <w:i/>
          <w:iCs/>
        </w:rPr>
        <w:t xml:space="preserve">orensic </w:t>
      </w:r>
      <w:r>
        <w:rPr>
          <w:i/>
          <w:iCs/>
        </w:rPr>
        <w:t>M</w:t>
      </w:r>
      <w:r w:rsidRPr="004034BB">
        <w:rPr>
          <w:i/>
          <w:iCs/>
        </w:rPr>
        <w:t xml:space="preserve">ental </w:t>
      </w:r>
      <w:r>
        <w:rPr>
          <w:i/>
          <w:iCs/>
        </w:rPr>
        <w:t>H</w:t>
      </w:r>
      <w:r w:rsidRPr="004034BB">
        <w:rPr>
          <w:i/>
          <w:iCs/>
        </w:rPr>
        <w:t xml:space="preserve">ealth </w:t>
      </w:r>
      <w:r>
        <w:rPr>
          <w:i/>
          <w:iCs/>
        </w:rPr>
        <w:t>S</w:t>
      </w:r>
      <w:r w:rsidRPr="004034BB">
        <w:rPr>
          <w:i/>
          <w:iCs/>
        </w:rPr>
        <w:t>ervices</w:t>
      </w:r>
      <w:r w:rsidRPr="00561492">
        <w:t>.</w:t>
      </w:r>
      <w:r w:rsidRPr="004034BB">
        <w:rPr>
          <w:i/>
          <w:iCs/>
        </w:rPr>
        <w:t xml:space="preserve"> </w:t>
      </w:r>
      <w:r>
        <w:t xml:space="preserve">London: </w:t>
      </w:r>
      <w:r w:rsidRPr="00FB779C">
        <w:t xml:space="preserve">Forensic Quality Network for Forensic Mental Health Services </w:t>
      </w:r>
      <w:r>
        <w:t>and</w:t>
      </w:r>
      <w:r w:rsidRPr="00FB779C">
        <w:t xml:space="preserve"> Royal College of Psychiatrists. </w:t>
      </w:r>
      <w:r>
        <w:t>URL:</w:t>
      </w:r>
      <w:r w:rsidRPr="00FB779C">
        <w:t xml:space="preserve"> </w:t>
      </w:r>
      <w:hyperlink r:id="rId94" w:history="1">
        <w:r w:rsidR="00485810" w:rsidRPr="00485810">
          <w:rPr>
            <w:rStyle w:val="Hyperlink"/>
          </w:rPr>
          <w:t>www.antoniocasella.eu/archipsy/KENNEY-HERBERT_APR13.pdf</w:t>
        </w:r>
      </w:hyperlink>
      <w:r>
        <w:t xml:space="preserve"> (accessed 14 October 2021).</w:t>
      </w:r>
    </w:p>
    <w:p w14:paraId="3B6D2EF2" w14:textId="77777777" w:rsidR="009636B7" w:rsidRPr="000329FE" w:rsidRDefault="009636B7" w:rsidP="009636B7">
      <w:pPr>
        <w:pStyle w:val="References"/>
      </w:pPr>
      <w:r w:rsidRPr="000329FE">
        <w:rPr>
          <w:shd w:val="clear" w:color="auto" w:fill="FFFFFF"/>
        </w:rPr>
        <w:t xml:space="preserve">Keulen-de Vos M, Schepers K. 2016. Needs assessment in forensic patients: A review of instrument suites. </w:t>
      </w:r>
      <w:r w:rsidRPr="000329FE">
        <w:rPr>
          <w:i/>
          <w:iCs/>
        </w:rPr>
        <w:t xml:space="preserve">International Journal of Forensic Mental Health </w:t>
      </w:r>
      <w:r w:rsidRPr="00561492">
        <w:t>15</w:t>
      </w:r>
      <w:r w:rsidRPr="000329FE">
        <w:t>(3)</w:t>
      </w:r>
      <w:r>
        <w:t>:</w:t>
      </w:r>
      <w:r w:rsidRPr="000329FE">
        <w:t xml:space="preserve"> 283–300. </w:t>
      </w:r>
      <w:r>
        <w:t xml:space="preserve">URL: </w:t>
      </w:r>
      <w:hyperlink r:id="rId95" w:history="1">
        <w:r w:rsidR="00485810" w:rsidRPr="00485810">
          <w:rPr>
            <w:rStyle w:val="Hyperlink"/>
          </w:rPr>
          <w:t>http://dx.doi.org/10.1080/14999013.2016.1152614</w:t>
        </w:r>
      </w:hyperlink>
      <w:r>
        <w:rPr>
          <w:shd w:val="clear" w:color="auto" w:fill="FFFFFF"/>
        </w:rPr>
        <w:t xml:space="preserve"> (accessed 11 October 2021).</w:t>
      </w:r>
    </w:p>
    <w:p w14:paraId="66AEDE3E" w14:textId="77777777" w:rsidR="009636B7" w:rsidRPr="000329FE" w:rsidRDefault="009636B7" w:rsidP="009636B7">
      <w:pPr>
        <w:pStyle w:val="References"/>
      </w:pPr>
      <w:r w:rsidRPr="000329FE">
        <w:t xml:space="preserve">Khalifa N, Saleem Y, Stankard P. 2007. The use of telepsychiatry within forensic practice: A literature review on the use of videolink. </w:t>
      </w:r>
      <w:r w:rsidRPr="000329FE">
        <w:rPr>
          <w:i/>
          <w:iCs/>
        </w:rPr>
        <w:t xml:space="preserve">The Journal of Forensic Psychiatry </w:t>
      </w:r>
      <w:r>
        <w:rPr>
          <w:i/>
          <w:iCs/>
        </w:rPr>
        <w:t>and</w:t>
      </w:r>
      <w:r w:rsidRPr="000329FE">
        <w:rPr>
          <w:i/>
          <w:iCs/>
        </w:rPr>
        <w:t xml:space="preserve"> Psychology </w:t>
      </w:r>
      <w:r w:rsidRPr="00561492">
        <w:t>19</w:t>
      </w:r>
      <w:r w:rsidRPr="000329FE">
        <w:t>(1)</w:t>
      </w:r>
      <w:r>
        <w:t>:</w:t>
      </w:r>
      <w:r w:rsidRPr="000329FE">
        <w:t xml:space="preserve"> 2–13. </w:t>
      </w:r>
      <w:r>
        <w:t xml:space="preserve">URL: </w:t>
      </w:r>
      <w:hyperlink r:id="rId96" w:history="1">
        <w:r w:rsidR="00485810" w:rsidRPr="00485810">
          <w:rPr>
            <w:rStyle w:val="Hyperlink"/>
          </w:rPr>
          <w:t>https://doi-org.ezproxy.aut.ac.nz/10.1080/14789940701560794</w:t>
        </w:r>
      </w:hyperlink>
      <w:r>
        <w:t xml:space="preserve"> (accessed 27 October 2021).</w:t>
      </w:r>
    </w:p>
    <w:p w14:paraId="5D90D2AE" w14:textId="77777777" w:rsidR="009636B7" w:rsidRPr="000329FE" w:rsidRDefault="009636B7" w:rsidP="009636B7">
      <w:pPr>
        <w:pStyle w:val="References"/>
      </w:pPr>
      <w:r w:rsidRPr="000329FE">
        <w:rPr>
          <w:shd w:val="clear" w:color="auto" w:fill="FFFFFF"/>
        </w:rPr>
        <w:t xml:space="preserve">Khan A, Maheshwari R, Vrklevski L. 2018. Clinician perspectives of inpatient forensic psychiatric rehabilitation in a low secure setting: A qualitative study. </w:t>
      </w:r>
      <w:r w:rsidRPr="000329FE">
        <w:rPr>
          <w:i/>
          <w:iCs/>
        </w:rPr>
        <w:t xml:space="preserve">Psychiatry, Psychology and Law </w:t>
      </w:r>
      <w:r w:rsidRPr="00561492">
        <w:t>25</w:t>
      </w:r>
      <w:r w:rsidRPr="000329FE">
        <w:t>(3)</w:t>
      </w:r>
      <w:r>
        <w:t>:</w:t>
      </w:r>
      <w:r w:rsidRPr="000329FE">
        <w:t xml:space="preserve"> 329–40. </w:t>
      </w:r>
      <w:r>
        <w:t xml:space="preserve">URL: </w:t>
      </w:r>
      <w:hyperlink r:id="rId97" w:history="1">
        <w:r w:rsidR="00485810" w:rsidRPr="00485810">
          <w:rPr>
            <w:rStyle w:val="Hyperlink"/>
          </w:rPr>
          <w:t>https://doi.org/10.1080/13218719.2017.1396863</w:t>
        </w:r>
      </w:hyperlink>
      <w:r>
        <w:rPr>
          <w:shd w:val="clear" w:color="auto" w:fill="FFFFFF"/>
        </w:rPr>
        <w:t xml:space="preserve"> (accessed 11 October 2021).</w:t>
      </w:r>
    </w:p>
    <w:p w14:paraId="17EF351B" w14:textId="77777777" w:rsidR="009636B7" w:rsidRPr="000329FE" w:rsidRDefault="009636B7" w:rsidP="00A0717A">
      <w:pPr>
        <w:pStyle w:val="References"/>
        <w:keepNext/>
        <w:keepLines/>
      </w:pPr>
      <w:r w:rsidRPr="000329FE">
        <w:lastRenderedPageBreak/>
        <w:t xml:space="preserve">King L, Bourke S. 2017. A review of the Saili Matagi Programme for male Pacifica prisoners. </w:t>
      </w:r>
      <w:r w:rsidRPr="000329FE">
        <w:rPr>
          <w:i/>
          <w:iCs/>
        </w:rPr>
        <w:t xml:space="preserve">Practice: The New Zealand Corrections Journal </w:t>
      </w:r>
      <w:r w:rsidRPr="00561492">
        <w:t>5</w:t>
      </w:r>
      <w:r w:rsidRPr="000329FE">
        <w:t>(2)</w:t>
      </w:r>
      <w:r>
        <w:t>:</w:t>
      </w:r>
      <w:r w:rsidRPr="000329FE">
        <w:t xml:space="preserve"> np. </w:t>
      </w:r>
      <w:r>
        <w:t>URL:</w:t>
      </w:r>
      <w:r w:rsidRPr="000329FE">
        <w:t xml:space="preserve"> </w:t>
      </w:r>
      <w:hyperlink r:id="rId98" w:history="1">
        <w:r w:rsidR="00485810" w:rsidRPr="00485810">
          <w:rPr>
            <w:rStyle w:val="Hyperlink"/>
          </w:rPr>
          <w:t>www.corrections.govt.nz/resources/newsletters_and_brochures/journal/volume_5_issue_2_november_2017/a_review_of_the_saili_matagi_programme_for_male_pacifica_prisoners.html</w:t>
        </w:r>
      </w:hyperlink>
      <w:r>
        <w:t xml:space="preserve"> (accessed 12 October 2021).</w:t>
      </w:r>
    </w:p>
    <w:p w14:paraId="4ED502C2" w14:textId="77777777" w:rsidR="009636B7" w:rsidRPr="000329FE" w:rsidRDefault="009636B7" w:rsidP="009636B7">
      <w:pPr>
        <w:pStyle w:val="References"/>
      </w:pPr>
      <w:r w:rsidRPr="000329FE">
        <w:t xml:space="preserve">Kingham M, Corfe M. 2005. Experiences of a mixed court liaison and diversion scheme. </w:t>
      </w:r>
      <w:r w:rsidRPr="000329FE">
        <w:rPr>
          <w:i/>
          <w:iCs/>
        </w:rPr>
        <w:t xml:space="preserve">Psychiatric Bulletin </w:t>
      </w:r>
      <w:r w:rsidRPr="00561492">
        <w:t>29</w:t>
      </w:r>
      <w:r w:rsidRPr="000329FE">
        <w:t>(4)</w:t>
      </w:r>
      <w:r>
        <w:t>:</w:t>
      </w:r>
      <w:r w:rsidRPr="000329FE">
        <w:t xml:space="preserve"> 137–40. </w:t>
      </w:r>
      <w:r>
        <w:t>DOI</w:t>
      </w:r>
      <w:r w:rsidRPr="000329FE">
        <w:t>:</w:t>
      </w:r>
      <w:r>
        <w:t xml:space="preserve"> </w:t>
      </w:r>
      <w:r w:rsidRPr="000329FE">
        <w:t>10.1192/pb.29.4.137</w:t>
      </w:r>
      <w:r>
        <w:t xml:space="preserve"> (accessed 26 October 2021).</w:t>
      </w:r>
    </w:p>
    <w:p w14:paraId="5CD79DEC" w14:textId="77777777" w:rsidR="00EE0ADB" w:rsidRDefault="009636B7" w:rsidP="009636B7">
      <w:pPr>
        <w:pStyle w:val="References"/>
      </w:pPr>
      <w:r w:rsidRPr="000329FE">
        <w:t>Kinsley J. 1998. Security and therapy. In C Kaye</w:t>
      </w:r>
      <w:r>
        <w:t>,</w:t>
      </w:r>
      <w:r w:rsidRPr="000329FE">
        <w:t xml:space="preserve"> A Franey (</w:t>
      </w:r>
      <w:r>
        <w:t>e</w:t>
      </w:r>
      <w:r w:rsidRPr="000329FE">
        <w:t xml:space="preserve">ds), </w:t>
      </w:r>
      <w:r w:rsidRPr="000329FE">
        <w:rPr>
          <w:i/>
          <w:iCs/>
        </w:rPr>
        <w:t xml:space="preserve">Managing </w:t>
      </w:r>
      <w:r>
        <w:rPr>
          <w:i/>
          <w:iCs/>
        </w:rPr>
        <w:t>H</w:t>
      </w:r>
      <w:r w:rsidRPr="000329FE">
        <w:rPr>
          <w:i/>
          <w:iCs/>
        </w:rPr>
        <w:t xml:space="preserve">igh </w:t>
      </w:r>
      <w:r>
        <w:rPr>
          <w:i/>
          <w:iCs/>
        </w:rPr>
        <w:t>S</w:t>
      </w:r>
      <w:r w:rsidRPr="000329FE">
        <w:rPr>
          <w:i/>
          <w:iCs/>
        </w:rPr>
        <w:t xml:space="preserve">ecurity </w:t>
      </w:r>
      <w:r>
        <w:rPr>
          <w:i/>
          <w:iCs/>
        </w:rPr>
        <w:t>P</w:t>
      </w:r>
      <w:r w:rsidRPr="000329FE">
        <w:rPr>
          <w:i/>
          <w:iCs/>
        </w:rPr>
        <w:t xml:space="preserve">sychiatric </w:t>
      </w:r>
      <w:r>
        <w:rPr>
          <w:i/>
          <w:iCs/>
        </w:rPr>
        <w:t>C</w:t>
      </w:r>
      <w:r w:rsidRPr="000329FE">
        <w:rPr>
          <w:i/>
          <w:iCs/>
        </w:rPr>
        <w:t>are</w:t>
      </w:r>
      <w:r w:rsidRPr="000329FE">
        <w:t xml:space="preserve"> (pp. 75–84). London: Jessica Kingsley.</w:t>
      </w:r>
    </w:p>
    <w:p w14:paraId="56D25195" w14:textId="77777777" w:rsidR="009636B7" w:rsidRPr="000329FE" w:rsidRDefault="009636B7" w:rsidP="009636B7">
      <w:pPr>
        <w:pStyle w:val="References"/>
      </w:pPr>
      <w:r w:rsidRPr="000329FE">
        <w:rPr>
          <w:shd w:val="clear" w:color="auto" w:fill="FFFFFF"/>
        </w:rPr>
        <w:t xml:space="preserve">Kipping SM, De Souza JL, Marshall LA. 2019. Co-creation of the Safewards model in a forensic mental health care facility. </w:t>
      </w:r>
      <w:r w:rsidRPr="000329FE">
        <w:rPr>
          <w:i/>
          <w:iCs/>
        </w:rPr>
        <w:t xml:space="preserve">Issues in Mental Health Nursing </w:t>
      </w:r>
      <w:r w:rsidRPr="00561492">
        <w:t>40</w:t>
      </w:r>
      <w:r w:rsidRPr="000329FE">
        <w:t>(1)</w:t>
      </w:r>
      <w:r>
        <w:t>:</w:t>
      </w:r>
      <w:r w:rsidRPr="000329FE">
        <w:t xml:space="preserve"> 2–7.</w:t>
      </w:r>
      <w:r w:rsidRPr="000329FE">
        <w:rPr>
          <w:shd w:val="clear" w:color="auto" w:fill="FFFFFF"/>
        </w:rPr>
        <w:t xml:space="preserve">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10.1080/01612840.2018.1481472</w:t>
      </w:r>
      <w:r>
        <w:rPr>
          <w:shd w:val="clear" w:color="auto" w:fill="FFFFFF"/>
        </w:rPr>
        <w:t xml:space="preserve"> (accessed 12 October 2021).</w:t>
      </w:r>
    </w:p>
    <w:p w14:paraId="5D909BB7" w14:textId="77777777" w:rsidR="009636B7" w:rsidRPr="000329FE" w:rsidRDefault="009636B7" w:rsidP="009636B7">
      <w:pPr>
        <w:pStyle w:val="References"/>
      </w:pPr>
      <w:r w:rsidRPr="000329FE">
        <w:t xml:space="preserve">Kubiak S, Comartin EB, Ray B, </w:t>
      </w:r>
      <w:r w:rsidR="00AD0D58">
        <w:t>et al</w:t>
      </w:r>
      <w:r w:rsidRPr="000329FE">
        <w:t xml:space="preserve">. 2018. The effect of systems collaboration on the individual outcomes of mental health court participants: A multi-site study. </w:t>
      </w:r>
      <w:r w:rsidRPr="000329FE">
        <w:rPr>
          <w:i/>
          <w:iCs/>
        </w:rPr>
        <w:t xml:space="preserve">International Journal of Law and Psychiatry </w:t>
      </w:r>
      <w:r w:rsidRPr="00561492">
        <w:t>60</w:t>
      </w:r>
      <w:r>
        <w:t>:</w:t>
      </w:r>
      <w:r w:rsidRPr="000329FE">
        <w:t xml:space="preserve"> 64–72. </w:t>
      </w:r>
      <w:r>
        <w:t>DOI</w:t>
      </w:r>
      <w:r w:rsidRPr="000329FE">
        <w:t>:</w:t>
      </w:r>
      <w:r>
        <w:t xml:space="preserve"> </w:t>
      </w:r>
      <w:r w:rsidRPr="000329FE">
        <w:t>10.1016/j.ijlp.2018.08.004</w:t>
      </w:r>
      <w:r>
        <w:t xml:space="preserve"> (accessed 27 October 2021).</w:t>
      </w:r>
    </w:p>
    <w:p w14:paraId="0FB2AC7A" w14:textId="77777777" w:rsidR="009636B7" w:rsidRPr="000329FE" w:rsidRDefault="009636B7" w:rsidP="009636B7">
      <w:pPr>
        <w:pStyle w:val="References"/>
        <w:rPr>
          <w:shd w:val="clear" w:color="auto" w:fill="FFFFFF"/>
        </w:rPr>
      </w:pPr>
      <w:r w:rsidRPr="000329FE">
        <w:rPr>
          <w:shd w:val="clear" w:color="auto" w:fill="FFFFFF"/>
        </w:rPr>
        <w:t xml:space="preserve">Lamberti JS, Deem A, Weisman RL, </w:t>
      </w:r>
      <w:r w:rsidR="00AD0D58">
        <w:rPr>
          <w:shd w:val="clear" w:color="auto" w:fill="FFFFFF"/>
        </w:rPr>
        <w:t>et al</w:t>
      </w:r>
      <w:r w:rsidRPr="000329FE">
        <w:rPr>
          <w:shd w:val="clear" w:color="auto" w:fill="FFFFFF"/>
        </w:rPr>
        <w:t xml:space="preserve">. 2011. The role of probation in forensic assertive community treatment. </w:t>
      </w:r>
      <w:r w:rsidRPr="000329FE">
        <w:rPr>
          <w:i/>
          <w:iCs/>
          <w:shd w:val="clear" w:color="auto" w:fill="FFFFFF"/>
        </w:rPr>
        <w:t xml:space="preserve">Psychiatric Services </w:t>
      </w:r>
      <w:r w:rsidRPr="00561492">
        <w:rPr>
          <w:shd w:val="clear" w:color="auto" w:fill="FFFFFF"/>
        </w:rPr>
        <w:t>62</w:t>
      </w:r>
      <w:r w:rsidRPr="000329FE">
        <w:rPr>
          <w:shd w:val="clear" w:color="auto" w:fill="FFFFFF"/>
        </w:rPr>
        <w:t>(4)</w:t>
      </w:r>
      <w:r>
        <w:rPr>
          <w:shd w:val="clear" w:color="auto" w:fill="FFFFFF"/>
        </w:rPr>
        <w:t>:</w:t>
      </w:r>
      <w:r w:rsidRPr="000329FE">
        <w:rPr>
          <w:shd w:val="clear" w:color="auto" w:fill="FFFFFF"/>
        </w:rPr>
        <w:t xml:space="preserve"> 418–21.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10.1176/appi.ps.62.4.418</w:t>
      </w:r>
      <w:r>
        <w:rPr>
          <w:shd w:val="clear" w:color="auto" w:fill="FFFFFF"/>
        </w:rPr>
        <w:t xml:space="preserve"> (accessed 14 October 2021).</w:t>
      </w:r>
    </w:p>
    <w:p w14:paraId="548F7480" w14:textId="77777777" w:rsidR="009636B7" w:rsidRPr="000329FE" w:rsidRDefault="009636B7" w:rsidP="009636B7">
      <w:pPr>
        <w:pStyle w:val="References"/>
      </w:pPr>
      <w:r w:rsidRPr="000329FE">
        <w:t>Lamberti JS, Weisman RL. 2010. Forensic assertive community treatment: Origins, current practice, and future directions. In HA Dlugacz (</w:t>
      </w:r>
      <w:r>
        <w:t>e</w:t>
      </w:r>
      <w:r w:rsidRPr="000329FE">
        <w:t xml:space="preserve">d), </w:t>
      </w:r>
      <w:r w:rsidR="00F74BB4" w:rsidRPr="000329FE">
        <w:rPr>
          <w:i/>
          <w:iCs/>
        </w:rPr>
        <w:t>Re-entry</w:t>
      </w:r>
      <w:r w:rsidRPr="000329FE">
        <w:rPr>
          <w:i/>
          <w:iCs/>
        </w:rPr>
        <w:t xml:space="preserve"> </w:t>
      </w:r>
      <w:r>
        <w:rPr>
          <w:i/>
          <w:iCs/>
        </w:rPr>
        <w:t>P</w:t>
      </w:r>
      <w:r w:rsidRPr="000329FE">
        <w:rPr>
          <w:i/>
          <w:iCs/>
        </w:rPr>
        <w:t xml:space="preserve">lanning for </w:t>
      </w:r>
      <w:r>
        <w:rPr>
          <w:i/>
          <w:iCs/>
        </w:rPr>
        <w:t>O</w:t>
      </w:r>
      <w:r w:rsidRPr="000329FE">
        <w:rPr>
          <w:i/>
          <w:iCs/>
        </w:rPr>
        <w:t xml:space="preserve">ffenders with </w:t>
      </w:r>
      <w:r>
        <w:rPr>
          <w:i/>
          <w:iCs/>
        </w:rPr>
        <w:t>M</w:t>
      </w:r>
      <w:r w:rsidRPr="000329FE">
        <w:rPr>
          <w:i/>
          <w:iCs/>
        </w:rPr>
        <w:t xml:space="preserve">ental </w:t>
      </w:r>
      <w:r>
        <w:rPr>
          <w:i/>
          <w:iCs/>
        </w:rPr>
        <w:t>D</w:t>
      </w:r>
      <w:r w:rsidRPr="000329FE">
        <w:rPr>
          <w:i/>
          <w:iCs/>
        </w:rPr>
        <w:t xml:space="preserve">isorders </w:t>
      </w:r>
      <w:r w:rsidRPr="000329FE">
        <w:t>(p</w:t>
      </w:r>
      <w:r>
        <w:t>aras</w:t>
      </w:r>
      <w:r w:rsidRPr="000329FE">
        <w:t xml:space="preserve"> 7-1–7-27). Kingston, NJ: Civic Research Institute.</w:t>
      </w:r>
    </w:p>
    <w:p w14:paraId="1E752479" w14:textId="77777777" w:rsidR="009636B7" w:rsidRPr="000329FE" w:rsidRDefault="009636B7" w:rsidP="009636B7">
      <w:pPr>
        <w:pStyle w:val="References"/>
        <w:rPr>
          <w:shd w:val="clear" w:color="auto" w:fill="FFFFFF"/>
        </w:rPr>
      </w:pPr>
      <w:r w:rsidRPr="000329FE">
        <w:rPr>
          <w:shd w:val="clear" w:color="auto" w:fill="FFFFFF"/>
        </w:rPr>
        <w:t xml:space="preserve">Lamberti JS, Weisman RL, Cerulli C, </w:t>
      </w:r>
      <w:r w:rsidR="00AD0D58">
        <w:rPr>
          <w:shd w:val="clear" w:color="auto" w:fill="FFFFFF"/>
        </w:rPr>
        <w:t>et al</w:t>
      </w:r>
      <w:r w:rsidRPr="000329FE">
        <w:rPr>
          <w:shd w:val="clear" w:color="auto" w:fill="FFFFFF"/>
        </w:rPr>
        <w:t xml:space="preserve">. 2017. A randomized controlled trial of the Rochester forensic assertive community treatment model. </w:t>
      </w:r>
      <w:r w:rsidRPr="000329FE">
        <w:rPr>
          <w:i/>
          <w:iCs/>
          <w:shd w:val="clear" w:color="auto" w:fill="FFFFFF"/>
        </w:rPr>
        <w:t xml:space="preserve">Psychiatric Services </w:t>
      </w:r>
      <w:r w:rsidRPr="00561492">
        <w:rPr>
          <w:shd w:val="clear" w:color="auto" w:fill="FFFFFF"/>
        </w:rPr>
        <w:t>68</w:t>
      </w:r>
      <w:r w:rsidRPr="000329FE">
        <w:rPr>
          <w:shd w:val="clear" w:color="auto" w:fill="FFFFFF"/>
        </w:rPr>
        <w:t>(10)</w:t>
      </w:r>
      <w:r>
        <w:rPr>
          <w:shd w:val="clear" w:color="auto" w:fill="FFFFFF"/>
        </w:rPr>
        <w:t>:</w:t>
      </w:r>
      <w:r w:rsidR="00392728">
        <w:rPr>
          <w:shd w:val="clear" w:color="auto" w:fill="FFFFFF"/>
        </w:rPr>
        <w:t> </w:t>
      </w:r>
      <w:r w:rsidRPr="000329FE">
        <w:rPr>
          <w:shd w:val="clear" w:color="auto" w:fill="FFFFFF"/>
        </w:rPr>
        <w:t xml:space="preserve">1016–24.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10.1176/appi.ps.201600329</w:t>
      </w:r>
      <w:r>
        <w:rPr>
          <w:shd w:val="clear" w:color="auto" w:fill="FFFFFF"/>
        </w:rPr>
        <w:t xml:space="preserve"> (accessed 14 October 2021).</w:t>
      </w:r>
    </w:p>
    <w:p w14:paraId="0F0504DC" w14:textId="77777777" w:rsidR="009636B7" w:rsidRPr="000329FE" w:rsidRDefault="009636B7" w:rsidP="009636B7">
      <w:pPr>
        <w:pStyle w:val="References"/>
      </w:pPr>
      <w:r w:rsidRPr="000329FE">
        <w:t xml:space="preserve">Lamberti JS, Weisman RL, Faden DI. 2004. Forensic assertive community treatment: Preventing incarceration of adults with severe mental illness. </w:t>
      </w:r>
      <w:r w:rsidRPr="000329FE">
        <w:rPr>
          <w:i/>
          <w:iCs/>
        </w:rPr>
        <w:t xml:space="preserve">Psychiatric Services </w:t>
      </w:r>
      <w:r w:rsidRPr="00561492">
        <w:t>55</w:t>
      </w:r>
      <w:r w:rsidRPr="000329FE">
        <w:t>(11)</w:t>
      </w:r>
      <w:r>
        <w:t>:</w:t>
      </w:r>
      <w:r w:rsidR="00392728">
        <w:t> </w:t>
      </w:r>
      <w:r w:rsidRPr="000329FE">
        <w:t xml:space="preserve">1285-93. </w:t>
      </w:r>
      <w:r>
        <w:t>DOI</w:t>
      </w:r>
      <w:r w:rsidRPr="000329FE">
        <w:t>:</w:t>
      </w:r>
      <w:r>
        <w:t xml:space="preserve"> </w:t>
      </w:r>
      <w:r w:rsidRPr="000329FE">
        <w:t>10.1176/appi.ps.55.11.1285</w:t>
      </w:r>
      <w:r>
        <w:t xml:space="preserve"> (accessed 14 October 2021).</w:t>
      </w:r>
    </w:p>
    <w:p w14:paraId="4E9829AA" w14:textId="77777777" w:rsidR="009636B7" w:rsidRPr="000329FE" w:rsidRDefault="009636B7" w:rsidP="009636B7">
      <w:pPr>
        <w:pStyle w:val="References"/>
        <w:rPr>
          <w:shd w:val="clear" w:color="auto" w:fill="FFFFFF"/>
        </w:rPr>
      </w:pPr>
      <w:r w:rsidRPr="000329FE">
        <w:rPr>
          <w:shd w:val="clear" w:color="auto" w:fill="FFFFFF"/>
        </w:rPr>
        <w:t xml:space="preserve">Lamberti JS, Weisman RL, Schwarzkopf SB, </w:t>
      </w:r>
      <w:r>
        <w:rPr>
          <w:shd w:val="clear" w:color="auto" w:fill="FFFFFF"/>
        </w:rPr>
        <w:t>at al</w:t>
      </w:r>
      <w:r w:rsidRPr="000329FE">
        <w:rPr>
          <w:shd w:val="clear" w:color="auto" w:fill="FFFFFF"/>
        </w:rPr>
        <w:t xml:space="preserve">. 2001. The mentally ill in jails and prisons: Towards an integrated model of prevention. </w:t>
      </w:r>
      <w:r w:rsidRPr="000329FE">
        <w:rPr>
          <w:i/>
          <w:iCs/>
          <w:shd w:val="clear" w:color="auto" w:fill="FFFFFF"/>
        </w:rPr>
        <w:t xml:space="preserve">Psychiatric Quarterly </w:t>
      </w:r>
      <w:r w:rsidRPr="00561492">
        <w:rPr>
          <w:shd w:val="clear" w:color="auto" w:fill="FFFFFF"/>
        </w:rPr>
        <w:t>72</w:t>
      </w:r>
      <w:r w:rsidRPr="000329FE">
        <w:rPr>
          <w:shd w:val="clear" w:color="auto" w:fill="FFFFFF"/>
        </w:rPr>
        <w:t>(1)</w:t>
      </w:r>
      <w:r>
        <w:rPr>
          <w:shd w:val="clear" w:color="auto" w:fill="FFFFFF"/>
        </w:rPr>
        <w:t>:</w:t>
      </w:r>
      <w:r w:rsidRPr="000329FE">
        <w:rPr>
          <w:shd w:val="clear" w:color="auto" w:fill="FFFFFF"/>
        </w:rPr>
        <w:t xml:space="preserve"> 63–77.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10.1023/A:1004862104102</w:t>
      </w:r>
      <w:r>
        <w:rPr>
          <w:shd w:val="clear" w:color="auto" w:fill="FFFFFF"/>
        </w:rPr>
        <w:t xml:space="preserve"> (accessed 22 October 2021).</w:t>
      </w:r>
    </w:p>
    <w:p w14:paraId="3E832C02" w14:textId="77777777" w:rsidR="009636B7" w:rsidRPr="000329FE" w:rsidRDefault="009636B7" w:rsidP="009636B7">
      <w:pPr>
        <w:pStyle w:val="References"/>
        <w:rPr>
          <w:shd w:val="clear" w:color="auto" w:fill="FFFFFF"/>
        </w:rPr>
      </w:pPr>
      <w:r w:rsidRPr="000329FE">
        <w:rPr>
          <w:shd w:val="clear" w:color="auto" w:fill="FFFFFF"/>
        </w:rPr>
        <w:t xml:space="preserve">Lambie I. 2020. </w:t>
      </w:r>
      <w:r w:rsidRPr="000329FE">
        <w:rPr>
          <w:i/>
          <w:iCs/>
          <w:shd w:val="clear" w:color="auto" w:fill="FFFFFF"/>
        </w:rPr>
        <w:t xml:space="preserve">What were they </w:t>
      </w:r>
      <w:r>
        <w:rPr>
          <w:i/>
          <w:iCs/>
          <w:shd w:val="clear" w:color="auto" w:fill="FFFFFF"/>
        </w:rPr>
        <w:t>T</w:t>
      </w:r>
      <w:r w:rsidRPr="000329FE">
        <w:rPr>
          <w:i/>
          <w:iCs/>
          <w:shd w:val="clear" w:color="auto" w:fill="FFFFFF"/>
        </w:rPr>
        <w:t>hinking? A discussion paper on brain and behaviour in relation to the justice system in New Zealand.</w:t>
      </w:r>
      <w:r w:rsidRPr="000329FE">
        <w:rPr>
          <w:shd w:val="clear" w:color="auto" w:fill="FFFFFF"/>
        </w:rPr>
        <w:t xml:space="preserve"> Auckland: Office of the Prime Minister</w:t>
      </w:r>
      <w:r w:rsidR="00EE0ADB">
        <w:rPr>
          <w:shd w:val="clear" w:color="auto" w:fill="FFFFFF"/>
        </w:rPr>
        <w:t>’</w:t>
      </w:r>
      <w:r w:rsidRPr="000329FE">
        <w:rPr>
          <w:shd w:val="clear" w:color="auto" w:fill="FFFFFF"/>
        </w:rPr>
        <w:t>s Chief Science Advisor</w:t>
      </w:r>
      <w:r>
        <w:rPr>
          <w:shd w:val="clear" w:color="auto" w:fill="FFFFFF"/>
        </w:rPr>
        <w:t>.</w:t>
      </w:r>
    </w:p>
    <w:p w14:paraId="493C2CFB" w14:textId="77777777" w:rsidR="009636B7" w:rsidRPr="000329FE" w:rsidRDefault="009636B7" w:rsidP="009636B7">
      <w:pPr>
        <w:pStyle w:val="References"/>
        <w:rPr>
          <w:shd w:val="clear" w:color="auto" w:fill="FFFFFF"/>
        </w:rPr>
      </w:pPr>
      <w:r w:rsidRPr="000329FE">
        <w:rPr>
          <w:shd w:val="clear" w:color="auto" w:fill="FFFFFF"/>
        </w:rPr>
        <w:t xml:space="preserve">Landess J, Holoyda B. 2017. Mental health courts and forensic assertive community treatment teams as correctional diversion programs. </w:t>
      </w:r>
      <w:r w:rsidRPr="000329FE">
        <w:rPr>
          <w:i/>
          <w:iCs/>
          <w:shd w:val="clear" w:color="auto" w:fill="FFFFFF"/>
        </w:rPr>
        <w:t xml:space="preserve">Behavioral Sciences </w:t>
      </w:r>
      <w:r>
        <w:rPr>
          <w:i/>
          <w:iCs/>
          <w:shd w:val="clear" w:color="auto" w:fill="FFFFFF"/>
        </w:rPr>
        <w:t>&amp;</w:t>
      </w:r>
      <w:r w:rsidRPr="000329FE">
        <w:rPr>
          <w:i/>
          <w:iCs/>
          <w:shd w:val="clear" w:color="auto" w:fill="FFFFFF"/>
        </w:rPr>
        <w:t xml:space="preserve"> the Law </w:t>
      </w:r>
      <w:r w:rsidRPr="00561492">
        <w:rPr>
          <w:shd w:val="clear" w:color="auto" w:fill="FFFFFF"/>
        </w:rPr>
        <w:t>35</w:t>
      </w:r>
      <w:r w:rsidRPr="000329FE">
        <w:rPr>
          <w:shd w:val="clear" w:color="auto" w:fill="FFFFFF"/>
        </w:rPr>
        <w:t>(5–6)</w:t>
      </w:r>
      <w:r>
        <w:rPr>
          <w:shd w:val="clear" w:color="auto" w:fill="FFFFFF"/>
        </w:rPr>
        <w:t>:</w:t>
      </w:r>
      <w:r w:rsidRPr="000329FE">
        <w:rPr>
          <w:shd w:val="clear" w:color="auto" w:fill="FFFFFF"/>
        </w:rPr>
        <w:t xml:space="preserve"> 501–11.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10.1002/bsl.2307</w:t>
      </w:r>
      <w:r>
        <w:rPr>
          <w:shd w:val="clear" w:color="auto" w:fill="FFFFFF"/>
        </w:rPr>
        <w:t xml:space="preserve"> (accessed 14 October 2021).</w:t>
      </w:r>
    </w:p>
    <w:p w14:paraId="24967460" w14:textId="77777777" w:rsidR="009636B7" w:rsidRPr="00075571" w:rsidRDefault="009636B7" w:rsidP="009636B7">
      <w:pPr>
        <w:pStyle w:val="References"/>
      </w:pPr>
      <w:r w:rsidRPr="00075571">
        <w:t xml:space="preserve">Lart R, Payne S, Beaumont B, </w:t>
      </w:r>
      <w:r w:rsidR="00AD0D58">
        <w:t>et al</w:t>
      </w:r>
      <w:r w:rsidRPr="00075571">
        <w:t xml:space="preserve">. 1999. </w:t>
      </w:r>
      <w:r w:rsidRPr="00075571">
        <w:rPr>
          <w:i/>
          <w:iCs/>
        </w:rPr>
        <w:t xml:space="preserve">Women and </w:t>
      </w:r>
      <w:r>
        <w:rPr>
          <w:i/>
          <w:iCs/>
        </w:rPr>
        <w:t>S</w:t>
      </w:r>
      <w:r w:rsidRPr="00075571">
        <w:rPr>
          <w:i/>
          <w:iCs/>
        </w:rPr>
        <w:t xml:space="preserve">ecure </w:t>
      </w:r>
      <w:r>
        <w:rPr>
          <w:i/>
          <w:iCs/>
        </w:rPr>
        <w:t>S</w:t>
      </w:r>
      <w:r w:rsidRPr="00075571">
        <w:rPr>
          <w:i/>
          <w:iCs/>
        </w:rPr>
        <w:t xml:space="preserve">ervices: A literature review </w:t>
      </w:r>
      <w:r w:rsidRPr="00075571">
        <w:t>(CRD Report No. 14). York: NHS Centre for Reviews and Dissemination.</w:t>
      </w:r>
    </w:p>
    <w:p w14:paraId="3AFB3C86" w14:textId="77777777" w:rsidR="009636B7" w:rsidRPr="00DD29A3" w:rsidRDefault="009636B7" w:rsidP="009636B7">
      <w:pPr>
        <w:pStyle w:val="References"/>
        <w:rPr>
          <w:shd w:val="clear" w:color="auto" w:fill="FFFFFF"/>
        </w:rPr>
      </w:pPr>
      <w:r w:rsidRPr="001A28C6">
        <w:rPr>
          <w:shd w:val="clear" w:color="auto" w:fill="FFFFFF"/>
        </w:rPr>
        <w:lastRenderedPageBreak/>
        <w:t>Lawrence JM. 2004. Queensland</w:t>
      </w:r>
      <w:r w:rsidR="00EE0ADB">
        <w:rPr>
          <w:shd w:val="clear" w:color="auto" w:fill="FFFFFF"/>
        </w:rPr>
        <w:t>’</w:t>
      </w:r>
      <w:r w:rsidRPr="001A28C6">
        <w:rPr>
          <w:shd w:val="clear" w:color="auto" w:fill="FFFFFF"/>
        </w:rPr>
        <w:t xml:space="preserve">s mental health court: The first 12 months. </w:t>
      </w:r>
      <w:r w:rsidRPr="001A28C6">
        <w:rPr>
          <w:i/>
          <w:iCs/>
          <w:shd w:val="clear" w:color="auto" w:fill="FFFFFF"/>
        </w:rPr>
        <w:t>Health Law in Can</w:t>
      </w:r>
      <w:r w:rsidRPr="00E42BE0">
        <w:rPr>
          <w:i/>
          <w:iCs/>
          <w:shd w:val="clear" w:color="auto" w:fill="FFFFFF"/>
        </w:rPr>
        <w:t xml:space="preserve">ada </w:t>
      </w:r>
      <w:r w:rsidRPr="00561492">
        <w:rPr>
          <w:shd w:val="clear" w:color="auto" w:fill="FFFFFF"/>
        </w:rPr>
        <w:t>24</w:t>
      </w:r>
      <w:r w:rsidRPr="0043256B">
        <w:rPr>
          <w:shd w:val="clear" w:color="auto" w:fill="FFFFFF"/>
        </w:rPr>
        <w:t>(3)</w:t>
      </w:r>
      <w:r>
        <w:rPr>
          <w:shd w:val="clear" w:color="auto" w:fill="FFFFFF"/>
        </w:rPr>
        <w:t>:</w:t>
      </w:r>
      <w:r w:rsidRPr="0043256B">
        <w:rPr>
          <w:shd w:val="clear" w:color="auto" w:fill="FFFFFF"/>
        </w:rPr>
        <w:t xml:space="preserve"> 47–59. </w:t>
      </w:r>
      <w:r>
        <w:rPr>
          <w:shd w:val="clear" w:color="auto" w:fill="FFFFFF"/>
        </w:rPr>
        <w:t>URL:</w:t>
      </w:r>
      <w:r w:rsidRPr="0043256B">
        <w:rPr>
          <w:shd w:val="clear" w:color="auto" w:fill="FFFFFF"/>
        </w:rPr>
        <w:t xml:space="preserve"> </w:t>
      </w:r>
      <w:hyperlink r:id="rId99" w:history="1">
        <w:r w:rsidR="00392728" w:rsidRPr="00392728">
          <w:rPr>
            <w:rStyle w:val="Hyperlink"/>
            <w:shd w:val="clear" w:color="auto" w:fill="FFFFFF"/>
          </w:rPr>
          <w:t>https://ihpme.utoronto.ca/research/research-centres-initiatives/health-law-in-canada-journal/</w:t>
        </w:r>
      </w:hyperlink>
      <w:r>
        <w:rPr>
          <w:shd w:val="clear" w:color="auto" w:fill="FFFFFF"/>
        </w:rPr>
        <w:t xml:space="preserve"> (accessed 27 October 2021).</w:t>
      </w:r>
    </w:p>
    <w:p w14:paraId="534DBC9E" w14:textId="77777777" w:rsidR="009636B7" w:rsidRPr="000329FE" w:rsidRDefault="009636B7" w:rsidP="009636B7">
      <w:pPr>
        <w:pStyle w:val="References"/>
        <w:rPr>
          <w:shd w:val="clear" w:color="auto" w:fill="FFFFFF"/>
        </w:rPr>
      </w:pPr>
      <w:r w:rsidRPr="00482A5B">
        <w:rPr>
          <w:shd w:val="clear" w:color="auto" w:fill="FFFFFF"/>
        </w:rPr>
        <w:t xml:space="preserve">Lee B, Sells D, Hasson J, </w:t>
      </w:r>
      <w:r w:rsidR="00AD0D58">
        <w:rPr>
          <w:shd w:val="clear" w:color="auto" w:fill="FFFFFF"/>
        </w:rPr>
        <w:t>et al</w:t>
      </w:r>
      <w:r w:rsidRPr="00482A5B">
        <w:rPr>
          <w:shd w:val="clear" w:color="auto" w:fill="FFFFFF"/>
        </w:rPr>
        <w:t>.</w:t>
      </w:r>
      <w:r w:rsidRPr="00A537F0">
        <w:rPr>
          <w:shd w:val="clear" w:color="auto" w:fill="FFFFFF"/>
        </w:rPr>
        <w:t xml:space="preserve"> </w:t>
      </w:r>
      <w:r w:rsidRPr="004034BB">
        <w:rPr>
          <w:shd w:val="clear" w:color="auto" w:fill="FFFFFF"/>
        </w:rPr>
        <w:t>2019. The Connection</w:t>
      </w:r>
      <w:r w:rsidR="00EE0ADB">
        <w:rPr>
          <w:shd w:val="clear" w:color="auto" w:fill="FFFFFF"/>
        </w:rPr>
        <w:t>’</w:t>
      </w:r>
      <w:r w:rsidRPr="00C9607A">
        <w:rPr>
          <w:shd w:val="clear" w:color="auto" w:fill="FFFFFF"/>
        </w:rPr>
        <w:t>s approach: A model for integrating criminal j</w:t>
      </w:r>
      <w:r w:rsidRPr="000329FE">
        <w:rPr>
          <w:shd w:val="clear" w:color="auto" w:fill="FFFFFF"/>
        </w:rPr>
        <w:t>ustice, mental health, and other social services in the US state of Connecticut.</w:t>
      </w:r>
      <w:r w:rsidRPr="000329FE">
        <w:rPr>
          <w:i/>
          <w:iCs/>
          <w:shd w:val="clear" w:color="auto" w:fill="FFFFFF"/>
        </w:rPr>
        <w:t xml:space="preserve"> Aggression and Violent Behavior</w:t>
      </w:r>
      <w:r w:rsidRPr="000329FE">
        <w:rPr>
          <w:shd w:val="clear" w:color="auto" w:fill="FFFFFF"/>
        </w:rPr>
        <w:t xml:space="preserve"> </w:t>
      </w:r>
      <w:r>
        <w:rPr>
          <w:shd w:val="clear" w:color="auto" w:fill="FFFFFF"/>
        </w:rPr>
        <w:t>47: 240–4</w:t>
      </w:r>
      <w:r w:rsidRPr="000329FE">
        <w:rPr>
          <w:shd w:val="clear" w:color="auto" w:fill="FFFFFF"/>
        </w:rPr>
        <w:t xml:space="preserve">. </w:t>
      </w:r>
      <w:r>
        <w:rPr>
          <w:shd w:val="clear" w:color="auto" w:fill="FFFFFF"/>
        </w:rPr>
        <w:t xml:space="preserve">URL: </w:t>
      </w:r>
      <w:hyperlink r:id="rId100" w:history="1">
        <w:r w:rsidR="00392728" w:rsidRPr="00392728">
          <w:rPr>
            <w:rStyle w:val="Hyperlink"/>
            <w:shd w:val="clear" w:color="auto" w:fill="FFFFFF"/>
          </w:rPr>
          <w:t>https://doi.org/10.1016/j.avb.2019.02.001</w:t>
        </w:r>
      </w:hyperlink>
      <w:r>
        <w:rPr>
          <w:shd w:val="clear" w:color="auto" w:fill="FFFFFF"/>
        </w:rPr>
        <w:t xml:space="preserve"> (accessed 22 October 2021).</w:t>
      </w:r>
    </w:p>
    <w:p w14:paraId="6849CE5D" w14:textId="77777777" w:rsidR="009636B7" w:rsidRPr="000329FE" w:rsidRDefault="009636B7" w:rsidP="009636B7">
      <w:pPr>
        <w:pStyle w:val="References"/>
        <w:rPr>
          <w:shd w:val="clear" w:color="auto" w:fill="FFFFFF"/>
        </w:rPr>
      </w:pPr>
      <w:r w:rsidRPr="000329FE">
        <w:rPr>
          <w:shd w:val="clear" w:color="auto" w:fill="FFFFFF"/>
        </w:rPr>
        <w:t xml:space="preserve">Leutwyler H, Hubbard E, Zahnd E. 2017. Case management helps prevent criminal justice recidivism for people with serious mental illness. </w:t>
      </w:r>
      <w:r w:rsidRPr="000329FE">
        <w:rPr>
          <w:i/>
          <w:iCs/>
          <w:shd w:val="clear" w:color="auto" w:fill="FFFFFF"/>
        </w:rPr>
        <w:t xml:space="preserve">International Journal of Prisoner Health </w:t>
      </w:r>
      <w:r w:rsidRPr="00561492">
        <w:rPr>
          <w:shd w:val="clear" w:color="auto" w:fill="FFFFFF"/>
        </w:rPr>
        <w:t>13</w:t>
      </w:r>
      <w:r w:rsidRPr="000329FE">
        <w:rPr>
          <w:shd w:val="clear" w:color="auto" w:fill="FFFFFF"/>
        </w:rPr>
        <w:t>(3–4)</w:t>
      </w:r>
      <w:r>
        <w:rPr>
          <w:shd w:val="clear" w:color="auto" w:fill="FFFFFF"/>
        </w:rPr>
        <w:t>:</w:t>
      </w:r>
      <w:r w:rsidRPr="000329FE">
        <w:rPr>
          <w:shd w:val="clear" w:color="auto" w:fill="FFFFFF"/>
        </w:rPr>
        <w:t xml:space="preserve"> 168–72.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10.1108/IJPH-06-2016-0021</w:t>
      </w:r>
      <w:r>
        <w:rPr>
          <w:shd w:val="clear" w:color="auto" w:fill="FFFFFF"/>
        </w:rPr>
        <w:t xml:space="preserve"> (accessed 14 October 2021).</w:t>
      </w:r>
    </w:p>
    <w:p w14:paraId="727EC53C" w14:textId="77777777" w:rsidR="00EE0ADB" w:rsidRDefault="009636B7" w:rsidP="009636B7">
      <w:pPr>
        <w:pStyle w:val="References"/>
        <w:rPr>
          <w:shd w:val="clear" w:color="auto" w:fill="FFFFFF"/>
        </w:rPr>
      </w:pPr>
      <w:r w:rsidRPr="000329FE">
        <w:rPr>
          <w:shd w:val="clear" w:color="auto" w:fill="FFFFFF"/>
        </w:rPr>
        <w:t xml:space="preserve">Lim L, Day A. 2016. An examination of stakeholder attitudes and understanding of therapeutic jurisprudence in a mental health court. </w:t>
      </w:r>
      <w:r w:rsidRPr="000329FE">
        <w:rPr>
          <w:i/>
          <w:iCs/>
          <w:shd w:val="clear" w:color="auto" w:fill="FFFFFF"/>
        </w:rPr>
        <w:t xml:space="preserve">International Journal of Law and Psychiatry </w:t>
      </w:r>
      <w:r w:rsidRPr="00561492">
        <w:rPr>
          <w:shd w:val="clear" w:color="auto" w:fill="FFFFFF"/>
        </w:rPr>
        <w:t>46</w:t>
      </w:r>
      <w:r w:rsidRPr="000329FE">
        <w:rPr>
          <w:shd w:val="clear" w:color="auto" w:fill="FFFFFF"/>
        </w:rPr>
        <w:t>(1)</w:t>
      </w:r>
      <w:r>
        <w:rPr>
          <w:shd w:val="clear" w:color="auto" w:fill="FFFFFF"/>
        </w:rPr>
        <w:t>:</w:t>
      </w:r>
      <w:r w:rsidRPr="000329FE">
        <w:rPr>
          <w:shd w:val="clear" w:color="auto" w:fill="FFFFFF"/>
        </w:rPr>
        <w:t xml:space="preserve"> 27–34.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10.1016/j.ijlp.2016.02.024</w:t>
      </w:r>
      <w:r>
        <w:rPr>
          <w:shd w:val="clear" w:color="auto" w:fill="FFFFFF"/>
        </w:rPr>
        <w:t xml:space="preserve"> (accessed 26 October 2021).</w:t>
      </w:r>
    </w:p>
    <w:p w14:paraId="04618DE1" w14:textId="77777777" w:rsidR="009636B7" w:rsidRPr="000329FE" w:rsidRDefault="009636B7" w:rsidP="009636B7">
      <w:pPr>
        <w:pStyle w:val="References"/>
      </w:pPr>
      <w:r w:rsidRPr="000329FE">
        <w:rPr>
          <w:shd w:val="clear" w:color="auto" w:fill="FFFFFF"/>
        </w:rPr>
        <w:t xml:space="preserve">Lindqvist P, Skipworth J. 2000. Evidence-based rehabilitation in forensic psychiatry. </w:t>
      </w:r>
      <w:r w:rsidRPr="000329FE">
        <w:rPr>
          <w:i/>
          <w:iCs/>
        </w:rPr>
        <w:t xml:space="preserve">British Journal of Psychiatry </w:t>
      </w:r>
      <w:r w:rsidRPr="00561492">
        <w:t>176</w:t>
      </w:r>
      <w:r>
        <w:t>:</w:t>
      </w:r>
      <w:r w:rsidRPr="000329FE">
        <w:t xml:space="preserve"> 320–3.</w:t>
      </w:r>
      <w:r w:rsidRPr="000329FE">
        <w:rPr>
          <w:shd w:val="clear" w:color="auto" w:fill="FFFFFF"/>
        </w:rPr>
        <w:t xml:space="preserve">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10.1192/bjp.176.4.320</w:t>
      </w:r>
      <w:r>
        <w:rPr>
          <w:shd w:val="clear" w:color="auto" w:fill="FFFFFF"/>
        </w:rPr>
        <w:t xml:space="preserve"> (accessed 11 October 2021).</w:t>
      </w:r>
    </w:p>
    <w:p w14:paraId="2D8CA69D" w14:textId="77777777" w:rsidR="009636B7" w:rsidRPr="000329FE" w:rsidRDefault="009636B7" w:rsidP="009636B7">
      <w:pPr>
        <w:pStyle w:val="References"/>
      </w:pPr>
      <w:r w:rsidRPr="000329FE">
        <w:t xml:space="preserve">Linhorst DM. 1995. </w:t>
      </w:r>
      <w:r w:rsidRPr="000329FE">
        <w:rPr>
          <w:shd w:val="clear" w:color="auto" w:fill="FFFFFF"/>
        </w:rPr>
        <w:t xml:space="preserve">Implementing psychosocial rehabilitation in long-term inpatient psychiatric facilities. </w:t>
      </w:r>
      <w:r w:rsidRPr="000329FE">
        <w:rPr>
          <w:i/>
          <w:iCs/>
        </w:rPr>
        <w:t xml:space="preserve">Journal of Mental Health Administration </w:t>
      </w:r>
      <w:r w:rsidRPr="00561492">
        <w:t>22</w:t>
      </w:r>
      <w:r w:rsidRPr="000329FE">
        <w:t>(1)</w:t>
      </w:r>
      <w:r>
        <w:t>:</w:t>
      </w:r>
      <w:r w:rsidRPr="000329FE">
        <w:t xml:space="preserve"> 58–67.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10.1007/BF02519198</w:t>
      </w:r>
      <w:r>
        <w:rPr>
          <w:shd w:val="clear" w:color="auto" w:fill="FFFFFF"/>
        </w:rPr>
        <w:t xml:space="preserve"> (accessed 11 October 2021).</w:t>
      </w:r>
    </w:p>
    <w:p w14:paraId="07E09F85" w14:textId="77777777" w:rsidR="009636B7" w:rsidRPr="000329FE" w:rsidRDefault="009636B7" w:rsidP="009636B7">
      <w:pPr>
        <w:pStyle w:val="References"/>
      </w:pPr>
      <w:r w:rsidRPr="000329FE">
        <w:rPr>
          <w:shd w:val="clear" w:color="auto" w:fill="FFFFFF"/>
        </w:rPr>
        <w:t xml:space="preserve">Livingston JD, Nijdam-Jones A, Brink J. 2012. A tale of two cultures: Examining patient-centered care in a forensic mental health hospital. </w:t>
      </w:r>
      <w:r w:rsidRPr="000329FE">
        <w:rPr>
          <w:i/>
          <w:iCs/>
        </w:rPr>
        <w:t xml:space="preserve">Journal of Forensic Psychiatry &amp; Psychology </w:t>
      </w:r>
      <w:r w:rsidRPr="00561492">
        <w:t>23</w:t>
      </w:r>
      <w:r w:rsidRPr="000329FE">
        <w:t>(3)</w:t>
      </w:r>
      <w:r>
        <w:t>:</w:t>
      </w:r>
      <w:r w:rsidRPr="000329FE">
        <w:t xml:space="preserve"> 345–60. </w:t>
      </w:r>
      <w:r>
        <w:t xml:space="preserve">URL: </w:t>
      </w:r>
      <w:hyperlink r:id="rId101" w:history="1">
        <w:r w:rsidR="00392728" w:rsidRPr="00392728">
          <w:rPr>
            <w:rStyle w:val="Hyperlink"/>
          </w:rPr>
          <w:t>https://doi.org/10.1080/14789949.2012.668214</w:t>
        </w:r>
      </w:hyperlink>
      <w:r>
        <w:rPr>
          <w:shd w:val="clear" w:color="auto" w:fill="FFFFFF"/>
        </w:rPr>
        <w:t xml:space="preserve"> (accessed 12 October 2021).</w:t>
      </w:r>
    </w:p>
    <w:p w14:paraId="4F54538F" w14:textId="77777777" w:rsidR="009636B7" w:rsidRPr="000329FE" w:rsidRDefault="009636B7" w:rsidP="009636B7">
      <w:pPr>
        <w:pStyle w:val="References"/>
      </w:pPr>
      <w:r w:rsidRPr="000329FE">
        <w:rPr>
          <w:shd w:val="clear" w:color="auto" w:fill="FFFFFF"/>
        </w:rPr>
        <w:t xml:space="preserve">Looman J, Abracen J. 2013. The risk need responsivity model of offender rehabilitation: Is there really a need for a paradigm shift? </w:t>
      </w:r>
      <w:r w:rsidRPr="000329FE">
        <w:rPr>
          <w:i/>
          <w:iCs/>
        </w:rPr>
        <w:t xml:space="preserve">International Journal of Behavioral Consultation and Therapy </w:t>
      </w:r>
      <w:r w:rsidRPr="00561492">
        <w:t>8</w:t>
      </w:r>
      <w:r w:rsidRPr="000329FE">
        <w:t>(3–4)</w:t>
      </w:r>
      <w:r>
        <w:t>:</w:t>
      </w:r>
      <w:r w:rsidRPr="000329FE">
        <w:t xml:space="preserve"> 30–6. </w:t>
      </w:r>
      <w:r>
        <w:t xml:space="preserve">URL: </w:t>
      </w:r>
      <w:hyperlink r:id="rId102" w:history="1">
        <w:r w:rsidR="00392728" w:rsidRPr="00392728">
          <w:rPr>
            <w:rStyle w:val="Hyperlink"/>
          </w:rPr>
          <w:t>http://dx.doi.org/10.1037/h0100980</w:t>
        </w:r>
      </w:hyperlink>
      <w:r>
        <w:rPr>
          <w:shd w:val="clear" w:color="auto" w:fill="FFFFFF"/>
        </w:rPr>
        <w:t xml:space="preserve"> (accessed 11 October 2021).</w:t>
      </w:r>
    </w:p>
    <w:p w14:paraId="71166F29" w14:textId="77777777" w:rsidR="009636B7" w:rsidRPr="000329FE" w:rsidRDefault="009636B7" w:rsidP="009636B7">
      <w:pPr>
        <w:pStyle w:val="References"/>
      </w:pPr>
      <w:r w:rsidRPr="000329FE">
        <w:rPr>
          <w:shd w:val="clear" w:color="auto" w:fill="FFFFFF"/>
        </w:rPr>
        <w:t xml:space="preserve">Maguire T, Ryan J, Fullam R, </w:t>
      </w:r>
      <w:r w:rsidR="00AD0D58">
        <w:rPr>
          <w:shd w:val="clear" w:color="auto" w:fill="FFFFFF"/>
        </w:rPr>
        <w:t>et al</w:t>
      </w:r>
      <w:r w:rsidRPr="000329FE">
        <w:rPr>
          <w:shd w:val="clear" w:color="auto" w:fill="FFFFFF"/>
        </w:rPr>
        <w:t xml:space="preserve">. 2018. Evaluating the introduction of the Safewards model to a medium- to long-term forensic mental health ward. </w:t>
      </w:r>
      <w:r w:rsidRPr="000329FE">
        <w:rPr>
          <w:i/>
          <w:iCs/>
        </w:rPr>
        <w:t xml:space="preserve">Journal of Forensic Nursing </w:t>
      </w:r>
      <w:r w:rsidRPr="00561492">
        <w:t>14</w:t>
      </w:r>
      <w:r w:rsidRPr="000329FE">
        <w:t>(4)</w:t>
      </w:r>
      <w:r>
        <w:t>:</w:t>
      </w:r>
      <w:r w:rsidRPr="000329FE">
        <w:t xml:space="preserve"> 214–22.</w:t>
      </w:r>
      <w:r w:rsidRPr="000329FE">
        <w:rPr>
          <w:shd w:val="clear" w:color="auto" w:fill="FFFFFF"/>
        </w:rPr>
        <w:t xml:space="preserve">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10.1097/JFN.0000000000000215</w:t>
      </w:r>
      <w:r>
        <w:rPr>
          <w:shd w:val="clear" w:color="auto" w:fill="FFFFFF"/>
        </w:rPr>
        <w:t xml:space="preserve"> (accessed 12 October 2021).</w:t>
      </w:r>
    </w:p>
    <w:p w14:paraId="04B36C69" w14:textId="77777777" w:rsidR="009636B7" w:rsidRPr="000329FE" w:rsidRDefault="009636B7" w:rsidP="009636B7">
      <w:pPr>
        <w:pStyle w:val="References"/>
      </w:pPr>
      <w:r w:rsidRPr="000329FE">
        <w:t xml:space="preserve">Malik N, Mohan R, Fahy T. 2007. Community forensic psychiatry. </w:t>
      </w:r>
      <w:r w:rsidRPr="000329FE">
        <w:rPr>
          <w:i/>
          <w:iCs/>
        </w:rPr>
        <w:t xml:space="preserve">Psychiatry </w:t>
      </w:r>
      <w:r w:rsidRPr="00561492">
        <w:t>6</w:t>
      </w:r>
      <w:r w:rsidRPr="000329FE">
        <w:t>(10)</w:t>
      </w:r>
      <w:r>
        <w:t>:</w:t>
      </w:r>
      <w:r w:rsidR="00392728">
        <w:br/>
      </w:r>
      <w:r w:rsidRPr="000329FE">
        <w:t xml:space="preserve">415–19. </w:t>
      </w:r>
      <w:r>
        <w:t xml:space="preserve">URL: </w:t>
      </w:r>
      <w:hyperlink r:id="rId103" w:history="1">
        <w:r w:rsidR="00392728" w:rsidRPr="00392728">
          <w:rPr>
            <w:rStyle w:val="Hyperlink"/>
          </w:rPr>
          <w:t>https://doi.org/10.1016/j.mppsy.2007.07.006</w:t>
        </w:r>
      </w:hyperlink>
      <w:r>
        <w:t xml:space="preserve"> (accessed 14 October 2021).</w:t>
      </w:r>
    </w:p>
    <w:p w14:paraId="7252BD00" w14:textId="77777777" w:rsidR="009636B7" w:rsidRPr="000329FE" w:rsidRDefault="009636B7" w:rsidP="009636B7">
      <w:pPr>
        <w:pStyle w:val="References"/>
      </w:pPr>
      <w:r w:rsidRPr="000329FE">
        <w:t xml:space="preserve">Marquant T, Sabbe B, Van Nuffel M, </w:t>
      </w:r>
      <w:r w:rsidR="00AD0D58">
        <w:t>et al</w:t>
      </w:r>
      <w:r w:rsidRPr="000329FE">
        <w:t xml:space="preserve">. 2016. Forensic assertive community treatment: A review of the literature. </w:t>
      </w:r>
      <w:r w:rsidRPr="000329FE">
        <w:rPr>
          <w:i/>
          <w:iCs/>
        </w:rPr>
        <w:t xml:space="preserve">Community Mental Health Journal </w:t>
      </w:r>
      <w:r w:rsidRPr="00561492">
        <w:t>52</w:t>
      </w:r>
      <w:r w:rsidRPr="000329FE">
        <w:t>(8)</w:t>
      </w:r>
      <w:r>
        <w:t>:</w:t>
      </w:r>
      <w:r w:rsidRPr="000329FE">
        <w:t xml:space="preserve"> 873–81. </w:t>
      </w:r>
      <w:r>
        <w:t>DOI</w:t>
      </w:r>
      <w:r w:rsidRPr="000329FE">
        <w:t>:</w:t>
      </w:r>
      <w:r>
        <w:t xml:space="preserve"> </w:t>
      </w:r>
      <w:r w:rsidRPr="000329FE">
        <w:t>10.1007/s10597-016-0044-0</w:t>
      </w:r>
      <w:r>
        <w:t xml:space="preserve"> (accessed 14 October 2021).</w:t>
      </w:r>
    </w:p>
    <w:p w14:paraId="6B29A66D" w14:textId="77777777" w:rsidR="009636B7" w:rsidRPr="000329FE" w:rsidRDefault="009636B7" w:rsidP="009636B7">
      <w:pPr>
        <w:pStyle w:val="References"/>
      </w:pPr>
      <w:r w:rsidRPr="000329FE">
        <w:t xml:space="preserve">Mason Clinic. 2011. </w:t>
      </w:r>
      <w:r w:rsidRPr="000329FE">
        <w:rPr>
          <w:i/>
          <w:iCs/>
        </w:rPr>
        <w:t xml:space="preserve">The Mason </w:t>
      </w:r>
      <w:r>
        <w:rPr>
          <w:i/>
          <w:iCs/>
        </w:rPr>
        <w:t>A</w:t>
      </w:r>
      <w:r w:rsidRPr="000329FE">
        <w:rPr>
          <w:i/>
          <w:iCs/>
        </w:rPr>
        <w:t>pproach: The mission, vision, values and approach of the Mason Clinic</w:t>
      </w:r>
      <w:r w:rsidRPr="000329FE">
        <w:t>. Auckland: Mason Clinic.</w:t>
      </w:r>
    </w:p>
    <w:p w14:paraId="37E2A680" w14:textId="77777777" w:rsidR="009636B7" w:rsidRPr="000329FE" w:rsidRDefault="009636B7" w:rsidP="00A0717A">
      <w:pPr>
        <w:pStyle w:val="References"/>
        <w:keepNext/>
      </w:pPr>
      <w:r w:rsidRPr="000329FE">
        <w:lastRenderedPageBreak/>
        <w:t xml:space="preserve">Mason Clinic. 2018a. </w:t>
      </w:r>
      <w:r w:rsidRPr="000329FE">
        <w:rPr>
          <w:i/>
          <w:iCs/>
        </w:rPr>
        <w:t>Te Aranga Hou</w:t>
      </w:r>
      <w:r>
        <w:rPr>
          <w:i/>
          <w:iCs/>
        </w:rPr>
        <w:t xml:space="preserve"> </w:t>
      </w:r>
      <w:r w:rsidRPr="000329FE">
        <w:rPr>
          <w:i/>
          <w:iCs/>
        </w:rPr>
        <w:t>– Mason Clinic forensic community team/Rimu model of care: Improving service user flow</w:t>
      </w:r>
      <w:r w:rsidRPr="000329FE">
        <w:t>. Auckland: Waitematā District Health Board.</w:t>
      </w:r>
    </w:p>
    <w:p w14:paraId="0D1A3C91" w14:textId="77777777" w:rsidR="00EE0ADB" w:rsidRDefault="009636B7" w:rsidP="009636B7">
      <w:pPr>
        <w:pStyle w:val="References"/>
      </w:pPr>
      <w:r w:rsidRPr="000329FE">
        <w:t xml:space="preserve">Mason Clinic. 2018b. </w:t>
      </w:r>
      <w:r w:rsidRPr="000329FE">
        <w:rPr>
          <w:i/>
          <w:iCs/>
        </w:rPr>
        <w:t>Te Aranga Hou</w:t>
      </w:r>
      <w:r>
        <w:rPr>
          <w:i/>
          <w:iCs/>
        </w:rPr>
        <w:t xml:space="preserve"> </w:t>
      </w:r>
      <w:r w:rsidRPr="000329FE">
        <w:rPr>
          <w:i/>
          <w:iCs/>
        </w:rPr>
        <w:t>– Mason Clinic service user pathways future state map</w:t>
      </w:r>
      <w:r>
        <w:rPr>
          <w:i/>
          <w:iCs/>
        </w:rPr>
        <w:t xml:space="preserve"> </w:t>
      </w:r>
      <w:r w:rsidRPr="000329FE">
        <w:rPr>
          <w:i/>
          <w:iCs/>
        </w:rPr>
        <w:t>– Milestones update: April 2018</w:t>
      </w:r>
      <w:r w:rsidRPr="000329FE">
        <w:t>. Auckland: Waitematā District Health Board.</w:t>
      </w:r>
    </w:p>
    <w:p w14:paraId="429245C4" w14:textId="77777777" w:rsidR="009636B7" w:rsidRPr="000329FE" w:rsidRDefault="009636B7" w:rsidP="009636B7">
      <w:pPr>
        <w:pStyle w:val="References"/>
      </w:pPr>
      <w:r w:rsidRPr="000329FE">
        <w:t>Mason Clinic</w:t>
      </w:r>
      <w:r>
        <w:t>,</w:t>
      </w:r>
      <w:r w:rsidRPr="000329FE">
        <w:t xml:space="preserve"> Puawai Midland Regional Forensic Psychiatric Service. 2011. </w:t>
      </w:r>
      <w:r w:rsidRPr="000329FE">
        <w:rPr>
          <w:i/>
          <w:iCs/>
        </w:rPr>
        <w:t xml:space="preserve">Northern/Midland </w:t>
      </w:r>
      <w:r>
        <w:rPr>
          <w:i/>
          <w:iCs/>
        </w:rPr>
        <w:t>R</w:t>
      </w:r>
      <w:r w:rsidRPr="000329FE">
        <w:rPr>
          <w:i/>
          <w:iCs/>
        </w:rPr>
        <w:t xml:space="preserve">egion </w:t>
      </w:r>
      <w:r>
        <w:rPr>
          <w:i/>
          <w:iCs/>
        </w:rPr>
        <w:t>P</w:t>
      </w:r>
      <w:r w:rsidRPr="000329FE">
        <w:rPr>
          <w:i/>
          <w:iCs/>
        </w:rPr>
        <w:t xml:space="preserve">rison </w:t>
      </w:r>
      <w:r>
        <w:rPr>
          <w:i/>
          <w:iCs/>
        </w:rPr>
        <w:t>M</w:t>
      </w:r>
      <w:r w:rsidRPr="000329FE">
        <w:rPr>
          <w:i/>
          <w:iCs/>
        </w:rPr>
        <w:t xml:space="preserve">odel of </w:t>
      </w:r>
      <w:r>
        <w:rPr>
          <w:i/>
          <w:iCs/>
        </w:rPr>
        <w:t>C</w:t>
      </w:r>
      <w:r w:rsidRPr="000329FE">
        <w:rPr>
          <w:i/>
          <w:iCs/>
        </w:rPr>
        <w:t>are</w:t>
      </w:r>
      <w:r w:rsidRPr="000329FE">
        <w:t>. Auckland/Hamilton: Mason Clinic</w:t>
      </w:r>
      <w:r>
        <w:t>,</w:t>
      </w:r>
      <w:r w:rsidRPr="000329FE">
        <w:t xml:space="preserve"> Puawai Midland Regional Forensic Psychiatric Servic</w:t>
      </w:r>
      <w:r>
        <w:t>e</w:t>
      </w:r>
      <w:r w:rsidRPr="000329FE">
        <w:t>.</w:t>
      </w:r>
    </w:p>
    <w:p w14:paraId="008B47CC" w14:textId="77777777" w:rsidR="009636B7" w:rsidRPr="000329FE" w:rsidRDefault="009636B7" w:rsidP="009636B7">
      <w:pPr>
        <w:pStyle w:val="References"/>
      </w:pPr>
      <w:r w:rsidRPr="000329FE">
        <w:t xml:space="preserve">Mason KH. 1988. </w:t>
      </w:r>
      <w:r w:rsidRPr="000329FE">
        <w:rPr>
          <w:i/>
          <w:iCs/>
        </w:rPr>
        <w:t xml:space="preserve">Report of the </w:t>
      </w:r>
      <w:r>
        <w:rPr>
          <w:i/>
          <w:iCs/>
        </w:rPr>
        <w:t>C</w:t>
      </w:r>
      <w:r w:rsidRPr="000329FE">
        <w:rPr>
          <w:i/>
          <w:iCs/>
        </w:rPr>
        <w:t xml:space="preserve">ommittee of </w:t>
      </w:r>
      <w:r>
        <w:rPr>
          <w:i/>
          <w:iCs/>
        </w:rPr>
        <w:t>I</w:t>
      </w:r>
      <w:r w:rsidRPr="000329FE">
        <w:rPr>
          <w:i/>
          <w:iCs/>
        </w:rPr>
        <w:t xml:space="preserve">nquiry into </w:t>
      </w:r>
      <w:r>
        <w:rPr>
          <w:i/>
          <w:iCs/>
        </w:rPr>
        <w:t>P</w:t>
      </w:r>
      <w:r w:rsidRPr="000329FE">
        <w:rPr>
          <w:i/>
          <w:iCs/>
        </w:rPr>
        <w:t xml:space="preserve">rocedures used in </w:t>
      </w:r>
      <w:r>
        <w:rPr>
          <w:i/>
          <w:iCs/>
        </w:rPr>
        <w:t>C</w:t>
      </w:r>
      <w:r w:rsidRPr="000329FE">
        <w:rPr>
          <w:i/>
          <w:iCs/>
        </w:rPr>
        <w:t xml:space="preserve">ertain </w:t>
      </w:r>
      <w:r>
        <w:rPr>
          <w:i/>
          <w:iCs/>
        </w:rPr>
        <w:t>P</w:t>
      </w:r>
      <w:r w:rsidRPr="000329FE">
        <w:rPr>
          <w:i/>
          <w:iCs/>
        </w:rPr>
        <w:t xml:space="preserve">sychiatric </w:t>
      </w:r>
      <w:r>
        <w:rPr>
          <w:i/>
          <w:iCs/>
        </w:rPr>
        <w:t>H</w:t>
      </w:r>
      <w:r w:rsidRPr="000329FE">
        <w:rPr>
          <w:i/>
          <w:iCs/>
        </w:rPr>
        <w:t xml:space="preserve">ospitals in </w:t>
      </w:r>
      <w:r>
        <w:rPr>
          <w:i/>
          <w:iCs/>
        </w:rPr>
        <w:t>R</w:t>
      </w:r>
      <w:r w:rsidRPr="000329FE">
        <w:rPr>
          <w:i/>
          <w:iCs/>
        </w:rPr>
        <w:t xml:space="preserve">elation to </w:t>
      </w:r>
      <w:r>
        <w:rPr>
          <w:i/>
          <w:iCs/>
        </w:rPr>
        <w:t>A</w:t>
      </w:r>
      <w:r w:rsidRPr="000329FE">
        <w:rPr>
          <w:i/>
          <w:iCs/>
        </w:rPr>
        <w:t xml:space="preserve">dmission, </w:t>
      </w:r>
      <w:r>
        <w:rPr>
          <w:i/>
          <w:iCs/>
        </w:rPr>
        <w:t>D</w:t>
      </w:r>
      <w:r w:rsidRPr="000329FE">
        <w:rPr>
          <w:i/>
          <w:iCs/>
        </w:rPr>
        <w:t xml:space="preserve">ischarge or </w:t>
      </w:r>
      <w:r>
        <w:rPr>
          <w:i/>
          <w:iCs/>
        </w:rPr>
        <w:t>R</w:t>
      </w:r>
      <w:r w:rsidRPr="000329FE">
        <w:rPr>
          <w:i/>
          <w:iCs/>
        </w:rPr>
        <w:t xml:space="preserve">elease on </w:t>
      </w:r>
      <w:r>
        <w:rPr>
          <w:i/>
          <w:iCs/>
        </w:rPr>
        <w:t>L</w:t>
      </w:r>
      <w:r w:rsidRPr="000329FE">
        <w:rPr>
          <w:i/>
          <w:iCs/>
        </w:rPr>
        <w:t xml:space="preserve">eave of </w:t>
      </w:r>
      <w:r>
        <w:rPr>
          <w:i/>
          <w:iCs/>
        </w:rPr>
        <w:t>C</w:t>
      </w:r>
      <w:r w:rsidRPr="000329FE">
        <w:rPr>
          <w:i/>
          <w:iCs/>
        </w:rPr>
        <w:t xml:space="preserve">ertain </w:t>
      </w:r>
      <w:r>
        <w:rPr>
          <w:i/>
          <w:iCs/>
        </w:rPr>
        <w:t>C</w:t>
      </w:r>
      <w:r w:rsidRPr="000329FE">
        <w:rPr>
          <w:i/>
          <w:iCs/>
        </w:rPr>
        <w:t xml:space="preserve">lasses of </w:t>
      </w:r>
      <w:r>
        <w:rPr>
          <w:i/>
          <w:iCs/>
        </w:rPr>
        <w:t>P</w:t>
      </w:r>
      <w:r w:rsidRPr="000329FE">
        <w:rPr>
          <w:i/>
          <w:iCs/>
        </w:rPr>
        <w:t xml:space="preserve">atients </w:t>
      </w:r>
      <w:r>
        <w:t>(t</w:t>
      </w:r>
      <w:r w:rsidRPr="000329FE">
        <w:t xml:space="preserve">he Mason </w:t>
      </w:r>
      <w:r>
        <w:t>R</w:t>
      </w:r>
      <w:r w:rsidRPr="000329FE">
        <w:t>eport</w:t>
      </w:r>
      <w:r>
        <w:t>)</w:t>
      </w:r>
      <w:r w:rsidRPr="000329FE">
        <w:t>. Wellington: Ministry of Health.</w:t>
      </w:r>
    </w:p>
    <w:p w14:paraId="7A4E1D8B" w14:textId="77777777" w:rsidR="00EE0ADB" w:rsidRDefault="009636B7" w:rsidP="009636B7">
      <w:pPr>
        <w:pStyle w:val="References"/>
      </w:pPr>
      <w:r>
        <w:t>McCarten C</w:t>
      </w:r>
      <w:r w:rsidR="00392728">
        <w:t>,</w:t>
      </w:r>
      <w:r>
        <w:t xml:space="preserve"> Leddy C. 2019. Women in secure mental health need female-centred care. </w:t>
      </w:r>
      <w:r w:rsidRPr="00C17057">
        <w:rPr>
          <w:i/>
          <w:iCs/>
        </w:rPr>
        <w:t>Kai Tiaki</w:t>
      </w:r>
      <w:r>
        <w:t xml:space="preserve"> 25(8): 28</w:t>
      </w:r>
      <w:r w:rsidR="00392728">
        <w:t>–</w:t>
      </w:r>
      <w:r>
        <w:t>9.</w:t>
      </w:r>
    </w:p>
    <w:p w14:paraId="21D065CB" w14:textId="77777777" w:rsidR="009636B7" w:rsidRPr="000329FE" w:rsidRDefault="009636B7" w:rsidP="009636B7">
      <w:pPr>
        <w:pStyle w:val="References"/>
      </w:pPr>
      <w:r w:rsidRPr="000329FE">
        <w:t xml:space="preserve">McFadyen JA. 1999. </w:t>
      </w:r>
      <w:r w:rsidRPr="000329FE">
        <w:rPr>
          <w:shd w:val="clear" w:color="auto" w:fill="FFFFFF"/>
        </w:rPr>
        <w:t xml:space="preserve">Safe, sound and supportive: Forensic mental health services. </w:t>
      </w:r>
      <w:r w:rsidRPr="000329FE">
        <w:rPr>
          <w:i/>
          <w:iCs/>
        </w:rPr>
        <w:t xml:space="preserve">British Journal of Nursing </w:t>
      </w:r>
      <w:r w:rsidRPr="00561492">
        <w:t>8</w:t>
      </w:r>
      <w:r w:rsidRPr="000329FE">
        <w:t xml:space="preserve">(21). </w:t>
      </w:r>
      <w:r>
        <w:t xml:space="preserve">URL: </w:t>
      </w:r>
      <w:hyperlink r:id="rId104" w:history="1">
        <w:r w:rsidR="00392728" w:rsidRPr="00392728">
          <w:rPr>
            <w:rStyle w:val="Hyperlink"/>
          </w:rPr>
          <w:t>https://doi.org/10.12968/bjon.1999.8.21.1436</w:t>
        </w:r>
      </w:hyperlink>
      <w:r>
        <w:rPr>
          <w:shd w:val="clear" w:color="auto" w:fill="FFFFFF"/>
        </w:rPr>
        <w:t xml:space="preserve"> (accessed 11 October 2021).</w:t>
      </w:r>
    </w:p>
    <w:p w14:paraId="52DDEB58" w14:textId="77777777" w:rsidR="00EE0ADB" w:rsidRDefault="009636B7" w:rsidP="009636B7">
      <w:pPr>
        <w:pStyle w:val="References"/>
        <w:rPr>
          <w:shd w:val="clear" w:color="auto" w:fill="FFFFFF"/>
        </w:rPr>
      </w:pPr>
      <w:r w:rsidRPr="000329FE">
        <w:rPr>
          <w:shd w:val="clear" w:color="auto" w:fill="FFFFFF"/>
        </w:rPr>
        <w:t xml:space="preserve">McInerney C, Davoren M, Flynn G, </w:t>
      </w:r>
      <w:r w:rsidR="00AD0D58">
        <w:rPr>
          <w:shd w:val="clear" w:color="auto" w:fill="FFFFFF"/>
        </w:rPr>
        <w:t>et al</w:t>
      </w:r>
      <w:r w:rsidRPr="000329FE">
        <w:rPr>
          <w:shd w:val="clear" w:color="auto" w:fill="FFFFFF"/>
        </w:rPr>
        <w:t xml:space="preserve">. 2013. Implementing a court diversion and liaison scheme in a remand prison by systematic screening of new receptions: A 6 year participatory action research study of 20,084 consecutive male remands. </w:t>
      </w:r>
      <w:r w:rsidRPr="000329FE">
        <w:rPr>
          <w:i/>
          <w:iCs/>
          <w:shd w:val="clear" w:color="auto" w:fill="FFFFFF"/>
        </w:rPr>
        <w:t xml:space="preserve">International Journal of Mental Health Systems </w:t>
      </w:r>
      <w:r w:rsidRPr="00561492">
        <w:rPr>
          <w:shd w:val="clear" w:color="auto" w:fill="FFFFFF"/>
        </w:rPr>
        <w:t>7</w:t>
      </w:r>
      <w:r w:rsidRPr="000329FE">
        <w:rPr>
          <w:shd w:val="clear" w:color="auto" w:fill="FFFFFF"/>
        </w:rPr>
        <w:t>(1)</w:t>
      </w:r>
      <w:r>
        <w:rPr>
          <w:shd w:val="clear" w:color="auto" w:fill="FFFFFF"/>
        </w:rPr>
        <w:t>:</w:t>
      </w:r>
      <w:r w:rsidRPr="000329FE">
        <w:rPr>
          <w:shd w:val="clear" w:color="auto" w:fill="FFFFFF"/>
        </w:rPr>
        <w:t xml:space="preserve"> Article no. 18.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10.1186/1752-4458-7-18</w:t>
      </w:r>
      <w:r>
        <w:rPr>
          <w:shd w:val="clear" w:color="auto" w:fill="FFFFFF"/>
        </w:rPr>
        <w:t xml:space="preserve"> (accessed 27 October 2021).</w:t>
      </w:r>
    </w:p>
    <w:p w14:paraId="269A7D91" w14:textId="77777777" w:rsidR="009636B7" w:rsidRPr="000329FE" w:rsidRDefault="009636B7" w:rsidP="009636B7">
      <w:pPr>
        <w:pStyle w:val="References"/>
        <w:rPr>
          <w:shd w:val="clear" w:color="auto" w:fill="FFFFFF"/>
        </w:rPr>
      </w:pPr>
      <w:r w:rsidRPr="000329FE">
        <w:rPr>
          <w:shd w:val="clear" w:color="auto" w:fill="FFFFFF"/>
        </w:rPr>
        <w:t>McInerney C, O</w:t>
      </w:r>
      <w:r w:rsidR="00EE0ADB">
        <w:rPr>
          <w:shd w:val="clear" w:color="auto" w:fill="FFFFFF"/>
        </w:rPr>
        <w:t>’</w:t>
      </w:r>
      <w:r w:rsidRPr="000329FE">
        <w:rPr>
          <w:shd w:val="clear" w:color="auto" w:fill="FFFFFF"/>
        </w:rPr>
        <w:t xml:space="preserve">Neill C. 2008. Prison psychiatric inreach and court liaison services in </w:t>
      </w:r>
      <w:r w:rsidRPr="00561492">
        <w:rPr>
          <w:shd w:val="clear" w:color="auto" w:fill="FFFFFF"/>
        </w:rPr>
        <w:t>Ireland.</w:t>
      </w:r>
      <w:r w:rsidRPr="000329FE">
        <w:rPr>
          <w:i/>
          <w:iCs/>
          <w:shd w:val="clear" w:color="auto" w:fill="FFFFFF"/>
        </w:rPr>
        <w:t xml:space="preserve"> Judicial Studies Institute Journal</w:t>
      </w:r>
      <w:r w:rsidRPr="000329FE">
        <w:rPr>
          <w:shd w:val="clear" w:color="auto" w:fill="FFFFFF"/>
        </w:rPr>
        <w:t xml:space="preserve">. </w:t>
      </w:r>
      <w:r>
        <w:rPr>
          <w:shd w:val="clear" w:color="auto" w:fill="FFFFFF"/>
        </w:rPr>
        <w:t>URL:</w:t>
      </w:r>
      <w:r w:rsidRPr="000329FE">
        <w:rPr>
          <w:shd w:val="clear" w:color="auto" w:fill="FFFFFF"/>
        </w:rPr>
        <w:t xml:space="preserve"> </w:t>
      </w:r>
      <w:hyperlink r:id="rId105" w:history="1">
        <w:r w:rsidR="00392728" w:rsidRPr="00392728">
          <w:rPr>
            <w:rStyle w:val="Hyperlink"/>
            <w:shd w:val="clear" w:color="auto" w:fill="FFFFFF"/>
          </w:rPr>
          <w:t>www.ijsj.ie/assets/uploads/documents/pdfs/2008-Edition-02/article/prison-psychiatric-inreach-and-court-liaison-services-in-ireland.pdf</w:t>
        </w:r>
      </w:hyperlink>
      <w:r>
        <w:rPr>
          <w:shd w:val="clear" w:color="auto" w:fill="FFFFFF"/>
        </w:rPr>
        <w:t xml:space="preserve"> (accessed 27 October 2021).</w:t>
      </w:r>
    </w:p>
    <w:p w14:paraId="0FCFDB0D" w14:textId="77777777" w:rsidR="00EE0ADB" w:rsidRDefault="009636B7" w:rsidP="009636B7">
      <w:pPr>
        <w:pStyle w:val="References"/>
        <w:rPr>
          <w:shd w:val="clear" w:color="auto" w:fill="FFFFFF"/>
        </w:rPr>
      </w:pPr>
      <w:r w:rsidRPr="000329FE">
        <w:rPr>
          <w:shd w:val="clear" w:color="auto" w:fill="FFFFFF"/>
        </w:rPr>
        <w:t xml:space="preserve">McIntosh T. 2011. </w:t>
      </w:r>
      <w:r>
        <w:rPr>
          <w:shd w:val="clear" w:color="auto" w:fill="FFFFFF"/>
        </w:rPr>
        <w:t>Marginalisation</w:t>
      </w:r>
      <w:r w:rsidRPr="000329FE">
        <w:rPr>
          <w:shd w:val="clear" w:color="auto" w:fill="FFFFFF"/>
        </w:rPr>
        <w:t xml:space="preserve">: A case study: Confinement. In T McIntosh </w:t>
      </w:r>
      <w:r>
        <w:rPr>
          <w:shd w:val="clear" w:color="auto" w:fill="FFFFFF"/>
        </w:rPr>
        <w:t>and</w:t>
      </w:r>
      <w:r w:rsidRPr="000329FE">
        <w:rPr>
          <w:shd w:val="clear" w:color="auto" w:fill="FFFFFF"/>
        </w:rPr>
        <w:t xml:space="preserve"> M</w:t>
      </w:r>
      <w:r w:rsidR="00392728">
        <w:rPr>
          <w:shd w:val="clear" w:color="auto" w:fill="FFFFFF"/>
        </w:rPr>
        <w:t> </w:t>
      </w:r>
      <w:r w:rsidRPr="000329FE">
        <w:rPr>
          <w:shd w:val="clear" w:color="auto" w:fill="FFFFFF"/>
        </w:rPr>
        <w:t xml:space="preserve">Mulholland, </w:t>
      </w:r>
      <w:r w:rsidR="0085596B">
        <w:rPr>
          <w:i/>
          <w:iCs/>
          <w:shd w:val="clear" w:color="auto" w:fill="FFFFFF"/>
        </w:rPr>
        <w:t xml:space="preserve">Māori </w:t>
      </w:r>
      <w:r w:rsidRPr="000329FE">
        <w:rPr>
          <w:i/>
          <w:iCs/>
          <w:shd w:val="clear" w:color="auto" w:fill="FFFFFF"/>
        </w:rPr>
        <w:t xml:space="preserve">and </w:t>
      </w:r>
      <w:r>
        <w:rPr>
          <w:i/>
          <w:iCs/>
          <w:shd w:val="clear" w:color="auto" w:fill="FFFFFF"/>
        </w:rPr>
        <w:t>S</w:t>
      </w:r>
      <w:r w:rsidRPr="000329FE">
        <w:rPr>
          <w:i/>
          <w:iCs/>
          <w:shd w:val="clear" w:color="auto" w:fill="FFFFFF"/>
        </w:rPr>
        <w:t xml:space="preserve">ocial </w:t>
      </w:r>
      <w:r>
        <w:rPr>
          <w:i/>
          <w:iCs/>
          <w:shd w:val="clear" w:color="auto" w:fill="FFFFFF"/>
        </w:rPr>
        <w:t>I</w:t>
      </w:r>
      <w:r w:rsidRPr="000329FE">
        <w:rPr>
          <w:i/>
          <w:iCs/>
          <w:shd w:val="clear" w:color="auto" w:fill="FFFFFF"/>
        </w:rPr>
        <w:t>ssues</w:t>
      </w:r>
      <w:r w:rsidRPr="000329FE">
        <w:rPr>
          <w:shd w:val="clear" w:color="auto" w:fill="FFFFFF"/>
        </w:rPr>
        <w:t xml:space="preserve"> (pp. 263–82). Wellington: Huia.</w:t>
      </w:r>
    </w:p>
    <w:p w14:paraId="34133E1E" w14:textId="77777777" w:rsidR="009636B7" w:rsidRPr="000329FE" w:rsidRDefault="009636B7" w:rsidP="009636B7">
      <w:pPr>
        <w:pStyle w:val="References"/>
      </w:pPr>
      <w:r w:rsidRPr="000329FE">
        <w:rPr>
          <w:shd w:val="clear" w:color="auto" w:fill="FFFFFF"/>
        </w:rPr>
        <w:t xml:space="preserve">McKenna B, Furness T, Dhital D, </w:t>
      </w:r>
      <w:r w:rsidR="00AD0D58">
        <w:rPr>
          <w:shd w:val="clear" w:color="auto" w:fill="FFFFFF"/>
        </w:rPr>
        <w:t>et al</w:t>
      </w:r>
      <w:r w:rsidRPr="000329FE">
        <w:rPr>
          <w:shd w:val="clear" w:color="auto" w:fill="FFFFFF"/>
        </w:rPr>
        <w:t>. 2014</w:t>
      </w:r>
      <w:r>
        <w:rPr>
          <w:shd w:val="clear" w:color="auto" w:fill="FFFFFF"/>
        </w:rPr>
        <w:t>a</w:t>
      </w:r>
      <w:r w:rsidRPr="000329FE">
        <w:rPr>
          <w:shd w:val="clear" w:color="auto" w:fill="FFFFFF"/>
        </w:rPr>
        <w:t xml:space="preserve">. Recovery-oriented care in acute inpatient mental health settings: An exploratory study. </w:t>
      </w:r>
      <w:r w:rsidRPr="000329FE">
        <w:rPr>
          <w:i/>
          <w:iCs/>
        </w:rPr>
        <w:t xml:space="preserve">Issues in Mental Health Nursing </w:t>
      </w:r>
      <w:r w:rsidRPr="00561492">
        <w:t>35</w:t>
      </w:r>
      <w:r w:rsidRPr="000329FE">
        <w:t>(7)</w:t>
      </w:r>
      <w:r>
        <w:t>:</w:t>
      </w:r>
      <w:r w:rsidR="00392728">
        <w:t> </w:t>
      </w:r>
      <w:r w:rsidRPr="000329FE">
        <w:t xml:space="preserve">526–32.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10.3109/01612840.2014.890684</w:t>
      </w:r>
      <w:r>
        <w:rPr>
          <w:shd w:val="clear" w:color="auto" w:fill="FFFFFF"/>
        </w:rPr>
        <w:t xml:space="preserve"> (accessed 12 October 2021).</w:t>
      </w:r>
    </w:p>
    <w:p w14:paraId="6142C7CF" w14:textId="77777777" w:rsidR="009636B7" w:rsidRPr="000329FE" w:rsidRDefault="009636B7" w:rsidP="009636B7">
      <w:pPr>
        <w:pStyle w:val="References"/>
      </w:pPr>
      <w:r w:rsidRPr="008F4E63">
        <w:rPr>
          <w:shd w:val="clear" w:color="auto" w:fill="FFFFFF"/>
        </w:rPr>
        <w:t>McKenna</w:t>
      </w:r>
      <w:r w:rsidRPr="0088530A">
        <w:rPr>
          <w:shd w:val="clear" w:color="auto" w:fill="FFFFFF"/>
        </w:rPr>
        <w:t xml:space="preserve"> B, Furness T, Dh</w:t>
      </w:r>
      <w:r w:rsidRPr="000329FE">
        <w:rPr>
          <w:shd w:val="clear" w:color="auto" w:fill="FFFFFF"/>
        </w:rPr>
        <w:t xml:space="preserve">ital D, </w:t>
      </w:r>
      <w:r w:rsidR="00AD0D58">
        <w:rPr>
          <w:shd w:val="clear" w:color="auto" w:fill="FFFFFF"/>
        </w:rPr>
        <w:t>et al</w:t>
      </w:r>
      <w:r w:rsidRPr="000329FE">
        <w:rPr>
          <w:shd w:val="clear" w:color="auto" w:fill="FFFFFF"/>
        </w:rPr>
        <w:t>. 2014</w:t>
      </w:r>
      <w:r>
        <w:rPr>
          <w:shd w:val="clear" w:color="auto" w:fill="FFFFFF"/>
        </w:rPr>
        <w:t>b</w:t>
      </w:r>
      <w:r w:rsidRPr="000329FE">
        <w:t xml:space="preserve">. </w:t>
      </w:r>
      <w:r w:rsidRPr="000329FE">
        <w:rPr>
          <w:shd w:val="clear" w:color="auto" w:fill="FFFFFF"/>
        </w:rPr>
        <w:t xml:space="preserve">Recovery-oriented care in a secure mental health setting: </w:t>
      </w:r>
      <w:r w:rsidR="00EE0ADB">
        <w:rPr>
          <w:shd w:val="clear" w:color="auto" w:fill="FFFFFF"/>
        </w:rPr>
        <w:t>‘</w:t>
      </w:r>
      <w:r w:rsidRPr="000329FE">
        <w:rPr>
          <w:shd w:val="clear" w:color="auto" w:fill="FFFFFF"/>
        </w:rPr>
        <w:t>Striving for the good life.</w:t>
      </w:r>
      <w:r w:rsidR="00EE0ADB">
        <w:rPr>
          <w:shd w:val="clear" w:color="auto" w:fill="FFFFFF"/>
        </w:rPr>
        <w:t>’</w:t>
      </w:r>
      <w:r w:rsidRPr="000329FE">
        <w:rPr>
          <w:shd w:val="clear" w:color="auto" w:fill="FFFFFF"/>
        </w:rPr>
        <w:t xml:space="preserve"> </w:t>
      </w:r>
      <w:r w:rsidRPr="000329FE">
        <w:rPr>
          <w:i/>
          <w:iCs/>
        </w:rPr>
        <w:t xml:space="preserve">Journal of Forensic Nursing </w:t>
      </w:r>
      <w:r w:rsidRPr="00561492">
        <w:t>10</w:t>
      </w:r>
      <w:r w:rsidRPr="000329FE">
        <w:t>(2)</w:t>
      </w:r>
      <w:r>
        <w:t>:</w:t>
      </w:r>
      <w:r w:rsidRPr="000329FE">
        <w:t xml:space="preserve"> 63–9.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10.1097/JFN.0000000000000027</w:t>
      </w:r>
      <w:r>
        <w:rPr>
          <w:shd w:val="clear" w:color="auto" w:fill="FFFFFF"/>
        </w:rPr>
        <w:t xml:space="preserve"> (accessed 3 November 2021).</w:t>
      </w:r>
    </w:p>
    <w:p w14:paraId="59F831E8" w14:textId="77777777" w:rsidR="009636B7" w:rsidRPr="000329FE" w:rsidRDefault="009636B7" w:rsidP="009636B7">
      <w:pPr>
        <w:pStyle w:val="References"/>
      </w:pPr>
      <w:r w:rsidRPr="000329FE">
        <w:rPr>
          <w:shd w:val="clear" w:color="auto" w:fill="FFFFFF"/>
        </w:rPr>
        <w:t xml:space="preserve">McKenna B, Furness T, Dhital D, </w:t>
      </w:r>
      <w:r w:rsidR="00AD0D58">
        <w:rPr>
          <w:shd w:val="clear" w:color="auto" w:fill="FFFFFF"/>
        </w:rPr>
        <w:t>et al</w:t>
      </w:r>
      <w:r w:rsidRPr="000329FE">
        <w:rPr>
          <w:shd w:val="clear" w:color="auto" w:fill="FFFFFF"/>
        </w:rPr>
        <w:t>. 2014</w:t>
      </w:r>
      <w:r>
        <w:rPr>
          <w:shd w:val="clear" w:color="auto" w:fill="FFFFFF"/>
        </w:rPr>
        <w:t>c</w:t>
      </w:r>
      <w:r w:rsidRPr="000329FE">
        <w:rPr>
          <w:shd w:val="clear" w:color="auto" w:fill="FFFFFF"/>
        </w:rPr>
        <w:t xml:space="preserve">. The transformation from custodial to recovery-oriented care: A paradigm shift that needed to happen. </w:t>
      </w:r>
      <w:r w:rsidRPr="000329FE">
        <w:rPr>
          <w:i/>
          <w:iCs/>
        </w:rPr>
        <w:t xml:space="preserve">Journal of Forensic Nursing </w:t>
      </w:r>
      <w:r w:rsidRPr="00561492">
        <w:t>10</w:t>
      </w:r>
      <w:r w:rsidRPr="000329FE">
        <w:t>(4)</w:t>
      </w:r>
      <w:r>
        <w:t>:</w:t>
      </w:r>
      <w:r w:rsidRPr="000329FE">
        <w:t xml:space="preserve"> 226–33. </w:t>
      </w:r>
      <w:r>
        <w:t>DOI</w:t>
      </w:r>
      <w:r w:rsidRPr="000329FE">
        <w:rPr>
          <w:shd w:val="clear" w:color="auto" w:fill="FFFFFF"/>
        </w:rPr>
        <w:t>:</w:t>
      </w:r>
      <w:r>
        <w:rPr>
          <w:shd w:val="clear" w:color="auto" w:fill="FFFFFF"/>
        </w:rPr>
        <w:t xml:space="preserve"> </w:t>
      </w:r>
      <w:r w:rsidRPr="000329FE">
        <w:rPr>
          <w:shd w:val="clear" w:color="auto" w:fill="FFFFFF"/>
        </w:rPr>
        <w:t>10.1097/JFN.0000000000000045</w:t>
      </w:r>
      <w:r>
        <w:rPr>
          <w:shd w:val="clear" w:color="auto" w:fill="FFFFFF"/>
        </w:rPr>
        <w:t xml:space="preserve"> (accessed 11 October 2021).</w:t>
      </w:r>
    </w:p>
    <w:p w14:paraId="219F65BA" w14:textId="77777777" w:rsidR="009636B7" w:rsidRPr="000329FE" w:rsidRDefault="009636B7" w:rsidP="009636B7">
      <w:pPr>
        <w:pStyle w:val="References"/>
        <w:rPr>
          <w:shd w:val="clear" w:color="auto" w:fill="FFFFFF"/>
        </w:rPr>
      </w:pPr>
      <w:r w:rsidRPr="000329FE">
        <w:rPr>
          <w:shd w:val="clear" w:color="auto" w:fill="FFFFFF"/>
        </w:rPr>
        <w:t xml:space="preserve">McKenna B, Seaton K. 2007. Liaison services to the courts. In W Brookbanks </w:t>
      </w:r>
      <w:r>
        <w:rPr>
          <w:shd w:val="clear" w:color="auto" w:fill="FFFFFF"/>
        </w:rPr>
        <w:t>and</w:t>
      </w:r>
      <w:r w:rsidRPr="000329FE">
        <w:rPr>
          <w:shd w:val="clear" w:color="auto" w:fill="FFFFFF"/>
        </w:rPr>
        <w:t xml:space="preserve"> S</w:t>
      </w:r>
      <w:r w:rsidR="00392728">
        <w:rPr>
          <w:shd w:val="clear" w:color="auto" w:fill="FFFFFF"/>
        </w:rPr>
        <w:t> </w:t>
      </w:r>
      <w:r w:rsidRPr="000329FE">
        <w:rPr>
          <w:shd w:val="clear" w:color="auto" w:fill="FFFFFF"/>
        </w:rPr>
        <w:t>Simpson (</w:t>
      </w:r>
      <w:r>
        <w:rPr>
          <w:shd w:val="clear" w:color="auto" w:fill="FFFFFF"/>
        </w:rPr>
        <w:t>e</w:t>
      </w:r>
      <w:r w:rsidRPr="000329FE">
        <w:rPr>
          <w:shd w:val="clear" w:color="auto" w:fill="FFFFFF"/>
        </w:rPr>
        <w:t xml:space="preserve">ds), </w:t>
      </w:r>
      <w:r w:rsidRPr="000329FE">
        <w:rPr>
          <w:i/>
          <w:iCs/>
          <w:shd w:val="clear" w:color="auto" w:fill="FFFFFF"/>
        </w:rPr>
        <w:t xml:space="preserve">Psychiatry and the </w:t>
      </w:r>
      <w:r>
        <w:rPr>
          <w:i/>
          <w:iCs/>
          <w:shd w:val="clear" w:color="auto" w:fill="FFFFFF"/>
        </w:rPr>
        <w:t>L</w:t>
      </w:r>
      <w:r w:rsidRPr="000329FE">
        <w:rPr>
          <w:i/>
          <w:iCs/>
          <w:shd w:val="clear" w:color="auto" w:fill="FFFFFF"/>
        </w:rPr>
        <w:t>aw</w:t>
      </w:r>
      <w:r w:rsidRPr="000329FE">
        <w:rPr>
          <w:shd w:val="clear" w:color="auto" w:fill="FFFFFF"/>
        </w:rPr>
        <w:t xml:space="preserve"> (pp. 447–66). Wellington: LexisNexis.</w:t>
      </w:r>
    </w:p>
    <w:p w14:paraId="7B0E5F3E" w14:textId="77777777" w:rsidR="009636B7" w:rsidRPr="000329FE" w:rsidRDefault="009636B7" w:rsidP="00A0717A">
      <w:pPr>
        <w:pStyle w:val="References"/>
        <w:keepNext/>
        <w:rPr>
          <w:shd w:val="clear" w:color="auto" w:fill="FFFFFF"/>
        </w:rPr>
      </w:pPr>
      <w:r w:rsidRPr="000329FE">
        <w:rPr>
          <w:shd w:val="clear" w:color="auto" w:fill="FFFFFF"/>
        </w:rPr>
        <w:lastRenderedPageBreak/>
        <w:t>McKenna B, Skipworth J, Pillai K. 2017. Mental health care and treatment in prisons: A</w:t>
      </w:r>
      <w:r w:rsidR="00392728">
        <w:rPr>
          <w:shd w:val="clear" w:color="auto" w:fill="FFFFFF"/>
        </w:rPr>
        <w:t> </w:t>
      </w:r>
      <w:r w:rsidRPr="000329FE">
        <w:rPr>
          <w:shd w:val="clear" w:color="auto" w:fill="FFFFFF"/>
        </w:rPr>
        <w:t>new paradigm to support best practice.</w:t>
      </w:r>
      <w:r w:rsidRPr="000329FE">
        <w:rPr>
          <w:i/>
          <w:iCs/>
          <w:shd w:val="clear" w:color="auto" w:fill="FFFFFF"/>
        </w:rPr>
        <w:t xml:space="preserve"> World Psychiatry </w:t>
      </w:r>
      <w:r w:rsidRPr="00561492">
        <w:rPr>
          <w:shd w:val="clear" w:color="auto" w:fill="FFFFFF"/>
        </w:rPr>
        <w:t>16</w:t>
      </w:r>
      <w:r w:rsidRPr="000329FE">
        <w:rPr>
          <w:shd w:val="clear" w:color="auto" w:fill="FFFFFF"/>
        </w:rPr>
        <w:t>(1)</w:t>
      </w:r>
      <w:r>
        <w:rPr>
          <w:shd w:val="clear" w:color="auto" w:fill="FFFFFF"/>
        </w:rPr>
        <w:t>:</w:t>
      </w:r>
      <w:r w:rsidRPr="000329FE">
        <w:rPr>
          <w:shd w:val="clear" w:color="auto" w:fill="FFFFFF"/>
        </w:rPr>
        <w:t xml:space="preserve"> 3–4. </w:t>
      </w:r>
      <w:r>
        <w:rPr>
          <w:shd w:val="clear" w:color="auto" w:fill="FFFFFF"/>
        </w:rPr>
        <w:t xml:space="preserve">URL: </w:t>
      </w:r>
      <w:hyperlink r:id="rId106" w:history="1">
        <w:r w:rsidR="00392728" w:rsidRPr="00392728">
          <w:rPr>
            <w:rStyle w:val="Hyperlink"/>
            <w:shd w:val="clear" w:color="auto" w:fill="FFFFFF"/>
          </w:rPr>
          <w:t>https://doi-org.ezproxy.aut.ac.nz/10.1002/wps.20395</w:t>
        </w:r>
      </w:hyperlink>
      <w:r>
        <w:rPr>
          <w:shd w:val="clear" w:color="auto" w:fill="FFFFFF"/>
        </w:rPr>
        <w:t xml:space="preserve"> (accessed 22 October 2021).</w:t>
      </w:r>
    </w:p>
    <w:p w14:paraId="7168C315" w14:textId="77777777" w:rsidR="009636B7" w:rsidRPr="000329FE" w:rsidRDefault="009636B7" w:rsidP="009636B7">
      <w:pPr>
        <w:pStyle w:val="References"/>
        <w:rPr>
          <w:shd w:val="clear" w:color="auto" w:fill="FFFFFF"/>
        </w:rPr>
      </w:pPr>
      <w:r w:rsidRPr="000329FE">
        <w:rPr>
          <w:shd w:val="clear" w:color="auto" w:fill="FFFFFF"/>
        </w:rPr>
        <w:t xml:space="preserve">McKenna B, Skipworth J, Tapsell R, </w:t>
      </w:r>
      <w:r w:rsidR="00AD0D58">
        <w:rPr>
          <w:shd w:val="clear" w:color="auto" w:fill="FFFFFF"/>
        </w:rPr>
        <w:t>et al</w:t>
      </w:r>
      <w:r w:rsidRPr="000329FE">
        <w:rPr>
          <w:shd w:val="clear" w:color="auto" w:fill="FFFFFF"/>
        </w:rPr>
        <w:t xml:space="preserve">. 2015. A prison mental health in-reach model informed by assertive community treatment principles: Evaluation of its impact on planning during the pre-release period, community mental health service engagement and reoffending. </w:t>
      </w:r>
      <w:r w:rsidRPr="000329FE">
        <w:rPr>
          <w:i/>
          <w:iCs/>
          <w:shd w:val="clear" w:color="auto" w:fill="FFFFFF"/>
        </w:rPr>
        <w:t xml:space="preserve">Criminal Behaviour and Mental Health </w:t>
      </w:r>
      <w:r w:rsidRPr="00561492">
        <w:rPr>
          <w:shd w:val="clear" w:color="auto" w:fill="FFFFFF"/>
        </w:rPr>
        <w:t>25</w:t>
      </w:r>
      <w:r>
        <w:rPr>
          <w:shd w:val="clear" w:color="auto" w:fill="FFFFFF"/>
        </w:rPr>
        <w:t>:</w:t>
      </w:r>
      <w:r w:rsidRPr="000329FE">
        <w:rPr>
          <w:shd w:val="clear" w:color="auto" w:fill="FFFFFF"/>
        </w:rPr>
        <w:t xml:space="preserve"> 429–39.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10.1002/cbm.1942</w:t>
      </w:r>
      <w:r>
        <w:rPr>
          <w:shd w:val="clear" w:color="auto" w:fill="FFFFFF"/>
        </w:rPr>
        <w:t xml:space="preserve"> (accessed 11 October 2021).</w:t>
      </w:r>
    </w:p>
    <w:p w14:paraId="5B10FCAE" w14:textId="77777777" w:rsidR="009636B7" w:rsidRPr="000329FE" w:rsidRDefault="009636B7" w:rsidP="009636B7">
      <w:pPr>
        <w:pStyle w:val="References"/>
        <w:rPr>
          <w:shd w:val="clear" w:color="auto" w:fill="FFFFFF"/>
        </w:rPr>
      </w:pPr>
      <w:r w:rsidRPr="000329FE">
        <w:rPr>
          <w:shd w:val="clear" w:color="auto" w:fill="FFFFFF"/>
        </w:rPr>
        <w:t xml:space="preserve">McKenna B, Skipworth J, Tapsell R, </w:t>
      </w:r>
      <w:r w:rsidR="00AD0D58">
        <w:rPr>
          <w:shd w:val="clear" w:color="auto" w:fill="FFFFFF"/>
        </w:rPr>
        <w:t>et al</w:t>
      </w:r>
      <w:r w:rsidRPr="000329FE">
        <w:rPr>
          <w:shd w:val="clear" w:color="auto" w:fill="FFFFFF"/>
        </w:rPr>
        <w:t xml:space="preserve">. 2018. Impact of an assertive community treatment model of care on the treatment of prisoners with a serious mental illness. </w:t>
      </w:r>
      <w:r w:rsidRPr="000329FE">
        <w:rPr>
          <w:i/>
          <w:iCs/>
          <w:shd w:val="clear" w:color="auto" w:fill="FFFFFF"/>
        </w:rPr>
        <w:t xml:space="preserve">Australasian Psychiatry </w:t>
      </w:r>
      <w:r w:rsidRPr="00561492">
        <w:rPr>
          <w:shd w:val="clear" w:color="auto" w:fill="FFFFFF"/>
        </w:rPr>
        <w:t>26</w:t>
      </w:r>
      <w:r w:rsidRPr="000329FE">
        <w:rPr>
          <w:shd w:val="clear" w:color="auto" w:fill="FFFFFF"/>
        </w:rPr>
        <w:t>(3)</w:t>
      </w:r>
      <w:r>
        <w:rPr>
          <w:shd w:val="clear" w:color="auto" w:fill="FFFFFF"/>
        </w:rPr>
        <w:t>:</w:t>
      </w:r>
      <w:r w:rsidRPr="000329FE">
        <w:rPr>
          <w:shd w:val="clear" w:color="auto" w:fill="FFFFFF"/>
        </w:rPr>
        <w:t xml:space="preserve"> 285–9.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10.1177/1039856217748247</w:t>
      </w:r>
      <w:r>
        <w:rPr>
          <w:shd w:val="clear" w:color="auto" w:fill="FFFFFF"/>
        </w:rPr>
        <w:t xml:space="preserve"> (accessed 11 October 2021).</w:t>
      </w:r>
    </w:p>
    <w:p w14:paraId="35BA8963" w14:textId="77777777" w:rsidR="009636B7" w:rsidRPr="000329FE" w:rsidRDefault="009636B7" w:rsidP="009636B7">
      <w:pPr>
        <w:pStyle w:val="References"/>
        <w:rPr>
          <w:shd w:val="clear" w:color="auto" w:fill="FFFFFF"/>
        </w:rPr>
      </w:pPr>
      <w:r w:rsidRPr="000329FE">
        <w:rPr>
          <w:shd w:val="clear" w:color="auto" w:fill="FFFFFF"/>
        </w:rPr>
        <w:t xml:space="preserve">McKenna D, Murphy H, Rosenbrier C, </w:t>
      </w:r>
      <w:r w:rsidR="00AD0D58">
        <w:rPr>
          <w:shd w:val="clear" w:color="auto" w:fill="FFFFFF"/>
        </w:rPr>
        <w:t>et al</w:t>
      </w:r>
      <w:r w:rsidRPr="000329FE">
        <w:rPr>
          <w:shd w:val="clear" w:color="auto" w:fill="FFFFFF"/>
        </w:rPr>
        <w:t xml:space="preserve">. 2019. Referrals to a mental health criminal justice liaison and diversion team in the North East of England. </w:t>
      </w:r>
      <w:r w:rsidRPr="000329FE">
        <w:rPr>
          <w:i/>
          <w:iCs/>
          <w:shd w:val="clear" w:color="auto" w:fill="FFFFFF"/>
        </w:rPr>
        <w:t xml:space="preserve">Journal of Forensic Psychiatry and Psychology </w:t>
      </w:r>
      <w:r w:rsidRPr="00561492">
        <w:rPr>
          <w:shd w:val="clear" w:color="auto" w:fill="FFFFFF"/>
        </w:rPr>
        <w:t>30</w:t>
      </w:r>
      <w:r w:rsidRPr="000329FE">
        <w:rPr>
          <w:shd w:val="clear" w:color="auto" w:fill="FFFFFF"/>
        </w:rPr>
        <w:t>(2)</w:t>
      </w:r>
      <w:r>
        <w:rPr>
          <w:shd w:val="clear" w:color="auto" w:fill="FFFFFF"/>
        </w:rPr>
        <w:t>:</w:t>
      </w:r>
      <w:r w:rsidRPr="000329FE">
        <w:rPr>
          <w:shd w:val="clear" w:color="auto" w:fill="FFFFFF"/>
        </w:rPr>
        <w:t xml:space="preserve"> 301–21.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10.1080/14789949.2018.1544266</w:t>
      </w:r>
      <w:r>
        <w:rPr>
          <w:shd w:val="clear" w:color="auto" w:fill="FFFFFF"/>
        </w:rPr>
        <w:t xml:space="preserve"> (accessed 27 October 2021).</w:t>
      </w:r>
    </w:p>
    <w:p w14:paraId="50355D33" w14:textId="77777777" w:rsidR="009636B7" w:rsidRPr="000329FE" w:rsidRDefault="009636B7" w:rsidP="009636B7">
      <w:pPr>
        <w:pStyle w:val="References"/>
        <w:rPr>
          <w:shd w:val="clear" w:color="auto" w:fill="FFFFFF"/>
        </w:rPr>
      </w:pPr>
      <w:r w:rsidRPr="000329FE">
        <w:rPr>
          <w:shd w:val="clear" w:color="auto" w:fill="FFFFFF"/>
        </w:rPr>
        <w:t>McN</w:t>
      </w:r>
      <w:r>
        <w:rPr>
          <w:shd w:val="clear" w:color="auto" w:fill="FFFFFF"/>
        </w:rPr>
        <w:t>i</w:t>
      </w:r>
      <w:r w:rsidRPr="000329FE">
        <w:rPr>
          <w:shd w:val="clear" w:color="auto" w:fill="FFFFFF"/>
        </w:rPr>
        <w:t xml:space="preserve">el DE, Binder RL. 2007. Effectiveness of a mental health court in reducing criminal recidivism and violence. </w:t>
      </w:r>
      <w:r w:rsidRPr="000329FE">
        <w:rPr>
          <w:i/>
          <w:iCs/>
          <w:shd w:val="clear" w:color="auto" w:fill="FFFFFF"/>
        </w:rPr>
        <w:t xml:space="preserve">American Journal of Psychiatry </w:t>
      </w:r>
      <w:r w:rsidRPr="00561492">
        <w:rPr>
          <w:shd w:val="clear" w:color="auto" w:fill="FFFFFF"/>
        </w:rPr>
        <w:t>164</w:t>
      </w:r>
      <w:r w:rsidRPr="000329FE">
        <w:rPr>
          <w:shd w:val="clear" w:color="auto" w:fill="FFFFFF"/>
        </w:rPr>
        <w:t>(9)</w:t>
      </w:r>
      <w:r>
        <w:rPr>
          <w:shd w:val="clear" w:color="auto" w:fill="FFFFFF"/>
        </w:rPr>
        <w:t>:</w:t>
      </w:r>
      <w:r w:rsidRPr="000329FE">
        <w:rPr>
          <w:shd w:val="clear" w:color="auto" w:fill="FFFFFF"/>
        </w:rPr>
        <w:t xml:space="preserve"> 1395–1403.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10.1176/appi.ajp.2007.06101664</w:t>
      </w:r>
      <w:r>
        <w:rPr>
          <w:shd w:val="clear" w:color="auto" w:fill="FFFFFF"/>
        </w:rPr>
        <w:t xml:space="preserve"> (accessed 27 October 2021).</w:t>
      </w:r>
    </w:p>
    <w:p w14:paraId="2A455D3F" w14:textId="77777777" w:rsidR="009636B7" w:rsidRPr="000329FE" w:rsidRDefault="009636B7" w:rsidP="009636B7">
      <w:pPr>
        <w:pStyle w:val="References"/>
        <w:rPr>
          <w:shd w:val="clear" w:color="auto" w:fill="FFFFFF"/>
        </w:rPr>
      </w:pPr>
      <w:r w:rsidRPr="000329FE">
        <w:rPr>
          <w:shd w:val="clear" w:color="auto" w:fill="FFFFFF"/>
        </w:rPr>
        <w:t>McN</w:t>
      </w:r>
      <w:r>
        <w:rPr>
          <w:shd w:val="clear" w:color="auto" w:fill="FFFFFF"/>
        </w:rPr>
        <w:t>i</w:t>
      </w:r>
      <w:r w:rsidRPr="000329FE">
        <w:rPr>
          <w:shd w:val="clear" w:color="auto" w:fill="FFFFFF"/>
        </w:rPr>
        <w:t xml:space="preserve">el DE, Binder RL. 2010. Stakeholder views of a mental health court. </w:t>
      </w:r>
      <w:r w:rsidRPr="000329FE">
        <w:rPr>
          <w:i/>
          <w:iCs/>
          <w:shd w:val="clear" w:color="auto" w:fill="FFFFFF"/>
        </w:rPr>
        <w:t xml:space="preserve">International Journal of Law and Psychiatry </w:t>
      </w:r>
      <w:r w:rsidRPr="00561492">
        <w:rPr>
          <w:shd w:val="clear" w:color="auto" w:fill="FFFFFF"/>
        </w:rPr>
        <w:t>33</w:t>
      </w:r>
      <w:r w:rsidRPr="000329FE">
        <w:rPr>
          <w:shd w:val="clear" w:color="auto" w:fill="FFFFFF"/>
        </w:rPr>
        <w:t>(4)</w:t>
      </w:r>
      <w:r>
        <w:rPr>
          <w:shd w:val="clear" w:color="auto" w:fill="FFFFFF"/>
        </w:rPr>
        <w:t>:</w:t>
      </w:r>
      <w:r w:rsidRPr="000329FE">
        <w:rPr>
          <w:shd w:val="clear" w:color="auto" w:fill="FFFFFF"/>
        </w:rPr>
        <w:t xml:space="preserve"> 227–35.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10.1016/j.ijlp.2010.06.004</w:t>
      </w:r>
      <w:r>
        <w:rPr>
          <w:shd w:val="clear" w:color="auto" w:fill="FFFFFF"/>
        </w:rPr>
        <w:t xml:space="preserve"> (accessed 27 October 2021).</w:t>
      </w:r>
    </w:p>
    <w:p w14:paraId="42170D0F" w14:textId="77777777" w:rsidR="009636B7" w:rsidRPr="000329FE" w:rsidRDefault="009636B7" w:rsidP="009636B7">
      <w:pPr>
        <w:pStyle w:val="References"/>
      </w:pPr>
      <w:r w:rsidRPr="000329FE">
        <w:rPr>
          <w:shd w:val="clear" w:color="auto" w:fill="FFFFFF"/>
        </w:rPr>
        <w:t xml:space="preserve">Mellie DP. 2012. </w:t>
      </w:r>
      <w:r w:rsidRPr="000329FE">
        <w:rPr>
          <w:i/>
          <w:iCs/>
          <w:shd w:val="clear" w:color="auto" w:fill="FFFFFF"/>
        </w:rPr>
        <w:t xml:space="preserve">A </w:t>
      </w:r>
      <w:r w:rsidR="00F40AC6">
        <w:rPr>
          <w:i/>
          <w:iCs/>
          <w:shd w:val="clear" w:color="auto" w:fill="FFFFFF"/>
        </w:rPr>
        <w:t>Q</w:t>
      </w:r>
      <w:r w:rsidRPr="000329FE">
        <w:rPr>
          <w:i/>
          <w:iCs/>
          <w:shd w:val="clear" w:color="auto" w:fill="FFFFFF"/>
        </w:rPr>
        <w:t xml:space="preserve">ualitative </w:t>
      </w:r>
      <w:r w:rsidR="00F40AC6">
        <w:rPr>
          <w:i/>
          <w:iCs/>
          <w:shd w:val="clear" w:color="auto" w:fill="FFFFFF"/>
        </w:rPr>
        <w:t>S</w:t>
      </w:r>
      <w:r w:rsidRPr="000329FE">
        <w:rPr>
          <w:i/>
          <w:iCs/>
          <w:shd w:val="clear" w:color="auto" w:fill="FFFFFF"/>
        </w:rPr>
        <w:t xml:space="preserve">tudy of </w:t>
      </w:r>
      <w:r w:rsidR="00F40AC6">
        <w:rPr>
          <w:i/>
          <w:iCs/>
          <w:shd w:val="clear" w:color="auto" w:fill="FFFFFF"/>
        </w:rPr>
        <w:t>R</w:t>
      </w:r>
      <w:r w:rsidRPr="000329FE">
        <w:rPr>
          <w:i/>
          <w:iCs/>
          <w:shd w:val="clear" w:color="auto" w:fill="FFFFFF"/>
        </w:rPr>
        <w:t xml:space="preserve">ecovery-oriented </w:t>
      </w:r>
      <w:r w:rsidR="00F40AC6">
        <w:rPr>
          <w:i/>
          <w:iCs/>
          <w:shd w:val="clear" w:color="auto" w:fill="FFFFFF"/>
        </w:rPr>
        <w:t>S</w:t>
      </w:r>
      <w:r w:rsidRPr="000329FE">
        <w:rPr>
          <w:i/>
          <w:iCs/>
          <w:shd w:val="clear" w:color="auto" w:fill="FFFFFF"/>
        </w:rPr>
        <w:t xml:space="preserve">ervices in </w:t>
      </w:r>
      <w:r w:rsidR="00F40AC6">
        <w:rPr>
          <w:i/>
          <w:iCs/>
          <w:shd w:val="clear" w:color="auto" w:fill="FFFFFF"/>
        </w:rPr>
        <w:t>I</w:t>
      </w:r>
      <w:r w:rsidRPr="000329FE">
        <w:rPr>
          <w:i/>
          <w:iCs/>
          <w:shd w:val="clear" w:color="auto" w:fill="FFFFFF"/>
        </w:rPr>
        <w:t xml:space="preserve">npatient </w:t>
      </w:r>
      <w:r w:rsidR="00F40AC6">
        <w:rPr>
          <w:i/>
          <w:iCs/>
          <w:shd w:val="clear" w:color="auto" w:fill="FFFFFF"/>
        </w:rPr>
        <w:t>F</w:t>
      </w:r>
      <w:r w:rsidRPr="000329FE">
        <w:rPr>
          <w:i/>
          <w:iCs/>
          <w:shd w:val="clear" w:color="auto" w:fill="FFFFFF"/>
        </w:rPr>
        <w:t xml:space="preserve">orensic </w:t>
      </w:r>
      <w:r w:rsidR="00F40AC6">
        <w:rPr>
          <w:i/>
          <w:iCs/>
          <w:shd w:val="clear" w:color="auto" w:fill="FFFFFF"/>
        </w:rPr>
        <w:t>S</w:t>
      </w:r>
      <w:r w:rsidRPr="000329FE">
        <w:rPr>
          <w:i/>
          <w:iCs/>
          <w:shd w:val="clear" w:color="auto" w:fill="FFFFFF"/>
        </w:rPr>
        <w:t>ettings</w:t>
      </w:r>
      <w:r w:rsidRPr="000329FE">
        <w:rPr>
          <w:shd w:val="clear" w:color="auto" w:fill="FFFFFF"/>
        </w:rPr>
        <w:t xml:space="preserve"> (</w:t>
      </w:r>
      <w:r>
        <w:rPr>
          <w:shd w:val="clear" w:color="auto" w:fill="FFFFFF"/>
        </w:rPr>
        <w:t>d</w:t>
      </w:r>
      <w:r w:rsidRPr="000329FE">
        <w:rPr>
          <w:shd w:val="clear" w:color="auto" w:fill="FFFFFF"/>
        </w:rPr>
        <w:t xml:space="preserve">octoral dissertation). Available from DigitalCommons@PCOM. </w:t>
      </w:r>
      <w:r>
        <w:rPr>
          <w:shd w:val="clear" w:color="auto" w:fill="FFFFFF"/>
        </w:rPr>
        <w:t xml:space="preserve">URL: </w:t>
      </w:r>
      <w:hyperlink r:id="rId107" w:history="1">
        <w:r w:rsidR="00F40AC6" w:rsidRPr="00F40AC6">
          <w:rPr>
            <w:rStyle w:val="Hyperlink"/>
            <w:shd w:val="clear" w:color="auto" w:fill="FFFFFF"/>
          </w:rPr>
          <w:t>https://digitalcommons.pcom.edu/cgi/viewcontent.cgi?article=1249&amp;context=psychology_dissertations</w:t>
        </w:r>
      </w:hyperlink>
      <w:r w:rsidRPr="005665D6" w:rsidDel="005665D6">
        <w:rPr>
          <w:shd w:val="clear" w:color="auto" w:fill="FFFFFF"/>
        </w:rPr>
        <w:t xml:space="preserve"> </w:t>
      </w:r>
      <w:r>
        <w:rPr>
          <w:shd w:val="clear" w:color="auto" w:fill="FFFFFF"/>
        </w:rPr>
        <w:t>(accessed 12 October 2021).</w:t>
      </w:r>
    </w:p>
    <w:p w14:paraId="095CC3C1" w14:textId="77777777" w:rsidR="009636B7" w:rsidRPr="000329FE" w:rsidRDefault="009636B7" w:rsidP="009636B7">
      <w:pPr>
        <w:pStyle w:val="References"/>
      </w:pPr>
      <w:r w:rsidRPr="000329FE">
        <w:t xml:space="preserve">Melnick G, De Leon G, Thomas G, </w:t>
      </w:r>
      <w:r w:rsidR="00AD0D58">
        <w:t>et al</w:t>
      </w:r>
      <w:r w:rsidRPr="000329FE">
        <w:t xml:space="preserve">. 2001. Treatment process in prison therapeutic communities: Motivation, participation, and outcome. </w:t>
      </w:r>
      <w:r w:rsidRPr="000329FE">
        <w:rPr>
          <w:i/>
          <w:iCs/>
        </w:rPr>
        <w:t xml:space="preserve">American Journal of Drug and Alcohol Abuse </w:t>
      </w:r>
      <w:r w:rsidRPr="00561492">
        <w:t>27</w:t>
      </w:r>
      <w:r w:rsidRPr="000329FE">
        <w:t>(4)</w:t>
      </w:r>
      <w:r>
        <w:t>:</w:t>
      </w:r>
      <w:r w:rsidRPr="000329FE">
        <w:t xml:space="preserve"> 633–50. </w:t>
      </w:r>
      <w:r>
        <w:t>DOI</w:t>
      </w:r>
      <w:r w:rsidRPr="000329FE">
        <w:t>:</w:t>
      </w:r>
      <w:r>
        <w:t xml:space="preserve"> </w:t>
      </w:r>
      <w:r w:rsidRPr="000329FE">
        <w:t>10.1081/ADA-100107660</w:t>
      </w:r>
      <w:r>
        <w:t xml:space="preserve"> (accessed 22 October 2021).</w:t>
      </w:r>
    </w:p>
    <w:p w14:paraId="46CE8BA5" w14:textId="77777777" w:rsidR="009636B7" w:rsidRPr="000329FE" w:rsidRDefault="009636B7" w:rsidP="009636B7">
      <w:pPr>
        <w:pStyle w:val="References"/>
        <w:rPr>
          <w:shd w:val="clear" w:color="auto" w:fill="FFFFFF"/>
        </w:rPr>
      </w:pPr>
      <w:r w:rsidRPr="000329FE">
        <w:rPr>
          <w:shd w:val="clear" w:color="auto" w:fill="FFFFFF"/>
        </w:rPr>
        <w:t>Melnick I. 2016. Passageway: A novel approach to success of conditional release</w:t>
      </w:r>
      <w:r>
        <w:rPr>
          <w:shd w:val="clear" w:color="auto" w:fill="FFFFFF"/>
        </w:rPr>
        <w:t xml:space="preserve"> </w:t>
      </w:r>
      <w:r w:rsidRPr="000329FE">
        <w:rPr>
          <w:shd w:val="clear" w:color="auto" w:fill="FFFFFF"/>
        </w:rPr>
        <w:t xml:space="preserve">– Principles and constructs of the model residential program for the forensic mentally ill patient. </w:t>
      </w:r>
      <w:r w:rsidRPr="000329FE">
        <w:rPr>
          <w:i/>
          <w:iCs/>
          <w:shd w:val="clear" w:color="auto" w:fill="FFFFFF"/>
        </w:rPr>
        <w:t xml:space="preserve">Behavioral Sciences &amp; the Law </w:t>
      </w:r>
      <w:r w:rsidRPr="00561492">
        <w:rPr>
          <w:shd w:val="clear" w:color="auto" w:fill="FFFFFF"/>
        </w:rPr>
        <w:t>34</w:t>
      </w:r>
      <w:r w:rsidRPr="000329FE">
        <w:rPr>
          <w:shd w:val="clear" w:color="auto" w:fill="FFFFFF"/>
        </w:rPr>
        <w:t>(2–3)</w:t>
      </w:r>
      <w:r>
        <w:rPr>
          <w:shd w:val="clear" w:color="auto" w:fill="FFFFFF"/>
        </w:rPr>
        <w:t>:</w:t>
      </w:r>
      <w:r w:rsidRPr="000329FE">
        <w:rPr>
          <w:shd w:val="clear" w:color="auto" w:fill="FFFFFF"/>
        </w:rPr>
        <w:t xml:space="preserve"> 396–406.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10.1002/bsl.2227</w:t>
      </w:r>
      <w:r>
        <w:rPr>
          <w:shd w:val="clear" w:color="auto" w:fill="FFFFFF"/>
        </w:rPr>
        <w:t xml:space="preserve"> (accessed 14 October 2021).</w:t>
      </w:r>
    </w:p>
    <w:p w14:paraId="7CD00C2F" w14:textId="77777777" w:rsidR="009636B7" w:rsidRPr="000329FE" w:rsidRDefault="009636B7" w:rsidP="009636B7">
      <w:pPr>
        <w:pStyle w:val="References"/>
        <w:rPr>
          <w:shd w:val="clear" w:color="auto" w:fill="FFFFFF"/>
        </w:rPr>
      </w:pPr>
      <w:r w:rsidRPr="000329FE">
        <w:rPr>
          <w:shd w:val="clear" w:color="auto" w:fill="FFFFFF"/>
        </w:rPr>
        <w:t xml:space="preserve">Mendelson EF. 1992a. A survey of practice at a regional forensic service: What do forensic psychiatrists do? Part I. Characteristics of cases and distribution of work. </w:t>
      </w:r>
      <w:r w:rsidRPr="000329FE">
        <w:rPr>
          <w:i/>
          <w:iCs/>
          <w:shd w:val="clear" w:color="auto" w:fill="FFFFFF"/>
        </w:rPr>
        <w:t xml:space="preserve">British Journal of Psychiatry </w:t>
      </w:r>
      <w:r w:rsidRPr="00561492">
        <w:rPr>
          <w:shd w:val="clear" w:color="auto" w:fill="FFFFFF"/>
        </w:rPr>
        <w:t>160</w:t>
      </w:r>
      <w:r>
        <w:rPr>
          <w:shd w:val="clear" w:color="auto" w:fill="FFFFFF"/>
        </w:rPr>
        <w:t>:</w:t>
      </w:r>
      <w:r w:rsidRPr="000329FE">
        <w:rPr>
          <w:shd w:val="clear" w:color="auto" w:fill="FFFFFF"/>
        </w:rPr>
        <w:t xml:space="preserve"> 769–72. </w:t>
      </w:r>
      <w:r>
        <w:rPr>
          <w:shd w:val="clear" w:color="auto" w:fill="FFFFFF"/>
        </w:rPr>
        <w:t>URL:</w:t>
      </w:r>
      <w:r w:rsidRPr="000329FE">
        <w:rPr>
          <w:shd w:val="clear" w:color="auto" w:fill="FFFFFF"/>
        </w:rPr>
        <w:t xml:space="preserve"> </w:t>
      </w:r>
      <w:hyperlink r:id="rId108" w:history="1">
        <w:r w:rsidR="00F40AC6" w:rsidRPr="00F40AC6">
          <w:rPr>
            <w:rStyle w:val="Hyperlink"/>
            <w:shd w:val="clear" w:color="auto" w:fill="FFFFFF"/>
          </w:rPr>
          <w:t>www.cambridge.org/core/journals/the-british-journal-of-psychiatry</w:t>
        </w:r>
      </w:hyperlink>
      <w:r>
        <w:rPr>
          <w:shd w:val="clear" w:color="auto" w:fill="FFFFFF"/>
        </w:rPr>
        <w:t xml:space="preserve"> (accessed 26 October 2021).</w:t>
      </w:r>
    </w:p>
    <w:p w14:paraId="54705FB5" w14:textId="77777777" w:rsidR="009636B7" w:rsidRPr="000329FE" w:rsidRDefault="009636B7" w:rsidP="009636B7">
      <w:pPr>
        <w:pStyle w:val="References"/>
        <w:rPr>
          <w:shd w:val="clear" w:color="auto" w:fill="FFFFFF"/>
        </w:rPr>
      </w:pPr>
      <w:r w:rsidRPr="000329FE">
        <w:rPr>
          <w:shd w:val="clear" w:color="auto" w:fill="FFFFFF"/>
        </w:rPr>
        <w:t xml:space="preserve">Mendelson EF. 1992b. A survey of practice at a regional forensic service: What do forensic psychiatrists do? Part II: Treatment, court reports and outcome. </w:t>
      </w:r>
      <w:r w:rsidRPr="000329FE">
        <w:rPr>
          <w:i/>
          <w:iCs/>
          <w:shd w:val="clear" w:color="auto" w:fill="FFFFFF"/>
        </w:rPr>
        <w:t xml:space="preserve">British Journal of Psychiatry </w:t>
      </w:r>
      <w:r w:rsidRPr="00561492">
        <w:rPr>
          <w:shd w:val="clear" w:color="auto" w:fill="FFFFFF"/>
        </w:rPr>
        <w:t>160</w:t>
      </w:r>
      <w:r>
        <w:rPr>
          <w:shd w:val="clear" w:color="auto" w:fill="FFFFFF"/>
        </w:rPr>
        <w:t>:</w:t>
      </w:r>
      <w:r w:rsidRPr="000329FE">
        <w:rPr>
          <w:shd w:val="clear" w:color="auto" w:fill="FFFFFF"/>
        </w:rPr>
        <w:t xml:space="preserve"> 773–6. </w:t>
      </w:r>
      <w:r>
        <w:rPr>
          <w:shd w:val="clear" w:color="auto" w:fill="FFFFFF"/>
        </w:rPr>
        <w:t>URL:</w:t>
      </w:r>
      <w:r w:rsidRPr="000329FE">
        <w:rPr>
          <w:shd w:val="clear" w:color="auto" w:fill="FFFFFF"/>
        </w:rPr>
        <w:t xml:space="preserve"> </w:t>
      </w:r>
      <w:hyperlink r:id="rId109" w:history="1">
        <w:r w:rsidR="00F40AC6" w:rsidRPr="00F40AC6">
          <w:rPr>
            <w:rStyle w:val="Hyperlink"/>
            <w:shd w:val="clear" w:color="auto" w:fill="FFFFFF"/>
          </w:rPr>
          <w:t>www.cambridge.org/core/journals/the-british-journal-of-psychiatry</w:t>
        </w:r>
      </w:hyperlink>
      <w:r>
        <w:rPr>
          <w:shd w:val="clear" w:color="auto" w:fill="FFFFFF"/>
        </w:rPr>
        <w:t xml:space="preserve"> (accessed 26 October 2021).</w:t>
      </w:r>
    </w:p>
    <w:p w14:paraId="76148DAC" w14:textId="77777777" w:rsidR="009636B7" w:rsidRPr="00075571" w:rsidRDefault="009636B7" w:rsidP="009636B7">
      <w:pPr>
        <w:pStyle w:val="References"/>
        <w:rPr>
          <w:shd w:val="clear" w:color="auto" w:fill="FFFFFF"/>
        </w:rPr>
      </w:pPr>
      <w:r w:rsidRPr="00075571">
        <w:rPr>
          <w:shd w:val="clear" w:color="auto" w:fill="FFFFFF"/>
        </w:rPr>
        <w:lastRenderedPageBreak/>
        <w:t xml:space="preserve">Mental Health Commission. 2006. </w:t>
      </w:r>
      <w:r w:rsidRPr="00075571">
        <w:rPr>
          <w:i/>
          <w:iCs/>
          <w:shd w:val="clear" w:color="auto" w:fill="FFFFFF"/>
        </w:rPr>
        <w:t xml:space="preserve">Forensic </w:t>
      </w:r>
      <w:r>
        <w:rPr>
          <w:i/>
          <w:iCs/>
          <w:shd w:val="clear" w:color="auto" w:fill="FFFFFF"/>
        </w:rPr>
        <w:t>M</w:t>
      </w:r>
      <w:r w:rsidRPr="00075571">
        <w:rPr>
          <w:i/>
          <w:iCs/>
          <w:shd w:val="clear" w:color="auto" w:fill="FFFFFF"/>
        </w:rPr>
        <w:t xml:space="preserve">ental </w:t>
      </w:r>
      <w:r>
        <w:rPr>
          <w:i/>
          <w:iCs/>
          <w:shd w:val="clear" w:color="auto" w:fill="FFFFFF"/>
        </w:rPr>
        <w:t>H</w:t>
      </w:r>
      <w:r w:rsidRPr="00075571">
        <w:rPr>
          <w:i/>
          <w:iCs/>
          <w:shd w:val="clear" w:color="auto" w:fill="FFFFFF"/>
        </w:rPr>
        <w:t xml:space="preserve">ealth </w:t>
      </w:r>
      <w:r>
        <w:rPr>
          <w:i/>
          <w:iCs/>
          <w:shd w:val="clear" w:color="auto" w:fill="FFFFFF"/>
        </w:rPr>
        <w:t>S</w:t>
      </w:r>
      <w:r w:rsidRPr="00075571">
        <w:rPr>
          <w:i/>
          <w:iCs/>
          <w:shd w:val="clear" w:color="auto" w:fill="FFFFFF"/>
        </w:rPr>
        <w:t xml:space="preserve">ervices for </w:t>
      </w:r>
      <w:r>
        <w:rPr>
          <w:i/>
          <w:iCs/>
          <w:shd w:val="clear" w:color="auto" w:fill="FFFFFF"/>
        </w:rPr>
        <w:t>A</w:t>
      </w:r>
      <w:r w:rsidRPr="00075571">
        <w:rPr>
          <w:i/>
          <w:iCs/>
          <w:shd w:val="clear" w:color="auto" w:fill="FFFFFF"/>
        </w:rPr>
        <w:t xml:space="preserve">dults in Ireland: Discussion paper. </w:t>
      </w:r>
      <w:r w:rsidRPr="00075571">
        <w:rPr>
          <w:shd w:val="clear" w:color="auto" w:fill="FFFFFF"/>
        </w:rPr>
        <w:t xml:space="preserve">Dublin: Mental Health Commission. </w:t>
      </w:r>
      <w:r>
        <w:rPr>
          <w:shd w:val="clear" w:color="auto" w:fill="FFFFFF"/>
        </w:rPr>
        <w:t>URL:</w:t>
      </w:r>
      <w:r w:rsidRPr="00075571">
        <w:rPr>
          <w:shd w:val="clear" w:color="auto" w:fill="FFFFFF"/>
        </w:rPr>
        <w:t xml:space="preserve"> </w:t>
      </w:r>
      <w:hyperlink r:id="rId110" w:history="1">
        <w:r w:rsidR="00F40AC6" w:rsidRPr="00F40AC6">
          <w:rPr>
            <w:rStyle w:val="Hyperlink"/>
            <w:shd w:val="clear" w:color="auto" w:fill="FFFFFF"/>
          </w:rPr>
          <w:t>www.lenus.ie/handle/10147/43831</w:t>
        </w:r>
      </w:hyperlink>
      <w:r>
        <w:rPr>
          <w:shd w:val="clear" w:color="auto" w:fill="FFFFFF"/>
        </w:rPr>
        <w:t xml:space="preserve"> (accessed 2 November 2021).</w:t>
      </w:r>
    </w:p>
    <w:p w14:paraId="0D8C0768" w14:textId="77777777" w:rsidR="009636B7" w:rsidRPr="00075571" w:rsidRDefault="009636B7" w:rsidP="009636B7">
      <w:pPr>
        <w:pStyle w:val="References"/>
        <w:rPr>
          <w:shd w:val="clear" w:color="auto" w:fill="FFFFFF"/>
        </w:rPr>
      </w:pPr>
      <w:r w:rsidRPr="001A28C6">
        <w:rPr>
          <w:shd w:val="clear" w:color="auto" w:fill="FFFFFF"/>
        </w:rPr>
        <w:t xml:space="preserve">Mental Health Commission. 2011. </w:t>
      </w:r>
      <w:r w:rsidRPr="001A28C6">
        <w:rPr>
          <w:i/>
          <w:iCs/>
          <w:shd w:val="clear" w:color="auto" w:fill="FFFFFF"/>
        </w:rPr>
        <w:t xml:space="preserve">Forensic </w:t>
      </w:r>
      <w:r>
        <w:rPr>
          <w:i/>
          <w:iCs/>
          <w:shd w:val="clear" w:color="auto" w:fill="FFFFFF"/>
        </w:rPr>
        <w:t>M</w:t>
      </w:r>
      <w:r w:rsidRPr="001A28C6">
        <w:rPr>
          <w:i/>
          <w:iCs/>
          <w:shd w:val="clear" w:color="auto" w:fill="FFFFFF"/>
        </w:rPr>
        <w:t xml:space="preserve">ental </w:t>
      </w:r>
      <w:r>
        <w:rPr>
          <w:i/>
          <w:iCs/>
          <w:shd w:val="clear" w:color="auto" w:fill="FFFFFF"/>
        </w:rPr>
        <w:t>H</w:t>
      </w:r>
      <w:r w:rsidRPr="001A28C6">
        <w:rPr>
          <w:i/>
          <w:iCs/>
          <w:shd w:val="clear" w:color="auto" w:fill="FFFFFF"/>
        </w:rPr>
        <w:t xml:space="preserve">ealth </w:t>
      </w:r>
      <w:r>
        <w:rPr>
          <w:i/>
          <w:iCs/>
          <w:shd w:val="clear" w:color="auto" w:fill="FFFFFF"/>
        </w:rPr>
        <w:t>S</w:t>
      </w:r>
      <w:r w:rsidRPr="001A28C6">
        <w:rPr>
          <w:i/>
          <w:iCs/>
          <w:shd w:val="clear" w:color="auto" w:fill="FFFFFF"/>
        </w:rPr>
        <w:t xml:space="preserve">ervices for </w:t>
      </w:r>
      <w:r>
        <w:rPr>
          <w:i/>
          <w:iCs/>
          <w:shd w:val="clear" w:color="auto" w:fill="FFFFFF"/>
        </w:rPr>
        <w:t>A</w:t>
      </w:r>
      <w:r w:rsidRPr="001A28C6">
        <w:rPr>
          <w:i/>
          <w:iCs/>
          <w:shd w:val="clear" w:color="auto" w:fill="FFFFFF"/>
        </w:rPr>
        <w:t>dults in Ireland: Position pape</w:t>
      </w:r>
      <w:r w:rsidRPr="009E213B">
        <w:rPr>
          <w:i/>
          <w:iCs/>
          <w:shd w:val="clear" w:color="auto" w:fill="FFFFFF"/>
        </w:rPr>
        <w:t>r</w:t>
      </w:r>
      <w:r w:rsidRPr="00561492">
        <w:rPr>
          <w:shd w:val="clear" w:color="auto" w:fill="FFFFFF"/>
        </w:rPr>
        <w:t>.</w:t>
      </w:r>
      <w:r w:rsidRPr="009E213B">
        <w:rPr>
          <w:shd w:val="clear" w:color="auto" w:fill="FFFFFF"/>
        </w:rPr>
        <w:t xml:space="preserve"> </w:t>
      </w:r>
      <w:r w:rsidRPr="00E42BE0">
        <w:rPr>
          <w:shd w:val="clear" w:color="auto" w:fill="FFFFFF"/>
        </w:rPr>
        <w:t xml:space="preserve">Dublin: </w:t>
      </w:r>
      <w:r>
        <w:rPr>
          <w:shd w:val="clear" w:color="auto" w:fill="FFFFFF"/>
        </w:rPr>
        <w:t>Mental Health Commission</w:t>
      </w:r>
      <w:r w:rsidRPr="00DD29A3">
        <w:rPr>
          <w:shd w:val="clear" w:color="auto" w:fill="FFFFFF"/>
        </w:rPr>
        <w:t xml:space="preserve">. </w:t>
      </w:r>
      <w:r>
        <w:rPr>
          <w:shd w:val="clear" w:color="auto" w:fill="FFFFFF"/>
        </w:rPr>
        <w:t xml:space="preserve">URL: </w:t>
      </w:r>
      <w:hyperlink r:id="rId111" w:history="1">
        <w:r w:rsidR="00F40AC6" w:rsidRPr="00F40AC6">
          <w:rPr>
            <w:rStyle w:val="Hyperlink"/>
            <w:shd w:val="clear" w:color="auto" w:fill="FFFFFF"/>
          </w:rPr>
          <w:t>www.lenus.ie/handle/10147/579851</w:t>
        </w:r>
      </w:hyperlink>
      <w:r>
        <w:rPr>
          <w:shd w:val="clear" w:color="auto" w:fill="FFFFFF"/>
        </w:rPr>
        <w:t xml:space="preserve"> (accessed 11 October 2021).</w:t>
      </w:r>
    </w:p>
    <w:p w14:paraId="5004E770" w14:textId="77777777" w:rsidR="009636B7" w:rsidRPr="00075571" w:rsidRDefault="009636B7" w:rsidP="009636B7">
      <w:pPr>
        <w:pStyle w:val="References"/>
      </w:pPr>
      <w:r w:rsidRPr="00075571">
        <w:t xml:space="preserve">Mezey G, Hassell Y, Bartlett A. 2005. Safety of women in mixed sex and single sex medium secure units. </w:t>
      </w:r>
      <w:r w:rsidRPr="00075571">
        <w:rPr>
          <w:i/>
          <w:iCs/>
        </w:rPr>
        <w:t xml:space="preserve">British Journal of Psychiatry </w:t>
      </w:r>
      <w:r w:rsidRPr="00561492">
        <w:t>187</w:t>
      </w:r>
      <w:r>
        <w:t>:</w:t>
      </w:r>
      <w:r w:rsidRPr="00075571">
        <w:t xml:space="preserve"> 579–82.</w:t>
      </w:r>
      <w:r w:rsidRPr="001A28C6">
        <w:t xml:space="preserve"> </w:t>
      </w:r>
      <w:r>
        <w:t xml:space="preserve">URL: </w:t>
      </w:r>
      <w:hyperlink r:id="rId112" w:history="1">
        <w:r w:rsidR="00F40AC6" w:rsidRPr="00F40AC6">
          <w:rPr>
            <w:rStyle w:val="Hyperlink"/>
          </w:rPr>
          <w:t>https://doi.org/10.1192/bjp.187.6.579</w:t>
        </w:r>
      </w:hyperlink>
      <w:r>
        <w:t xml:space="preserve"> (accessed 3 November 2021).</w:t>
      </w:r>
    </w:p>
    <w:p w14:paraId="672F988A" w14:textId="77777777" w:rsidR="009636B7" w:rsidRPr="009E213B" w:rsidRDefault="009636B7" w:rsidP="009636B7">
      <w:pPr>
        <w:pStyle w:val="References"/>
      </w:pPr>
      <w:r w:rsidRPr="001A28C6">
        <w:t xml:space="preserve">Miller TW, Clark J, Veltkamp LJ, </w:t>
      </w:r>
      <w:r w:rsidR="00AD0D58">
        <w:t>et al</w:t>
      </w:r>
      <w:r w:rsidRPr="001A28C6">
        <w:t xml:space="preserve">. 2008. Teleconferencing model for forensic consultation, court testimony, and continuing education. </w:t>
      </w:r>
      <w:r w:rsidRPr="001A28C6">
        <w:rPr>
          <w:i/>
          <w:iCs/>
        </w:rPr>
        <w:t xml:space="preserve">Behavioral Sciences </w:t>
      </w:r>
      <w:r>
        <w:rPr>
          <w:i/>
          <w:iCs/>
        </w:rPr>
        <w:t>&amp;</w:t>
      </w:r>
      <w:r w:rsidRPr="001A28C6">
        <w:rPr>
          <w:i/>
          <w:iCs/>
        </w:rPr>
        <w:t xml:space="preserve"> the Law </w:t>
      </w:r>
      <w:r w:rsidRPr="00561492">
        <w:t>26</w:t>
      </w:r>
      <w:r w:rsidRPr="009E213B">
        <w:t>(3)</w:t>
      </w:r>
      <w:r>
        <w:t>:</w:t>
      </w:r>
      <w:r w:rsidRPr="009E213B">
        <w:t xml:space="preserve"> 301–13. </w:t>
      </w:r>
      <w:r>
        <w:t>DOI</w:t>
      </w:r>
      <w:r w:rsidRPr="009E213B">
        <w:t>:</w:t>
      </w:r>
      <w:r>
        <w:t xml:space="preserve"> </w:t>
      </w:r>
      <w:r w:rsidRPr="009E213B">
        <w:t>10.1002/bsl.809</w:t>
      </w:r>
      <w:r>
        <w:t xml:space="preserve"> (accessed 27 October 2021).</w:t>
      </w:r>
    </w:p>
    <w:p w14:paraId="27FBD2B5" w14:textId="77777777" w:rsidR="009636B7" w:rsidRPr="000329FE" w:rsidRDefault="009636B7" w:rsidP="009636B7">
      <w:pPr>
        <w:pStyle w:val="References"/>
      </w:pPr>
      <w:r w:rsidRPr="00E42BE0">
        <w:t>Ministry of Heal</w:t>
      </w:r>
      <w:r w:rsidRPr="0043256B">
        <w:t xml:space="preserve">th. 2001a. </w:t>
      </w:r>
      <w:r w:rsidRPr="00DD29A3">
        <w:rPr>
          <w:i/>
          <w:iCs/>
        </w:rPr>
        <w:t xml:space="preserve">A </w:t>
      </w:r>
      <w:r>
        <w:rPr>
          <w:i/>
          <w:iCs/>
        </w:rPr>
        <w:t>N</w:t>
      </w:r>
      <w:r w:rsidRPr="00DD29A3">
        <w:rPr>
          <w:i/>
          <w:iCs/>
        </w:rPr>
        <w:t xml:space="preserve">ational </w:t>
      </w:r>
      <w:r>
        <w:rPr>
          <w:i/>
          <w:iCs/>
        </w:rPr>
        <w:t>S</w:t>
      </w:r>
      <w:r w:rsidRPr="00DD29A3">
        <w:rPr>
          <w:i/>
          <w:iCs/>
        </w:rPr>
        <w:t xml:space="preserve">trategic </w:t>
      </w:r>
      <w:r>
        <w:rPr>
          <w:i/>
          <w:iCs/>
        </w:rPr>
        <w:t>F</w:t>
      </w:r>
      <w:r w:rsidRPr="00DD29A3">
        <w:rPr>
          <w:i/>
          <w:iCs/>
        </w:rPr>
        <w:t xml:space="preserve">ramework for </w:t>
      </w:r>
      <w:r>
        <w:rPr>
          <w:i/>
          <w:iCs/>
        </w:rPr>
        <w:t>A</w:t>
      </w:r>
      <w:r w:rsidRPr="00DD29A3">
        <w:rPr>
          <w:i/>
          <w:iCs/>
        </w:rPr>
        <w:t xml:space="preserve">lcohol and </w:t>
      </w:r>
      <w:r>
        <w:rPr>
          <w:i/>
          <w:iCs/>
        </w:rPr>
        <w:t>D</w:t>
      </w:r>
      <w:r w:rsidRPr="00DD29A3">
        <w:rPr>
          <w:i/>
          <w:iCs/>
        </w:rPr>
        <w:t>rug</w:t>
      </w:r>
      <w:r w:rsidRPr="00DD29A3">
        <w:t xml:space="preserve"> </w:t>
      </w:r>
      <w:r>
        <w:rPr>
          <w:i/>
          <w:iCs/>
        </w:rPr>
        <w:t>S</w:t>
      </w:r>
      <w:r w:rsidRPr="00482A5B">
        <w:rPr>
          <w:i/>
          <w:iCs/>
        </w:rPr>
        <w:t>ervices</w:t>
      </w:r>
      <w:r w:rsidRPr="00A537F0">
        <w:t xml:space="preserve">. Wellington: </w:t>
      </w:r>
      <w:r w:rsidRPr="00E42BE0">
        <w:t>Ministry of Heal</w:t>
      </w:r>
      <w:r w:rsidRPr="0043256B">
        <w:t>th</w:t>
      </w:r>
      <w:r w:rsidRPr="00C9607A">
        <w:t xml:space="preserve">. </w:t>
      </w:r>
      <w:r>
        <w:t>URL:</w:t>
      </w:r>
      <w:r w:rsidRPr="00C9607A">
        <w:t xml:space="preserve"> </w:t>
      </w:r>
      <w:hyperlink r:id="rId113" w:history="1">
        <w:r w:rsidR="00F40AC6" w:rsidRPr="00F40AC6">
          <w:rPr>
            <w:rStyle w:val="Hyperlink"/>
          </w:rPr>
          <w:t>www.health.govt.nz/publication/national-strategic-framework-alcohol-and-drug-services</w:t>
        </w:r>
      </w:hyperlink>
      <w:r>
        <w:t xml:space="preserve"> (accessed 28 October 2021).</w:t>
      </w:r>
    </w:p>
    <w:p w14:paraId="02CF24CD" w14:textId="77777777" w:rsidR="009636B7" w:rsidRPr="000329FE" w:rsidRDefault="009636B7" w:rsidP="009636B7">
      <w:pPr>
        <w:pStyle w:val="References"/>
      </w:pPr>
      <w:r w:rsidRPr="000329FE">
        <w:t xml:space="preserve">Ministry of Health. 2001b. </w:t>
      </w:r>
      <w:r w:rsidRPr="000329FE">
        <w:rPr>
          <w:i/>
          <w:iCs/>
        </w:rPr>
        <w:t xml:space="preserve">Services for </w:t>
      </w:r>
      <w:r>
        <w:rPr>
          <w:i/>
          <w:iCs/>
        </w:rPr>
        <w:t>P</w:t>
      </w:r>
      <w:r w:rsidRPr="000329FE">
        <w:rPr>
          <w:i/>
          <w:iCs/>
        </w:rPr>
        <w:t xml:space="preserve">eople with </w:t>
      </w:r>
      <w:r>
        <w:rPr>
          <w:i/>
          <w:iCs/>
        </w:rPr>
        <w:t>M</w:t>
      </w:r>
      <w:r w:rsidRPr="000329FE">
        <w:rPr>
          <w:i/>
          <w:iCs/>
        </w:rPr>
        <w:t xml:space="preserve">ental </w:t>
      </w:r>
      <w:r>
        <w:rPr>
          <w:i/>
          <w:iCs/>
        </w:rPr>
        <w:t>I</w:t>
      </w:r>
      <w:r w:rsidRPr="000329FE">
        <w:rPr>
          <w:i/>
          <w:iCs/>
        </w:rPr>
        <w:t xml:space="preserve">llness in the </w:t>
      </w:r>
      <w:r>
        <w:rPr>
          <w:i/>
          <w:iCs/>
        </w:rPr>
        <w:t>J</w:t>
      </w:r>
      <w:r w:rsidRPr="000329FE">
        <w:rPr>
          <w:i/>
          <w:iCs/>
        </w:rPr>
        <w:t xml:space="preserve">ustice </w:t>
      </w:r>
      <w:r>
        <w:rPr>
          <w:i/>
          <w:iCs/>
        </w:rPr>
        <w:t>S</w:t>
      </w:r>
      <w:r w:rsidRPr="000329FE">
        <w:rPr>
          <w:i/>
          <w:iCs/>
        </w:rPr>
        <w:t>ystem: Framework for forensic mental health services</w:t>
      </w:r>
      <w:r w:rsidRPr="000329FE">
        <w:t xml:space="preserve">. Wellington: </w:t>
      </w:r>
      <w:r>
        <w:t>Ministry of Health</w:t>
      </w:r>
      <w:r w:rsidRPr="000329FE">
        <w:t xml:space="preserve">. </w:t>
      </w:r>
      <w:hyperlink r:id="rId114" w:history="1">
        <w:r w:rsidRPr="00F40AC6">
          <w:t>URL</w:t>
        </w:r>
      </w:hyperlink>
      <w:r w:rsidRPr="00F40AC6">
        <w:t xml:space="preserve">: </w:t>
      </w:r>
      <w:hyperlink r:id="rId115" w:history="1">
        <w:r w:rsidR="00F40AC6" w:rsidRPr="00F40AC6">
          <w:rPr>
            <w:rStyle w:val="Hyperlink"/>
          </w:rPr>
          <w:t>www.moh.govt.nz/notebook/nbbooks.nsf/0/F70EFE7760CB2804CC256A14007FA8E9/$file/Services%20for%20people%20with%20mental%20illness...framework.pdf</w:t>
        </w:r>
      </w:hyperlink>
      <w:r>
        <w:t xml:space="preserve"> (accessed 11 October 2021).</w:t>
      </w:r>
    </w:p>
    <w:p w14:paraId="5FC3850B" w14:textId="77777777" w:rsidR="009636B7" w:rsidRPr="000329FE" w:rsidRDefault="009636B7" w:rsidP="009636B7">
      <w:pPr>
        <w:pStyle w:val="References"/>
      </w:pPr>
      <w:r w:rsidRPr="000329FE">
        <w:t xml:space="preserve">Ministry of Health. 2002. </w:t>
      </w:r>
      <w:r w:rsidRPr="000329FE">
        <w:rPr>
          <w:i/>
          <w:iCs/>
        </w:rPr>
        <w:t>Te Puāwaitanga: Māori mental health national strategic framework</w:t>
      </w:r>
      <w:r w:rsidRPr="000329FE">
        <w:t xml:space="preserve">. Wellington: Ministry of Health. </w:t>
      </w:r>
      <w:r>
        <w:t>URL:</w:t>
      </w:r>
      <w:r w:rsidRPr="000329FE">
        <w:t xml:space="preserve"> </w:t>
      </w:r>
      <w:hyperlink r:id="rId116" w:history="1">
        <w:r w:rsidR="00F40AC6" w:rsidRPr="00F40AC6">
          <w:rPr>
            <w:rStyle w:val="Hyperlink"/>
          </w:rPr>
          <w:t>www.health.govt.nz/publication/te-puawaitanga-maori-mental-health-national-strategic-framework</w:t>
        </w:r>
      </w:hyperlink>
      <w:r>
        <w:t xml:space="preserve"> (accessed 28 October 2021).</w:t>
      </w:r>
    </w:p>
    <w:p w14:paraId="6AD3D628" w14:textId="77777777" w:rsidR="009636B7" w:rsidRPr="000329FE" w:rsidRDefault="009636B7" w:rsidP="009636B7">
      <w:pPr>
        <w:pStyle w:val="References"/>
      </w:pPr>
      <w:r w:rsidRPr="000329FE">
        <w:t xml:space="preserve">Ministry of Health. 2007. </w:t>
      </w:r>
      <w:r w:rsidRPr="000329FE">
        <w:rPr>
          <w:i/>
          <w:iCs/>
        </w:rPr>
        <w:t xml:space="preserve">Census of </w:t>
      </w:r>
      <w:r>
        <w:rPr>
          <w:i/>
          <w:iCs/>
        </w:rPr>
        <w:t>F</w:t>
      </w:r>
      <w:r w:rsidRPr="000329FE">
        <w:rPr>
          <w:i/>
          <w:iCs/>
        </w:rPr>
        <w:t xml:space="preserve">orensic </w:t>
      </w:r>
      <w:r>
        <w:rPr>
          <w:i/>
          <w:iCs/>
        </w:rPr>
        <w:t>M</w:t>
      </w:r>
      <w:r w:rsidRPr="000329FE">
        <w:rPr>
          <w:i/>
          <w:iCs/>
        </w:rPr>
        <w:t xml:space="preserve">ental </w:t>
      </w:r>
      <w:r>
        <w:rPr>
          <w:i/>
          <w:iCs/>
        </w:rPr>
        <w:t>H</w:t>
      </w:r>
      <w:r w:rsidRPr="000329FE">
        <w:rPr>
          <w:i/>
          <w:iCs/>
        </w:rPr>
        <w:t xml:space="preserve">ealth </w:t>
      </w:r>
      <w:r>
        <w:rPr>
          <w:i/>
          <w:iCs/>
        </w:rPr>
        <w:t>S</w:t>
      </w:r>
      <w:r w:rsidRPr="000329FE">
        <w:rPr>
          <w:i/>
          <w:iCs/>
        </w:rPr>
        <w:t>ervices 2005</w:t>
      </w:r>
      <w:r w:rsidRPr="000329FE">
        <w:t xml:space="preserve">. Wellington: Ministry of Health. </w:t>
      </w:r>
      <w:r>
        <w:t xml:space="preserve">URL: </w:t>
      </w:r>
      <w:hyperlink r:id="rId117" w:history="1">
        <w:r w:rsidR="00F40AC6" w:rsidRPr="00F40AC6">
          <w:rPr>
            <w:rStyle w:val="Hyperlink"/>
          </w:rPr>
          <w:t>www.health.govt.nz/publication/census-forensic-mental-health-services-2005</w:t>
        </w:r>
      </w:hyperlink>
      <w:r>
        <w:t xml:space="preserve"> (accessed 11 October 2021).</w:t>
      </w:r>
    </w:p>
    <w:p w14:paraId="5BCBA13C" w14:textId="77777777" w:rsidR="009636B7" w:rsidRPr="000329FE" w:rsidRDefault="009636B7" w:rsidP="009636B7">
      <w:pPr>
        <w:pStyle w:val="References"/>
      </w:pPr>
      <w:r w:rsidRPr="000329FE">
        <w:t xml:space="preserve">Ministry of Health. 2008. </w:t>
      </w:r>
      <w:r w:rsidRPr="000329FE">
        <w:rPr>
          <w:i/>
          <w:iCs/>
        </w:rPr>
        <w:t>Te Puāwaiwhero: The second Māori mental health and addiction national strategic framework 2008-2015</w:t>
      </w:r>
      <w:r w:rsidRPr="000329FE">
        <w:t xml:space="preserve">. Wellington: Ministry of Health. </w:t>
      </w:r>
      <w:hyperlink r:id="rId118" w:history="1">
        <w:r w:rsidRPr="00F40AC6">
          <w:t>URL</w:t>
        </w:r>
      </w:hyperlink>
      <w:r w:rsidRPr="00F40AC6">
        <w:t xml:space="preserve">: </w:t>
      </w:r>
      <w:hyperlink r:id="rId119" w:history="1">
        <w:r w:rsidR="00F40AC6" w:rsidRPr="00F40AC6">
          <w:rPr>
            <w:rStyle w:val="Hyperlink"/>
          </w:rPr>
          <w:t>www.health.govt.nz/publication/te-puawaiwhero-second-maori-mental-health-and-addiction-national-strategic-framework-2008-2015</w:t>
        </w:r>
      </w:hyperlink>
      <w:r>
        <w:t xml:space="preserve"> (accessed 28 October 2021).</w:t>
      </w:r>
    </w:p>
    <w:p w14:paraId="2DF5596F" w14:textId="77777777" w:rsidR="00EE0ADB" w:rsidRDefault="009636B7" w:rsidP="009636B7">
      <w:pPr>
        <w:pStyle w:val="References"/>
      </w:pPr>
      <w:r w:rsidRPr="000329FE">
        <w:t xml:space="preserve">Ministry of Health. 2010a. </w:t>
      </w:r>
      <w:r w:rsidRPr="000329FE">
        <w:rPr>
          <w:i/>
          <w:iCs/>
        </w:rPr>
        <w:t xml:space="preserve">Review of </w:t>
      </w:r>
      <w:r>
        <w:rPr>
          <w:i/>
          <w:iCs/>
        </w:rPr>
        <w:t>F</w:t>
      </w:r>
      <w:r w:rsidRPr="000329FE">
        <w:rPr>
          <w:i/>
          <w:iCs/>
        </w:rPr>
        <w:t xml:space="preserve">orensic </w:t>
      </w:r>
      <w:r>
        <w:rPr>
          <w:i/>
          <w:iCs/>
        </w:rPr>
        <w:t>M</w:t>
      </w:r>
      <w:r w:rsidRPr="000329FE">
        <w:rPr>
          <w:i/>
          <w:iCs/>
        </w:rPr>
        <w:t xml:space="preserve">ental </w:t>
      </w:r>
      <w:r>
        <w:rPr>
          <w:i/>
          <w:iCs/>
        </w:rPr>
        <w:t>H</w:t>
      </w:r>
      <w:r w:rsidRPr="000329FE">
        <w:rPr>
          <w:i/>
          <w:iCs/>
        </w:rPr>
        <w:t xml:space="preserve">ealth </w:t>
      </w:r>
      <w:r>
        <w:rPr>
          <w:i/>
          <w:iCs/>
        </w:rPr>
        <w:t>S</w:t>
      </w:r>
      <w:r w:rsidRPr="000329FE">
        <w:rPr>
          <w:i/>
          <w:iCs/>
        </w:rPr>
        <w:t>ervices: Future directions</w:t>
      </w:r>
      <w:r w:rsidRPr="000329FE">
        <w:t>. Wellington: Ministry of Health.</w:t>
      </w:r>
    </w:p>
    <w:p w14:paraId="3874BA9C" w14:textId="77777777" w:rsidR="009636B7" w:rsidRPr="000329FE" w:rsidRDefault="009636B7" w:rsidP="009636B7">
      <w:pPr>
        <w:pStyle w:val="References"/>
      </w:pPr>
      <w:r w:rsidRPr="000329FE">
        <w:t xml:space="preserve">Ministry of Health. 2010b. </w:t>
      </w:r>
      <w:r w:rsidRPr="000329FE">
        <w:rPr>
          <w:i/>
          <w:iCs/>
        </w:rPr>
        <w:t xml:space="preserve">Service </w:t>
      </w:r>
      <w:r>
        <w:rPr>
          <w:i/>
          <w:iCs/>
        </w:rPr>
        <w:t>D</w:t>
      </w:r>
      <w:r w:rsidRPr="000329FE">
        <w:rPr>
          <w:i/>
          <w:iCs/>
        </w:rPr>
        <w:t xml:space="preserve">elivery for </w:t>
      </w:r>
      <w:r>
        <w:rPr>
          <w:i/>
          <w:iCs/>
        </w:rPr>
        <w:t>P</w:t>
      </w:r>
      <w:r w:rsidRPr="000329FE">
        <w:rPr>
          <w:i/>
          <w:iCs/>
        </w:rPr>
        <w:t xml:space="preserve">eople with </w:t>
      </w:r>
      <w:r>
        <w:rPr>
          <w:i/>
          <w:iCs/>
        </w:rPr>
        <w:t>C</w:t>
      </w:r>
      <w:r w:rsidRPr="000329FE">
        <w:rPr>
          <w:i/>
          <w:iCs/>
        </w:rPr>
        <w:t xml:space="preserve">o-existing </w:t>
      </w:r>
      <w:r>
        <w:rPr>
          <w:i/>
          <w:iCs/>
        </w:rPr>
        <w:t>M</w:t>
      </w:r>
      <w:r w:rsidRPr="000329FE">
        <w:rPr>
          <w:i/>
          <w:iCs/>
        </w:rPr>
        <w:t xml:space="preserve">ental </w:t>
      </w:r>
      <w:r>
        <w:rPr>
          <w:i/>
          <w:iCs/>
        </w:rPr>
        <w:t>H</w:t>
      </w:r>
      <w:r w:rsidRPr="000329FE">
        <w:rPr>
          <w:i/>
          <w:iCs/>
        </w:rPr>
        <w:t xml:space="preserve">ealth and </w:t>
      </w:r>
      <w:r>
        <w:rPr>
          <w:i/>
          <w:iCs/>
        </w:rPr>
        <w:t>A</w:t>
      </w:r>
      <w:r w:rsidRPr="000329FE">
        <w:rPr>
          <w:i/>
          <w:iCs/>
        </w:rPr>
        <w:t xml:space="preserve">ddiction </w:t>
      </w:r>
      <w:r>
        <w:rPr>
          <w:i/>
          <w:iCs/>
        </w:rPr>
        <w:t>P</w:t>
      </w:r>
      <w:r w:rsidRPr="000329FE">
        <w:rPr>
          <w:i/>
          <w:iCs/>
        </w:rPr>
        <w:t>roblems: Integrated solutions</w:t>
      </w:r>
      <w:r w:rsidRPr="000329FE">
        <w:t xml:space="preserve">. Wellington: </w:t>
      </w:r>
      <w:r>
        <w:t>Ministry of Health</w:t>
      </w:r>
      <w:r w:rsidRPr="000329FE">
        <w:t xml:space="preserve">. </w:t>
      </w:r>
      <w:r>
        <w:t>URL:</w:t>
      </w:r>
      <w:r w:rsidRPr="000329FE">
        <w:t xml:space="preserve"> </w:t>
      </w:r>
      <w:hyperlink r:id="rId120" w:history="1">
        <w:r w:rsidR="00F40AC6" w:rsidRPr="00F40AC6">
          <w:rPr>
            <w:rStyle w:val="Hyperlink"/>
          </w:rPr>
          <w:t>www.health.govt.nz/publication/service-delivery-people-co-existing-mental-health-and-addiction-problems-integrated-solutions-2010</w:t>
        </w:r>
      </w:hyperlink>
      <w:r>
        <w:t xml:space="preserve"> (accessed 28 October 2021.</w:t>
      </w:r>
    </w:p>
    <w:p w14:paraId="7127D0DB" w14:textId="77777777" w:rsidR="009636B7" w:rsidRPr="000329FE" w:rsidRDefault="009636B7" w:rsidP="00A0717A">
      <w:pPr>
        <w:pStyle w:val="References"/>
        <w:keepNext/>
        <w:keepLines/>
      </w:pPr>
      <w:r w:rsidRPr="000329FE">
        <w:t xml:space="preserve">Ministry of Health. 2012a. </w:t>
      </w:r>
      <w:r w:rsidRPr="000329FE">
        <w:rPr>
          <w:i/>
          <w:iCs/>
        </w:rPr>
        <w:t xml:space="preserve">Guidelines for the </w:t>
      </w:r>
      <w:r>
        <w:rPr>
          <w:i/>
          <w:iCs/>
        </w:rPr>
        <w:t>S</w:t>
      </w:r>
      <w:r w:rsidRPr="000329FE">
        <w:rPr>
          <w:i/>
          <w:iCs/>
        </w:rPr>
        <w:t xml:space="preserve">afe </w:t>
      </w:r>
      <w:r>
        <w:rPr>
          <w:i/>
          <w:iCs/>
        </w:rPr>
        <w:t>T</w:t>
      </w:r>
      <w:r w:rsidRPr="000329FE">
        <w:rPr>
          <w:i/>
          <w:iCs/>
        </w:rPr>
        <w:t xml:space="preserve">ransport of </w:t>
      </w:r>
      <w:r>
        <w:rPr>
          <w:i/>
          <w:iCs/>
        </w:rPr>
        <w:t>S</w:t>
      </w:r>
      <w:r w:rsidRPr="000329FE">
        <w:rPr>
          <w:i/>
          <w:iCs/>
        </w:rPr>
        <w:t xml:space="preserve">pecial </w:t>
      </w:r>
      <w:r>
        <w:rPr>
          <w:i/>
          <w:iCs/>
        </w:rPr>
        <w:t>P</w:t>
      </w:r>
      <w:r w:rsidRPr="000329FE">
        <w:rPr>
          <w:i/>
          <w:iCs/>
        </w:rPr>
        <w:t xml:space="preserve">atients and </w:t>
      </w:r>
      <w:r>
        <w:rPr>
          <w:i/>
          <w:iCs/>
        </w:rPr>
        <w:t>S</w:t>
      </w:r>
      <w:r w:rsidRPr="000329FE">
        <w:rPr>
          <w:i/>
          <w:iCs/>
        </w:rPr>
        <w:t xml:space="preserve">pecial </w:t>
      </w:r>
      <w:r>
        <w:rPr>
          <w:i/>
          <w:iCs/>
        </w:rPr>
        <w:t>C</w:t>
      </w:r>
      <w:r w:rsidRPr="000329FE">
        <w:rPr>
          <w:i/>
          <w:iCs/>
        </w:rPr>
        <w:t xml:space="preserve">are </w:t>
      </w:r>
      <w:r>
        <w:rPr>
          <w:i/>
          <w:iCs/>
        </w:rPr>
        <w:t>R</w:t>
      </w:r>
      <w:r w:rsidRPr="000329FE">
        <w:rPr>
          <w:i/>
          <w:iCs/>
        </w:rPr>
        <w:t xml:space="preserve">ecipients in the </w:t>
      </w:r>
      <w:r>
        <w:rPr>
          <w:i/>
          <w:iCs/>
        </w:rPr>
        <w:t>C</w:t>
      </w:r>
      <w:r w:rsidRPr="000329FE">
        <w:rPr>
          <w:i/>
          <w:iCs/>
        </w:rPr>
        <w:t xml:space="preserve">are of </w:t>
      </w:r>
      <w:r>
        <w:rPr>
          <w:i/>
          <w:iCs/>
        </w:rPr>
        <w:t>R</w:t>
      </w:r>
      <w:r w:rsidRPr="000329FE">
        <w:rPr>
          <w:i/>
          <w:iCs/>
        </w:rPr>
        <w:t xml:space="preserve">egional </w:t>
      </w:r>
      <w:r>
        <w:rPr>
          <w:i/>
          <w:iCs/>
        </w:rPr>
        <w:t>F</w:t>
      </w:r>
      <w:r w:rsidRPr="000329FE">
        <w:rPr>
          <w:i/>
          <w:iCs/>
        </w:rPr>
        <w:t xml:space="preserve">orensic </w:t>
      </w:r>
      <w:r>
        <w:rPr>
          <w:i/>
          <w:iCs/>
        </w:rPr>
        <w:t>M</w:t>
      </w:r>
      <w:r w:rsidRPr="000329FE">
        <w:rPr>
          <w:i/>
          <w:iCs/>
        </w:rPr>
        <w:t xml:space="preserve">ental </w:t>
      </w:r>
      <w:r>
        <w:rPr>
          <w:i/>
          <w:iCs/>
        </w:rPr>
        <w:t>H</w:t>
      </w:r>
      <w:r w:rsidRPr="000329FE">
        <w:rPr>
          <w:i/>
          <w:iCs/>
        </w:rPr>
        <w:t xml:space="preserve">ealth </w:t>
      </w:r>
      <w:r>
        <w:rPr>
          <w:i/>
          <w:iCs/>
        </w:rPr>
        <w:t>S</w:t>
      </w:r>
      <w:r w:rsidRPr="000329FE">
        <w:rPr>
          <w:i/>
          <w:iCs/>
        </w:rPr>
        <w:t>ervices</w:t>
      </w:r>
      <w:r w:rsidRPr="000329FE">
        <w:t xml:space="preserve">. Wellington: </w:t>
      </w:r>
      <w:r>
        <w:t>Ministry of Health</w:t>
      </w:r>
      <w:r w:rsidRPr="000329FE">
        <w:t xml:space="preserve">. </w:t>
      </w:r>
      <w:r>
        <w:t>URL:</w:t>
      </w:r>
      <w:r w:rsidRPr="000329FE">
        <w:t xml:space="preserve"> </w:t>
      </w:r>
      <w:hyperlink r:id="rId121" w:history="1">
        <w:r w:rsidR="00F40AC6" w:rsidRPr="00F40AC6">
          <w:rPr>
            <w:rStyle w:val="Hyperlink"/>
          </w:rPr>
          <w:t>www.health.govt.nz/publication/guidelines-safe-transport-special-patients-and-special-care-recipients-care-regional-forensic-mental</w:t>
        </w:r>
      </w:hyperlink>
      <w:r>
        <w:t xml:space="preserve"> (accessed 22 October 2021).</w:t>
      </w:r>
    </w:p>
    <w:p w14:paraId="1F8447C3" w14:textId="77777777" w:rsidR="009636B7" w:rsidRPr="000329FE" w:rsidRDefault="009636B7" w:rsidP="009636B7">
      <w:pPr>
        <w:pStyle w:val="References"/>
      </w:pPr>
      <w:r w:rsidRPr="000329FE">
        <w:t xml:space="preserve">Ministry of Health. 2012b. </w:t>
      </w:r>
      <w:r w:rsidRPr="000329FE">
        <w:rPr>
          <w:i/>
          <w:iCs/>
        </w:rPr>
        <w:t>Guidelines to the Mental Health (Compulsory Assessment and Treatment) Act 1992</w:t>
      </w:r>
      <w:r w:rsidRPr="000329FE">
        <w:t xml:space="preserve">. Wellington: </w:t>
      </w:r>
      <w:r>
        <w:t>Ministry of Health</w:t>
      </w:r>
      <w:r w:rsidRPr="000329FE">
        <w:t xml:space="preserve">. </w:t>
      </w:r>
      <w:r>
        <w:t>URL:</w:t>
      </w:r>
      <w:r w:rsidRPr="000329FE">
        <w:t xml:space="preserve"> </w:t>
      </w:r>
      <w:hyperlink r:id="rId122" w:history="1">
        <w:r w:rsidR="00F40AC6" w:rsidRPr="00F40AC6">
          <w:rPr>
            <w:rStyle w:val="Hyperlink"/>
          </w:rPr>
          <w:t>www.health.govt.nz/publication/guidelines-mental-health-compulsory-assessment-and-treatment-act-1992</w:t>
        </w:r>
      </w:hyperlink>
      <w:r>
        <w:t xml:space="preserve"> (accessed 28 October 2021).</w:t>
      </w:r>
    </w:p>
    <w:p w14:paraId="30C1D464" w14:textId="77777777" w:rsidR="009636B7" w:rsidRPr="000329FE" w:rsidRDefault="009636B7" w:rsidP="009636B7">
      <w:pPr>
        <w:pStyle w:val="References"/>
      </w:pPr>
      <w:r w:rsidRPr="000329FE">
        <w:t xml:space="preserve">Ministry of Health. 2016. </w:t>
      </w:r>
      <w:r w:rsidRPr="000329FE">
        <w:rPr>
          <w:i/>
          <w:iCs/>
        </w:rPr>
        <w:t>Commissioning</w:t>
      </w:r>
      <w:r w:rsidR="00F40AC6">
        <w:rPr>
          <w:i/>
          <w:iCs/>
        </w:rPr>
        <w:t xml:space="preserve"> F</w:t>
      </w:r>
      <w:r w:rsidRPr="000329FE">
        <w:rPr>
          <w:i/>
          <w:iCs/>
        </w:rPr>
        <w:t xml:space="preserve">ramework for </w:t>
      </w:r>
      <w:r w:rsidR="00F40AC6">
        <w:rPr>
          <w:i/>
          <w:iCs/>
        </w:rPr>
        <w:t>M</w:t>
      </w:r>
      <w:r w:rsidRPr="000329FE">
        <w:rPr>
          <w:i/>
          <w:iCs/>
        </w:rPr>
        <w:t xml:space="preserve">ental </w:t>
      </w:r>
      <w:r w:rsidR="00F40AC6">
        <w:rPr>
          <w:i/>
          <w:iCs/>
        </w:rPr>
        <w:t>H</w:t>
      </w:r>
      <w:r w:rsidRPr="000329FE">
        <w:rPr>
          <w:i/>
          <w:iCs/>
        </w:rPr>
        <w:t xml:space="preserve">ealth and </w:t>
      </w:r>
      <w:r w:rsidR="00F40AC6">
        <w:rPr>
          <w:i/>
          <w:iCs/>
        </w:rPr>
        <w:t>A</w:t>
      </w:r>
      <w:r w:rsidRPr="000329FE">
        <w:rPr>
          <w:i/>
          <w:iCs/>
        </w:rPr>
        <w:t>ddiction: A</w:t>
      </w:r>
      <w:r w:rsidR="00F40AC6">
        <w:rPr>
          <w:i/>
          <w:iCs/>
        </w:rPr>
        <w:t> </w:t>
      </w:r>
      <w:r w:rsidRPr="000329FE">
        <w:rPr>
          <w:i/>
          <w:iCs/>
        </w:rPr>
        <w:t>New Zealand guide</w:t>
      </w:r>
      <w:r w:rsidRPr="000329FE">
        <w:t xml:space="preserve">. Wellington: </w:t>
      </w:r>
      <w:r>
        <w:t>Ministry of Health</w:t>
      </w:r>
      <w:r w:rsidRPr="000329FE">
        <w:t xml:space="preserve">. </w:t>
      </w:r>
      <w:r>
        <w:t>URL:</w:t>
      </w:r>
      <w:r w:rsidRPr="000329FE">
        <w:t xml:space="preserve"> </w:t>
      </w:r>
      <w:hyperlink r:id="rId123" w:history="1">
        <w:r w:rsidR="00F40AC6" w:rsidRPr="00F40AC6">
          <w:rPr>
            <w:rStyle w:val="Hyperlink"/>
          </w:rPr>
          <w:t>www.health.govt.nz/publication/commissioning-framework-mental-health-and-addiction-new-zealand-guide</w:t>
        </w:r>
      </w:hyperlink>
      <w:r>
        <w:t xml:space="preserve"> (accessed 28 October 2021).</w:t>
      </w:r>
    </w:p>
    <w:p w14:paraId="16FDBDEC" w14:textId="77777777" w:rsidR="009636B7" w:rsidRDefault="009636B7" w:rsidP="009636B7">
      <w:pPr>
        <w:pStyle w:val="References"/>
      </w:pPr>
      <w:r w:rsidRPr="000329FE">
        <w:t xml:space="preserve">Ministry of Health. 2017. </w:t>
      </w:r>
      <w:r w:rsidRPr="000329FE">
        <w:rPr>
          <w:i/>
          <w:iCs/>
        </w:rPr>
        <w:t xml:space="preserve">Special </w:t>
      </w:r>
      <w:r>
        <w:rPr>
          <w:i/>
          <w:iCs/>
        </w:rPr>
        <w:t>P</w:t>
      </w:r>
      <w:r w:rsidRPr="000329FE">
        <w:rPr>
          <w:i/>
          <w:iCs/>
        </w:rPr>
        <w:t xml:space="preserve">atients and </w:t>
      </w:r>
      <w:r>
        <w:rPr>
          <w:i/>
          <w:iCs/>
        </w:rPr>
        <w:t>R</w:t>
      </w:r>
      <w:r w:rsidRPr="000329FE">
        <w:rPr>
          <w:i/>
          <w:iCs/>
        </w:rPr>
        <w:t xml:space="preserve">estricted </w:t>
      </w:r>
      <w:r>
        <w:rPr>
          <w:i/>
          <w:iCs/>
        </w:rPr>
        <w:t>P</w:t>
      </w:r>
      <w:r w:rsidRPr="000329FE">
        <w:rPr>
          <w:i/>
          <w:iCs/>
        </w:rPr>
        <w:t xml:space="preserve">atients: Guidelines for </w:t>
      </w:r>
      <w:r>
        <w:rPr>
          <w:i/>
          <w:iCs/>
        </w:rPr>
        <w:t>R</w:t>
      </w:r>
      <w:r w:rsidRPr="000329FE">
        <w:rPr>
          <w:i/>
          <w:iCs/>
        </w:rPr>
        <w:t xml:space="preserve">egional </w:t>
      </w:r>
      <w:r>
        <w:rPr>
          <w:i/>
          <w:iCs/>
        </w:rPr>
        <w:t>F</w:t>
      </w:r>
      <w:r w:rsidRPr="000329FE">
        <w:rPr>
          <w:i/>
          <w:iCs/>
        </w:rPr>
        <w:t xml:space="preserve">orensic </w:t>
      </w:r>
      <w:r>
        <w:rPr>
          <w:i/>
          <w:iCs/>
        </w:rPr>
        <w:t>M</w:t>
      </w:r>
      <w:r w:rsidRPr="000329FE">
        <w:rPr>
          <w:i/>
          <w:iCs/>
        </w:rPr>
        <w:t xml:space="preserve">ental </w:t>
      </w:r>
      <w:r>
        <w:rPr>
          <w:i/>
          <w:iCs/>
        </w:rPr>
        <w:t>H</w:t>
      </w:r>
      <w:r w:rsidRPr="000329FE">
        <w:rPr>
          <w:i/>
          <w:iCs/>
        </w:rPr>
        <w:t xml:space="preserve">ealth </w:t>
      </w:r>
      <w:r>
        <w:rPr>
          <w:i/>
          <w:iCs/>
        </w:rPr>
        <w:t>S</w:t>
      </w:r>
      <w:r w:rsidRPr="000329FE">
        <w:rPr>
          <w:i/>
          <w:iCs/>
        </w:rPr>
        <w:t xml:space="preserve">ervices. </w:t>
      </w:r>
      <w:r w:rsidRPr="000329FE">
        <w:t xml:space="preserve">Wellington: Ministry of Health. </w:t>
      </w:r>
      <w:r>
        <w:t xml:space="preserve">URL: </w:t>
      </w:r>
      <w:hyperlink r:id="rId124" w:history="1">
        <w:r w:rsidR="00F40AC6" w:rsidRPr="00F40AC6">
          <w:rPr>
            <w:rStyle w:val="Hyperlink"/>
          </w:rPr>
          <w:t>www.health.govt.nz/publication/special-patients-and-restricted-patients-guidelines-regional-forensic-mental-health-services</w:t>
        </w:r>
      </w:hyperlink>
      <w:r>
        <w:t xml:space="preserve"> (accessed 11 October 2021).</w:t>
      </w:r>
    </w:p>
    <w:p w14:paraId="1F6BC60D" w14:textId="77777777" w:rsidR="009636B7" w:rsidRPr="000329FE" w:rsidRDefault="009636B7" w:rsidP="009636B7">
      <w:pPr>
        <w:pStyle w:val="References"/>
      </w:pPr>
      <w:r w:rsidRPr="000329FE">
        <w:t xml:space="preserve">Ministry of Health. 2018a. </w:t>
      </w:r>
      <w:r w:rsidRPr="00561492">
        <w:rPr>
          <w:i/>
          <w:iCs/>
        </w:rPr>
        <w:t>Achieving Equity in Health Outcomes: Highlights of important national and international papers</w:t>
      </w:r>
      <w:r w:rsidRPr="000329FE">
        <w:t xml:space="preserve">. Wellington: </w:t>
      </w:r>
      <w:r>
        <w:t>Ministry of Health</w:t>
      </w:r>
      <w:r w:rsidRPr="000329FE">
        <w:t>.</w:t>
      </w:r>
      <w:r>
        <w:t xml:space="preserve"> URL: </w:t>
      </w:r>
      <w:hyperlink r:id="rId125" w:history="1">
        <w:r w:rsidR="00F40AC6" w:rsidRPr="00F40AC6">
          <w:rPr>
            <w:rStyle w:val="Hyperlink"/>
          </w:rPr>
          <w:t>https://www.health.govt.nz/publication/achieving-equity-health-outcomes-highlights-selected-papers</w:t>
        </w:r>
      </w:hyperlink>
      <w:r w:rsidRPr="001A2686">
        <w:t xml:space="preserve"> </w:t>
      </w:r>
      <w:r>
        <w:t>(accessed 11 October 2021).</w:t>
      </w:r>
    </w:p>
    <w:p w14:paraId="0499A6DC" w14:textId="77777777" w:rsidR="009636B7" w:rsidRPr="000329FE" w:rsidRDefault="009636B7" w:rsidP="009636B7">
      <w:pPr>
        <w:pStyle w:val="References"/>
      </w:pPr>
      <w:r w:rsidRPr="000329FE">
        <w:t xml:space="preserve">Ministry of Health. 2018b. </w:t>
      </w:r>
      <w:r w:rsidRPr="000329FE">
        <w:rPr>
          <w:i/>
          <w:iCs/>
        </w:rPr>
        <w:t xml:space="preserve">Night </w:t>
      </w:r>
      <w:r>
        <w:rPr>
          <w:i/>
          <w:iCs/>
        </w:rPr>
        <w:t>S</w:t>
      </w:r>
      <w:r w:rsidRPr="000329FE">
        <w:rPr>
          <w:i/>
          <w:iCs/>
        </w:rPr>
        <w:t xml:space="preserve">afety </w:t>
      </w:r>
      <w:r>
        <w:rPr>
          <w:i/>
          <w:iCs/>
        </w:rPr>
        <w:t>P</w:t>
      </w:r>
      <w:r w:rsidRPr="000329FE">
        <w:rPr>
          <w:i/>
          <w:iCs/>
        </w:rPr>
        <w:t>rocedures: Transitional guideline</w:t>
      </w:r>
      <w:r w:rsidRPr="000329FE">
        <w:t xml:space="preserve">. Wellington: </w:t>
      </w:r>
      <w:r>
        <w:t>Ministry of Health</w:t>
      </w:r>
      <w:r w:rsidRPr="000329FE">
        <w:t xml:space="preserve">. </w:t>
      </w:r>
      <w:r>
        <w:t>URL:</w:t>
      </w:r>
      <w:r w:rsidRPr="000329FE">
        <w:t xml:space="preserve"> </w:t>
      </w:r>
      <w:hyperlink r:id="rId126" w:history="1">
        <w:r w:rsidR="00F40AC6" w:rsidRPr="00F40AC6">
          <w:rPr>
            <w:rStyle w:val="Hyperlink"/>
          </w:rPr>
          <w:t>www.health.govt.nz/publication/night-safety-procedures-transitional-guideline</w:t>
        </w:r>
      </w:hyperlink>
      <w:r>
        <w:t xml:space="preserve"> (accessed 28 October 2021).</w:t>
      </w:r>
    </w:p>
    <w:p w14:paraId="15A2FA00" w14:textId="77777777" w:rsidR="009636B7" w:rsidRPr="00075571" w:rsidRDefault="009636B7" w:rsidP="009636B7">
      <w:pPr>
        <w:pStyle w:val="References"/>
      </w:pPr>
      <w:r w:rsidRPr="00075571">
        <w:t>Ministry of Health.</w:t>
      </w:r>
      <w:r>
        <w:t xml:space="preserve"> </w:t>
      </w:r>
      <w:r w:rsidRPr="00075571">
        <w:t xml:space="preserve">2019a. </w:t>
      </w:r>
      <w:r w:rsidRPr="00075571">
        <w:rPr>
          <w:i/>
          <w:iCs/>
        </w:rPr>
        <w:t>Office of the Director of Mental Health and Addiction Services: Annual Report 2017</w:t>
      </w:r>
      <w:r w:rsidRPr="00075571">
        <w:t>. Wellington: Ministry of Health.</w:t>
      </w:r>
      <w:r>
        <w:t xml:space="preserve"> URL: </w:t>
      </w:r>
      <w:hyperlink r:id="rId127" w:history="1">
        <w:r w:rsidR="00F40AC6" w:rsidRPr="00F40AC6">
          <w:rPr>
            <w:rStyle w:val="Hyperlink"/>
          </w:rPr>
          <w:t>www.health.govt.nz/publication/office-director-mental-health-and-addiction-services-annual-report-2017</w:t>
        </w:r>
      </w:hyperlink>
      <w:r>
        <w:t xml:space="preserve"> (accessed 28 October 2021).</w:t>
      </w:r>
    </w:p>
    <w:p w14:paraId="285D8EB2" w14:textId="77777777" w:rsidR="009636B7" w:rsidRDefault="009636B7" w:rsidP="009636B7">
      <w:pPr>
        <w:pStyle w:val="References"/>
      </w:pPr>
      <w:r w:rsidRPr="001A28C6">
        <w:t>Ministry of Health. 2019</w:t>
      </w:r>
      <w:r w:rsidRPr="009E213B">
        <w:t xml:space="preserve">b. </w:t>
      </w:r>
      <w:r w:rsidRPr="00E42BE0">
        <w:rPr>
          <w:i/>
          <w:iCs/>
        </w:rPr>
        <w:t xml:space="preserve">Practice </w:t>
      </w:r>
      <w:r>
        <w:rPr>
          <w:i/>
          <w:iCs/>
        </w:rPr>
        <w:t>G</w:t>
      </w:r>
      <w:r w:rsidRPr="00E42BE0">
        <w:rPr>
          <w:i/>
          <w:iCs/>
        </w:rPr>
        <w:t xml:space="preserve">uidelines for </w:t>
      </w:r>
      <w:r>
        <w:rPr>
          <w:i/>
          <w:iCs/>
        </w:rPr>
        <w:t>F</w:t>
      </w:r>
      <w:r w:rsidRPr="00E42BE0">
        <w:rPr>
          <w:i/>
          <w:iCs/>
        </w:rPr>
        <w:t xml:space="preserve">orensic </w:t>
      </w:r>
      <w:r>
        <w:rPr>
          <w:i/>
          <w:iCs/>
        </w:rPr>
        <w:t>M</w:t>
      </w:r>
      <w:r w:rsidRPr="00E42BE0">
        <w:rPr>
          <w:i/>
          <w:iCs/>
        </w:rPr>
        <w:t xml:space="preserve">ental </w:t>
      </w:r>
      <w:r>
        <w:rPr>
          <w:i/>
          <w:iCs/>
        </w:rPr>
        <w:t>H</w:t>
      </w:r>
      <w:r w:rsidRPr="00E42BE0">
        <w:rPr>
          <w:i/>
          <w:iCs/>
        </w:rPr>
        <w:t xml:space="preserve">ealth </w:t>
      </w:r>
      <w:r>
        <w:rPr>
          <w:i/>
          <w:iCs/>
        </w:rPr>
        <w:t>C</w:t>
      </w:r>
      <w:r w:rsidRPr="00E42BE0">
        <w:rPr>
          <w:i/>
          <w:iCs/>
        </w:rPr>
        <w:t xml:space="preserve">ourt </w:t>
      </w:r>
      <w:r>
        <w:rPr>
          <w:i/>
          <w:iCs/>
        </w:rPr>
        <w:t>L</w:t>
      </w:r>
      <w:r w:rsidRPr="00E42BE0">
        <w:rPr>
          <w:i/>
          <w:iCs/>
        </w:rPr>
        <w:t xml:space="preserve">iaison </w:t>
      </w:r>
      <w:r>
        <w:rPr>
          <w:i/>
          <w:iCs/>
        </w:rPr>
        <w:t>N</w:t>
      </w:r>
      <w:r w:rsidRPr="00E42BE0">
        <w:rPr>
          <w:i/>
          <w:iCs/>
        </w:rPr>
        <w:t>urses in New Zealand</w:t>
      </w:r>
      <w:r w:rsidRPr="00561492">
        <w:t>.</w:t>
      </w:r>
      <w:r w:rsidRPr="00E42BE0">
        <w:rPr>
          <w:i/>
          <w:iCs/>
        </w:rPr>
        <w:t xml:space="preserve"> </w:t>
      </w:r>
      <w:r w:rsidRPr="00DD29A3">
        <w:t xml:space="preserve">Wellington: </w:t>
      </w:r>
      <w:r w:rsidRPr="001A28C6">
        <w:t>Ministry of Health</w:t>
      </w:r>
      <w:r w:rsidRPr="00482A5B">
        <w:t>.</w:t>
      </w:r>
    </w:p>
    <w:p w14:paraId="2837FB16" w14:textId="77777777" w:rsidR="009636B7" w:rsidRPr="00A537F0" w:rsidRDefault="009636B7" w:rsidP="009636B7">
      <w:pPr>
        <w:pStyle w:val="References"/>
      </w:pPr>
      <w:r>
        <w:t>Ministry of Health. 2021.</w:t>
      </w:r>
      <w:r w:rsidRPr="004A1C84">
        <w:t xml:space="preserve"> </w:t>
      </w:r>
      <w:r w:rsidRPr="002050F6">
        <w:rPr>
          <w:i/>
          <w:iCs/>
        </w:rPr>
        <w:t xml:space="preserve">Our </w:t>
      </w:r>
      <w:r>
        <w:rPr>
          <w:i/>
          <w:iCs/>
        </w:rPr>
        <w:t>H</w:t>
      </w:r>
      <w:r w:rsidRPr="002050F6">
        <w:rPr>
          <w:i/>
          <w:iCs/>
        </w:rPr>
        <w:t xml:space="preserve">ealth and </w:t>
      </w:r>
      <w:r>
        <w:rPr>
          <w:i/>
          <w:iCs/>
        </w:rPr>
        <w:t>D</w:t>
      </w:r>
      <w:r w:rsidRPr="002050F6">
        <w:rPr>
          <w:i/>
          <w:iCs/>
        </w:rPr>
        <w:t xml:space="preserve">isability </w:t>
      </w:r>
      <w:r>
        <w:rPr>
          <w:i/>
          <w:iCs/>
        </w:rPr>
        <w:t>S</w:t>
      </w:r>
      <w:r w:rsidRPr="002050F6">
        <w:rPr>
          <w:i/>
          <w:iCs/>
        </w:rPr>
        <w:t>ystem: Building a stronger health and disability system that delivers for all New Zealanders.</w:t>
      </w:r>
      <w:r>
        <w:t xml:space="preserve"> Wellington: Ministry of Health. URL: </w:t>
      </w:r>
      <w:hyperlink r:id="rId128" w:history="1">
        <w:r w:rsidR="00F40AC6" w:rsidRPr="00F40AC6">
          <w:rPr>
            <w:rStyle w:val="Hyperlink"/>
          </w:rPr>
          <w:t>https://dpmc.govt.nz/sites/default/files/2021-04/heallth-reform-white-paper-summary-apr21.pdf</w:t>
        </w:r>
      </w:hyperlink>
      <w:r>
        <w:t xml:space="preserve"> (accessed 3 November 2021).</w:t>
      </w:r>
    </w:p>
    <w:p w14:paraId="06A84C38" w14:textId="77777777" w:rsidR="009636B7" w:rsidRPr="000329FE" w:rsidRDefault="009636B7" w:rsidP="009636B7">
      <w:pPr>
        <w:pStyle w:val="References"/>
      </w:pPr>
      <w:r w:rsidRPr="00FB779C">
        <w:t xml:space="preserve">Ministry of Justice. 2017. </w:t>
      </w:r>
      <w:r w:rsidRPr="00C9607A">
        <w:rPr>
          <w:i/>
          <w:iCs/>
        </w:rPr>
        <w:t xml:space="preserve">Culture-based </w:t>
      </w:r>
      <w:r>
        <w:rPr>
          <w:i/>
          <w:iCs/>
        </w:rPr>
        <w:t>C</w:t>
      </w:r>
      <w:r w:rsidRPr="00C9607A">
        <w:rPr>
          <w:i/>
          <w:iCs/>
        </w:rPr>
        <w:t xml:space="preserve">orrectional </w:t>
      </w:r>
      <w:r>
        <w:rPr>
          <w:i/>
          <w:iCs/>
        </w:rPr>
        <w:t>R</w:t>
      </w:r>
      <w:r w:rsidRPr="00C9607A">
        <w:rPr>
          <w:i/>
          <w:iCs/>
        </w:rPr>
        <w:t xml:space="preserve">ehabilitative </w:t>
      </w:r>
      <w:r>
        <w:rPr>
          <w:i/>
          <w:iCs/>
        </w:rPr>
        <w:t>I</w:t>
      </w:r>
      <w:r w:rsidRPr="00C9607A">
        <w:rPr>
          <w:i/>
          <w:iCs/>
        </w:rPr>
        <w:t xml:space="preserve">nterventions for </w:t>
      </w:r>
      <w:r>
        <w:rPr>
          <w:i/>
          <w:iCs/>
        </w:rPr>
        <w:t>I</w:t>
      </w:r>
      <w:r w:rsidRPr="00C9607A">
        <w:rPr>
          <w:i/>
          <w:iCs/>
        </w:rPr>
        <w:t xml:space="preserve">ndigenous </w:t>
      </w:r>
      <w:r>
        <w:rPr>
          <w:i/>
          <w:iCs/>
        </w:rPr>
        <w:t>O</w:t>
      </w:r>
      <w:r w:rsidRPr="00C9607A">
        <w:rPr>
          <w:i/>
          <w:iCs/>
        </w:rPr>
        <w:t>ffenders: Evidence brief</w:t>
      </w:r>
      <w:r w:rsidRPr="000329FE">
        <w:t xml:space="preserve">. Wellington: </w:t>
      </w:r>
      <w:r>
        <w:t>Ministry of Justice</w:t>
      </w:r>
      <w:r w:rsidRPr="000329FE">
        <w:t xml:space="preserve">. </w:t>
      </w:r>
      <w:r>
        <w:t>URL:</w:t>
      </w:r>
      <w:r w:rsidRPr="000329FE">
        <w:t xml:space="preserve"> </w:t>
      </w:r>
      <w:hyperlink r:id="rId129" w:history="1">
        <w:r w:rsidR="00F40AC6" w:rsidRPr="00F40AC6">
          <w:rPr>
            <w:rStyle w:val="Hyperlink"/>
          </w:rPr>
          <w:t>www.justice.govt.nz/assets/Documents/Publications/Culture-based-Interventions.pdf</w:t>
        </w:r>
      </w:hyperlink>
      <w:r>
        <w:t xml:space="preserve"> (accessed 28 October 2021).</w:t>
      </w:r>
    </w:p>
    <w:p w14:paraId="0180AFED" w14:textId="77777777" w:rsidR="00A0717A" w:rsidRPr="000329FE" w:rsidRDefault="009636B7" w:rsidP="009636B7">
      <w:pPr>
        <w:pStyle w:val="References"/>
        <w:rPr>
          <w:shd w:val="clear" w:color="auto" w:fill="FFFFFF"/>
        </w:rPr>
      </w:pPr>
      <w:r w:rsidRPr="000329FE">
        <w:rPr>
          <w:shd w:val="clear" w:color="auto" w:fill="FFFFFF"/>
        </w:rPr>
        <w:t xml:space="preserve">Mitchell CR. 2015. </w:t>
      </w:r>
      <w:r w:rsidRPr="000329FE">
        <w:rPr>
          <w:i/>
          <w:iCs/>
          <w:shd w:val="clear" w:color="auto" w:fill="FFFFFF"/>
        </w:rPr>
        <w:t xml:space="preserve">Community </w:t>
      </w:r>
      <w:r>
        <w:rPr>
          <w:i/>
          <w:iCs/>
          <w:shd w:val="clear" w:color="auto" w:fill="FFFFFF"/>
        </w:rPr>
        <w:t>F</w:t>
      </w:r>
      <w:r w:rsidRPr="000329FE">
        <w:rPr>
          <w:i/>
          <w:iCs/>
          <w:shd w:val="clear" w:color="auto" w:fill="FFFFFF"/>
        </w:rPr>
        <w:t xml:space="preserve">orensic </w:t>
      </w:r>
      <w:r>
        <w:rPr>
          <w:i/>
          <w:iCs/>
          <w:shd w:val="clear" w:color="auto" w:fill="FFFFFF"/>
        </w:rPr>
        <w:t>M</w:t>
      </w:r>
      <w:r w:rsidRPr="000329FE">
        <w:rPr>
          <w:i/>
          <w:iCs/>
          <w:shd w:val="clear" w:color="auto" w:fill="FFFFFF"/>
        </w:rPr>
        <w:t xml:space="preserve">ental </w:t>
      </w:r>
      <w:r>
        <w:rPr>
          <w:i/>
          <w:iCs/>
          <w:shd w:val="clear" w:color="auto" w:fill="FFFFFF"/>
        </w:rPr>
        <w:t>H</w:t>
      </w:r>
      <w:r w:rsidRPr="000329FE">
        <w:rPr>
          <w:i/>
          <w:iCs/>
          <w:shd w:val="clear" w:color="auto" w:fill="FFFFFF"/>
        </w:rPr>
        <w:t xml:space="preserve">ealth </w:t>
      </w:r>
      <w:r>
        <w:rPr>
          <w:i/>
          <w:iCs/>
          <w:shd w:val="clear" w:color="auto" w:fill="FFFFFF"/>
        </w:rPr>
        <w:t>T</w:t>
      </w:r>
      <w:r w:rsidRPr="000329FE">
        <w:rPr>
          <w:i/>
          <w:iCs/>
          <w:shd w:val="clear" w:color="auto" w:fill="FFFFFF"/>
        </w:rPr>
        <w:t>eams: A Northern Ireland perspective</w:t>
      </w:r>
      <w:r w:rsidRPr="000329FE">
        <w:rPr>
          <w:shd w:val="clear" w:color="auto" w:fill="FFFFFF"/>
        </w:rPr>
        <w:t xml:space="preserve"> (doctoral dissertation). University of Roehampton, London. </w:t>
      </w:r>
      <w:r>
        <w:rPr>
          <w:shd w:val="clear" w:color="auto" w:fill="FFFFFF"/>
        </w:rPr>
        <w:t>URL:</w:t>
      </w:r>
      <w:r w:rsidRPr="000329FE">
        <w:rPr>
          <w:shd w:val="clear" w:color="auto" w:fill="FFFFFF"/>
        </w:rPr>
        <w:t xml:space="preserve"> </w:t>
      </w:r>
      <w:hyperlink r:id="rId130" w:history="1">
        <w:r w:rsidR="00F40AC6" w:rsidRPr="00F40AC6">
          <w:rPr>
            <w:rStyle w:val="Hyperlink"/>
            <w:shd w:val="clear" w:color="auto" w:fill="FFFFFF"/>
          </w:rPr>
          <w:t>https://pure.roehampton.ac.uk/portal/en/studentthesis/community-forensic-mental-health-teams-a-northern-ireland-perspective(df8a8d53-0384-46cf-a1c9-aad17dbfc4d4).html</w:t>
        </w:r>
      </w:hyperlink>
      <w:r>
        <w:rPr>
          <w:shd w:val="clear" w:color="auto" w:fill="FFFFFF"/>
        </w:rPr>
        <w:t xml:space="preserve"> (accessed 14 October 2021).</w:t>
      </w:r>
    </w:p>
    <w:p w14:paraId="40E9D7B0" w14:textId="77777777" w:rsidR="009636B7" w:rsidRPr="000329FE" w:rsidRDefault="009636B7" w:rsidP="009636B7">
      <w:pPr>
        <w:pStyle w:val="References"/>
      </w:pPr>
      <w:r w:rsidRPr="000329FE">
        <w:rPr>
          <w:shd w:val="clear" w:color="auto" w:fill="FFFFFF"/>
        </w:rPr>
        <w:t xml:space="preserve">Mitchell D, Wormith JS, Tafrate RC. 2016. Implications of risk-need-responsivity principles for forensic CBT. </w:t>
      </w:r>
      <w:r w:rsidRPr="000329FE">
        <w:rPr>
          <w:i/>
          <w:iCs/>
        </w:rPr>
        <w:t xml:space="preserve">Behavior Therapist </w:t>
      </w:r>
      <w:r w:rsidRPr="00561492">
        <w:t>39</w:t>
      </w:r>
      <w:r w:rsidRPr="000329FE">
        <w:t>(5)</w:t>
      </w:r>
      <w:r>
        <w:t>:</w:t>
      </w:r>
      <w:r w:rsidRPr="000329FE">
        <w:t xml:space="preserve"> 147–53. </w:t>
      </w:r>
      <w:r>
        <w:rPr>
          <w:shd w:val="clear" w:color="auto" w:fill="FFFFFF"/>
        </w:rPr>
        <w:t xml:space="preserve">URL: </w:t>
      </w:r>
      <w:hyperlink r:id="rId131" w:history="1">
        <w:r w:rsidR="00F40AC6" w:rsidRPr="00F40AC6">
          <w:rPr>
            <w:rStyle w:val="Hyperlink"/>
            <w:shd w:val="clear" w:color="auto" w:fill="FFFFFF"/>
          </w:rPr>
          <w:t>www.abct.org/Journals/?m=mJournal&amp;fa=TBT</w:t>
        </w:r>
      </w:hyperlink>
      <w:r>
        <w:rPr>
          <w:shd w:val="clear" w:color="auto" w:fill="FFFFFF"/>
        </w:rPr>
        <w:t xml:space="preserve"> (accessed 11 October 2021).</w:t>
      </w:r>
    </w:p>
    <w:p w14:paraId="66044471" w14:textId="77777777" w:rsidR="009636B7" w:rsidRPr="000329FE" w:rsidRDefault="009636B7" w:rsidP="009636B7">
      <w:pPr>
        <w:pStyle w:val="References"/>
      </w:pPr>
      <w:r w:rsidRPr="000329FE">
        <w:t>Mohan R, Judge J, Fahy T. 2004</w:t>
      </w:r>
      <w:r>
        <w:t>a</w:t>
      </w:r>
      <w:r w:rsidRPr="000329FE">
        <w:t xml:space="preserve">. Community forensic psychiatry. </w:t>
      </w:r>
      <w:r w:rsidRPr="000329FE">
        <w:rPr>
          <w:i/>
          <w:iCs/>
        </w:rPr>
        <w:t>Psychiatry</w:t>
      </w:r>
      <w:r w:rsidR="00F40AC6">
        <w:rPr>
          <w:iCs/>
        </w:rPr>
        <w:br/>
      </w:r>
      <w:r w:rsidRPr="00561492">
        <w:t>3</w:t>
      </w:r>
      <w:r w:rsidRPr="000329FE">
        <w:t>(11)</w:t>
      </w:r>
      <w:r>
        <w:t>:</w:t>
      </w:r>
      <w:r w:rsidRPr="000329FE">
        <w:t xml:space="preserve"> 11–14. </w:t>
      </w:r>
      <w:r>
        <w:t>DOI</w:t>
      </w:r>
      <w:r w:rsidRPr="000329FE">
        <w:t>:</w:t>
      </w:r>
      <w:r>
        <w:t xml:space="preserve"> </w:t>
      </w:r>
      <w:r w:rsidRPr="000329FE">
        <w:t>10.1383/psyt.3.11.11.53584</w:t>
      </w:r>
      <w:r>
        <w:t xml:space="preserve"> (accessed 12 October 2021).</w:t>
      </w:r>
    </w:p>
    <w:p w14:paraId="4CC28F9F" w14:textId="77777777" w:rsidR="009636B7" w:rsidRPr="000329FE" w:rsidRDefault="009636B7" w:rsidP="009636B7">
      <w:pPr>
        <w:pStyle w:val="References"/>
      </w:pPr>
      <w:r w:rsidRPr="000329FE">
        <w:t>Mohan R, Slade M, Fahy TA. 2004</w:t>
      </w:r>
      <w:r>
        <w:t>b</w:t>
      </w:r>
      <w:r w:rsidRPr="000329FE">
        <w:t xml:space="preserve">. Clinical characteristics of community forensic mental health services. </w:t>
      </w:r>
      <w:r w:rsidRPr="000329FE">
        <w:rPr>
          <w:i/>
          <w:iCs/>
        </w:rPr>
        <w:t xml:space="preserve">Psychiatric Services </w:t>
      </w:r>
      <w:r w:rsidRPr="00561492">
        <w:t>55</w:t>
      </w:r>
      <w:r w:rsidRPr="000329FE">
        <w:t>(11)</w:t>
      </w:r>
      <w:r>
        <w:t>:</w:t>
      </w:r>
      <w:r w:rsidRPr="000329FE">
        <w:t xml:space="preserve"> 1294–8</w:t>
      </w:r>
      <w:r>
        <w:t>.</w:t>
      </w:r>
      <w:r w:rsidRPr="000329FE">
        <w:t xml:space="preserve"> </w:t>
      </w:r>
      <w:r>
        <w:t>DOI</w:t>
      </w:r>
      <w:r w:rsidRPr="000329FE">
        <w:t>:</w:t>
      </w:r>
      <w:r>
        <w:t xml:space="preserve"> </w:t>
      </w:r>
      <w:r w:rsidRPr="000329FE">
        <w:t>10.1176/appi.ps.55.11.1294</w:t>
      </w:r>
      <w:r>
        <w:t xml:space="preserve"> (accessed 12 October 2021).</w:t>
      </w:r>
    </w:p>
    <w:p w14:paraId="5F0CA82B" w14:textId="77777777" w:rsidR="00EE0ADB" w:rsidRDefault="009636B7" w:rsidP="009636B7">
      <w:pPr>
        <w:pStyle w:val="References"/>
      </w:pPr>
      <w:r w:rsidRPr="000329FE">
        <w:t xml:space="preserve">Moloney KP, Moller LF. 2009. Good practice for mental health programming for women in prison: Reframing the parameters. </w:t>
      </w:r>
      <w:r w:rsidRPr="000329FE">
        <w:rPr>
          <w:i/>
          <w:iCs/>
        </w:rPr>
        <w:t xml:space="preserve">Public Health </w:t>
      </w:r>
      <w:r w:rsidRPr="00561492">
        <w:t>123</w:t>
      </w:r>
      <w:r w:rsidRPr="000329FE">
        <w:t>(6)</w:t>
      </w:r>
      <w:r>
        <w:t>:</w:t>
      </w:r>
      <w:r w:rsidRPr="000329FE">
        <w:t xml:space="preserve"> 431–3. </w:t>
      </w:r>
      <w:r>
        <w:t>DOI</w:t>
      </w:r>
      <w:r w:rsidRPr="000329FE">
        <w:t>:</w:t>
      </w:r>
      <w:r>
        <w:t xml:space="preserve"> </w:t>
      </w:r>
      <w:r w:rsidRPr="000329FE">
        <w:t>10.1016/j.puhe.2009.04.007</w:t>
      </w:r>
      <w:r>
        <w:t xml:space="preserve"> (accessed 22 October 2021).</w:t>
      </w:r>
    </w:p>
    <w:p w14:paraId="039C588F" w14:textId="77777777" w:rsidR="009636B7" w:rsidRPr="000329FE" w:rsidRDefault="009636B7" w:rsidP="009636B7">
      <w:pPr>
        <w:pStyle w:val="References"/>
      </w:pPr>
      <w:r w:rsidRPr="000329FE">
        <w:t xml:space="preserve">Monasterio E, Mason P. 2010. </w:t>
      </w:r>
      <w:r w:rsidRPr="000329FE">
        <w:rPr>
          <w:i/>
          <w:iCs/>
        </w:rPr>
        <w:t xml:space="preserve">Forensic </w:t>
      </w:r>
      <w:r>
        <w:rPr>
          <w:i/>
          <w:iCs/>
        </w:rPr>
        <w:t>S</w:t>
      </w:r>
      <w:r w:rsidRPr="000329FE">
        <w:rPr>
          <w:i/>
          <w:iCs/>
        </w:rPr>
        <w:t xml:space="preserve">ervice </w:t>
      </w:r>
      <w:r>
        <w:rPr>
          <w:i/>
          <w:iCs/>
        </w:rPr>
        <w:t>D</w:t>
      </w:r>
      <w:r w:rsidRPr="000329FE">
        <w:rPr>
          <w:i/>
          <w:iCs/>
        </w:rPr>
        <w:t xml:space="preserve">elivery </w:t>
      </w:r>
      <w:r>
        <w:rPr>
          <w:i/>
          <w:iCs/>
        </w:rPr>
        <w:t>R</w:t>
      </w:r>
      <w:r w:rsidRPr="000329FE">
        <w:rPr>
          <w:i/>
          <w:iCs/>
        </w:rPr>
        <w:t xml:space="preserve">eview to Christchurch </w:t>
      </w:r>
      <w:r>
        <w:rPr>
          <w:i/>
          <w:iCs/>
        </w:rPr>
        <w:t>P</w:t>
      </w:r>
      <w:r w:rsidRPr="000329FE">
        <w:rPr>
          <w:i/>
          <w:iCs/>
        </w:rPr>
        <w:t xml:space="preserve">risons </w:t>
      </w:r>
      <w:r>
        <w:rPr>
          <w:i/>
          <w:iCs/>
        </w:rPr>
        <w:t>P</w:t>
      </w:r>
      <w:r w:rsidRPr="000329FE">
        <w:rPr>
          <w:i/>
          <w:iCs/>
        </w:rPr>
        <w:t>roject 2010</w:t>
      </w:r>
      <w:r w:rsidRPr="000329FE">
        <w:rPr>
          <w:iCs/>
        </w:rPr>
        <w:t>.</w:t>
      </w:r>
      <w:r w:rsidRPr="000329FE">
        <w:t xml:space="preserve"> Christchurch: Canterbury Regional Forensic Psychiatric Service.</w:t>
      </w:r>
    </w:p>
    <w:p w14:paraId="1FFE1EBF" w14:textId="77777777" w:rsidR="009636B7" w:rsidRPr="000329FE" w:rsidRDefault="009636B7" w:rsidP="009636B7">
      <w:pPr>
        <w:pStyle w:val="References"/>
      </w:pPr>
      <w:r w:rsidRPr="000329FE">
        <w:t xml:space="preserve">Moore ME, Hiday VA. 2006. Mental health court outcomes: A comparison of re-arrest and re-arrest severity between mental health court and traditional court participants. </w:t>
      </w:r>
      <w:r w:rsidRPr="000329FE">
        <w:rPr>
          <w:i/>
          <w:iCs/>
        </w:rPr>
        <w:t xml:space="preserve">Law and Human Behavior </w:t>
      </w:r>
      <w:r w:rsidRPr="00561492">
        <w:t>30</w:t>
      </w:r>
      <w:r w:rsidRPr="000329FE">
        <w:t>(6)</w:t>
      </w:r>
      <w:r>
        <w:t>:</w:t>
      </w:r>
      <w:r w:rsidRPr="000329FE">
        <w:t xml:space="preserve"> 659–74. </w:t>
      </w:r>
      <w:r>
        <w:t>DOI</w:t>
      </w:r>
      <w:r w:rsidRPr="000329FE">
        <w:t>:</w:t>
      </w:r>
      <w:r>
        <w:t xml:space="preserve"> </w:t>
      </w:r>
      <w:r w:rsidRPr="000329FE">
        <w:t>10.1007/s10979-006-9061-9</w:t>
      </w:r>
      <w:r>
        <w:t xml:space="preserve"> (accessed 27 October 2021).</w:t>
      </w:r>
    </w:p>
    <w:p w14:paraId="72EE5316" w14:textId="77777777" w:rsidR="009636B7" w:rsidRPr="000329FE" w:rsidRDefault="009636B7" w:rsidP="009636B7">
      <w:pPr>
        <w:pStyle w:val="References"/>
      </w:pPr>
      <w:r w:rsidRPr="000329FE">
        <w:t xml:space="preserve">Mullen PE, Briggs S, Dalton T, </w:t>
      </w:r>
      <w:r w:rsidR="00AD0D58">
        <w:t>et al</w:t>
      </w:r>
      <w:r w:rsidRPr="000329FE">
        <w:t xml:space="preserve">. 2000. Forensic mental health services in Australia. </w:t>
      </w:r>
      <w:r w:rsidRPr="000329FE">
        <w:rPr>
          <w:i/>
          <w:iCs/>
        </w:rPr>
        <w:t xml:space="preserve">International Journal of Law and Psychiatry </w:t>
      </w:r>
      <w:r w:rsidRPr="00561492">
        <w:t>23</w:t>
      </w:r>
      <w:r w:rsidRPr="000329FE">
        <w:t>(5–6)</w:t>
      </w:r>
      <w:r>
        <w:t>:</w:t>
      </w:r>
      <w:r w:rsidRPr="000329FE">
        <w:t xml:space="preserve"> 433–52.</w:t>
      </w:r>
      <w:r>
        <w:t xml:space="preserve"> URL:</w:t>
      </w:r>
      <w:r w:rsidRPr="000329FE">
        <w:t xml:space="preserve"> </w:t>
      </w:r>
      <w:hyperlink r:id="rId132" w:history="1">
        <w:r w:rsidR="00F40AC6" w:rsidRPr="00F40AC6">
          <w:rPr>
            <w:rStyle w:val="Hyperlink"/>
          </w:rPr>
          <w:t>https://doi.org/10.1016/S0160-2527(00)00057-1</w:t>
        </w:r>
      </w:hyperlink>
      <w:r>
        <w:t xml:space="preserve"> (accessed 14 October 2021).</w:t>
      </w:r>
    </w:p>
    <w:p w14:paraId="3BF65AB2" w14:textId="77777777" w:rsidR="009636B7" w:rsidRPr="000329FE" w:rsidRDefault="009636B7" w:rsidP="009636B7">
      <w:pPr>
        <w:pStyle w:val="References"/>
      </w:pPr>
      <w:r w:rsidRPr="000329FE">
        <w:rPr>
          <w:shd w:val="clear" w:color="auto" w:fill="FFFFFF"/>
        </w:rPr>
        <w:t xml:space="preserve">Mullen P, Ogloff J. 2009. Providing mental health services to adult offenders in Victoria, Australia: Overcoming barriers. </w:t>
      </w:r>
      <w:r w:rsidRPr="000329FE">
        <w:rPr>
          <w:i/>
          <w:iCs/>
        </w:rPr>
        <w:t xml:space="preserve">European Psychiatry </w:t>
      </w:r>
      <w:r w:rsidRPr="00561492">
        <w:t>24</w:t>
      </w:r>
      <w:r w:rsidRPr="000329FE">
        <w:t>(6)</w:t>
      </w:r>
      <w:r>
        <w:t>:</w:t>
      </w:r>
      <w:r w:rsidRPr="000329FE">
        <w:t xml:space="preserve"> 395–400.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10.1016/j.eurpsy.2009.07.003</w:t>
      </w:r>
      <w:r>
        <w:rPr>
          <w:shd w:val="clear" w:color="auto" w:fill="FFFFFF"/>
        </w:rPr>
        <w:t xml:space="preserve"> (accessed 11 October 2021).</w:t>
      </w:r>
    </w:p>
    <w:p w14:paraId="7502211F" w14:textId="77777777" w:rsidR="009636B7" w:rsidRPr="000329FE" w:rsidRDefault="009636B7" w:rsidP="009636B7">
      <w:pPr>
        <w:pStyle w:val="References"/>
      </w:pPr>
      <w:r w:rsidRPr="000329FE">
        <w:t xml:space="preserve">Natarajan M, Srinivas J, Briscoe G, </w:t>
      </w:r>
      <w:r w:rsidR="00AD0D58">
        <w:t>et al</w:t>
      </w:r>
      <w:r w:rsidRPr="000329FE">
        <w:t xml:space="preserve">. 2012. Community forensic psychiatry and the forensic mental health liaison model. </w:t>
      </w:r>
      <w:r w:rsidRPr="000329FE">
        <w:rPr>
          <w:i/>
          <w:iCs/>
        </w:rPr>
        <w:t xml:space="preserve">Advances in Psychiatric Treatment </w:t>
      </w:r>
      <w:r w:rsidRPr="00561492">
        <w:t>18</w:t>
      </w:r>
      <w:r>
        <w:t>:</w:t>
      </w:r>
      <w:r w:rsidRPr="000329FE">
        <w:t xml:space="preserve"> 408–15. </w:t>
      </w:r>
      <w:r>
        <w:t>DOI</w:t>
      </w:r>
      <w:r w:rsidRPr="000329FE">
        <w:t>:</w:t>
      </w:r>
      <w:r>
        <w:t xml:space="preserve"> </w:t>
      </w:r>
      <w:r w:rsidRPr="000329FE">
        <w:t>10.1192/apt.bp.109.006940</w:t>
      </w:r>
      <w:r>
        <w:t xml:space="preserve"> (accessed 14 October 2021).</w:t>
      </w:r>
    </w:p>
    <w:p w14:paraId="6DBDA6E2" w14:textId="77777777" w:rsidR="009636B7" w:rsidRDefault="009636B7" w:rsidP="009636B7">
      <w:pPr>
        <w:pStyle w:val="References"/>
        <w:rPr>
          <w:noProof/>
          <w:lang w:val="mi-NZ"/>
        </w:rPr>
      </w:pPr>
      <w:r w:rsidRPr="00561492">
        <w:rPr>
          <w:shd w:val="clear" w:color="auto" w:fill="FFFFFF"/>
        </w:rPr>
        <w:t>National</w:t>
      </w:r>
      <w:r>
        <w:rPr>
          <w:noProof/>
          <w:lang w:val="mi-NZ"/>
        </w:rPr>
        <w:t xml:space="preserve"> Forensic Mental Health Service. 2019. </w:t>
      </w:r>
      <w:r w:rsidRPr="009666B9">
        <w:rPr>
          <w:i/>
          <w:iCs/>
          <w:noProof/>
          <w:lang w:val="mi-NZ"/>
        </w:rPr>
        <w:t>National Forensic Men</w:t>
      </w:r>
      <w:r>
        <w:rPr>
          <w:i/>
          <w:iCs/>
          <w:noProof/>
          <w:lang w:val="mi-NZ"/>
        </w:rPr>
        <w:t>t</w:t>
      </w:r>
      <w:r w:rsidRPr="009666B9">
        <w:rPr>
          <w:i/>
          <w:iCs/>
          <w:noProof/>
          <w:lang w:val="mi-NZ"/>
        </w:rPr>
        <w:t>al H</w:t>
      </w:r>
      <w:r>
        <w:rPr>
          <w:i/>
          <w:iCs/>
          <w:noProof/>
          <w:lang w:val="mi-NZ"/>
        </w:rPr>
        <w:t>e</w:t>
      </w:r>
      <w:r w:rsidRPr="009666B9">
        <w:rPr>
          <w:i/>
          <w:iCs/>
          <w:noProof/>
          <w:lang w:val="mi-NZ"/>
        </w:rPr>
        <w:t>alth Service Model of Care</w:t>
      </w:r>
      <w:r w:rsidRPr="00561492">
        <w:rPr>
          <w:noProof/>
          <w:lang w:val="mi-NZ"/>
        </w:rPr>
        <w:t>.</w:t>
      </w:r>
      <w:r w:rsidRPr="009666B9">
        <w:rPr>
          <w:i/>
          <w:iCs/>
          <w:noProof/>
          <w:lang w:val="mi-NZ"/>
        </w:rPr>
        <w:t xml:space="preserve"> </w:t>
      </w:r>
      <w:r>
        <w:rPr>
          <w:noProof/>
          <w:lang w:val="mi-NZ"/>
        </w:rPr>
        <w:t>Dublin: National Forensic Mental Health Service.</w:t>
      </w:r>
    </w:p>
    <w:p w14:paraId="1FB8196D" w14:textId="77777777" w:rsidR="009636B7" w:rsidRPr="00075571" w:rsidRDefault="009636B7" w:rsidP="009636B7">
      <w:pPr>
        <w:pStyle w:val="References"/>
        <w:rPr>
          <w:shd w:val="clear" w:color="auto" w:fill="FFFFFF"/>
        </w:rPr>
      </w:pPr>
      <w:r w:rsidRPr="00561492">
        <w:t>National</w:t>
      </w:r>
      <w:r w:rsidRPr="00075571">
        <w:rPr>
          <w:shd w:val="clear" w:color="auto" w:fill="FFFFFF"/>
        </w:rPr>
        <w:t xml:space="preserve"> Institute for Health and Care Excellence. 2017. </w:t>
      </w:r>
      <w:r w:rsidRPr="00075571">
        <w:rPr>
          <w:i/>
          <w:iCs/>
          <w:shd w:val="clear" w:color="auto" w:fill="FFFFFF"/>
        </w:rPr>
        <w:t xml:space="preserve">Mental </w:t>
      </w:r>
      <w:r>
        <w:rPr>
          <w:i/>
          <w:iCs/>
          <w:shd w:val="clear" w:color="auto" w:fill="FFFFFF"/>
        </w:rPr>
        <w:t>H</w:t>
      </w:r>
      <w:r w:rsidRPr="00075571">
        <w:rPr>
          <w:i/>
          <w:iCs/>
          <w:shd w:val="clear" w:color="auto" w:fill="FFFFFF"/>
        </w:rPr>
        <w:t xml:space="preserve">ealth of </w:t>
      </w:r>
      <w:r>
        <w:rPr>
          <w:i/>
          <w:iCs/>
          <w:shd w:val="clear" w:color="auto" w:fill="FFFFFF"/>
        </w:rPr>
        <w:t>A</w:t>
      </w:r>
      <w:r w:rsidRPr="00075571">
        <w:rPr>
          <w:i/>
          <w:iCs/>
          <w:shd w:val="clear" w:color="auto" w:fill="FFFFFF"/>
        </w:rPr>
        <w:t xml:space="preserve">dults in </w:t>
      </w:r>
      <w:r>
        <w:rPr>
          <w:i/>
          <w:iCs/>
          <w:shd w:val="clear" w:color="auto" w:fill="FFFFFF"/>
        </w:rPr>
        <w:t>C</w:t>
      </w:r>
      <w:r w:rsidRPr="00075571">
        <w:rPr>
          <w:i/>
          <w:iCs/>
          <w:shd w:val="clear" w:color="auto" w:fill="FFFFFF"/>
        </w:rPr>
        <w:t xml:space="preserve">ontact with the </w:t>
      </w:r>
      <w:r>
        <w:rPr>
          <w:i/>
          <w:iCs/>
          <w:shd w:val="clear" w:color="auto" w:fill="FFFFFF"/>
        </w:rPr>
        <w:t>C</w:t>
      </w:r>
      <w:r w:rsidRPr="00075571">
        <w:rPr>
          <w:i/>
          <w:iCs/>
          <w:shd w:val="clear" w:color="auto" w:fill="FFFFFF"/>
        </w:rPr>
        <w:t xml:space="preserve">riminal </w:t>
      </w:r>
      <w:r>
        <w:rPr>
          <w:i/>
          <w:iCs/>
          <w:shd w:val="clear" w:color="auto" w:fill="FFFFFF"/>
        </w:rPr>
        <w:t>J</w:t>
      </w:r>
      <w:r w:rsidRPr="00075571">
        <w:rPr>
          <w:i/>
          <w:iCs/>
          <w:shd w:val="clear" w:color="auto" w:fill="FFFFFF"/>
        </w:rPr>
        <w:t xml:space="preserve">ustice </w:t>
      </w:r>
      <w:r>
        <w:rPr>
          <w:i/>
          <w:iCs/>
          <w:shd w:val="clear" w:color="auto" w:fill="FFFFFF"/>
        </w:rPr>
        <w:t>S</w:t>
      </w:r>
      <w:r w:rsidRPr="00075571">
        <w:rPr>
          <w:i/>
          <w:iCs/>
          <w:shd w:val="clear" w:color="auto" w:fill="FFFFFF"/>
        </w:rPr>
        <w:t>ystem</w:t>
      </w:r>
      <w:r w:rsidRPr="00075571">
        <w:rPr>
          <w:shd w:val="clear" w:color="auto" w:fill="FFFFFF"/>
        </w:rPr>
        <w:t xml:space="preserve"> (NICE Guideline NG66). London: National Institute for Health and Care Excellence. </w:t>
      </w:r>
      <w:r>
        <w:rPr>
          <w:shd w:val="clear" w:color="auto" w:fill="FFFFFF"/>
        </w:rPr>
        <w:t>URL:</w:t>
      </w:r>
      <w:r w:rsidRPr="00075571">
        <w:rPr>
          <w:shd w:val="clear" w:color="auto" w:fill="FFFFFF"/>
        </w:rPr>
        <w:t xml:space="preserve"> </w:t>
      </w:r>
      <w:hyperlink r:id="rId133" w:history="1">
        <w:r w:rsidR="00F40AC6" w:rsidRPr="00F40AC6">
          <w:rPr>
            <w:rStyle w:val="Hyperlink"/>
            <w:shd w:val="clear" w:color="auto" w:fill="FFFFFF"/>
          </w:rPr>
          <w:t>www.nice.org.uk/guidance/ng66</w:t>
        </w:r>
      </w:hyperlink>
      <w:r>
        <w:rPr>
          <w:shd w:val="clear" w:color="auto" w:fill="FFFFFF"/>
        </w:rPr>
        <w:t xml:space="preserve"> (accessed 28 October 2021).</w:t>
      </w:r>
    </w:p>
    <w:p w14:paraId="74B41EAC" w14:textId="77777777" w:rsidR="00EE0ADB" w:rsidRDefault="009636B7" w:rsidP="009636B7">
      <w:pPr>
        <w:pStyle w:val="References"/>
        <w:rPr>
          <w:shd w:val="clear" w:color="auto" w:fill="FFFFFF"/>
        </w:rPr>
      </w:pPr>
      <w:r w:rsidRPr="00075571">
        <w:rPr>
          <w:shd w:val="clear" w:color="auto" w:fill="FFFFFF"/>
        </w:rPr>
        <w:t xml:space="preserve">National Prisoner Healthcare Network. 2014. </w:t>
      </w:r>
      <w:r w:rsidRPr="00075571">
        <w:rPr>
          <w:i/>
          <w:iCs/>
          <w:shd w:val="clear" w:color="auto" w:fill="FFFFFF"/>
        </w:rPr>
        <w:t xml:space="preserve">National Prisoner Healthcare Network Mental Health Sub Group: Final </w:t>
      </w:r>
      <w:r>
        <w:rPr>
          <w:i/>
          <w:iCs/>
          <w:shd w:val="clear" w:color="auto" w:fill="FFFFFF"/>
        </w:rPr>
        <w:t>r</w:t>
      </w:r>
      <w:r w:rsidRPr="00075571">
        <w:rPr>
          <w:i/>
          <w:iCs/>
          <w:shd w:val="clear" w:color="auto" w:fill="FFFFFF"/>
        </w:rPr>
        <w:t>eport</w:t>
      </w:r>
      <w:r w:rsidRPr="00075571">
        <w:rPr>
          <w:shd w:val="clear" w:color="auto" w:fill="FFFFFF"/>
        </w:rPr>
        <w:t xml:space="preserve">. </w:t>
      </w:r>
      <w:r>
        <w:rPr>
          <w:shd w:val="clear" w:color="auto" w:fill="FFFFFF"/>
        </w:rPr>
        <w:t xml:space="preserve">Edinburgh: </w:t>
      </w:r>
      <w:r w:rsidRPr="00075571">
        <w:rPr>
          <w:shd w:val="clear" w:color="auto" w:fill="FFFFFF"/>
        </w:rPr>
        <w:t xml:space="preserve">NHS Scotland </w:t>
      </w:r>
      <w:r>
        <w:rPr>
          <w:shd w:val="clear" w:color="auto" w:fill="FFFFFF"/>
        </w:rPr>
        <w:t>and</w:t>
      </w:r>
      <w:r w:rsidRPr="00075571">
        <w:rPr>
          <w:shd w:val="clear" w:color="auto" w:fill="FFFFFF"/>
        </w:rPr>
        <w:t xml:space="preserve"> Scottish Prison Service.</w:t>
      </w:r>
    </w:p>
    <w:p w14:paraId="3D098F8A" w14:textId="77777777" w:rsidR="00EE0ADB" w:rsidRDefault="009636B7" w:rsidP="009636B7">
      <w:pPr>
        <w:pStyle w:val="References"/>
        <w:rPr>
          <w:shd w:val="clear" w:color="auto" w:fill="FFFFFF"/>
        </w:rPr>
      </w:pPr>
      <w:r w:rsidRPr="00075571">
        <w:rPr>
          <w:shd w:val="clear" w:color="auto" w:fill="FFFFFF"/>
        </w:rPr>
        <w:t xml:space="preserve">National Prisoner Healthcare Network. 2016. </w:t>
      </w:r>
      <w:r w:rsidRPr="00075571">
        <w:rPr>
          <w:i/>
          <w:iCs/>
          <w:shd w:val="clear" w:color="auto" w:fill="FFFFFF"/>
        </w:rPr>
        <w:t>National Prisoner Healthcare Network Mental Health Sub Group: Implementation report</w:t>
      </w:r>
      <w:r>
        <w:rPr>
          <w:i/>
          <w:iCs/>
          <w:shd w:val="clear" w:color="auto" w:fill="FFFFFF"/>
        </w:rPr>
        <w:t xml:space="preserve"> </w:t>
      </w:r>
      <w:r w:rsidRPr="00075571">
        <w:rPr>
          <w:i/>
          <w:iCs/>
          <w:shd w:val="clear" w:color="auto" w:fill="FFFFFF"/>
        </w:rPr>
        <w:t xml:space="preserve">– </w:t>
      </w:r>
      <w:r>
        <w:rPr>
          <w:i/>
          <w:iCs/>
          <w:shd w:val="clear" w:color="auto" w:fill="FFFFFF"/>
        </w:rPr>
        <w:t>p</w:t>
      </w:r>
      <w:r w:rsidRPr="00075571">
        <w:rPr>
          <w:i/>
          <w:iCs/>
          <w:shd w:val="clear" w:color="auto" w:fill="FFFFFF"/>
        </w:rPr>
        <w:t>ost consultation</w:t>
      </w:r>
      <w:r w:rsidRPr="00075571">
        <w:rPr>
          <w:shd w:val="clear" w:color="auto" w:fill="FFFFFF"/>
        </w:rPr>
        <w:t xml:space="preserve">. </w:t>
      </w:r>
      <w:r>
        <w:rPr>
          <w:shd w:val="clear" w:color="auto" w:fill="FFFFFF"/>
        </w:rPr>
        <w:t xml:space="preserve">Edinburgh: </w:t>
      </w:r>
      <w:r w:rsidRPr="00075571">
        <w:rPr>
          <w:shd w:val="clear" w:color="auto" w:fill="FFFFFF"/>
        </w:rPr>
        <w:t>NHS Scotland</w:t>
      </w:r>
      <w:r>
        <w:rPr>
          <w:shd w:val="clear" w:color="auto" w:fill="FFFFFF"/>
        </w:rPr>
        <w:t>.</w:t>
      </w:r>
      <w:r w:rsidR="00EE0ADB">
        <w:rPr>
          <w:shd w:val="clear" w:color="auto" w:fill="FFFFFF"/>
        </w:rPr>
        <w:t xml:space="preserve"> </w:t>
      </w:r>
      <w:r>
        <w:rPr>
          <w:shd w:val="clear" w:color="auto" w:fill="FFFFFF"/>
        </w:rPr>
        <w:t xml:space="preserve">URL: </w:t>
      </w:r>
      <w:hyperlink r:id="rId134" w:history="1">
        <w:r w:rsidR="008A194D" w:rsidRPr="008A194D">
          <w:rPr>
            <w:rStyle w:val="Hyperlink"/>
            <w:shd w:val="clear" w:color="auto" w:fill="FFFFFF"/>
          </w:rPr>
          <w:t>www.nphn.scot.nhs.uk/wp-content/uploads/2016/02/NPHN-Mental-Health-Implementation-Report-May-2016.pdf</w:t>
        </w:r>
      </w:hyperlink>
      <w:r>
        <w:rPr>
          <w:shd w:val="clear" w:color="auto" w:fill="FFFFFF"/>
        </w:rPr>
        <w:t xml:space="preserve"> (accessed 2 November 2021).</w:t>
      </w:r>
    </w:p>
    <w:p w14:paraId="32D48011" w14:textId="77777777" w:rsidR="009636B7" w:rsidRPr="00075571" w:rsidRDefault="009636B7" w:rsidP="009636B7">
      <w:pPr>
        <w:pStyle w:val="References"/>
        <w:rPr>
          <w:shd w:val="clear" w:color="auto" w:fill="FFFFFF"/>
        </w:rPr>
      </w:pPr>
      <w:r w:rsidRPr="00075571">
        <w:rPr>
          <w:shd w:val="clear" w:color="auto" w:fill="FFFFFF"/>
        </w:rPr>
        <w:t xml:space="preserve">NHS England. 2018a. </w:t>
      </w:r>
      <w:r w:rsidRPr="00075571">
        <w:rPr>
          <w:i/>
          <w:iCs/>
          <w:shd w:val="clear" w:color="auto" w:fill="FFFFFF"/>
        </w:rPr>
        <w:t xml:space="preserve">Developing the </w:t>
      </w:r>
      <w:r w:rsidR="00EE0ADB">
        <w:rPr>
          <w:i/>
          <w:iCs/>
          <w:shd w:val="clear" w:color="auto" w:fill="FFFFFF"/>
        </w:rPr>
        <w:t>‘</w:t>
      </w:r>
      <w:r>
        <w:rPr>
          <w:i/>
          <w:iCs/>
          <w:shd w:val="clear" w:color="auto" w:fill="FFFFFF"/>
        </w:rPr>
        <w:t>F</w:t>
      </w:r>
      <w:r w:rsidRPr="00075571">
        <w:rPr>
          <w:i/>
          <w:iCs/>
          <w:shd w:val="clear" w:color="auto" w:fill="FFFFFF"/>
        </w:rPr>
        <w:t xml:space="preserve">orensic </w:t>
      </w:r>
      <w:r>
        <w:rPr>
          <w:i/>
          <w:iCs/>
          <w:shd w:val="clear" w:color="auto" w:fill="FFFFFF"/>
        </w:rPr>
        <w:t>M</w:t>
      </w:r>
      <w:r w:rsidRPr="00075571">
        <w:rPr>
          <w:i/>
          <w:iCs/>
          <w:shd w:val="clear" w:color="auto" w:fill="FFFFFF"/>
        </w:rPr>
        <w:t xml:space="preserve">ental </w:t>
      </w:r>
      <w:r>
        <w:rPr>
          <w:i/>
          <w:iCs/>
          <w:shd w:val="clear" w:color="auto" w:fill="FFFFFF"/>
        </w:rPr>
        <w:t>H</w:t>
      </w:r>
      <w:r w:rsidRPr="00075571">
        <w:rPr>
          <w:i/>
          <w:iCs/>
          <w:shd w:val="clear" w:color="auto" w:fill="FFFFFF"/>
        </w:rPr>
        <w:t xml:space="preserve">ealth </w:t>
      </w:r>
      <w:r>
        <w:rPr>
          <w:i/>
          <w:iCs/>
          <w:shd w:val="clear" w:color="auto" w:fill="FFFFFF"/>
        </w:rPr>
        <w:t>C</w:t>
      </w:r>
      <w:r w:rsidRPr="00075571">
        <w:rPr>
          <w:i/>
          <w:iCs/>
          <w:shd w:val="clear" w:color="auto" w:fill="FFFFFF"/>
        </w:rPr>
        <w:t xml:space="preserve">ommunity </w:t>
      </w:r>
      <w:r>
        <w:rPr>
          <w:i/>
          <w:iCs/>
          <w:shd w:val="clear" w:color="auto" w:fill="FFFFFF"/>
        </w:rPr>
        <w:t>S</w:t>
      </w:r>
      <w:r w:rsidRPr="00075571">
        <w:rPr>
          <w:i/>
          <w:iCs/>
          <w:shd w:val="clear" w:color="auto" w:fill="FFFFFF"/>
        </w:rPr>
        <w:t xml:space="preserve">ervice </w:t>
      </w:r>
      <w:r>
        <w:rPr>
          <w:i/>
          <w:iCs/>
          <w:shd w:val="clear" w:color="auto" w:fill="FFFFFF"/>
        </w:rPr>
        <w:t>M</w:t>
      </w:r>
      <w:r w:rsidRPr="00075571">
        <w:rPr>
          <w:i/>
          <w:iCs/>
          <w:shd w:val="clear" w:color="auto" w:fill="FFFFFF"/>
        </w:rPr>
        <w:t>odel</w:t>
      </w:r>
      <w:r w:rsidR="00EE0ADB">
        <w:rPr>
          <w:i/>
          <w:iCs/>
          <w:shd w:val="clear" w:color="auto" w:fill="FFFFFF"/>
        </w:rPr>
        <w:t>’</w:t>
      </w:r>
      <w:r w:rsidRPr="00075571">
        <w:rPr>
          <w:i/>
          <w:iCs/>
          <w:shd w:val="clear" w:color="auto" w:fill="FFFFFF"/>
        </w:rPr>
        <w:t>: Background information resources (4 of 5): Core components of the model and the Specialist Community Forensic Team.</w:t>
      </w:r>
      <w:r w:rsidRPr="00075571">
        <w:rPr>
          <w:shd w:val="clear" w:color="auto" w:fill="FFFFFF"/>
        </w:rPr>
        <w:t xml:space="preserve"> Leeds: NHS England.</w:t>
      </w:r>
    </w:p>
    <w:p w14:paraId="1D41EB56" w14:textId="77777777" w:rsidR="009636B7" w:rsidRPr="00075571" w:rsidRDefault="009636B7" w:rsidP="009636B7">
      <w:pPr>
        <w:pStyle w:val="References"/>
        <w:rPr>
          <w:shd w:val="clear" w:color="auto" w:fill="FFFFFF"/>
        </w:rPr>
      </w:pPr>
      <w:r w:rsidRPr="00075571">
        <w:rPr>
          <w:shd w:val="clear" w:color="auto" w:fill="FFFFFF"/>
        </w:rPr>
        <w:t xml:space="preserve">NHS England. 2018b. </w:t>
      </w:r>
      <w:r w:rsidRPr="00075571">
        <w:rPr>
          <w:i/>
          <w:iCs/>
          <w:shd w:val="clear" w:color="auto" w:fill="FFFFFF"/>
        </w:rPr>
        <w:t xml:space="preserve">Developing the </w:t>
      </w:r>
      <w:r w:rsidR="00EE0ADB">
        <w:rPr>
          <w:i/>
          <w:iCs/>
          <w:shd w:val="clear" w:color="auto" w:fill="FFFFFF"/>
        </w:rPr>
        <w:t>‘</w:t>
      </w:r>
      <w:r>
        <w:rPr>
          <w:i/>
          <w:iCs/>
          <w:shd w:val="clear" w:color="auto" w:fill="FFFFFF"/>
        </w:rPr>
        <w:t>F</w:t>
      </w:r>
      <w:r w:rsidRPr="00075571">
        <w:rPr>
          <w:i/>
          <w:iCs/>
          <w:shd w:val="clear" w:color="auto" w:fill="FFFFFF"/>
        </w:rPr>
        <w:t xml:space="preserve">orensic </w:t>
      </w:r>
      <w:r>
        <w:rPr>
          <w:i/>
          <w:iCs/>
          <w:shd w:val="clear" w:color="auto" w:fill="FFFFFF"/>
        </w:rPr>
        <w:t>M</w:t>
      </w:r>
      <w:r w:rsidRPr="00075571">
        <w:rPr>
          <w:i/>
          <w:iCs/>
          <w:shd w:val="clear" w:color="auto" w:fill="FFFFFF"/>
        </w:rPr>
        <w:t xml:space="preserve">ental </w:t>
      </w:r>
      <w:r>
        <w:rPr>
          <w:i/>
          <w:iCs/>
          <w:shd w:val="clear" w:color="auto" w:fill="FFFFFF"/>
        </w:rPr>
        <w:t>H</w:t>
      </w:r>
      <w:r w:rsidRPr="00075571">
        <w:rPr>
          <w:i/>
          <w:iCs/>
          <w:shd w:val="clear" w:color="auto" w:fill="FFFFFF"/>
        </w:rPr>
        <w:t xml:space="preserve">ealth </w:t>
      </w:r>
      <w:r>
        <w:rPr>
          <w:i/>
          <w:iCs/>
          <w:shd w:val="clear" w:color="auto" w:fill="FFFFFF"/>
        </w:rPr>
        <w:t>C</w:t>
      </w:r>
      <w:r w:rsidRPr="00075571">
        <w:rPr>
          <w:i/>
          <w:iCs/>
          <w:shd w:val="clear" w:color="auto" w:fill="FFFFFF"/>
        </w:rPr>
        <w:t xml:space="preserve">ommunity </w:t>
      </w:r>
      <w:r>
        <w:rPr>
          <w:i/>
          <w:iCs/>
          <w:shd w:val="clear" w:color="auto" w:fill="FFFFFF"/>
        </w:rPr>
        <w:t>S</w:t>
      </w:r>
      <w:r w:rsidRPr="00075571">
        <w:rPr>
          <w:i/>
          <w:iCs/>
          <w:shd w:val="clear" w:color="auto" w:fill="FFFFFF"/>
        </w:rPr>
        <w:t xml:space="preserve">ervice </w:t>
      </w:r>
      <w:r>
        <w:rPr>
          <w:i/>
          <w:iCs/>
          <w:shd w:val="clear" w:color="auto" w:fill="FFFFFF"/>
        </w:rPr>
        <w:t>M</w:t>
      </w:r>
      <w:r w:rsidRPr="00075571">
        <w:rPr>
          <w:i/>
          <w:iCs/>
          <w:shd w:val="clear" w:color="auto" w:fill="FFFFFF"/>
        </w:rPr>
        <w:t>odel</w:t>
      </w:r>
      <w:r w:rsidR="00EE0ADB">
        <w:rPr>
          <w:i/>
          <w:iCs/>
          <w:shd w:val="clear" w:color="auto" w:fill="FFFFFF"/>
        </w:rPr>
        <w:t>’</w:t>
      </w:r>
      <w:r w:rsidRPr="00075571">
        <w:rPr>
          <w:i/>
          <w:iCs/>
          <w:shd w:val="clear" w:color="auto" w:fill="FFFFFF"/>
        </w:rPr>
        <w:t>: Background information resources (5 of 5): The Specialist Community Forensic Team: Values, knowledge and skills.</w:t>
      </w:r>
      <w:r w:rsidRPr="00075571">
        <w:rPr>
          <w:shd w:val="clear" w:color="auto" w:fill="FFFFFF"/>
        </w:rPr>
        <w:t xml:space="preserve"> Leeds: NHS England.</w:t>
      </w:r>
    </w:p>
    <w:p w14:paraId="04EE0FF2" w14:textId="77777777" w:rsidR="009636B7" w:rsidRPr="00075571" w:rsidRDefault="009636B7" w:rsidP="009636B7">
      <w:pPr>
        <w:pStyle w:val="References"/>
        <w:rPr>
          <w:shd w:val="clear" w:color="auto" w:fill="FFFFFF"/>
        </w:rPr>
      </w:pPr>
      <w:r w:rsidRPr="00075571">
        <w:rPr>
          <w:shd w:val="clear" w:color="auto" w:fill="FFFFFF"/>
        </w:rPr>
        <w:t xml:space="preserve">NHS England. (nd-a). </w:t>
      </w:r>
      <w:r w:rsidRPr="00075571">
        <w:rPr>
          <w:i/>
          <w:iCs/>
          <w:shd w:val="clear" w:color="auto" w:fill="FFFFFF"/>
        </w:rPr>
        <w:t xml:space="preserve">Mental </w:t>
      </w:r>
      <w:r>
        <w:rPr>
          <w:i/>
          <w:iCs/>
          <w:shd w:val="clear" w:color="auto" w:fill="FFFFFF"/>
        </w:rPr>
        <w:t>H</w:t>
      </w:r>
      <w:r w:rsidRPr="00075571">
        <w:rPr>
          <w:i/>
          <w:iCs/>
          <w:shd w:val="clear" w:color="auto" w:fill="FFFFFF"/>
        </w:rPr>
        <w:t>ealth</w:t>
      </w:r>
      <w:r>
        <w:rPr>
          <w:i/>
          <w:iCs/>
          <w:shd w:val="clear" w:color="auto" w:fill="FFFFFF"/>
        </w:rPr>
        <w:t xml:space="preserve"> </w:t>
      </w:r>
      <w:r w:rsidRPr="00075571">
        <w:rPr>
          <w:i/>
          <w:iCs/>
          <w:shd w:val="clear" w:color="auto" w:fill="FFFFFF"/>
        </w:rPr>
        <w:t>– Low secure services including access assessment service and forensic outreach and liaison services (adult).</w:t>
      </w:r>
      <w:r w:rsidRPr="00075571">
        <w:rPr>
          <w:shd w:val="clear" w:color="auto" w:fill="FFFFFF"/>
        </w:rPr>
        <w:t xml:space="preserve"> </w:t>
      </w:r>
      <w:r>
        <w:rPr>
          <w:shd w:val="clear" w:color="auto" w:fill="FFFFFF"/>
        </w:rPr>
        <w:t>URL:</w:t>
      </w:r>
      <w:r w:rsidRPr="00075571">
        <w:rPr>
          <w:shd w:val="clear" w:color="auto" w:fill="FFFFFF"/>
        </w:rPr>
        <w:t xml:space="preserve"> </w:t>
      </w:r>
      <w:hyperlink r:id="rId135" w:history="1">
        <w:r w:rsidR="008A194D" w:rsidRPr="008A194D">
          <w:rPr>
            <w:rStyle w:val="Hyperlink"/>
            <w:shd w:val="clear" w:color="auto" w:fill="FFFFFF"/>
          </w:rPr>
          <w:t>www.england.nhs.uk/specialised-commissioning-document-library/service-specifications/</w:t>
        </w:r>
      </w:hyperlink>
      <w:r>
        <w:rPr>
          <w:shd w:val="clear" w:color="auto" w:fill="FFFFFF"/>
        </w:rPr>
        <w:t xml:space="preserve"> (accessed 28 October 2021).</w:t>
      </w:r>
    </w:p>
    <w:p w14:paraId="3BE67841" w14:textId="77777777" w:rsidR="009636B7" w:rsidRPr="00075571" w:rsidRDefault="009636B7" w:rsidP="009636B7">
      <w:pPr>
        <w:pStyle w:val="References"/>
        <w:rPr>
          <w:shd w:val="clear" w:color="auto" w:fill="FFFFFF"/>
        </w:rPr>
      </w:pPr>
      <w:r w:rsidRPr="00075571">
        <w:rPr>
          <w:shd w:val="clear" w:color="auto" w:fill="FFFFFF"/>
        </w:rPr>
        <w:t xml:space="preserve">NHS England. nd-b. </w:t>
      </w:r>
      <w:r w:rsidRPr="00075571">
        <w:rPr>
          <w:i/>
          <w:iCs/>
          <w:shd w:val="clear" w:color="auto" w:fill="FFFFFF"/>
        </w:rPr>
        <w:t xml:space="preserve">Mental </w:t>
      </w:r>
      <w:r>
        <w:rPr>
          <w:i/>
          <w:iCs/>
          <w:shd w:val="clear" w:color="auto" w:fill="FFFFFF"/>
        </w:rPr>
        <w:t>H</w:t>
      </w:r>
      <w:r w:rsidRPr="00075571">
        <w:rPr>
          <w:i/>
          <w:iCs/>
          <w:shd w:val="clear" w:color="auto" w:fill="FFFFFF"/>
        </w:rPr>
        <w:t>ealth</w:t>
      </w:r>
      <w:r>
        <w:rPr>
          <w:i/>
          <w:iCs/>
          <w:shd w:val="clear" w:color="auto" w:fill="FFFFFF"/>
        </w:rPr>
        <w:t xml:space="preserve"> </w:t>
      </w:r>
      <w:r w:rsidRPr="00075571">
        <w:rPr>
          <w:i/>
          <w:iCs/>
          <w:shd w:val="clear" w:color="auto" w:fill="FFFFFF"/>
        </w:rPr>
        <w:t xml:space="preserve">– </w:t>
      </w:r>
      <w:r>
        <w:rPr>
          <w:i/>
          <w:iCs/>
          <w:shd w:val="clear" w:color="auto" w:fill="FFFFFF"/>
        </w:rPr>
        <w:t>M</w:t>
      </w:r>
      <w:r w:rsidRPr="00075571">
        <w:rPr>
          <w:i/>
          <w:iCs/>
          <w:shd w:val="clear" w:color="auto" w:fill="FFFFFF"/>
        </w:rPr>
        <w:t>edium secure services including access assessment service and forensic outreach and liaison services (adult).</w:t>
      </w:r>
      <w:r w:rsidRPr="00075571">
        <w:rPr>
          <w:shd w:val="clear" w:color="auto" w:fill="FFFFFF"/>
        </w:rPr>
        <w:t xml:space="preserve"> </w:t>
      </w:r>
      <w:r>
        <w:rPr>
          <w:shd w:val="clear" w:color="auto" w:fill="FFFFFF"/>
        </w:rPr>
        <w:t>URL:</w:t>
      </w:r>
      <w:r w:rsidRPr="00075571">
        <w:rPr>
          <w:shd w:val="clear" w:color="auto" w:fill="FFFFFF"/>
        </w:rPr>
        <w:t xml:space="preserve"> </w:t>
      </w:r>
      <w:hyperlink r:id="rId136" w:history="1">
        <w:r w:rsidR="008A194D" w:rsidRPr="008A194D">
          <w:rPr>
            <w:rStyle w:val="Hyperlink"/>
            <w:shd w:val="clear" w:color="auto" w:fill="FFFFFF"/>
          </w:rPr>
          <w:t>www.england.nhs.uk/specialised-commissioning-document-library/service-specifications/</w:t>
        </w:r>
      </w:hyperlink>
      <w:r>
        <w:rPr>
          <w:shd w:val="clear" w:color="auto" w:fill="FFFFFF"/>
        </w:rPr>
        <w:t xml:space="preserve"> (accessed 28 October 2021).</w:t>
      </w:r>
    </w:p>
    <w:p w14:paraId="13A01814" w14:textId="77777777" w:rsidR="009636B7" w:rsidRPr="000329FE" w:rsidRDefault="009636B7" w:rsidP="009636B7">
      <w:pPr>
        <w:pStyle w:val="References"/>
        <w:rPr>
          <w:shd w:val="clear" w:color="auto" w:fill="FFFFFF"/>
        </w:rPr>
      </w:pPr>
      <w:r w:rsidRPr="001A28C6">
        <w:rPr>
          <w:shd w:val="clear" w:color="auto" w:fill="FFFFFF"/>
        </w:rPr>
        <w:t>Nicholls T</w:t>
      </w:r>
      <w:r w:rsidRPr="009E213B">
        <w:rPr>
          <w:shd w:val="clear" w:color="auto" w:fill="FFFFFF"/>
        </w:rPr>
        <w:t xml:space="preserve">L, Butler A, Kendrick-Koch L, </w:t>
      </w:r>
      <w:r w:rsidR="00AD0D58">
        <w:rPr>
          <w:shd w:val="clear" w:color="auto" w:fill="FFFFFF"/>
        </w:rPr>
        <w:t>et al</w:t>
      </w:r>
      <w:r w:rsidRPr="009E213B">
        <w:rPr>
          <w:shd w:val="clear" w:color="auto" w:fill="FFFFFF"/>
        </w:rPr>
        <w:t xml:space="preserve">. 2018. Assessing and treating offenders with mental illness. In M Ternes, P Magaletta </w:t>
      </w:r>
      <w:r>
        <w:rPr>
          <w:shd w:val="clear" w:color="auto" w:fill="FFFFFF"/>
        </w:rPr>
        <w:t>and</w:t>
      </w:r>
      <w:r w:rsidRPr="009E213B">
        <w:rPr>
          <w:shd w:val="clear" w:color="auto" w:fill="FFFFFF"/>
        </w:rPr>
        <w:t xml:space="preserve"> M Patry (</w:t>
      </w:r>
      <w:r>
        <w:rPr>
          <w:shd w:val="clear" w:color="auto" w:fill="FFFFFF"/>
        </w:rPr>
        <w:t>e</w:t>
      </w:r>
      <w:r w:rsidRPr="009E213B">
        <w:rPr>
          <w:shd w:val="clear" w:color="auto" w:fill="FFFFFF"/>
        </w:rPr>
        <w:t>ds)</w:t>
      </w:r>
      <w:r w:rsidRPr="00E42BE0">
        <w:rPr>
          <w:shd w:val="clear" w:color="auto" w:fill="FFFFFF"/>
        </w:rPr>
        <w:t>,</w:t>
      </w:r>
      <w:r w:rsidRPr="0043256B">
        <w:rPr>
          <w:shd w:val="clear" w:color="auto" w:fill="FFFFFF"/>
        </w:rPr>
        <w:t xml:space="preserve"> </w:t>
      </w:r>
      <w:r w:rsidRPr="00DD29A3">
        <w:rPr>
          <w:i/>
          <w:iCs/>
          <w:shd w:val="clear" w:color="auto" w:fill="FFFFFF"/>
        </w:rPr>
        <w:t xml:space="preserve">The </w:t>
      </w:r>
      <w:r>
        <w:rPr>
          <w:i/>
          <w:iCs/>
          <w:shd w:val="clear" w:color="auto" w:fill="FFFFFF"/>
        </w:rPr>
        <w:t>P</w:t>
      </w:r>
      <w:r w:rsidRPr="00DD29A3">
        <w:rPr>
          <w:i/>
          <w:iCs/>
          <w:shd w:val="clear" w:color="auto" w:fill="FFFFFF"/>
        </w:rPr>
        <w:t xml:space="preserve">ractice of </w:t>
      </w:r>
      <w:r>
        <w:rPr>
          <w:i/>
          <w:iCs/>
          <w:shd w:val="clear" w:color="auto" w:fill="FFFFFF"/>
        </w:rPr>
        <w:t>C</w:t>
      </w:r>
      <w:r w:rsidRPr="00DD29A3">
        <w:rPr>
          <w:i/>
          <w:iCs/>
          <w:shd w:val="clear" w:color="auto" w:fill="FFFFFF"/>
        </w:rPr>
        <w:t xml:space="preserve">orrectional </w:t>
      </w:r>
      <w:r>
        <w:rPr>
          <w:i/>
          <w:iCs/>
          <w:shd w:val="clear" w:color="auto" w:fill="FFFFFF"/>
        </w:rPr>
        <w:t>P</w:t>
      </w:r>
      <w:r w:rsidRPr="00DD29A3">
        <w:rPr>
          <w:i/>
          <w:iCs/>
          <w:shd w:val="clear" w:color="auto" w:fill="FFFFFF"/>
        </w:rPr>
        <w:t>sychology</w:t>
      </w:r>
      <w:r w:rsidRPr="00482A5B">
        <w:rPr>
          <w:shd w:val="clear" w:color="auto" w:fill="FFFFFF"/>
        </w:rPr>
        <w:t xml:space="preserve"> (pp. 9</w:t>
      </w:r>
      <w:r w:rsidRPr="00A537F0">
        <w:rPr>
          <w:shd w:val="clear" w:color="auto" w:fill="FFFFFF"/>
        </w:rPr>
        <w:t>–</w:t>
      </w:r>
      <w:r w:rsidRPr="004034BB">
        <w:rPr>
          <w:shd w:val="clear" w:color="auto" w:fill="FFFFFF"/>
        </w:rPr>
        <w:t>37). New York</w:t>
      </w:r>
      <w:r w:rsidRPr="00C9607A">
        <w:rPr>
          <w:shd w:val="clear" w:color="auto" w:fill="FFFFFF"/>
        </w:rPr>
        <w:t>: Springer.</w:t>
      </w:r>
    </w:p>
    <w:p w14:paraId="7FC86F29" w14:textId="77777777" w:rsidR="009636B7" w:rsidRPr="000329FE" w:rsidRDefault="009636B7" w:rsidP="009636B7">
      <w:pPr>
        <w:pStyle w:val="References"/>
      </w:pPr>
      <w:r w:rsidRPr="000329FE">
        <w:rPr>
          <w:shd w:val="clear" w:color="auto" w:fill="FFFFFF"/>
        </w:rPr>
        <w:t xml:space="preserve">Nicholls TL, Crocker AG, Seto MC, </w:t>
      </w:r>
      <w:r w:rsidR="00AD0D58">
        <w:rPr>
          <w:shd w:val="clear" w:color="auto" w:fill="FFFFFF"/>
        </w:rPr>
        <w:t>et al</w:t>
      </w:r>
      <w:r w:rsidRPr="000329FE">
        <w:rPr>
          <w:shd w:val="clear" w:color="auto" w:fill="FFFFFF"/>
        </w:rPr>
        <w:t>. 2015. Guidelines for improving forensic mental health in inpatient psychiatric settings. In R Roesch</w:t>
      </w:r>
      <w:r>
        <w:rPr>
          <w:shd w:val="clear" w:color="auto" w:fill="FFFFFF"/>
        </w:rPr>
        <w:t>,</w:t>
      </w:r>
      <w:r w:rsidRPr="000329FE">
        <w:rPr>
          <w:shd w:val="clear" w:color="auto" w:fill="FFFFFF"/>
        </w:rPr>
        <w:t xml:space="preserve"> AN Cook (</w:t>
      </w:r>
      <w:r>
        <w:rPr>
          <w:shd w:val="clear" w:color="auto" w:fill="FFFFFF"/>
        </w:rPr>
        <w:t>e</w:t>
      </w:r>
      <w:r w:rsidRPr="000329FE">
        <w:rPr>
          <w:shd w:val="clear" w:color="auto" w:fill="FFFFFF"/>
        </w:rPr>
        <w:t xml:space="preserve">ds), </w:t>
      </w:r>
      <w:r w:rsidRPr="000329FE">
        <w:rPr>
          <w:i/>
          <w:iCs/>
          <w:shd w:val="clear" w:color="auto" w:fill="FFFFFF"/>
        </w:rPr>
        <w:t xml:space="preserve">Handbook of </w:t>
      </w:r>
      <w:r>
        <w:rPr>
          <w:i/>
          <w:iCs/>
          <w:shd w:val="clear" w:color="auto" w:fill="FFFFFF"/>
        </w:rPr>
        <w:t>F</w:t>
      </w:r>
      <w:r w:rsidRPr="000329FE">
        <w:rPr>
          <w:i/>
          <w:iCs/>
          <w:shd w:val="clear" w:color="auto" w:fill="FFFFFF"/>
        </w:rPr>
        <w:t xml:space="preserve">orensic </w:t>
      </w:r>
      <w:r>
        <w:rPr>
          <w:i/>
          <w:iCs/>
          <w:shd w:val="clear" w:color="auto" w:fill="FFFFFF"/>
        </w:rPr>
        <w:t>M</w:t>
      </w:r>
      <w:r w:rsidRPr="000329FE">
        <w:rPr>
          <w:i/>
          <w:iCs/>
          <w:shd w:val="clear" w:color="auto" w:fill="FFFFFF"/>
        </w:rPr>
        <w:t xml:space="preserve">ental </w:t>
      </w:r>
      <w:r>
        <w:rPr>
          <w:i/>
          <w:iCs/>
          <w:shd w:val="clear" w:color="auto" w:fill="FFFFFF"/>
        </w:rPr>
        <w:t>H</w:t>
      </w:r>
      <w:r w:rsidRPr="000329FE">
        <w:rPr>
          <w:i/>
          <w:iCs/>
          <w:shd w:val="clear" w:color="auto" w:fill="FFFFFF"/>
        </w:rPr>
        <w:t xml:space="preserve">ealth </w:t>
      </w:r>
      <w:r>
        <w:rPr>
          <w:i/>
          <w:iCs/>
          <w:shd w:val="clear" w:color="auto" w:fill="FFFFFF"/>
        </w:rPr>
        <w:t>S</w:t>
      </w:r>
      <w:r w:rsidRPr="000329FE">
        <w:rPr>
          <w:i/>
          <w:iCs/>
          <w:shd w:val="clear" w:color="auto" w:fill="FFFFFF"/>
        </w:rPr>
        <w:t>ervices</w:t>
      </w:r>
      <w:r w:rsidRPr="000329FE">
        <w:rPr>
          <w:shd w:val="clear" w:color="auto" w:fill="FFFFFF"/>
        </w:rPr>
        <w:t xml:space="preserve"> (pp. 496–542). New York: Routledge.</w:t>
      </w:r>
    </w:p>
    <w:p w14:paraId="475D6511" w14:textId="77777777" w:rsidR="009636B7" w:rsidRPr="000329FE" w:rsidRDefault="009636B7" w:rsidP="009636B7">
      <w:pPr>
        <w:pStyle w:val="References"/>
        <w:rPr>
          <w:rFonts w:ascii="Times New Roman" w:hAnsi="Times New Roman"/>
        </w:rPr>
      </w:pPr>
      <w:bookmarkStart w:id="195" w:name="_Hlk84424028"/>
      <w:r w:rsidRPr="000329FE">
        <w:t>Nicholls T</w:t>
      </w:r>
      <w:r>
        <w:t>,</w:t>
      </w:r>
      <w:r w:rsidRPr="000329FE">
        <w:t xml:space="preserve"> Goossens I. 2017. Guidelines for improving forensic mental health in inpatient psychiatric settings. In R Roesch</w:t>
      </w:r>
      <w:r>
        <w:t>,</w:t>
      </w:r>
      <w:r w:rsidRPr="000329FE">
        <w:t xml:space="preserve"> AN Cook (</w:t>
      </w:r>
      <w:r>
        <w:t>e</w:t>
      </w:r>
      <w:r w:rsidRPr="000329FE">
        <w:t xml:space="preserve">ds), </w:t>
      </w:r>
      <w:r w:rsidRPr="000329FE">
        <w:rPr>
          <w:i/>
          <w:iCs/>
        </w:rPr>
        <w:t xml:space="preserve">Handbook of </w:t>
      </w:r>
      <w:r>
        <w:rPr>
          <w:i/>
          <w:iCs/>
        </w:rPr>
        <w:t>F</w:t>
      </w:r>
      <w:r w:rsidRPr="000329FE">
        <w:rPr>
          <w:i/>
          <w:iCs/>
        </w:rPr>
        <w:t xml:space="preserve">orensic </w:t>
      </w:r>
      <w:r>
        <w:rPr>
          <w:i/>
          <w:iCs/>
        </w:rPr>
        <w:t>M</w:t>
      </w:r>
      <w:r w:rsidRPr="000329FE">
        <w:rPr>
          <w:i/>
          <w:iCs/>
        </w:rPr>
        <w:t xml:space="preserve">ental </w:t>
      </w:r>
      <w:r>
        <w:rPr>
          <w:i/>
          <w:iCs/>
        </w:rPr>
        <w:t>H</w:t>
      </w:r>
      <w:r w:rsidRPr="000329FE">
        <w:rPr>
          <w:i/>
          <w:iCs/>
        </w:rPr>
        <w:t xml:space="preserve">ealth </w:t>
      </w:r>
      <w:r>
        <w:rPr>
          <w:i/>
          <w:iCs/>
        </w:rPr>
        <w:t>S</w:t>
      </w:r>
      <w:r w:rsidRPr="000329FE">
        <w:rPr>
          <w:i/>
          <w:iCs/>
        </w:rPr>
        <w:t xml:space="preserve">ervices </w:t>
      </w:r>
      <w:r w:rsidRPr="000329FE">
        <w:t>(pp. 496–542). New York, NY: Routledge.</w:t>
      </w:r>
    </w:p>
    <w:bookmarkEnd w:id="195"/>
    <w:p w14:paraId="64FB09AD" w14:textId="77777777" w:rsidR="009636B7" w:rsidRPr="000329FE" w:rsidRDefault="009636B7" w:rsidP="009636B7">
      <w:pPr>
        <w:pStyle w:val="References"/>
        <w:rPr>
          <w:shd w:val="clear" w:color="auto" w:fill="FFFFFF"/>
        </w:rPr>
      </w:pPr>
      <w:r w:rsidRPr="000329FE">
        <w:rPr>
          <w:shd w:val="clear" w:color="auto" w:fill="FFFFFF"/>
        </w:rPr>
        <w:t xml:space="preserve">Nicholls TL, Petersen KL, Kendrick-Koch L, </w:t>
      </w:r>
      <w:r w:rsidR="00AD0D58">
        <w:rPr>
          <w:shd w:val="clear" w:color="auto" w:fill="FFFFFF"/>
        </w:rPr>
        <w:t>et al</w:t>
      </w:r>
      <w:r w:rsidRPr="000329FE">
        <w:rPr>
          <w:shd w:val="clear" w:color="auto" w:fill="FFFFFF"/>
        </w:rPr>
        <w:t>. (Forthcoming). Critical review of treatment approaches with mentally disordered offenders, with a particular focus on strengths-based models and programs. In C Langton</w:t>
      </w:r>
      <w:r>
        <w:rPr>
          <w:shd w:val="clear" w:color="auto" w:fill="FFFFFF"/>
        </w:rPr>
        <w:t>,</w:t>
      </w:r>
      <w:r w:rsidRPr="000329FE">
        <w:rPr>
          <w:shd w:val="clear" w:color="auto" w:fill="FFFFFF"/>
        </w:rPr>
        <w:t xml:space="preserve"> J Worling (</w:t>
      </w:r>
      <w:r>
        <w:rPr>
          <w:shd w:val="clear" w:color="auto" w:fill="FFFFFF"/>
        </w:rPr>
        <w:t>e</w:t>
      </w:r>
      <w:r w:rsidRPr="000329FE">
        <w:rPr>
          <w:shd w:val="clear" w:color="auto" w:fill="FFFFFF"/>
        </w:rPr>
        <w:t xml:space="preserve">ds), </w:t>
      </w:r>
      <w:r w:rsidRPr="000329FE">
        <w:rPr>
          <w:i/>
          <w:iCs/>
          <w:shd w:val="clear" w:color="auto" w:fill="FFFFFF"/>
        </w:rPr>
        <w:t xml:space="preserve">The Wiley </w:t>
      </w:r>
      <w:r>
        <w:rPr>
          <w:i/>
          <w:iCs/>
          <w:shd w:val="clear" w:color="auto" w:fill="FFFFFF"/>
        </w:rPr>
        <w:t>H</w:t>
      </w:r>
      <w:r w:rsidRPr="000329FE">
        <w:rPr>
          <w:i/>
          <w:iCs/>
          <w:shd w:val="clear" w:color="auto" w:fill="FFFFFF"/>
        </w:rPr>
        <w:t xml:space="preserve">andbook of </w:t>
      </w:r>
      <w:r>
        <w:rPr>
          <w:i/>
          <w:iCs/>
          <w:shd w:val="clear" w:color="auto" w:fill="FFFFFF"/>
        </w:rPr>
        <w:t>O</w:t>
      </w:r>
      <w:r w:rsidRPr="000329FE">
        <w:rPr>
          <w:i/>
          <w:iCs/>
          <w:shd w:val="clear" w:color="auto" w:fill="FFFFFF"/>
        </w:rPr>
        <w:t xml:space="preserve">ffender </w:t>
      </w:r>
      <w:r>
        <w:rPr>
          <w:i/>
          <w:iCs/>
          <w:shd w:val="clear" w:color="auto" w:fill="FFFFFF"/>
        </w:rPr>
        <w:t>D</w:t>
      </w:r>
      <w:r w:rsidRPr="000329FE">
        <w:rPr>
          <w:i/>
          <w:iCs/>
          <w:shd w:val="clear" w:color="auto" w:fill="FFFFFF"/>
        </w:rPr>
        <w:t xml:space="preserve">esistance from </w:t>
      </w:r>
      <w:r>
        <w:rPr>
          <w:i/>
          <w:iCs/>
          <w:shd w:val="clear" w:color="auto" w:fill="FFFFFF"/>
        </w:rPr>
        <w:t>A</w:t>
      </w:r>
      <w:r w:rsidRPr="000329FE">
        <w:rPr>
          <w:i/>
          <w:iCs/>
          <w:shd w:val="clear" w:color="auto" w:fill="FFFFFF"/>
        </w:rPr>
        <w:t xml:space="preserve">ggression and </w:t>
      </w:r>
      <w:r>
        <w:rPr>
          <w:i/>
          <w:iCs/>
          <w:shd w:val="clear" w:color="auto" w:fill="FFFFFF"/>
        </w:rPr>
        <w:t>C</w:t>
      </w:r>
      <w:r w:rsidRPr="000329FE">
        <w:rPr>
          <w:i/>
          <w:iCs/>
          <w:shd w:val="clear" w:color="auto" w:fill="FFFFFF"/>
        </w:rPr>
        <w:t>rime: Theory, research, and evidence-based practice</w:t>
      </w:r>
      <w:r w:rsidRPr="000329FE">
        <w:rPr>
          <w:shd w:val="clear" w:color="auto" w:fill="FFFFFF"/>
        </w:rPr>
        <w:t>. Chichester: John Wiley &amp; Sons.</w:t>
      </w:r>
    </w:p>
    <w:p w14:paraId="0DAF1D26" w14:textId="77777777" w:rsidR="009636B7" w:rsidRPr="00DD29A3" w:rsidRDefault="009636B7" w:rsidP="009636B7">
      <w:pPr>
        <w:pStyle w:val="References"/>
      </w:pPr>
      <w:r w:rsidRPr="001A28C6">
        <w:rPr>
          <w:shd w:val="clear" w:color="auto" w:fill="FFFFFF"/>
        </w:rPr>
        <w:t>O</w:t>
      </w:r>
      <w:r w:rsidR="00EE0ADB">
        <w:rPr>
          <w:shd w:val="clear" w:color="auto" w:fill="FFFFFF"/>
        </w:rPr>
        <w:t>’</w:t>
      </w:r>
      <w:r w:rsidRPr="001A28C6">
        <w:rPr>
          <w:shd w:val="clear" w:color="auto" w:fill="FFFFFF"/>
        </w:rPr>
        <w:t xml:space="preserve">Donahoo J, Simmonds JG. 2016. Forensic patients and forensic mental health in Victoria: Legal context, clinical pathways, and practice challenges. </w:t>
      </w:r>
      <w:r w:rsidRPr="001A28C6">
        <w:rPr>
          <w:i/>
          <w:iCs/>
        </w:rPr>
        <w:t xml:space="preserve">Australian Social Work </w:t>
      </w:r>
      <w:r w:rsidRPr="00561492">
        <w:t>69</w:t>
      </w:r>
      <w:r w:rsidRPr="00E42BE0">
        <w:t>(2)</w:t>
      </w:r>
      <w:r>
        <w:t>:</w:t>
      </w:r>
      <w:r w:rsidRPr="00E42BE0">
        <w:t xml:space="preserve"> 169–80.</w:t>
      </w:r>
      <w:r w:rsidRPr="0043256B">
        <w:rPr>
          <w:shd w:val="clear" w:color="auto" w:fill="FFFFFF"/>
        </w:rPr>
        <w:t xml:space="preserve"> </w:t>
      </w:r>
      <w:r>
        <w:rPr>
          <w:shd w:val="clear" w:color="auto" w:fill="FFFFFF"/>
        </w:rPr>
        <w:t xml:space="preserve">URL: </w:t>
      </w:r>
      <w:hyperlink r:id="rId137" w:history="1">
        <w:r w:rsidR="008A194D" w:rsidRPr="008A194D">
          <w:rPr>
            <w:rStyle w:val="Hyperlink"/>
            <w:shd w:val="clear" w:color="auto" w:fill="FFFFFF"/>
          </w:rPr>
          <w:t>https://doi.org/10.1080/0312407X.2015.1126750</w:t>
        </w:r>
      </w:hyperlink>
      <w:r>
        <w:rPr>
          <w:shd w:val="clear" w:color="auto" w:fill="FFFFFF"/>
        </w:rPr>
        <w:t xml:space="preserve"> (accessed 12 October 2021).</w:t>
      </w:r>
    </w:p>
    <w:p w14:paraId="11FDF27B" w14:textId="77777777" w:rsidR="009636B7" w:rsidRPr="000329FE" w:rsidRDefault="009636B7" w:rsidP="009636B7">
      <w:pPr>
        <w:pStyle w:val="References"/>
      </w:pPr>
      <w:r w:rsidRPr="00482A5B">
        <w:t xml:space="preserve">Office of the Auditor-General. 2008. </w:t>
      </w:r>
      <w:r w:rsidRPr="00A537F0">
        <w:rPr>
          <w:i/>
          <w:iCs/>
        </w:rPr>
        <w:t xml:space="preserve">Mental </w:t>
      </w:r>
      <w:r>
        <w:rPr>
          <w:i/>
          <w:iCs/>
        </w:rPr>
        <w:t>H</w:t>
      </w:r>
      <w:r w:rsidRPr="00A537F0">
        <w:rPr>
          <w:i/>
          <w:iCs/>
        </w:rPr>
        <w:t xml:space="preserve">ealth </w:t>
      </w:r>
      <w:r>
        <w:rPr>
          <w:i/>
          <w:iCs/>
        </w:rPr>
        <w:t>S</w:t>
      </w:r>
      <w:r w:rsidRPr="00A537F0">
        <w:rPr>
          <w:i/>
          <w:iCs/>
        </w:rPr>
        <w:t xml:space="preserve">ervices for </w:t>
      </w:r>
      <w:r>
        <w:rPr>
          <w:i/>
          <w:iCs/>
        </w:rPr>
        <w:t>P</w:t>
      </w:r>
      <w:r w:rsidRPr="00A537F0">
        <w:rPr>
          <w:i/>
          <w:iCs/>
        </w:rPr>
        <w:t>risoners</w:t>
      </w:r>
      <w:r w:rsidRPr="004034BB">
        <w:t xml:space="preserve">. Wellington: </w:t>
      </w:r>
      <w:r w:rsidRPr="00482A5B">
        <w:t>Office of the Auditor-General</w:t>
      </w:r>
      <w:r w:rsidRPr="00C9607A">
        <w:t xml:space="preserve">. </w:t>
      </w:r>
      <w:r>
        <w:t xml:space="preserve">URL: </w:t>
      </w:r>
      <w:hyperlink r:id="rId138" w:history="1">
        <w:r w:rsidR="008A194D" w:rsidRPr="008A194D">
          <w:rPr>
            <w:rStyle w:val="Hyperlink"/>
          </w:rPr>
          <w:t>www.oag.govt.nz/2008/prisoners-mental-health/docs/mental-health.pdf/view</w:t>
        </w:r>
      </w:hyperlink>
      <w:r>
        <w:t xml:space="preserve"> (accessed 28 October 2021).</w:t>
      </w:r>
    </w:p>
    <w:p w14:paraId="564C0A96" w14:textId="77777777" w:rsidR="00EE0ADB" w:rsidRDefault="009636B7" w:rsidP="009636B7">
      <w:pPr>
        <w:pStyle w:val="References"/>
      </w:pPr>
      <w:r w:rsidRPr="00075571">
        <w:t>O</w:t>
      </w:r>
      <w:r w:rsidR="00EE0ADB">
        <w:t>’</w:t>
      </w:r>
      <w:r w:rsidRPr="00075571">
        <w:t xml:space="preserve">Neill O. 2012. </w:t>
      </w:r>
      <w:r w:rsidRPr="00075571">
        <w:rPr>
          <w:i/>
          <w:iCs/>
        </w:rPr>
        <w:t xml:space="preserve">National </w:t>
      </w:r>
      <w:r>
        <w:rPr>
          <w:i/>
          <w:iCs/>
        </w:rPr>
        <w:t>O</w:t>
      </w:r>
      <w:r w:rsidRPr="00075571">
        <w:rPr>
          <w:i/>
          <w:iCs/>
        </w:rPr>
        <w:t xml:space="preserve">verview of </w:t>
      </w:r>
      <w:r>
        <w:rPr>
          <w:i/>
          <w:iCs/>
        </w:rPr>
        <w:t>F</w:t>
      </w:r>
      <w:r w:rsidRPr="00075571">
        <w:rPr>
          <w:i/>
          <w:iCs/>
        </w:rPr>
        <w:t xml:space="preserve">orensic </w:t>
      </w:r>
      <w:r>
        <w:rPr>
          <w:i/>
          <w:iCs/>
        </w:rPr>
        <w:t>M</w:t>
      </w:r>
      <w:r w:rsidRPr="00075571">
        <w:rPr>
          <w:i/>
          <w:iCs/>
        </w:rPr>
        <w:t xml:space="preserve">ental </w:t>
      </w:r>
      <w:r>
        <w:rPr>
          <w:i/>
          <w:iCs/>
        </w:rPr>
        <w:t>H</w:t>
      </w:r>
      <w:r w:rsidRPr="00075571">
        <w:rPr>
          <w:i/>
          <w:iCs/>
        </w:rPr>
        <w:t xml:space="preserve">ealth </w:t>
      </w:r>
      <w:r>
        <w:rPr>
          <w:i/>
          <w:iCs/>
        </w:rPr>
        <w:t>S</w:t>
      </w:r>
      <w:r w:rsidRPr="00075571">
        <w:rPr>
          <w:i/>
          <w:iCs/>
        </w:rPr>
        <w:t>ervices Ireland 2011</w:t>
      </w:r>
      <w:r w:rsidRPr="00075571">
        <w:t xml:space="preserve">. Dublin: Mental Health Commission. </w:t>
      </w:r>
      <w:r>
        <w:t>URL:</w:t>
      </w:r>
      <w:r w:rsidRPr="00075571">
        <w:t xml:space="preserve"> </w:t>
      </w:r>
      <w:hyperlink r:id="rId139" w:history="1">
        <w:r w:rsidR="008A194D" w:rsidRPr="008A194D">
          <w:rPr>
            <w:rStyle w:val="Hyperlink"/>
          </w:rPr>
          <w:t>www.mhcirl.ie/Inspectorate_of_Mental_Health_Services/National_Overview_Reports/NOR_130314.html</w:t>
        </w:r>
      </w:hyperlink>
      <w:r>
        <w:t xml:space="preserve"> (accessed 2 November 2021).</w:t>
      </w:r>
    </w:p>
    <w:p w14:paraId="3E3EF548" w14:textId="77777777" w:rsidR="009636B7" w:rsidRPr="00482A5B" w:rsidRDefault="009636B7" w:rsidP="00A0717A">
      <w:pPr>
        <w:pStyle w:val="References"/>
        <w:keepNext/>
        <w:keepLines/>
      </w:pPr>
      <w:r w:rsidRPr="001A28C6">
        <w:t>O</w:t>
      </w:r>
      <w:r w:rsidR="00EE0ADB">
        <w:t>’</w:t>
      </w:r>
      <w:r w:rsidRPr="001A28C6">
        <w:t xml:space="preserve">Neill C, Smith D, Caddow M, </w:t>
      </w:r>
      <w:r w:rsidR="00AD0D58">
        <w:t>et al</w:t>
      </w:r>
      <w:r w:rsidRPr="001A28C6">
        <w:t xml:space="preserve">. 2016. STRESS-testing clinical activity and outcomes for a combined prison in-reach and court liaison service: A 3-year observational study of 6177 consecutive male remands. </w:t>
      </w:r>
      <w:r w:rsidRPr="00E42BE0">
        <w:rPr>
          <w:i/>
          <w:iCs/>
        </w:rPr>
        <w:t xml:space="preserve">International Journal of Mental Health Systems </w:t>
      </w:r>
      <w:r w:rsidRPr="00561492">
        <w:t>10</w:t>
      </w:r>
      <w:r w:rsidRPr="0043256B">
        <w:t>(1)</w:t>
      </w:r>
      <w:r>
        <w:t>:</w:t>
      </w:r>
      <w:r w:rsidRPr="0043256B">
        <w:t xml:space="preserve"> Article </w:t>
      </w:r>
      <w:r w:rsidRPr="00DD29A3">
        <w:t xml:space="preserve">No. 67. </w:t>
      </w:r>
      <w:r>
        <w:t>DOI</w:t>
      </w:r>
      <w:r w:rsidRPr="00DD29A3">
        <w:t>:</w:t>
      </w:r>
      <w:r>
        <w:t xml:space="preserve"> </w:t>
      </w:r>
      <w:r w:rsidRPr="00DD29A3">
        <w:t>10.1186/s13033-016-0097-z</w:t>
      </w:r>
      <w:r>
        <w:t xml:space="preserve"> (accessed 27 October 2021).</w:t>
      </w:r>
    </w:p>
    <w:p w14:paraId="1054AE5D" w14:textId="77777777" w:rsidR="009636B7" w:rsidRPr="000329FE" w:rsidRDefault="009636B7" w:rsidP="009636B7">
      <w:pPr>
        <w:pStyle w:val="References"/>
      </w:pPr>
      <w:r w:rsidRPr="00FB779C">
        <w:t xml:space="preserve">Ogloff JRP. 2002. Identifying and accommodating the needs of mentally ill people in gaols and prisons. </w:t>
      </w:r>
      <w:r w:rsidRPr="000329FE">
        <w:rPr>
          <w:i/>
          <w:iCs/>
        </w:rPr>
        <w:t xml:space="preserve">Psychiatry, Psychology and Law </w:t>
      </w:r>
      <w:r w:rsidRPr="00561492">
        <w:t>9</w:t>
      </w:r>
      <w:r w:rsidRPr="000329FE">
        <w:t>(1)</w:t>
      </w:r>
      <w:r>
        <w:t>:</w:t>
      </w:r>
      <w:r w:rsidRPr="000329FE">
        <w:t xml:space="preserve"> 1–33. </w:t>
      </w:r>
      <w:r>
        <w:t>DOI</w:t>
      </w:r>
      <w:r w:rsidRPr="000329FE">
        <w:t>:</w:t>
      </w:r>
      <w:r>
        <w:t xml:space="preserve"> </w:t>
      </w:r>
      <w:r w:rsidRPr="000329FE">
        <w:t>10.1375/pplt.2002.9.1.1</w:t>
      </w:r>
      <w:r>
        <w:t xml:space="preserve"> (accessed 11 October 2021).</w:t>
      </w:r>
    </w:p>
    <w:p w14:paraId="1BB1EC25" w14:textId="77777777" w:rsidR="009636B7" w:rsidRPr="000329FE" w:rsidRDefault="009636B7" w:rsidP="009636B7">
      <w:pPr>
        <w:pStyle w:val="References"/>
      </w:pPr>
      <w:r w:rsidRPr="000329FE">
        <w:rPr>
          <w:shd w:val="clear" w:color="auto" w:fill="FFFFFF"/>
        </w:rPr>
        <w:t xml:space="preserve">Orovwuje PR. 2008. Contemporary challenges in forensic mental health: The ingenuity of the multidisciplinary team. </w:t>
      </w:r>
      <w:r w:rsidRPr="000329FE">
        <w:rPr>
          <w:i/>
          <w:iCs/>
          <w:shd w:val="clear" w:color="auto" w:fill="FFFFFF"/>
        </w:rPr>
        <w:t xml:space="preserve">Mental Health Review Journal </w:t>
      </w:r>
      <w:r w:rsidRPr="00561492">
        <w:rPr>
          <w:shd w:val="clear" w:color="auto" w:fill="FFFFFF"/>
        </w:rPr>
        <w:t>13(2)</w:t>
      </w:r>
      <w:r>
        <w:rPr>
          <w:shd w:val="clear" w:color="auto" w:fill="FFFFFF"/>
        </w:rPr>
        <w:t>:</w:t>
      </w:r>
      <w:r w:rsidRPr="000329FE">
        <w:rPr>
          <w:i/>
          <w:iCs/>
          <w:shd w:val="clear" w:color="auto" w:fill="FFFFFF"/>
        </w:rPr>
        <w:t xml:space="preserve"> </w:t>
      </w:r>
      <w:r w:rsidRPr="00561492">
        <w:rPr>
          <w:shd w:val="clear" w:color="auto" w:fill="FFFFFF"/>
        </w:rPr>
        <w:t>24–34.</w:t>
      </w:r>
      <w:r w:rsidRPr="000329FE">
        <w:rPr>
          <w:shd w:val="clear" w:color="auto" w:fill="FFFFFF"/>
        </w:rPr>
        <w:t xml:space="preserve"> </w:t>
      </w:r>
      <w:r>
        <w:rPr>
          <w:shd w:val="clear" w:color="auto" w:fill="FFFFFF"/>
        </w:rPr>
        <w:t xml:space="preserve">URL: </w:t>
      </w:r>
      <w:hyperlink r:id="rId140" w:history="1">
        <w:r w:rsidR="008A194D" w:rsidRPr="008A194D">
          <w:rPr>
            <w:rStyle w:val="Hyperlink"/>
            <w:shd w:val="clear" w:color="auto" w:fill="FFFFFF"/>
          </w:rPr>
          <w:t>https://doi.org/10.1108/13619322200800011</w:t>
        </w:r>
      </w:hyperlink>
      <w:r>
        <w:rPr>
          <w:shd w:val="clear" w:color="auto" w:fill="FFFFFF"/>
        </w:rPr>
        <w:t xml:space="preserve"> (accessed 11 October 2021).</w:t>
      </w:r>
    </w:p>
    <w:p w14:paraId="13BD106D" w14:textId="77777777" w:rsidR="009636B7" w:rsidRPr="00561492" w:rsidRDefault="009636B7" w:rsidP="009636B7">
      <w:pPr>
        <w:pStyle w:val="References"/>
        <w:rPr>
          <w:shd w:val="clear" w:color="auto" w:fill="FFFFFF"/>
        </w:rPr>
      </w:pPr>
      <w:r w:rsidRPr="000329FE">
        <w:t xml:space="preserve">Orr EM, Baker M, Ramsay L. 2007. Referrals to the Glasgow sheriff court liaison scheme since the introduction of referral criteria. </w:t>
      </w:r>
      <w:r w:rsidRPr="000329FE">
        <w:rPr>
          <w:i/>
          <w:iCs/>
        </w:rPr>
        <w:t xml:space="preserve">Medicine, Science and the Law </w:t>
      </w:r>
      <w:r w:rsidRPr="00561492">
        <w:t>47</w:t>
      </w:r>
      <w:r w:rsidRPr="000329FE">
        <w:t>(4)</w:t>
      </w:r>
      <w:r>
        <w:t>:</w:t>
      </w:r>
      <w:r w:rsidRPr="000329FE">
        <w:t xml:space="preserve"> 325–9. </w:t>
      </w:r>
      <w:r>
        <w:t xml:space="preserve">URL: </w:t>
      </w:r>
      <w:hyperlink r:id="rId141" w:history="1">
        <w:r w:rsidR="008A194D" w:rsidRPr="008A194D">
          <w:rPr>
            <w:rStyle w:val="Hyperlink"/>
          </w:rPr>
          <w:t>https://doi.org/10.1258/rsmmsl.47.4.325</w:t>
        </w:r>
      </w:hyperlink>
      <w:r>
        <w:rPr>
          <w:shd w:val="clear" w:color="auto" w:fill="FFFFFF"/>
        </w:rPr>
        <w:t xml:space="preserve"> (accessed 26 October 2021).</w:t>
      </w:r>
    </w:p>
    <w:p w14:paraId="572BD5ED" w14:textId="77777777" w:rsidR="009636B7" w:rsidRPr="000329FE" w:rsidRDefault="009636B7" w:rsidP="009636B7">
      <w:pPr>
        <w:pStyle w:val="References"/>
      </w:pPr>
      <w:r>
        <w:t xml:space="preserve">Paterson R, Durie M, Disley B, </w:t>
      </w:r>
      <w:r w:rsidR="00AD0D58">
        <w:t>et al</w:t>
      </w:r>
      <w:r>
        <w:t xml:space="preserve">. 2018. </w:t>
      </w:r>
      <w:r w:rsidRPr="002050F6">
        <w:rPr>
          <w:i/>
          <w:iCs/>
        </w:rPr>
        <w:t>He Ara Oranga: Report of the Government Inquiry into Mental Health and Addiction</w:t>
      </w:r>
      <w:r w:rsidRPr="00561492">
        <w:t>.</w:t>
      </w:r>
      <w:r>
        <w:t xml:space="preserve"> Wellington: Government Inquiry into Mental Health and Addiction.</w:t>
      </w:r>
    </w:p>
    <w:p w14:paraId="47BAC501" w14:textId="77777777" w:rsidR="009636B7" w:rsidRPr="000329FE" w:rsidRDefault="009636B7" w:rsidP="009636B7">
      <w:pPr>
        <w:pStyle w:val="References"/>
      </w:pPr>
      <w:r w:rsidRPr="000329FE">
        <w:t xml:space="preserve">Pakes F, Winstone J. 2010. A site visit survey of 101 mental health liaison and diversion schemes in England. </w:t>
      </w:r>
      <w:r w:rsidRPr="000329FE">
        <w:rPr>
          <w:i/>
          <w:iCs/>
        </w:rPr>
        <w:t xml:space="preserve">Journal of Forensic Psychiatry and Psychology </w:t>
      </w:r>
      <w:r w:rsidRPr="00561492">
        <w:t>21</w:t>
      </w:r>
      <w:r w:rsidRPr="000329FE">
        <w:t>(6)</w:t>
      </w:r>
      <w:r>
        <w:t>:</w:t>
      </w:r>
      <w:r w:rsidRPr="000329FE">
        <w:t xml:space="preserve"> 873–86. </w:t>
      </w:r>
      <w:r>
        <w:t>DOI</w:t>
      </w:r>
      <w:r w:rsidRPr="000329FE">
        <w:t>:</w:t>
      </w:r>
      <w:r>
        <w:t xml:space="preserve"> </w:t>
      </w:r>
      <w:r w:rsidRPr="000329FE">
        <w:t>10.1080/14789949.2010.511241</w:t>
      </w:r>
      <w:r>
        <w:t xml:space="preserve"> (accessed 26 October 2021).</w:t>
      </w:r>
    </w:p>
    <w:p w14:paraId="6324A462" w14:textId="77777777" w:rsidR="009636B7" w:rsidRPr="000329FE" w:rsidRDefault="009636B7" w:rsidP="009636B7">
      <w:pPr>
        <w:pStyle w:val="References"/>
      </w:pPr>
      <w:r w:rsidRPr="000329FE">
        <w:t xml:space="preserve">Palermo GB. 2010. The Nevada mental health courts. </w:t>
      </w:r>
      <w:r w:rsidRPr="000329FE">
        <w:rPr>
          <w:i/>
          <w:iCs/>
        </w:rPr>
        <w:t xml:space="preserve">International Journal of Law and Psychiatry </w:t>
      </w:r>
      <w:r w:rsidRPr="00561492">
        <w:t>33</w:t>
      </w:r>
      <w:r w:rsidRPr="000329FE">
        <w:t>(4)</w:t>
      </w:r>
      <w:r>
        <w:t>:</w:t>
      </w:r>
      <w:r w:rsidRPr="000329FE">
        <w:t xml:space="preserve"> 214–19. </w:t>
      </w:r>
      <w:r>
        <w:t xml:space="preserve">URL: </w:t>
      </w:r>
      <w:hyperlink r:id="rId142" w:history="1">
        <w:r w:rsidR="008A194D" w:rsidRPr="008A194D">
          <w:rPr>
            <w:rStyle w:val="Hyperlink"/>
          </w:rPr>
          <w:t>https://doi.org/10.1016/j.ijlp.2010.06.002</w:t>
        </w:r>
      </w:hyperlink>
      <w:r>
        <w:t xml:space="preserve"> (accessed 27 October 2021).</w:t>
      </w:r>
    </w:p>
    <w:p w14:paraId="0FC32875" w14:textId="77777777" w:rsidR="009636B7" w:rsidRPr="000329FE" w:rsidRDefault="009636B7" w:rsidP="009636B7">
      <w:pPr>
        <w:pStyle w:val="References"/>
        <w:rPr>
          <w:shd w:val="clear" w:color="auto" w:fill="FFFFFF"/>
        </w:rPr>
      </w:pPr>
      <w:r w:rsidRPr="000329FE">
        <w:rPr>
          <w:shd w:val="clear" w:color="auto" w:fill="FFFFFF"/>
        </w:rPr>
        <w:t xml:space="preserve">Parry-Crooke G, Stafford P. 2009. </w:t>
      </w:r>
      <w:r w:rsidRPr="000329FE">
        <w:rPr>
          <w:i/>
          <w:iCs/>
          <w:shd w:val="clear" w:color="auto" w:fill="FFFFFF"/>
        </w:rPr>
        <w:t xml:space="preserve">My </w:t>
      </w:r>
      <w:r>
        <w:rPr>
          <w:i/>
          <w:iCs/>
          <w:shd w:val="clear" w:color="auto" w:fill="FFFFFF"/>
        </w:rPr>
        <w:t>L</w:t>
      </w:r>
      <w:r w:rsidRPr="000329FE">
        <w:rPr>
          <w:i/>
          <w:iCs/>
          <w:shd w:val="clear" w:color="auto" w:fill="FFFFFF"/>
        </w:rPr>
        <w:t>ife: In safe hands? Summary report of an evaluation of women</w:t>
      </w:r>
      <w:r w:rsidR="00EE0ADB">
        <w:rPr>
          <w:i/>
          <w:iCs/>
          <w:shd w:val="clear" w:color="auto" w:fill="FFFFFF"/>
        </w:rPr>
        <w:t>’</w:t>
      </w:r>
      <w:r w:rsidRPr="000329FE">
        <w:rPr>
          <w:i/>
          <w:iCs/>
          <w:shd w:val="clear" w:color="auto" w:fill="FFFFFF"/>
        </w:rPr>
        <w:t>s medium secure services</w:t>
      </w:r>
      <w:r w:rsidRPr="000329FE">
        <w:rPr>
          <w:shd w:val="clear" w:color="auto" w:fill="FFFFFF"/>
        </w:rPr>
        <w:t>. London: London Metropolitan University.</w:t>
      </w:r>
    </w:p>
    <w:p w14:paraId="4CF3D6B6" w14:textId="77777777" w:rsidR="009636B7" w:rsidRPr="000329FE" w:rsidRDefault="009636B7" w:rsidP="009636B7">
      <w:pPr>
        <w:pStyle w:val="References"/>
        <w:rPr>
          <w:shd w:val="clear" w:color="auto" w:fill="FFFFFF"/>
        </w:rPr>
      </w:pPr>
      <w:r w:rsidRPr="000329FE">
        <w:rPr>
          <w:shd w:val="clear" w:color="auto" w:fill="FFFFFF"/>
        </w:rPr>
        <w:t xml:space="preserve">Pearsall A. 2016. </w:t>
      </w:r>
      <w:r w:rsidRPr="000329FE">
        <w:rPr>
          <w:i/>
          <w:iCs/>
          <w:shd w:val="clear" w:color="auto" w:fill="FFFFFF"/>
        </w:rPr>
        <w:t xml:space="preserve">Enhancing the </w:t>
      </w:r>
      <w:r>
        <w:rPr>
          <w:i/>
          <w:iCs/>
          <w:shd w:val="clear" w:color="auto" w:fill="FFFFFF"/>
        </w:rPr>
        <w:t>T</w:t>
      </w:r>
      <w:r w:rsidRPr="000329FE">
        <w:rPr>
          <w:i/>
          <w:iCs/>
          <w:shd w:val="clear" w:color="auto" w:fill="FFFFFF"/>
        </w:rPr>
        <w:t xml:space="preserve">ransitional </w:t>
      </w:r>
      <w:r>
        <w:rPr>
          <w:i/>
          <w:iCs/>
          <w:shd w:val="clear" w:color="auto" w:fill="FFFFFF"/>
        </w:rPr>
        <w:t>C</w:t>
      </w:r>
      <w:r w:rsidRPr="000329FE">
        <w:rPr>
          <w:i/>
          <w:iCs/>
          <w:shd w:val="clear" w:color="auto" w:fill="FFFFFF"/>
        </w:rPr>
        <w:t xml:space="preserve">are </w:t>
      </w:r>
      <w:r>
        <w:rPr>
          <w:i/>
          <w:iCs/>
          <w:shd w:val="clear" w:color="auto" w:fill="FFFFFF"/>
        </w:rPr>
        <w:t>E</w:t>
      </w:r>
      <w:r w:rsidRPr="000329FE">
        <w:rPr>
          <w:i/>
          <w:iCs/>
          <w:shd w:val="clear" w:color="auto" w:fill="FFFFFF"/>
        </w:rPr>
        <w:t xml:space="preserve">xperiences of </w:t>
      </w:r>
      <w:r>
        <w:rPr>
          <w:i/>
          <w:iCs/>
          <w:shd w:val="clear" w:color="auto" w:fill="FFFFFF"/>
        </w:rPr>
        <w:t>A</w:t>
      </w:r>
      <w:r w:rsidRPr="000329FE">
        <w:rPr>
          <w:i/>
          <w:iCs/>
          <w:shd w:val="clear" w:color="auto" w:fill="FFFFFF"/>
        </w:rPr>
        <w:t xml:space="preserve">rrestees and </w:t>
      </w:r>
      <w:r>
        <w:rPr>
          <w:i/>
          <w:iCs/>
          <w:shd w:val="clear" w:color="auto" w:fill="FFFFFF"/>
        </w:rPr>
        <w:t>R</w:t>
      </w:r>
      <w:r w:rsidRPr="000329FE">
        <w:rPr>
          <w:i/>
          <w:iCs/>
          <w:shd w:val="clear" w:color="auto" w:fill="FFFFFF"/>
        </w:rPr>
        <w:t xml:space="preserve">emand </w:t>
      </w:r>
      <w:r>
        <w:rPr>
          <w:i/>
          <w:iCs/>
          <w:shd w:val="clear" w:color="auto" w:fill="FFFFFF"/>
        </w:rPr>
        <w:t>P</w:t>
      </w:r>
      <w:r w:rsidRPr="000329FE">
        <w:rPr>
          <w:i/>
          <w:iCs/>
          <w:shd w:val="clear" w:color="auto" w:fill="FFFFFF"/>
        </w:rPr>
        <w:t xml:space="preserve">risoners with </w:t>
      </w:r>
      <w:r>
        <w:rPr>
          <w:i/>
          <w:iCs/>
          <w:shd w:val="clear" w:color="auto" w:fill="FFFFFF"/>
        </w:rPr>
        <w:t>M</w:t>
      </w:r>
      <w:r w:rsidRPr="000329FE">
        <w:rPr>
          <w:i/>
          <w:iCs/>
          <w:shd w:val="clear" w:color="auto" w:fill="FFFFFF"/>
        </w:rPr>
        <w:t xml:space="preserve">ental </w:t>
      </w:r>
      <w:r>
        <w:rPr>
          <w:i/>
          <w:iCs/>
          <w:shd w:val="clear" w:color="auto" w:fill="FFFFFF"/>
        </w:rPr>
        <w:t>I</w:t>
      </w:r>
      <w:r w:rsidRPr="000329FE">
        <w:rPr>
          <w:i/>
          <w:iCs/>
          <w:shd w:val="clear" w:color="auto" w:fill="FFFFFF"/>
        </w:rPr>
        <w:t xml:space="preserve">llness through </w:t>
      </w:r>
      <w:r>
        <w:rPr>
          <w:i/>
          <w:iCs/>
          <w:shd w:val="clear" w:color="auto" w:fill="FFFFFF"/>
        </w:rPr>
        <w:t>I</w:t>
      </w:r>
      <w:r w:rsidRPr="000329FE">
        <w:rPr>
          <w:i/>
          <w:iCs/>
          <w:shd w:val="clear" w:color="auto" w:fill="FFFFFF"/>
        </w:rPr>
        <w:t xml:space="preserve">ntensive </w:t>
      </w:r>
      <w:r>
        <w:rPr>
          <w:i/>
          <w:iCs/>
          <w:shd w:val="clear" w:color="auto" w:fill="FFFFFF"/>
        </w:rPr>
        <w:t>C</w:t>
      </w:r>
      <w:r w:rsidRPr="000329FE">
        <w:rPr>
          <w:i/>
          <w:iCs/>
          <w:shd w:val="clear" w:color="auto" w:fill="FFFFFF"/>
        </w:rPr>
        <w:t xml:space="preserve">ase </w:t>
      </w:r>
      <w:r>
        <w:rPr>
          <w:i/>
          <w:iCs/>
          <w:shd w:val="clear" w:color="auto" w:fill="FFFFFF"/>
        </w:rPr>
        <w:t>M</w:t>
      </w:r>
      <w:r w:rsidRPr="000329FE">
        <w:rPr>
          <w:i/>
          <w:iCs/>
          <w:shd w:val="clear" w:color="auto" w:fill="FFFFFF"/>
        </w:rPr>
        <w:t>anagement</w:t>
      </w:r>
      <w:r w:rsidRPr="000329FE">
        <w:rPr>
          <w:shd w:val="clear" w:color="auto" w:fill="FFFFFF"/>
        </w:rPr>
        <w:t xml:space="preserve"> (</w:t>
      </w:r>
      <w:r>
        <w:rPr>
          <w:shd w:val="clear" w:color="auto" w:fill="FFFFFF"/>
        </w:rPr>
        <w:t>d</w:t>
      </w:r>
      <w:r w:rsidRPr="000329FE">
        <w:rPr>
          <w:shd w:val="clear" w:color="auto" w:fill="FFFFFF"/>
        </w:rPr>
        <w:t xml:space="preserve">octoral dissertation). Available from ProQuest Dissertation </w:t>
      </w:r>
      <w:r>
        <w:rPr>
          <w:shd w:val="clear" w:color="auto" w:fill="FFFFFF"/>
        </w:rPr>
        <w:t>&amp;</w:t>
      </w:r>
      <w:r w:rsidRPr="000329FE">
        <w:rPr>
          <w:shd w:val="clear" w:color="auto" w:fill="FFFFFF"/>
        </w:rPr>
        <w:t xml:space="preserve"> Theses </w:t>
      </w:r>
      <w:r>
        <w:rPr>
          <w:shd w:val="clear" w:color="auto" w:fill="FFFFFF"/>
        </w:rPr>
        <w:t>D</w:t>
      </w:r>
      <w:r w:rsidRPr="000329FE">
        <w:rPr>
          <w:shd w:val="clear" w:color="auto" w:fill="FFFFFF"/>
        </w:rPr>
        <w:t>atabase (UMI</w:t>
      </w:r>
      <w:r w:rsidR="008A194D">
        <w:rPr>
          <w:shd w:val="clear" w:color="auto" w:fill="FFFFFF"/>
        </w:rPr>
        <w:t> </w:t>
      </w:r>
      <w:r w:rsidRPr="000329FE">
        <w:rPr>
          <w:shd w:val="clear" w:color="auto" w:fill="FFFFFF"/>
        </w:rPr>
        <w:t>No.</w:t>
      </w:r>
      <w:r w:rsidR="008A194D">
        <w:rPr>
          <w:shd w:val="clear" w:color="auto" w:fill="FFFFFF"/>
        </w:rPr>
        <w:t> </w:t>
      </w:r>
      <w:r w:rsidRPr="000329FE">
        <w:rPr>
          <w:shd w:val="clear" w:color="auto" w:fill="FFFFFF"/>
        </w:rPr>
        <w:t>10303077)</w:t>
      </w:r>
      <w:r>
        <w:rPr>
          <w:shd w:val="clear" w:color="auto" w:fill="FFFFFF"/>
        </w:rPr>
        <w:t>.</w:t>
      </w:r>
    </w:p>
    <w:p w14:paraId="4180E586" w14:textId="77777777" w:rsidR="009636B7" w:rsidRPr="000329FE" w:rsidRDefault="009636B7" w:rsidP="009636B7">
      <w:pPr>
        <w:pStyle w:val="References"/>
        <w:rPr>
          <w:shd w:val="clear" w:color="auto" w:fill="FFFFFF"/>
        </w:rPr>
      </w:pPr>
      <w:r w:rsidRPr="000329FE">
        <w:rPr>
          <w:shd w:val="clear" w:color="auto" w:fill="FFFFFF"/>
        </w:rPr>
        <w:t xml:space="preserve">Pearsall A, Edge D, Doyle M, </w:t>
      </w:r>
      <w:r w:rsidR="00AD0D58">
        <w:rPr>
          <w:shd w:val="clear" w:color="auto" w:fill="FFFFFF"/>
        </w:rPr>
        <w:t>et al</w:t>
      </w:r>
      <w:r w:rsidRPr="000329FE">
        <w:rPr>
          <w:shd w:val="clear" w:color="auto" w:fill="FFFFFF"/>
        </w:rPr>
        <w:t xml:space="preserve">. 2014. Mind the gap: Improving transitions for mentally disordered offenders leaving custodial environments. </w:t>
      </w:r>
      <w:r w:rsidRPr="000329FE">
        <w:rPr>
          <w:i/>
          <w:iCs/>
          <w:shd w:val="clear" w:color="auto" w:fill="FFFFFF"/>
        </w:rPr>
        <w:t xml:space="preserve">International Journal of Psychosocial Rehabilitation </w:t>
      </w:r>
      <w:r w:rsidRPr="00561492">
        <w:rPr>
          <w:shd w:val="clear" w:color="auto" w:fill="FFFFFF"/>
        </w:rPr>
        <w:t>18</w:t>
      </w:r>
      <w:r w:rsidRPr="000329FE">
        <w:rPr>
          <w:shd w:val="clear" w:color="auto" w:fill="FFFFFF"/>
        </w:rPr>
        <w:t>(2)</w:t>
      </w:r>
      <w:r>
        <w:rPr>
          <w:shd w:val="clear" w:color="auto" w:fill="FFFFFF"/>
        </w:rPr>
        <w:t>:</w:t>
      </w:r>
      <w:r w:rsidRPr="000329FE">
        <w:rPr>
          <w:shd w:val="clear" w:color="auto" w:fill="FFFFFF"/>
        </w:rPr>
        <w:t xml:space="preserve"> 101–12. </w:t>
      </w:r>
      <w:r>
        <w:rPr>
          <w:shd w:val="clear" w:color="auto" w:fill="FFFFFF"/>
        </w:rPr>
        <w:t>URL:</w:t>
      </w:r>
      <w:r w:rsidRPr="000329FE">
        <w:rPr>
          <w:shd w:val="clear" w:color="auto" w:fill="FFFFFF"/>
        </w:rPr>
        <w:t xml:space="preserve"> </w:t>
      </w:r>
      <w:hyperlink r:id="rId143" w:history="1">
        <w:r w:rsidR="008A194D" w:rsidRPr="008A194D">
          <w:rPr>
            <w:rStyle w:val="Hyperlink"/>
            <w:shd w:val="clear" w:color="auto" w:fill="FFFFFF"/>
          </w:rPr>
          <w:t>www.psychosocial.com/IJPR_18/Mind_The_Gap_Pearsall.html</w:t>
        </w:r>
      </w:hyperlink>
      <w:r>
        <w:rPr>
          <w:shd w:val="clear" w:color="auto" w:fill="FFFFFF"/>
        </w:rPr>
        <w:t xml:space="preserve"> (accessed 14 October 2021).</w:t>
      </w:r>
    </w:p>
    <w:p w14:paraId="08F2249E" w14:textId="77777777" w:rsidR="009636B7" w:rsidRPr="000329FE" w:rsidRDefault="009636B7" w:rsidP="009636B7">
      <w:pPr>
        <w:pStyle w:val="References"/>
      </w:pPr>
      <w:r w:rsidRPr="000329FE">
        <w:t xml:space="preserve">Petrila J. 2003. An introduction to special jurisdiction courts. </w:t>
      </w:r>
      <w:r w:rsidRPr="000329FE">
        <w:rPr>
          <w:i/>
          <w:iCs/>
        </w:rPr>
        <w:t xml:space="preserve">International Journal of Law and Psychiatry </w:t>
      </w:r>
      <w:r w:rsidRPr="00561492">
        <w:t>26</w:t>
      </w:r>
      <w:r w:rsidRPr="000329FE">
        <w:t>(1)</w:t>
      </w:r>
      <w:r>
        <w:t>:</w:t>
      </w:r>
      <w:r w:rsidRPr="000329FE">
        <w:t xml:space="preserve"> 3–12. </w:t>
      </w:r>
      <w:r>
        <w:t>DOI</w:t>
      </w:r>
      <w:r w:rsidRPr="000329FE">
        <w:t>:</w:t>
      </w:r>
      <w:r>
        <w:t xml:space="preserve"> </w:t>
      </w:r>
      <w:r w:rsidRPr="000329FE">
        <w:t>10.1016/S0160-2527(02)00206-6</w:t>
      </w:r>
      <w:r>
        <w:t xml:space="preserve"> (accessed 27 October 2021).</w:t>
      </w:r>
    </w:p>
    <w:p w14:paraId="4C737A32" w14:textId="77777777" w:rsidR="00A0717A" w:rsidRPr="000329FE" w:rsidRDefault="009636B7" w:rsidP="009636B7">
      <w:pPr>
        <w:pStyle w:val="References"/>
      </w:pPr>
      <w:r w:rsidRPr="000329FE">
        <w:t xml:space="preserve">Pillai K, Rouse P, McKenna B, </w:t>
      </w:r>
      <w:r w:rsidR="00AD0D58">
        <w:t>et al</w:t>
      </w:r>
      <w:r w:rsidRPr="000329FE">
        <w:t xml:space="preserve">. 2016. From positive screen to engagement in treatment: A preliminary study of the impact of a new model of care for prisoners with serious mental illness. </w:t>
      </w:r>
      <w:r w:rsidRPr="000329FE">
        <w:rPr>
          <w:i/>
          <w:iCs/>
        </w:rPr>
        <w:t xml:space="preserve">BMC Psychiatry </w:t>
      </w:r>
      <w:r w:rsidRPr="00561492">
        <w:t>16</w:t>
      </w:r>
      <w:r w:rsidRPr="000329FE">
        <w:t>(9)</w:t>
      </w:r>
      <w:r>
        <w:t>:</w:t>
      </w:r>
      <w:r w:rsidRPr="000329FE">
        <w:t xml:space="preserve"> np. </w:t>
      </w:r>
      <w:r>
        <w:t>DOI</w:t>
      </w:r>
      <w:r w:rsidRPr="000329FE">
        <w:t>:</w:t>
      </w:r>
      <w:r>
        <w:t xml:space="preserve"> </w:t>
      </w:r>
      <w:r w:rsidRPr="000329FE">
        <w:t>10.1186/s12888-016-0711-2</w:t>
      </w:r>
      <w:r>
        <w:t xml:space="preserve"> (accessed 11 October 2021).</w:t>
      </w:r>
    </w:p>
    <w:p w14:paraId="05239DDE" w14:textId="77777777" w:rsidR="009636B7" w:rsidRPr="000329FE" w:rsidRDefault="009636B7" w:rsidP="009636B7">
      <w:pPr>
        <w:pStyle w:val="References"/>
      </w:pPr>
      <w:r w:rsidRPr="000329FE">
        <w:t xml:space="preserve">Pitama S, Robertson P, Cram F, </w:t>
      </w:r>
      <w:r w:rsidR="00AD0D58">
        <w:t>et al</w:t>
      </w:r>
      <w:r w:rsidRPr="000329FE">
        <w:t>. 2007. Meihana model: A clinical assessment framework</w:t>
      </w:r>
      <w:r w:rsidRPr="000329FE">
        <w:rPr>
          <w:i/>
          <w:iCs/>
        </w:rPr>
        <w:t xml:space="preserve">. New Zealand Journal of Psychology </w:t>
      </w:r>
      <w:r w:rsidRPr="00561492">
        <w:t>36</w:t>
      </w:r>
      <w:r w:rsidRPr="000329FE">
        <w:t>(3)</w:t>
      </w:r>
      <w:r>
        <w:t>:</w:t>
      </w:r>
      <w:r w:rsidRPr="000329FE">
        <w:t xml:space="preserve"> 118–25. </w:t>
      </w:r>
      <w:r>
        <w:t>URL:</w:t>
      </w:r>
      <w:r w:rsidRPr="000329FE">
        <w:t xml:space="preserve"> </w:t>
      </w:r>
      <w:hyperlink r:id="rId144" w:history="1">
        <w:r w:rsidR="008A194D" w:rsidRPr="008A194D">
          <w:rPr>
            <w:rStyle w:val="Hyperlink"/>
          </w:rPr>
          <w:t>www.researchgate.net/publication/241393435_Meihana_Model_A_Clinical_Assessment_Framework</w:t>
        </w:r>
      </w:hyperlink>
      <w:r>
        <w:t xml:space="preserve"> (accessed 12 October 2021).</w:t>
      </w:r>
    </w:p>
    <w:p w14:paraId="426C0EFC" w14:textId="77777777" w:rsidR="009636B7" w:rsidRPr="000329FE" w:rsidRDefault="009636B7" w:rsidP="009636B7">
      <w:pPr>
        <w:pStyle w:val="References"/>
      </w:pPr>
      <w:r w:rsidRPr="000329FE">
        <w:t xml:space="preserve">Polaschek DLL. 2018. Women offenders: Another look at the evidence. </w:t>
      </w:r>
      <w:r w:rsidRPr="000329FE">
        <w:rPr>
          <w:i/>
          <w:iCs/>
        </w:rPr>
        <w:t xml:space="preserve">Practice: The New Zealand Corrections Journal </w:t>
      </w:r>
      <w:r w:rsidRPr="00561492">
        <w:t>6</w:t>
      </w:r>
      <w:r w:rsidRPr="000329FE">
        <w:rPr>
          <w:i/>
          <w:iCs/>
        </w:rPr>
        <w:t>(</w:t>
      </w:r>
      <w:r w:rsidRPr="000329FE">
        <w:t>1)</w:t>
      </w:r>
      <w:r>
        <w:t>:</w:t>
      </w:r>
      <w:r w:rsidRPr="000329FE">
        <w:t xml:space="preserve"> np. </w:t>
      </w:r>
      <w:hyperlink r:id="rId145" w:history="1">
        <w:r w:rsidRPr="008A194D">
          <w:t>URL</w:t>
        </w:r>
      </w:hyperlink>
      <w:r w:rsidRPr="008A194D">
        <w:t xml:space="preserve">: </w:t>
      </w:r>
      <w:hyperlink r:id="rId146" w:history="1">
        <w:r w:rsidR="008A194D" w:rsidRPr="008A194D">
          <w:rPr>
            <w:rStyle w:val="Hyperlink"/>
          </w:rPr>
          <w:t>www.corrections.govt.nz/resources/research_and_statistics/journal/volume_6_issue_1_july_2018/women_offenders_another_look_at_the_evidence</w:t>
        </w:r>
      </w:hyperlink>
      <w:r>
        <w:t xml:space="preserve"> (accessed 12 October 2021).</w:t>
      </w:r>
    </w:p>
    <w:p w14:paraId="4687C25F" w14:textId="77777777" w:rsidR="00EE0ADB" w:rsidRDefault="009636B7" w:rsidP="009636B7">
      <w:pPr>
        <w:pStyle w:val="References"/>
        <w:rPr>
          <w:iCs/>
        </w:rPr>
      </w:pPr>
      <w:r w:rsidRPr="000329FE">
        <w:t xml:space="preserve">Powitzky RJ. </w:t>
      </w:r>
      <w:r>
        <w:t xml:space="preserve">2011. </w:t>
      </w:r>
      <w:r w:rsidRPr="000329FE">
        <w:t xml:space="preserve">Comparison of correctional and community mental health service delivery models. In </w:t>
      </w:r>
      <w:r w:rsidRPr="000329FE">
        <w:rPr>
          <w:i/>
        </w:rPr>
        <w:t xml:space="preserve">Correctional </w:t>
      </w:r>
      <w:r>
        <w:rPr>
          <w:i/>
        </w:rPr>
        <w:t>M</w:t>
      </w:r>
      <w:r w:rsidRPr="000329FE">
        <w:rPr>
          <w:i/>
        </w:rPr>
        <w:t xml:space="preserve">ental </w:t>
      </w:r>
      <w:r>
        <w:rPr>
          <w:i/>
        </w:rPr>
        <w:t>H</w:t>
      </w:r>
      <w:r w:rsidRPr="000329FE">
        <w:rPr>
          <w:i/>
        </w:rPr>
        <w:t xml:space="preserve">ealth: From theory to practice </w:t>
      </w:r>
      <w:r w:rsidRPr="000329FE">
        <w:rPr>
          <w:iCs/>
        </w:rPr>
        <w:t>(pp. 37–56)</w:t>
      </w:r>
      <w:r w:rsidRPr="000329FE">
        <w:rPr>
          <w:i/>
        </w:rPr>
        <w:t xml:space="preserve">. </w:t>
      </w:r>
      <w:r w:rsidRPr="000329FE">
        <w:rPr>
          <w:iCs/>
        </w:rPr>
        <w:t>Thousand Oaks, CA: Sage.</w:t>
      </w:r>
    </w:p>
    <w:p w14:paraId="613894C5" w14:textId="77777777" w:rsidR="009636B7" w:rsidRPr="000329FE" w:rsidRDefault="009636B7" w:rsidP="009636B7">
      <w:pPr>
        <w:pStyle w:val="References"/>
      </w:pPr>
      <w:r w:rsidRPr="000329FE">
        <w:t xml:space="preserve">Poythress NG, Otto RK, Heilbrun K. 1991. Pretrial evaluations for criminal courts: Contemporary models of service delivery. </w:t>
      </w:r>
      <w:r w:rsidRPr="000329FE">
        <w:rPr>
          <w:i/>
          <w:iCs/>
        </w:rPr>
        <w:t xml:space="preserve">Journal of Mental Health Administration </w:t>
      </w:r>
      <w:r w:rsidRPr="00561492">
        <w:t>18</w:t>
      </w:r>
      <w:r w:rsidRPr="000329FE">
        <w:t>(3)</w:t>
      </w:r>
      <w:r>
        <w:t>:</w:t>
      </w:r>
      <w:r w:rsidRPr="000329FE">
        <w:t xml:space="preserve"> 198–208. </w:t>
      </w:r>
      <w:r>
        <w:t>DOI</w:t>
      </w:r>
      <w:r w:rsidRPr="000329FE">
        <w:t>:</w:t>
      </w:r>
      <w:r>
        <w:t xml:space="preserve"> </w:t>
      </w:r>
      <w:r w:rsidRPr="000329FE">
        <w:t>10.1007/BF02518591</w:t>
      </w:r>
      <w:r>
        <w:t xml:space="preserve"> (26 October 2021).</w:t>
      </w:r>
    </w:p>
    <w:p w14:paraId="52B036BC" w14:textId="77777777" w:rsidR="009636B7" w:rsidRPr="000329FE" w:rsidRDefault="009636B7" w:rsidP="009636B7">
      <w:pPr>
        <w:pStyle w:val="References"/>
      </w:pPr>
      <w:r w:rsidRPr="000329FE">
        <w:t>Puawai Midland Regional Forensic Psychiatric Service</w:t>
      </w:r>
      <w:r w:rsidRPr="000329FE">
        <w:rPr>
          <w:i/>
        </w:rPr>
        <w:t xml:space="preserve">. </w:t>
      </w:r>
      <w:r w:rsidRPr="000329FE">
        <w:t xml:space="preserve">2014a. </w:t>
      </w:r>
      <w:r w:rsidRPr="000329FE">
        <w:rPr>
          <w:i/>
        </w:rPr>
        <w:t xml:space="preserve">Forensic </w:t>
      </w:r>
      <w:r>
        <w:rPr>
          <w:i/>
        </w:rPr>
        <w:t>C</w:t>
      </w:r>
      <w:r w:rsidRPr="000329FE">
        <w:rPr>
          <w:i/>
        </w:rPr>
        <w:t xml:space="preserve">lient </w:t>
      </w:r>
      <w:r>
        <w:rPr>
          <w:i/>
        </w:rPr>
        <w:t>P</w:t>
      </w:r>
      <w:r w:rsidRPr="000329FE">
        <w:rPr>
          <w:i/>
        </w:rPr>
        <w:t>athway</w:t>
      </w:r>
      <w:r w:rsidRPr="00561492">
        <w:rPr>
          <w:iCs/>
        </w:rPr>
        <w:t>.</w:t>
      </w:r>
      <w:r w:rsidRPr="000329FE">
        <w:rPr>
          <w:i/>
        </w:rPr>
        <w:t xml:space="preserve"> </w:t>
      </w:r>
      <w:r w:rsidRPr="000329FE">
        <w:t>Hamilton: Waikato District Health Board.</w:t>
      </w:r>
    </w:p>
    <w:p w14:paraId="4D30BD16" w14:textId="77777777" w:rsidR="009636B7" w:rsidRPr="000329FE" w:rsidRDefault="009636B7" w:rsidP="009636B7">
      <w:pPr>
        <w:pStyle w:val="References"/>
      </w:pPr>
      <w:r w:rsidRPr="000329FE">
        <w:t>Puawai Midland Regional Forensic Psychiatric Service</w:t>
      </w:r>
      <w:r w:rsidRPr="000329FE">
        <w:rPr>
          <w:i/>
        </w:rPr>
        <w:t xml:space="preserve">. </w:t>
      </w:r>
      <w:r w:rsidRPr="000329FE">
        <w:t xml:space="preserve">2014b. </w:t>
      </w:r>
      <w:r w:rsidRPr="000329FE">
        <w:rPr>
          <w:i/>
        </w:rPr>
        <w:t xml:space="preserve">Te Puawaitanga </w:t>
      </w:r>
      <w:r w:rsidR="0085596B">
        <w:rPr>
          <w:i/>
        </w:rPr>
        <w:t>O</w:t>
      </w:r>
      <w:r w:rsidRPr="000329FE">
        <w:rPr>
          <w:i/>
        </w:rPr>
        <w:t xml:space="preserve">perations </w:t>
      </w:r>
      <w:r>
        <w:rPr>
          <w:i/>
        </w:rPr>
        <w:t>M</w:t>
      </w:r>
      <w:r w:rsidRPr="000329FE">
        <w:rPr>
          <w:i/>
        </w:rPr>
        <w:t>anual</w:t>
      </w:r>
      <w:r w:rsidRPr="000329FE">
        <w:t>. Hamilton: Waikato District Health Board.</w:t>
      </w:r>
    </w:p>
    <w:p w14:paraId="61D2D952" w14:textId="77777777" w:rsidR="009636B7" w:rsidRPr="000329FE" w:rsidRDefault="009636B7" w:rsidP="009636B7">
      <w:pPr>
        <w:pStyle w:val="References"/>
      </w:pPr>
      <w:r w:rsidRPr="000329FE">
        <w:t>Puawai Midland Regional Forensic Psychiatric Service</w:t>
      </w:r>
      <w:r w:rsidRPr="000329FE">
        <w:rPr>
          <w:i/>
        </w:rPr>
        <w:t xml:space="preserve">. </w:t>
      </w:r>
      <w:r w:rsidRPr="000329FE">
        <w:t xml:space="preserve">nd. </w:t>
      </w:r>
      <w:r w:rsidRPr="000329FE">
        <w:rPr>
          <w:i/>
        </w:rPr>
        <w:t xml:space="preserve">Forensic </w:t>
      </w:r>
      <w:r>
        <w:rPr>
          <w:i/>
        </w:rPr>
        <w:t>I</w:t>
      </w:r>
      <w:r w:rsidRPr="000329FE">
        <w:rPr>
          <w:i/>
        </w:rPr>
        <w:t xml:space="preserve">npatient </w:t>
      </w:r>
      <w:r>
        <w:rPr>
          <w:i/>
        </w:rPr>
        <w:t>U</w:t>
      </w:r>
      <w:r w:rsidRPr="000329FE">
        <w:rPr>
          <w:i/>
        </w:rPr>
        <w:t>nits within the Henry Rongomau Bennett Centre</w:t>
      </w:r>
      <w:r w:rsidRPr="00561492">
        <w:rPr>
          <w:iCs/>
        </w:rPr>
        <w:t>.</w:t>
      </w:r>
      <w:r w:rsidRPr="000329FE">
        <w:rPr>
          <w:i/>
        </w:rPr>
        <w:t xml:space="preserve"> </w:t>
      </w:r>
      <w:r w:rsidRPr="000329FE">
        <w:t>Hamilton: Waikato District Health Board.</w:t>
      </w:r>
    </w:p>
    <w:p w14:paraId="70E800F1" w14:textId="77777777" w:rsidR="009636B7" w:rsidRPr="000329FE" w:rsidRDefault="009636B7" w:rsidP="009636B7">
      <w:pPr>
        <w:pStyle w:val="References"/>
      </w:pPr>
      <w:r w:rsidRPr="000329FE">
        <w:t xml:space="preserve">Purchase ND, McCallum AK, Kennedy HG. 1996. Evaluation of a psychiatric court liaison scheme in north London. </w:t>
      </w:r>
      <w:r w:rsidRPr="000329FE">
        <w:rPr>
          <w:i/>
          <w:iCs/>
        </w:rPr>
        <w:t xml:space="preserve">British Medical Journal </w:t>
      </w:r>
      <w:r w:rsidRPr="00561492">
        <w:t>313</w:t>
      </w:r>
      <w:r w:rsidRPr="000329FE">
        <w:t>(7056)</w:t>
      </w:r>
      <w:r>
        <w:t>:</w:t>
      </w:r>
      <w:r w:rsidRPr="000329FE">
        <w:t xml:space="preserve"> 531–2. </w:t>
      </w:r>
      <w:r>
        <w:t>DOI</w:t>
      </w:r>
      <w:r w:rsidRPr="000329FE">
        <w:t>:</w:t>
      </w:r>
      <w:r>
        <w:t xml:space="preserve"> </w:t>
      </w:r>
      <w:r w:rsidRPr="000329FE">
        <w:t>10.1136/bmj.313.7056.531</w:t>
      </w:r>
      <w:r>
        <w:t xml:space="preserve"> (accessed 26 October 2021).</w:t>
      </w:r>
    </w:p>
    <w:p w14:paraId="0F791BCF" w14:textId="77777777" w:rsidR="00EE0ADB" w:rsidRDefault="009636B7" w:rsidP="009636B7">
      <w:pPr>
        <w:pStyle w:val="References"/>
      </w:pPr>
      <w:r w:rsidRPr="000329FE">
        <w:t>Puri BK, Treasaden IH (</w:t>
      </w:r>
      <w:r>
        <w:t>e</w:t>
      </w:r>
      <w:r w:rsidRPr="000329FE">
        <w:t xml:space="preserve">ds). 2018. </w:t>
      </w:r>
      <w:r w:rsidRPr="000329FE">
        <w:rPr>
          <w:i/>
          <w:iCs/>
        </w:rPr>
        <w:t xml:space="preserve">Forensic </w:t>
      </w:r>
      <w:r>
        <w:rPr>
          <w:i/>
          <w:iCs/>
        </w:rPr>
        <w:t>P</w:t>
      </w:r>
      <w:r w:rsidRPr="000329FE">
        <w:rPr>
          <w:i/>
          <w:iCs/>
        </w:rPr>
        <w:t>sychiatry: Fundamentals and clinical practice</w:t>
      </w:r>
      <w:r w:rsidRPr="000329FE">
        <w:t>. Boca Raton, FL: CRC Press.</w:t>
      </w:r>
    </w:p>
    <w:p w14:paraId="342C8A39" w14:textId="77777777" w:rsidR="009636B7" w:rsidRPr="000329FE" w:rsidRDefault="009636B7" w:rsidP="009636B7">
      <w:pPr>
        <w:pStyle w:val="References"/>
      </w:pPr>
      <w:r w:rsidRPr="000329FE">
        <w:t>Puri R, Kenney-Herbert J. 2018. Community forensic psychiatry. In BK Puri</w:t>
      </w:r>
      <w:r>
        <w:t>,</w:t>
      </w:r>
      <w:r w:rsidRPr="000329FE">
        <w:t xml:space="preserve"> IH Treasaden (</w:t>
      </w:r>
      <w:r>
        <w:t>e</w:t>
      </w:r>
      <w:r w:rsidRPr="000329FE">
        <w:t xml:space="preserve">ds), </w:t>
      </w:r>
      <w:r w:rsidRPr="000329FE">
        <w:rPr>
          <w:i/>
          <w:iCs/>
        </w:rPr>
        <w:t xml:space="preserve">Forensic </w:t>
      </w:r>
      <w:r>
        <w:rPr>
          <w:i/>
          <w:iCs/>
        </w:rPr>
        <w:t>P</w:t>
      </w:r>
      <w:r w:rsidRPr="000329FE">
        <w:rPr>
          <w:i/>
          <w:iCs/>
        </w:rPr>
        <w:t>sychiatry: Fundamentals and clinical practice</w:t>
      </w:r>
      <w:r w:rsidRPr="000329FE">
        <w:t xml:space="preserve"> (pp. 709–14). Boca Raton, FL: CRC Press.</w:t>
      </w:r>
    </w:p>
    <w:p w14:paraId="2BBF8520" w14:textId="77777777" w:rsidR="00EE0ADB" w:rsidRDefault="009636B7" w:rsidP="009636B7">
      <w:pPr>
        <w:pStyle w:val="References"/>
      </w:pPr>
      <w:r w:rsidRPr="00075571">
        <w:t>Putkonen H, Taylor PJ. 2014. Women as offenders. In J Gunn</w:t>
      </w:r>
      <w:r>
        <w:t xml:space="preserve">, </w:t>
      </w:r>
      <w:r w:rsidRPr="00075571">
        <w:t>PJ Taylor (</w:t>
      </w:r>
      <w:r>
        <w:t>e</w:t>
      </w:r>
      <w:r w:rsidRPr="00075571">
        <w:t xml:space="preserve">ds), </w:t>
      </w:r>
      <w:r w:rsidRPr="00075571">
        <w:rPr>
          <w:i/>
          <w:iCs/>
        </w:rPr>
        <w:t xml:space="preserve">Forensic </w:t>
      </w:r>
      <w:r>
        <w:rPr>
          <w:i/>
          <w:iCs/>
        </w:rPr>
        <w:t>P</w:t>
      </w:r>
      <w:r w:rsidRPr="00075571">
        <w:rPr>
          <w:i/>
          <w:iCs/>
        </w:rPr>
        <w:t xml:space="preserve">sychiatry: Clinical, legal and ethical issues </w:t>
      </w:r>
      <w:r w:rsidRPr="00075571">
        <w:t>(2</w:t>
      </w:r>
      <w:r w:rsidRPr="00561492">
        <w:t>nd</w:t>
      </w:r>
      <w:r w:rsidRPr="00075571">
        <w:rPr>
          <w:vertAlign w:val="superscript"/>
        </w:rPr>
        <w:t xml:space="preserve"> </w:t>
      </w:r>
      <w:r w:rsidRPr="00075571">
        <w:t>ed, pp. 498–522)</w:t>
      </w:r>
      <w:r w:rsidRPr="00075571">
        <w:rPr>
          <w:i/>
          <w:iCs/>
        </w:rPr>
        <w:t xml:space="preserve">. </w:t>
      </w:r>
      <w:r w:rsidRPr="00075571">
        <w:t>Boca Raton, FL: CRC Press.</w:t>
      </w:r>
    </w:p>
    <w:p w14:paraId="6D62DCFC" w14:textId="77777777" w:rsidR="009636B7" w:rsidRPr="0043256B" w:rsidRDefault="009636B7" w:rsidP="009636B7">
      <w:pPr>
        <w:pStyle w:val="References"/>
      </w:pPr>
      <w:r w:rsidRPr="001A28C6">
        <w:t xml:space="preserve">Ray B. 2014. Long-term recidivism of mental health court defendants. </w:t>
      </w:r>
      <w:r w:rsidRPr="009E213B">
        <w:rPr>
          <w:i/>
          <w:iCs/>
        </w:rPr>
        <w:t xml:space="preserve">International Journal of Law and Psychiatry </w:t>
      </w:r>
      <w:r w:rsidRPr="00561492">
        <w:t>37</w:t>
      </w:r>
      <w:r w:rsidRPr="00E42BE0">
        <w:t>(5)</w:t>
      </w:r>
      <w:r>
        <w:t>:</w:t>
      </w:r>
      <w:r w:rsidRPr="00E42BE0">
        <w:t xml:space="preserve"> 448–54. </w:t>
      </w:r>
      <w:r>
        <w:t>DOI</w:t>
      </w:r>
      <w:r w:rsidRPr="00E42BE0">
        <w:t>:</w:t>
      </w:r>
      <w:r>
        <w:t xml:space="preserve"> </w:t>
      </w:r>
      <w:r w:rsidRPr="00E42BE0">
        <w:t>10.1016/j.ijlp.2014.02.017</w:t>
      </w:r>
      <w:r>
        <w:t xml:space="preserve"> (accessed 27 October 2021).</w:t>
      </w:r>
    </w:p>
    <w:p w14:paraId="04C4B0E1" w14:textId="77777777" w:rsidR="009636B7" w:rsidRPr="00FB779C" w:rsidRDefault="009636B7" w:rsidP="009636B7">
      <w:pPr>
        <w:pStyle w:val="References"/>
      </w:pPr>
      <w:r w:rsidRPr="00DD29A3">
        <w:t>Richardson E, McSherry B. 2010. Diversion down under</w:t>
      </w:r>
      <w:r>
        <w:t xml:space="preserve"> </w:t>
      </w:r>
      <w:r w:rsidRPr="00DD29A3">
        <w:t xml:space="preserve">– Programs for offenders with mental illnesses in Australia. </w:t>
      </w:r>
      <w:r w:rsidRPr="00482A5B">
        <w:rPr>
          <w:i/>
          <w:iCs/>
        </w:rPr>
        <w:t>Internationa</w:t>
      </w:r>
      <w:r w:rsidRPr="00A537F0">
        <w:rPr>
          <w:i/>
          <w:iCs/>
        </w:rPr>
        <w:t xml:space="preserve">l Journal of Law and Psychiatry </w:t>
      </w:r>
      <w:r w:rsidRPr="00561492">
        <w:t>33</w:t>
      </w:r>
      <w:r w:rsidRPr="004034BB">
        <w:t>(4)</w:t>
      </w:r>
      <w:r>
        <w:t>:</w:t>
      </w:r>
      <w:r w:rsidRPr="004034BB">
        <w:t xml:space="preserve"> 249–57. </w:t>
      </w:r>
      <w:r>
        <w:t>DOI</w:t>
      </w:r>
      <w:r w:rsidRPr="004034BB">
        <w:t>:</w:t>
      </w:r>
      <w:r>
        <w:t xml:space="preserve"> </w:t>
      </w:r>
      <w:r w:rsidRPr="004034BB">
        <w:t>10.1016/j.ijlp.2010.06.007</w:t>
      </w:r>
      <w:r>
        <w:t xml:space="preserve"> (accessed 26 October 2021).</w:t>
      </w:r>
    </w:p>
    <w:p w14:paraId="08C248A3" w14:textId="77777777" w:rsidR="00A0717A" w:rsidRPr="000329FE" w:rsidRDefault="009636B7" w:rsidP="009636B7">
      <w:pPr>
        <w:pStyle w:val="References"/>
      </w:pPr>
      <w:r w:rsidRPr="000329FE">
        <w:t>Roberts C, Davies J, Maggs RG. 2015. Structured community activity for forensic mental health</w:t>
      </w:r>
      <w:r>
        <w:t xml:space="preserve"> </w:t>
      </w:r>
      <w:r w:rsidRPr="000329FE">
        <w:t xml:space="preserve">– A feasibility study. </w:t>
      </w:r>
      <w:r w:rsidRPr="000329FE">
        <w:rPr>
          <w:i/>
          <w:iCs/>
        </w:rPr>
        <w:t xml:space="preserve">Journal of Forensic Practice </w:t>
      </w:r>
      <w:r w:rsidRPr="00561492">
        <w:t>17</w:t>
      </w:r>
      <w:r w:rsidRPr="000329FE">
        <w:t>(3)</w:t>
      </w:r>
      <w:r>
        <w:t>:</w:t>
      </w:r>
      <w:r w:rsidRPr="000329FE">
        <w:t xml:space="preserve"> 180–91. </w:t>
      </w:r>
      <w:r>
        <w:t>DOI</w:t>
      </w:r>
      <w:r w:rsidRPr="000329FE">
        <w:t>:</w:t>
      </w:r>
      <w:r>
        <w:t xml:space="preserve"> </w:t>
      </w:r>
      <w:r w:rsidRPr="000329FE">
        <w:t>10.1108/JFP-12-2014-0049</w:t>
      </w:r>
      <w:r>
        <w:t xml:space="preserve"> (accessed 14 October 2021).</w:t>
      </w:r>
    </w:p>
    <w:p w14:paraId="20693EBA" w14:textId="77777777" w:rsidR="009636B7" w:rsidRDefault="009636B7" w:rsidP="009636B7">
      <w:pPr>
        <w:pStyle w:val="References"/>
        <w:rPr>
          <w:shd w:val="clear" w:color="auto" w:fill="FFFFFF"/>
        </w:rPr>
      </w:pPr>
      <w:r w:rsidRPr="000329FE">
        <w:rPr>
          <w:shd w:val="clear" w:color="auto" w:fill="FFFFFF"/>
        </w:rPr>
        <w:t xml:space="preserve">Robertson P, Barnao M, Ward T. 2011. Rehabilitation frameworks in forensic mental health. </w:t>
      </w:r>
      <w:r w:rsidRPr="000329FE">
        <w:rPr>
          <w:i/>
          <w:iCs/>
        </w:rPr>
        <w:t xml:space="preserve">Aggression and Violent Behavior </w:t>
      </w:r>
      <w:r w:rsidRPr="00561492">
        <w:t>16</w:t>
      </w:r>
      <w:r>
        <w:t>:</w:t>
      </w:r>
      <w:r w:rsidRPr="000329FE">
        <w:t xml:space="preserve"> 472–84.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10.1016/j.avb.2011.03.003</w:t>
      </w:r>
      <w:r>
        <w:rPr>
          <w:shd w:val="clear" w:color="auto" w:fill="FFFFFF"/>
        </w:rPr>
        <w:t xml:space="preserve"> (accessed 3 November 2021).</w:t>
      </w:r>
    </w:p>
    <w:p w14:paraId="0098312D" w14:textId="77777777" w:rsidR="009636B7" w:rsidRPr="000718D1" w:rsidRDefault="009636B7" w:rsidP="009636B7">
      <w:pPr>
        <w:pStyle w:val="References"/>
      </w:pPr>
      <w:r w:rsidRPr="00B2233D">
        <w:rPr>
          <w:rFonts w:cs="Segoe UI"/>
          <w:color w:val="333333"/>
          <w:szCs w:val="21"/>
          <w:shd w:val="clear" w:color="auto" w:fill="FFFFFF"/>
        </w:rPr>
        <w:t>Rogers ES, Anthony WA, Farkas M. 2006. The choose-get-keep model of psychiatric rehabilitation: A synopsis of recent studies.</w:t>
      </w:r>
      <w:r w:rsidR="000718D1">
        <w:rPr>
          <w:rFonts w:cs="Segoe UI"/>
          <w:color w:val="333333"/>
          <w:szCs w:val="21"/>
          <w:shd w:val="clear" w:color="auto" w:fill="FFFFFF"/>
        </w:rPr>
        <w:t xml:space="preserve"> </w:t>
      </w:r>
      <w:r w:rsidRPr="00B2233D">
        <w:rPr>
          <w:rFonts w:cs="Segoe UI"/>
          <w:i/>
          <w:iCs/>
          <w:color w:val="333333"/>
          <w:szCs w:val="21"/>
          <w:shd w:val="clear" w:color="auto" w:fill="FFFFFF"/>
        </w:rPr>
        <w:t>Rehabilitation Psychology</w:t>
      </w:r>
      <w:r w:rsidRPr="000718D1">
        <w:rPr>
          <w:rFonts w:cs="Segoe UI"/>
          <w:iCs/>
          <w:color w:val="333333"/>
          <w:szCs w:val="21"/>
          <w:shd w:val="clear" w:color="auto" w:fill="FFFFFF"/>
        </w:rPr>
        <w:t xml:space="preserve"> 51</w:t>
      </w:r>
      <w:r w:rsidRPr="000718D1">
        <w:rPr>
          <w:rFonts w:cs="Segoe UI"/>
          <w:color w:val="333333"/>
          <w:szCs w:val="21"/>
          <w:shd w:val="clear" w:color="auto" w:fill="FFFFFF"/>
        </w:rPr>
        <w:t>(3)</w:t>
      </w:r>
      <w:r w:rsidR="000718D1">
        <w:rPr>
          <w:rFonts w:cs="Segoe UI"/>
          <w:color w:val="333333"/>
          <w:szCs w:val="21"/>
          <w:shd w:val="clear" w:color="auto" w:fill="FFFFFF"/>
        </w:rPr>
        <w:t xml:space="preserve">: </w:t>
      </w:r>
      <w:r w:rsidRPr="000718D1">
        <w:rPr>
          <w:rFonts w:cs="Segoe UI"/>
          <w:color w:val="333333"/>
          <w:szCs w:val="21"/>
          <w:shd w:val="clear" w:color="auto" w:fill="FFFFFF"/>
        </w:rPr>
        <w:t>247–</w:t>
      </w:r>
      <w:r w:rsidRPr="00B2233D">
        <w:rPr>
          <w:rFonts w:cs="Segoe UI"/>
          <w:color w:val="333333"/>
          <w:szCs w:val="21"/>
          <w:shd w:val="clear" w:color="auto" w:fill="FFFFFF"/>
        </w:rPr>
        <w:t>56.</w:t>
      </w:r>
      <w:r w:rsidR="000718D1">
        <w:rPr>
          <w:rFonts w:cs="Segoe UI"/>
          <w:color w:val="333333"/>
          <w:szCs w:val="21"/>
          <w:shd w:val="clear" w:color="auto" w:fill="FFFFFF"/>
        </w:rPr>
        <w:t xml:space="preserve"> URL: </w:t>
      </w:r>
      <w:hyperlink r:id="rId147" w:tgtFrame="_blank" w:history="1">
        <w:r w:rsidRPr="000718D1">
          <w:rPr>
            <w:rStyle w:val="Hyperlink"/>
          </w:rPr>
          <w:t>https://doi.org/10.1037/0090-5550.51.3.247</w:t>
        </w:r>
      </w:hyperlink>
      <w:r w:rsidR="000718D1" w:rsidRPr="000718D1">
        <w:t>.</w:t>
      </w:r>
    </w:p>
    <w:p w14:paraId="69A34963" w14:textId="77777777" w:rsidR="009636B7" w:rsidRPr="000329FE" w:rsidRDefault="009636B7" w:rsidP="009636B7">
      <w:pPr>
        <w:pStyle w:val="References"/>
      </w:pPr>
      <w:r w:rsidRPr="000329FE">
        <w:t>Romilly C, Bartlett A. 2010. Prison mental health care. In A Bartlett</w:t>
      </w:r>
      <w:r>
        <w:t>,</w:t>
      </w:r>
      <w:r w:rsidRPr="000329FE">
        <w:t xml:space="preserve"> G McGauley (</w:t>
      </w:r>
      <w:r>
        <w:t>e</w:t>
      </w:r>
      <w:r w:rsidRPr="000329FE">
        <w:t xml:space="preserve">ds), </w:t>
      </w:r>
      <w:r w:rsidRPr="000329FE">
        <w:rPr>
          <w:i/>
          <w:iCs/>
        </w:rPr>
        <w:t xml:space="preserve">Forensic </w:t>
      </w:r>
      <w:r>
        <w:rPr>
          <w:i/>
          <w:iCs/>
        </w:rPr>
        <w:t>M</w:t>
      </w:r>
      <w:r w:rsidRPr="000329FE">
        <w:rPr>
          <w:i/>
          <w:iCs/>
        </w:rPr>
        <w:t xml:space="preserve">ental </w:t>
      </w:r>
      <w:r>
        <w:rPr>
          <w:i/>
          <w:iCs/>
        </w:rPr>
        <w:t>H</w:t>
      </w:r>
      <w:r w:rsidRPr="000329FE">
        <w:rPr>
          <w:i/>
          <w:iCs/>
        </w:rPr>
        <w:t xml:space="preserve">ealth: Concepts, systems, and practice </w:t>
      </w:r>
      <w:r w:rsidRPr="000329FE">
        <w:t>(pp. 339–50)</w:t>
      </w:r>
      <w:r w:rsidRPr="000329FE">
        <w:rPr>
          <w:i/>
          <w:iCs/>
        </w:rPr>
        <w:t>.</w:t>
      </w:r>
      <w:r w:rsidRPr="000329FE">
        <w:t xml:space="preserve"> Oxford: Oxford University Press.</w:t>
      </w:r>
    </w:p>
    <w:p w14:paraId="38434417" w14:textId="77777777" w:rsidR="009636B7" w:rsidRPr="000329FE" w:rsidRDefault="009636B7" w:rsidP="009636B7">
      <w:pPr>
        <w:pStyle w:val="References"/>
      </w:pPr>
      <w:r w:rsidRPr="000329FE">
        <w:t xml:space="preserve">Roskes E, Feldman R, Arrington S, </w:t>
      </w:r>
      <w:r w:rsidR="00AD0D58">
        <w:t>et al</w:t>
      </w:r>
      <w:r w:rsidRPr="000329FE">
        <w:t xml:space="preserve">. 1999. A model program for the treatment of mentally ill offenders in the community. </w:t>
      </w:r>
      <w:r w:rsidRPr="000329FE">
        <w:rPr>
          <w:i/>
          <w:iCs/>
        </w:rPr>
        <w:t xml:space="preserve">Community Mental Health Journal </w:t>
      </w:r>
      <w:r w:rsidRPr="00561492">
        <w:t>35</w:t>
      </w:r>
      <w:r w:rsidRPr="000329FE">
        <w:t>(5)</w:t>
      </w:r>
      <w:r>
        <w:t>:</w:t>
      </w:r>
      <w:r w:rsidR="000718D1">
        <w:br/>
      </w:r>
      <w:r w:rsidRPr="000329FE">
        <w:t xml:space="preserve">461–75. </w:t>
      </w:r>
      <w:r>
        <w:t>DOI</w:t>
      </w:r>
      <w:r w:rsidRPr="000329FE">
        <w:t>:</w:t>
      </w:r>
      <w:r>
        <w:t xml:space="preserve"> </w:t>
      </w:r>
      <w:r w:rsidRPr="000329FE">
        <w:t>10.1023/A:1018790613585</w:t>
      </w:r>
      <w:r>
        <w:t xml:space="preserve"> (accessed 14 October 2021).</w:t>
      </w:r>
    </w:p>
    <w:p w14:paraId="07980598" w14:textId="77777777" w:rsidR="009636B7" w:rsidRPr="000329FE" w:rsidRDefault="009636B7" w:rsidP="009636B7">
      <w:pPr>
        <w:pStyle w:val="References"/>
      </w:pPr>
      <w:r w:rsidRPr="000329FE">
        <w:t xml:space="preserve">Rowlands R, Inch H, Rodger W, </w:t>
      </w:r>
      <w:r w:rsidR="00AD0D58">
        <w:t>et al</w:t>
      </w:r>
      <w:r w:rsidRPr="000329FE">
        <w:t xml:space="preserve">. 1996. Diverted to where? What happens to the diverted mentally disordered offender. </w:t>
      </w:r>
      <w:r w:rsidRPr="000329FE">
        <w:rPr>
          <w:i/>
          <w:iCs/>
        </w:rPr>
        <w:t xml:space="preserve">Journal of Forensic Psychiatry </w:t>
      </w:r>
      <w:r w:rsidRPr="00561492">
        <w:t>7</w:t>
      </w:r>
      <w:r w:rsidRPr="000329FE">
        <w:t>(2)</w:t>
      </w:r>
      <w:r>
        <w:t>:</w:t>
      </w:r>
      <w:r w:rsidRPr="000329FE">
        <w:t xml:space="preserve"> 284–96. </w:t>
      </w:r>
      <w:r>
        <w:t>DOI</w:t>
      </w:r>
      <w:r w:rsidRPr="000329FE">
        <w:t>:</w:t>
      </w:r>
      <w:r>
        <w:t xml:space="preserve"> </w:t>
      </w:r>
      <w:r w:rsidRPr="000329FE">
        <w:t>10.1080/09585189608415013</w:t>
      </w:r>
      <w:r>
        <w:t xml:space="preserve"> (accessed 26 October 2021).</w:t>
      </w:r>
    </w:p>
    <w:p w14:paraId="6E1B4686" w14:textId="77777777" w:rsidR="009636B7" w:rsidRPr="000329FE" w:rsidRDefault="009636B7" w:rsidP="009636B7">
      <w:pPr>
        <w:pStyle w:val="References"/>
      </w:pPr>
      <w:r w:rsidRPr="000329FE">
        <w:rPr>
          <w:shd w:val="clear" w:color="auto" w:fill="FFFFFF"/>
        </w:rPr>
        <w:t xml:space="preserve">Roychowdhury A. 2011. Bridging the gap between risk and recovery: A human needs approach. </w:t>
      </w:r>
      <w:r w:rsidRPr="000329FE">
        <w:rPr>
          <w:i/>
          <w:iCs/>
        </w:rPr>
        <w:t xml:space="preserve">The Psychiatrist </w:t>
      </w:r>
      <w:r w:rsidRPr="00561492">
        <w:t>35</w:t>
      </w:r>
      <w:r w:rsidRPr="000329FE">
        <w:t>(2)</w:t>
      </w:r>
      <w:r>
        <w:t>:</w:t>
      </w:r>
      <w:r w:rsidRPr="000329FE">
        <w:t xml:space="preserve"> 68–73.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10.1192/pb.bp.110.030759</w:t>
      </w:r>
      <w:r>
        <w:rPr>
          <w:shd w:val="clear" w:color="auto" w:fill="FFFFFF"/>
        </w:rPr>
        <w:t xml:space="preserve"> (accessed 12 October 2021).</w:t>
      </w:r>
    </w:p>
    <w:p w14:paraId="276D6643" w14:textId="77777777" w:rsidR="009636B7" w:rsidRPr="000329FE" w:rsidRDefault="009636B7" w:rsidP="009636B7">
      <w:pPr>
        <w:pStyle w:val="References"/>
      </w:pPr>
      <w:r w:rsidRPr="000329FE">
        <w:t xml:space="preserve">Ryan S, Whelan D. 2012. Diversion of offenders with mental disorders: Mental health courts. </w:t>
      </w:r>
      <w:r w:rsidRPr="000329FE">
        <w:rPr>
          <w:i/>
          <w:iCs/>
        </w:rPr>
        <w:t xml:space="preserve">Web Journal of Current Legal Issues </w:t>
      </w:r>
      <w:r w:rsidRPr="00561492">
        <w:t>1</w:t>
      </w:r>
      <w:r>
        <w:t>:</w:t>
      </w:r>
      <w:r w:rsidRPr="000329FE">
        <w:t xml:space="preserve"> np. </w:t>
      </w:r>
      <w:r>
        <w:t>URL:</w:t>
      </w:r>
      <w:r w:rsidRPr="000329FE">
        <w:t xml:space="preserve"> </w:t>
      </w:r>
      <w:hyperlink r:id="rId148" w:history="1">
        <w:r w:rsidR="000718D1" w:rsidRPr="000718D1">
          <w:rPr>
            <w:rStyle w:val="Hyperlink"/>
          </w:rPr>
          <w:t>https://papers.ssrn.com/sol3/papers.cfm?abstract_id=2010512</w:t>
        </w:r>
      </w:hyperlink>
      <w:r>
        <w:t xml:space="preserve"> (accessed 27 October 2021).</w:t>
      </w:r>
    </w:p>
    <w:p w14:paraId="2AF8DB41" w14:textId="77777777" w:rsidR="009636B7" w:rsidRPr="000329FE" w:rsidRDefault="009636B7" w:rsidP="009636B7">
      <w:pPr>
        <w:pStyle w:val="References"/>
      </w:pPr>
      <w:r w:rsidRPr="000329FE">
        <w:t xml:space="preserve">Safe and Effective Justice Advisory Group/Te Uepū Hāpai i te Ora. 2019a. </w:t>
      </w:r>
      <w:r w:rsidRPr="000329FE">
        <w:rPr>
          <w:i/>
          <w:iCs/>
        </w:rPr>
        <w:t xml:space="preserve">He </w:t>
      </w:r>
      <w:r>
        <w:rPr>
          <w:i/>
          <w:iCs/>
        </w:rPr>
        <w:t>W</w:t>
      </w:r>
      <w:r w:rsidRPr="000329FE">
        <w:rPr>
          <w:i/>
          <w:iCs/>
        </w:rPr>
        <w:t xml:space="preserve">aka </w:t>
      </w:r>
      <w:r>
        <w:rPr>
          <w:i/>
          <w:iCs/>
        </w:rPr>
        <w:t>R</w:t>
      </w:r>
      <w:r w:rsidRPr="000329FE">
        <w:rPr>
          <w:i/>
          <w:iCs/>
        </w:rPr>
        <w:t>oimata: Transforming our criminal justice system</w:t>
      </w:r>
      <w:r w:rsidRPr="00561492">
        <w:t>.</w:t>
      </w:r>
      <w:r w:rsidRPr="000329FE">
        <w:rPr>
          <w:i/>
          <w:iCs/>
        </w:rPr>
        <w:t xml:space="preserve"> </w:t>
      </w:r>
      <w:r w:rsidRPr="000329FE">
        <w:t xml:space="preserve">Wellington: Ministry of Justice. </w:t>
      </w:r>
      <w:r>
        <w:t>URL:</w:t>
      </w:r>
      <w:r w:rsidRPr="000329FE">
        <w:t xml:space="preserve"> </w:t>
      </w:r>
      <w:hyperlink r:id="rId149" w:history="1">
        <w:r w:rsidR="000718D1" w:rsidRPr="000718D1">
          <w:rPr>
            <w:rStyle w:val="Hyperlink"/>
          </w:rPr>
          <w:t>https://safeandeffectivejustice.govt.nz/about-this-work/te-uepu-report/</w:t>
        </w:r>
      </w:hyperlink>
      <w:r>
        <w:t xml:space="preserve"> (accessed 28 October 2021).</w:t>
      </w:r>
    </w:p>
    <w:p w14:paraId="280007F5" w14:textId="77777777" w:rsidR="009636B7" w:rsidRPr="000329FE" w:rsidRDefault="009636B7" w:rsidP="009636B7">
      <w:pPr>
        <w:pStyle w:val="References"/>
      </w:pPr>
      <w:r w:rsidRPr="000329FE">
        <w:t xml:space="preserve">Safe and Effective Justice Advisory Group/Te Uepū Hāpai i te Ora. 2019b. </w:t>
      </w:r>
      <w:r w:rsidRPr="000329FE">
        <w:rPr>
          <w:i/>
          <w:iCs/>
        </w:rPr>
        <w:t>Hui Māori: Ināia tonu nei</w:t>
      </w:r>
      <w:r w:rsidRPr="00561492">
        <w:t>.</w:t>
      </w:r>
      <w:r w:rsidRPr="000329FE">
        <w:rPr>
          <w:i/>
          <w:iCs/>
        </w:rPr>
        <w:t xml:space="preserve"> </w:t>
      </w:r>
      <w:r w:rsidRPr="000329FE">
        <w:t xml:space="preserve">Wellington: Ministry of Justice. </w:t>
      </w:r>
      <w:r>
        <w:t>URL:</w:t>
      </w:r>
      <w:r w:rsidRPr="000329FE">
        <w:t xml:space="preserve"> </w:t>
      </w:r>
      <w:hyperlink r:id="rId150" w:history="1">
        <w:r w:rsidR="000718D1" w:rsidRPr="000718D1">
          <w:rPr>
            <w:rStyle w:val="Hyperlink"/>
          </w:rPr>
          <w:t>https://safeandeffectivejustice.govt.nz/about-this-work/hui-maori/</w:t>
        </w:r>
      </w:hyperlink>
      <w:r>
        <w:t xml:space="preserve"> (accessed 28 October 2021).</w:t>
      </w:r>
    </w:p>
    <w:p w14:paraId="243E1673" w14:textId="77777777" w:rsidR="009636B7" w:rsidRPr="000329FE" w:rsidRDefault="009636B7" w:rsidP="009636B7">
      <w:pPr>
        <w:pStyle w:val="References"/>
      </w:pPr>
      <w:r w:rsidRPr="000329FE">
        <w:rPr>
          <w:shd w:val="clear" w:color="auto" w:fill="FFFFFF"/>
        </w:rPr>
        <w:t>Sampson S, Edworthy R, V</w:t>
      </w:r>
      <w:r w:rsidRPr="000329FE">
        <w:rPr>
          <w:rFonts w:cs="Segoe UI"/>
        </w:rPr>
        <w:t>ö</w:t>
      </w:r>
      <w:r w:rsidRPr="000329FE">
        <w:rPr>
          <w:shd w:val="clear" w:color="auto" w:fill="FFFFFF"/>
        </w:rPr>
        <w:t xml:space="preserve">llm B, </w:t>
      </w:r>
      <w:r w:rsidR="00AD0D58">
        <w:rPr>
          <w:shd w:val="clear" w:color="auto" w:fill="FFFFFF"/>
        </w:rPr>
        <w:t>et al</w:t>
      </w:r>
      <w:r w:rsidRPr="000329FE">
        <w:rPr>
          <w:shd w:val="clear" w:color="auto" w:fill="FFFFFF"/>
        </w:rPr>
        <w:t xml:space="preserve">. 2016. Long-term forensic mental health services: A exploratory comparison of 18 European countries. </w:t>
      </w:r>
      <w:r w:rsidRPr="000329FE">
        <w:rPr>
          <w:i/>
          <w:iCs/>
        </w:rPr>
        <w:t xml:space="preserve">International Journal of Forensic Mental Health </w:t>
      </w:r>
      <w:r w:rsidRPr="00561492">
        <w:t>15</w:t>
      </w:r>
      <w:r w:rsidRPr="000329FE">
        <w:t>(4)</w:t>
      </w:r>
      <w:r>
        <w:t>:</w:t>
      </w:r>
      <w:r w:rsidRPr="000329FE">
        <w:t xml:space="preserve"> 333–51.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10.1080/14999013.2016.1221484</w:t>
      </w:r>
      <w:r>
        <w:rPr>
          <w:shd w:val="clear" w:color="auto" w:fill="FFFFFF"/>
        </w:rPr>
        <w:t xml:space="preserve"> (accessed 11 October 2021).</w:t>
      </w:r>
    </w:p>
    <w:p w14:paraId="7CF00873" w14:textId="77777777" w:rsidR="009636B7" w:rsidRPr="000329FE" w:rsidRDefault="009636B7" w:rsidP="009636B7">
      <w:pPr>
        <w:pStyle w:val="References"/>
      </w:pPr>
      <w:r w:rsidRPr="000329FE">
        <w:t xml:space="preserve">Scott D, McGilloway S, Donnelly M. 2016. A prospective comparative evaluation of a criminal justice liaison and diversion service in Belfast. </w:t>
      </w:r>
      <w:r w:rsidRPr="000329FE">
        <w:rPr>
          <w:i/>
          <w:iCs/>
        </w:rPr>
        <w:t xml:space="preserve">Journal of Forensic Psychiatry and Psychology </w:t>
      </w:r>
      <w:r w:rsidRPr="00561492">
        <w:t>27</w:t>
      </w:r>
      <w:r w:rsidRPr="000329FE">
        <w:t>(2)</w:t>
      </w:r>
      <w:r>
        <w:t>:</w:t>
      </w:r>
      <w:r w:rsidRPr="000329FE">
        <w:t xml:space="preserve"> 198–214. </w:t>
      </w:r>
      <w:r>
        <w:t>DOI</w:t>
      </w:r>
      <w:r w:rsidRPr="000329FE">
        <w:t>:</w:t>
      </w:r>
      <w:r>
        <w:t xml:space="preserve"> </w:t>
      </w:r>
      <w:r w:rsidRPr="000329FE">
        <w:t>10.1080/14789949.2015.1102313</w:t>
      </w:r>
      <w:r>
        <w:t xml:space="preserve"> (accessed 27 October 2021).</w:t>
      </w:r>
    </w:p>
    <w:p w14:paraId="1F811958" w14:textId="77777777" w:rsidR="009636B7" w:rsidRPr="000329FE" w:rsidRDefault="009636B7" w:rsidP="009636B7">
      <w:pPr>
        <w:pStyle w:val="References"/>
      </w:pPr>
      <w:r w:rsidRPr="000329FE">
        <w:t xml:space="preserve">Senior J. 2005. </w:t>
      </w:r>
      <w:r w:rsidRPr="000329FE">
        <w:rPr>
          <w:i/>
          <w:iCs/>
        </w:rPr>
        <w:t xml:space="preserve">The </w:t>
      </w:r>
      <w:r>
        <w:rPr>
          <w:i/>
          <w:iCs/>
        </w:rPr>
        <w:t>D</w:t>
      </w:r>
      <w:r w:rsidRPr="000329FE">
        <w:rPr>
          <w:i/>
          <w:iCs/>
        </w:rPr>
        <w:t xml:space="preserve">evelopment of </w:t>
      </w:r>
      <w:r>
        <w:rPr>
          <w:i/>
          <w:iCs/>
        </w:rPr>
        <w:t>P</w:t>
      </w:r>
      <w:r w:rsidRPr="000329FE">
        <w:rPr>
          <w:i/>
          <w:iCs/>
        </w:rPr>
        <w:t xml:space="preserve">rison </w:t>
      </w:r>
      <w:r>
        <w:rPr>
          <w:i/>
          <w:iCs/>
        </w:rPr>
        <w:t>M</w:t>
      </w:r>
      <w:r w:rsidRPr="000329FE">
        <w:rPr>
          <w:i/>
          <w:iCs/>
        </w:rPr>
        <w:t xml:space="preserve">ental </w:t>
      </w:r>
      <w:r>
        <w:rPr>
          <w:i/>
          <w:iCs/>
        </w:rPr>
        <w:t>H</w:t>
      </w:r>
      <w:r w:rsidRPr="000329FE">
        <w:rPr>
          <w:i/>
          <w:iCs/>
        </w:rPr>
        <w:t xml:space="preserve">ealth </w:t>
      </w:r>
      <w:r>
        <w:rPr>
          <w:i/>
          <w:iCs/>
        </w:rPr>
        <w:t>S</w:t>
      </w:r>
      <w:r w:rsidRPr="000329FE">
        <w:rPr>
          <w:i/>
          <w:iCs/>
        </w:rPr>
        <w:t xml:space="preserve">ervices based on </w:t>
      </w:r>
      <w:r>
        <w:rPr>
          <w:i/>
          <w:iCs/>
        </w:rPr>
        <w:t>C</w:t>
      </w:r>
      <w:r w:rsidRPr="000329FE">
        <w:rPr>
          <w:i/>
          <w:iCs/>
        </w:rPr>
        <w:t xml:space="preserve">ommunity </w:t>
      </w:r>
      <w:r>
        <w:rPr>
          <w:i/>
          <w:iCs/>
        </w:rPr>
        <w:t>M</w:t>
      </w:r>
      <w:r w:rsidRPr="000329FE">
        <w:rPr>
          <w:i/>
          <w:iCs/>
        </w:rPr>
        <w:t xml:space="preserve">ental </w:t>
      </w:r>
      <w:r>
        <w:rPr>
          <w:i/>
          <w:iCs/>
        </w:rPr>
        <w:t>H</w:t>
      </w:r>
      <w:r w:rsidRPr="000329FE">
        <w:rPr>
          <w:i/>
          <w:iCs/>
        </w:rPr>
        <w:t xml:space="preserve">ealth </w:t>
      </w:r>
      <w:r>
        <w:rPr>
          <w:i/>
          <w:iCs/>
        </w:rPr>
        <w:t>M</w:t>
      </w:r>
      <w:r w:rsidRPr="000329FE">
        <w:rPr>
          <w:i/>
          <w:iCs/>
        </w:rPr>
        <w:t>odel</w:t>
      </w:r>
      <w:r w:rsidRPr="000329FE">
        <w:t xml:space="preserve"> (</w:t>
      </w:r>
      <w:r>
        <w:t>d</w:t>
      </w:r>
      <w:r w:rsidRPr="000329FE">
        <w:t xml:space="preserve">octoral dissertation). Available from ProQuest Dissertation </w:t>
      </w:r>
      <w:r>
        <w:t>&amp;</w:t>
      </w:r>
      <w:r w:rsidRPr="000329FE">
        <w:t xml:space="preserve"> Theses </w:t>
      </w:r>
      <w:r>
        <w:t>D</w:t>
      </w:r>
      <w:r w:rsidRPr="000329FE">
        <w:t>atabase (UMI No.13841182)</w:t>
      </w:r>
      <w:r>
        <w:t>.</w:t>
      </w:r>
    </w:p>
    <w:p w14:paraId="36B5F84C" w14:textId="77777777" w:rsidR="009636B7" w:rsidRPr="000329FE" w:rsidRDefault="009636B7" w:rsidP="00A0717A">
      <w:pPr>
        <w:pStyle w:val="References"/>
        <w:keepNext/>
        <w:keepLines/>
      </w:pPr>
      <w:r w:rsidRPr="000329FE">
        <w:t xml:space="preserve">Senior J, Birmingham L, Harty MA, </w:t>
      </w:r>
      <w:r w:rsidR="00AD0D58">
        <w:t>et al</w:t>
      </w:r>
      <w:r w:rsidRPr="000329FE">
        <w:t xml:space="preserve">. 2013. Identification and management of prisoners with severe psychiatric illness by specialist mental health services. </w:t>
      </w:r>
      <w:r w:rsidRPr="000329FE">
        <w:rPr>
          <w:i/>
          <w:iCs/>
        </w:rPr>
        <w:t xml:space="preserve">Psychological Medicine </w:t>
      </w:r>
      <w:r w:rsidRPr="00561492">
        <w:t>43</w:t>
      </w:r>
      <w:r w:rsidRPr="000329FE">
        <w:t>(7)</w:t>
      </w:r>
      <w:r>
        <w:t>:</w:t>
      </w:r>
      <w:r w:rsidRPr="000329FE">
        <w:t xml:space="preserve"> 1511–20. </w:t>
      </w:r>
      <w:r>
        <w:t>DOI</w:t>
      </w:r>
      <w:r w:rsidRPr="000329FE">
        <w:t>:</w:t>
      </w:r>
      <w:r>
        <w:t xml:space="preserve"> </w:t>
      </w:r>
      <w:r w:rsidRPr="000329FE">
        <w:t>10.1017/S0033291712002073</w:t>
      </w:r>
      <w:r>
        <w:t xml:space="preserve"> (accessed 14 October 2021).</w:t>
      </w:r>
    </w:p>
    <w:p w14:paraId="7E033F57" w14:textId="77777777" w:rsidR="009636B7" w:rsidRPr="000329FE" w:rsidRDefault="009636B7" w:rsidP="009636B7">
      <w:pPr>
        <w:pStyle w:val="References"/>
      </w:pPr>
      <w:r w:rsidRPr="000329FE">
        <w:rPr>
          <w:shd w:val="clear" w:color="auto" w:fill="FFFFFF"/>
        </w:rPr>
        <w:t>Senior J, Shaw J. 2013. Mental healthcare in prisons. In K Soothill, P Rogers, M Dolan (</w:t>
      </w:r>
      <w:r>
        <w:rPr>
          <w:shd w:val="clear" w:color="auto" w:fill="FFFFFF"/>
        </w:rPr>
        <w:t>e</w:t>
      </w:r>
      <w:r w:rsidRPr="000329FE">
        <w:rPr>
          <w:shd w:val="clear" w:color="auto" w:fill="FFFFFF"/>
        </w:rPr>
        <w:t xml:space="preserve">ds), </w:t>
      </w:r>
      <w:r w:rsidRPr="000329FE">
        <w:rPr>
          <w:i/>
          <w:iCs/>
          <w:shd w:val="clear" w:color="auto" w:fill="FFFFFF"/>
        </w:rPr>
        <w:t xml:space="preserve">Handbook of </w:t>
      </w:r>
      <w:r>
        <w:rPr>
          <w:i/>
          <w:iCs/>
          <w:shd w:val="clear" w:color="auto" w:fill="FFFFFF"/>
        </w:rPr>
        <w:t>F</w:t>
      </w:r>
      <w:r w:rsidRPr="000329FE">
        <w:rPr>
          <w:i/>
          <w:iCs/>
          <w:shd w:val="clear" w:color="auto" w:fill="FFFFFF"/>
        </w:rPr>
        <w:t xml:space="preserve">orensic </w:t>
      </w:r>
      <w:r>
        <w:rPr>
          <w:i/>
          <w:iCs/>
          <w:shd w:val="clear" w:color="auto" w:fill="FFFFFF"/>
        </w:rPr>
        <w:t>M</w:t>
      </w:r>
      <w:r w:rsidRPr="000329FE">
        <w:rPr>
          <w:i/>
          <w:iCs/>
          <w:shd w:val="clear" w:color="auto" w:fill="FFFFFF"/>
        </w:rPr>
        <w:t xml:space="preserve">ental </w:t>
      </w:r>
      <w:r>
        <w:rPr>
          <w:i/>
          <w:iCs/>
          <w:shd w:val="clear" w:color="auto" w:fill="FFFFFF"/>
        </w:rPr>
        <w:t>H</w:t>
      </w:r>
      <w:r w:rsidRPr="000329FE">
        <w:rPr>
          <w:i/>
          <w:iCs/>
          <w:shd w:val="clear" w:color="auto" w:fill="FFFFFF"/>
        </w:rPr>
        <w:t>ealth</w:t>
      </w:r>
      <w:r w:rsidRPr="000329FE">
        <w:rPr>
          <w:shd w:val="clear" w:color="auto" w:fill="FFFFFF"/>
        </w:rPr>
        <w:t xml:space="preserve"> (2</w:t>
      </w:r>
      <w:r w:rsidRPr="00561492">
        <w:rPr>
          <w:shd w:val="clear" w:color="auto" w:fill="FFFFFF"/>
        </w:rPr>
        <w:t>nd</w:t>
      </w:r>
      <w:r w:rsidRPr="000329FE">
        <w:rPr>
          <w:shd w:val="clear" w:color="auto" w:fill="FFFFFF"/>
        </w:rPr>
        <w:t xml:space="preserve"> ed, pp. 175–96). London: Routledge.</w:t>
      </w:r>
    </w:p>
    <w:p w14:paraId="5DA1F499" w14:textId="77777777" w:rsidR="00EE0ADB" w:rsidRDefault="009636B7" w:rsidP="009636B7">
      <w:pPr>
        <w:pStyle w:val="References"/>
      </w:pPr>
      <w:r w:rsidRPr="000329FE">
        <w:t xml:space="preserve">Sharples J, Lewin TJ, Hinton RJ, </w:t>
      </w:r>
      <w:r w:rsidR="00AD0D58">
        <w:t>et al</w:t>
      </w:r>
      <w:r w:rsidRPr="000329FE">
        <w:t xml:space="preserve">. 2003. Offending behaviour and mental illness: Characteristics of a mental health court liaison service. </w:t>
      </w:r>
      <w:r w:rsidRPr="000329FE">
        <w:rPr>
          <w:i/>
          <w:iCs/>
        </w:rPr>
        <w:t xml:space="preserve">Psychiatry, Psychology and Law </w:t>
      </w:r>
      <w:r w:rsidRPr="00561492">
        <w:t>10</w:t>
      </w:r>
      <w:r w:rsidRPr="000329FE">
        <w:t>(2)</w:t>
      </w:r>
      <w:r>
        <w:t>:</w:t>
      </w:r>
      <w:r w:rsidRPr="000329FE">
        <w:t xml:space="preserve"> 300–15. </w:t>
      </w:r>
      <w:r>
        <w:t>DOI</w:t>
      </w:r>
      <w:r w:rsidRPr="000329FE">
        <w:t>:</w:t>
      </w:r>
      <w:r>
        <w:t xml:space="preserve"> </w:t>
      </w:r>
      <w:r w:rsidRPr="000329FE">
        <w:t>10.1375/pplt.2003.10.2.300</w:t>
      </w:r>
      <w:r>
        <w:t xml:space="preserve"> (accessed 26 October 2021).</w:t>
      </w:r>
    </w:p>
    <w:p w14:paraId="2931857F" w14:textId="77777777" w:rsidR="009636B7" w:rsidRPr="000329FE" w:rsidRDefault="009636B7" w:rsidP="009636B7">
      <w:pPr>
        <w:pStyle w:val="References"/>
        <w:rPr>
          <w:rFonts w:ascii="Times New Roman" w:hAnsi="Times New Roman"/>
        </w:rPr>
      </w:pPr>
      <w:r w:rsidRPr="000329FE">
        <w:t>Shaw J, Humber N. 2004. Prison mental health services.</w:t>
      </w:r>
      <w:r w:rsidR="0015214D">
        <w:t xml:space="preserve"> </w:t>
      </w:r>
      <w:r w:rsidRPr="000329FE">
        <w:rPr>
          <w:i/>
          <w:iCs/>
        </w:rPr>
        <w:t xml:space="preserve">Psychiatry </w:t>
      </w:r>
      <w:r w:rsidRPr="00561492">
        <w:t>3</w:t>
      </w:r>
      <w:r w:rsidRPr="000329FE">
        <w:t>(11)</w:t>
      </w:r>
      <w:r>
        <w:t>:</w:t>
      </w:r>
      <w:r w:rsidRPr="000329FE">
        <w:t xml:space="preserve"> 21–4. </w:t>
      </w:r>
      <w:r>
        <w:t>DOI</w:t>
      </w:r>
      <w:r w:rsidRPr="000329FE">
        <w:t>:</w:t>
      </w:r>
      <w:r>
        <w:t xml:space="preserve"> </w:t>
      </w:r>
      <w:r w:rsidRPr="000329FE">
        <w:t>10.1383/psyt.3.11.21.53591</w:t>
      </w:r>
      <w:r>
        <w:t xml:space="preserve"> (accessed 14 October 2021).</w:t>
      </w:r>
    </w:p>
    <w:p w14:paraId="6BDB32E6" w14:textId="77777777" w:rsidR="009636B7" w:rsidRPr="000329FE" w:rsidRDefault="009636B7" w:rsidP="009636B7">
      <w:pPr>
        <w:pStyle w:val="References"/>
        <w:rPr>
          <w:shd w:val="clear" w:color="auto" w:fill="FFFFFF"/>
        </w:rPr>
      </w:pPr>
      <w:r w:rsidRPr="000329FE">
        <w:rPr>
          <w:shd w:val="clear" w:color="auto" w:fill="FFFFFF"/>
        </w:rPr>
        <w:t xml:space="preserve">Sheehan R. 2012. Forensic social work: A distinctive framework for intervention. </w:t>
      </w:r>
      <w:r w:rsidRPr="000329FE">
        <w:rPr>
          <w:i/>
          <w:iCs/>
          <w:shd w:val="clear" w:color="auto" w:fill="FFFFFF"/>
        </w:rPr>
        <w:t xml:space="preserve">Social Work in Mental Health </w:t>
      </w:r>
      <w:r w:rsidRPr="00561492">
        <w:rPr>
          <w:shd w:val="clear" w:color="auto" w:fill="FFFFFF"/>
        </w:rPr>
        <w:t>10</w:t>
      </w:r>
      <w:r w:rsidRPr="000329FE">
        <w:rPr>
          <w:shd w:val="clear" w:color="auto" w:fill="FFFFFF"/>
        </w:rPr>
        <w:t>(5)</w:t>
      </w:r>
      <w:r>
        <w:rPr>
          <w:shd w:val="clear" w:color="auto" w:fill="FFFFFF"/>
        </w:rPr>
        <w:t>:</w:t>
      </w:r>
      <w:r w:rsidRPr="000329FE">
        <w:rPr>
          <w:shd w:val="clear" w:color="auto" w:fill="FFFFFF"/>
        </w:rPr>
        <w:t xml:space="preserve"> 409–25.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10.1080/15332985.2012.678571</w:t>
      </w:r>
      <w:r>
        <w:rPr>
          <w:shd w:val="clear" w:color="auto" w:fill="FFFFFF"/>
        </w:rPr>
        <w:t xml:space="preserve"> (accessed 14 October 2021).</w:t>
      </w:r>
    </w:p>
    <w:p w14:paraId="533C929F" w14:textId="77777777" w:rsidR="009636B7" w:rsidRPr="000329FE" w:rsidRDefault="009636B7" w:rsidP="009636B7">
      <w:pPr>
        <w:pStyle w:val="References"/>
        <w:rPr>
          <w:shd w:val="clear" w:color="auto" w:fill="FFFFFF"/>
        </w:rPr>
      </w:pPr>
      <w:r w:rsidRPr="000329FE">
        <w:rPr>
          <w:shd w:val="clear" w:color="auto" w:fill="FFFFFF"/>
        </w:rPr>
        <w:t>Sheehan R, Ogloff J (</w:t>
      </w:r>
      <w:r>
        <w:rPr>
          <w:shd w:val="clear" w:color="auto" w:fill="FFFFFF"/>
        </w:rPr>
        <w:t>e</w:t>
      </w:r>
      <w:r w:rsidRPr="000329FE">
        <w:rPr>
          <w:shd w:val="clear" w:color="auto" w:fill="FFFFFF"/>
        </w:rPr>
        <w:t>ds). 2014</w:t>
      </w:r>
      <w:r w:rsidR="0015214D">
        <w:rPr>
          <w:shd w:val="clear" w:color="auto" w:fill="FFFFFF"/>
        </w:rPr>
        <w:t xml:space="preserve">. </w:t>
      </w:r>
      <w:r w:rsidRPr="000329FE">
        <w:rPr>
          <w:i/>
          <w:iCs/>
          <w:shd w:val="clear" w:color="auto" w:fill="FFFFFF"/>
        </w:rPr>
        <w:t xml:space="preserve">Working within the </w:t>
      </w:r>
      <w:r>
        <w:rPr>
          <w:i/>
          <w:iCs/>
          <w:shd w:val="clear" w:color="auto" w:fill="FFFFFF"/>
        </w:rPr>
        <w:t>F</w:t>
      </w:r>
      <w:r w:rsidRPr="000329FE">
        <w:rPr>
          <w:i/>
          <w:iCs/>
          <w:shd w:val="clear" w:color="auto" w:fill="FFFFFF"/>
        </w:rPr>
        <w:t xml:space="preserve">orensic </w:t>
      </w:r>
      <w:r>
        <w:rPr>
          <w:i/>
          <w:iCs/>
          <w:shd w:val="clear" w:color="auto" w:fill="FFFFFF"/>
        </w:rPr>
        <w:t>P</w:t>
      </w:r>
      <w:r w:rsidRPr="000329FE">
        <w:rPr>
          <w:i/>
          <w:iCs/>
          <w:shd w:val="clear" w:color="auto" w:fill="FFFFFF"/>
        </w:rPr>
        <w:t>aradigm: Cross-discipline approaches for policy and practice</w:t>
      </w:r>
      <w:r w:rsidRPr="000329FE">
        <w:rPr>
          <w:shd w:val="clear" w:color="auto" w:fill="FFFFFF"/>
        </w:rPr>
        <w:t>. New York: Routledge.</w:t>
      </w:r>
    </w:p>
    <w:p w14:paraId="55D1BB59" w14:textId="77777777" w:rsidR="009636B7" w:rsidRPr="000329FE" w:rsidRDefault="009636B7" w:rsidP="009636B7">
      <w:pPr>
        <w:pStyle w:val="References"/>
      </w:pPr>
      <w:r w:rsidRPr="000329FE">
        <w:rPr>
          <w:shd w:val="clear" w:color="auto" w:fill="FFFFFF"/>
        </w:rPr>
        <w:t>Shuker R. 2013. Treating offenders in a therapeutic community. In LA Craig, L Dixon, TA</w:t>
      </w:r>
      <w:r w:rsidR="0015214D">
        <w:rPr>
          <w:shd w:val="clear" w:color="auto" w:fill="FFFFFF"/>
        </w:rPr>
        <w:t> </w:t>
      </w:r>
      <w:r w:rsidRPr="000329FE">
        <w:rPr>
          <w:shd w:val="clear" w:color="auto" w:fill="FFFFFF"/>
        </w:rPr>
        <w:t>Gannon (</w:t>
      </w:r>
      <w:r>
        <w:rPr>
          <w:shd w:val="clear" w:color="auto" w:fill="FFFFFF"/>
        </w:rPr>
        <w:t>e</w:t>
      </w:r>
      <w:r w:rsidRPr="000329FE">
        <w:rPr>
          <w:shd w:val="clear" w:color="auto" w:fill="FFFFFF"/>
        </w:rPr>
        <w:t xml:space="preserve">ds), </w:t>
      </w:r>
      <w:r w:rsidRPr="000329FE">
        <w:rPr>
          <w:i/>
          <w:iCs/>
        </w:rPr>
        <w:t xml:space="preserve">What </w:t>
      </w:r>
      <w:r>
        <w:rPr>
          <w:i/>
          <w:iCs/>
        </w:rPr>
        <w:t>W</w:t>
      </w:r>
      <w:r w:rsidRPr="000329FE">
        <w:rPr>
          <w:i/>
          <w:iCs/>
        </w:rPr>
        <w:t xml:space="preserve">orks in </w:t>
      </w:r>
      <w:r>
        <w:rPr>
          <w:i/>
          <w:iCs/>
        </w:rPr>
        <w:t>O</w:t>
      </w:r>
      <w:r w:rsidRPr="000329FE">
        <w:rPr>
          <w:i/>
          <w:iCs/>
        </w:rPr>
        <w:t xml:space="preserve">ffender </w:t>
      </w:r>
      <w:r>
        <w:rPr>
          <w:i/>
          <w:iCs/>
        </w:rPr>
        <w:t>R</w:t>
      </w:r>
      <w:r w:rsidRPr="000329FE">
        <w:rPr>
          <w:i/>
          <w:iCs/>
        </w:rPr>
        <w:t xml:space="preserve">ehabilitation: An evidence-based approach to assessment and treatment </w:t>
      </w:r>
      <w:r w:rsidRPr="000329FE">
        <w:t>(pp. 340–58)</w:t>
      </w:r>
      <w:r w:rsidRPr="000329FE">
        <w:rPr>
          <w:i/>
          <w:iCs/>
        </w:rPr>
        <w:t>.</w:t>
      </w:r>
      <w:r w:rsidRPr="000329FE">
        <w:t xml:space="preserve"> Hoboken, NJ: John Wiley &amp; Sons.</w:t>
      </w:r>
    </w:p>
    <w:p w14:paraId="6A0D1A26" w14:textId="77777777" w:rsidR="00EE0ADB" w:rsidRDefault="009636B7" w:rsidP="009636B7">
      <w:pPr>
        <w:pStyle w:val="References"/>
      </w:pPr>
      <w:r w:rsidRPr="000329FE">
        <w:t>Shuker R, Ashmore Z (</w:t>
      </w:r>
      <w:r>
        <w:t>e</w:t>
      </w:r>
      <w:r w:rsidRPr="000329FE">
        <w:t xml:space="preserve">ds). 2014. </w:t>
      </w:r>
      <w:r w:rsidRPr="000329FE">
        <w:rPr>
          <w:i/>
          <w:iCs/>
        </w:rPr>
        <w:t xml:space="preserve">Forensic </w:t>
      </w:r>
      <w:r>
        <w:rPr>
          <w:i/>
          <w:iCs/>
        </w:rPr>
        <w:t>P</w:t>
      </w:r>
      <w:r w:rsidRPr="000329FE">
        <w:rPr>
          <w:i/>
          <w:iCs/>
        </w:rPr>
        <w:t xml:space="preserve">ractice in the </w:t>
      </w:r>
      <w:r>
        <w:rPr>
          <w:i/>
          <w:iCs/>
        </w:rPr>
        <w:t>C</w:t>
      </w:r>
      <w:r w:rsidRPr="000329FE">
        <w:rPr>
          <w:i/>
          <w:iCs/>
        </w:rPr>
        <w:t>ommunity</w:t>
      </w:r>
      <w:r w:rsidRPr="00561492">
        <w:t>.</w:t>
      </w:r>
      <w:r w:rsidRPr="000329FE">
        <w:t xml:space="preserve"> New York: Routledge.</w:t>
      </w:r>
    </w:p>
    <w:p w14:paraId="13B11553" w14:textId="77777777" w:rsidR="00EE0ADB" w:rsidRDefault="009636B7" w:rsidP="009636B7">
      <w:pPr>
        <w:pStyle w:val="References"/>
        <w:rPr>
          <w:shd w:val="clear" w:color="auto" w:fill="FFFFFF"/>
        </w:rPr>
      </w:pPr>
      <w:r w:rsidRPr="000329FE">
        <w:rPr>
          <w:shd w:val="clear" w:color="auto" w:fill="FFFFFF"/>
        </w:rPr>
        <w:t xml:space="preserve">Simon RI, Wettstein RM. 1997. Toward the development of guidelines for the conduct of forensic psychiatric examinations. </w:t>
      </w:r>
      <w:r w:rsidRPr="000329FE">
        <w:rPr>
          <w:i/>
          <w:iCs/>
          <w:shd w:val="clear" w:color="auto" w:fill="FFFFFF"/>
        </w:rPr>
        <w:t xml:space="preserve">Journal of the American Academy of Psychiatry and the Law </w:t>
      </w:r>
      <w:r w:rsidRPr="00561492">
        <w:rPr>
          <w:shd w:val="clear" w:color="auto" w:fill="FFFFFF"/>
        </w:rPr>
        <w:t>25</w:t>
      </w:r>
      <w:r w:rsidRPr="000329FE">
        <w:rPr>
          <w:shd w:val="clear" w:color="auto" w:fill="FFFFFF"/>
        </w:rPr>
        <w:t>(1)</w:t>
      </w:r>
      <w:r>
        <w:rPr>
          <w:shd w:val="clear" w:color="auto" w:fill="FFFFFF"/>
        </w:rPr>
        <w:t>:</w:t>
      </w:r>
      <w:r w:rsidRPr="000329FE">
        <w:rPr>
          <w:shd w:val="clear" w:color="auto" w:fill="FFFFFF"/>
        </w:rPr>
        <w:t xml:space="preserve"> 17–30.</w:t>
      </w:r>
    </w:p>
    <w:p w14:paraId="0B8BCBC0" w14:textId="77777777" w:rsidR="009636B7" w:rsidRPr="000329FE" w:rsidRDefault="009636B7" w:rsidP="009636B7">
      <w:pPr>
        <w:pStyle w:val="References"/>
        <w:rPr>
          <w:shd w:val="clear" w:color="auto" w:fill="FFFFFF"/>
        </w:rPr>
      </w:pPr>
      <w:r w:rsidRPr="000329FE">
        <w:rPr>
          <w:shd w:val="clear" w:color="auto" w:fill="FFFFFF"/>
        </w:rPr>
        <w:t xml:space="preserve">Simpson A, Chaplow DG. 2001. Forensic psychiatry services in New Zealand. </w:t>
      </w:r>
      <w:r w:rsidRPr="000329FE">
        <w:rPr>
          <w:i/>
          <w:iCs/>
          <w:shd w:val="clear" w:color="auto" w:fill="FFFFFF"/>
        </w:rPr>
        <w:t xml:space="preserve">Psychiatric Services </w:t>
      </w:r>
      <w:r w:rsidRPr="00561492">
        <w:rPr>
          <w:shd w:val="clear" w:color="auto" w:fill="FFFFFF"/>
        </w:rPr>
        <w:t>52</w:t>
      </w:r>
      <w:r w:rsidRPr="000329FE">
        <w:rPr>
          <w:shd w:val="clear" w:color="auto" w:fill="FFFFFF"/>
        </w:rPr>
        <w:t>(7)</w:t>
      </w:r>
      <w:r>
        <w:rPr>
          <w:shd w:val="clear" w:color="auto" w:fill="FFFFFF"/>
        </w:rPr>
        <w:t>:</w:t>
      </w:r>
      <w:r w:rsidRPr="000329FE">
        <w:rPr>
          <w:shd w:val="clear" w:color="auto" w:fill="FFFFFF"/>
        </w:rPr>
        <w:t xml:space="preserve"> 973–4. </w:t>
      </w:r>
      <w:r>
        <w:rPr>
          <w:shd w:val="clear" w:color="auto" w:fill="FFFFFF"/>
        </w:rPr>
        <w:t xml:space="preserve">URL: </w:t>
      </w:r>
      <w:hyperlink r:id="rId151" w:history="1">
        <w:r w:rsidR="0015214D" w:rsidRPr="0015214D">
          <w:rPr>
            <w:rStyle w:val="Hyperlink"/>
            <w:shd w:val="clear" w:color="auto" w:fill="FFFFFF"/>
          </w:rPr>
          <w:t>https://doi-org.ezproxy.aut.ac.nz/10.1176/appi.ps.52.7.973-a</w:t>
        </w:r>
      </w:hyperlink>
      <w:r>
        <w:rPr>
          <w:shd w:val="clear" w:color="auto" w:fill="FFFFFF"/>
        </w:rPr>
        <w:t xml:space="preserve"> (accessed 6 October 2021).</w:t>
      </w:r>
    </w:p>
    <w:p w14:paraId="0D1439E1" w14:textId="77777777" w:rsidR="009636B7" w:rsidRPr="000329FE" w:rsidRDefault="009636B7" w:rsidP="009636B7">
      <w:pPr>
        <w:pStyle w:val="References"/>
      </w:pPr>
      <w:r w:rsidRPr="000329FE">
        <w:rPr>
          <w:shd w:val="clear" w:color="auto" w:fill="FFFFFF"/>
        </w:rPr>
        <w:t>Sirdifield C, Owen S. 2016. Probation</w:t>
      </w:r>
      <w:r w:rsidR="00EE0ADB">
        <w:rPr>
          <w:shd w:val="clear" w:color="auto" w:fill="FFFFFF"/>
        </w:rPr>
        <w:t>’</w:t>
      </w:r>
      <w:r w:rsidRPr="000329FE">
        <w:rPr>
          <w:shd w:val="clear" w:color="auto" w:fill="FFFFFF"/>
        </w:rPr>
        <w:t>s role in offender mental health</w:t>
      </w:r>
      <w:r w:rsidRPr="000329FE">
        <w:rPr>
          <w:i/>
          <w:iCs/>
          <w:shd w:val="clear" w:color="auto" w:fill="FFFFFF"/>
        </w:rPr>
        <w:t xml:space="preserve">. International Journal of Prisoner Health </w:t>
      </w:r>
      <w:r w:rsidRPr="00561492">
        <w:rPr>
          <w:shd w:val="clear" w:color="auto" w:fill="FFFFFF"/>
        </w:rPr>
        <w:t>12</w:t>
      </w:r>
      <w:r w:rsidRPr="000329FE">
        <w:rPr>
          <w:shd w:val="clear" w:color="auto" w:fill="FFFFFF"/>
        </w:rPr>
        <w:t>(3)</w:t>
      </w:r>
      <w:r>
        <w:rPr>
          <w:shd w:val="clear" w:color="auto" w:fill="FFFFFF"/>
        </w:rPr>
        <w:t>:</w:t>
      </w:r>
      <w:r w:rsidRPr="000329FE">
        <w:rPr>
          <w:shd w:val="clear" w:color="auto" w:fill="FFFFFF"/>
        </w:rPr>
        <w:t xml:space="preserve"> 185–99. </w:t>
      </w:r>
      <w:r>
        <w:t>DOI</w:t>
      </w:r>
      <w:r w:rsidRPr="000329FE">
        <w:t>:</w:t>
      </w:r>
      <w:r>
        <w:t xml:space="preserve"> </w:t>
      </w:r>
      <w:r w:rsidRPr="000329FE">
        <w:t>10.1108/IJPH-10-2015-0034</w:t>
      </w:r>
      <w:r>
        <w:t xml:space="preserve"> (accessed 22</w:t>
      </w:r>
      <w:r w:rsidR="0015214D">
        <w:t> </w:t>
      </w:r>
      <w:r>
        <w:t>October 2021).</w:t>
      </w:r>
    </w:p>
    <w:p w14:paraId="5BFD17E5" w14:textId="77777777" w:rsidR="009636B7" w:rsidRPr="000329FE" w:rsidRDefault="009636B7" w:rsidP="009636B7">
      <w:pPr>
        <w:pStyle w:val="References"/>
        <w:rPr>
          <w:shd w:val="clear" w:color="auto" w:fill="FFFFFF"/>
        </w:rPr>
      </w:pPr>
      <w:r w:rsidRPr="000329FE">
        <w:rPr>
          <w:shd w:val="clear" w:color="auto" w:fill="FFFFFF"/>
        </w:rPr>
        <w:t xml:space="preserve">Sirotich F. 2009. The criminal justice outcomes of jail diversion programs for persons with mental illness: A review of the evidence. </w:t>
      </w:r>
      <w:r w:rsidRPr="000329FE">
        <w:rPr>
          <w:i/>
          <w:iCs/>
          <w:shd w:val="clear" w:color="auto" w:fill="FFFFFF"/>
        </w:rPr>
        <w:t xml:space="preserve">Journal of the American Academy of Psychiatry and the Law </w:t>
      </w:r>
      <w:r w:rsidRPr="00561492">
        <w:rPr>
          <w:shd w:val="clear" w:color="auto" w:fill="FFFFFF"/>
        </w:rPr>
        <w:t>37</w:t>
      </w:r>
      <w:r w:rsidRPr="000329FE">
        <w:rPr>
          <w:shd w:val="clear" w:color="auto" w:fill="FFFFFF"/>
        </w:rPr>
        <w:t>(4)</w:t>
      </w:r>
      <w:r>
        <w:rPr>
          <w:shd w:val="clear" w:color="auto" w:fill="FFFFFF"/>
        </w:rPr>
        <w:t>:</w:t>
      </w:r>
      <w:r w:rsidRPr="000329FE">
        <w:rPr>
          <w:shd w:val="clear" w:color="auto" w:fill="FFFFFF"/>
        </w:rPr>
        <w:t xml:space="preserve"> 461–72. </w:t>
      </w:r>
      <w:r>
        <w:rPr>
          <w:shd w:val="clear" w:color="auto" w:fill="FFFFFF"/>
        </w:rPr>
        <w:t>URL:</w:t>
      </w:r>
      <w:r w:rsidRPr="000329FE">
        <w:rPr>
          <w:shd w:val="clear" w:color="auto" w:fill="FFFFFF"/>
        </w:rPr>
        <w:t xml:space="preserve"> </w:t>
      </w:r>
      <w:hyperlink r:id="rId152" w:history="1">
        <w:r w:rsidR="0015214D" w:rsidRPr="0015214D">
          <w:rPr>
            <w:rStyle w:val="Hyperlink"/>
            <w:shd w:val="clear" w:color="auto" w:fill="FFFFFF"/>
          </w:rPr>
          <w:t>http://jaapl.org/</w:t>
        </w:r>
      </w:hyperlink>
      <w:r>
        <w:rPr>
          <w:shd w:val="clear" w:color="auto" w:fill="FFFFFF"/>
        </w:rPr>
        <w:t xml:space="preserve"> (accessed 27 October 2021).</w:t>
      </w:r>
    </w:p>
    <w:p w14:paraId="178A9E03" w14:textId="77777777" w:rsidR="009636B7" w:rsidRPr="000329FE" w:rsidRDefault="009636B7" w:rsidP="009636B7">
      <w:pPr>
        <w:pStyle w:val="References"/>
        <w:rPr>
          <w:shd w:val="clear" w:color="auto" w:fill="FFFFFF"/>
        </w:rPr>
      </w:pPr>
      <w:r w:rsidRPr="000329FE">
        <w:rPr>
          <w:shd w:val="clear" w:color="auto" w:fill="FFFFFF"/>
        </w:rPr>
        <w:t xml:space="preserve">Skeem JL, Encandela J, Louden JE. 2003. Perspectives on probation and mandated mental health treatment in specialized and traditional probation departments. </w:t>
      </w:r>
      <w:r w:rsidRPr="000329FE">
        <w:rPr>
          <w:i/>
          <w:iCs/>
          <w:shd w:val="clear" w:color="auto" w:fill="FFFFFF"/>
        </w:rPr>
        <w:t xml:space="preserve">Behavioral Sciences </w:t>
      </w:r>
      <w:r>
        <w:rPr>
          <w:i/>
          <w:iCs/>
          <w:shd w:val="clear" w:color="auto" w:fill="FFFFFF"/>
        </w:rPr>
        <w:t>&amp;</w:t>
      </w:r>
      <w:r w:rsidRPr="000329FE">
        <w:rPr>
          <w:i/>
          <w:iCs/>
          <w:shd w:val="clear" w:color="auto" w:fill="FFFFFF"/>
        </w:rPr>
        <w:t xml:space="preserve"> the Law </w:t>
      </w:r>
      <w:r w:rsidRPr="00561492">
        <w:rPr>
          <w:shd w:val="clear" w:color="auto" w:fill="FFFFFF"/>
        </w:rPr>
        <w:t>21</w:t>
      </w:r>
      <w:r w:rsidRPr="000329FE">
        <w:rPr>
          <w:shd w:val="clear" w:color="auto" w:fill="FFFFFF"/>
        </w:rPr>
        <w:t>(4)</w:t>
      </w:r>
      <w:r>
        <w:rPr>
          <w:shd w:val="clear" w:color="auto" w:fill="FFFFFF"/>
        </w:rPr>
        <w:t>:</w:t>
      </w:r>
      <w:r w:rsidRPr="000329FE">
        <w:rPr>
          <w:shd w:val="clear" w:color="auto" w:fill="FFFFFF"/>
        </w:rPr>
        <w:t xml:space="preserve"> 429–58.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10.1002/bsl.547</w:t>
      </w:r>
      <w:r>
        <w:rPr>
          <w:shd w:val="clear" w:color="auto" w:fill="FFFFFF"/>
        </w:rPr>
        <w:t xml:space="preserve"> (accessed 22 October 2021).</w:t>
      </w:r>
    </w:p>
    <w:p w14:paraId="3BDC8932" w14:textId="77777777" w:rsidR="00A0717A" w:rsidRPr="000329FE" w:rsidRDefault="009636B7" w:rsidP="009636B7">
      <w:pPr>
        <w:pStyle w:val="References"/>
        <w:rPr>
          <w:shd w:val="clear" w:color="auto" w:fill="FFFFFF"/>
        </w:rPr>
      </w:pPr>
      <w:r w:rsidRPr="000329FE">
        <w:rPr>
          <w:shd w:val="clear" w:color="auto" w:fill="FFFFFF"/>
        </w:rPr>
        <w:t xml:space="preserve">Skeem JL, Louden JE. 2006. Toward evidence-based practice for probationers and parolees mandated to mental health treatment. </w:t>
      </w:r>
      <w:r w:rsidRPr="000329FE">
        <w:rPr>
          <w:i/>
          <w:iCs/>
          <w:shd w:val="clear" w:color="auto" w:fill="FFFFFF"/>
        </w:rPr>
        <w:t xml:space="preserve">Psychiatric Services </w:t>
      </w:r>
      <w:r w:rsidRPr="00561492">
        <w:rPr>
          <w:shd w:val="clear" w:color="auto" w:fill="FFFFFF"/>
        </w:rPr>
        <w:t>57</w:t>
      </w:r>
      <w:r w:rsidRPr="000329FE">
        <w:rPr>
          <w:shd w:val="clear" w:color="auto" w:fill="FFFFFF"/>
        </w:rPr>
        <w:t>(3)</w:t>
      </w:r>
      <w:r>
        <w:rPr>
          <w:shd w:val="clear" w:color="auto" w:fill="FFFFFF"/>
        </w:rPr>
        <w:t>:</w:t>
      </w:r>
      <w:r w:rsidRPr="000329FE">
        <w:rPr>
          <w:shd w:val="clear" w:color="auto" w:fill="FFFFFF"/>
        </w:rPr>
        <w:t xml:space="preserve"> 333–42.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10.1176/appi.ps.57.3.333</w:t>
      </w:r>
      <w:r>
        <w:rPr>
          <w:shd w:val="clear" w:color="auto" w:fill="FFFFFF"/>
        </w:rPr>
        <w:t xml:space="preserve"> (accessed 22 October 2021).</w:t>
      </w:r>
    </w:p>
    <w:p w14:paraId="16880E2C" w14:textId="77777777" w:rsidR="00EE0ADB" w:rsidRDefault="009636B7" w:rsidP="009636B7">
      <w:pPr>
        <w:pStyle w:val="References"/>
        <w:rPr>
          <w:shd w:val="clear" w:color="auto" w:fill="FFFFFF"/>
        </w:rPr>
      </w:pPr>
      <w:r w:rsidRPr="000329FE">
        <w:rPr>
          <w:shd w:val="clear" w:color="auto" w:fill="FFFFFF"/>
        </w:rPr>
        <w:t xml:space="preserve">Skeem JL, Manchak S, Peterson JK. 2011. Correctional policy for offenders with mental illness: Creating a new paradigm for recidivism reduction. </w:t>
      </w:r>
      <w:r w:rsidRPr="000329FE">
        <w:rPr>
          <w:i/>
          <w:iCs/>
          <w:shd w:val="clear" w:color="auto" w:fill="FFFFFF"/>
        </w:rPr>
        <w:t xml:space="preserve">Law and Human Behavior </w:t>
      </w:r>
      <w:r w:rsidRPr="00561492">
        <w:rPr>
          <w:shd w:val="clear" w:color="auto" w:fill="FFFFFF"/>
        </w:rPr>
        <w:t>35</w:t>
      </w:r>
      <w:r w:rsidRPr="000329FE">
        <w:rPr>
          <w:shd w:val="clear" w:color="auto" w:fill="FFFFFF"/>
        </w:rPr>
        <w:t>(2)</w:t>
      </w:r>
      <w:r>
        <w:rPr>
          <w:shd w:val="clear" w:color="auto" w:fill="FFFFFF"/>
        </w:rPr>
        <w:t>:</w:t>
      </w:r>
      <w:r w:rsidRPr="000329FE">
        <w:rPr>
          <w:shd w:val="clear" w:color="auto" w:fill="FFFFFF"/>
        </w:rPr>
        <w:t xml:space="preserve"> 110–26.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10.1007/s10979-010-9223-7</w:t>
      </w:r>
      <w:r>
        <w:rPr>
          <w:shd w:val="clear" w:color="auto" w:fill="FFFFFF"/>
        </w:rPr>
        <w:t xml:space="preserve"> (accessed 22 October 2021).</w:t>
      </w:r>
    </w:p>
    <w:p w14:paraId="7C945AA3" w14:textId="77777777" w:rsidR="009636B7" w:rsidRPr="000329FE" w:rsidRDefault="009636B7" w:rsidP="009636B7">
      <w:pPr>
        <w:pStyle w:val="References"/>
      </w:pPr>
      <w:r w:rsidRPr="000329FE">
        <w:rPr>
          <w:shd w:val="clear" w:color="auto" w:fill="FFFFFF"/>
        </w:rPr>
        <w:t xml:space="preserve">Skeem JL, Steadman HJ, Manchak SM. 2015. Applicability of the risk-need-responsivity model to persons with mental illness involved in the criminal justice system. </w:t>
      </w:r>
      <w:r w:rsidRPr="000329FE">
        <w:rPr>
          <w:i/>
          <w:iCs/>
        </w:rPr>
        <w:t xml:space="preserve">Psychiatric Services </w:t>
      </w:r>
      <w:r w:rsidRPr="00561492">
        <w:t>66</w:t>
      </w:r>
      <w:r w:rsidRPr="000329FE">
        <w:t>(9)</w:t>
      </w:r>
      <w:r>
        <w:t>:</w:t>
      </w:r>
      <w:r w:rsidRPr="000329FE">
        <w:t xml:space="preserve"> 916–22.</w:t>
      </w:r>
      <w:r w:rsidRPr="000329FE">
        <w:rPr>
          <w:shd w:val="clear" w:color="auto" w:fill="FFFFFF"/>
        </w:rPr>
        <w:t xml:space="preserve">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10.1176/appi.ps.201400448</w:t>
      </w:r>
      <w:r>
        <w:rPr>
          <w:shd w:val="clear" w:color="auto" w:fill="FFFFFF"/>
        </w:rPr>
        <w:t xml:space="preserve"> (accessed 11 October 2021).</w:t>
      </w:r>
    </w:p>
    <w:p w14:paraId="6266294E" w14:textId="77777777" w:rsidR="009636B7" w:rsidRPr="000329FE" w:rsidRDefault="009636B7" w:rsidP="009636B7">
      <w:pPr>
        <w:pStyle w:val="References"/>
        <w:rPr>
          <w:shd w:val="clear" w:color="auto" w:fill="FFFFFF"/>
        </w:rPr>
      </w:pPr>
      <w:r w:rsidRPr="000329FE">
        <w:rPr>
          <w:shd w:val="clear" w:color="auto" w:fill="FFFFFF"/>
        </w:rPr>
        <w:t xml:space="preserve">Skipworth J, Humberstone V. 2002. Community forensic psychiatry: Restoring some sanity to forensic psychiatric rehabilitation. </w:t>
      </w:r>
      <w:r w:rsidRPr="000329FE">
        <w:rPr>
          <w:i/>
          <w:iCs/>
          <w:shd w:val="clear" w:color="auto" w:fill="FFFFFF"/>
        </w:rPr>
        <w:t xml:space="preserve">Acta Psychiatrica Scandinavica </w:t>
      </w:r>
      <w:r w:rsidRPr="00561492">
        <w:rPr>
          <w:shd w:val="clear" w:color="auto" w:fill="FFFFFF"/>
        </w:rPr>
        <w:t>106</w:t>
      </w:r>
      <w:r w:rsidRPr="000329FE">
        <w:rPr>
          <w:shd w:val="clear" w:color="auto" w:fill="FFFFFF"/>
        </w:rPr>
        <w:t>(Suppl.</w:t>
      </w:r>
      <w:r w:rsidR="0015214D">
        <w:rPr>
          <w:shd w:val="clear" w:color="auto" w:fill="FFFFFF"/>
        </w:rPr>
        <w:t> </w:t>
      </w:r>
      <w:r w:rsidRPr="000329FE">
        <w:rPr>
          <w:shd w:val="clear" w:color="auto" w:fill="FFFFFF"/>
        </w:rPr>
        <w:t>S412)</w:t>
      </w:r>
      <w:r>
        <w:rPr>
          <w:shd w:val="clear" w:color="auto" w:fill="FFFFFF"/>
        </w:rPr>
        <w:t>:</w:t>
      </w:r>
      <w:r w:rsidRPr="000329FE">
        <w:rPr>
          <w:shd w:val="clear" w:color="auto" w:fill="FFFFFF"/>
        </w:rPr>
        <w:t xml:space="preserve"> 47–53.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10.1034/j.1600-0447.106.s412.11.x</w:t>
      </w:r>
      <w:r>
        <w:rPr>
          <w:shd w:val="clear" w:color="auto" w:fill="FFFFFF"/>
        </w:rPr>
        <w:t xml:space="preserve"> (accessed 11 October 2021).</w:t>
      </w:r>
    </w:p>
    <w:p w14:paraId="044B8C8D" w14:textId="77777777" w:rsidR="009636B7" w:rsidRPr="000329FE" w:rsidRDefault="009636B7" w:rsidP="009636B7">
      <w:pPr>
        <w:pStyle w:val="References"/>
        <w:rPr>
          <w:shd w:val="clear" w:color="auto" w:fill="FFFFFF"/>
        </w:rPr>
      </w:pPr>
      <w:r w:rsidRPr="000329FE">
        <w:rPr>
          <w:shd w:val="clear" w:color="auto" w:fill="FFFFFF"/>
        </w:rPr>
        <w:t xml:space="preserve">Skipworth J, Lindqvist P. 2007. Rehabilitation in forensic psychiatry. In W Brookbanks </w:t>
      </w:r>
      <w:r>
        <w:rPr>
          <w:shd w:val="clear" w:color="auto" w:fill="FFFFFF"/>
        </w:rPr>
        <w:t>and</w:t>
      </w:r>
      <w:r w:rsidRPr="000329FE">
        <w:rPr>
          <w:shd w:val="clear" w:color="auto" w:fill="FFFFFF"/>
        </w:rPr>
        <w:t xml:space="preserve"> S Simpson (</w:t>
      </w:r>
      <w:r>
        <w:rPr>
          <w:shd w:val="clear" w:color="auto" w:fill="FFFFFF"/>
        </w:rPr>
        <w:t>e</w:t>
      </w:r>
      <w:r w:rsidRPr="000329FE">
        <w:rPr>
          <w:shd w:val="clear" w:color="auto" w:fill="FFFFFF"/>
        </w:rPr>
        <w:t xml:space="preserve">ds), </w:t>
      </w:r>
      <w:r w:rsidRPr="000329FE">
        <w:rPr>
          <w:i/>
          <w:iCs/>
          <w:shd w:val="clear" w:color="auto" w:fill="FFFFFF"/>
        </w:rPr>
        <w:t xml:space="preserve">Psychiatry and the </w:t>
      </w:r>
      <w:r>
        <w:rPr>
          <w:i/>
          <w:iCs/>
          <w:shd w:val="clear" w:color="auto" w:fill="FFFFFF"/>
        </w:rPr>
        <w:t>L</w:t>
      </w:r>
      <w:r w:rsidRPr="000329FE">
        <w:rPr>
          <w:i/>
          <w:iCs/>
          <w:shd w:val="clear" w:color="auto" w:fill="FFFFFF"/>
        </w:rPr>
        <w:t>aw</w:t>
      </w:r>
      <w:r w:rsidRPr="000329FE">
        <w:rPr>
          <w:shd w:val="clear" w:color="auto" w:fill="FFFFFF"/>
        </w:rPr>
        <w:t xml:space="preserve"> (pp. 467–95). Wellington: LexisNexis.</w:t>
      </w:r>
    </w:p>
    <w:p w14:paraId="615BB052" w14:textId="77777777" w:rsidR="009636B7" w:rsidRPr="000329FE" w:rsidRDefault="009636B7" w:rsidP="009636B7">
      <w:pPr>
        <w:pStyle w:val="References"/>
        <w:rPr>
          <w:shd w:val="clear" w:color="auto" w:fill="FFFFFF"/>
        </w:rPr>
      </w:pPr>
      <w:r w:rsidRPr="000329FE">
        <w:rPr>
          <w:shd w:val="clear" w:color="auto" w:fill="FFFFFF"/>
        </w:rPr>
        <w:t xml:space="preserve">Slade K, Samele C, Valmaggia L, </w:t>
      </w:r>
      <w:r w:rsidR="00AD0D58">
        <w:rPr>
          <w:shd w:val="clear" w:color="auto" w:fill="FFFFFF"/>
        </w:rPr>
        <w:t>et al</w:t>
      </w:r>
      <w:r w:rsidRPr="000329FE">
        <w:rPr>
          <w:shd w:val="clear" w:color="auto" w:fill="FFFFFF"/>
        </w:rPr>
        <w:t xml:space="preserve">. 2016. Pathways through the criminal justice system for prisoners with acute and serious mental illness. </w:t>
      </w:r>
      <w:r w:rsidRPr="000329FE">
        <w:rPr>
          <w:i/>
          <w:iCs/>
          <w:shd w:val="clear" w:color="auto" w:fill="FFFFFF"/>
        </w:rPr>
        <w:t xml:space="preserve">Journal of Forensic and Legal Medicine </w:t>
      </w:r>
      <w:r w:rsidRPr="00561492">
        <w:rPr>
          <w:shd w:val="clear" w:color="auto" w:fill="FFFFFF"/>
        </w:rPr>
        <w:t>44</w:t>
      </w:r>
      <w:r>
        <w:rPr>
          <w:shd w:val="clear" w:color="auto" w:fill="FFFFFF"/>
        </w:rPr>
        <w:t>:</w:t>
      </w:r>
      <w:r w:rsidRPr="00AE13CA">
        <w:rPr>
          <w:shd w:val="clear" w:color="auto" w:fill="FFFFFF"/>
        </w:rPr>
        <w:t xml:space="preserve"> 162–</w:t>
      </w:r>
      <w:r w:rsidRPr="000329FE">
        <w:rPr>
          <w:shd w:val="clear" w:color="auto" w:fill="FFFFFF"/>
        </w:rPr>
        <w:t xml:space="preserve">8.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10.1016/j.jflm.2016.10.007</w:t>
      </w:r>
      <w:r>
        <w:rPr>
          <w:shd w:val="clear" w:color="auto" w:fill="FFFFFF"/>
        </w:rPr>
        <w:t xml:space="preserve"> (accessed 14 October 2021).</w:t>
      </w:r>
    </w:p>
    <w:p w14:paraId="15883559" w14:textId="77777777" w:rsidR="009636B7" w:rsidRPr="000329FE" w:rsidRDefault="009636B7" w:rsidP="009636B7">
      <w:pPr>
        <w:pStyle w:val="References"/>
        <w:rPr>
          <w:shd w:val="clear" w:color="auto" w:fill="FFFFFF"/>
        </w:rPr>
      </w:pPr>
      <w:r w:rsidRPr="000329FE">
        <w:rPr>
          <w:shd w:val="clear" w:color="auto" w:fill="FFFFFF"/>
        </w:rPr>
        <w:t xml:space="preserve">Slinger E, Roesch R. 2010. Problem-solving courts in Canada: A review and a call for empirically-based evaluation methods. </w:t>
      </w:r>
      <w:r w:rsidRPr="000329FE">
        <w:rPr>
          <w:i/>
          <w:iCs/>
          <w:shd w:val="clear" w:color="auto" w:fill="FFFFFF"/>
        </w:rPr>
        <w:t xml:space="preserve">International Journal of Law and Psychiatry </w:t>
      </w:r>
      <w:r w:rsidRPr="00561492">
        <w:rPr>
          <w:shd w:val="clear" w:color="auto" w:fill="FFFFFF"/>
        </w:rPr>
        <w:t>33</w:t>
      </w:r>
      <w:r w:rsidRPr="000329FE">
        <w:rPr>
          <w:shd w:val="clear" w:color="auto" w:fill="FFFFFF"/>
        </w:rPr>
        <w:t>(4)</w:t>
      </w:r>
      <w:r>
        <w:rPr>
          <w:shd w:val="clear" w:color="auto" w:fill="FFFFFF"/>
        </w:rPr>
        <w:t>:</w:t>
      </w:r>
      <w:r w:rsidRPr="000329FE">
        <w:rPr>
          <w:shd w:val="clear" w:color="auto" w:fill="FFFFFF"/>
        </w:rPr>
        <w:t xml:space="preserve"> 258–64.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10.1016/j.ijlp.2010.06.00</w:t>
      </w:r>
      <w:r>
        <w:rPr>
          <w:shd w:val="clear" w:color="auto" w:fill="FFFFFF"/>
        </w:rPr>
        <w:t xml:space="preserve"> (accessed 27 October 2021).</w:t>
      </w:r>
    </w:p>
    <w:p w14:paraId="25735EF7" w14:textId="77777777" w:rsidR="009636B7" w:rsidRPr="000329FE" w:rsidRDefault="009636B7" w:rsidP="009636B7">
      <w:pPr>
        <w:pStyle w:val="References"/>
        <w:rPr>
          <w:shd w:val="clear" w:color="auto" w:fill="FFFFFF"/>
        </w:rPr>
      </w:pPr>
      <w:r w:rsidRPr="000329FE">
        <w:rPr>
          <w:shd w:val="clear" w:color="auto" w:fill="FFFFFF"/>
        </w:rPr>
        <w:t xml:space="preserve">Sly KA, Sharples J, Lewin TJ, </w:t>
      </w:r>
      <w:r w:rsidR="00AD0D58">
        <w:rPr>
          <w:shd w:val="clear" w:color="auto" w:fill="FFFFFF"/>
        </w:rPr>
        <w:t>et al</w:t>
      </w:r>
      <w:r w:rsidRPr="000329FE">
        <w:rPr>
          <w:shd w:val="clear" w:color="auto" w:fill="FFFFFF"/>
        </w:rPr>
        <w:t xml:space="preserve">. 2009. Court outcomes for clients referred to a community mental health court liaison service. </w:t>
      </w:r>
      <w:r w:rsidRPr="000329FE">
        <w:rPr>
          <w:i/>
          <w:iCs/>
          <w:shd w:val="clear" w:color="auto" w:fill="FFFFFF"/>
        </w:rPr>
        <w:t xml:space="preserve">International Journal of Law and Psychiatry </w:t>
      </w:r>
      <w:r w:rsidRPr="00561492">
        <w:rPr>
          <w:shd w:val="clear" w:color="auto" w:fill="FFFFFF"/>
        </w:rPr>
        <w:t>32</w:t>
      </w:r>
      <w:r w:rsidRPr="000329FE">
        <w:rPr>
          <w:shd w:val="clear" w:color="auto" w:fill="FFFFFF"/>
        </w:rPr>
        <w:t>(2)</w:t>
      </w:r>
      <w:r>
        <w:rPr>
          <w:shd w:val="clear" w:color="auto" w:fill="FFFFFF"/>
        </w:rPr>
        <w:t>:</w:t>
      </w:r>
      <w:r w:rsidRPr="000329FE">
        <w:rPr>
          <w:shd w:val="clear" w:color="auto" w:fill="FFFFFF"/>
        </w:rPr>
        <w:t xml:space="preserve"> 92–100.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10.1016/j.ijlp.2009.01.005</w:t>
      </w:r>
      <w:r>
        <w:rPr>
          <w:shd w:val="clear" w:color="auto" w:fill="FFFFFF"/>
        </w:rPr>
        <w:t xml:space="preserve"> (accessed 27 October 2021).</w:t>
      </w:r>
    </w:p>
    <w:p w14:paraId="560EF615" w14:textId="77777777" w:rsidR="009636B7" w:rsidRPr="000329FE" w:rsidRDefault="009636B7" w:rsidP="009636B7">
      <w:pPr>
        <w:pStyle w:val="References"/>
        <w:rPr>
          <w:shd w:val="clear" w:color="auto" w:fill="FFFFFF"/>
        </w:rPr>
      </w:pPr>
      <w:r w:rsidRPr="000329FE">
        <w:rPr>
          <w:shd w:val="clear" w:color="auto" w:fill="FFFFFF"/>
        </w:rPr>
        <w:t xml:space="preserve">Smith D, Harnett S, Flanagan A, </w:t>
      </w:r>
      <w:r w:rsidR="00AD0D58">
        <w:rPr>
          <w:shd w:val="clear" w:color="auto" w:fill="FFFFFF"/>
        </w:rPr>
        <w:t>et al</w:t>
      </w:r>
      <w:r w:rsidRPr="000329FE">
        <w:rPr>
          <w:shd w:val="clear" w:color="auto" w:fill="FFFFFF"/>
        </w:rPr>
        <w:t>. 2018. Beyond the walls: An evaluation of a pre</w:t>
      </w:r>
      <w:r w:rsidR="0015214D">
        <w:rPr>
          <w:shd w:val="clear" w:color="auto" w:fill="FFFFFF"/>
        </w:rPr>
        <w:noBreakHyphen/>
      </w:r>
      <w:r w:rsidRPr="000329FE">
        <w:rPr>
          <w:shd w:val="clear" w:color="auto" w:fill="FFFFFF"/>
        </w:rPr>
        <w:t>release planning (PReP) programme for sentenced mentally disordered offenders</w:t>
      </w:r>
      <w:r w:rsidRPr="000329FE">
        <w:rPr>
          <w:i/>
          <w:iCs/>
          <w:shd w:val="clear" w:color="auto" w:fill="FFFFFF"/>
        </w:rPr>
        <w:t xml:space="preserve">. Frontiers in Psychiatry </w:t>
      </w:r>
      <w:r w:rsidRPr="00561492">
        <w:rPr>
          <w:shd w:val="clear" w:color="auto" w:fill="FFFFFF"/>
        </w:rPr>
        <w:t>9</w:t>
      </w:r>
      <w:r w:rsidRPr="000329FE">
        <w:rPr>
          <w:shd w:val="clear" w:color="auto" w:fill="FFFFFF"/>
        </w:rPr>
        <w:t>(2)</w:t>
      </w:r>
      <w:r>
        <w:rPr>
          <w:shd w:val="clear" w:color="auto" w:fill="FFFFFF"/>
        </w:rPr>
        <w:t>:</w:t>
      </w:r>
      <w:r w:rsidRPr="000329FE">
        <w:rPr>
          <w:shd w:val="clear" w:color="auto" w:fill="FFFFFF"/>
        </w:rPr>
        <w:t xml:space="preserve"> Article No. 549.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10.3389/fpsyt.2018.00549</w:t>
      </w:r>
      <w:r>
        <w:rPr>
          <w:shd w:val="clear" w:color="auto" w:fill="FFFFFF"/>
        </w:rPr>
        <w:t xml:space="preserve"> (accessed 14 October 2021).</w:t>
      </w:r>
    </w:p>
    <w:p w14:paraId="170360FE" w14:textId="77777777" w:rsidR="009636B7" w:rsidRPr="000329FE" w:rsidRDefault="009636B7" w:rsidP="009636B7">
      <w:pPr>
        <w:pStyle w:val="References"/>
        <w:rPr>
          <w:shd w:val="clear" w:color="auto" w:fill="FFFFFF"/>
        </w:rPr>
      </w:pPr>
      <w:r w:rsidRPr="000329FE">
        <w:rPr>
          <w:shd w:val="clear" w:color="auto" w:fill="FFFFFF"/>
        </w:rPr>
        <w:t xml:space="preserve">Smith RJ, Jennings JL, Cimino A. 2010. Forensic continuum of care with assertive community treatment (ACT) for persons recovering from co-occurring disabilities: Long-term outcomes. </w:t>
      </w:r>
      <w:r w:rsidRPr="000329FE">
        <w:rPr>
          <w:i/>
          <w:iCs/>
          <w:shd w:val="clear" w:color="auto" w:fill="FFFFFF"/>
        </w:rPr>
        <w:t xml:space="preserve">Psychiatric Rehabilitation Journal </w:t>
      </w:r>
      <w:r w:rsidRPr="00561492">
        <w:rPr>
          <w:shd w:val="clear" w:color="auto" w:fill="FFFFFF"/>
        </w:rPr>
        <w:t>33</w:t>
      </w:r>
      <w:r w:rsidRPr="000329FE">
        <w:rPr>
          <w:shd w:val="clear" w:color="auto" w:fill="FFFFFF"/>
        </w:rPr>
        <w:t>(3)</w:t>
      </w:r>
      <w:r>
        <w:rPr>
          <w:shd w:val="clear" w:color="auto" w:fill="FFFFFF"/>
        </w:rPr>
        <w:t>:</w:t>
      </w:r>
      <w:r w:rsidRPr="000329FE">
        <w:rPr>
          <w:shd w:val="clear" w:color="auto" w:fill="FFFFFF"/>
        </w:rPr>
        <w:t xml:space="preserve"> 207–18.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10.2975/33.3.2010.207.218</w:t>
      </w:r>
      <w:r>
        <w:rPr>
          <w:shd w:val="clear" w:color="auto" w:fill="FFFFFF"/>
        </w:rPr>
        <w:t xml:space="preserve"> (accessed 14 October 2021).</w:t>
      </w:r>
    </w:p>
    <w:p w14:paraId="77ACB02F" w14:textId="77777777" w:rsidR="009636B7" w:rsidRPr="000329FE" w:rsidRDefault="009636B7" w:rsidP="009636B7">
      <w:pPr>
        <w:pStyle w:val="References"/>
        <w:rPr>
          <w:shd w:val="clear" w:color="auto" w:fill="FFFFFF"/>
        </w:rPr>
      </w:pPr>
      <w:r w:rsidRPr="000329FE">
        <w:rPr>
          <w:shd w:val="clear" w:color="auto" w:fill="FFFFFF"/>
        </w:rPr>
        <w:t xml:space="preserve">Smith-Merry J, Mellifont D, McKenzie K, </w:t>
      </w:r>
      <w:r w:rsidR="00AD0D58">
        <w:rPr>
          <w:shd w:val="clear" w:color="auto" w:fill="FFFFFF"/>
        </w:rPr>
        <w:t>et al</w:t>
      </w:r>
      <w:r w:rsidRPr="000329FE">
        <w:rPr>
          <w:shd w:val="clear" w:color="auto" w:fill="FFFFFF"/>
        </w:rPr>
        <w:t>. 2018. A narrative review of mental health support for people during transition from incarceration to community: The grass can be greener on the other side of the fence</w:t>
      </w:r>
      <w:r w:rsidRPr="000329FE">
        <w:rPr>
          <w:i/>
          <w:iCs/>
          <w:shd w:val="clear" w:color="auto" w:fill="FFFFFF"/>
        </w:rPr>
        <w:t xml:space="preserve">. Journal of Mental Health </w:t>
      </w:r>
      <w:r w:rsidRPr="00561492">
        <w:rPr>
          <w:shd w:val="clear" w:color="auto" w:fill="FFFFFF"/>
        </w:rPr>
        <w:t>28</w:t>
      </w:r>
      <w:r w:rsidRPr="000329FE">
        <w:rPr>
          <w:shd w:val="clear" w:color="auto" w:fill="FFFFFF"/>
        </w:rPr>
        <w:t>(2)</w:t>
      </w:r>
      <w:r>
        <w:rPr>
          <w:shd w:val="clear" w:color="auto" w:fill="FFFFFF"/>
        </w:rPr>
        <w:t>:</w:t>
      </w:r>
      <w:r w:rsidRPr="000329FE">
        <w:rPr>
          <w:shd w:val="clear" w:color="auto" w:fill="FFFFFF"/>
        </w:rPr>
        <w:t xml:space="preserve"> 189–97. </w:t>
      </w:r>
      <w:r>
        <w:rPr>
          <w:shd w:val="clear" w:color="auto" w:fill="FFFFFF"/>
        </w:rPr>
        <w:t xml:space="preserve">URL: </w:t>
      </w:r>
      <w:hyperlink r:id="rId153" w:history="1">
        <w:r w:rsidR="0015214D" w:rsidRPr="0015214D">
          <w:rPr>
            <w:rStyle w:val="Hyperlink"/>
            <w:shd w:val="clear" w:color="auto" w:fill="FFFFFF"/>
          </w:rPr>
          <w:t>https://doi.org/10.1080/09638237.2018.1466029</w:t>
        </w:r>
      </w:hyperlink>
      <w:r>
        <w:rPr>
          <w:shd w:val="clear" w:color="auto" w:fill="FFFFFF"/>
        </w:rPr>
        <w:t xml:space="preserve"> (accessed 2 October 2021).</w:t>
      </w:r>
    </w:p>
    <w:p w14:paraId="36EFF8F4" w14:textId="77777777" w:rsidR="009636B7" w:rsidRPr="000329FE" w:rsidRDefault="009636B7" w:rsidP="009636B7">
      <w:pPr>
        <w:pStyle w:val="References"/>
        <w:rPr>
          <w:shd w:val="clear" w:color="auto" w:fill="FFFFFF"/>
        </w:rPr>
      </w:pPr>
      <w:r w:rsidRPr="000329FE">
        <w:rPr>
          <w:shd w:val="clear" w:color="auto" w:fill="FFFFFF"/>
        </w:rPr>
        <w:t xml:space="preserve">Snowden P, McKenna J, Jasper A. 1999. Management of conditionally discharged patients and others who present similar risks in the community: Integrated or parallel? </w:t>
      </w:r>
      <w:r w:rsidRPr="000329FE">
        <w:rPr>
          <w:i/>
          <w:iCs/>
          <w:shd w:val="clear" w:color="auto" w:fill="FFFFFF"/>
        </w:rPr>
        <w:t xml:space="preserve">Journal of Forensic Psychiatry </w:t>
      </w:r>
      <w:r w:rsidRPr="00561492">
        <w:rPr>
          <w:shd w:val="clear" w:color="auto" w:fill="FFFFFF"/>
        </w:rPr>
        <w:t>10</w:t>
      </w:r>
      <w:r w:rsidRPr="000329FE">
        <w:rPr>
          <w:shd w:val="clear" w:color="auto" w:fill="FFFFFF"/>
        </w:rPr>
        <w:t>(3)</w:t>
      </w:r>
      <w:r>
        <w:rPr>
          <w:shd w:val="clear" w:color="auto" w:fill="FFFFFF"/>
        </w:rPr>
        <w:t>:</w:t>
      </w:r>
      <w:r w:rsidRPr="000329FE">
        <w:rPr>
          <w:shd w:val="clear" w:color="auto" w:fill="FFFFFF"/>
        </w:rPr>
        <w:t xml:space="preserve"> 583–96.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10.1080/09585189908402161</w:t>
      </w:r>
      <w:r>
        <w:rPr>
          <w:shd w:val="clear" w:color="auto" w:fill="FFFFFF"/>
        </w:rPr>
        <w:t xml:space="preserve"> (accessed 14 October 2021).</w:t>
      </w:r>
    </w:p>
    <w:p w14:paraId="2F2E887A" w14:textId="77777777" w:rsidR="009636B7" w:rsidRPr="000329FE" w:rsidRDefault="009636B7" w:rsidP="009636B7">
      <w:pPr>
        <w:pStyle w:val="References"/>
        <w:rPr>
          <w:shd w:val="clear" w:color="auto" w:fill="FFFFFF"/>
        </w:rPr>
      </w:pPr>
      <w:r w:rsidRPr="000329FE">
        <w:rPr>
          <w:shd w:val="clear" w:color="auto" w:fill="FFFFFF"/>
        </w:rPr>
        <w:t xml:space="preserve">Sood L, Owen A, Onyon R, </w:t>
      </w:r>
      <w:r w:rsidR="00AD0D58">
        <w:rPr>
          <w:shd w:val="clear" w:color="auto" w:fill="FFFFFF"/>
        </w:rPr>
        <w:t>et al</w:t>
      </w:r>
      <w:r w:rsidRPr="000329FE">
        <w:rPr>
          <w:shd w:val="clear" w:color="auto" w:fill="FFFFFF"/>
        </w:rPr>
        <w:t xml:space="preserve">. 2017. Flexible assertive community treatment (FACT) model in specialist psychosis teams: An evaluation. </w:t>
      </w:r>
      <w:r w:rsidRPr="000329FE">
        <w:rPr>
          <w:i/>
          <w:iCs/>
          <w:shd w:val="clear" w:color="auto" w:fill="FFFFFF"/>
        </w:rPr>
        <w:t xml:space="preserve">BJPsych Bulletin </w:t>
      </w:r>
      <w:r w:rsidRPr="00561492">
        <w:rPr>
          <w:shd w:val="clear" w:color="auto" w:fill="FFFFFF"/>
        </w:rPr>
        <w:t>41</w:t>
      </w:r>
      <w:r>
        <w:rPr>
          <w:shd w:val="clear" w:color="auto" w:fill="FFFFFF"/>
        </w:rPr>
        <w:t>:</w:t>
      </w:r>
      <w:r w:rsidRPr="000329FE">
        <w:rPr>
          <w:shd w:val="clear" w:color="auto" w:fill="FFFFFF"/>
        </w:rPr>
        <w:t xml:space="preserve"> 192–6.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10.1192/pb.bp.116.053967</w:t>
      </w:r>
      <w:r>
        <w:rPr>
          <w:shd w:val="clear" w:color="auto" w:fill="FFFFFF"/>
        </w:rPr>
        <w:t xml:space="preserve"> (accessed 14 October 2021).</w:t>
      </w:r>
    </w:p>
    <w:p w14:paraId="27367003" w14:textId="77777777" w:rsidR="009636B7" w:rsidRPr="000329FE" w:rsidRDefault="009636B7" w:rsidP="00A0717A">
      <w:pPr>
        <w:pStyle w:val="References"/>
        <w:keepNext/>
        <w:keepLines/>
        <w:rPr>
          <w:shd w:val="clear" w:color="auto" w:fill="FFFFFF"/>
        </w:rPr>
      </w:pPr>
      <w:r w:rsidRPr="000329FE">
        <w:rPr>
          <w:shd w:val="clear" w:color="auto" w:fill="FFFFFF"/>
        </w:rPr>
        <w:t xml:space="preserve">Soon Y-L, Rae N, Korobanova D, </w:t>
      </w:r>
      <w:r w:rsidR="00AD0D58">
        <w:rPr>
          <w:shd w:val="clear" w:color="auto" w:fill="FFFFFF"/>
        </w:rPr>
        <w:t>et al</w:t>
      </w:r>
      <w:r w:rsidRPr="000329FE">
        <w:rPr>
          <w:shd w:val="clear" w:color="auto" w:fill="FFFFFF"/>
        </w:rPr>
        <w:t xml:space="preserve">. 2018. Mentally ill offenders eligible for diversion at local court in New South Wales (NSW), Australia: Factors associated with initially successful diversion. </w:t>
      </w:r>
      <w:r w:rsidRPr="000329FE">
        <w:rPr>
          <w:i/>
          <w:iCs/>
          <w:shd w:val="clear" w:color="auto" w:fill="FFFFFF"/>
        </w:rPr>
        <w:t xml:space="preserve">Journal of Forensic Psychiatry &amp; Psychology </w:t>
      </w:r>
      <w:r w:rsidRPr="00561492">
        <w:rPr>
          <w:shd w:val="clear" w:color="auto" w:fill="FFFFFF"/>
        </w:rPr>
        <w:t>29</w:t>
      </w:r>
      <w:r w:rsidRPr="000329FE">
        <w:rPr>
          <w:shd w:val="clear" w:color="auto" w:fill="FFFFFF"/>
        </w:rPr>
        <w:t>(5)</w:t>
      </w:r>
      <w:r>
        <w:rPr>
          <w:shd w:val="clear" w:color="auto" w:fill="FFFFFF"/>
        </w:rPr>
        <w:t>:</w:t>
      </w:r>
      <w:r w:rsidRPr="000329FE">
        <w:rPr>
          <w:shd w:val="clear" w:color="auto" w:fill="FFFFFF"/>
        </w:rPr>
        <w:t xml:space="preserve"> 705–16. </w:t>
      </w:r>
      <w:r>
        <w:rPr>
          <w:shd w:val="clear" w:color="auto" w:fill="FFFFFF"/>
        </w:rPr>
        <w:t xml:space="preserve">URL: </w:t>
      </w:r>
      <w:hyperlink r:id="rId154" w:history="1">
        <w:r w:rsidR="0015214D" w:rsidRPr="0015214D">
          <w:rPr>
            <w:rStyle w:val="Hyperlink"/>
            <w:shd w:val="clear" w:color="auto" w:fill="FFFFFF"/>
          </w:rPr>
          <w:t>https://doi.org/10.1080/14789949.2018.1508487</w:t>
        </w:r>
      </w:hyperlink>
      <w:r>
        <w:rPr>
          <w:shd w:val="clear" w:color="auto" w:fill="FFFFFF"/>
        </w:rPr>
        <w:t xml:space="preserve"> (accessed 27 October 2021).</w:t>
      </w:r>
    </w:p>
    <w:p w14:paraId="6E73E5B3" w14:textId="77777777" w:rsidR="009636B7" w:rsidRPr="000329FE" w:rsidRDefault="009636B7" w:rsidP="009636B7">
      <w:pPr>
        <w:pStyle w:val="References"/>
      </w:pPr>
      <w:r w:rsidRPr="000329FE">
        <w:rPr>
          <w:shd w:val="clear" w:color="auto" w:fill="FFFFFF"/>
        </w:rPr>
        <w:t>Soothill K, Rogers P,</w:t>
      </w:r>
      <w:r w:rsidR="00EE0ADB">
        <w:rPr>
          <w:shd w:val="clear" w:color="auto" w:fill="FFFFFF"/>
        </w:rPr>
        <w:t xml:space="preserve"> </w:t>
      </w:r>
      <w:r w:rsidRPr="000329FE">
        <w:rPr>
          <w:shd w:val="clear" w:color="auto" w:fill="FFFFFF"/>
        </w:rPr>
        <w:t>Dolan M (</w:t>
      </w:r>
      <w:r>
        <w:rPr>
          <w:shd w:val="clear" w:color="auto" w:fill="FFFFFF"/>
        </w:rPr>
        <w:t>e</w:t>
      </w:r>
      <w:r w:rsidRPr="000329FE">
        <w:rPr>
          <w:shd w:val="clear" w:color="auto" w:fill="FFFFFF"/>
        </w:rPr>
        <w:t xml:space="preserve">ds). 2013. </w:t>
      </w:r>
      <w:r w:rsidRPr="000329FE">
        <w:rPr>
          <w:i/>
          <w:iCs/>
          <w:shd w:val="clear" w:color="auto" w:fill="FFFFFF"/>
        </w:rPr>
        <w:t xml:space="preserve">Handbook of </w:t>
      </w:r>
      <w:r>
        <w:rPr>
          <w:i/>
          <w:iCs/>
          <w:shd w:val="clear" w:color="auto" w:fill="FFFFFF"/>
        </w:rPr>
        <w:t>F</w:t>
      </w:r>
      <w:r w:rsidRPr="000329FE">
        <w:rPr>
          <w:i/>
          <w:iCs/>
          <w:shd w:val="clear" w:color="auto" w:fill="FFFFFF"/>
        </w:rPr>
        <w:t xml:space="preserve">orensic </w:t>
      </w:r>
      <w:r>
        <w:rPr>
          <w:i/>
          <w:iCs/>
          <w:shd w:val="clear" w:color="auto" w:fill="FFFFFF"/>
        </w:rPr>
        <w:t>M</w:t>
      </w:r>
      <w:r w:rsidRPr="000329FE">
        <w:rPr>
          <w:i/>
          <w:iCs/>
          <w:shd w:val="clear" w:color="auto" w:fill="FFFFFF"/>
        </w:rPr>
        <w:t xml:space="preserve">ental </w:t>
      </w:r>
      <w:r>
        <w:rPr>
          <w:i/>
          <w:iCs/>
          <w:shd w:val="clear" w:color="auto" w:fill="FFFFFF"/>
        </w:rPr>
        <w:t>H</w:t>
      </w:r>
      <w:r w:rsidRPr="000329FE">
        <w:rPr>
          <w:i/>
          <w:iCs/>
          <w:shd w:val="clear" w:color="auto" w:fill="FFFFFF"/>
        </w:rPr>
        <w:t>ealth</w:t>
      </w:r>
      <w:r w:rsidRPr="000329FE">
        <w:rPr>
          <w:shd w:val="clear" w:color="auto" w:fill="FFFFFF"/>
        </w:rPr>
        <w:t xml:space="preserve"> (2</w:t>
      </w:r>
      <w:r w:rsidRPr="00561492">
        <w:rPr>
          <w:shd w:val="clear" w:color="auto" w:fill="FFFFFF"/>
        </w:rPr>
        <w:t>nd</w:t>
      </w:r>
      <w:r w:rsidRPr="000329FE">
        <w:rPr>
          <w:shd w:val="clear" w:color="auto" w:fill="FFFFFF"/>
        </w:rPr>
        <w:t xml:space="preserve"> ed). London: Routledge.</w:t>
      </w:r>
    </w:p>
    <w:p w14:paraId="6F3FF039" w14:textId="77777777" w:rsidR="009636B7" w:rsidRPr="000329FE" w:rsidRDefault="009636B7" w:rsidP="009636B7">
      <w:pPr>
        <w:pStyle w:val="References"/>
      </w:pPr>
      <w:r w:rsidRPr="000329FE">
        <w:rPr>
          <w:iCs/>
        </w:rPr>
        <w:t xml:space="preserve">Southern District Health Board. </w:t>
      </w:r>
      <w:r w:rsidRPr="000329FE">
        <w:t xml:space="preserve">2016. </w:t>
      </w:r>
      <w:r w:rsidRPr="000329FE">
        <w:rPr>
          <w:i/>
        </w:rPr>
        <w:t>Clinical focus</w:t>
      </w:r>
      <w:r>
        <w:rPr>
          <w:i/>
        </w:rPr>
        <w:t xml:space="preserve"> </w:t>
      </w:r>
      <w:r w:rsidRPr="000329FE">
        <w:rPr>
          <w:i/>
        </w:rPr>
        <w:t>– Southern Regional Forensic Psychiatric Service (District)</w:t>
      </w:r>
      <w:r w:rsidRPr="000329FE">
        <w:rPr>
          <w:iCs/>
        </w:rPr>
        <w:t>. Dunedin: Southern District Health Board.</w:t>
      </w:r>
    </w:p>
    <w:p w14:paraId="02EF9FA4" w14:textId="77777777" w:rsidR="009636B7" w:rsidRPr="000329FE" w:rsidRDefault="009636B7" w:rsidP="009636B7">
      <w:pPr>
        <w:pStyle w:val="References"/>
        <w:rPr>
          <w:iCs/>
        </w:rPr>
      </w:pPr>
      <w:r w:rsidRPr="000329FE">
        <w:rPr>
          <w:iCs/>
        </w:rPr>
        <w:t xml:space="preserve">Southern District Health Board. 2017. </w:t>
      </w:r>
      <w:r w:rsidRPr="000329FE">
        <w:rPr>
          <w:i/>
        </w:rPr>
        <w:t xml:space="preserve">Service </w:t>
      </w:r>
      <w:r>
        <w:rPr>
          <w:i/>
        </w:rPr>
        <w:t>M</w:t>
      </w:r>
      <w:r w:rsidRPr="000329FE">
        <w:rPr>
          <w:i/>
        </w:rPr>
        <w:t>odel</w:t>
      </w:r>
      <w:r>
        <w:rPr>
          <w:i/>
        </w:rPr>
        <w:t xml:space="preserve"> </w:t>
      </w:r>
      <w:r w:rsidRPr="000329FE">
        <w:rPr>
          <w:i/>
        </w:rPr>
        <w:t>– Regional forensic psychiatric inpatient services at Ward 9A, Wakari</w:t>
      </w:r>
      <w:r w:rsidRPr="00561492">
        <w:rPr>
          <w:iCs/>
        </w:rPr>
        <w:t>.</w:t>
      </w:r>
      <w:r w:rsidRPr="000329FE">
        <w:rPr>
          <w:i/>
        </w:rPr>
        <w:t xml:space="preserve"> </w:t>
      </w:r>
      <w:r w:rsidRPr="000329FE">
        <w:rPr>
          <w:iCs/>
        </w:rPr>
        <w:t>Dunedin: Southern District Health Board.</w:t>
      </w:r>
    </w:p>
    <w:p w14:paraId="3DCBFD77" w14:textId="77777777" w:rsidR="00EE0ADB" w:rsidRDefault="009636B7" w:rsidP="009636B7">
      <w:pPr>
        <w:pStyle w:val="References"/>
        <w:rPr>
          <w:iCs/>
        </w:rPr>
      </w:pPr>
      <w:r w:rsidRPr="000329FE">
        <w:rPr>
          <w:iCs/>
        </w:rPr>
        <w:t xml:space="preserve">Southern District Health Board. 2019. </w:t>
      </w:r>
      <w:r w:rsidRPr="000329FE">
        <w:rPr>
          <w:i/>
        </w:rPr>
        <w:t xml:space="preserve">Management of </w:t>
      </w:r>
      <w:r>
        <w:rPr>
          <w:i/>
        </w:rPr>
        <w:t>A</w:t>
      </w:r>
      <w:r w:rsidRPr="000329FE">
        <w:rPr>
          <w:i/>
        </w:rPr>
        <w:t xml:space="preserve">cutely </w:t>
      </w:r>
      <w:r>
        <w:rPr>
          <w:i/>
        </w:rPr>
        <w:t>D</w:t>
      </w:r>
      <w:r w:rsidRPr="000329FE">
        <w:rPr>
          <w:i/>
        </w:rPr>
        <w:t xml:space="preserve">isturbed or </w:t>
      </w:r>
      <w:r>
        <w:rPr>
          <w:i/>
        </w:rPr>
        <w:t>V</w:t>
      </w:r>
      <w:r w:rsidRPr="000329FE">
        <w:rPr>
          <w:i/>
        </w:rPr>
        <w:t xml:space="preserve">iolent </w:t>
      </w:r>
      <w:r>
        <w:rPr>
          <w:i/>
        </w:rPr>
        <w:t>B</w:t>
      </w:r>
      <w:r w:rsidRPr="000329FE">
        <w:rPr>
          <w:i/>
        </w:rPr>
        <w:t>ehaviour in Ward 9A (Flowchart) (Otago)</w:t>
      </w:r>
      <w:r w:rsidRPr="00561492">
        <w:rPr>
          <w:iCs/>
        </w:rPr>
        <w:t>.</w:t>
      </w:r>
      <w:r w:rsidRPr="000329FE">
        <w:rPr>
          <w:iCs/>
        </w:rPr>
        <w:t xml:space="preserve"> Dunedin: Southern District Health Board.</w:t>
      </w:r>
    </w:p>
    <w:p w14:paraId="55C7A27C" w14:textId="77777777" w:rsidR="009636B7" w:rsidRPr="000329FE" w:rsidRDefault="009636B7" w:rsidP="009636B7">
      <w:pPr>
        <w:pStyle w:val="References"/>
      </w:pPr>
      <w:r w:rsidRPr="000329FE">
        <w:rPr>
          <w:iCs/>
        </w:rPr>
        <w:t>Stanford House.</w:t>
      </w:r>
      <w:r w:rsidRPr="000329FE">
        <w:rPr>
          <w:i/>
        </w:rPr>
        <w:t xml:space="preserve"> </w:t>
      </w:r>
      <w:r w:rsidRPr="000329FE">
        <w:t>2018.</w:t>
      </w:r>
      <w:r w:rsidRPr="000329FE">
        <w:rPr>
          <w:i/>
        </w:rPr>
        <w:t xml:space="preserve"> Extended </w:t>
      </w:r>
      <w:r>
        <w:rPr>
          <w:i/>
        </w:rPr>
        <w:t>T</w:t>
      </w:r>
      <w:r w:rsidRPr="000329FE">
        <w:rPr>
          <w:i/>
        </w:rPr>
        <w:t xml:space="preserve">erm </w:t>
      </w:r>
      <w:r>
        <w:rPr>
          <w:i/>
        </w:rPr>
        <w:t>S</w:t>
      </w:r>
      <w:r w:rsidRPr="000329FE">
        <w:rPr>
          <w:i/>
        </w:rPr>
        <w:t xml:space="preserve">ecure </w:t>
      </w:r>
      <w:r>
        <w:rPr>
          <w:i/>
        </w:rPr>
        <w:t>R</w:t>
      </w:r>
      <w:r w:rsidRPr="000329FE">
        <w:rPr>
          <w:i/>
        </w:rPr>
        <w:t xml:space="preserve">egional </w:t>
      </w:r>
      <w:r>
        <w:rPr>
          <w:i/>
        </w:rPr>
        <w:t>F</w:t>
      </w:r>
      <w:r w:rsidRPr="000329FE">
        <w:rPr>
          <w:i/>
        </w:rPr>
        <w:t xml:space="preserve">orensic </w:t>
      </w:r>
      <w:r>
        <w:rPr>
          <w:i/>
        </w:rPr>
        <w:t>S</w:t>
      </w:r>
      <w:r w:rsidRPr="000329FE">
        <w:rPr>
          <w:i/>
        </w:rPr>
        <w:t xml:space="preserve">ervice </w:t>
      </w:r>
      <w:r>
        <w:rPr>
          <w:i/>
        </w:rPr>
        <w:t>O</w:t>
      </w:r>
      <w:r w:rsidRPr="000329FE">
        <w:rPr>
          <w:i/>
        </w:rPr>
        <w:t xml:space="preserve">perational </w:t>
      </w:r>
      <w:r>
        <w:rPr>
          <w:i/>
        </w:rPr>
        <w:t>P</w:t>
      </w:r>
      <w:r w:rsidRPr="000329FE">
        <w:rPr>
          <w:i/>
        </w:rPr>
        <w:t>olicy</w:t>
      </w:r>
      <w:r w:rsidRPr="00561492">
        <w:rPr>
          <w:iCs/>
        </w:rPr>
        <w:t>.</w:t>
      </w:r>
      <w:r w:rsidRPr="000329FE">
        <w:rPr>
          <w:i/>
        </w:rPr>
        <w:t xml:space="preserve"> </w:t>
      </w:r>
      <w:r w:rsidRPr="000329FE">
        <w:t>Whanganui: Whanganui District Health Board.</w:t>
      </w:r>
    </w:p>
    <w:p w14:paraId="66B1613C" w14:textId="77777777" w:rsidR="00EE0ADB" w:rsidRDefault="009636B7" w:rsidP="009636B7">
      <w:pPr>
        <w:pStyle w:val="References"/>
      </w:pPr>
      <w:r w:rsidRPr="000329FE">
        <w:t>Stanford House. nd-a.</w:t>
      </w:r>
      <w:r w:rsidRPr="000329FE">
        <w:rPr>
          <w:i/>
        </w:rPr>
        <w:t xml:space="preserve"> Model of </w:t>
      </w:r>
      <w:r>
        <w:rPr>
          <w:i/>
        </w:rPr>
        <w:t>C</w:t>
      </w:r>
      <w:r w:rsidRPr="000329FE">
        <w:rPr>
          <w:i/>
        </w:rPr>
        <w:t>are for Stanford House Extended Secure Regional Forensic Service</w:t>
      </w:r>
      <w:r w:rsidRPr="00561492">
        <w:rPr>
          <w:iCs/>
        </w:rPr>
        <w:t>.</w:t>
      </w:r>
      <w:r w:rsidRPr="000329FE">
        <w:rPr>
          <w:i/>
        </w:rPr>
        <w:t xml:space="preserve"> </w:t>
      </w:r>
      <w:r w:rsidRPr="000329FE">
        <w:t>Whanganui: Whanganui District Health Board.</w:t>
      </w:r>
    </w:p>
    <w:p w14:paraId="3DEC341B" w14:textId="77777777" w:rsidR="009636B7" w:rsidRPr="000329FE" w:rsidRDefault="009636B7" w:rsidP="009636B7">
      <w:pPr>
        <w:pStyle w:val="References"/>
      </w:pPr>
      <w:r w:rsidRPr="000329FE">
        <w:t>Stanford House. nd-b.</w:t>
      </w:r>
      <w:r w:rsidRPr="000329FE">
        <w:rPr>
          <w:i/>
        </w:rPr>
        <w:t xml:space="preserve"> Pathway for </w:t>
      </w:r>
      <w:r>
        <w:rPr>
          <w:i/>
        </w:rPr>
        <w:t>R</w:t>
      </w:r>
      <w:r w:rsidRPr="000329FE">
        <w:rPr>
          <w:i/>
        </w:rPr>
        <w:t xml:space="preserve">ecovery </w:t>
      </w:r>
      <w:r>
        <w:rPr>
          <w:i/>
        </w:rPr>
        <w:t>M</w:t>
      </w:r>
      <w:r w:rsidRPr="000329FE">
        <w:rPr>
          <w:i/>
        </w:rPr>
        <w:t xml:space="preserve">odel of </w:t>
      </w:r>
      <w:r>
        <w:rPr>
          <w:i/>
        </w:rPr>
        <w:t>C</w:t>
      </w:r>
      <w:r w:rsidRPr="000329FE">
        <w:rPr>
          <w:i/>
        </w:rPr>
        <w:t>are at Stanford House</w:t>
      </w:r>
      <w:r w:rsidRPr="00561492">
        <w:rPr>
          <w:iCs/>
        </w:rPr>
        <w:t>.</w:t>
      </w:r>
      <w:r w:rsidRPr="000329FE">
        <w:rPr>
          <w:i/>
        </w:rPr>
        <w:t xml:space="preserve"> </w:t>
      </w:r>
      <w:r w:rsidRPr="000329FE">
        <w:t>Whanganui: Whanganui District Health Board.</w:t>
      </w:r>
    </w:p>
    <w:p w14:paraId="2997CC92" w14:textId="77777777" w:rsidR="009636B7" w:rsidRPr="000329FE" w:rsidRDefault="009636B7" w:rsidP="009636B7">
      <w:pPr>
        <w:pStyle w:val="References"/>
      </w:pPr>
      <w:r w:rsidRPr="000329FE">
        <w:t>Stat</w:t>
      </w:r>
      <w:r>
        <w:t>istic</w:t>
      </w:r>
      <w:r w:rsidRPr="000329FE">
        <w:t>s N</w:t>
      </w:r>
      <w:r>
        <w:t xml:space="preserve">ew </w:t>
      </w:r>
      <w:r w:rsidRPr="000329FE">
        <w:t>Z</w:t>
      </w:r>
      <w:r>
        <w:t>ealand</w:t>
      </w:r>
      <w:r w:rsidRPr="000329FE">
        <w:t xml:space="preserve">. 2013. </w:t>
      </w:r>
      <w:r w:rsidRPr="0015214D">
        <w:rPr>
          <w:i/>
        </w:rPr>
        <w:t>2013 Census Quickstats about Māori</w:t>
      </w:r>
      <w:r w:rsidRPr="000329FE">
        <w:t xml:space="preserve">. </w:t>
      </w:r>
      <w:r>
        <w:t xml:space="preserve">URL: </w:t>
      </w:r>
      <w:hyperlink r:id="rId155" w:history="1">
        <w:r w:rsidR="0015214D" w:rsidRPr="0015214D">
          <w:rPr>
            <w:rStyle w:val="Hyperlink"/>
          </w:rPr>
          <w:t>www.stats.govt.nz/assets/Uploads/Retirement-of-archive-website-project-files/Reports/2013-Census-QuickStats-about-Maori/qs-maori.pdf</w:t>
        </w:r>
      </w:hyperlink>
      <w:r>
        <w:t xml:space="preserve"> (accessed 11 October 2021).</w:t>
      </w:r>
    </w:p>
    <w:p w14:paraId="3F8FD1EF" w14:textId="77777777" w:rsidR="009636B7" w:rsidRPr="000329FE" w:rsidRDefault="009636B7" w:rsidP="009636B7">
      <w:pPr>
        <w:spacing w:after="180"/>
      </w:pPr>
      <w:r w:rsidRPr="000329FE">
        <w:t xml:space="preserve">Steadman HJ, Redlich A, Callahan L, </w:t>
      </w:r>
      <w:r w:rsidR="00AD0D58">
        <w:t>et al</w:t>
      </w:r>
      <w:r w:rsidRPr="000329FE">
        <w:t xml:space="preserve">. 2011. Effect of mental health courts on arrests and jail days: A multisite study. </w:t>
      </w:r>
      <w:r w:rsidRPr="000329FE">
        <w:rPr>
          <w:i/>
          <w:iCs/>
        </w:rPr>
        <w:t xml:space="preserve">Archives of General Psychiatry </w:t>
      </w:r>
      <w:r w:rsidRPr="00561492">
        <w:t>68</w:t>
      </w:r>
      <w:r w:rsidRPr="000329FE">
        <w:t>(2)</w:t>
      </w:r>
      <w:r>
        <w:t>:</w:t>
      </w:r>
      <w:r w:rsidRPr="000329FE">
        <w:t xml:space="preserve"> 167–72. </w:t>
      </w:r>
      <w:r>
        <w:t>DOI</w:t>
      </w:r>
      <w:r w:rsidRPr="000329FE">
        <w:t>:</w:t>
      </w:r>
      <w:r>
        <w:t xml:space="preserve"> </w:t>
      </w:r>
      <w:r w:rsidRPr="000329FE">
        <w:t>10.1001/archgenpsychiatry.2010.134</w:t>
      </w:r>
      <w:r>
        <w:t xml:space="preserve"> (accessed 27 October 2021).</w:t>
      </w:r>
    </w:p>
    <w:p w14:paraId="0B758FF3" w14:textId="77777777" w:rsidR="009636B7" w:rsidRPr="000329FE" w:rsidRDefault="009636B7" w:rsidP="009636B7">
      <w:pPr>
        <w:pStyle w:val="References"/>
        <w:rPr>
          <w:rFonts w:ascii="Times New Roman" w:hAnsi="Times New Roman"/>
        </w:rPr>
      </w:pPr>
      <w:r w:rsidRPr="000329FE">
        <w:t>Suaalii-Sauni T, Wheeler A, Saafi</w:t>
      </w:r>
      <w:r>
        <w:t xml:space="preserve"> E</w:t>
      </w:r>
      <w:r w:rsidRPr="000329FE">
        <w:t xml:space="preserve">, </w:t>
      </w:r>
      <w:r w:rsidR="00AD0D58">
        <w:t>et al</w:t>
      </w:r>
      <w:r w:rsidRPr="000329FE">
        <w:t xml:space="preserve">. 2009. Exploration of Pacific perspectives of Pacific models of mental health service delivery in New Zealand. </w:t>
      </w:r>
      <w:r w:rsidRPr="000329FE">
        <w:rPr>
          <w:i/>
          <w:iCs/>
        </w:rPr>
        <w:t xml:space="preserve">Pacific Health Dialog </w:t>
      </w:r>
      <w:r w:rsidRPr="00561492">
        <w:t>15</w:t>
      </w:r>
      <w:r w:rsidRPr="000329FE">
        <w:t>(1)</w:t>
      </w:r>
      <w:r>
        <w:t>:</w:t>
      </w:r>
      <w:r w:rsidRPr="000329FE">
        <w:t xml:space="preserve"> 18–27. </w:t>
      </w:r>
      <w:r>
        <w:t>URL:</w:t>
      </w:r>
      <w:r w:rsidRPr="000329FE">
        <w:t xml:space="preserve"> </w:t>
      </w:r>
      <w:hyperlink r:id="rId156" w:history="1">
        <w:r w:rsidR="0015214D" w:rsidRPr="0015214D">
          <w:rPr>
            <w:rStyle w:val="Hyperlink"/>
          </w:rPr>
          <w:t>www.pacifichealthdialog.nz</w:t>
        </w:r>
      </w:hyperlink>
      <w:r>
        <w:t xml:space="preserve"> (accessed 12 October 2021).</w:t>
      </w:r>
    </w:p>
    <w:p w14:paraId="382013C0" w14:textId="77777777" w:rsidR="009636B7" w:rsidRPr="000329FE" w:rsidRDefault="009636B7" w:rsidP="009636B7">
      <w:pPr>
        <w:pStyle w:val="References"/>
      </w:pPr>
      <w:r w:rsidRPr="000329FE">
        <w:rPr>
          <w:shd w:val="clear" w:color="auto" w:fill="FFFFFF"/>
        </w:rPr>
        <w:t xml:space="preserve">Sweetman LE. 2017. </w:t>
      </w:r>
      <w:r w:rsidRPr="000329FE">
        <w:rPr>
          <w:i/>
          <w:iCs/>
          <w:shd w:val="clear" w:color="auto" w:fill="FFFFFF"/>
        </w:rPr>
        <w:t xml:space="preserve">Ngā </w:t>
      </w:r>
      <w:r>
        <w:rPr>
          <w:i/>
          <w:iCs/>
          <w:shd w:val="clear" w:color="auto" w:fill="FFFFFF"/>
        </w:rPr>
        <w:t>W</w:t>
      </w:r>
      <w:r w:rsidRPr="000329FE">
        <w:rPr>
          <w:i/>
          <w:iCs/>
          <w:shd w:val="clear" w:color="auto" w:fill="FFFFFF"/>
        </w:rPr>
        <w:t xml:space="preserve">aiata o Tāne Whakapiripiri (The </w:t>
      </w:r>
      <w:r>
        <w:rPr>
          <w:i/>
          <w:iCs/>
          <w:shd w:val="clear" w:color="auto" w:fill="FFFFFF"/>
        </w:rPr>
        <w:t>M</w:t>
      </w:r>
      <w:r w:rsidRPr="000329FE">
        <w:rPr>
          <w:i/>
          <w:iCs/>
          <w:shd w:val="clear" w:color="auto" w:fill="FFFFFF"/>
        </w:rPr>
        <w:t xml:space="preserve">usic of Tāne Whakapiripiri): Cultural expression, transformation, and healing in a Māori forensic psychiatric unit </w:t>
      </w:r>
      <w:r w:rsidRPr="000329FE">
        <w:rPr>
          <w:shd w:val="clear" w:color="auto" w:fill="FFFFFF"/>
        </w:rPr>
        <w:t>(</w:t>
      </w:r>
      <w:r>
        <w:rPr>
          <w:shd w:val="clear" w:color="auto" w:fill="FFFFFF"/>
        </w:rPr>
        <w:t>d</w:t>
      </w:r>
      <w:r w:rsidRPr="000329FE">
        <w:rPr>
          <w:shd w:val="clear" w:color="auto" w:fill="FFFFFF"/>
        </w:rPr>
        <w:t xml:space="preserve">octoral </w:t>
      </w:r>
      <w:r>
        <w:rPr>
          <w:shd w:val="clear" w:color="auto" w:fill="FFFFFF"/>
        </w:rPr>
        <w:t>d</w:t>
      </w:r>
      <w:r w:rsidRPr="000329FE">
        <w:rPr>
          <w:shd w:val="clear" w:color="auto" w:fill="FFFFFF"/>
        </w:rPr>
        <w:t>issertation). Available from ProQuest Dissertation &amp; Theses Database (UMI No. 10243485)</w:t>
      </w:r>
      <w:r>
        <w:rPr>
          <w:shd w:val="clear" w:color="auto" w:fill="FFFFFF"/>
        </w:rPr>
        <w:t>.</w:t>
      </w:r>
    </w:p>
    <w:p w14:paraId="41A2889D" w14:textId="77777777" w:rsidR="009636B7" w:rsidRPr="000329FE" w:rsidRDefault="009636B7" w:rsidP="009636B7">
      <w:pPr>
        <w:pStyle w:val="References"/>
        <w:rPr>
          <w:shd w:val="clear" w:color="auto" w:fill="FFFFFF"/>
        </w:rPr>
      </w:pPr>
      <w:r w:rsidRPr="000329FE">
        <w:rPr>
          <w:shd w:val="clear" w:color="auto" w:fill="FFFFFF"/>
        </w:rPr>
        <w:t xml:space="preserve">Talbot E, Bird Y, Russell J, </w:t>
      </w:r>
      <w:r w:rsidR="00AD0D58">
        <w:rPr>
          <w:shd w:val="clear" w:color="auto" w:fill="FFFFFF"/>
        </w:rPr>
        <w:t>et al</w:t>
      </w:r>
      <w:r w:rsidRPr="000329FE">
        <w:rPr>
          <w:shd w:val="clear" w:color="auto" w:fill="FFFFFF"/>
        </w:rPr>
        <w:t xml:space="preserve">. 2018. Implementation of individual placement and support (IPS) into community forensic mental health settings: Lessons learned. </w:t>
      </w:r>
      <w:r w:rsidRPr="000329FE">
        <w:rPr>
          <w:i/>
          <w:iCs/>
          <w:shd w:val="clear" w:color="auto" w:fill="FFFFFF"/>
        </w:rPr>
        <w:t xml:space="preserve">British Journal of Occupational Therapy </w:t>
      </w:r>
      <w:r w:rsidRPr="00561492">
        <w:rPr>
          <w:shd w:val="clear" w:color="auto" w:fill="FFFFFF"/>
        </w:rPr>
        <w:t>81</w:t>
      </w:r>
      <w:r w:rsidRPr="000329FE">
        <w:rPr>
          <w:shd w:val="clear" w:color="auto" w:fill="FFFFFF"/>
        </w:rPr>
        <w:t>(6)</w:t>
      </w:r>
      <w:r>
        <w:rPr>
          <w:shd w:val="clear" w:color="auto" w:fill="FFFFFF"/>
        </w:rPr>
        <w:t>:</w:t>
      </w:r>
      <w:r w:rsidRPr="000329FE">
        <w:rPr>
          <w:shd w:val="clear" w:color="auto" w:fill="FFFFFF"/>
        </w:rPr>
        <w:t xml:space="preserve"> 338–47.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10.1177/0308022618756593</w:t>
      </w:r>
      <w:r>
        <w:rPr>
          <w:shd w:val="clear" w:color="auto" w:fill="FFFFFF"/>
        </w:rPr>
        <w:t xml:space="preserve"> (accessed 14 October 2021).</w:t>
      </w:r>
    </w:p>
    <w:p w14:paraId="135FBD0A" w14:textId="77777777" w:rsidR="009636B7" w:rsidRPr="000329FE" w:rsidRDefault="009636B7" w:rsidP="009636B7">
      <w:pPr>
        <w:pStyle w:val="References"/>
      </w:pPr>
      <w:r w:rsidRPr="000329FE">
        <w:rPr>
          <w:shd w:val="clear" w:color="auto" w:fill="FFFFFF"/>
        </w:rPr>
        <w:t xml:space="preserve">Tapp J, Warren F, Fife-Schaw C, </w:t>
      </w:r>
      <w:r w:rsidR="00AD0D58">
        <w:rPr>
          <w:shd w:val="clear" w:color="auto" w:fill="FFFFFF"/>
        </w:rPr>
        <w:t>et al</w:t>
      </w:r>
      <w:r w:rsidRPr="000329FE">
        <w:rPr>
          <w:shd w:val="clear" w:color="auto" w:fill="FFFFFF"/>
        </w:rPr>
        <w:t xml:space="preserve">. 2016. Essential elements of treatment and care in high secure forensic inpatient services: An expert consensus study. </w:t>
      </w:r>
      <w:r w:rsidRPr="000329FE">
        <w:rPr>
          <w:i/>
          <w:iCs/>
        </w:rPr>
        <w:t xml:space="preserve">Journal of Forensic Practice </w:t>
      </w:r>
      <w:r w:rsidRPr="00561492">
        <w:t>18</w:t>
      </w:r>
      <w:r w:rsidRPr="000329FE">
        <w:t>(3)</w:t>
      </w:r>
      <w:r>
        <w:t>:</w:t>
      </w:r>
      <w:r w:rsidRPr="000329FE">
        <w:t xml:space="preserve"> 189–203.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10.1108/JFP-07-2015-0041</w:t>
      </w:r>
      <w:r>
        <w:rPr>
          <w:shd w:val="clear" w:color="auto" w:fill="FFFFFF"/>
        </w:rPr>
        <w:t xml:space="preserve"> (accessed 2 November 2021).</w:t>
      </w:r>
    </w:p>
    <w:p w14:paraId="5AE3DF7B" w14:textId="77777777" w:rsidR="009636B7" w:rsidRPr="000329FE" w:rsidRDefault="009636B7" w:rsidP="00A0717A">
      <w:pPr>
        <w:pStyle w:val="References"/>
        <w:keepNext/>
        <w:rPr>
          <w:shd w:val="clear" w:color="auto" w:fill="FFFFFF"/>
        </w:rPr>
      </w:pPr>
      <w:r w:rsidRPr="000329FE">
        <w:rPr>
          <w:shd w:val="clear" w:color="auto" w:fill="FFFFFF"/>
        </w:rPr>
        <w:t xml:space="preserve">Tapsell R. 2007. The treatment and rehabilitation of Maori in forensic mental health services. In W Brookbanks </w:t>
      </w:r>
      <w:r>
        <w:rPr>
          <w:shd w:val="clear" w:color="auto" w:fill="FFFFFF"/>
        </w:rPr>
        <w:t>and</w:t>
      </w:r>
      <w:r w:rsidRPr="000329FE">
        <w:rPr>
          <w:shd w:val="clear" w:color="auto" w:fill="FFFFFF"/>
        </w:rPr>
        <w:t xml:space="preserve"> S Simpson (</w:t>
      </w:r>
      <w:r>
        <w:rPr>
          <w:shd w:val="clear" w:color="auto" w:fill="FFFFFF"/>
        </w:rPr>
        <w:t>e</w:t>
      </w:r>
      <w:r w:rsidRPr="000329FE">
        <w:rPr>
          <w:shd w:val="clear" w:color="auto" w:fill="FFFFFF"/>
        </w:rPr>
        <w:t xml:space="preserve">ds), </w:t>
      </w:r>
      <w:r w:rsidRPr="000329FE">
        <w:rPr>
          <w:i/>
          <w:iCs/>
          <w:shd w:val="clear" w:color="auto" w:fill="FFFFFF"/>
        </w:rPr>
        <w:t xml:space="preserve">Psychiatry and the </w:t>
      </w:r>
      <w:r>
        <w:rPr>
          <w:i/>
          <w:iCs/>
          <w:shd w:val="clear" w:color="auto" w:fill="FFFFFF"/>
        </w:rPr>
        <w:t>L</w:t>
      </w:r>
      <w:r w:rsidRPr="000329FE">
        <w:rPr>
          <w:i/>
          <w:iCs/>
          <w:shd w:val="clear" w:color="auto" w:fill="FFFFFF"/>
        </w:rPr>
        <w:t>aw</w:t>
      </w:r>
      <w:r w:rsidRPr="000329FE">
        <w:rPr>
          <w:shd w:val="clear" w:color="auto" w:fill="FFFFFF"/>
        </w:rPr>
        <w:t xml:space="preserve"> (pp. 397–422). Wellington: LexisNexis.</w:t>
      </w:r>
    </w:p>
    <w:p w14:paraId="73014A05" w14:textId="77777777" w:rsidR="009636B7" w:rsidRPr="000329FE" w:rsidRDefault="009636B7" w:rsidP="009636B7">
      <w:pPr>
        <w:pStyle w:val="References"/>
      </w:pPr>
      <w:r w:rsidRPr="000329FE">
        <w:rPr>
          <w:shd w:val="clear" w:color="auto" w:fill="FFFFFF"/>
        </w:rPr>
        <w:t xml:space="preserve">Tapsell R. 2018. The rehabilitation of the Māori mentally disordered offender. </w:t>
      </w:r>
      <w:r w:rsidRPr="000329FE">
        <w:t>In TK</w:t>
      </w:r>
      <w:r w:rsidR="0015214D">
        <w:t> </w:t>
      </w:r>
      <w:r w:rsidRPr="000329FE">
        <w:t xml:space="preserve">Kingi, M Durie, H Elder, </w:t>
      </w:r>
      <w:r w:rsidR="00AD0D58">
        <w:t>et al</w:t>
      </w:r>
      <w:r>
        <w:t xml:space="preserve"> </w:t>
      </w:r>
      <w:r w:rsidRPr="000329FE">
        <w:t>(</w:t>
      </w:r>
      <w:r>
        <w:t>e</w:t>
      </w:r>
      <w:r w:rsidRPr="000329FE">
        <w:t xml:space="preserve">ds), </w:t>
      </w:r>
      <w:r w:rsidRPr="000329FE">
        <w:rPr>
          <w:i/>
          <w:iCs/>
        </w:rPr>
        <w:t xml:space="preserve">Maea te Toi Ora: Māori Health Transformations </w:t>
      </w:r>
      <w:r w:rsidRPr="000329FE">
        <w:t>(pp. 109–32). Wellington: Huia.</w:t>
      </w:r>
    </w:p>
    <w:p w14:paraId="1381A7F1" w14:textId="77777777" w:rsidR="009636B7" w:rsidRPr="000329FE" w:rsidRDefault="009636B7" w:rsidP="009636B7">
      <w:pPr>
        <w:pStyle w:val="References"/>
      </w:pPr>
      <w:r w:rsidRPr="000329FE">
        <w:rPr>
          <w:shd w:val="clear" w:color="auto" w:fill="FFFFFF"/>
        </w:rPr>
        <w:t xml:space="preserve">Tarasenko M, Sullivan M, Ritchie AJ, </w:t>
      </w:r>
      <w:r w:rsidR="00AD0D58">
        <w:rPr>
          <w:shd w:val="clear" w:color="auto" w:fill="FFFFFF"/>
        </w:rPr>
        <w:t>et al</w:t>
      </w:r>
      <w:r w:rsidRPr="000329FE">
        <w:rPr>
          <w:shd w:val="clear" w:color="auto" w:fill="FFFFFF"/>
        </w:rPr>
        <w:t xml:space="preserve">. 2013. Effects of eliminating psychiatric rehabilitation from the secure levels of a mental-health service system. </w:t>
      </w:r>
      <w:r w:rsidRPr="000329FE">
        <w:rPr>
          <w:i/>
          <w:iCs/>
        </w:rPr>
        <w:t xml:space="preserve">Psychological Services </w:t>
      </w:r>
      <w:r w:rsidRPr="00561492">
        <w:t>10</w:t>
      </w:r>
      <w:r w:rsidRPr="000329FE">
        <w:t>(4)</w:t>
      </w:r>
      <w:r>
        <w:t>:</w:t>
      </w:r>
      <w:r w:rsidRPr="000329FE">
        <w:t xml:space="preserve"> 442–51.</w:t>
      </w:r>
      <w:r w:rsidRPr="000329FE">
        <w:rPr>
          <w:shd w:val="clear" w:color="auto" w:fill="FFFFFF"/>
        </w:rPr>
        <w:t xml:space="preserve">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10.1037/a0030260</w:t>
      </w:r>
      <w:r>
        <w:rPr>
          <w:shd w:val="clear" w:color="auto" w:fill="FFFFFF"/>
        </w:rPr>
        <w:t xml:space="preserve"> (accessed 11 October 2021).</w:t>
      </w:r>
    </w:p>
    <w:p w14:paraId="7014816B" w14:textId="77777777" w:rsidR="009636B7" w:rsidRPr="000329FE" w:rsidRDefault="009636B7" w:rsidP="009636B7">
      <w:pPr>
        <w:pStyle w:val="References"/>
      </w:pPr>
      <w:r w:rsidRPr="000329FE">
        <w:t xml:space="preserve">Tarrant P-J. 2014. </w:t>
      </w:r>
      <w:r w:rsidRPr="000329FE">
        <w:rPr>
          <w:i/>
          <w:iCs/>
        </w:rPr>
        <w:t xml:space="preserve">An </w:t>
      </w:r>
      <w:r>
        <w:rPr>
          <w:i/>
          <w:iCs/>
        </w:rPr>
        <w:t>E</w:t>
      </w:r>
      <w:r w:rsidRPr="000329FE">
        <w:rPr>
          <w:i/>
          <w:iCs/>
        </w:rPr>
        <w:t xml:space="preserve">xploration of the </w:t>
      </w:r>
      <w:r>
        <w:rPr>
          <w:i/>
          <w:iCs/>
        </w:rPr>
        <w:t>R</w:t>
      </w:r>
      <w:r w:rsidRPr="000329FE">
        <w:rPr>
          <w:i/>
          <w:iCs/>
        </w:rPr>
        <w:t xml:space="preserve">ole of the </w:t>
      </w:r>
      <w:r>
        <w:rPr>
          <w:i/>
          <w:iCs/>
        </w:rPr>
        <w:t>C</w:t>
      </w:r>
      <w:r w:rsidRPr="000329FE">
        <w:rPr>
          <w:i/>
          <w:iCs/>
        </w:rPr>
        <w:t xml:space="preserve">ourt </w:t>
      </w:r>
      <w:r>
        <w:rPr>
          <w:i/>
          <w:iCs/>
        </w:rPr>
        <w:t>L</w:t>
      </w:r>
      <w:r w:rsidRPr="000329FE">
        <w:rPr>
          <w:i/>
          <w:iCs/>
        </w:rPr>
        <w:t xml:space="preserve">iaison </w:t>
      </w:r>
      <w:r>
        <w:rPr>
          <w:i/>
          <w:iCs/>
        </w:rPr>
        <w:t>N</w:t>
      </w:r>
      <w:r w:rsidRPr="000329FE">
        <w:rPr>
          <w:i/>
          <w:iCs/>
        </w:rPr>
        <w:t xml:space="preserve">urse within New Zealand </w:t>
      </w:r>
      <w:r>
        <w:rPr>
          <w:i/>
          <w:iCs/>
        </w:rPr>
        <w:t>C</w:t>
      </w:r>
      <w:r w:rsidRPr="000329FE">
        <w:rPr>
          <w:i/>
          <w:iCs/>
        </w:rPr>
        <w:t xml:space="preserve">riminal </w:t>
      </w:r>
      <w:r>
        <w:rPr>
          <w:i/>
          <w:iCs/>
        </w:rPr>
        <w:t>C</w:t>
      </w:r>
      <w:r w:rsidRPr="000329FE">
        <w:rPr>
          <w:i/>
          <w:iCs/>
        </w:rPr>
        <w:t>ourts</w:t>
      </w:r>
      <w:r w:rsidRPr="000329FE">
        <w:t xml:space="preserve"> (Unpublished doctoral dissertation). Auckland University of Technology, Auckland. </w:t>
      </w:r>
      <w:r>
        <w:t>URL:</w:t>
      </w:r>
      <w:r w:rsidRPr="000329FE">
        <w:t xml:space="preserve"> </w:t>
      </w:r>
      <w:hyperlink r:id="rId157" w:history="1">
        <w:r w:rsidR="0015214D" w:rsidRPr="0015214D">
          <w:rPr>
            <w:rStyle w:val="Hyperlink"/>
          </w:rPr>
          <w:t>https://openrepository.aut.ac.nz/bitstream/handle/10292/7910/TarrantPJ.pdf?sequence=3&amp;isAllowed=y</w:t>
        </w:r>
      </w:hyperlink>
      <w:r>
        <w:t xml:space="preserve"> (accessed 26 October 2021).</w:t>
      </w:r>
    </w:p>
    <w:p w14:paraId="5DB5E0E7" w14:textId="77777777" w:rsidR="009636B7" w:rsidRPr="000329FE" w:rsidRDefault="009636B7" w:rsidP="009636B7">
      <w:pPr>
        <w:pStyle w:val="References"/>
      </w:pPr>
      <w:r w:rsidRPr="000329FE">
        <w:t xml:space="preserve">Te Korowai Whāriki. 2018. </w:t>
      </w:r>
      <w:r w:rsidRPr="000329FE">
        <w:rPr>
          <w:i/>
        </w:rPr>
        <w:t>Te Korowai Whāriki Prison Model of Care</w:t>
      </w:r>
      <w:r w:rsidRPr="00561492">
        <w:rPr>
          <w:iCs/>
        </w:rPr>
        <w:t>.</w:t>
      </w:r>
      <w:r w:rsidRPr="000329FE">
        <w:rPr>
          <w:i/>
        </w:rPr>
        <w:t xml:space="preserve"> </w:t>
      </w:r>
      <w:r w:rsidRPr="000329FE">
        <w:rPr>
          <w:iCs/>
        </w:rPr>
        <w:t xml:space="preserve">Hamilton: </w:t>
      </w:r>
      <w:r w:rsidRPr="000329FE">
        <w:t>Te</w:t>
      </w:r>
      <w:r w:rsidR="0015214D">
        <w:t> </w:t>
      </w:r>
      <w:r w:rsidRPr="000329FE">
        <w:t>Korowai Whāriki.</w:t>
      </w:r>
    </w:p>
    <w:p w14:paraId="2581E1A6" w14:textId="77777777" w:rsidR="009636B7" w:rsidRPr="00C9607A" w:rsidRDefault="009636B7" w:rsidP="009636B7">
      <w:pPr>
        <w:pStyle w:val="References"/>
        <w:rPr>
          <w:rFonts w:ascii="Times New Roman" w:hAnsi="Times New Roman"/>
        </w:rPr>
      </w:pPr>
      <w:r w:rsidRPr="00075571">
        <w:t xml:space="preserve">Te Pou o te Whakaaro Nui. 2010. </w:t>
      </w:r>
      <w:r w:rsidRPr="001A28C6">
        <w:rPr>
          <w:i/>
          <w:iCs/>
        </w:rPr>
        <w:t xml:space="preserve">Talking </w:t>
      </w:r>
      <w:r>
        <w:rPr>
          <w:i/>
          <w:iCs/>
        </w:rPr>
        <w:t>T</w:t>
      </w:r>
      <w:r w:rsidRPr="001A28C6">
        <w:rPr>
          <w:i/>
          <w:iCs/>
        </w:rPr>
        <w:t xml:space="preserve">herapies for Pasifika </w:t>
      </w:r>
      <w:r>
        <w:rPr>
          <w:i/>
          <w:iCs/>
        </w:rPr>
        <w:t>P</w:t>
      </w:r>
      <w:r w:rsidRPr="001A28C6">
        <w:rPr>
          <w:i/>
          <w:iCs/>
        </w:rPr>
        <w:t>eoples: Best and promising practice guide for mental health and addiction services</w:t>
      </w:r>
      <w:r w:rsidRPr="009E213B">
        <w:t xml:space="preserve">. Auckland: </w:t>
      </w:r>
      <w:r w:rsidRPr="00075571">
        <w:t>Te Pou o te Whakaaro Nui</w:t>
      </w:r>
      <w:r w:rsidRPr="0043256B">
        <w:t>.</w:t>
      </w:r>
      <w:r w:rsidRPr="00DD29A3">
        <w:t xml:space="preserve"> </w:t>
      </w:r>
      <w:r>
        <w:t>URL:</w:t>
      </w:r>
      <w:r w:rsidRPr="00DD29A3">
        <w:t xml:space="preserve"> </w:t>
      </w:r>
      <w:hyperlink r:id="rId158" w:history="1">
        <w:r w:rsidR="0015214D" w:rsidRPr="0015214D">
          <w:rPr>
            <w:rStyle w:val="Hyperlink"/>
          </w:rPr>
          <w:t>www.tepou.co.nz/resources/talking-therapies-for-pasifika-peoples/152</w:t>
        </w:r>
      </w:hyperlink>
      <w:r>
        <w:t xml:space="preserve"> (accessed 12 October 2021).</w:t>
      </w:r>
    </w:p>
    <w:p w14:paraId="02BA6E15" w14:textId="77777777" w:rsidR="009636B7" w:rsidRPr="000329FE" w:rsidRDefault="009636B7" w:rsidP="009636B7">
      <w:pPr>
        <w:pStyle w:val="References"/>
      </w:pPr>
      <w:r w:rsidRPr="000329FE">
        <w:t xml:space="preserve">Te Pou o te Whakaaro Nui. 2015. </w:t>
      </w:r>
      <w:r w:rsidRPr="000329FE">
        <w:rPr>
          <w:i/>
          <w:iCs/>
        </w:rPr>
        <w:t xml:space="preserve">Adult </w:t>
      </w:r>
      <w:r>
        <w:rPr>
          <w:i/>
          <w:iCs/>
        </w:rPr>
        <w:t>M</w:t>
      </w:r>
      <w:r w:rsidRPr="000329FE">
        <w:rPr>
          <w:i/>
          <w:iCs/>
        </w:rPr>
        <w:t xml:space="preserve">ental </w:t>
      </w:r>
      <w:r>
        <w:rPr>
          <w:i/>
          <w:iCs/>
        </w:rPr>
        <w:t>H</w:t>
      </w:r>
      <w:r w:rsidRPr="000329FE">
        <w:rPr>
          <w:i/>
          <w:iCs/>
        </w:rPr>
        <w:t xml:space="preserve">ealth </w:t>
      </w:r>
      <w:r>
        <w:rPr>
          <w:i/>
          <w:iCs/>
        </w:rPr>
        <w:t>F</w:t>
      </w:r>
      <w:r w:rsidRPr="000329FE">
        <w:rPr>
          <w:i/>
          <w:iCs/>
        </w:rPr>
        <w:t xml:space="preserve">orensic </w:t>
      </w:r>
      <w:r>
        <w:rPr>
          <w:i/>
          <w:iCs/>
        </w:rPr>
        <w:t>W</w:t>
      </w:r>
      <w:r w:rsidRPr="000329FE">
        <w:rPr>
          <w:i/>
          <w:iCs/>
        </w:rPr>
        <w:t>orkforce: 2014 survey of Vote Health funded services</w:t>
      </w:r>
      <w:r w:rsidRPr="000329FE">
        <w:t xml:space="preserve">. Auckland: Te Pou o te Whakaaro Nui. </w:t>
      </w:r>
      <w:r>
        <w:t>URL:</w:t>
      </w:r>
      <w:r w:rsidRPr="000329FE">
        <w:t xml:space="preserve"> </w:t>
      </w:r>
      <w:hyperlink r:id="rId159" w:history="1">
        <w:r w:rsidR="0015214D" w:rsidRPr="0015214D">
          <w:rPr>
            <w:rStyle w:val="Hyperlink"/>
          </w:rPr>
          <w:t>www.tepou.co.nz/resources/adult-mental-health-forensic-workforce-2014-survey-of-vote-health-funded-services/678</w:t>
        </w:r>
      </w:hyperlink>
      <w:r>
        <w:t xml:space="preserve"> (accessed 28 October 2021).</w:t>
      </w:r>
    </w:p>
    <w:p w14:paraId="451DC7C3" w14:textId="77777777" w:rsidR="009636B7" w:rsidRPr="000329FE" w:rsidRDefault="009636B7" w:rsidP="009636B7">
      <w:pPr>
        <w:pStyle w:val="References"/>
      </w:pPr>
      <w:r w:rsidRPr="000329FE">
        <w:t xml:space="preserve">Te Pou o te Whakaaro Nui. 2019a. </w:t>
      </w:r>
      <w:r w:rsidRPr="00561492">
        <w:rPr>
          <w:i/>
          <w:iCs/>
        </w:rPr>
        <w:t>NGO</w:t>
      </w:r>
      <w:r>
        <w:t xml:space="preserve"> </w:t>
      </w:r>
      <w:r w:rsidRPr="000329FE">
        <w:rPr>
          <w:i/>
          <w:iCs/>
        </w:rPr>
        <w:t xml:space="preserve">Adult </w:t>
      </w:r>
      <w:r>
        <w:rPr>
          <w:i/>
          <w:iCs/>
        </w:rPr>
        <w:t>M</w:t>
      </w:r>
      <w:r w:rsidRPr="000329FE">
        <w:rPr>
          <w:i/>
          <w:iCs/>
        </w:rPr>
        <w:t xml:space="preserve">ental </w:t>
      </w:r>
      <w:r>
        <w:rPr>
          <w:i/>
          <w:iCs/>
        </w:rPr>
        <w:t>H</w:t>
      </w:r>
      <w:r w:rsidRPr="000329FE">
        <w:rPr>
          <w:i/>
          <w:iCs/>
        </w:rPr>
        <w:t xml:space="preserve">ealth </w:t>
      </w:r>
      <w:r>
        <w:rPr>
          <w:i/>
          <w:iCs/>
        </w:rPr>
        <w:t>and Addiction W</w:t>
      </w:r>
      <w:r w:rsidRPr="000329FE">
        <w:rPr>
          <w:i/>
          <w:iCs/>
        </w:rPr>
        <w:t>orkforce: 201</w:t>
      </w:r>
      <w:r>
        <w:rPr>
          <w:i/>
          <w:iCs/>
        </w:rPr>
        <w:t>8</w:t>
      </w:r>
      <w:r w:rsidRPr="000329FE">
        <w:rPr>
          <w:i/>
          <w:iCs/>
        </w:rPr>
        <w:t xml:space="preserve"> survey of </w:t>
      </w:r>
      <w:r>
        <w:rPr>
          <w:i/>
          <w:iCs/>
        </w:rPr>
        <w:t xml:space="preserve">secondary care health </w:t>
      </w:r>
      <w:r w:rsidRPr="000329FE">
        <w:rPr>
          <w:i/>
          <w:iCs/>
        </w:rPr>
        <w:t>services</w:t>
      </w:r>
      <w:r w:rsidRPr="000329FE">
        <w:t xml:space="preserve">. Auckland: Te Pou o te Whakaaro Nui. </w:t>
      </w:r>
      <w:r>
        <w:t xml:space="preserve">URL: </w:t>
      </w:r>
      <w:hyperlink r:id="rId160" w:history="1">
        <w:r w:rsidR="0015214D" w:rsidRPr="0015214D">
          <w:rPr>
            <w:rStyle w:val="Hyperlink"/>
          </w:rPr>
          <w:t>www.tepou.co.nz/resources/2018-more-than-numbers-workforce-report/906</w:t>
        </w:r>
      </w:hyperlink>
      <w:r>
        <w:t xml:space="preserve"> (accessed 28 October 2021).</w:t>
      </w:r>
    </w:p>
    <w:p w14:paraId="22855D29" w14:textId="77777777" w:rsidR="009636B7" w:rsidRPr="000329FE" w:rsidRDefault="009636B7" w:rsidP="009636B7">
      <w:pPr>
        <w:pStyle w:val="References"/>
      </w:pPr>
      <w:r w:rsidRPr="000329FE">
        <w:t xml:space="preserve">Te Pou o te Whakaaro Nui. 2019b. </w:t>
      </w:r>
      <w:r w:rsidRPr="000329FE">
        <w:rPr>
          <w:i/>
          <w:iCs/>
        </w:rPr>
        <w:t xml:space="preserve">DHB </w:t>
      </w:r>
      <w:r>
        <w:rPr>
          <w:i/>
          <w:iCs/>
        </w:rPr>
        <w:t>A</w:t>
      </w:r>
      <w:r w:rsidRPr="000329FE">
        <w:rPr>
          <w:i/>
          <w:iCs/>
        </w:rPr>
        <w:t xml:space="preserve">dult </w:t>
      </w:r>
      <w:r>
        <w:rPr>
          <w:i/>
          <w:iCs/>
        </w:rPr>
        <w:t>M</w:t>
      </w:r>
      <w:r w:rsidRPr="000329FE">
        <w:rPr>
          <w:i/>
          <w:iCs/>
        </w:rPr>
        <w:t xml:space="preserve">ental </w:t>
      </w:r>
      <w:r>
        <w:rPr>
          <w:i/>
          <w:iCs/>
        </w:rPr>
        <w:t>H</w:t>
      </w:r>
      <w:r w:rsidRPr="000329FE">
        <w:rPr>
          <w:i/>
          <w:iCs/>
        </w:rPr>
        <w:t xml:space="preserve">ealth and </w:t>
      </w:r>
      <w:r>
        <w:rPr>
          <w:i/>
          <w:iCs/>
        </w:rPr>
        <w:t>A</w:t>
      </w:r>
      <w:r w:rsidRPr="000329FE">
        <w:rPr>
          <w:i/>
          <w:iCs/>
        </w:rPr>
        <w:t xml:space="preserve">ddiction </w:t>
      </w:r>
      <w:r>
        <w:rPr>
          <w:i/>
          <w:iCs/>
        </w:rPr>
        <w:t>W</w:t>
      </w:r>
      <w:r w:rsidRPr="000329FE">
        <w:rPr>
          <w:i/>
          <w:iCs/>
        </w:rPr>
        <w:t>orkforce: 2018 provider arm services</w:t>
      </w:r>
      <w:r w:rsidRPr="000329FE">
        <w:t xml:space="preserve">. Auckland: Te Pou o te Whakaaro Nui. </w:t>
      </w:r>
      <w:r>
        <w:t>URL:</w:t>
      </w:r>
      <w:r w:rsidRPr="000329FE">
        <w:t xml:space="preserve"> </w:t>
      </w:r>
      <w:hyperlink r:id="rId161" w:history="1">
        <w:r w:rsidR="0015214D" w:rsidRPr="0015214D">
          <w:rPr>
            <w:rStyle w:val="Hyperlink"/>
          </w:rPr>
          <w:t>www.tepou.co.nz/resources/2018-more-than-numbers-dhb-workforce-report/905</w:t>
        </w:r>
      </w:hyperlink>
      <w:r>
        <w:t xml:space="preserve"> (accessed 28 October 2021).</w:t>
      </w:r>
    </w:p>
    <w:p w14:paraId="7153A5CA" w14:textId="77777777" w:rsidR="009636B7" w:rsidRPr="000329FE" w:rsidRDefault="009636B7" w:rsidP="009636B7">
      <w:pPr>
        <w:pStyle w:val="References"/>
      </w:pPr>
      <w:r w:rsidRPr="000329FE">
        <w:rPr>
          <w:shd w:val="clear" w:color="auto" w:fill="FFFFFF"/>
        </w:rPr>
        <w:t>Thakker J. 2013. The role of cultural factors in treatment. In LA Craig, L Dixon, TA</w:t>
      </w:r>
      <w:r w:rsidR="0015214D">
        <w:rPr>
          <w:shd w:val="clear" w:color="auto" w:fill="FFFFFF"/>
        </w:rPr>
        <w:t> </w:t>
      </w:r>
      <w:r w:rsidRPr="000329FE">
        <w:rPr>
          <w:shd w:val="clear" w:color="auto" w:fill="FFFFFF"/>
        </w:rPr>
        <w:t>Gannon (</w:t>
      </w:r>
      <w:r>
        <w:rPr>
          <w:shd w:val="clear" w:color="auto" w:fill="FFFFFF"/>
        </w:rPr>
        <w:t>e</w:t>
      </w:r>
      <w:r w:rsidRPr="000329FE">
        <w:rPr>
          <w:shd w:val="clear" w:color="auto" w:fill="FFFFFF"/>
        </w:rPr>
        <w:t xml:space="preserve">ds), </w:t>
      </w:r>
      <w:r w:rsidRPr="000329FE">
        <w:rPr>
          <w:i/>
          <w:iCs/>
        </w:rPr>
        <w:t xml:space="preserve">What </w:t>
      </w:r>
      <w:r>
        <w:rPr>
          <w:i/>
          <w:iCs/>
        </w:rPr>
        <w:t>W</w:t>
      </w:r>
      <w:r w:rsidRPr="000329FE">
        <w:rPr>
          <w:i/>
          <w:iCs/>
        </w:rPr>
        <w:t xml:space="preserve">orks in </w:t>
      </w:r>
      <w:r>
        <w:rPr>
          <w:i/>
          <w:iCs/>
        </w:rPr>
        <w:t>O</w:t>
      </w:r>
      <w:r w:rsidRPr="000329FE">
        <w:rPr>
          <w:i/>
          <w:iCs/>
        </w:rPr>
        <w:t xml:space="preserve">ffender </w:t>
      </w:r>
      <w:r>
        <w:rPr>
          <w:i/>
          <w:iCs/>
        </w:rPr>
        <w:t>R</w:t>
      </w:r>
      <w:r w:rsidRPr="000329FE">
        <w:rPr>
          <w:i/>
          <w:iCs/>
        </w:rPr>
        <w:t xml:space="preserve">ehabilitation: An evidence-based approach to assessment and treatment </w:t>
      </w:r>
      <w:r w:rsidRPr="000329FE">
        <w:t>(pp. 389–407)</w:t>
      </w:r>
      <w:r w:rsidRPr="000329FE">
        <w:rPr>
          <w:i/>
          <w:iCs/>
        </w:rPr>
        <w:t>.</w:t>
      </w:r>
      <w:r w:rsidRPr="000329FE">
        <w:t xml:space="preserve"> Hoboken, NJ: John Wiley &amp; Sons.</w:t>
      </w:r>
    </w:p>
    <w:p w14:paraId="310C238E" w14:textId="77777777" w:rsidR="009636B7" w:rsidRPr="000329FE" w:rsidRDefault="009636B7" w:rsidP="009636B7">
      <w:pPr>
        <w:pStyle w:val="References"/>
      </w:pPr>
      <w:r w:rsidRPr="000329FE">
        <w:t>Thomas SP. 2002. From the editor</w:t>
      </w:r>
      <w:r>
        <w:t xml:space="preserve"> – </w:t>
      </w:r>
      <w:r w:rsidRPr="000329FE">
        <w:t xml:space="preserve">The mental health court: An idea whose time has come. </w:t>
      </w:r>
      <w:r w:rsidRPr="000329FE">
        <w:rPr>
          <w:i/>
          <w:iCs/>
        </w:rPr>
        <w:t xml:space="preserve">Issues in Mental Health Nursing </w:t>
      </w:r>
      <w:r w:rsidRPr="00561492">
        <w:t>23</w:t>
      </w:r>
      <w:r w:rsidRPr="000329FE">
        <w:t>(8)</w:t>
      </w:r>
      <w:r>
        <w:t>:</w:t>
      </w:r>
      <w:r w:rsidRPr="000329FE">
        <w:t xml:space="preserve"> 733. </w:t>
      </w:r>
      <w:r>
        <w:t>DOI</w:t>
      </w:r>
      <w:r w:rsidRPr="000329FE">
        <w:t>:</w:t>
      </w:r>
      <w:r>
        <w:t xml:space="preserve"> </w:t>
      </w:r>
      <w:r w:rsidRPr="000329FE">
        <w:t>10.1080/01612840260433622</w:t>
      </w:r>
      <w:r>
        <w:t xml:space="preserve"> (accessed 27 October 2021).</w:t>
      </w:r>
    </w:p>
    <w:p w14:paraId="39BCCB17" w14:textId="77777777" w:rsidR="00A0717A" w:rsidRPr="000329FE" w:rsidRDefault="009636B7" w:rsidP="00A0717A">
      <w:pPr>
        <w:pStyle w:val="References"/>
        <w:keepNext/>
        <w:keepLines/>
      </w:pPr>
      <w:r w:rsidRPr="000329FE">
        <w:t xml:space="preserve">Todd FC. 2010. </w:t>
      </w:r>
      <w:r w:rsidRPr="000329FE">
        <w:rPr>
          <w:i/>
          <w:iCs/>
        </w:rPr>
        <w:t xml:space="preserve">Te </w:t>
      </w:r>
      <w:r>
        <w:rPr>
          <w:i/>
          <w:iCs/>
        </w:rPr>
        <w:t>A</w:t>
      </w:r>
      <w:r w:rsidRPr="000329FE">
        <w:rPr>
          <w:i/>
          <w:iCs/>
        </w:rPr>
        <w:t xml:space="preserve">riari o te </w:t>
      </w:r>
      <w:r>
        <w:rPr>
          <w:i/>
          <w:iCs/>
        </w:rPr>
        <w:t>O</w:t>
      </w:r>
      <w:r w:rsidRPr="000329FE">
        <w:rPr>
          <w:i/>
          <w:iCs/>
        </w:rPr>
        <w:t>ranga: The assessment and management of people with co-existing mental health and substance use problems 2010</w:t>
      </w:r>
      <w:r w:rsidRPr="000329FE">
        <w:t xml:space="preserve">. Wellington: Ministry of Health. </w:t>
      </w:r>
      <w:r>
        <w:t>URL:</w:t>
      </w:r>
      <w:r w:rsidRPr="000329FE">
        <w:t xml:space="preserve"> </w:t>
      </w:r>
      <w:hyperlink r:id="rId162" w:history="1">
        <w:r w:rsidR="0015214D" w:rsidRPr="0015214D">
          <w:rPr>
            <w:rStyle w:val="Hyperlink"/>
          </w:rPr>
          <w:t>www.health.govt.nz/publication/te-ariari-o-te-oranga-assessment-and-management-people-co-existing-mental-health-and-drug-problems</w:t>
        </w:r>
      </w:hyperlink>
      <w:r>
        <w:t xml:space="preserve"> (accessed 28 October 2021).</w:t>
      </w:r>
    </w:p>
    <w:p w14:paraId="1AC7F64B" w14:textId="77777777" w:rsidR="009636B7" w:rsidRPr="000329FE" w:rsidRDefault="009636B7" w:rsidP="009636B7">
      <w:pPr>
        <w:pStyle w:val="References"/>
      </w:pPr>
      <w:r w:rsidRPr="000329FE">
        <w:t>Trupin E, Richards H. 2003. Seattle</w:t>
      </w:r>
      <w:r w:rsidR="00EE0ADB">
        <w:t>’</w:t>
      </w:r>
      <w:r w:rsidRPr="000329FE">
        <w:t xml:space="preserve">s mental health courts: Early indicators of effectiveness. </w:t>
      </w:r>
      <w:r w:rsidRPr="000329FE">
        <w:rPr>
          <w:i/>
          <w:iCs/>
        </w:rPr>
        <w:t xml:space="preserve">International Journal of Law and Psychiatry </w:t>
      </w:r>
      <w:r w:rsidRPr="00561492">
        <w:t>26</w:t>
      </w:r>
      <w:r w:rsidRPr="000329FE">
        <w:t>(1)</w:t>
      </w:r>
      <w:r>
        <w:t>:</w:t>
      </w:r>
      <w:r w:rsidRPr="000329FE">
        <w:t xml:space="preserve"> 33–53. </w:t>
      </w:r>
      <w:r>
        <w:t>DOI</w:t>
      </w:r>
      <w:r w:rsidRPr="000329FE">
        <w:t>:</w:t>
      </w:r>
      <w:r>
        <w:t xml:space="preserve"> </w:t>
      </w:r>
      <w:r w:rsidRPr="000329FE">
        <w:t>10.1016/S0160-2527(02)00202-9</w:t>
      </w:r>
      <w:r>
        <w:t xml:space="preserve"> (accessed 27 October 2021).</w:t>
      </w:r>
    </w:p>
    <w:p w14:paraId="044052EC" w14:textId="77777777" w:rsidR="009636B7" w:rsidRPr="000329FE" w:rsidRDefault="009636B7" w:rsidP="009636B7">
      <w:pPr>
        <w:pStyle w:val="References"/>
      </w:pPr>
      <w:r w:rsidRPr="000329FE">
        <w:t xml:space="preserve">Tuddenham L, Baird J. 2007. The risk management authority in Scotland and the forensic psychiatrist as risk assessor. </w:t>
      </w:r>
      <w:r w:rsidRPr="000329FE">
        <w:rPr>
          <w:i/>
          <w:iCs/>
        </w:rPr>
        <w:t xml:space="preserve">Psychiatric Bulletin </w:t>
      </w:r>
      <w:r w:rsidRPr="00561492">
        <w:t>31</w:t>
      </w:r>
      <w:r w:rsidRPr="000329FE">
        <w:t>(5)</w:t>
      </w:r>
      <w:r>
        <w:t>:</w:t>
      </w:r>
      <w:r w:rsidRPr="000329FE">
        <w:t xml:space="preserve"> 164–6. </w:t>
      </w:r>
      <w:r>
        <w:t>DOI</w:t>
      </w:r>
      <w:r w:rsidRPr="000329FE">
        <w:t>:</w:t>
      </w:r>
      <w:r>
        <w:t xml:space="preserve"> </w:t>
      </w:r>
      <w:r w:rsidRPr="000329FE">
        <w:t>10.1192/pb.bp.106.014357</w:t>
      </w:r>
      <w:r>
        <w:t xml:space="preserve"> (accessed 26 October 2021).</w:t>
      </w:r>
    </w:p>
    <w:p w14:paraId="32B9D9A3" w14:textId="77777777" w:rsidR="009636B7" w:rsidRPr="00075571" w:rsidRDefault="009636B7" w:rsidP="009636B7">
      <w:pPr>
        <w:pStyle w:val="References"/>
        <w:rPr>
          <w:rFonts w:ascii="Times New Roman" w:hAnsi="Times New Roman"/>
        </w:rPr>
      </w:pPr>
      <w:r w:rsidRPr="00075571">
        <w:t xml:space="preserve">Vaka S. 2016. </w:t>
      </w:r>
      <w:r w:rsidRPr="001A28C6">
        <w:t>The Popao model: A Pacific recovery and strength concept in mental health</w:t>
      </w:r>
      <w:r w:rsidRPr="00E42BE0">
        <w:t xml:space="preserve">. </w:t>
      </w:r>
      <w:r w:rsidRPr="0043256B">
        <w:rPr>
          <w:i/>
          <w:iCs/>
        </w:rPr>
        <w:t xml:space="preserve">Pacific Health Dialog </w:t>
      </w:r>
      <w:r w:rsidRPr="00561492">
        <w:t>15(1)</w:t>
      </w:r>
      <w:r>
        <w:t>:</w:t>
      </w:r>
      <w:r w:rsidRPr="00561492">
        <w:t xml:space="preserve"> 164–70.</w:t>
      </w:r>
      <w:r w:rsidRPr="00DD29A3">
        <w:rPr>
          <w:i/>
          <w:iCs/>
        </w:rPr>
        <w:t xml:space="preserve"> </w:t>
      </w:r>
      <w:r>
        <w:t>URL:</w:t>
      </w:r>
      <w:r w:rsidRPr="00DD29A3">
        <w:t xml:space="preserve"> </w:t>
      </w:r>
      <w:hyperlink r:id="rId163" w:history="1">
        <w:r w:rsidR="0015214D" w:rsidRPr="0015214D">
          <w:rPr>
            <w:rStyle w:val="Hyperlink"/>
          </w:rPr>
          <w:t>www.pacifichealthdialog.nz</w:t>
        </w:r>
      </w:hyperlink>
      <w:r>
        <w:t xml:space="preserve"> (accessed 12 October 2021).</w:t>
      </w:r>
    </w:p>
    <w:p w14:paraId="1EDF1B02" w14:textId="77777777" w:rsidR="009636B7" w:rsidRPr="0015214D" w:rsidRDefault="009636B7" w:rsidP="009636B7">
      <w:pPr>
        <w:pStyle w:val="References"/>
      </w:pPr>
      <w:r w:rsidRPr="001A28C6">
        <w:t xml:space="preserve">Vaka S, Brannelly T, Huntington A. 2016. </w:t>
      </w:r>
      <w:r w:rsidRPr="009E213B">
        <w:t>Getting to the heart of the story: Using talanoa to explore Pacific mental health</w:t>
      </w:r>
      <w:r w:rsidRPr="00E42BE0">
        <w:t xml:space="preserve">. </w:t>
      </w:r>
      <w:r w:rsidRPr="0043256B">
        <w:rPr>
          <w:i/>
          <w:iCs/>
        </w:rPr>
        <w:t xml:space="preserve">Issues in Mental Health Nursing </w:t>
      </w:r>
      <w:r w:rsidRPr="00561492">
        <w:t>37</w:t>
      </w:r>
      <w:r w:rsidRPr="00DD29A3">
        <w:t>(8)</w:t>
      </w:r>
      <w:r>
        <w:t>:</w:t>
      </w:r>
      <w:r w:rsidRPr="00DD29A3">
        <w:t xml:space="preserve"> 537–44. </w:t>
      </w:r>
      <w:r>
        <w:t xml:space="preserve">URL: </w:t>
      </w:r>
      <w:hyperlink r:id="rId164" w:history="1">
        <w:r w:rsidR="0015214D" w:rsidRPr="0015214D">
          <w:rPr>
            <w:rStyle w:val="Hyperlink"/>
          </w:rPr>
          <w:t>https://doi.org/10.1080/01612840.2016.1186253</w:t>
        </w:r>
      </w:hyperlink>
      <w:r>
        <w:t xml:space="preserve"> (accessed 12 October 2021).</w:t>
      </w:r>
    </w:p>
    <w:p w14:paraId="701BD891" w14:textId="77777777" w:rsidR="009636B7" w:rsidRPr="000329FE" w:rsidRDefault="009636B7" w:rsidP="009636B7">
      <w:pPr>
        <w:pStyle w:val="References"/>
      </w:pPr>
      <w:r w:rsidRPr="00FB779C">
        <w:rPr>
          <w:shd w:val="clear" w:color="auto" w:fill="FFFFFF"/>
        </w:rPr>
        <w:t xml:space="preserve">Vandevelde S, Vander Laenen F, Van Damme L, </w:t>
      </w:r>
      <w:r w:rsidR="00AD0D58">
        <w:rPr>
          <w:shd w:val="clear" w:color="auto" w:fill="FFFFFF"/>
        </w:rPr>
        <w:t>et al</w:t>
      </w:r>
      <w:r w:rsidRPr="00FB779C">
        <w:rPr>
          <w:shd w:val="clear" w:color="auto" w:fill="FFFFFF"/>
        </w:rPr>
        <w:t>. 2017. Dilemmas in applying strengths-ba</w:t>
      </w:r>
      <w:r w:rsidRPr="000329FE">
        <w:rPr>
          <w:shd w:val="clear" w:color="auto" w:fill="FFFFFF"/>
        </w:rPr>
        <w:t xml:space="preserve">sed approaches in working with offenders with mental illness: A critical multidisciplinary review. </w:t>
      </w:r>
      <w:r w:rsidRPr="000329FE">
        <w:rPr>
          <w:i/>
          <w:iCs/>
        </w:rPr>
        <w:t xml:space="preserve">Aggression and Violent Behavior </w:t>
      </w:r>
      <w:r w:rsidRPr="00561492">
        <w:t>32</w:t>
      </w:r>
      <w:r>
        <w:t>:</w:t>
      </w:r>
      <w:r w:rsidRPr="000329FE">
        <w:t xml:space="preserve"> 71–9. </w:t>
      </w:r>
      <w:r>
        <w:t xml:space="preserve">URL: </w:t>
      </w:r>
      <w:hyperlink r:id="rId165" w:history="1">
        <w:r w:rsidR="0015214D" w:rsidRPr="0015214D">
          <w:rPr>
            <w:rStyle w:val="Hyperlink"/>
          </w:rPr>
          <w:t>http://dx.doi.org/10.1016/j.avb.2016.11.008</w:t>
        </w:r>
      </w:hyperlink>
      <w:r>
        <w:rPr>
          <w:shd w:val="clear" w:color="auto" w:fill="FFFFFF"/>
        </w:rPr>
        <w:t xml:space="preserve"> (accessed 12 October 2021).</w:t>
      </w:r>
    </w:p>
    <w:p w14:paraId="77501F65" w14:textId="77777777" w:rsidR="009636B7" w:rsidRPr="0015214D" w:rsidRDefault="009636B7" w:rsidP="009636B7">
      <w:pPr>
        <w:pStyle w:val="References"/>
      </w:pPr>
      <w:r>
        <w:t>v</w:t>
      </w:r>
      <w:r w:rsidRPr="000329FE">
        <w:t xml:space="preserve">an Veldhuizen JR. 2007. FACT: A Dutch version of ACT. </w:t>
      </w:r>
      <w:r w:rsidRPr="000329FE">
        <w:rPr>
          <w:i/>
          <w:iCs/>
        </w:rPr>
        <w:t xml:space="preserve">Community Mental Health Journal </w:t>
      </w:r>
      <w:r w:rsidRPr="00561492">
        <w:t>43</w:t>
      </w:r>
      <w:r w:rsidRPr="000329FE">
        <w:t>(4)</w:t>
      </w:r>
      <w:r>
        <w:t>:</w:t>
      </w:r>
      <w:r w:rsidRPr="000329FE">
        <w:t xml:space="preserve"> 421–33. </w:t>
      </w:r>
      <w:r>
        <w:t xml:space="preserve">URL: </w:t>
      </w:r>
      <w:hyperlink r:id="rId166" w:history="1">
        <w:r w:rsidR="0015214D" w:rsidRPr="0015214D">
          <w:rPr>
            <w:rStyle w:val="Hyperlink"/>
          </w:rPr>
          <w:t>https://doi.org/10.1007/s10597-007-9089-4</w:t>
        </w:r>
      </w:hyperlink>
      <w:r>
        <w:t xml:space="preserve"> (accessed 14 October 2021).</w:t>
      </w:r>
    </w:p>
    <w:p w14:paraId="57D1551C" w14:textId="77777777" w:rsidR="009636B7" w:rsidRPr="000329FE" w:rsidRDefault="009636B7" w:rsidP="009636B7">
      <w:pPr>
        <w:pStyle w:val="References"/>
      </w:pPr>
      <w:r w:rsidRPr="000329FE">
        <w:t xml:space="preserve">Vaughan P, Austen C, Feuvre ML, </w:t>
      </w:r>
      <w:r w:rsidR="00AD0D58">
        <w:t>et al</w:t>
      </w:r>
      <w:r w:rsidRPr="000329FE">
        <w:t>. 2003. Psychiatric support to magistrates</w:t>
      </w:r>
      <w:r w:rsidR="00EE0ADB">
        <w:t>’</w:t>
      </w:r>
      <w:r w:rsidRPr="000329FE">
        <w:t xml:space="preserve"> courts. </w:t>
      </w:r>
      <w:r w:rsidRPr="000329FE">
        <w:rPr>
          <w:i/>
          <w:iCs/>
        </w:rPr>
        <w:t xml:space="preserve">Medicine, Science and the Law </w:t>
      </w:r>
      <w:r w:rsidRPr="00561492">
        <w:t>43</w:t>
      </w:r>
      <w:r w:rsidRPr="000329FE">
        <w:t>(3)</w:t>
      </w:r>
      <w:r>
        <w:t>:</w:t>
      </w:r>
      <w:r w:rsidRPr="000329FE">
        <w:t xml:space="preserve"> 255–9. </w:t>
      </w:r>
      <w:r>
        <w:t>DOI</w:t>
      </w:r>
      <w:r w:rsidRPr="000329FE">
        <w:t>:</w:t>
      </w:r>
      <w:r>
        <w:t xml:space="preserve"> </w:t>
      </w:r>
      <w:r w:rsidRPr="000329FE">
        <w:t>10.1258/rsmmsl.43.3.255</w:t>
      </w:r>
      <w:r>
        <w:t xml:space="preserve"> (accessed 26 October 2021).</w:t>
      </w:r>
    </w:p>
    <w:p w14:paraId="14BAF0E9" w14:textId="77777777" w:rsidR="009636B7" w:rsidRPr="000329FE" w:rsidRDefault="009636B7" w:rsidP="009636B7">
      <w:pPr>
        <w:pStyle w:val="References"/>
      </w:pPr>
      <w:r w:rsidRPr="000329FE">
        <w:rPr>
          <w:shd w:val="clear" w:color="auto" w:fill="FFFFFF"/>
        </w:rPr>
        <w:t xml:space="preserve">Völlm BA, Clarke M, Herrando VT, </w:t>
      </w:r>
      <w:r w:rsidR="00AD0D58">
        <w:rPr>
          <w:shd w:val="clear" w:color="auto" w:fill="FFFFFF"/>
        </w:rPr>
        <w:t>et al</w:t>
      </w:r>
      <w:r w:rsidRPr="000329FE">
        <w:rPr>
          <w:shd w:val="clear" w:color="auto" w:fill="FFFFFF"/>
        </w:rPr>
        <w:t xml:space="preserve">. 2018. European Psychiatric Association (EPA) guidance on forensic psychiatry: Evidence based assessment and treatment of mentally disordered offenders. </w:t>
      </w:r>
      <w:r w:rsidRPr="000329FE">
        <w:rPr>
          <w:i/>
          <w:iCs/>
        </w:rPr>
        <w:t xml:space="preserve">European Psychiatry </w:t>
      </w:r>
      <w:r w:rsidRPr="00561492">
        <w:t>51</w:t>
      </w:r>
      <w:r>
        <w:t>:</w:t>
      </w:r>
      <w:r w:rsidRPr="000329FE">
        <w:t xml:space="preserve"> 58–73. </w:t>
      </w:r>
      <w:r>
        <w:t xml:space="preserve">URL: </w:t>
      </w:r>
      <w:hyperlink r:id="rId167" w:history="1">
        <w:r w:rsidR="0015214D" w:rsidRPr="0015214D">
          <w:rPr>
            <w:rStyle w:val="Hyperlink"/>
          </w:rPr>
          <w:t>https://doi.org/10.1016/j.eurpsy.2017.12.007</w:t>
        </w:r>
      </w:hyperlink>
      <w:r>
        <w:rPr>
          <w:shd w:val="clear" w:color="auto" w:fill="FFFFFF"/>
        </w:rPr>
        <w:t xml:space="preserve"> (accessed 14 October 2021).</w:t>
      </w:r>
    </w:p>
    <w:p w14:paraId="62B8D709" w14:textId="77777777" w:rsidR="00EE0ADB" w:rsidRDefault="009636B7" w:rsidP="009636B7">
      <w:pPr>
        <w:pStyle w:val="References"/>
      </w:pPr>
      <w:r w:rsidRPr="000329FE">
        <w:t xml:space="preserve">Waikato District Health Board. 2010. </w:t>
      </w:r>
      <w:r w:rsidRPr="000329FE">
        <w:rPr>
          <w:i/>
          <w:iCs/>
        </w:rPr>
        <w:t>Puawai Midland Regional Forensic Psychiatric Service</w:t>
      </w:r>
      <w:r w:rsidRPr="000329FE">
        <w:rPr>
          <w:i/>
        </w:rPr>
        <w:t xml:space="preserve"> </w:t>
      </w:r>
      <w:r>
        <w:t>(p</w:t>
      </w:r>
      <w:r w:rsidRPr="000329FE">
        <w:t>amphlet</w:t>
      </w:r>
      <w:r>
        <w:t>)</w:t>
      </w:r>
      <w:r w:rsidRPr="000329FE">
        <w:t>. Hamilton: Waikato District Health Board</w:t>
      </w:r>
      <w:r w:rsidRPr="000329FE" w:rsidDel="008F4E63">
        <w:t xml:space="preserve"> </w:t>
      </w:r>
      <w:r w:rsidRPr="000329FE">
        <w:t>.</w:t>
      </w:r>
    </w:p>
    <w:p w14:paraId="681E5D8B" w14:textId="77777777" w:rsidR="009636B7" w:rsidRPr="000329FE" w:rsidRDefault="009636B7" w:rsidP="009636B7">
      <w:pPr>
        <w:pStyle w:val="References"/>
      </w:pPr>
      <w:r w:rsidRPr="000329FE">
        <w:t xml:space="preserve">Walsh T. 2003. Diverting mentally ill women away from prison in New South Wales: Building on the existing system. </w:t>
      </w:r>
      <w:r w:rsidRPr="000329FE">
        <w:rPr>
          <w:i/>
          <w:iCs/>
        </w:rPr>
        <w:t xml:space="preserve">Psychiatry, Psychology and Law </w:t>
      </w:r>
      <w:r w:rsidRPr="00561492">
        <w:t>10</w:t>
      </w:r>
      <w:r w:rsidRPr="000329FE">
        <w:t>(1)</w:t>
      </w:r>
      <w:r>
        <w:t>:</w:t>
      </w:r>
      <w:r w:rsidRPr="000329FE">
        <w:t xml:space="preserve"> 227–38. </w:t>
      </w:r>
      <w:r>
        <w:t>URL:</w:t>
      </w:r>
      <w:r w:rsidRPr="000329FE">
        <w:t xml:space="preserve"> </w:t>
      </w:r>
      <w:hyperlink r:id="rId168" w:history="1">
        <w:r w:rsidR="0015214D" w:rsidRPr="0015214D">
          <w:rPr>
            <w:rStyle w:val="Hyperlink"/>
          </w:rPr>
          <w:t>www.tandfonline.com/toc/tppl20/current</w:t>
        </w:r>
      </w:hyperlink>
      <w:r>
        <w:t xml:space="preserve"> (accessed 27 October 2021).</w:t>
      </w:r>
    </w:p>
    <w:p w14:paraId="6FF77F33" w14:textId="77777777" w:rsidR="009636B7" w:rsidRPr="000329FE" w:rsidRDefault="009636B7" w:rsidP="009636B7">
      <w:pPr>
        <w:pStyle w:val="References"/>
      </w:pPr>
      <w:r w:rsidRPr="000329FE">
        <w:t xml:space="preserve">Ward M, Attwell P. 2014. Evaluation of two community outreach forensic psychological services. </w:t>
      </w:r>
      <w:r w:rsidRPr="000329FE">
        <w:rPr>
          <w:i/>
          <w:iCs/>
        </w:rPr>
        <w:t xml:space="preserve">Journal of Forensic Practice </w:t>
      </w:r>
      <w:r w:rsidRPr="00561492">
        <w:t>4</w:t>
      </w:r>
      <w:r w:rsidRPr="000329FE">
        <w:t>(4)</w:t>
      </w:r>
      <w:r>
        <w:t>:</w:t>
      </w:r>
      <w:r w:rsidRPr="000329FE">
        <w:t xml:space="preserve"> 312–26. </w:t>
      </w:r>
      <w:r>
        <w:t>DOI</w:t>
      </w:r>
      <w:r w:rsidRPr="000329FE">
        <w:t>:</w:t>
      </w:r>
      <w:r>
        <w:t xml:space="preserve"> </w:t>
      </w:r>
      <w:r w:rsidRPr="000329FE">
        <w:t>10.1108/JFP-04-2013-0027</w:t>
      </w:r>
      <w:r>
        <w:t xml:space="preserve"> (accessed 14 October 2021).</w:t>
      </w:r>
    </w:p>
    <w:p w14:paraId="04D7C257" w14:textId="77777777" w:rsidR="009636B7" w:rsidRPr="00075571" w:rsidRDefault="009636B7" w:rsidP="00A0717A">
      <w:pPr>
        <w:pStyle w:val="References"/>
        <w:keepNext/>
        <w:keepLines/>
      </w:pPr>
      <w:r w:rsidRPr="00075571">
        <w:t xml:space="preserve">Weekes JR, Moser AE, Wheatley M, </w:t>
      </w:r>
      <w:r w:rsidR="00AD0D58">
        <w:t>et al</w:t>
      </w:r>
      <w:r w:rsidRPr="00075571">
        <w:t xml:space="preserve">. 2013. What works in reducing substance-related offending? </w:t>
      </w:r>
      <w:r w:rsidRPr="001A28C6">
        <w:rPr>
          <w:shd w:val="clear" w:color="auto" w:fill="FFFFFF"/>
        </w:rPr>
        <w:t xml:space="preserve">In LA </w:t>
      </w:r>
      <w:r w:rsidRPr="009E213B">
        <w:rPr>
          <w:shd w:val="clear" w:color="auto" w:fill="FFFFFF"/>
        </w:rPr>
        <w:t xml:space="preserve">Craig, L Dixon, TA </w:t>
      </w:r>
      <w:r w:rsidRPr="00E42BE0">
        <w:rPr>
          <w:shd w:val="clear" w:color="auto" w:fill="FFFFFF"/>
        </w:rPr>
        <w:t>Gannon</w:t>
      </w:r>
      <w:r w:rsidRPr="0043256B">
        <w:rPr>
          <w:shd w:val="clear" w:color="auto" w:fill="FFFFFF"/>
        </w:rPr>
        <w:t xml:space="preserve"> (</w:t>
      </w:r>
      <w:r>
        <w:rPr>
          <w:shd w:val="clear" w:color="auto" w:fill="FFFFFF"/>
        </w:rPr>
        <w:t>e</w:t>
      </w:r>
      <w:r w:rsidRPr="0043256B">
        <w:rPr>
          <w:shd w:val="clear" w:color="auto" w:fill="FFFFFF"/>
        </w:rPr>
        <w:t>ds)</w:t>
      </w:r>
      <w:r w:rsidRPr="00DD29A3">
        <w:rPr>
          <w:shd w:val="clear" w:color="auto" w:fill="FFFFFF"/>
        </w:rPr>
        <w:t xml:space="preserve">, </w:t>
      </w:r>
      <w:r w:rsidRPr="00482A5B">
        <w:rPr>
          <w:i/>
          <w:iCs/>
        </w:rPr>
        <w:t xml:space="preserve">What </w:t>
      </w:r>
      <w:r>
        <w:rPr>
          <w:i/>
          <w:iCs/>
        </w:rPr>
        <w:t>W</w:t>
      </w:r>
      <w:r w:rsidRPr="00482A5B">
        <w:rPr>
          <w:i/>
          <w:iCs/>
        </w:rPr>
        <w:t xml:space="preserve">orks in </w:t>
      </w:r>
      <w:r>
        <w:rPr>
          <w:i/>
          <w:iCs/>
        </w:rPr>
        <w:t>O</w:t>
      </w:r>
      <w:r w:rsidRPr="00482A5B">
        <w:rPr>
          <w:i/>
          <w:iCs/>
        </w:rPr>
        <w:t xml:space="preserve">ffender </w:t>
      </w:r>
      <w:r>
        <w:rPr>
          <w:i/>
          <w:iCs/>
        </w:rPr>
        <w:t>R</w:t>
      </w:r>
      <w:r w:rsidRPr="00482A5B">
        <w:rPr>
          <w:i/>
          <w:iCs/>
        </w:rPr>
        <w:t xml:space="preserve">ehabilitation: An evidence-based </w:t>
      </w:r>
      <w:r w:rsidRPr="00561492">
        <w:rPr>
          <w:i/>
          <w:iCs/>
        </w:rPr>
        <w:t>approach</w:t>
      </w:r>
      <w:r w:rsidRPr="004034BB">
        <w:rPr>
          <w:i/>
          <w:iCs/>
        </w:rPr>
        <w:t xml:space="preserve"> to assessment and treatment</w:t>
      </w:r>
      <w:r w:rsidRPr="00FB779C">
        <w:rPr>
          <w:i/>
          <w:iCs/>
        </w:rPr>
        <w:t xml:space="preserve"> </w:t>
      </w:r>
      <w:r w:rsidRPr="00C9607A">
        <w:t xml:space="preserve">(pp. </w:t>
      </w:r>
      <w:r w:rsidRPr="00075571">
        <w:t>237–54</w:t>
      </w:r>
      <w:r w:rsidRPr="001A28C6">
        <w:t>)</w:t>
      </w:r>
      <w:r w:rsidRPr="001A28C6">
        <w:rPr>
          <w:i/>
          <w:iCs/>
        </w:rPr>
        <w:t>.</w:t>
      </w:r>
      <w:r w:rsidRPr="009E213B">
        <w:t xml:space="preserve"> Hoboken, NJ: John Wiley &amp; Sons.</w:t>
      </w:r>
    </w:p>
    <w:p w14:paraId="64472BFD" w14:textId="77777777" w:rsidR="009636B7" w:rsidRPr="00DD29A3" w:rsidRDefault="009636B7" w:rsidP="009636B7">
      <w:pPr>
        <w:pStyle w:val="References"/>
      </w:pPr>
      <w:r w:rsidRPr="001A28C6">
        <w:t xml:space="preserve">Weisman RL, Lamberti JS, Price N. 2004. Integrating criminal justice, community healthcare, and support services for adults with severe mental disorders. </w:t>
      </w:r>
      <w:r w:rsidRPr="00E42BE0">
        <w:rPr>
          <w:i/>
          <w:iCs/>
        </w:rPr>
        <w:t xml:space="preserve">Psychiatric Quarterly </w:t>
      </w:r>
      <w:r w:rsidRPr="00561492">
        <w:t>75</w:t>
      </w:r>
      <w:r w:rsidRPr="0043256B">
        <w:t>(1)</w:t>
      </w:r>
      <w:r>
        <w:t>:</w:t>
      </w:r>
      <w:r w:rsidRPr="0043256B">
        <w:t xml:space="preserve"> 71–85. </w:t>
      </w:r>
      <w:r>
        <w:t>DOI</w:t>
      </w:r>
      <w:r w:rsidRPr="0043256B">
        <w:t>:</w:t>
      </w:r>
      <w:r>
        <w:t xml:space="preserve"> </w:t>
      </w:r>
      <w:r w:rsidRPr="0043256B">
        <w:t>10.1023/B:PSAQ.0000007562.37428.52</w:t>
      </w:r>
      <w:r>
        <w:t xml:space="preserve"> (accessed 22 October 2021).</w:t>
      </w:r>
    </w:p>
    <w:p w14:paraId="196F8572" w14:textId="77777777" w:rsidR="009636B7" w:rsidRPr="000329FE" w:rsidRDefault="009636B7" w:rsidP="009636B7">
      <w:pPr>
        <w:pStyle w:val="References"/>
      </w:pPr>
      <w:r w:rsidRPr="00482A5B">
        <w:t xml:space="preserve">Welsh WN, Knudsen HK, Knight K, </w:t>
      </w:r>
      <w:r w:rsidR="00AD0D58">
        <w:t>et al</w:t>
      </w:r>
      <w:r w:rsidRPr="00A537F0">
        <w:t xml:space="preserve">. 2016. Effects of an organizational linkage intervention on inter-organizational service coordination between probation/parole agencies and community treatment providers. </w:t>
      </w:r>
      <w:r w:rsidRPr="00FB779C">
        <w:rPr>
          <w:i/>
          <w:iCs/>
        </w:rPr>
        <w:t>Administration and Policy in Mental Health and Mental Health S</w:t>
      </w:r>
      <w:r w:rsidRPr="000329FE">
        <w:rPr>
          <w:i/>
          <w:iCs/>
        </w:rPr>
        <w:t xml:space="preserve">ervices Research </w:t>
      </w:r>
      <w:r w:rsidRPr="00561492">
        <w:t>43</w:t>
      </w:r>
      <w:r w:rsidRPr="000329FE">
        <w:t>(1)</w:t>
      </w:r>
      <w:r>
        <w:t>:</w:t>
      </w:r>
      <w:r w:rsidRPr="000329FE">
        <w:t xml:space="preserve"> 105–21. </w:t>
      </w:r>
      <w:r>
        <w:t>DOI</w:t>
      </w:r>
      <w:r w:rsidRPr="000329FE">
        <w:t>:</w:t>
      </w:r>
      <w:r>
        <w:t xml:space="preserve"> </w:t>
      </w:r>
      <w:r w:rsidRPr="000329FE">
        <w:t>10.1007/s10488-014-0623-8</w:t>
      </w:r>
      <w:r>
        <w:t xml:space="preserve"> (accessed 22 October 2021).</w:t>
      </w:r>
    </w:p>
    <w:p w14:paraId="665F158B" w14:textId="77777777" w:rsidR="00EE0ADB" w:rsidRDefault="009636B7" w:rsidP="009636B7">
      <w:pPr>
        <w:pStyle w:val="References"/>
      </w:pPr>
      <w:r w:rsidRPr="000329FE">
        <w:t xml:space="preserve">White T, Ramsay L, Morrison R. 2002. Audit of the forensic psychiatry liaison service to Glasgow Sheriff Court 1994 to 1998. </w:t>
      </w:r>
      <w:r w:rsidRPr="000329FE">
        <w:rPr>
          <w:i/>
          <w:iCs/>
        </w:rPr>
        <w:t xml:space="preserve">Medicine, Science and the Law </w:t>
      </w:r>
      <w:r w:rsidRPr="00561492">
        <w:t>42</w:t>
      </w:r>
      <w:r w:rsidRPr="000329FE">
        <w:t>(1)</w:t>
      </w:r>
      <w:r>
        <w:t>:</w:t>
      </w:r>
      <w:r w:rsidRPr="000329FE">
        <w:t xml:space="preserve"> 64–70. </w:t>
      </w:r>
      <w:r>
        <w:t>DOI</w:t>
      </w:r>
      <w:r w:rsidRPr="000329FE">
        <w:t>:</w:t>
      </w:r>
      <w:r>
        <w:t xml:space="preserve"> </w:t>
      </w:r>
      <w:r w:rsidRPr="000329FE">
        <w:t>10.1177/002580240204200111</w:t>
      </w:r>
      <w:r>
        <w:t xml:space="preserve"> (accessed 26 October 2021).</w:t>
      </w:r>
    </w:p>
    <w:p w14:paraId="68CA5900" w14:textId="77777777" w:rsidR="009636B7" w:rsidRPr="000329FE" w:rsidRDefault="009636B7" w:rsidP="009636B7">
      <w:pPr>
        <w:pStyle w:val="References"/>
      </w:pPr>
      <w:r w:rsidRPr="000329FE">
        <w:t>Whittle MC,</w:t>
      </w:r>
      <w:r w:rsidR="00EE0ADB">
        <w:t xml:space="preserve"> </w:t>
      </w:r>
      <w:r w:rsidRPr="000329FE">
        <w:t xml:space="preserve">Scally MD. 1998. Model of forensic psychiatric community care. </w:t>
      </w:r>
      <w:r w:rsidRPr="000329FE">
        <w:rPr>
          <w:i/>
          <w:iCs/>
        </w:rPr>
        <w:t xml:space="preserve">Psychiatric Bulletin </w:t>
      </w:r>
      <w:r w:rsidRPr="00561492">
        <w:t>22</w:t>
      </w:r>
      <w:r w:rsidRPr="000329FE">
        <w:t>(12)</w:t>
      </w:r>
      <w:r>
        <w:t>:</w:t>
      </w:r>
      <w:r w:rsidRPr="000329FE">
        <w:t xml:space="preserve"> 748–50. </w:t>
      </w:r>
      <w:r>
        <w:t>DOI</w:t>
      </w:r>
      <w:r w:rsidRPr="000329FE">
        <w:t>:</w:t>
      </w:r>
      <w:r>
        <w:t xml:space="preserve"> </w:t>
      </w:r>
      <w:r w:rsidRPr="000329FE">
        <w:t>10.1192/pb.22.12.748</w:t>
      </w:r>
      <w:r>
        <w:t xml:space="preserve"> (accessed 14 October 2021).</w:t>
      </w:r>
    </w:p>
    <w:p w14:paraId="35C5373B" w14:textId="77777777" w:rsidR="00EE0ADB" w:rsidRDefault="009636B7" w:rsidP="009636B7">
      <w:pPr>
        <w:pStyle w:val="References"/>
        <w:rPr>
          <w:shd w:val="clear" w:color="auto" w:fill="FFFFFF"/>
        </w:rPr>
      </w:pPr>
      <w:r w:rsidRPr="000329FE">
        <w:rPr>
          <w:shd w:val="clear" w:color="auto" w:fill="FFFFFF"/>
        </w:rPr>
        <w:t>Williams L,</w:t>
      </w:r>
      <w:r w:rsidR="00EE0ADB">
        <w:rPr>
          <w:shd w:val="clear" w:color="auto" w:fill="FFFFFF"/>
        </w:rPr>
        <w:t xml:space="preserve"> </w:t>
      </w:r>
      <w:r w:rsidRPr="000329FE">
        <w:rPr>
          <w:shd w:val="clear" w:color="auto" w:fill="FFFFFF"/>
        </w:rPr>
        <w:t xml:space="preserve">Cram F. 2012. </w:t>
      </w:r>
      <w:r w:rsidRPr="000329FE">
        <w:rPr>
          <w:i/>
          <w:iCs/>
          <w:shd w:val="clear" w:color="auto" w:fill="FFFFFF"/>
        </w:rPr>
        <w:t xml:space="preserve">What </w:t>
      </w:r>
      <w:r>
        <w:rPr>
          <w:i/>
          <w:iCs/>
          <w:shd w:val="clear" w:color="auto" w:fill="FFFFFF"/>
        </w:rPr>
        <w:t>W</w:t>
      </w:r>
      <w:r w:rsidRPr="000329FE">
        <w:rPr>
          <w:i/>
          <w:iCs/>
          <w:shd w:val="clear" w:color="auto" w:fill="FFFFFF"/>
        </w:rPr>
        <w:t>orks for Māori: Synthesis of selected literature.</w:t>
      </w:r>
      <w:r w:rsidRPr="000329FE">
        <w:rPr>
          <w:shd w:val="clear" w:color="auto" w:fill="FFFFFF"/>
        </w:rPr>
        <w:t xml:space="preserve"> Wellington: Department of Corrections. </w:t>
      </w:r>
      <w:r>
        <w:rPr>
          <w:shd w:val="clear" w:color="auto" w:fill="FFFFFF"/>
        </w:rPr>
        <w:t>URL:</w:t>
      </w:r>
      <w:r w:rsidRPr="000329FE">
        <w:rPr>
          <w:shd w:val="clear" w:color="auto" w:fill="FFFFFF"/>
        </w:rPr>
        <w:t xml:space="preserve"> </w:t>
      </w:r>
      <w:hyperlink r:id="rId169" w:history="1">
        <w:r w:rsidR="0015214D" w:rsidRPr="0015214D">
          <w:rPr>
            <w:rStyle w:val="Hyperlink"/>
            <w:shd w:val="clear" w:color="auto" w:fill="FFFFFF"/>
          </w:rPr>
          <w:t>www.corrections.govt.nz/resources/research/what_works_for_maori</w:t>
        </w:r>
      </w:hyperlink>
      <w:r w:rsidRPr="001A091C">
        <w:rPr>
          <w:shd w:val="clear" w:color="auto" w:fill="FFFFFF"/>
        </w:rPr>
        <w:t xml:space="preserve"> </w:t>
      </w:r>
      <w:r>
        <w:rPr>
          <w:shd w:val="clear" w:color="auto" w:fill="FFFFFF"/>
        </w:rPr>
        <w:t>(accessed 22</w:t>
      </w:r>
      <w:r w:rsidR="0015214D">
        <w:rPr>
          <w:shd w:val="clear" w:color="auto" w:fill="FFFFFF"/>
        </w:rPr>
        <w:t> </w:t>
      </w:r>
      <w:r>
        <w:rPr>
          <w:shd w:val="clear" w:color="auto" w:fill="FFFFFF"/>
        </w:rPr>
        <w:t>October 2021).</w:t>
      </w:r>
    </w:p>
    <w:p w14:paraId="69E4B14A" w14:textId="77777777" w:rsidR="009636B7" w:rsidRPr="000329FE" w:rsidRDefault="009636B7" w:rsidP="009636B7">
      <w:pPr>
        <w:pStyle w:val="References"/>
      </w:pPr>
      <w:r w:rsidRPr="000329FE">
        <w:rPr>
          <w:shd w:val="clear" w:color="auto" w:fill="FFFFFF"/>
        </w:rPr>
        <w:t>Willis GM, Ward T. 2013. The good lives model: Does it work? Preliminary evidence. In</w:t>
      </w:r>
      <w:r w:rsidR="0015214D">
        <w:rPr>
          <w:shd w:val="clear" w:color="auto" w:fill="FFFFFF"/>
        </w:rPr>
        <w:t> </w:t>
      </w:r>
      <w:r w:rsidRPr="000329FE">
        <w:rPr>
          <w:shd w:val="clear" w:color="auto" w:fill="FFFFFF"/>
        </w:rPr>
        <w:t>LA Craig, L Dixon, TA Gannon (</w:t>
      </w:r>
      <w:r>
        <w:rPr>
          <w:shd w:val="clear" w:color="auto" w:fill="FFFFFF"/>
        </w:rPr>
        <w:t>e</w:t>
      </w:r>
      <w:r w:rsidRPr="000329FE">
        <w:rPr>
          <w:shd w:val="clear" w:color="auto" w:fill="FFFFFF"/>
        </w:rPr>
        <w:t xml:space="preserve">ds), </w:t>
      </w:r>
      <w:r w:rsidRPr="000329FE">
        <w:rPr>
          <w:i/>
          <w:iCs/>
        </w:rPr>
        <w:t xml:space="preserve">What </w:t>
      </w:r>
      <w:r>
        <w:rPr>
          <w:i/>
          <w:iCs/>
        </w:rPr>
        <w:t>W</w:t>
      </w:r>
      <w:r w:rsidRPr="000329FE">
        <w:rPr>
          <w:i/>
          <w:iCs/>
        </w:rPr>
        <w:t xml:space="preserve">orks in </w:t>
      </w:r>
      <w:r>
        <w:rPr>
          <w:i/>
          <w:iCs/>
        </w:rPr>
        <w:t>O</w:t>
      </w:r>
      <w:r w:rsidRPr="000329FE">
        <w:rPr>
          <w:i/>
          <w:iCs/>
        </w:rPr>
        <w:t xml:space="preserve">ffender </w:t>
      </w:r>
      <w:r>
        <w:rPr>
          <w:i/>
          <w:iCs/>
        </w:rPr>
        <w:t>R</w:t>
      </w:r>
      <w:r w:rsidRPr="000329FE">
        <w:rPr>
          <w:i/>
          <w:iCs/>
        </w:rPr>
        <w:t xml:space="preserve">ehabilitation: An evidence-based approach to assessment and treatment </w:t>
      </w:r>
      <w:r w:rsidRPr="000329FE">
        <w:t>(pp. 305–17)</w:t>
      </w:r>
      <w:r w:rsidRPr="000329FE">
        <w:rPr>
          <w:i/>
          <w:iCs/>
        </w:rPr>
        <w:t>.</w:t>
      </w:r>
      <w:r w:rsidRPr="000329FE">
        <w:t xml:space="preserve"> Hoboken, NJ: John Wiley &amp; Sons.</w:t>
      </w:r>
    </w:p>
    <w:p w14:paraId="05726271" w14:textId="77777777" w:rsidR="009636B7" w:rsidRPr="000329FE" w:rsidRDefault="009636B7" w:rsidP="009636B7">
      <w:pPr>
        <w:pStyle w:val="References"/>
      </w:pPr>
      <w:r w:rsidRPr="000329FE">
        <w:t xml:space="preserve">Wolff N, Epperson M, Shi J, </w:t>
      </w:r>
      <w:r w:rsidR="00AD0D58">
        <w:t>et al</w:t>
      </w:r>
      <w:r w:rsidRPr="000329FE">
        <w:t xml:space="preserve">. 2014. Mental health specialized probation caseloads: Are they effective? </w:t>
      </w:r>
      <w:r w:rsidRPr="000329FE">
        <w:rPr>
          <w:i/>
          <w:iCs/>
        </w:rPr>
        <w:t xml:space="preserve">International Journal of Law and Psychiatry </w:t>
      </w:r>
      <w:r w:rsidRPr="00561492">
        <w:t>37</w:t>
      </w:r>
      <w:r w:rsidRPr="000329FE">
        <w:t>(5)</w:t>
      </w:r>
      <w:r>
        <w:t>:</w:t>
      </w:r>
      <w:r w:rsidRPr="000329FE">
        <w:t xml:space="preserve"> 464–72. </w:t>
      </w:r>
      <w:r>
        <w:t>DOI</w:t>
      </w:r>
      <w:r w:rsidRPr="000329FE">
        <w:t>:</w:t>
      </w:r>
      <w:r>
        <w:t xml:space="preserve"> </w:t>
      </w:r>
      <w:r w:rsidRPr="000329FE">
        <w:t>10.1016/j.ijlp.2014.02.019</w:t>
      </w:r>
      <w:r>
        <w:t xml:space="preserve"> (accessed 22 October 2021).</w:t>
      </w:r>
    </w:p>
    <w:p w14:paraId="10373483" w14:textId="77777777" w:rsidR="009636B7" w:rsidRPr="000329FE" w:rsidRDefault="009636B7" w:rsidP="009636B7">
      <w:pPr>
        <w:pStyle w:val="References"/>
      </w:pPr>
      <w:r w:rsidRPr="000329FE">
        <w:rPr>
          <w:shd w:val="clear" w:color="auto" w:fill="FFFFFF"/>
        </w:rPr>
        <w:t xml:space="preserve">Wong SCP, Gordon A. 2013. The violence reduction programme: A treatment programme for violence-prone forensic clinics. </w:t>
      </w:r>
      <w:r w:rsidRPr="000329FE">
        <w:rPr>
          <w:i/>
          <w:iCs/>
          <w:shd w:val="clear" w:color="auto" w:fill="FFFFFF"/>
        </w:rPr>
        <w:t xml:space="preserve">Psychology, Crime and Law </w:t>
      </w:r>
      <w:r w:rsidRPr="00561492">
        <w:rPr>
          <w:shd w:val="clear" w:color="auto" w:fill="FFFFFF"/>
        </w:rPr>
        <w:t>19</w:t>
      </w:r>
      <w:r w:rsidRPr="000329FE">
        <w:rPr>
          <w:shd w:val="clear" w:color="auto" w:fill="FFFFFF"/>
        </w:rPr>
        <w:t>(5–6)</w:t>
      </w:r>
      <w:r>
        <w:rPr>
          <w:shd w:val="clear" w:color="auto" w:fill="FFFFFF"/>
        </w:rPr>
        <w:t>:</w:t>
      </w:r>
      <w:r w:rsidRPr="000329FE">
        <w:rPr>
          <w:shd w:val="clear" w:color="auto" w:fill="FFFFFF"/>
        </w:rPr>
        <w:t xml:space="preserve"> 461–475.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10.1080/1068316X.2013.758981</w:t>
      </w:r>
      <w:r>
        <w:rPr>
          <w:shd w:val="clear" w:color="auto" w:fill="FFFFFF"/>
        </w:rPr>
        <w:t xml:space="preserve"> (accessed 11 October 2021).</w:t>
      </w:r>
    </w:p>
    <w:p w14:paraId="30E6468E" w14:textId="77777777" w:rsidR="009636B7" w:rsidRPr="000329FE" w:rsidRDefault="009636B7" w:rsidP="009636B7">
      <w:pPr>
        <w:pStyle w:val="References"/>
      </w:pPr>
      <w:r w:rsidRPr="000329FE">
        <w:rPr>
          <w:shd w:val="clear" w:color="auto" w:fill="FFFFFF"/>
        </w:rPr>
        <w:t xml:space="preserve">Wong SCP, Gordon A, Gu D. 2007. Assessment and treatment of violence-prone forensic clinics: An integrated approach. </w:t>
      </w:r>
      <w:r w:rsidRPr="000329FE">
        <w:rPr>
          <w:i/>
          <w:iCs/>
        </w:rPr>
        <w:t xml:space="preserve">British Journal of Psychiatry </w:t>
      </w:r>
      <w:r w:rsidRPr="00561492">
        <w:t>190</w:t>
      </w:r>
      <w:r w:rsidRPr="000329FE">
        <w:t>(Suppl 49)</w:t>
      </w:r>
      <w:r>
        <w:t>:</w:t>
      </w:r>
      <w:r w:rsidRPr="000329FE">
        <w:t xml:space="preserve"> S66–S74. </w:t>
      </w:r>
      <w:r>
        <w:rPr>
          <w:shd w:val="clear" w:color="auto" w:fill="FFFFFF"/>
        </w:rPr>
        <w:t>DOI</w:t>
      </w:r>
      <w:r w:rsidRPr="000329FE">
        <w:rPr>
          <w:shd w:val="clear" w:color="auto" w:fill="FFFFFF"/>
        </w:rPr>
        <w:t>:</w:t>
      </w:r>
      <w:r>
        <w:rPr>
          <w:shd w:val="clear" w:color="auto" w:fill="FFFFFF"/>
        </w:rPr>
        <w:t xml:space="preserve"> </w:t>
      </w:r>
      <w:r w:rsidRPr="000329FE">
        <w:rPr>
          <w:shd w:val="clear" w:color="auto" w:fill="FFFFFF"/>
        </w:rPr>
        <w:t>10.1192/bjp.190.5.s66</w:t>
      </w:r>
      <w:r>
        <w:rPr>
          <w:shd w:val="clear" w:color="auto" w:fill="FFFFFF"/>
        </w:rPr>
        <w:t xml:space="preserve"> (accessed 11 October 2021).</w:t>
      </w:r>
    </w:p>
    <w:p w14:paraId="0D2D7B93" w14:textId="77777777" w:rsidR="0082081A" w:rsidRDefault="009636B7" w:rsidP="00A0717A">
      <w:pPr>
        <w:pStyle w:val="References"/>
      </w:pPr>
      <w:r w:rsidRPr="000329FE">
        <w:t xml:space="preserve">Wren GL. 2010. Mental health courts: Serving justice and promoting recovery. </w:t>
      </w:r>
      <w:r w:rsidRPr="000329FE">
        <w:rPr>
          <w:i/>
          <w:iCs/>
        </w:rPr>
        <w:t xml:space="preserve">Annals of Health Law </w:t>
      </w:r>
      <w:r w:rsidRPr="00561492">
        <w:t>19</w:t>
      </w:r>
      <w:r w:rsidRPr="000329FE">
        <w:t>(3)</w:t>
      </w:r>
      <w:r>
        <w:t>:</w:t>
      </w:r>
      <w:r w:rsidRPr="000329FE">
        <w:t xml:space="preserve"> 577–93. </w:t>
      </w:r>
      <w:r>
        <w:t>URL:</w:t>
      </w:r>
      <w:r w:rsidRPr="000329FE">
        <w:t xml:space="preserve"> </w:t>
      </w:r>
      <w:hyperlink r:id="rId170" w:history="1">
        <w:r w:rsidR="0015214D" w:rsidRPr="0015214D">
          <w:rPr>
            <w:rStyle w:val="Hyperlink"/>
          </w:rPr>
          <w:t>www.annalsofhealthlaw.com/</w:t>
        </w:r>
      </w:hyperlink>
      <w:r>
        <w:t xml:space="preserve"> (accessed 27 October 2021).</w:t>
      </w:r>
    </w:p>
    <w:sectPr w:rsidR="0082081A" w:rsidSect="002B7BEC">
      <w:footerReference w:type="even" r:id="rId171"/>
      <w:footerReference w:type="default" r:id="rId172"/>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CFB196" w14:textId="77777777" w:rsidR="002C1FB3" w:rsidRDefault="002C1FB3">
      <w:r>
        <w:separator/>
      </w:r>
    </w:p>
    <w:p w14:paraId="4DDCA71A" w14:textId="77777777" w:rsidR="002C1FB3" w:rsidRDefault="002C1FB3"/>
  </w:endnote>
  <w:endnote w:type="continuationSeparator" w:id="0">
    <w:p w14:paraId="0DC3D332" w14:textId="77777777" w:rsidR="002C1FB3" w:rsidRDefault="002C1FB3">
      <w:r>
        <w:continuationSeparator/>
      </w:r>
    </w:p>
    <w:p w14:paraId="2C89E9E0" w14:textId="77777777" w:rsidR="002C1FB3" w:rsidRDefault="002C1F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dvTTfa35afa0+20">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C4FB0" w14:textId="77777777" w:rsidR="00033702" w:rsidRPr="00581136" w:rsidRDefault="00033702" w:rsidP="005A79E5">
    <w:pPr>
      <w:pStyle w:val="Footer"/>
      <w:pBdr>
        <w:bottom w:val="single" w:sz="4" w:space="1" w:color="auto"/>
      </w:pBdr>
      <w:tabs>
        <w:tab w:val="right" w:pos="9639"/>
      </w:tabs>
      <w:rPr>
        <w:b/>
      </w:rPr>
    </w:pPr>
    <w:r w:rsidRPr="00581136">
      <w:rPr>
        <w:b/>
      </w:rPr>
      <w:t>Released 20</w:t>
    </w:r>
    <w:r>
      <w:rPr>
        <w:b/>
      </w:rPr>
      <w:t>21</w:t>
    </w:r>
    <w:r w:rsidRPr="00581136">
      <w:rPr>
        <w:b/>
      </w:rPr>
      <w:tab/>
      <w:t>health.govt.nz</w:t>
    </w:r>
  </w:p>
  <w:p w14:paraId="4FF9F565" w14:textId="77777777" w:rsidR="00033702" w:rsidRPr="005A79E5" w:rsidRDefault="00033702">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tblInd w:w="-567" w:type="dxa"/>
      <w:tblLayout w:type="fixed"/>
      <w:tblLook w:val="04A0" w:firstRow="1" w:lastRow="0" w:firstColumn="1" w:lastColumn="0" w:noHBand="0" w:noVBand="1"/>
    </w:tblPr>
    <w:tblGrid>
      <w:gridCol w:w="675"/>
      <w:gridCol w:w="9072"/>
    </w:tblGrid>
    <w:tr w:rsidR="00033702" w14:paraId="772CB20A" w14:textId="77777777" w:rsidTr="006E2886">
      <w:trPr>
        <w:cantSplit/>
      </w:trPr>
      <w:tc>
        <w:tcPr>
          <w:tcW w:w="675" w:type="dxa"/>
          <w:vAlign w:val="center"/>
        </w:tcPr>
        <w:p w14:paraId="14759948" w14:textId="77777777" w:rsidR="00033702" w:rsidRPr="00931466" w:rsidRDefault="00033702"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xiv</w:t>
          </w:r>
          <w:r w:rsidRPr="00931466">
            <w:rPr>
              <w:rStyle w:val="PageNumber"/>
            </w:rPr>
            <w:fldChar w:fldCharType="end"/>
          </w:r>
        </w:p>
      </w:tc>
      <w:tc>
        <w:tcPr>
          <w:tcW w:w="9072" w:type="dxa"/>
          <w:vAlign w:val="center"/>
        </w:tcPr>
        <w:p w14:paraId="7E8609A3" w14:textId="77777777" w:rsidR="00033702" w:rsidRDefault="00033702" w:rsidP="00687946">
          <w:pPr>
            <w:pStyle w:val="RectoFooter"/>
            <w:jc w:val="left"/>
          </w:pPr>
          <w:r>
            <w:t>models of care in forensic mental health services:</w:t>
          </w:r>
          <w:r>
            <w:br/>
            <w:t>a review of the international and national literature</w:t>
          </w:r>
        </w:p>
      </w:tc>
    </w:tr>
  </w:tbl>
  <w:p w14:paraId="08B72558" w14:textId="77777777" w:rsidR="00033702" w:rsidRPr="00571223" w:rsidRDefault="00033702"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tblInd w:w="-567" w:type="dxa"/>
      <w:tblLayout w:type="fixed"/>
      <w:tblLook w:val="04A0" w:firstRow="1" w:lastRow="0" w:firstColumn="1" w:lastColumn="0" w:noHBand="0" w:noVBand="1"/>
    </w:tblPr>
    <w:tblGrid>
      <w:gridCol w:w="675"/>
      <w:gridCol w:w="9072"/>
    </w:tblGrid>
    <w:tr w:rsidR="00033702" w14:paraId="1B12264A" w14:textId="77777777" w:rsidTr="006E2886">
      <w:trPr>
        <w:cantSplit/>
      </w:trPr>
      <w:tc>
        <w:tcPr>
          <w:tcW w:w="675" w:type="dxa"/>
          <w:vAlign w:val="center"/>
        </w:tcPr>
        <w:p w14:paraId="73B37253" w14:textId="77777777" w:rsidR="00033702" w:rsidRPr="00931466" w:rsidRDefault="00033702"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96</w:t>
          </w:r>
          <w:r w:rsidRPr="00931466">
            <w:rPr>
              <w:rStyle w:val="PageNumber"/>
            </w:rPr>
            <w:fldChar w:fldCharType="end"/>
          </w:r>
        </w:p>
      </w:tc>
      <w:tc>
        <w:tcPr>
          <w:tcW w:w="9072" w:type="dxa"/>
          <w:vAlign w:val="center"/>
        </w:tcPr>
        <w:p w14:paraId="4635DAA8" w14:textId="77777777" w:rsidR="00033702" w:rsidRDefault="00033702" w:rsidP="00633C48">
          <w:pPr>
            <w:pStyle w:val="RectoFooter"/>
            <w:ind w:left="-108"/>
            <w:jc w:val="left"/>
          </w:pPr>
          <w:r>
            <w:t>models of care in forensic mental health services:</w:t>
          </w:r>
          <w:r>
            <w:br/>
            <w:t>a review of the international and national literature</w:t>
          </w:r>
        </w:p>
      </w:tc>
    </w:tr>
  </w:tbl>
  <w:p w14:paraId="2253B4C2" w14:textId="77777777" w:rsidR="00033702" w:rsidRPr="00571223" w:rsidRDefault="00033702" w:rsidP="00571223">
    <w:pPr>
      <w:pStyle w:val="Verso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8080"/>
      <w:gridCol w:w="709"/>
    </w:tblGrid>
    <w:tr w:rsidR="00033702" w14:paraId="727F9D0A" w14:textId="77777777" w:rsidTr="006E2886">
      <w:trPr>
        <w:cantSplit/>
      </w:trPr>
      <w:tc>
        <w:tcPr>
          <w:tcW w:w="8080" w:type="dxa"/>
          <w:vAlign w:val="center"/>
        </w:tcPr>
        <w:p w14:paraId="3BD5DDAC" w14:textId="77777777" w:rsidR="00033702" w:rsidRDefault="00033702" w:rsidP="00633C48">
          <w:pPr>
            <w:pStyle w:val="RectoFooter"/>
          </w:pPr>
          <w:r>
            <w:t>models of care in forensic mental health services:</w:t>
          </w:r>
          <w:r>
            <w:br/>
            <w:t>a review of the international and national literature</w:t>
          </w:r>
        </w:p>
      </w:tc>
      <w:tc>
        <w:tcPr>
          <w:tcW w:w="709" w:type="dxa"/>
          <w:vAlign w:val="center"/>
        </w:tcPr>
        <w:p w14:paraId="16A5D240" w14:textId="77777777" w:rsidR="00033702" w:rsidRPr="00931466" w:rsidRDefault="00033702"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93</w:t>
          </w:r>
          <w:r w:rsidRPr="00931466">
            <w:rPr>
              <w:rStyle w:val="PageNumber"/>
            </w:rPr>
            <w:fldChar w:fldCharType="end"/>
          </w:r>
        </w:p>
      </w:tc>
    </w:tr>
  </w:tbl>
  <w:p w14:paraId="24B886E4" w14:textId="77777777" w:rsidR="00033702" w:rsidRPr="00581EB8" w:rsidRDefault="00033702"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8F18C" w14:textId="77777777" w:rsidR="00033702" w:rsidRDefault="00033702"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36D9A" w14:textId="77777777" w:rsidR="00033702" w:rsidRDefault="000337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033702" w14:paraId="34EC807E" w14:textId="77777777" w:rsidTr="006E2886">
      <w:trPr>
        <w:cantSplit/>
      </w:trPr>
      <w:tc>
        <w:tcPr>
          <w:tcW w:w="709" w:type="dxa"/>
          <w:vAlign w:val="center"/>
        </w:tcPr>
        <w:p w14:paraId="4765B334" w14:textId="77777777" w:rsidR="00033702" w:rsidRPr="00931466" w:rsidRDefault="00033702"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iv</w:t>
          </w:r>
          <w:r w:rsidRPr="00931466">
            <w:rPr>
              <w:rStyle w:val="PageNumber"/>
            </w:rPr>
            <w:fldChar w:fldCharType="end"/>
          </w:r>
        </w:p>
      </w:tc>
      <w:tc>
        <w:tcPr>
          <w:tcW w:w="8080" w:type="dxa"/>
          <w:vAlign w:val="center"/>
        </w:tcPr>
        <w:p w14:paraId="2398B88B" w14:textId="77777777" w:rsidR="00033702" w:rsidRDefault="00033702" w:rsidP="006E2886">
          <w:pPr>
            <w:pStyle w:val="RectoFooter"/>
            <w:jc w:val="left"/>
          </w:pPr>
          <w:r>
            <w:t>[title]: [subhead]</w:t>
          </w:r>
        </w:p>
      </w:tc>
    </w:tr>
  </w:tbl>
  <w:p w14:paraId="700A2D00" w14:textId="77777777" w:rsidR="00033702" w:rsidRPr="00571223" w:rsidRDefault="00033702"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8080"/>
      <w:gridCol w:w="709"/>
    </w:tblGrid>
    <w:tr w:rsidR="00033702" w14:paraId="128D81D0" w14:textId="77777777" w:rsidTr="006B62E6">
      <w:trPr>
        <w:cantSplit/>
      </w:trPr>
      <w:tc>
        <w:tcPr>
          <w:tcW w:w="8080" w:type="dxa"/>
          <w:vAlign w:val="center"/>
        </w:tcPr>
        <w:p w14:paraId="67609B89" w14:textId="77777777" w:rsidR="00033702" w:rsidRDefault="00033702" w:rsidP="00633C48">
          <w:pPr>
            <w:pStyle w:val="RectoFooter"/>
          </w:pPr>
          <w:r>
            <w:t>models of care in forensic mental health services:</w:t>
          </w:r>
          <w:r>
            <w:br/>
            <w:t>a review of the international and national literature</w:t>
          </w:r>
        </w:p>
      </w:tc>
      <w:tc>
        <w:tcPr>
          <w:tcW w:w="709" w:type="dxa"/>
          <w:vAlign w:val="center"/>
        </w:tcPr>
        <w:p w14:paraId="003BD601" w14:textId="77777777" w:rsidR="00033702" w:rsidRPr="00931466" w:rsidRDefault="00033702"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iii</w:t>
          </w:r>
          <w:r w:rsidRPr="00931466">
            <w:rPr>
              <w:rStyle w:val="PageNumber"/>
            </w:rPr>
            <w:fldChar w:fldCharType="end"/>
          </w:r>
        </w:p>
      </w:tc>
    </w:tr>
  </w:tbl>
  <w:p w14:paraId="59B9CACD" w14:textId="77777777" w:rsidR="00033702" w:rsidRPr="00581EB8" w:rsidRDefault="00033702"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93E68" w14:textId="77777777" w:rsidR="00033702" w:rsidRPr="00571223" w:rsidRDefault="00033702"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89" w:type="dxa"/>
      <w:tblLook w:val="04A0" w:firstRow="1" w:lastRow="0" w:firstColumn="1" w:lastColumn="0" w:noHBand="0" w:noVBand="1"/>
    </w:tblPr>
    <w:tblGrid>
      <w:gridCol w:w="8046"/>
      <w:gridCol w:w="567"/>
      <w:gridCol w:w="1276"/>
    </w:tblGrid>
    <w:tr w:rsidR="00033702" w14:paraId="6C28406B" w14:textId="77777777" w:rsidTr="007920E2">
      <w:tc>
        <w:tcPr>
          <w:tcW w:w="8046" w:type="dxa"/>
          <w:vAlign w:val="center"/>
        </w:tcPr>
        <w:p w14:paraId="1F9F41E9" w14:textId="77777777" w:rsidR="00033702" w:rsidRDefault="00033702" w:rsidP="00926083">
          <w:pPr>
            <w:pStyle w:val="RectoFooter"/>
          </w:pPr>
          <w:r>
            <w:t>[TITLE]</w:t>
          </w:r>
        </w:p>
      </w:tc>
      <w:tc>
        <w:tcPr>
          <w:tcW w:w="567" w:type="dxa"/>
          <w:vAlign w:val="center"/>
        </w:tcPr>
        <w:p w14:paraId="3BB043E3" w14:textId="77777777" w:rsidR="00033702" w:rsidRPr="00931466" w:rsidRDefault="00033702"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c>
        <w:tcPr>
          <w:tcW w:w="1276" w:type="dxa"/>
          <w:shd w:val="clear" w:color="auto" w:fill="auto"/>
          <w:vAlign w:val="center"/>
        </w:tcPr>
        <w:p w14:paraId="742936CD" w14:textId="77777777" w:rsidR="00033702" w:rsidRPr="00931466" w:rsidRDefault="00033702" w:rsidP="00931466">
          <w:pPr>
            <w:pStyle w:val="Footer"/>
            <w:jc w:val="right"/>
            <w:rPr>
              <w:sz w:val="15"/>
              <w:szCs w:val="15"/>
            </w:rPr>
          </w:pPr>
        </w:p>
      </w:tc>
    </w:tr>
  </w:tbl>
  <w:p w14:paraId="5F3C4314" w14:textId="77777777" w:rsidR="00033702" w:rsidRPr="00581EB8" w:rsidRDefault="00033702"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033702" w14:paraId="133F9E79" w14:textId="77777777" w:rsidTr="00D662F8">
      <w:trPr>
        <w:cantSplit/>
      </w:trPr>
      <w:tc>
        <w:tcPr>
          <w:tcW w:w="709" w:type="dxa"/>
          <w:vAlign w:val="center"/>
        </w:tcPr>
        <w:p w14:paraId="60DED1A6" w14:textId="77777777" w:rsidR="00033702" w:rsidRPr="00931466" w:rsidRDefault="00033702"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5F1DBF45" w14:textId="77777777" w:rsidR="00033702" w:rsidRDefault="00033702" w:rsidP="00B02D1E">
          <w:pPr>
            <w:pStyle w:val="RectoFooter"/>
            <w:jc w:val="left"/>
          </w:pPr>
          <w:r>
            <w:t>models of care in forensic mental health services:</w:t>
          </w:r>
          <w:r>
            <w:br/>
            <w:t>a review of the international and national literature</w:t>
          </w:r>
        </w:p>
      </w:tc>
    </w:tr>
  </w:tbl>
  <w:p w14:paraId="0AAF4AB9" w14:textId="77777777" w:rsidR="00033702" w:rsidRPr="00571223" w:rsidRDefault="00033702"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8080"/>
      <w:gridCol w:w="709"/>
    </w:tblGrid>
    <w:tr w:rsidR="00033702" w14:paraId="2FD933AC" w14:textId="77777777" w:rsidTr="006E2886">
      <w:trPr>
        <w:cantSplit/>
      </w:trPr>
      <w:tc>
        <w:tcPr>
          <w:tcW w:w="8080" w:type="dxa"/>
          <w:vAlign w:val="center"/>
        </w:tcPr>
        <w:p w14:paraId="7B388BB8" w14:textId="77777777" w:rsidR="00033702" w:rsidRDefault="00033702" w:rsidP="00633C48">
          <w:pPr>
            <w:pStyle w:val="RectoFooter"/>
          </w:pPr>
          <w:r>
            <w:t>models of care in forensic mental health services:</w:t>
          </w:r>
          <w:r>
            <w:br/>
            <w:t>a review of the international and national literature</w:t>
          </w:r>
        </w:p>
      </w:tc>
      <w:tc>
        <w:tcPr>
          <w:tcW w:w="709" w:type="dxa"/>
          <w:vAlign w:val="center"/>
        </w:tcPr>
        <w:p w14:paraId="43550623" w14:textId="77777777" w:rsidR="00033702" w:rsidRPr="00931466" w:rsidRDefault="00033702"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3AA027D9" w14:textId="77777777" w:rsidR="00033702" w:rsidRPr="00581EB8" w:rsidRDefault="00033702"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70514B" w14:textId="77777777" w:rsidR="002C1FB3" w:rsidRPr="00A26E6B" w:rsidRDefault="002C1FB3" w:rsidP="00A26E6B"/>
  </w:footnote>
  <w:footnote w:type="continuationSeparator" w:id="0">
    <w:p w14:paraId="09E97529" w14:textId="77777777" w:rsidR="002C1FB3" w:rsidRDefault="002C1FB3">
      <w:r>
        <w:continuationSeparator/>
      </w:r>
    </w:p>
    <w:p w14:paraId="5C40552C" w14:textId="77777777" w:rsidR="002C1FB3" w:rsidRDefault="002C1FB3"/>
  </w:footnote>
  <w:footnote w:id="1">
    <w:p w14:paraId="5F16F151" w14:textId="77777777" w:rsidR="00033702" w:rsidRPr="008D19CC" w:rsidRDefault="00033702" w:rsidP="00967EEE">
      <w:pPr>
        <w:pStyle w:val="FootnoteText"/>
      </w:pPr>
      <w:r w:rsidRPr="00967EEE">
        <w:rPr>
          <w:rStyle w:val="FootnoteReference"/>
        </w:rPr>
        <w:footnoteRef/>
      </w:r>
      <w:r>
        <w:tab/>
      </w:r>
      <w:r w:rsidRPr="008D19CC">
        <w:t xml:space="preserve">Within FMHS literature and practice, various terms are used for </w:t>
      </w:r>
      <w:r>
        <w:t>‘</w:t>
      </w:r>
      <w:r w:rsidRPr="008D19CC">
        <w:t>service user</w:t>
      </w:r>
      <w:r>
        <w:t>’</w:t>
      </w:r>
      <w:r w:rsidRPr="008D19CC">
        <w:t xml:space="preserve">, including </w:t>
      </w:r>
      <w:r>
        <w:t>‘</w:t>
      </w:r>
      <w:r w:rsidRPr="008D19CC">
        <w:t>mentally disordered offender</w:t>
      </w:r>
      <w:r>
        <w:t>’</w:t>
      </w:r>
      <w:r w:rsidRPr="008D19CC">
        <w:t xml:space="preserve">, </w:t>
      </w:r>
      <w:r>
        <w:t>‘</w:t>
      </w:r>
      <w:r w:rsidRPr="008D19CC">
        <w:t>patient</w:t>
      </w:r>
      <w:r>
        <w:t>’</w:t>
      </w:r>
      <w:r w:rsidRPr="008D19CC">
        <w:t xml:space="preserve">, </w:t>
      </w:r>
      <w:r>
        <w:t>‘</w:t>
      </w:r>
      <w:r w:rsidRPr="008D19CC">
        <w:t>consumer</w:t>
      </w:r>
      <w:r>
        <w:t>’</w:t>
      </w:r>
      <w:r w:rsidRPr="008D19CC">
        <w:t xml:space="preserve">, </w:t>
      </w:r>
      <w:r>
        <w:t>‘</w:t>
      </w:r>
      <w:r w:rsidRPr="008D19CC">
        <w:t>client</w:t>
      </w:r>
      <w:r>
        <w:t>’</w:t>
      </w:r>
      <w:r w:rsidRPr="008D19CC">
        <w:t xml:space="preserve"> or, in the Aotearoa New Zealand context, </w:t>
      </w:r>
      <w:r>
        <w:t>‘</w:t>
      </w:r>
      <w:r w:rsidRPr="008D19CC">
        <w:t>t</w:t>
      </w:r>
      <w:r>
        <w:t>ā</w:t>
      </w:r>
      <w:r w:rsidRPr="008D19CC">
        <w:t>ngata whai i te ora</w:t>
      </w:r>
      <w:r>
        <w:t>’</w:t>
      </w:r>
      <w:r w:rsidRPr="008D19CC">
        <w:t xml:space="preserve"> or, more colloquially, </w:t>
      </w:r>
      <w:r>
        <w:t>‘</w:t>
      </w:r>
      <w:r w:rsidRPr="008D19CC">
        <w:t>whai ora</w:t>
      </w:r>
      <w:r>
        <w:t>’</w:t>
      </w:r>
      <w:r w:rsidRPr="008D19CC">
        <w:t xml:space="preserve"> (</w:t>
      </w:r>
      <w:r>
        <w:t>‘</w:t>
      </w:r>
      <w:r w:rsidRPr="008D19CC">
        <w:t>person in pursuit of wellness</w:t>
      </w:r>
      <w:r>
        <w:t>’</w:t>
      </w:r>
      <w:r w:rsidRPr="008D19CC">
        <w:t xml:space="preserve"> in te reo Māori). Within the context of this review, </w:t>
      </w:r>
      <w:r>
        <w:t>‘</w:t>
      </w:r>
      <w:r w:rsidRPr="008D19CC">
        <w:t>service user</w:t>
      </w:r>
      <w:r>
        <w:t>’</w:t>
      </w:r>
      <w:r w:rsidRPr="008D19CC">
        <w:t xml:space="preserve"> implies an individual receiving treatment within an inpatient forensic mental health facility. The circumstances of this treatment vary due to the wide-ranging nature of offending and the various legal pathways through which individuals are placed in inpatient units; typically, individuals are subject to compulsive or mandatory treatment within the legal and clinical frameworks governing care.</w:t>
      </w:r>
    </w:p>
  </w:footnote>
  <w:footnote w:id="2">
    <w:p w14:paraId="0E349090" w14:textId="77777777" w:rsidR="00033702" w:rsidRPr="008D19CC" w:rsidRDefault="00033702" w:rsidP="00967EEE">
      <w:pPr>
        <w:pStyle w:val="FootnoteText"/>
      </w:pPr>
      <w:r w:rsidRPr="00967EEE">
        <w:rPr>
          <w:rStyle w:val="FootnoteReference"/>
        </w:rPr>
        <w:footnoteRef/>
      </w:r>
      <w:r>
        <w:tab/>
      </w:r>
      <w:r w:rsidRPr="008D19CC">
        <w:t xml:space="preserve">Auckland </w:t>
      </w:r>
      <w:bookmarkStart w:id="19" w:name="_Hlk19339554"/>
      <w:r w:rsidRPr="008D19CC">
        <w:t>Regional Forensic Psychiatry Services</w:t>
      </w:r>
      <w:bookmarkEnd w:id="19"/>
      <w:r w:rsidRPr="008D19CC">
        <w:t>, Midland Regional Forensic Psychiatry Services (Puawai), Central Regional Forensic and Rehabilitation Services (Te Korowai Whāriki), Canterbury Regional Psychiatric Services and Southern Regional Forensic Mental Health Services.</w:t>
      </w:r>
    </w:p>
  </w:footnote>
  <w:footnote w:id="3">
    <w:p w14:paraId="119A9984" w14:textId="77777777" w:rsidR="00033702" w:rsidRPr="008D19CC" w:rsidRDefault="00033702" w:rsidP="00967EEE">
      <w:pPr>
        <w:pStyle w:val="FootnoteText"/>
      </w:pPr>
      <w:r w:rsidRPr="00967EEE">
        <w:rPr>
          <w:rStyle w:val="FootnoteReference"/>
        </w:rPr>
        <w:footnoteRef/>
      </w:r>
      <w:r>
        <w:tab/>
      </w:r>
      <w:r w:rsidRPr="008D19CC">
        <w:t>The development of formalised kaupapa Māori services did not start in earnest until the late 1990s, and began operating in inpatient FMHSs in 2006. Gaps in service provision within the forensic pathway and between the regions persist (Sweetman 2017).</w:t>
      </w:r>
    </w:p>
  </w:footnote>
  <w:footnote w:id="4">
    <w:p w14:paraId="73000F14" w14:textId="77777777" w:rsidR="00033702" w:rsidRPr="00EE0ADB" w:rsidRDefault="00033702" w:rsidP="00967EEE">
      <w:pPr>
        <w:pStyle w:val="FootnoteText"/>
      </w:pPr>
      <w:r w:rsidRPr="00967EEE">
        <w:rPr>
          <w:rStyle w:val="FootnoteReference"/>
        </w:rPr>
        <w:footnoteRef/>
      </w:r>
      <w:r>
        <w:tab/>
      </w:r>
      <w:r w:rsidRPr="00EE0ADB">
        <w:t xml:space="preserve">See the Lake Alice Hospital Website: </w:t>
      </w:r>
      <w:hyperlink r:id="rId1" w:history="1">
        <w:r w:rsidRPr="00967EEE">
          <w:rPr>
            <w:rStyle w:val="Hyperlink"/>
          </w:rPr>
          <w:t>www.lakealicehospital.com/history.html</w:t>
        </w:r>
      </w:hyperlink>
      <w:r w:rsidRPr="00EE0ADB">
        <w:t xml:space="preserve"> (accessed 11 October 2021).</w:t>
      </w:r>
    </w:p>
  </w:footnote>
  <w:footnote w:id="5">
    <w:p w14:paraId="644F5FF5" w14:textId="77777777" w:rsidR="00033702" w:rsidRPr="009545C4" w:rsidRDefault="00033702" w:rsidP="00967EEE">
      <w:pPr>
        <w:pStyle w:val="FootnoteText"/>
      </w:pPr>
      <w:r w:rsidRPr="00967EEE">
        <w:rPr>
          <w:rStyle w:val="FootnoteReference"/>
        </w:rPr>
        <w:footnoteRef/>
      </w:r>
      <w:r>
        <w:tab/>
      </w:r>
      <w:r w:rsidRPr="009545C4">
        <w:t>See the Ministry of Health</w:t>
      </w:r>
      <w:r>
        <w:t>’</w:t>
      </w:r>
      <w:r w:rsidRPr="009545C4">
        <w:t>s (2010) review of forensic services for more detailed discussion of the specific subpopulations of FMHS users, including Māori, Pacific peoples, youth, women, people with AOD disorders, people with personality disorders and people with intellectual disabilities.</w:t>
      </w:r>
    </w:p>
  </w:footnote>
  <w:footnote w:id="6">
    <w:p w14:paraId="54213735" w14:textId="77777777" w:rsidR="00033702" w:rsidRPr="001F74A5" w:rsidRDefault="00033702" w:rsidP="00CA1BC2">
      <w:pPr>
        <w:pStyle w:val="FootnoteText"/>
      </w:pPr>
      <w:r w:rsidRPr="00CA1BC2">
        <w:rPr>
          <w:rStyle w:val="FootnoteReference"/>
        </w:rPr>
        <w:footnoteRef/>
      </w:r>
      <w:r>
        <w:tab/>
      </w:r>
      <w:r w:rsidRPr="001F74A5">
        <w:t>The five beds for the Mason Clinic were taken out of the existing supply at the Porirua Campus. This was offset by an additional five beds being made available for forensic patients with long</w:t>
      </w:r>
      <w:r>
        <w:t>-</w:t>
      </w:r>
      <w:r w:rsidRPr="001F74A5">
        <w:t>term treatment needs at Stanford House in Wanganui</w:t>
      </w:r>
      <w:r>
        <w:t xml:space="preserve">, </w:t>
      </w:r>
      <w:r w:rsidRPr="001F74A5">
        <w:t xml:space="preserve">leaving the bed change in the Central </w:t>
      </w:r>
      <w:r>
        <w:t>region unchanged.</w:t>
      </w:r>
    </w:p>
  </w:footnote>
  <w:footnote w:id="7">
    <w:p w14:paraId="194FDA1A" w14:textId="77777777" w:rsidR="00033702" w:rsidRPr="00862AA7" w:rsidRDefault="00033702" w:rsidP="00CA1BC2">
      <w:pPr>
        <w:pStyle w:val="FootnoteText"/>
        <w:rPr>
          <w:lang w:val="mi-NZ"/>
        </w:rPr>
      </w:pPr>
      <w:r w:rsidRPr="00CA1BC2">
        <w:rPr>
          <w:rStyle w:val="FootnoteReference"/>
        </w:rPr>
        <w:footnoteRef/>
      </w:r>
      <w:r>
        <w:tab/>
      </w:r>
      <w:r w:rsidRPr="00523C2B">
        <w:t>These figures do not include the additional 279 beds dispersed across the prison network via double bunking.</w:t>
      </w:r>
    </w:p>
  </w:footnote>
  <w:footnote w:id="8">
    <w:p w14:paraId="276ED5DD" w14:textId="77777777" w:rsidR="00033702" w:rsidRPr="001F74A5" w:rsidRDefault="00033702" w:rsidP="00CA1BC2">
      <w:pPr>
        <w:pStyle w:val="FootnoteText"/>
      </w:pPr>
      <w:r w:rsidRPr="00CA1BC2">
        <w:rPr>
          <w:rStyle w:val="FootnoteReference"/>
        </w:rPr>
        <w:footnoteRef/>
      </w:r>
      <w:r>
        <w:tab/>
      </w:r>
      <w:r w:rsidRPr="001F74A5">
        <w:t xml:space="preserve">Includes </w:t>
      </w:r>
      <w:r>
        <w:t xml:space="preserve">district health board </w:t>
      </w:r>
      <w:r w:rsidRPr="001F74A5">
        <w:t xml:space="preserve">beds and 15 step-down beds run by </w:t>
      </w:r>
      <w:r>
        <w:t>non-governmental agencies</w:t>
      </w:r>
      <w:r w:rsidRPr="001F74A5">
        <w:t>.</w:t>
      </w:r>
    </w:p>
  </w:footnote>
  <w:footnote w:id="9">
    <w:p w14:paraId="620F3E86" w14:textId="77777777" w:rsidR="00033702" w:rsidRPr="00862AA7" w:rsidRDefault="00033702" w:rsidP="00CA1BC2">
      <w:pPr>
        <w:pStyle w:val="FootnoteText"/>
      </w:pPr>
      <w:r w:rsidRPr="00CA1BC2">
        <w:rPr>
          <w:rStyle w:val="FootnoteReference"/>
        </w:rPr>
        <w:footnoteRef/>
      </w:r>
      <w:r>
        <w:tab/>
        <w:t>Thirty-eight</w:t>
      </w:r>
      <w:r w:rsidRPr="001F74A5">
        <w:t xml:space="preserve"> beds are funded</w:t>
      </w:r>
      <w:r>
        <w:t>,</w:t>
      </w:r>
      <w:r w:rsidRPr="001F74A5">
        <w:t xml:space="preserve"> but this includes one seclusion bed which is rarely used.</w:t>
      </w:r>
    </w:p>
  </w:footnote>
  <w:footnote w:id="10">
    <w:p w14:paraId="7DDE8034" w14:textId="77777777" w:rsidR="00033702" w:rsidRPr="001F74A5" w:rsidRDefault="00033702" w:rsidP="00CA1BC2">
      <w:pPr>
        <w:pStyle w:val="FootnoteText"/>
      </w:pPr>
      <w:r w:rsidRPr="00CA1BC2">
        <w:rPr>
          <w:rStyle w:val="FootnoteReference"/>
        </w:rPr>
        <w:footnoteRef/>
      </w:r>
      <w:r>
        <w:tab/>
        <w:t xml:space="preserve">The muster for 2018 was </w:t>
      </w:r>
      <w:r w:rsidRPr="001F74A5">
        <w:t>691</w:t>
      </w:r>
      <w:r>
        <w:t xml:space="preserve">. </w:t>
      </w:r>
      <w:r w:rsidRPr="001F74A5">
        <w:t xml:space="preserve">It </w:t>
      </w:r>
      <w:r>
        <w:t>is</w:t>
      </w:r>
      <w:r w:rsidRPr="001F74A5">
        <w:t xml:space="preserve"> unlikely</w:t>
      </w:r>
      <w:r>
        <w:t>,</w:t>
      </w:r>
      <w:r w:rsidRPr="001F74A5">
        <w:t xml:space="preserve"> given </w:t>
      </w:r>
      <w:r>
        <w:t xml:space="preserve">data for </w:t>
      </w:r>
      <w:r w:rsidRPr="001F74A5">
        <w:t xml:space="preserve">the past </w:t>
      </w:r>
      <w:r>
        <w:t xml:space="preserve">five </w:t>
      </w:r>
      <w:r w:rsidRPr="001F74A5">
        <w:t>years</w:t>
      </w:r>
      <w:r>
        <w:t>,</w:t>
      </w:r>
      <w:r w:rsidRPr="001F74A5">
        <w:t xml:space="preserve"> demonstrating </w:t>
      </w:r>
      <w:r>
        <w:t xml:space="preserve">a </w:t>
      </w:r>
      <w:r w:rsidRPr="001F74A5">
        <w:t xml:space="preserve">steady increase, that the muster </w:t>
      </w:r>
      <w:r>
        <w:t>fell</w:t>
      </w:r>
      <w:r w:rsidRPr="001F74A5">
        <w:t xml:space="preserve"> between 2018 and 2019.</w:t>
      </w:r>
    </w:p>
  </w:footnote>
  <w:footnote w:id="11">
    <w:p w14:paraId="5BE94FD0" w14:textId="77777777" w:rsidR="00033702" w:rsidRDefault="00033702" w:rsidP="00CA1BC2">
      <w:pPr>
        <w:pStyle w:val="FootnoteText"/>
      </w:pPr>
      <w:r w:rsidRPr="00CA1BC2">
        <w:rPr>
          <w:rStyle w:val="FootnoteReference"/>
        </w:rPr>
        <w:footnoteRef/>
      </w:r>
      <w:r>
        <w:tab/>
        <w:t>District health boards collect HONOS data. The data set is incomplete in that approximately one-third of the data has been collected without a recorded diagnosis (ie, a rating of ‘diagnosis deferred’).</w:t>
      </w:r>
    </w:p>
  </w:footnote>
  <w:footnote w:id="12">
    <w:p w14:paraId="20A7C165" w14:textId="77777777" w:rsidR="00033702" w:rsidRPr="00776BBC" w:rsidRDefault="00033702" w:rsidP="00CA1BC2">
      <w:pPr>
        <w:pStyle w:val="FootnoteText"/>
      </w:pPr>
      <w:r w:rsidRPr="00CA1BC2">
        <w:rPr>
          <w:rStyle w:val="FootnoteReference"/>
        </w:rPr>
        <w:footnoteRef/>
      </w:r>
      <w:r>
        <w:tab/>
        <w:t>These disorders i</w:t>
      </w:r>
      <w:r w:rsidRPr="00776BBC">
        <w:t>nclude schizophrenia, bipolar mood disorder with psychosis, schizoaffective disorder, psychotic disorder n</w:t>
      </w:r>
      <w:r>
        <w:t>ot otherwise specified and delusional disorder.</w:t>
      </w:r>
    </w:p>
  </w:footnote>
  <w:footnote w:id="13">
    <w:p w14:paraId="5EB30992" w14:textId="77777777" w:rsidR="00033702" w:rsidRPr="001C3F23" w:rsidRDefault="00033702" w:rsidP="00CA1BC2">
      <w:pPr>
        <w:pStyle w:val="FootnoteText"/>
      </w:pPr>
      <w:r w:rsidRPr="00CA1BC2">
        <w:rPr>
          <w:rStyle w:val="FootnoteReference"/>
        </w:rPr>
        <w:footnoteRef/>
      </w:r>
      <w:bookmarkStart w:id="25" w:name="_Hlk84843033"/>
      <w:r>
        <w:tab/>
      </w:r>
      <w:r w:rsidRPr="001C3F23">
        <w:t>See Section 2: Inpatient review f</w:t>
      </w:r>
      <w:bookmarkEnd w:id="25"/>
      <w:r>
        <w:t>or a description of this model.</w:t>
      </w:r>
    </w:p>
  </w:footnote>
  <w:footnote w:id="14">
    <w:p w14:paraId="158303A1" w14:textId="77777777" w:rsidR="00033702" w:rsidRPr="00B4792A" w:rsidRDefault="00033702" w:rsidP="0078769F">
      <w:pPr>
        <w:pStyle w:val="FootnoteText"/>
      </w:pPr>
      <w:r w:rsidRPr="0078769F">
        <w:rPr>
          <w:rStyle w:val="FootnoteReference"/>
        </w:rPr>
        <w:footnoteRef/>
      </w:r>
      <w:r>
        <w:tab/>
      </w:r>
      <w:r w:rsidRPr="00B4792A">
        <w:t xml:space="preserve">See also Brinded and Evans (2007) for a more detailed description of the structure of prison mental health service delivery in the regions. Brinded and Evans describe this slightly differently. They say five regional forensic services have multidisciplinary teams based within community forensic mental health services providing mental health care in prisons. For the four regional services outside of Auckland, prisoners are seen in both nurse and psychiatrist-led prison clinics. Only Auckland has a separate </w:t>
      </w:r>
      <w:r>
        <w:t>“</w:t>
      </w:r>
      <w:r w:rsidRPr="00B4792A">
        <w:t>prison team</w:t>
      </w:r>
      <w:r>
        <w:t>”</w:t>
      </w:r>
      <w:r w:rsidRPr="00B4792A">
        <w:t xml:space="preserve"> that provides assessment/treatment services in regional prisons, with attached forensic psychiatrists working solely in this capacity as opposed to having additional or primary inpatient or outpatient treatment roles</w:t>
      </w:r>
      <w:r>
        <w:t xml:space="preserve"> (p. </w:t>
      </w:r>
      <w:r w:rsidRPr="00B4792A">
        <w:t>435).</w:t>
      </w:r>
    </w:p>
  </w:footnote>
  <w:footnote w:id="15">
    <w:p w14:paraId="5E2EE5F1" w14:textId="77777777" w:rsidR="00033702" w:rsidRPr="000D244E" w:rsidRDefault="00033702" w:rsidP="0078769F">
      <w:pPr>
        <w:pStyle w:val="FootnoteText"/>
      </w:pPr>
      <w:r w:rsidRPr="0078769F">
        <w:rPr>
          <w:rStyle w:val="FootnoteReference"/>
        </w:rPr>
        <w:footnoteRef/>
      </w:r>
      <w:r>
        <w:tab/>
      </w:r>
      <w:r w:rsidRPr="000D244E">
        <w:t>See Section 4: Prison review for further description of this model.</w:t>
      </w:r>
    </w:p>
  </w:footnote>
  <w:footnote w:id="16">
    <w:p w14:paraId="48384011" w14:textId="77777777" w:rsidR="00033702" w:rsidRPr="00981F49" w:rsidRDefault="00033702" w:rsidP="0078769F">
      <w:pPr>
        <w:pStyle w:val="FootnoteText"/>
      </w:pPr>
      <w:r w:rsidRPr="0078769F">
        <w:rPr>
          <w:rStyle w:val="FootnoteReference"/>
        </w:rPr>
        <w:footnoteRef/>
      </w:r>
      <w:r>
        <w:tab/>
      </w:r>
      <w:r w:rsidRPr="00981F49">
        <w:t>See McKenna and Seaton (2007) for a more detailed descriptio</w:t>
      </w:r>
      <w:r>
        <w:t>n of the court liaison process.</w:t>
      </w:r>
    </w:p>
  </w:footnote>
  <w:footnote w:id="17">
    <w:p w14:paraId="30FEAD22" w14:textId="77777777" w:rsidR="00033702" w:rsidRPr="00157820" w:rsidRDefault="00033702" w:rsidP="0078769F">
      <w:pPr>
        <w:pStyle w:val="FootnoteText"/>
      </w:pPr>
      <w:r w:rsidRPr="0078769F">
        <w:rPr>
          <w:rStyle w:val="FootnoteReference"/>
        </w:rPr>
        <w:footnoteRef/>
      </w:r>
      <w:r>
        <w:tab/>
      </w:r>
      <w:r w:rsidRPr="00157820">
        <w:t>Specific search terms and results are presented in the Meth</w:t>
      </w:r>
      <w:r>
        <w:t>odology section of each review.</w:t>
      </w:r>
    </w:p>
  </w:footnote>
  <w:footnote w:id="18">
    <w:p w14:paraId="3544CCD7" w14:textId="77777777" w:rsidR="00033702" w:rsidRPr="00192DC1" w:rsidRDefault="00033702" w:rsidP="00A02C50">
      <w:pPr>
        <w:pStyle w:val="FootnoteText"/>
      </w:pPr>
      <w:r w:rsidRPr="00A02C50">
        <w:rPr>
          <w:rStyle w:val="FootnoteReference"/>
        </w:rPr>
        <w:footnoteRef/>
      </w:r>
      <w:r>
        <w:tab/>
      </w:r>
      <w:r w:rsidRPr="00192DC1">
        <w:t>See Barnao and Ward (2015) and Nicholls and Goossens (2017) for a more comprehensive discussion of evidence-based interventions, and the latter for an overview of the forensi</w:t>
      </w:r>
      <w:r>
        <w:t>c inpatient population as well.</w:t>
      </w:r>
    </w:p>
  </w:footnote>
  <w:footnote w:id="19">
    <w:p w14:paraId="2B7325A1" w14:textId="77777777" w:rsidR="00033702" w:rsidRPr="00981F49" w:rsidRDefault="00033702" w:rsidP="00AD0D58">
      <w:pPr>
        <w:pStyle w:val="FootnoteText"/>
      </w:pPr>
      <w:r w:rsidRPr="00AD0D58">
        <w:rPr>
          <w:rStyle w:val="FootnoteReference"/>
        </w:rPr>
        <w:footnoteRef/>
      </w:r>
      <w:r>
        <w:tab/>
      </w:r>
      <w:r w:rsidRPr="00981F49">
        <w:t>For specific environmental, relational and procedural security guidelines for high, medium and low secure units, as well as open wards and forensic communit</w:t>
      </w:r>
      <w:r>
        <w:t>y services, see Kennedy (2002).</w:t>
      </w:r>
    </w:p>
  </w:footnote>
  <w:footnote w:id="20">
    <w:p w14:paraId="7B775CF0" w14:textId="77777777" w:rsidR="00033702" w:rsidRPr="00192DC1" w:rsidRDefault="00033702" w:rsidP="00AD0D58">
      <w:pPr>
        <w:pStyle w:val="FootnoteText"/>
      </w:pPr>
      <w:r w:rsidRPr="00AD0D58">
        <w:rPr>
          <w:rStyle w:val="FootnoteReference"/>
        </w:rPr>
        <w:footnoteRef/>
      </w:r>
      <w:r>
        <w:tab/>
      </w:r>
      <w:r w:rsidRPr="00192DC1">
        <w:t>For further discussion on the interface between GMHSs and FMHSs, see, for example, Mullen and Ogloff (2009), discussing servic</w:t>
      </w:r>
      <w:r>
        <w:t>es in Victoria, Australia.</w:t>
      </w:r>
    </w:p>
  </w:footnote>
  <w:footnote w:id="21">
    <w:p w14:paraId="2D356005" w14:textId="77777777" w:rsidR="00033702" w:rsidRPr="00192DC1" w:rsidRDefault="00033702" w:rsidP="00BC1167">
      <w:pPr>
        <w:pStyle w:val="FootnoteText"/>
      </w:pPr>
      <w:r w:rsidRPr="00BC1167">
        <w:rPr>
          <w:rStyle w:val="FootnoteReference"/>
        </w:rPr>
        <w:footnoteRef/>
      </w:r>
      <w:r>
        <w:tab/>
      </w:r>
      <w:r w:rsidRPr="00192DC1">
        <w:t xml:space="preserve">Barnao </w:t>
      </w:r>
      <w:r>
        <w:t>et al</w:t>
      </w:r>
      <w:r w:rsidRPr="00192DC1">
        <w:t xml:space="preserve"> (2016b) define </w:t>
      </w:r>
      <w:r>
        <w:t>“</w:t>
      </w:r>
      <w:r w:rsidRPr="00192DC1">
        <w:t>primary goods</w:t>
      </w:r>
      <w:r>
        <w:t>”</w:t>
      </w:r>
      <w:r w:rsidRPr="00192DC1">
        <w:t xml:space="preserve"> as </w:t>
      </w:r>
      <w:r>
        <w:t>“</w:t>
      </w:r>
      <w:r w:rsidRPr="00192DC1">
        <w:t>activities, experiences, and/or situations that are sought for their own sake and that benefit individuals and increase their sense of fulfilment and happiness</w:t>
      </w:r>
      <w:r>
        <w:t>” (p. </w:t>
      </w:r>
      <w:r w:rsidRPr="00192DC1">
        <w:t>290). The authors suggest the existence of at least 11 primary goods: life, knowledge, excellence in play, excellence in work, agency, inner peace, friendship, community, spirituality, happiness and creativity.</w:t>
      </w:r>
    </w:p>
  </w:footnote>
  <w:footnote w:id="22">
    <w:p w14:paraId="73B16AF7" w14:textId="77777777" w:rsidR="00033702" w:rsidRPr="00192DC1" w:rsidRDefault="00033702" w:rsidP="00BC1167">
      <w:pPr>
        <w:pStyle w:val="FootnoteText"/>
      </w:pPr>
      <w:r w:rsidRPr="00BC1167">
        <w:rPr>
          <w:rStyle w:val="FootnoteReference"/>
        </w:rPr>
        <w:footnoteRef/>
      </w:r>
      <w:r>
        <w:tab/>
      </w:r>
      <w:r w:rsidRPr="00192DC1">
        <w:t xml:space="preserve">For a more comprehensive description of the GLM model and its underlying theory as well as its applicability in FMHSs, see: Barnao 2010; Barnao </w:t>
      </w:r>
      <w:r>
        <w:t>et al</w:t>
      </w:r>
      <w:r w:rsidRPr="00192DC1">
        <w:t xml:space="preserve"> 2010; Barnao </w:t>
      </w:r>
      <w:r>
        <w:t>et al 2016b.</w:t>
      </w:r>
    </w:p>
  </w:footnote>
  <w:footnote w:id="23">
    <w:p w14:paraId="78618D0C" w14:textId="77777777" w:rsidR="00033702" w:rsidRPr="00192DC1" w:rsidRDefault="00033702" w:rsidP="006A69AB">
      <w:pPr>
        <w:pStyle w:val="FootnoteText"/>
      </w:pPr>
      <w:r w:rsidRPr="006A69AB">
        <w:rPr>
          <w:rStyle w:val="FootnoteReference"/>
        </w:rPr>
        <w:footnoteRef/>
      </w:r>
      <w:r>
        <w:tab/>
      </w:r>
      <w:r w:rsidRPr="00192DC1">
        <w:t xml:space="preserve">The most striking example of this trend is the case of Italy, which no longer has inpatient units and has a solely community-based FMHS. For further discussion, see Barbui </w:t>
      </w:r>
      <w:r>
        <w:t>et al</w:t>
      </w:r>
      <w:r w:rsidRPr="00192DC1">
        <w:t xml:space="preserve"> 2018; Carabellese and Felthous 2016; Castelletti </w:t>
      </w:r>
      <w:r>
        <w:t>et al</w:t>
      </w:r>
      <w:r w:rsidRPr="00192DC1">
        <w:t xml:space="preserve"> 2018; De Vito 2014; Ferracuti </w:t>
      </w:r>
      <w:r>
        <w:t>et al</w:t>
      </w:r>
      <w:r w:rsidRPr="00192DC1">
        <w:t xml:space="preserve"> 2019. </w:t>
      </w:r>
    </w:p>
  </w:footnote>
  <w:footnote w:id="24">
    <w:p w14:paraId="516D075C" w14:textId="77777777" w:rsidR="00033702" w:rsidRPr="00192DC1" w:rsidRDefault="00033702" w:rsidP="006A69AB">
      <w:pPr>
        <w:pStyle w:val="FootnoteText"/>
      </w:pPr>
      <w:r w:rsidRPr="006A69AB">
        <w:rPr>
          <w:rStyle w:val="FootnoteReference"/>
        </w:rPr>
        <w:footnoteRef/>
      </w:r>
      <w:r>
        <w:tab/>
      </w:r>
      <w:r w:rsidRPr="00192DC1">
        <w:t>See Buchanan and Wootton 2017 and Shuker and Ashmore 2014 for in-depth resources on the context an</w:t>
      </w:r>
      <w:r>
        <w:t>d provision of community FMHSs.</w:t>
      </w:r>
    </w:p>
  </w:footnote>
  <w:footnote w:id="25">
    <w:p w14:paraId="5EC033F4" w14:textId="77777777" w:rsidR="00033702" w:rsidRPr="00192DC1" w:rsidRDefault="00033702" w:rsidP="0012387C">
      <w:pPr>
        <w:pStyle w:val="FootnoteText"/>
      </w:pPr>
      <w:r w:rsidRPr="0012387C">
        <w:rPr>
          <w:rStyle w:val="FootnoteReference"/>
        </w:rPr>
        <w:footnoteRef/>
      </w:r>
      <w:r>
        <w:tab/>
      </w:r>
      <w:r w:rsidRPr="00192DC1">
        <w:t xml:space="preserve">Kenney-Herbert </w:t>
      </w:r>
      <w:r>
        <w:t>et al</w:t>
      </w:r>
      <w:r w:rsidRPr="00192DC1">
        <w:t xml:space="preserve"> (2013) provide a useful breakdown of specific functions, giving a greater level of detail of what a FMHS should include than most other sources. This includes standards for FMHS case management; referrals, consultative advice and specialist interventions; and care pathway management from secure settings.</w:t>
      </w:r>
    </w:p>
  </w:footnote>
  <w:footnote w:id="26">
    <w:p w14:paraId="0E960830" w14:textId="77777777" w:rsidR="00033702" w:rsidRPr="00192DC1" w:rsidRDefault="00033702" w:rsidP="0012387C">
      <w:pPr>
        <w:pStyle w:val="FootnoteText"/>
      </w:pPr>
      <w:r w:rsidRPr="0012387C">
        <w:rPr>
          <w:rStyle w:val="FootnoteReference"/>
        </w:rPr>
        <w:footnoteRef/>
      </w:r>
      <w:r>
        <w:tab/>
      </w:r>
      <w:r w:rsidRPr="00192DC1">
        <w:t xml:space="preserve">While outside the scope of this review, it is worth mentioning here that the only article in the search results to address women specifically within a community FMHS context examined the efficacy of high-support community-based step-down housing for women in the United Kingdom (Barr </w:t>
      </w:r>
      <w:r>
        <w:t>et al 2013).</w:t>
      </w:r>
    </w:p>
  </w:footnote>
  <w:footnote w:id="27">
    <w:p w14:paraId="2CC4C62C" w14:textId="77777777" w:rsidR="00033702" w:rsidRPr="00192DC1" w:rsidRDefault="00033702" w:rsidP="003D0BB1">
      <w:pPr>
        <w:pStyle w:val="FootnoteText"/>
      </w:pPr>
      <w:r w:rsidRPr="003D0BB1">
        <w:rPr>
          <w:rStyle w:val="FootnoteReference"/>
        </w:rPr>
        <w:footnoteRef/>
      </w:r>
      <w:r>
        <w:tab/>
      </w:r>
      <w:r w:rsidRPr="00192DC1">
        <w:t xml:space="preserve">However, it is important to note the substantial issues prevalent in primary mental health service provision within prisons, which </w:t>
      </w:r>
      <w:r>
        <w:t>‘</w:t>
      </w:r>
      <w:r w:rsidRPr="00192DC1">
        <w:t>have historically been underfunded and underdeveloped, and … have faced significant difficulties balancing clinical need with the need to maintain discipline and control</w:t>
      </w:r>
      <w:r>
        <w:t>’</w:t>
      </w:r>
      <w:r w:rsidRPr="00192DC1">
        <w:t xml:space="preserve"> (Forrester </w:t>
      </w:r>
      <w:r>
        <w:t>et al</w:t>
      </w:r>
      <w:r w:rsidRPr="00192DC1">
        <w:t xml:space="preserve"> 2018</w:t>
      </w:r>
      <w:r>
        <w:t>, p. </w:t>
      </w:r>
      <w:r w:rsidRPr="00192DC1">
        <w:t xml:space="preserve">105). See Forrester </w:t>
      </w:r>
      <w:r>
        <w:t>et al</w:t>
      </w:r>
      <w:r w:rsidRPr="00192DC1">
        <w:t xml:space="preserve"> (2018) for fu</w:t>
      </w:r>
      <w:r>
        <w:t>rther discussion of this issue.</w:t>
      </w:r>
    </w:p>
  </w:footnote>
  <w:footnote w:id="28">
    <w:p w14:paraId="13F34A52" w14:textId="77777777" w:rsidR="00033702" w:rsidRPr="00192DC1" w:rsidRDefault="00033702" w:rsidP="005752F5">
      <w:pPr>
        <w:pStyle w:val="FootnoteText"/>
      </w:pPr>
      <w:r w:rsidRPr="005752F5">
        <w:rPr>
          <w:rStyle w:val="FootnoteReference"/>
        </w:rPr>
        <w:footnoteRef/>
      </w:r>
      <w:r>
        <w:tab/>
      </w:r>
      <w:r w:rsidRPr="00192DC1">
        <w:t xml:space="preserve">Within the literature the researchers reviewed, there was a notable subset focusing on the role of probation services in supporting and/or delivering mental health services for prisoners after their release (eg, Bourne </w:t>
      </w:r>
      <w:r>
        <w:t>et al</w:t>
      </w:r>
      <w:r w:rsidRPr="00192DC1">
        <w:t xml:space="preserve"> 2015; Geelan </w:t>
      </w:r>
      <w:r>
        <w:t>et al</w:t>
      </w:r>
      <w:r w:rsidRPr="00192DC1">
        <w:t xml:space="preserve"> 2000; Sirdifield and Owen 2016; Skeem </w:t>
      </w:r>
      <w:r>
        <w:t>et al</w:t>
      </w:r>
      <w:r w:rsidRPr="00192DC1">
        <w:t xml:space="preserve"> 2003; Skeem and Louden 2006; Welsh </w:t>
      </w:r>
      <w:r>
        <w:t>et al</w:t>
      </w:r>
      <w:r w:rsidRPr="00192DC1">
        <w:t xml:space="preserve"> 2016; Wolff </w:t>
      </w:r>
      <w:r>
        <w:t>et al</w:t>
      </w:r>
      <w:r w:rsidRPr="00192DC1">
        <w:t xml:space="preserve"> 2014). Although included in the retained results for reference (and thus presented here), probation services are typically provided outside the mental health service in most cases and thus have not been furt</w:t>
      </w:r>
      <w:r>
        <w:t>her explicated here.</w:t>
      </w:r>
    </w:p>
  </w:footnote>
  <w:footnote w:id="29">
    <w:p w14:paraId="7776F870" w14:textId="77777777" w:rsidR="00033702" w:rsidRPr="00192DC1" w:rsidRDefault="00033702" w:rsidP="005752F5">
      <w:pPr>
        <w:pStyle w:val="FootnoteText"/>
      </w:pPr>
      <w:r w:rsidRPr="005752F5">
        <w:rPr>
          <w:rStyle w:val="FootnoteReference"/>
        </w:rPr>
        <w:footnoteRef/>
      </w:r>
      <w:r>
        <w:tab/>
      </w:r>
      <w:r w:rsidRPr="00192DC1">
        <w:t xml:space="preserve">For examples of specific programmes, see, for example: Angell </w:t>
      </w:r>
      <w:r>
        <w:t>et al</w:t>
      </w:r>
      <w:r w:rsidRPr="00192DC1">
        <w:t xml:space="preserve"> 2014; Draine </w:t>
      </w:r>
      <w:r>
        <w:t>et al</w:t>
      </w:r>
      <w:r w:rsidRPr="00192DC1">
        <w:t xml:space="preserve"> 2005; Hartwell and Orr 1999; Lamberti </w:t>
      </w:r>
      <w:r>
        <w:t>et al</w:t>
      </w:r>
      <w:r w:rsidRPr="00192DC1">
        <w:t xml:space="preserve"> 2001; Lee </w:t>
      </w:r>
      <w:r>
        <w:t>et al</w:t>
      </w:r>
      <w:r w:rsidRPr="00192DC1">
        <w:t xml:space="preserve"> 2019; Weisman </w:t>
      </w:r>
      <w:r>
        <w:t>et al</w:t>
      </w:r>
      <w:r w:rsidRPr="00192DC1">
        <w:t xml:space="preserve"> 2004.</w:t>
      </w:r>
    </w:p>
  </w:footnote>
  <w:footnote w:id="30">
    <w:p w14:paraId="2A25D9EC" w14:textId="77777777" w:rsidR="00033702" w:rsidRPr="00192DC1" w:rsidRDefault="00033702" w:rsidP="005752F5">
      <w:pPr>
        <w:pStyle w:val="FootnoteText"/>
      </w:pPr>
      <w:r w:rsidRPr="005752F5">
        <w:rPr>
          <w:rStyle w:val="FootnoteReference"/>
        </w:rPr>
        <w:footnoteRef/>
      </w:r>
      <w:r>
        <w:tab/>
      </w:r>
      <w:r w:rsidRPr="00192DC1">
        <w:t>Cultural services are also offered for Pacific peoples, though research is currently lacking on this topic.</w:t>
      </w:r>
    </w:p>
  </w:footnote>
  <w:footnote w:id="31">
    <w:p w14:paraId="092608AE" w14:textId="77777777" w:rsidR="00033702" w:rsidRPr="00192DC1" w:rsidRDefault="00033702" w:rsidP="005752F5">
      <w:pPr>
        <w:pStyle w:val="FootnoteText"/>
      </w:pPr>
      <w:r w:rsidRPr="005752F5">
        <w:rPr>
          <w:rStyle w:val="FootnoteReference"/>
        </w:rPr>
        <w:footnoteRef/>
      </w:r>
      <w:r>
        <w:tab/>
      </w:r>
      <w:r w:rsidRPr="00192DC1">
        <w:t>See Sweetman 2017 for further discussion of the development of kaupapa Māori servic</w:t>
      </w:r>
      <w:r>
        <w:t>es in the mental health sector.</w:t>
      </w:r>
    </w:p>
  </w:footnote>
  <w:footnote w:id="32">
    <w:p w14:paraId="1327BBCD" w14:textId="77777777" w:rsidR="00033702" w:rsidRPr="00F55F81" w:rsidRDefault="00033702" w:rsidP="00E60811">
      <w:pPr>
        <w:pStyle w:val="FootnoteText"/>
      </w:pPr>
      <w:r w:rsidRPr="00E60811">
        <w:rPr>
          <w:rStyle w:val="FootnoteReference"/>
        </w:rPr>
        <w:footnoteRef/>
      </w:r>
      <w:r>
        <w:tab/>
      </w:r>
      <w:r w:rsidRPr="00F55F81">
        <w:t xml:space="preserve">See Melnick </w:t>
      </w:r>
      <w:r>
        <w:t>et al</w:t>
      </w:r>
      <w:r w:rsidRPr="00F55F81">
        <w:t xml:space="preserve"> (2001) for further discussion of the use of therapeutic communities</w:t>
      </w:r>
      <w:r>
        <w:t xml:space="preserve"> for prisoners.</w:t>
      </w:r>
    </w:p>
  </w:footnote>
  <w:footnote w:id="33">
    <w:p w14:paraId="765C70F9" w14:textId="77777777" w:rsidR="00033702" w:rsidRPr="00F55F81" w:rsidRDefault="00033702" w:rsidP="00E60811">
      <w:pPr>
        <w:pStyle w:val="FootnoteText"/>
      </w:pPr>
      <w:r w:rsidRPr="00E60811">
        <w:rPr>
          <w:rStyle w:val="FootnoteReference"/>
        </w:rPr>
        <w:footnoteRef/>
      </w:r>
      <w:r>
        <w:tab/>
      </w:r>
      <w:r w:rsidRPr="00F55F81">
        <w:t>See de Vogel and Nicholls (2016) for a brief review of the literature.</w:t>
      </w:r>
    </w:p>
  </w:footnote>
  <w:footnote w:id="34">
    <w:p w14:paraId="536707ED" w14:textId="77777777" w:rsidR="00033702" w:rsidRPr="00F55F81" w:rsidRDefault="00033702" w:rsidP="00C82E84">
      <w:pPr>
        <w:pStyle w:val="FootnoteText"/>
      </w:pPr>
      <w:r w:rsidRPr="00C82E84">
        <w:rPr>
          <w:rStyle w:val="FootnoteReference"/>
        </w:rPr>
        <w:footnoteRef/>
      </w:r>
      <w:r>
        <w:tab/>
      </w:r>
      <w:r w:rsidRPr="00F55F81">
        <w:t xml:space="preserve">Some jurisdictions provide early intervention or </w:t>
      </w:r>
      <w:r>
        <w:t>‘</w:t>
      </w:r>
      <w:r w:rsidRPr="00F55F81">
        <w:t>precontact</w:t>
      </w:r>
      <w:r>
        <w:t>’</w:t>
      </w:r>
      <w:r w:rsidRPr="00F55F81">
        <w:t xml:space="preserve"> police liaison services to divert individuals to mental health services prior to court involvement. See McKenna and Seaton (2007) and Tarrant (2014) for further description of this in the New Zealand </w:t>
      </w:r>
      <w:r>
        <w:t>context.</w:t>
      </w:r>
    </w:p>
  </w:footnote>
  <w:footnote w:id="35">
    <w:p w14:paraId="32A7F886" w14:textId="77777777" w:rsidR="00033702" w:rsidRPr="00F55F81" w:rsidRDefault="00033702" w:rsidP="00C82E84">
      <w:pPr>
        <w:pStyle w:val="FootnoteText"/>
      </w:pPr>
      <w:r w:rsidRPr="00C82E84">
        <w:rPr>
          <w:rStyle w:val="FootnoteReference"/>
        </w:rPr>
        <w:footnoteRef/>
      </w:r>
      <w:r>
        <w:tab/>
      </w:r>
      <w:r w:rsidRPr="00F55F81">
        <w:t>For discussion on the various legislation governing mentally disordered offenders in New Zealand, see, for example, Brinded (2000) and Brookbanks and Simpson (2007).</w:t>
      </w:r>
    </w:p>
  </w:footnote>
  <w:footnote w:id="36">
    <w:p w14:paraId="70F5F5F5" w14:textId="77777777" w:rsidR="00033702" w:rsidRPr="00F55F81" w:rsidRDefault="00033702" w:rsidP="00C82E84">
      <w:pPr>
        <w:pStyle w:val="FootnoteText"/>
      </w:pPr>
      <w:r w:rsidRPr="00C82E84">
        <w:rPr>
          <w:rStyle w:val="FootnoteReference"/>
        </w:rPr>
        <w:footnoteRef/>
      </w:r>
      <w:r>
        <w:tab/>
      </w:r>
      <w:r w:rsidRPr="00F55F81">
        <w:t xml:space="preserve">Both McKenna and Seaton (2007) and Tarrant (2014) specifically examine the role of court liaison nurses in </w:t>
      </w:r>
      <w:r>
        <w:t xml:space="preserve">Aotearoa </w:t>
      </w:r>
      <w:r w:rsidRPr="00F55F81">
        <w:t>New Zealand. As such, these two sources are of particula</w:t>
      </w:r>
      <w:r>
        <w:t>r relevance in this discussion.</w:t>
      </w:r>
    </w:p>
  </w:footnote>
  <w:footnote w:id="37">
    <w:p w14:paraId="26E9AA92" w14:textId="77777777" w:rsidR="00033702" w:rsidRPr="00F55F81" w:rsidRDefault="00033702" w:rsidP="00C82E84">
      <w:pPr>
        <w:pStyle w:val="FootnoteText"/>
      </w:pPr>
      <w:r w:rsidRPr="00C82E84">
        <w:rPr>
          <w:rStyle w:val="FootnoteReference"/>
        </w:rPr>
        <w:footnoteRef/>
      </w:r>
      <w:r>
        <w:tab/>
      </w:r>
      <w:r w:rsidRPr="00F55F81">
        <w:t>Ethical issues surrounding the participation of mental health professionals in the criminal justice system, while present in the literature, are not discussed here. See, for example, Evans 2007 and Golding 1990.</w:t>
      </w:r>
    </w:p>
  </w:footnote>
  <w:footnote w:id="38">
    <w:p w14:paraId="6D417289" w14:textId="77777777" w:rsidR="00033702" w:rsidRPr="0035365A" w:rsidRDefault="00033702" w:rsidP="00C82E84">
      <w:pPr>
        <w:pStyle w:val="FootnoteText"/>
      </w:pPr>
      <w:r w:rsidRPr="00C82E84">
        <w:rPr>
          <w:rStyle w:val="FootnoteReference"/>
        </w:rPr>
        <w:footnoteRef/>
      </w:r>
      <w:r>
        <w:tab/>
      </w:r>
      <w:r w:rsidRPr="0035365A">
        <w:t xml:space="preserve">McKenna and Seaton (2007) define therapeutic jurisprudence as </w:t>
      </w:r>
      <w:r>
        <w:t>‘</w:t>
      </w:r>
      <w:r w:rsidRPr="0035365A">
        <w:t>an approach to legal scholarship and law reform that sees the law as a therapeutic agent. Legislation, legal processes and the role of legal actors such as judges and lawyers inadvertently impose consequences on the mental health and emotional well-being of those before the criminal justice system. These consequences can be either therapeutic or counter-therapeutic. Therapeutic jurisprudence suggests that law should value psychological health, should strive to avoid imposing anti-therapeutic consequences whenever possible, and when consistent with other values serviced by the law, should attempt to bring about the psychological well-being of those in contact with it</w:t>
      </w:r>
      <w:r>
        <w:t>’</w:t>
      </w:r>
      <w:r w:rsidRPr="0035365A">
        <w:t xml:space="preserve"> (pp. 448–9). For further discussion on therapeutic jurisprudence, see Ferrazzi and Krupa 2016a, Lim and Day 2016, McKenna and Seaton 2007.</w:t>
      </w:r>
    </w:p>
  </w:footnote>
  <w:footnote w:id="39">
    <w:p w14:paraId="02D3E743" w14:textId="77777777" w:rsidR="00033702" w:rsidRPr="0035365A" w:rsidRDefault="00033702" w:rsidP="00C82E84">
      <w:pPr>
        <w:pStyle w:val="FootnoteText"/>
      </w:pPr>
      <w:r w:rsidRPr="00C82E84">
        <w:rPr>
          <w:rStyle w:val="FootnoteReference"/>
        </w:rPr>
        <w:footnoteRef/>
      </w:r>
      <w:r>
        <w:tab/>
      </w:r>
      <w:r w:rsidRPr="0035365A">
        <w:t xml:space="preserve">See, for example: Birmingham 2001; Birmingham </w:t>
      </w:r>
      <w:r>
        <w:t>et al</w:t>
      </w:r>
      <w:r w:rsidRPr="0035365A">
        <w:t xml:space="preserve"> 2017; Blumenthal and Wessely 1992; Chung </w:t>
      </w:r>
      <w:r>
        <w:t>et al</w:t>
      </w:r>
      <w:r w:rsidRPr="0035365A">
        <w:t xml:space="preserve"> 1998; Exworthy and Parrot 1993; Holloway and Shaw 1992, 1993; James 2010; James and Hamilton 1992; James and Harlow 2000; Kingham and Corfe 2005; Orr </w:t>
      </w:r>
      <w:r>
        <w:t>et al</w:t>
      </w:r>
      <w:r w:rsidRPr="0035365A">
        <w:t xml:space="preserve"> 2007; Pakes and Winstone 2010; Purchase </w:t>
      </w:r>
      <w:r>
        <w:t>et al</w:t>
      </w:r>
      <w:r w:rsidRPr="0035365A">
        <w:t xml:space="preserve"> 1996; Rowlands </w:t>
      </w:r>
      <w:r>
        <w:t>et al</w:t>
      </w:r>
      <w:r w:rsidRPr="0035365A">
        <w:t xml:space="preserve"> 1996; Sharples </w:t>
      </w:r>
      <w:r>
        <w:t>et al</w:t>
      </w:r>
      <w:r w:rsidRPr="0035365A">
        <w:t xml:space="preserve"> 2003; White </w:t>
      </w:r>
      <w:r>
        <w:t>et al</w:t>
      </w:r>
      <w:r w:rsidRPr="0035365A">
        <w:t xml:space="preserve"> 2002.</w:t>
      </w:r>
    </w:p>
  </w:footnote>
  <w:footnote w:id="40">
    <w:p w14:paraId="165BA1A0" w14:textId="77777777" w:rsidR="00033702" w:rsidRPr="0035365A" w:rsidRDefault="00033702" w:rsidP="00287738">
      <w:pPr>
        <w:pStyle w:val="FootnoteText"/>
      </w:pPr>
      <w:r w:rsidRPr="00287738">
        <w:rPr>
          <w:rStyle w:val="FootnoteReference"/>
        </w:rPr>
        <w:footnoteRef/>
      </w:r>
      <w:r>
        <w:tab/>
      </w:r>
      <w:r w:rsidRPr="0035365A">
        <w:t xml:space="preserve">See, for example: Bradford and Smith 2009; Brett 2010; Davidson 2015, 2016; Davidson </w:t>
      </w:r>
      <w:r>
        <w:t>et al</w:t>
      </w:r>
      <w:r w:rsidRPr="0035365A">
        <w:t xml:space="preserve"> 2016, 2017a; Davidson </w:t>
      </w:r>
      <w:r>
        <w:t>et al</w:t>
      </w:r>
      <w:r w:rsidRPr="0035365A">
        <w:t xml:space="preserve"> 2017b; Davidson </w:t>
      </w:r>
      <w:r>
        <w:t>et al</w:t>
      </w:r>
      <w:r w:rsidRPr="0035365A">
        <w:t xml:space="preserve"> 2019; Dean </w:t>
      </w:r>
      <w:r>
        <w:t>et al</w:t>
      </w:r>
      <w:r w:rsidRPr="0035365A">
        <w:t xml:space="preserve"> 2013; Greenberg and Nielsen 2002, 2003; Richardson and McSherry 2010; Soon </w:t>
      </w:r>
      <w:r>
        <w:t>et al</w:t>
      </w:r>
      <w:r w:rsidRPr="0035365A">
        <w:t xml:space="preserve"> 2018; Walsh 2003.</w:t>
      </w:r>
    </w:p>
  </w:footnote>
  <w:footnote w:id="41">
    <w:p w14:paraId="54543804" w14:textId="77777777" w:rsidR="00033702" w:rsidRPr="0035365A" w:rsidRDefault="00033702" w:rsidP="00287738">
      <w:pPr>
        <w:pStyle w:val="FootnoteText"/>
      </w:pPr>
      <w:r w:rsidRPr="00287738">
        <w:rPr>
          <w:rStyle w:val="FootnoteReference"/>
        </w:rPr>
        <w:footnoteRef/>
      </w:r>
      <w:r>
        <w:tab/>
      </w:r>
      <w:r w:rsidRPr="0035365A">
        <w:t>See, for example: Gulati and Kelly 2018; McInerney and O</w:t>
      </w:r>
      <w:r>
        <w:t>’</w:t>
      </w:r>
      <w:r w:rsidRPr="0035365A">
        <w:t xml:space="preserve">Neill 2008; McInerney </w:t>
      </w:r>
      <w:r>
        <w:t>et al</w:t>
      </w:r>
      <w:r w:rsidRPr="0035365A">
        <w:t xml:space="preserve"> 2013; Scott </w:t>
      </w:r>
      <w:r>
        <w:t>et al</w:t>
      </w:r>
      <w:r w:rsidRPr="0035365A">
        <w:t xml:space="preserve"> 2016.</w:t>
      </w:r>
    </w:p>
  </w:footnote>
  <w:footnote w:id="42">
    <w:p w14:paraId="3DF5C779" w14:textId="77777777" w:rsidR="00033702" w:rsidRPr="0035365A" w:rsidRDefault="00033702" w:rsidP="00287738">
      <w:pPr>
        <w:pStyle w:val="FootnoteText"/>
      </w:pPr>
      <w:r w:rsidRPr="00287738">
        <w:rPr>
          <w:rStyle w:val="FootnoteReference"/>
        </w:rPr>
        <w:footnoteRef/>
      </w:r>
      <w:r>
        <w:tab/>
      </w:r>
      <w:r w:rsidRPr="0035365A">
        <w:t xml:space="preserve">For further discussion on MHCs, including models and outcomes, see Acquaviva 2006; Boothroyd </w:t>
      </w:r>
      <w:r>
        <w:t>et al</w:t>
      </w:r>
      <w:r w:rsidRPr="0035365A">
        <w:t xml:space="preserve"> 2003; Campbell </w:t>
      </w:r>
      <w:r>
        <w:t>et al</w:t>
      </w:r>
      <w:r w:rsidRPr="0035365A">
        <w:t xml:space="preserve"> 2015; Canada and Ray 2016; Cosden </w:t>
      </w:r>
      <w:r>
        <w:t>et al</w:t>
      </w:r>
      <w:r w:rsidRPr="0035365A">
        <w:t xml:space="preserve"> 2003; Edgely 2014; Ferrazzi and Krupa 2016b; Han 2019; Han and Redlich 2016; Hiday </w:t>
      </w:r>
      <w:r>
        <w:t>et al</w:t>
      </w:r>
      <w:r w:rsidRPr="0035365A">
        <w:t xml:space="preserve"> 2016; Kubiak</w:t>
      </w:r>
      <w:r>
        <w:t>et al</w:t>
      </w:r>
      <w:r w:rsidRPr="0035365A">
        <w:t xml:space="preserve"> 2018; Landess and Holoyda 2017; Lawrence 2004; McNiel and Binder 2007, 2010; Moore and Hiday 2006; Palermo 2010; Ray 2014; Ryan and Whelan 2012; Slinger and Roesch 2010; Sly </w:t>
      </w:r>
      <w:r>
        <w:t>et al 2009; Thomas 2002; Wren 2010.</w:t>
      </w:r>
    </w:p>
  </w:footnote>
  <w:footnote w:id="43">
    <w:p w14:paraId="18F23484" w14:textId="77777777" w:rsidR="00033702" w:rsidRPr="0035365A" w:rsidRDefault="00033702" w:rsidP="00287738">
      <w:pPr>
        <w:pStyle w:val="FootnoteText"/>
      </w:pPr>
      <w:r w:rsidRPr="00287738">
        <w:rPr>
          <w:rStyle w:val="FootnoteReference"/>
        </w:rPr>
        <w:footnoteRef/>
      </w:r>
      <w:r>
        <w:tab/>
      </w:r>
      <w:r w:rsidRPr="0035365A">
        <w:t xml:space="preserve">For further research on outcomes, see also: Albalawi </w:t>
      </w:r>
      <w:r>
        <w:t>et al</w:t>
      </w:r>
      <w:r w:rsidRPr="0035365A">
        <w:t xml:space="preserve"> 2019; Chung </w:t>
      </w:r>
      <w:r>
        <w:t>et al</w:t>
      </w:r>
      <w:r w:rsidRPr="0035365A">
        <w:t xml:space="preserve"> 1999; Earl </w:t>
      </w:r>
      <w:r>
        <w:t>et al</w:t>
      </w:r>
      <w:r w:rsidRPr="0035365A">
        <w:t xml:space="preserve"> 2017; James 1999, 2010; Sirotich 2009; Trupin and Richards 2003.</w:t>
      </w:r>
    </w:p>
  </w:footnote>
  <w:footnote w:id="44">
    <w:p w14:paraId="1ED57157" w14:textId="77777777" w:rsidR="00033702" w:rsidRPr="0035365A" w:rsidRDefault="00033702" w:rsidP="00287738">
      <w:pPr>
        <w:pStyle w:val="FootnoteText"/>
      </w:pPr>
      <w:r w:rsidRPr="00287738">
        <w:rPr>
          <w:rStyle w:val="FootnoteReference"/>
        </w:rPr>
        <w:footnoteRef/>
      </w:r>
      <w:r>
        <w:tab/>
      </w:r>
      <w:r w:rsidRPr="0035365A">
        <w:t xml:space="preserve">Technology is increasingly playing a role in court liaison services and forensic psychiatry more broadly, from the use of video- and teleconferencing (Brett and Blumberg 2006; Khalifa </w:t>
      </w:r>
      <w:r>
        <w:t>et al</w:t>
      </w:r>
      <w:r w:rsidRPr="0035365A">
        <w:t xml:space="preserve"> 2007; Miller </w:t>
      </w:r>
      <w:r>
        <w:t>et al</w:t>
      </w:r>
      <w:r w:rsidRPr="0035365A">
        <w:t xml:space="preserve"> 2008) to electronic patient records (Gough </w:t>
      </w:r>
      <w:r>
        <w:t>et al</w:t>
      </w:r>
      <w:r w:rsidRPr="0035365A">
        <w:t xml:space="preserve"> 2012). As such, future models of care may need to take these new methods of communication</w:t>
      </w:r>
      <w:r>
        <w:t xml:space="preserve"> and/or reporting into account.</w:t>
      </w:r>
    </w:p>
  </w:footnote>
  <w:footnote w:id="45">
    <w:p w14:paraId="7D69D1B8" w14:textId="77777777" w:rsidR="00033702" w:rsidRPr="00660670" w:rsidRDefault="00033702" w:rsidP="0087762A">
      <w:pPr>
        <w:pStyle w:val="FootnoteText"/>
      </w:pPr>
      <w:r w:rsidRPr="0087762A">
        <w:rPr>
          <w:rStyle w:val="FootnoteReference"/>
        </w:rPr>
        <w:footnoteRef/>
      </w:r>
      <w:r>
        <w:tab/>
      </w:r>
      <w:r w:rsidRPr="00660670">
        <w:t xml:space="preserve">For further details of the STAIR model generally, see, for example, Forrester </w:t>
      </w:r>
      <w:r>
        <w:t>et al</w:t>
      </w:r>
      <w:r w:rsidRPr="00660670">
        <w:t xml:space="preserve"> 2018; Nicholls </w:t>
      </w:r>
      <w:r>
        <w:t>et al</w:t>
      </w:r>
      <w:r w:rsidRPr="00660670">
        <w:t xml:space="preserve"> 2018; Ogloff 2002. For further details of the in-reach prison model of care used in the Northern/Midland region in the scholarly literature, see McKenna </w:t>
      </w:r>
      <w:r>
        <w:t>et al</w:t>
      </w:r>
      <w:r w:rsidRPr="00660670">
        <w:t xml:space="preserve"> 2015; McKenna </w:t>
      </w:r>
      <w:r>
        <w:t>et al</w:t>
      </w:r>
      <w:r w:rsidRPr="00660670">
        <w:t xml:space="preserve"> 2018; Pillai </w:t>
      </w:r>
      <w:r>
        <w:t>et al 2016.</w:t>
      </w:r>
    </w:p>
  </w:footnote>
  <w:footnote w:id="46">
    <w:p w14:paraId="5F9F8C1C" w14:textId="77777777" w:rsidR="00033702" w:rsidRPr="00B74DF1" w:rsidRDefault="00033702" w:rsidP="0087762A">
      <w:pPr>
        <w:pStyle w:val="FootnoteText"/>
      </w:pPr>
      <w:r w:rsidRPr="0087762A">
        <w:rPr>
          <w:rStyle w:val="FootnoteReference"/>
        </w:rPr>
        <w:footnoteRef/>
      </w:r>
      <w:r>
        <w:tab/>
      </w:r>
      <w:r w:rsidRPr="00B74DF1">
        <w:t xml:space="preserve">Although the Department of Corrections is now called Ara Poutama, </w:t>
      </w:r>
      <w:r>
        <w:t>‘</w:t>
      </w:r>
      <w:r w:rsidRPr="00B74DF1">
        <w:t>Department of Corrections</w:t>
      </w:r>
      <w:r>
        <w:t>’</w:t>
      </w:r>
      <w:r w:rsidRPr="00B74DF1">
        <w:t xml:space="preserve"> appears as the author within this publication.</w:t>
      </w:r>
    </w:p>
  </w:footnote>
  <w:footnote w:id="47">
    <w:p w14:paraId="06CEE937" w14:textId="77777777" w:rsidR="00033702" w:rsidRPr="00757AE5" w:rsidRDefault="00033702" w:rsidP="00B721EF">
      <w:pPr>
        <w:pStyle w:val="FootnoteText"/>
      </w:pPr>
      <w:r w:rsidRPr="00B721EF">
        <w:rPr>
          <w:rStyle w:val="FootnoteReference"/>
        </w:rPr>
        <w:footnoteRef/>
      </w:r>
      <w:r>
        <w:tab/>
      </w:r>
      <w:r w:rsidRPr="00757AE5">
        <w:t>Descriptions of FMHS delivery structures and processes in these locales is available in the scholarly literature cited throughout the four systematic reviews. Please refer to the prior chapters for specific references to this literature.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4A0" w:firstRow="1" w:lastRow="0" w:firstColumn="1" w:lastColumn="0" w:noHBand="0" w:noVBand="1"/>
    </w:tblPr>
    <w:tblGrid>
      <w:gridCol w:w="5210"/>
      <w:gridCol w:w="4429"/>
    </w:tblGrid>
    <w:tr w:rsidR="00033702" w14:paraId="0B4BBEAA" w14:textId="77777777" w:rsidTr="005A79E5">
      <w:trPr>
        <w:cantSplit/>
      </w:trPr>
      <w:tc>
        <w:tcPr>
          <w:tcW w:w="5210" w:type="dxa"/>
        </w:tcPr>
        <w:p w14:paraId="376D0A4D" w14:textId="77777777" w:rsidR="00033702" w:rsidRDefault="00033702" w:rsidP="008814E8">
          <w:pPr>
            <w:pStyle w:val="Header"/>
          </w:pPr>
          <w:r>
            <w:rPr>
              <w:noProof/>
              <w:lang w:eastAsia="en-NZ"/>
            </w:rPr>
            <w:drawing>
              <wp:inline distT="0" distB="0" distL="0" distR="0" wp14:anchorId="21975C67" wp14:editId="12C42F03">
                <wp:extent cx="1395076" cy="573578"/>
                <wp:effectExtent l="0" t="0" r="0" b="0"/>
                <wp:docPr id="5" name="Picture 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inistry of Health logo"/>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6D30FC4B" w14:textId="77777777" w:rsidR="00033702" w:rsidRDefault="00033702" w:rsidP="008814E8">
          <w:pPr>
            <w:pStyle w:val="Header"/>
            <w:jc w:val="right"/>
          </w:pPr>
          <w:r>
            <w:rPr>
              <w:noProof/>
              <w:lang w:eastAsia="en-NZ"/>
            </w:rPr>
            <w:drawing>
              <wp:inline distT="0" distB="0" distL="0" distR="0" wp14:anchorId="6464B6CB" wp14:editId="791E0BE3">
                <wp:extent cx="1720735" cy="177135"/>
                <wp:effectExtent l="0" t="0" r="0" b="0"/>
                <wp:docPr id="6" name="Picture 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ew Zealand Government logo"/>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73DE2525" w14:textId="77777777" w:rsidR="00033702" w:rsidRDefault="000337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22970" w14:textId="77777777" w:rsidR="00033702" w:rsidRDefault="00033702"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AD066" w14:textId="77777777" w:rsidR="00033702" w:rsidRDefault="00033702"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BBC6A" w14:textId="77777777" w:rsidR="00033702" w:rsidRDefault="00033702"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B9EE5" w14:textId="77777777" w:rsidR="00033702" w:rsidRDefault="00033702"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817C7"/>
    <w:multiLevelType w:val="multilevel"/>
    <w:tmpl w:val="17846B6A"/>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0AE40F87"/>
    <w:multiLevelType w:val="hybridMultilevel"/>
    <w:tmpl w:val="B37AC4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E04FDC"/>
    <w:multiLevelType w:val="hybridMultilevel"/>
    <w:tmpl w:val="BD36349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172B0480"/>
    <w:multiLevelType w:val="hybridMultilevel"/>
    <w:tmpl w:val="BFFCAD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FAA6208"/>
    <w:multiLevelType w:val="hybridMultilevel"/>
    <w:tmpl w:val="283E513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2AF830FF"/>
    <w:multiLevelType w:val="hybridMultilevel"/>
    <w:tmpl w:val="DB0051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C2A0F87"/>
    <w:multiLevelType w:val="hybridMultilevel"/>
    <w:tmpl w:val="D5444F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50533D9"/>
    <w:multiLevelType w:val="hybridMultilevel"/>
    <w:tmpl w:val="B44C61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76332B"/>
    <w:multiLevelType w:val="hybridMultilevel"/>
    <w:tmpl w:val="43BCEE28"/>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2" w15:restartNumberingAfterBreak="0">
    <w:nsid w:val="41E103C1"/>
    <w:multiLevelType w:val="hybridMultilevel"/>
    <w:tmpl w:val="6AFE152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4E530217"/>
    <w:multiLevelType w:val="hybridMultilevel"/>
    <w:tmpl w:val="0DE8FEE6"/>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4" w15:restartNumberingAfterBreak="0">
    <w:nsid w:val="5E827569"/>
    <w:multiLevelType w:val="hybridMultilevel"/>
    <w:tmpl w:val="B5561758"/>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5" w15:restartNumberingAfterBreak="0">
    <w:nsid w:val="601137A1"/>
    <w:multiLevelType w:val="hybridMultilevel"/>
    <w:tmpl w:val="A8C663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68018B2"/>
    <w:multiLevelType w:val="hybridMultilevel"/>
    <w:tmpl w:val="3DE4CF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0E851F2"/>
    <w:multiLevelType w:val="hybridMultilevel"/>
    <w:tmpl w:val="14C4E5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312584E"/>
    <w:multiLevelType w:val="hybridMultilevel"/>
    <w:tmpl w:val="C2444BE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78733527"/>
    <w:multiLevelType w:val="hybridMultilevel"/>
    <w:tmpl w:val="C2F23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abstractNum w:abstractNumId="21" w15:restartNumberingAfterBreak="0">
    <w:nsid w:val="7C343230"/>
    <w:multiLevelType w:val="hybridMultilevel"/>
    <w:tmpl w:val="D272DB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D062EA5"/>
    <w:multiLevelType w:val="hybridMultilevel"/>
    <w:tmpl w:val="46569F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10"/>
  </w:num>
  <w:num w:numId="4">
    <w:abstractNumId w:val="1"/>
  </w:num>
  <w:num w:numId="5">
    <w:abstractNumId w:val="0"/>
  </w:num>
  <w:num w:numId="6">
    <w:abstractNumId w:val="13"/>
  </w:num>
  <w:num w:numId="7">
    <w:abstractNumId w:val="11"/>
  </w:num>
  <w:num w:numId="8">
    <w:abstractNumId w:val="14"/>
  </w:num>
  <w:num w:numId="9">
    <w:abstractNumId w:val="21"/>
  </w:num>
  <w:num w:numId="10">
    <w:abstractNumId w:val="4"/>
  </w:num>
  <w:num w:numId="11">
    <w:abstractNumId w:val="7"/>
  </w:num>
  <w:num w:numId="12">
    <w:abstractNumId w:val="22"/>
  </w:num>
  <w:num w:numId="13">
    <w:abstractNumId w:val="2"/>
  </w:num>
  <w:num w:numId="14">
    <w:abstractNumId w:val="5"/>
  </w:num>
  <w:num w:numId="15">
    <w:abstractNumId w:val="16"/>
  </w:num>
  <w:num w:numId="16">
    <w:abstractNumId w:val="6"/>
  </w:num>
  <w:num w:numId="17">
    <w:abstractNumId w:val="8"/>
  </w:num>
  <w:num w:numId="18">
    <w:abstractNumId w:val="17"/>
  </w:num>
  <w:num w:numId="19">
    <w:abstractNumId w:val="12"/>
  </w:num>
  <w:num w:numId="20">
    <w:abstractNumId w:val="3"/>
  </w:num>
  <w:num w:numId="21">
    <w:abstractNumId w:val="18"/>
  </w:num>
  <w:num w:numId="22">
    <w:abstractNumId w:val="19"/>
  </w:num>
  <w:num w:numId="23">
    <w:abstractNumId w:val="15"/>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0776"/>
    <w:rsid w:val="000025B8"/>
    <w:rsid w:val="00005BB5"/>
    <w:rsid w:val="00025A6F"/>
    <w:rsid w:val="0002618D"/>
    <w:rsid w:val="00030B26"/>
    <w:rsid w:val="00030E84"/>
    <w:rsid w:val="00032C0A"/>
    <w:rsid w:val="00033702"/>
    <w:rsid w:val="00035257"/>
    <w:rsid w:val="00035D68"/>
    <w:rsid w:val="00036027"/>
    <w:rsid w:val="000419A9"/>
    <w:rsid w:val="00045613"/>
    <w:rsid w:val="00047899"/>
    <w:rsid w:val="00053921"/>
    <w:rsid w:val="00054B44"/>
    <w:rsid w:val="0006006B"/>
    <w:rsid w:val="0006228D"/>
    <w:rsid w:val="000718D1"/>
    <w:rsid w:val="00072BD6"/>
    <w:rsid w:val="00075B78"/>
    <w:rsid w:val="000763E9"/>
    <w:rsid w:val="00082CD6"/>
    <w:rsid w:val="0008437D"/>
    <w:rsid w:val="00085AFE"/>
    <w:rsid w:val="00094800"/>
    <w:rsid w:val="000A0158"/>
    <w:rsid w:val="000A373D"/>
    <w:rsid w:val="000A41ED"/>
    <w:rsid w:val="000B0730"/>
    <w:rsid w:val="000C226C"/>
    <w:rsid w:val="000D19F4"/>
    <w:rsid w:val="000D58DD"/>
    <w:rsid w:val="000F1F42"/>
    <w:rsid w:val="000F2AE2"/>
    <w:rsid w:val="000F2BFF"/>
    <w:rsid w:val="00102063"/>
    <w:rsid w:val="0010541C"/>
    <w:rsid w:val="00105770"/>
    <w:rsid w:val="00106F93"/>
    <w:rsid w:val="00111D50"/>
    <w:rsid w:val="00113B8E"/>
    <w:rsid w:val="00117F59"/>
    <w:rsid w:val="0012053C"/>
    <w:rsid w:val="00122363"/>
    <w:rsid w:val="0012387C"/>
    <w:rsid w:val="00125D45"/>
    <w:rsid w:val="001342C7"/>
    <w:rsid w:val="0013585C"/>
    <w:rsid w:val="001374EA"/>
    <w:rsid w:val="00142261"/>
    <w:rsid w:val="00142954"/>
    <w:rsid w:val="001460E0"/>
    <w:rsid w:val="001472F0"/>
    <w:rsid w:val="00147F71"/>
    <w:rsid w:val="00150A6E"/>
    <w:rsid w:val="0015214D"/>
    <w:rsid w:val="0016304B"/>
    <w:rsid w:val="0016318F"/>
    <w:rsid w:val="0016468A"/>
    <w:rsid w:val="0017070E"/>
    <w:rsid w:val="00174F02"/>
    <w:rsid w:val="0018376C"/>
    <w:rsid w:val="0018662D"/>
    <w:rsid w:val="00190968"/>
    <w:rsid w:val="00197427"/>
    <w:rsid w:val="001A21B4"/>
    <w:rsid w:val="001A5CF5"/>
    <w:rsid w:val="001B39D2"/>
    <w:rsid w:val="001B4BF8"/>
    <w:rsid w:val="001B5D91"/>
    <w:rsid w:val="001B7B14"/>
    <w:rsid w:val="001C4326"/>
    <w:rsid w:val="001C665E"/>
    <w:rsid w:val="001D3541"/>
    <w:rsid w:val="001D3E4E"/>
    <w:rsid w:val="001E254A"/>
    <w:rsid w:val="001E7386"/>
    <w:rsid w:val="001F45A7"/>
    <w:rsid w:val="001F5E27"/>
    <w:rsid w:val="0020027C"/>
    <w:rsid w:val="00201A01"/>
    <w:rsid w:val="0020754B"/>
    <w:rsid w:val="002104D3"/>
    <w:rsid w:val="00213A33"/>
    <w:rsid w:val="0021763B"/>
    <w:rsid w:val="0022118E"/>
    <w:rsid w:val="00232E9F"/>
    <w:rsid w:val="002341C9"/>
    <w:rsid w:val="00245748"/>
    <w:rsid w:val="00246DB1"/>
    <w:rsid w:val="002476B5"/>
    <w:rsid w:val="002520CC"/>
    <w:rsid w:val="00253ECF"/>
    <w:rsid w:val="00254044"/>
    <w:rsid w:val="002546A1"/>
    <w:rsid w:val="002575E8"/>
    <w:rsid w:val="00257EF1"/>
    <w:rsid w:val="002628F4"/>
    <w:rsid w:val="00275D08"/>
    <w:rsid w:val="002839AF"/>
    <w:rsid w:val="002858E3"/>
    <w:rsid w:val="00287738"/>
    <w:rsid w:val="0029190A"/>
    <w:rsid w:val="00292C5A"/>
    <w:rsid w:val="00295241"/>
    <w:rsid w:val="002A4DFC"/>
    <w:rsid w:val="002B047D"/>
    <w:rsid w:val="002B732B"/>
    <w:rsid w:val="002B76A7"/>
    <w:rsid w:val="002B7BEC"/>
    <w:rsid w:val="002C1FB3"/>
    <w:rsid w:val="002C2219"/>
    <w:rsid w:val="002C2552"/>
    <w:rsid w:val="002C380A"/>
    <w:rsid w:val="002D0DF2"/>
    <w:rsid w:val="002D23BD"/>
    <w:rsid w:val="002E0B47"/>
    <w:rsid w:val="002F3A0D"/>
    <w:rsid w:val="002F4685"/>
    <w:rsid w:val="002F7213"/>
    <w:rsid w:val="0030382F"/>
    <w:rsid w:val="0030408D"/>
    <w:rsid w:val="003060E4"/>
    <w:rsid w:val="003160E7"/>
    <w:rsid w:val="0031739E"/>
    <w:rsid w:val="00317DA3"/>
    <w:rsid w:val="003212F4"/>
    <w:rsid w:val="00321381"/>
    <w:rsid w:val="003235C6"/>
    <w:rsid w:val="003309CA"/>
    <w:rsid w:val="003325AB"/>
    <w:rsid w:val="003332D1"/>
    <w:rsid w:val="0033412B"/>
    <w:rsid w:val="0033448B"/>
    <w:rsid w:val="00341161"/>
    <w:rsid w:val="00343365"/>
    <w:rsid w:val="003445F4"/>
    <w:rsid w:val="00344650"/>
    <w:rsid w:val="00350934"/>
    <w:rsid w:val="00353501"/>
    <w:rsid w:val="00353734"/>
    <w:rsid w:val="003538D4"/>
    <w:rsid w:val="003606F8"/>
    <w:rsid w:val="003648EF"/>
    <w:rsid w:val="003673E6"/>
    <w:rsid w:val="00377264"/>
    <w:rsid w:val="003779D2"/>
    <w:rsid w:val="00385E38"/>
    <w:rsid w:val="00392728"/>
    <w:rsid w:val="003A26A5"/>
    <w:rsid w:val="003A3761"/>
    <w:rsid w:val="003A512D"/>
    <w:rsid w:val="003A5FEA"/>
    <w:rsid w:val="003A710B"/>
    <w:rsid w:val="003B1D10"/>
    <w:rsid w:val="003C310C"/>
    <w:rsid w:val="003C76D4"/>
    <w:rsid w:val="003D0BB1"/>
    <w:rsid w:val="003D137D"/>
    <w:rsid w:val="003D2CC5"/>
    <w:rsid w:val="003D3E5C"/>
    <w:rsid w:val="003D7F64"/>
    <w:rsid w:val="003E04C1"/>
    <w:rsid w:val="003E0887"/>
    <w:rsid w:val="003E74C8"/>
    <w:rsid w:val="003E74E2"/>
    <w:rsid w:val="003E7C46"/>
    <w:rsid w:val="003F2106"/>
    <w:rsid w:val="003F52A7"/>
    <w:rsid w:val="003F7013"/>
    <w:rsid w:val="003F7F6A"/>
    <w:rsid w:val="00401493"/>
    <w:rsid w:val="0040240C"/>
    <w:rsid w:val="00405397"/>
    <w:rsid w:val="00413021"/>
    <w:rsid w:val="00414C35"/>
    <w:rsid w:val="004171B7"/>
    <w:rsid w:val="004301C6"/>
    <w:rsid w:val="0043478F"/>
    <w:rsid w:val="0043602B"/>
    <w:rsid w:val="004367D2"/>
    <w:rsid w:val="00440BE0"/>
    <w:rsid w:val="00442A06"/>
    <w:rsid w:val="00442C1C"/>
    <w:rsid w:val="0044584B"/>
    <w:rsid w:val="00447CB7"/>
    <w:rsid w:val="00455CC9"/>
    <w:rsid w:val="00460826"/>
    <w:rsid w:val="00460B1E"/>
    <w:rsid w:val="00460EA7"/>
    <w:rsid w:val="0046195B"/>
    <w:rsid w:val="0046362D"/>
    <w:rsid w:val="0046596D"/>
    <w:rsid w:val="004767BA"/>
    <w:rsid w:val="00476B21"/>
    <w:rsid w:val="004852AB"/>
    <w:rsid w:val="00485810"/>
    <w:rsid w:val="00487C04"/>
    <w:rsid w:val="004907E1"/>
    <w:rsid w:val="00494C8E"/>
    <w:rsid w:val="004A035B"/>
    <w:rsid w:val="004A2108"/>
    <w:rsid w:val="004A38D7"/>
    <w:rsid w:val="004A5275"/>
    <w:rsid w:val="004A778C"/>
    <w:rsid w:val="004B14DD"/>
    <w:rsid w:val="004B48C7"/>
    <w:rsid w:val="004C2E6A"/>
    <w:rsid w:val="004C64B8"/>
    <w:rsid w:val="004D2A2D"/>
    <w:rsid w:val="004D479F"/>
    <w:rsid w:val="004D6689"/>
    <w:rsid w:val="004E1D1D"/>
    <w:rsid w:val="004E7AC8"/>
    <w:rsid w:val="004F05F4"/>
    <w:rsid w:val="004F0C94"/>
    <w:rsid w:val="004F4E9A"/>
    <w:rsid w:val="005019AE"/>
    <w:rsid w:val="00503749"/>
    <w:rsid w:val="00503D59"/>
    <w:rsid w:val="00504CF4"/>
    <w:rsid w:val="005054ED"/>
    <w:rsid w:val="0050635B"/>
    <w:rsid w:val="005075B3"/>
    <w:rsid w:val="005151C2"/>
    <w:rsid w:val="005275E8"/>
    <w:rsid w:val="005309FE"/>
    <w:rsid w:val="0053199F"/>
    <w:rsid w:val="00531E12"/>
    <w:rsid w:val="00533B90"/>
    <w:rsid w:val="005410F8"/>
    <w:rsid w:val="005448EC"/>
    <w:rsid w:val="00545963"/>
    <w:rsid w:val="00550256"/>
    <w:rsid w:val="00553165"/>
    <w:rsid w:val="00553958"/>
    <w:rsid w:val="00556BB7"/>
    <w:rsid w:val="0055763D"/>
    <w:rsid w:val="00561516"/>
    <w:rsid w:val="005621F2"/>
    <w:rsid w:val="00567B58"/>
    <w:rsid w:val="00571223"/>
    <w:rsid w:val="00573C9D"/>
    <w:rsid w:val="005752F5"/>
    <w:rsid w:val="005763E0"/>
    <w:rsid w:val="00581136"/>
    <w:rsid w:val="00581EB8"/>
    <w:rsid w:val="005839E7"/>
    <w:rsid w:val="0058437F"/>
    <w:rsid w:val="00590DA7"/>
    <w:rsid w:val="005A27CA"/>
    <w:rsid w:val="005A43BD"/>
    <w:rsid w:val="005A79E5"/>
    <w:rsid w:val="005D034C"/>
    <w:rsid w:val="005E226E"/>
    <w:rsid w:val="005E2636"/>
    <w:rsid w:val="006015D7"/>
    <w:rsid w:val="00601B21"/>
    <w:rsid w:val="006041F0"/>
    <w:rsid w:val="00605C6D"/>
    <w:rsid w:val="006120CA"/>
    <w:rsid w:val="0061443A"/>
    <w:rsid w:val="00624174"/>
    <w:rsid w:val="00626CF8"/>
    <w:rsid w:val="006314AF"/>
    <w:rsid w:val="00633C48"/>
    <w:rsid w:val="00634003"/>
    <w:rsid w:val="00634ED8"/>
    <w:rsid w:val="00636D7D"/>
    <w:rsid w:val="00637408"/>
    <w:rsid w:val="00642868"/>
    <w:rsid w:val="00647AFE"/>
    <w:rsid w:val="00650417"/>
    <w:rsid w:val="006512BC"/>
    <w:rsid w:val="00653A5A"/>
    <w:rsid w:val="006554AC"/>
    <w:rsid w:val="00656F28"/>
    <w:rsid w:val="006575F4"/>
    <w:rsid w:val="006579E6"/>
    <w:rsid w:val="00660682"/>
    <w:rsid w:val="00660F74"/>
    <w:rsid w:val="00663EDC"/>
    <w:rsid w:val="00671078"/>
    <w:rsid w:val="006758CA"/>
    <w:rsid w:val="00680A04"/>
    <w:rsid w:val="00686D80"/>
    <w:rsid w:val="00687946"/>
    <w:rsid w:val="00694895"/>
    <w:rsid w:val="00697E2E"/>
    <w:rsid w:val="006A25A2"/>
    <w:rsid w:val="006A3B87"/>
    <w:rsid w:val="006A69AB"/>
    <w:rsid w:val="006B058C"/>
    <w:rsid w:val="006B0A88"/>
    <w:rsid w:val="006B0E73"/>
    <w:rsid w:val="006B1E3D"/>
    <w:rsid w:val="006B4A4D"/>
    <w:rsid w:val="006B5695"/>
    <w:rsid w:val="006B62E6"/>
    <w:rsid w:val="006B7B2E"/>
    <w:rsid w:val="006C2A8E"/>
    <w:rsid w:val="006C78EB"/>
    <w:rsid w:val="006D1660"/>
    <w:rsid w:val="006D63E5"/>
    <w:rsid w:val="006E1753"/>
    <w:rsid w:val="006E2886"/>
    <w:rsid w:val="006E3911"/>
    <w:rsid w:val="006E69F4"/>
    <w:rsid w:val="006F1B67"/>
    <w:rsid w:val="006F4D9C"/>
    <w:rsid w:val="0070091D"/>
    <w:rsid w:val="00702854"/>
    <w:rsid w:val="00705D14"/>
    <w:rsid w:val="0071741C"/>
    <w:rsid w:val="00742B90"/>
    <w:rsid w:val="0074434D"/>
    <w:rsid w:val="00752E53"/>
    <w:rsid w:val="007570C4"/>
    <w:rsid w:val="007605B8"/>
    <w:rsid w:val="00771B1E"/>
    <w:rsid w:val="00773C95"/>
    <w:rsid w:val="0078171E"/>
    <w:rsid w:val="0078658E"/>
    <w:rsid w:val="0078769F"/>
    <w:rsid w:val="007920E2"/>
    <w:rsid w:val="0079566E"/>
    <w:rsid w:val="00795B34"/>
    <w:rsid w:val="00797E99"/>
    <w:rsid w:val="007A067F"/>
    <w:rsid w:val="007B1770"/>
    <w:rsid w:val="007B4B90"/>
    <w:rsid w:val="007B4D3E"/>
    <w:rsid w:val="007B7C70"/>
    <w:rsid w:val="007B7DEB"/>
    <w:rsid w:val="007C0449"/>
    <w:rsid w:val="007C43B6"/>
    <w:rsid w:val="007D2151"/>
    <w:rsid w:val="007D3B90"/>
    <w:rsid w:val="007D42CC"/>
    <w:rsid w:val="007D5DE4"/>
    <w:rsid w:val="007D7C3A"/>
    <w:rsid w:val="007E0777"/>
    <w:rsid w:val="007E1341"/>
    <w:rsid w:val="007E1B41"/>
    <w:rsid w:val="007E1EC4"/>
    <w:rsid w:val="007E30B9"/>
    <w:rsid w:val="007E74F1"/>
    <w:rsid w:val="007F0F0C"/>
    <w:rsid w:val="007F1288"/>
    <w:rsid w:val="007F3E11"/>
    <w:rsid w:val="00800A8A"/>
    <w:rsid w:val="0080155C"/>
    <w:rsid w:val="008017B4"/>
    <w:rsid w:val="008052E1"/>
    <w:rsid w:val="00811EEB"/>
    <w:rsid w:val="0082081A"/>
    <w:rsid w:val="00822F2C"/>
    <w:rsid w:val="00823DEE"/>
    <w:rsid w:val="008305E8"/>
    <w:rsid w:val="00836165"/>
    <w:rsid w:val="008365B2"/>
    <w:rsid w:val="0084640C"/>
    <w:rsid w:val="0085596B"/>
    <w:rsid w:val="00856088"/>
    <w:rsid w:val="00860826"/>
    <w:rsid w:val="00860E21"/>
    <w:rsid w:val="00863117"/>
    <w:rsid w:val="0086388B"/>
    <w:rsid w:val="008642E5"/>
    <w:rsid w:val="00864488"/>
    <w:rsid w:val="00870A36"/>
    <w:rsid w:val="00872D93"/>
    <w:rsid w:val="0087762A"/>
    <w:rsid w:val="00880470"/>
    <w:rsid w:val="00880D94"/>
    <w:rsid w:val="008814E8"/>
    <w:rsid w:val="00886F64"/>
    <w:rsid w:val="008924DE"/>
    <w:rsid w:val="00892BC7"/>
    <w:rsid w:val="008A194D"/>
    <w:rsid w:val="008A3755"/>
    <w:rsid w:val="008B19DC"/>
    <w:rsid w:val="008B264F"/>
    <w:rsid w:val="008B6F83"/>
    <w:rsid w:val="008B7FD8"/>
    <w:rsid w:val="008C2973"/>
    <w:rsid w:val="008C6324"/>
    <w:rsid w:val="008C64C4"/>
    <w:rsid w:val="008D2B16"/>
    <w:rsid w:val="008D2CDD"/>
    <w:rsid w:val="008D74D5"/>
    <w:rsid w:val="008D7C9F"/>
    <w:rsid w:val="008E04BA"/>
    <w:rsid w:val="008E0ED1"/>
    <w:rsid w:val="008E2083"/>
    <w:rsid w:val="008E3A07"/>
    <w:rsid w:val="008E537B"/>
    <w:rsid w:val="008F29BE"/>
    <w:rsid w:val="008F4AE5"/>
    <w:rsid w:val="008F51EB"/>
    <w:rsid w:val="00900197"/>
    <w:rsid w:val="00902F55"/>
    <w:rsid w:val="0090532E"/>
    <w:rsid w:val="0090582B"/>
    <w:rsid w:val="00905935"/>
    <w:rsid w:val="009060C0"/>
    <w:rsid w:val="009133F5"/>
    <w:rsid w:val="0091756F"/>
    <w:rsid w:val="00920A27"/>
    <w:rsid w:val="00921216"/>
    <w:rsid w:val="009216CC"/>
    <w:rsid w:val="00922E41"/>
    <w:rsid w:val="00925892"/>
    <w:rsid w:val="00926083"/>
    <w:rsid w:val="00926D08"/>
    <w:rsid w:val="00930D08"/>
    <w:rsid w:val="00931466"/>
    <w:rsid w:val="00932D69"/>
    <w:rsid w:val="009354FD"/>
    <w:rsid w:val="00935589"/>
    <w:rsid w:val="00937408"/>
    <w:rsid w:val="009427FA"/>
    <w:rsid w:val="00944647"/>
    <w:rsid w:val="009469E2"/>
    <w:rsid w:val="0095565C"/>
    <w:rsid w:val="009567BA"/>
    <w:rsid w:val="009636B7"/>
    <w:rsid w:val="00964AB6"/>
    <w:rsid w:val="009652CF"/>
    <w:rsid w:val="00966F9A"/>
    <w:rsid w:val="00967EEE"/>
    <w:rsid w:val="00977B8A"/>
    <w:rsid w:val="00982971"/>
    <w:rsid w:val="009845AD"/>
    <w:rsid w:val="00984835"/>
    <w:rsid w:val="009876B7"/>
    <w:rsid w:val="009933EF"/>
    <w:rsid w:val="00995BA0"/>
    <w:rsid w:val="009A418B"/>
    <w:rsid w:val="009A426F"/>
    <w:rsid w:val="009A42D5"/>
    <w:rsid w:val="009A4473"/>
    <w:rsid w:val="009B05C9"/>
    <w:rsid w:val="009B286C"/>
    <w:rsid w:val="009C151C"/>
    <w:rsid w:val="009C440A"/>
    <w:rsid w:val="009D5125"/>
    <w:rsid w:val="009D60B8"/>
    <w:rsid w:val="009D7D4B"/>
    <w:rsid w:val="009E36ED"/>
    <w:rsid w:val="009E3B47"/>
    <w:rsid w:val="009E3C8C"/>
    <w:rsid w:val="009E6B77"/>
    <w:rsid w:val="009F4372"/>
    <w:rsid w:val="009F460A"/>
    <w:rsid w:val="00A02C50"/>
    <w:rsid w:val="00A043FB"/>
    <w:rsid w:val="00A06BE4"/>
    <w:rsid w:val="00A0717A"/>
    <w:rsid w:val="00A0729C"/>
    <w:rsid w:val="00A073CF"/>
    <w:rsid w:val="00A07779"/>
    <w:rsid w:val="00A1166A"/>
    <w:rsid w:val="00A20B2E"/>
    <w:rsid w:val="00A24F33"/>
    <w:rsid w:val="00A25069"/>
    <w:rsid w:val="00A26E6B"/>
    <w:rsid w:val="00A3068F"/>
    <w:rsid w:val="00A3145B"/>
    <w:rsid w:val="00A339D0"/>
    <w:rsid w:val="00A3415C"/>
    <w:rsid w:val="00A41002"/>
    <w:rsid w:val="00A4201A"/>
    <w:rsid w:val="00A50046"/>
    <w:rsid w:val="00A50B97"/>
    <w:rsid w:val="00A5465D"/>
    <w:rsid w:val="00A553CE"/>
    <w:rsid w:val="00A5677A"/>
    <w:rsid w:val="00A56DCC"/>
    <w:rsid w:val="00A625E8"/>
    <w:rsid w:val="00A63DFF"/>
    <w:rsid w:val="00A64496"/>
    <w:rsid w:val="00A6490D"/>
    <w:rsid w:val="00A67033"/>
    <w:rsid w:val="00A7415D"/>
    <w:rsid w:val="00A80363"/>
    <w:rsid w:val="00A80939"/>
    <w:rsid w:val="00A83E9D"/>
    <w:rsid w:val="00A87C05"/>
    <w:rsid w:val="00A9169D"/>
    <w:rsid w:val="00A93598"/>
    <w:rsid w:val="00A97A3A"/>
    <w:rsid w:val="00AA240C"/>
    <w:rsid w:val="00AB0332"/>
    <w:rsid w:val="00AC101C"/>
    <w:rsid w:val="00AD0D58"/>
    <w:rsid w:val="00AD4CF1"/>
    <w:rsid w:val="00AD5988"/>
    <w:rsid w:val="00AD6293"/>
    <w:rsid w:val="00AE1643"/>
    <w:rsid w:val="00AE16AF"/>
    <w:rsid w:val="00AE6A7F"/>
    <w:rsid w:val="00AF372E"/>
    <w:rsid w:val="00AF5958"/>
    <w:rsid w:val="00AF7800"/>
    <w:rsid w:val="00B00CF5"/>
    <w:rsid w:val="00B02D1E"/>
    <w:rsid w:val="00B072E0"/>
    <w:rsid w:val="00B1007E"/>
    <w:rsid w:val="00B13D41"/>
    <w:rsid w:val="00B253F6"/>
    <w:rsid w:val="00B26675"/>
    <w:rsid w:val="00B305DB"/>
    <w:rsid w:val="00B332F8"/>
    <w:rsid w:val="00B3492B"/>
    <w:rsid w:val="00B4646F"/>
    <w:rsid w:val="00B55C7D"/>
    <w:rsid w:val="00B63038"/>
    <w:rsid w:val="00B64BD8"/>
    <w:rsid w:val="00B65F8B"/>
    <w:rsid w:val="00B701D1"/>
    <w:rsid w:val="00B721EF"/>
    <w:rsid w:val="00B73AF2"/>
    <w:rsid w:val="00B73D79"/>
    <w:rsid w:val="00B7551A"/>
    <w:rsid w:val="00B773F1"/>
    <w:rsid w:val="00B86AB1"/>
    <w:rsid w:val="00B87726"/>
    <w:rsid w:val="00B91B22"/>
    <w:rsid w:val="00BA7EBA"/>
    <w:rsid w:val="00BB2A06"/>
    <w:rsid w:val="00BB2CBB"/>
    <w:rsid w:val="00BB4198"/>
    <w:rsid w:val="00BC03EE"/>
    <w:rsid w:val="00BC1167"/>
    <w:rsid w:val="00BC59F1"/>
    <w:rsid w:val="00BD488E"/>
    <w:rsid w:val="00BF3DE1"/>
    <w:rsid w:val="00BF4843"/>
    <w:rsid w:val="00BF5205"/>
    <w:rsid w:val="00C05132"/>
    <w:rsid w:val="00C12508"/>
    <w:rsid w:val="00C172EE"/>
    <w:rsid w:val="00C23728"/>
    <w:rsid w:val="00C3026C"/>
    <w:rsid w:val="00C313A9"/>
    <w:rsid w:val="00C31F1E"/>
    <w:rsid w:val="00C347C8"/>
    <w:rsid w:val="00C358E4"/>
    <w:rsid w:val="00C418EE"/>
    <w:rsid w:val="00C441CF"/>
    <w:rsid w:val="00C45AA2"/>
    <w:rsid w:val="00C4792C"/>
    <w:rsid w:val="00C55BEF"/>
    <w:rsid w:val="00C57C00"/>
    <w:rsid w:val="00C601AF"/>
    <w:rsid w:val="00C61A63"/>
    <w:rsid w:val="00C61DAC"/>
    <w:rsid w:val="00C66296"/>
    <w:rsid w:val="00C7394D"/>
    <w:rsid w:val="00C756B7"/>
    <w:rsid w:val="00C77282"/>
    <w:rsid w:val="00C82E84"/>
    <w:rsid w:val="00C84DE5"/>
    <w:rsid w:val="00C86248"/>
    <w:rsid w:val="00C90B31"/>
    <w:rsid w:val="00CA0D6F"/>
    <w:rsid w:val="00CA1BC2"/>
    <w:rsid w:val="00CA4C33"/>
    <w:rsid w:val="00CA6F4A"/>
    <w:rsid w:val="00CB3483"/>
    <w:rsid w:val="00CB6427"/>
    <w:rsid w:val="00CC0FBE"/>
    <w:rsid w:val="00CD077C"/>
    <w:rsid w:val="00CD2119"/>
    <w:rsid w:val="00CD237A"/>
    <w:rsid w:val="00CD36AC"/>
    <w:rsid w:val="00CE13A3"/>
    <w:rsid w:val="00CE36BC"/>
    <w:rsid w:val="00CF1747"/>
    <w:rsid w:val="00CF60ED"/>
    <w:rsid w:val="00D05D74"/>
    <w:rsid w:val="00D20C59"/>
    <w:rsid w:val="00D23323"/>
    <w:rsid w:val="00D2392A"/>
    <w:rsid w:val="00D25FFE"/>
    <w:rsid w:val="00D27922"/>
    <w:rsid w:val="00D27A64"/>
    <w:rsid w:val="00D31268"/>
    <w:rsid w:val="00D3591C"/>
    <w:rsid w:val="00D37D80"/>
    <w:rsid w:val="00D442F3"/>
    <w:rsid w:val="00D44483"/>
    <w:rsid w:val="00D4476F"/>
    <w:rsid w:val="00D4536C"/>
    <w:rsid w:val="00D4751F"/>
    <w:rsid w:val="00D50573"/>
    <w:rsid w:val="00D51427"/>
    <w:rsid w:val="00D54D50"/>
    <w:rsid w:val="00D560B4"/>
    <w:rsid w:val="00D662F8"/>
    <w:rsid w:val="00D66797"/>
    <w:rsid w:val="00D7087C"/>
    <w:rsid w:val="00D70C3C"/>
    <w:rsid w:val="00D71DF7"/>
    <w:rsid w:val="00D72BE5"/>
    <w:rsid w:val="00D81462"/>
    <w:rsid w:val="00D82431"/>
    <w:rsid w:val="00D82F26"/>
    <w:rsid w:val="00D863D0"/>
    <w:rsid w:val="00D86B00"/>
    <w:rsid w:val="00D86FB9"/>
    <w:rsid w:val="00D87C87"/>
    <w:rsid w:val="00D90BB4"/>
    <w:rsid w:val="00D90E07"/>
    <w:rsid w:val="00D932C2"/>
    <w:rsid w:val="00DA0232"/>
    <w:rsid w:val="00DA7F9E"/>
    <w:rsid w:val="00DB06B4"/>
    <w:rsid w:val="00DB39CF"/>
    <w:rsid w:val="00DB7256"/>
    <w:rsid w:val="00DC0401"/>
    <w:rsid w:val="00DC20BD"/>
    <w:rsid w:val="00DD0BCD"/>
    <w:rsid w:val="00DD447A"/>
    <w:rsid w:val="00DD7D2E"/>
    <w:rsid w:val="00DE3B20"/>
    <w:rsid w:val="00DE6C94"/>
    <w:rsid w:val="00DE6FD7"/>
    <w:rsid w:val="00DF0C7C"/>
    <w:rsid w:val="00E10B18"/>
    <w:rsid w:val="00E23271"/>
    <w:rsid w:val="00E23D61"/>
    <w:rsid w:val="00E24F80"/>
    <w:rsid w:val="00E259F3"/>
    <w:rsid w:val="00E30985"/>
    <w:rsid w:val="00E33238"/>
    <w:rsid w:val="00E33934"/>
    <w:rsid w:val="00E376B7"/>
    <w:rsid w:val="00E42F5D"/>
    <w:rsid w:val="00E4486C"/>
    <w:rsid w:val="00E460B6"/>
    <w:rsid w:val="00E511D5"/>
    <w:rsid w:val="00E52937"/>
    <w:rsid w:val="00E53A9F"/>
    <w:rsid w:val="00E57349"/>
    <w:rsid w:val="00E60249"/>
    <w:rsid w:val="00E60811"/>
    <w:rsid w:val="00E62238"/>
    <w:rsid w:val="00E64DEA"/>
    <w:rsid w:val="00E65269"/>
    <w:rsid w:val="00E76D66"/>
    <w:rsid w:val="00EA2DA8"/>
    <w:rsid w:val="00EA6CC4"/>
    <w:rsid w:val="00EA796A"/>
    <w:rsid w:val="00EB1856"/>
    <w:rsid w:val="00EB7F54"/>
    <w:rsid w:val="00EC1DCB"/>
    <w:rsid w:val="00EC50CE"/>
    <w:rsid w:val="00EC5B34"/>
    <w:rsid w:val="00ED021E"/>
    <w:rsid w:val="00ED323C"/>
    <w:rsid w:val="00EE0ADB"/>
    <w:rsid w:val="00EE2D5C"/>
    <w:rsid w:val="00EE4ADE"/>
    <w:rsid w:val="00EE4DE8"/>
    <w:rsid w:val="00EE5CB7"/>
    <w:rsid w:val="00F000BF"/>
    <w:rsid w:val="00F024FE"/>
    <w:rsid w:val="00F05AD4"/>
    <w:rsid w:val="00F103BE"/>
    <w:rsid w:val="00F10EB6"/>
    <w:rsid w:val="00F13F07"/>
    <w:rsid w:val="00F140B2"/>
    <w:rsid w:val="00F16595"/>
    <w:rsid w:val="00F25970"/>
    <w:rsid w:val="00F311A9"/>
    <w:rsid w:val="00F31343"/>
    <w:rsid w:val="00F37381"/>
    <w:rsid w:val="00F40AC6"/>
    <w:rsid w:val="00F5180D"/>
    <w:rsid w:val="00F51F15"/>
    <w:rsid w:val="00F54E74"/>
    <w:rsid w:val="00F578F3"/>
    <w:rsid w:val="00F63781"/>
    <w:rsid w:val="00F67496"/>
    <w:rsid w:val="00F73238"/>
    <w:rsid w:val="00F7421E"/>
    <w:rsid w:val="00F74BB4"/>
    <w:rsid w:val="00F801BA"/>
    <w:rsid w:val="00F807AD"/>
    <w:rsid w:val="00F835C9"/>
    <w:rsid w:val="00F9366A"/>
    <w:rsid w:val="00F946C9"/>
    <w:rsid w:val="00F97D8A"/>
    <w:rsid w:val="00FA0EA5"/>
    <w:rsid w:val="00FA68C7"/>
    <w:rsid w:val="00FA74EE"/>
    <w:rsid w:val="00FB0A5B"/>
    <w:rsid w:val="00FB1B8E"/>
    <w:rsid w:val="00FB2383"/>
    <w:rsid w:val="00FC3711"/>
    <w:rsid w:val="00FC46E7"/>
    <w:rsid w:val="00FC5D25"/>
    <w:rsid w:val="00FD0D7E"/>
    <w:rsid w:val="00FD16C4"/>
    <w:rsid w:val="00FD362F"/>
    <w:rsid w:val="00FD47FE"/>
    <w:rsid w:val="00FD4FFB"/>
    <w:rsid w:val="00FE022F"/>
    <w:rsid w:val="00FE6E13"/>
    <w:rsid w:val="00FE7D38"/>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B81EE7"/>
  <w15:docId w15:val="{BC97C854-FB6E-4B6B-A8DF-FD5DC71BC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81A"/>
    <w:rPr>
      <w:rFonts w:ascii="Segoe UI" w:hAnsi="Segoe UI"/>
      <w:sz w:val="21"/>
      <w:lang w:eastAsia="en-GB"/>
    </w:rPr>
  </w:style>
  <w:style w:type="paragraph" w:styleId="Heading1">
    <w:name w:val="heading 1"/>
    <w:basedOn w:val="Normal"/>
    <w:next w:val="Normal"/>
    <w:link w:val="Heading1Char"/>
    <w:qFormat/>
    <w:rsid w:val="00DA7F9E"/>
    <w:pPr>
      <w:pageBreakBefore/>
      <w:spacing w:after="360"/>
      <w:outlineLvl w:val="0"/>
    </w:pPr>
    <w:rPr>
      <w:b/>
      <w:color w:val="23305D"/>
      <w:spacing w:val="-10"/>
      <w:sz w:val="72"/>
    </w:rPr>
  </w:style>
  <w:style w:type="paragraph" w:styleId="Heading2">
    <w:name w:val="heading 2"/>
    <w:basedOn w:val="Normal"/>
    <w:next w:val="Normal"/>
    <w:link w:val="Heading2Char"/>
    <w:uiPriority w:val="1"/>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427FA"/>
    <w:rPr>
      <w:rFonts w:ascii="Segoe UI" w:hAnsi="Segoe UI"/>
      <w:b/>
      <w:color w:val="23305D"/>
      <w:spacing w:val="-10"/>
      <w:sz w:val="72"/>
      <w:lang w:eastAsia="en-GB"/>
    </w:rPr>
  </w:style>
  <w:style w:type="character" w:customStyle="1" w:styleId="Heading2Char">
    <w:name w:val="Heading 2 Char"/>
    <w:link w:val="Heading2"/>
    <w:uiPriority w:val="1"/>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uiPriority w:val="1"/>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1"/>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rsid w:val="00B02D1E"/>
    <w:pPr>
      <w:tabs>
        <w:tab w:val="right" w:pos="8080"/>
      </w:tabs>
      <w:spacing w:before="120"/>
      <w:ind w:left="1134" w:right="567" w:hanging="1134"/>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character" w:customStyle="1" w:styleId="FootnoteTextChar">
    <w:name w:val="Footnote Text Char"/>
    <w:link w:val="FootnoteText"/>
    <w:uiPriority w:val="99"/>
    <w:rsid w:val="00A7415D"/>
    <w:rPr>
      <w:rFonts w:ascii="Segoe UI" w:hAnsi="Segoe UI"/>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uiPriority w:val="99"/>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uiPriority w:val="99"/>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uiPriority w:val="99"/>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0419A9"/>
    <w:pPr>
      <w:pBdr>
        <w:top w:val="single" w:sz="4" w:space="12" w:color="auto"/>
        <w:left w:val="single" w:sz="4" w:space="12" w:color="auto"/>
        <w:bottom w:val="single" w:sz="4" w:space="12" w:color="auto"/>
        <w:right w:val="single" w:sz="4" w:space="12" w:color="auto"/>
      </w:pBdr>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9652CF"/>
    <w:pPr>
      <w:numPr>
        <w:ilvl w:val="3"/>
        <w:numId w:val="5"/>
      </w:numPr>
      <w:spacing w:before="12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5"/>
      </w:numPr>
      <w:spacing w:before="90"/>
    </w:pPr>
    <w:rPr>
      <w:rFonts w:eastAsia="Arial Unicode MS"/>
    </w:rPr>
  </w:style>
  <w:style w:type="paragraph" w:styleId="Caption">
    <w:name w:val="caption"/>
    <w:basedOn w:val="Normal"/>
    <w:next w:val="Normal"/>
    <w:unhideWhenUsed/>
    <w:qFormat/>
    <w:rsid w:val="00967EEE"/>
    <w:pPr>
      <w:spacing w:after="200"/>
    </w:pPr>
    <w:rPr>
      <w:b/>
      <w:bCs/>
      <w:color w:val="4F81BD" w:themeColor="accent1"/>
      <w:sz w:val="18"/>
      <w:szCs w:val="18"/>
    </w:rPr>
  </w:style>
  <w:style w:type="table" w:styleId="TableGrid">
    <w:name w:val="Table Grid"/>
    <w:basedOn w:val="TableNormal"/>
    <w:uiPriority w:val="39"/>
    <w:rsid w:val="009636B7"/>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adedboxheading">
    <w:name w:val="Shaded box heading"/>
    <w:basedOn w:val="BoxHeading"/>
    <w:next w:val="Shadedboxtext"/>
    <w:qFormat/>
    <w:rsid w:val="009636B7"/>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after="120"/>
    </w:pPr>
    <w:rPr>
      <w:rFonts w:eastAsia="Arial Unicode MS"/>
    </w:rPr>
  </w:style>
  <w:style w:type="paragraph" w:customStyle="1" w:styleId="Shadedboxtext">
    <w:name w:val="Shaded box text"/>
    <w:basedOn w:val="Normal"/>
    <w:qFormat/>
    <w:rsid w:val="009636B7"/>
    <w:pPr>
      <w:pBdr>
        <w:top w:val="single" w:sz="4" w:space="12" w:color="FFFFFF" w:themeColor="background1"/>
        <w:left w:val="single" w:sz="4" w:space="12" w:color="FFFFFF" w:themeColor="background1"/>
        <w:bottom w:val="single" w:sz="4" w:space="12" w:color="FFFFFF" w:themeColor="background1"/>
        <w:right w:val="single" w:sz="4" w:space="12" w:color="FFFFFF" w:themeColor="background1"/>
      </w:pBdr>
      <w:shd w:val="clear" w:color="auto" w:fill="D9D9D9" w:themeFill="background1" w:themeFillShade="D9"/>
      <w:spacing w:line="264" w:lineRule="auto"/>
      <w:ind w:left="284" w:right="284"/>
    </w:pPr>
    <w:rPr>
      <w:rFonts w:eastAsia="Arial Unicode MS"/>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Segoe UI" w:hAnsi="Segoe UI"/>
      <w:lang w:eastAsia="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C1167"/>
    <w:rPr>
      <w:rFonts w:ascii="Tahoma" w:hAnsi="Tahoma" w:cs="Tahoma"/>
      <w:sz w:val="16"/>
      <w:szCs w:val="16"/>
    </w:rPr>
  </w:style>
  <w:style w:type="character" w:customStyle="1" w:styleId="BalloonTextChar">
    <w:name w:val="Balloon Text Char"/>
    <w:basedOn w:val="DefaultParagraphFont"/>
    <w:link w:val="BalloonText"/>
    <w:uiPriority w:val="99"/>
    <w:semiHidden/>
    <w:rsid w:val="00BC1167"/>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420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ihw.gov.au/reports-data/health-welfare-services/mental-health-services/overview" TargetMode="External"/><Relationship Id="rId117" Type="http://schemas.openxmlformats.org/officeDocument/2006/relationships/hyperlink" Target="http://www.health.govt.nz/publication/census-forensic-mental-health-services-2005" TargetMode="External"/><Relationship Id="rId21" Type="http://schemas.openxmlformats.org/officeDocument/2006/relationships/header" Target="header4.xml"/><Relationship Id="rId42" Type="http://schemas.openxmlformats.org/officeDocument/2006/relationships/hyperlink" Target="https://scholarship.shu.edu/shlr/" TargetMode="External"/><Relationship Id="rId47" Type="http://schemas.openxmlformats.org/officeDocument/2006/relationships/hyperlink" Target="https://doi.org/10.1080/14789949.2016.1244281" TargetMode="External"/><Relationship Id="rId63" Type="http://schemas.openxmlformats.org/officeDocument/2006/relationships/hyperlink" Target="https://doi.org/10.1080/14789949.2019.1646788" TargetMode="External"/><Relationship Id="rId68" Type="http://schemas.openxmlformats.org/officeDocument/2006/relationships/hyperlink" Target="http://www.corrections.govt.nz/resources/strategic_reports/corrections_strategic_plans/hkai_rangi.html" TargetMode="External"/><Relationship Id="rId84" Type="http://schemas.openxmlformats.org/officeDocument/2006/relationships/hyperlink" Target="https://doi.org/10.1177/0093854809338545" TargetMode="External"/><Relationship Id="rId89" Type="http://schemas.openxmlformats.org/officeDocument/2006/relationships/hyperlink" Target="http://citeseerx.ist.psu.edu/viewdoc/download?doi=10.1.1.612.1730&amp;rep=rep1&amp;type=pdf" TargetMode="External"/><Relationship Id="rId112" Type="http://schemas.openxmlformats.org/officeDocument/2006/relationships/hyperlink" Target="https://doi.org/10.1192/bjp.187.6.579" TargetMode="External"/><Relationship Id="rId133" Type="http://schemas.openxmlformats.org/officeDocument/2006/relationships/hyperlink" Target="http://www.nice.org.uk/guidance/ng66" TargetMode="External"/><Relationship Id="rId138" Type="http://schemas.openxmlformats.org/officeDocument/2006/relationships/hyperlink" Target="http://www.oag.govt.nz/2008/prisoners-mental-health/docs/mental-health.pdf/view" TargetMode="External"/><Relationship Id="rId154" Type="http://schemas.openxmlformats.org/officeDocument/2006/relationships/hyperlink" Target="https://doi.org/10.1080/14789949.2018.1508487" TargetMode="External"/><Relationship Id="rId159" Type="http://schemas.openxmlformats.org/officeDocument/2006/relationships/hyperlink" Target="http://www.tepou.co.nz/resources/adult-mental-health-forensic-workforce-2014-survey-of-vote-health-funded-services/678" TargetMode="External"/><Relationship Id="rId170" Type="http://schemas.openxmlformats.org/officeDocument/2006/relationships/hyperlink" Target="http://www.annalsofhealthlaw.com/" TargetMode="External"/><Relationship Id="rId16" Type="http://schemas.openxmlformats.org/officeDocument/2006/relationships/header" Target="header3.xml"/><Relationship Id="rId107" Type="http://schemas.openxmlformats.org/officeDocument/2006/relationships/hyperlink" Target="https://digitalcommons.pcom.edu/cgi/viewcontent.cgi?article=1249&amp;context=psychology_dissertations" TargetMode="External"/><Relationship Id="rId11" Type="http://schemas.openxmlformats.org/officeDocument/2006/relationships/hyperlink" Target="http://www.health.govt.nz" TargetMode="External"/><Relationship Id="rId32" Type="http://schemas.openxmlformats.org/officeDocument/2006/relationships/image" Target="media/image10.png"/><Relationship Id="rId37" Type="http://schemas.openxmlformats.org/officeDocument/2006/relationships/image" Target="media/image14.png"/><Relationship Id="rId53" Type="http://schemas.openxmlformats.org/officeDocument/2006/relationships/hyperlink" Target="https://webarchive.nationalarchives.gov.uk/ukgwa/20130107105354/http:/www.dh.gov.uk/prod_consum_dh/groups/dh_digitalassets/documents/digitalasset/dh_098698.pdf" TargetMode="External"/><Relationship Id="rId58" Type="http://schemas.openxmlformats.org/officeDocument/2006/relationships/hyperlink" Target="http://www.corrections.govt.nz/resources/research/journal/volume_6_issue_2_november_2018/are_psychologists_meeting_the_needs_of_mori_a_perspective_from_psychological_services" TargetMode="External"/><Relationship Id="rId74" Type="http://schemas.openxmlformats.org/officeDocument/2006/relationships/hyperlink" Target="https://doi.org/10.1111/jpm.12105" TargetMode="External"/><Relationship Id="rId79" Type="http://schemas.openxmlformats.org/officeDocument/2006/relationships/hyperlink" Target="http://www.forensicare.vic.gov.au/wp-content/uploads/2018/11/FORENSICARE-Strategic-Plan-2018-19-FINAL.pdf" TargetMode="External"/><Relationship Id="rId102" Type="http://schemas.openxmlformats.org/officeDocument/2006/relationships/hyperlink" Target="http://dx.doi.org/10.1037/h0100980" TargetMode="External"/><Relationship Id="rId123" Type="http://schemas.openxmlformats.org/officeDocument/2006/relationships/hyperlink" Target="http://www.health.govt.nz/publication/commissioning-framework-mental-health-and-addiction-new-zealand-guide" TargetMode="External"/><Relationship Id="rId128" Type="http://schemas.openxmlformats.org/officeDocument/2006/relationships/hyperlink" Target="https://dpmc.govt.nz/sites/default/files/2021-04/heallth-reform-white-paper-summary-apr21.pdf" TargetMode="External"/><Relationship Id="rId144" Type="http://schemas.openxmlformats.org/officeDocument/2006/relationships/hyperlink" Target="http://www.researchgate.net/publication/241393435_Meihana_Model_A_Clinical_Assessment_Framework" TargetMode="External"/><Relationship Id="rId149" Type="http://schemas.openxmlformats.org/officeDocument/2006/relationships/hyperlink" Target="https://safeandeffectivejustice.govt.nz/about-this-work/te-uepu-report/" TargetMode="External"/><Relationship Id="rId5" Type="http://schemas.openxmlformats.org/officeDocument/2006/relationships/webSettings" Target="webSettings.xml"/><Relationship Id="rId90" Type="http://schemas.openxmlformats.org/officeDocument/2006/relationships/hyperlink" Target="https://pdfs.semanticscholar.org/d746/dc863848b1a81e23479e20f87a4dcac3de9f.pdf" TargetMode="External"/><Relationship Id="rId95" Type="http://schemas.openxmlformats.org/officeDocument/2006/relationships/hyperlink" Target="http://dx.doi.org/10.1080/14999013.2016.1152614" TargetMode="External"/><Relationship Id="rId160" Type="http://schemas.openxmlformats.org/officeDocument/2006/relationships/hyperlink" Target="http://www.tepou.co.nz/resources/2018-more-than-numbers-workforce-report/906" TargetMode="External"/><Relationship Id="rId165" Type="http://schemas.openxmlformats.org/officeDocument/2006/relationships/hyperlink" Target="http://dx.doi.org/10.1016/j.avb.2016.11.008" TargetMode="External"/><Relationship Id="rId22" Type="http://schemas.openxmlformats.org/officeDocument/2006/relationships/header" Target="header5.xml"/><Relationship Id="rId27" Type="http://schemas.openxmlformats.org/officeDocument/2006/relationships/image" Target="media/image5.jpeg"/><Relationship Id="rId43" Type="http://schemas.openxmlformats.org/officeDocument/2006/relationships/hyperlink" Target="http://dx.doi.org/10.1177/0093854890017001004" TargetMode="External"/><Relationship Id="rId48" Type="http://schemas.openxmlformats.org/officeDocument/2006/relationships/hyperlink" Target="http://dx.doi.org/10.1016/j.avb.2015.04.009" TargetMode="External"/><Relationship Id="rId64" Type="http://schemas.openxmlformats.org/officeDocument/2006/relationships/hyperlink" Target="https://pdfs.semanticscholar.org/d05f/ab419a76119c49f75821339e0b0468814ee7.pdf" TargetMode="External"/><Relationship Id="rId69" Type="http://schemas.openxmlformats.org/officeDocument/2006/relationships/hyperlink" Target="http://www.corrections.govt.nz/working_with_offenders/prison_sentences/employment_and_support_programmes/rehabilitation_programmes/specialist_units" TargetMode="External"/><Relationship Id="rId113" Type="http://schemas.openxmlformats.org/officeDocument/2006/relationships/hyperlink" Target="http://www.health.govt.nz/publication/national-strategic-framework-alcohol-and-drug-services" TargetMode="External"/><Relationship Id="rId118" Type="http://schemas.openxmlformats.org/officeDocument/2006/relationships/hyperlink" Target="file:///C:\Users\kjones1\AppData\Local\Microsoft\Windows\INetCache\Content.Outlook\HWP8MYKO\URL" TargetMode="External"/><Relationship Id="rId134" Type="http://schemas.openxmlformats.org/officeDocument/2006/relationships/hyperlink" Target="http://www.nphn.scot.nhs.uk/wp-content/uploads/2016/02/NPHN-Mental-Health-Implementation-Report-May-2016.pdf" TargetMode="External"/><Relationship Id="rId139" Type="http://schemas.openxmlformats.org/officeDocument/2006/relationships/hyperlink" Target="http://www.mhcirl.ie/Inspectorate_of_Mental_Health_Services/National_Overview_Reports/NOR_130314.html" TargetMode="External"/><Relationship Id="rId80" Type="http://schemas.openxmlformats.org/officeDocument/2006/relationships/hyperlink" Target="http://www.pacifichealthdialog.nz" TargetMode="External"/><Relationship Id="rId85" Type="http://schemas.openxmlformats.org/officeDocument/2006/relationships/hyperlink" Target="http://www.corrections.govt.nz/resources/research/journal/volume_5_issue_2_november_2017/from_mori_therapeutic_programmes_to_mauri_t_pae" TargetMode="External"/><Relationship Id="rId150" Type="http://schemas.openxmlformats.org/officeDocument/2006/relationships/hyperlink" Target="https://safeandeffectivejustice.govt.nz/about-this-work/hui-maori/" TargetMode="External"/><Relationship Id="rId155" Type="http://schemas.openxmlformats.org/officeDocument/2006/relationships/hyperlink" Target="http://www.stats.govt.nz/assets/Uploads/Retirement-of-archive-website-project-files/Reports/2013-Census-QuickStats-about-Maori/qs-maori.pdf" TargetMode="External"/><Relationship Id="rId171" Type="http://schemas.openxmlformats.org/officeDocument/2006/relationships/footer" Target="footer11.xml"/><Relationship Id="rId12" Type="http://schemas.openxmlformats.org/officeDocument/2006/relationships/image" Target="media/image4.png"/><Relationship Id="rId17" Type="http://schemas.openxmlformats.org/officeDocument/2006/relationships/footer" Target="footer4.xml"/><Relationship Id="rId33" Type="http://schemas.openxmlformats.org/officeDocument/2006/relationships/image" Target="media/image11.png"/><Relationship Id="rId38" Type="http://schemas.openxmlformats.org/officeDocument/2006/relationships/image" Target="media/image15.emf"/><Relationship Id="rId59" Type="http://schemas.openxmlformats.org/officeDocument/2006/relationships/hyperlink" Target="http://www.rassegnaitalianadicriminologia.it/" TargetMode="External"/><Relationship Id="rId103" Type="http://schemas.openxmlformats.org/officeDocument/2006/relationships/hyperlink" Target="https://doi.org/10.1016/j.mppsy.2007.07.006" TargetMode="External"/><Relationship Id="rId108" Type="http://schemas.openxmlformats.org/officeDocument/2006/relationships/hyperlink" Target="http://www.cambridge.org/core/journals/the-british-journal-of-psychiatry" TargetMode="External"/><Relationship Id="rId124" Type="http://schemas.openxmlformats.org/officeDocument/2006/relationships/hyperlink" Target="http://www.health.govt.nz/publication/special-patients-and-restricted-patients-guidelines-regional-forensic-mental-health-services" TargetMode="External"/><Relationship Id="rId129" Type="http://schemas.openxmlformats.org/officeDocument/2006/relationships/hyperlink" Target="http://www.justice.govt.nz/assets/Documents/Publications/Culture-based-Interventions.pdf" TargetMode="External"/><Relationship Id="rId54" Type="http://schemas.openxmlformats.org/officeDocument/2006/relationships/hyperlink" Target="https://doi.org/10.1080/14999013.2007.10471252" TargetMode="External"/><Relationship Id="rId70" Type="http://schemas.openxmlformats.org/officeDocument/2006/relationships/hyperlink" Target="http://www.corrections.govt.nz/resources/strategic_reports/investing_in_better_mental_health_for_offenders.html" TargetMode="External"/><Relationship Id="rId75" Type="http://schemas.openxmlformats.org/officeDocument/2006/relationships/hyperlink" Target="https://doi.org/10.1016/j.ijlp.2018.10.003" TargetMode="External"/><Relationship Id="rId91" Type="http://schemas.openxmlformats.org/officeDocument/2006/relationships/hyperlink" Target="http://www.corrections.govt.nz/resources/research/journal/volume_6_issue_2_november_2018/the_effectiveness_of_corrections_rehabilitation_interventions_with_maori" TargetMode="External"/><Relationship Id="rId96" Type="http://schemas.openxmlformats.org/officeDocument/2006/relationships/hyperlink" Target="https://doi-org.ezproxy.aut.ac.nz/10.1080/14789940701560794" TargetMode="External"/><Relationship Id="rId140" Type="http://schemas.openxmlformats.org/officeDocument/2006/relationships/hyperlink" Target="https://doi.org/10.1108/13619322200800011" TargetMode="External"/><Relationship Id="rId145" Type="http://schemas.openxmlformats.org/officeDocument/2006/relationships/hyperlink" Target="file:///C:\Users\kjones1\AppData\Local\Microsoft\Windows\INetCache\Content.Outlook\HWP8MYKO\URL" TargetMode="External"/><Relationship Id="rId161" Type="http://schemas.openxmlformats.org/officeDocument/2006/relationships/hyperlink" Target="http://www.tepou.co.nz/resources/2018-more-than-numbers-dhb-workforce-report/905" TargetMode="External"/><Relationship Id="rId166" Type="http://schemas.openxmlformats.org/officeDocument/2006/relationships/hyperlink" Target="https://doi.org/10.1007/s10597-007-9089-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8.xml"/><Relationship Id="rId28" Type="http://schemas.openxmlformats.org/officeDocument/2006/relationships/image" Target="media/image6.jpg"/><Relationship Id="rId36" Type="http://schemas.openxmlformats.org/officeDocument/2006/relationships/hyperlink" Target="https://www.stuff.co.nz/national/politics/101882714/huge-rise-in-female-prison-population-a-problem--corrections-boss" TargetMode="External"/><Relationship Id="rId49" Type="http://schemas.openxmlformats.org/officeDocument/2006/relationships/hyperlink" Target="http://hdl.handle.net/10092/6769" TargetMode="External"/><Relationship Id="rId57" Type="http://schemas.openxmlformats.org/officeDocument/2006/relationships/hyperlink" Target="http://www.corrections.govt.nz/resources/research/journal/volume_6_issue_1_july_2018/a_brief_history_of_te_tirohanga_units" TargetMode="External"/><Relationship Id="rId106" Type="http://schemas.openxmlformats.org/officeDocument/2006/relationships/hyperlink" Target="https://doi-org.ezproxy.aut.ac.nz/10.1002/wps.20395" TargetMode="External"/><Relationship Id="rId114" Type="http://schemas.openxmlformats.org/officeDocument/2006/relationships/hyperlink" Target="file:///C:\Users\kjones1\AppData\Local\Microsoft\Windows\INetCache\Content.Outlook\HWP8MYKO\URL" TargetMode="External"/><Relationship Id="rId119" Type="http://schemas.openxmlformats.org/officeDocument/2006/relationships/hyperlink" Target="http://www.health.govt.nz/publication/te-puawaiwhero-second-maori-mental-health-and-addiction-national-strategic-framework-2008-2015" TargetMode="External"/><Relationship Id="rId127" Type="http://schemas.openxmlformats.org/officeDocument/2006/relationships/hyperlink" Target="http://www.health.govt.nz/publication/office-director-mental-health-and-addiction-services-annual-report-2017" TargetMode="External"/><Relationship Id="rId10"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hyperlink" Target="https://journals.rcni.com/nursing-standard" TargetMode="External"/><Relationship Id="rId52" Type="http://schemas.openxmlformats.org/officeDocument/2006/relationships/hyperlink" Target="http://www.bocsar.nsw.gov.au/Documents/r58_cls.pdf" TargetMode="External"/><Relationship Id="rId60" Type="http://schemas.openxmlformats.org/officeDocument/2006/relationships/hyperlink" Target="https://doi.org/10.1002/bsl.2238" TargetMode="External"/><Relationship Id="rId65" Type="http://schemas.openxmlformats.org/officeDocument/2006/relationships/hyperlink" Target="http://www.corrections.govt.nz/__data/assets/pdf_file/0016/13840/MFU_MTP_evaluation_final_report.pdf" TargetMode="External"/><Relationship Id="rId73" Type="http://schemas.openxmlformats.org/officeDocument/2006/relationships/hyperlink" Target="https://doi.org/10.1016/j.mppsy.2007.08.007" TargetMode="External"/><Relationship Id="rId78" Type="http://schemas.openxmlformats.org/officeDocument/2006/relationships/hyperlink" Target="http://www.forensicare.vic.gov.au/about-us/" TargetMode="External"/><Relationship Id="rId81" Type="http://schemas.openxmlformats.org/officeDocument/2006/relationships/hyperlink" Target="http://www.corrections.govt.nz/resources/research/journal/volume_4_issue_2_december_2016/state_of_mind_mental_health_services_in_new_zealand_prisons" TargetMode="External"/><Relationship Id="rId86" Type="http://schemas.openxmlformats.org/officeDocument/2006/relationships/hyperlink" Target="http://carrieresantementale.ca/Resource%20Library/Court%20Diversion-Support%20Programs/Evidence-Based%20Practices%20in%20Diversion%20Programs%20for%20Persons%20with%20Serious%20Mental%20Illness%20Who%20are%20in%20Conflict%20w%20the%20Law%202004.pdf" TargetMode="External"/><Relationship Id="rId94" Type="http://schemas.openxmlformats.org/officeDocument/2006/relationships/hyperlink" Target="http://www.antoniocasella.eu/archipsy/KENNEY-HERBERT_APR13.pdf" TargetMode="External"/><Relationship Id="rId99" Type="http://schemas.openxmlformats.org/officeDocument/2006/relationships/hyperlink" Target="https://ihpme.utoronto.ca/research/research-centres-initiatives/health-law-in-canada-journal/" TargetMode="External"/><Relationship Id="rId101" Type="http://schemas.openxmlformats.org/officeDocument/2006/relationships/hyperlink" Target="https://doi.org/10.1080/14789949.2012.668214" TargetMode="External"/><Relationship Id="rId122" Type="http://schemas.openxmlformats.org/officeDocument/2006/relationships/hyperlink" Target="http://www.health.govt.nz/publication/guidelines-mental-health-compulsory-assessment-and-treatment-act-1992" TargetMode="External"/><Relationship Id="rId130" Type="http://schemas.openxmlformats.org/officeDocument/2006/relationships/hyperlink" Target="https://pure.roehampton.ac.uk/portal/en/studentthesis/community-forensic-mental-health-teams-a-northern-ireland-perspective(df8a8d53-0384-46cf-a1c9-aad17dbfc4d4).html" TargetMode="External"/><Relationship Id="rId135" Type="http://schemas.openxmlformats.org/officeDocument/2006/relationships/hyperlink" Target="http://www.england.nhs.uk/specialised-commissioning-document-library/service-specifications/" TargetMode="External"/><Relationship Id="rId143" Type="http://schemas.openxmlformats.org/officeDocument/2006/relationships/hyperlink" Target="http://www.psychosocial.com/IJPR_18/Mind_The_Gap_Pearsall.html" TargetMode="External"/><Relationship Id="rId148" Type="http://schemas.openxmlformats.org/officeDocument/2006/relationships/hyperlink" Target="https://papers.ssrn.com/sol3/papers.cfm?abstract_id=2010512" TargetMode="External"/><Relationship Id="rId151" Type="http://schemas.openxmlformats.org/officeDocument/2006/relationships/hyperlink" Target="https://doi-org.ezproxy.aut.ac.nz/10.1176/appi.ps.52.7.973-a" TargetMode="External"/><Relationship Id="rId156" Type="http://schemas.openxmlformats.org/officeDocument/2006/relationships/hyperlink" Target="http://www.pacifichealthdialog.nz" TargetMode="External"/><Relationship Id="rId164" Type="http://schemas.openxmlformats.org/officeDocument/2006/relationships/hyperlink" Target="https://doi.org/10.1080/01612840.2016.1186253" TargetMode="External"/><Relationship Id="rId169" Type="http://schemas.openxmlformats.org/officeDocument/2006/relationships/hyperlink" Target="http://www.corrections.govt.nz/resources/research/what_works_for_maori" TargetMode="Externa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footer" Target="footer12.xm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package" Target="embeddings/Microsoft_Visio_Drawing11111.vsdx"/><Relationship Id="rId109" Type="http://schemas.openxmlformats.org/officeDocument/2006/relationships/hyperlink" Target="http://www.cambridge.org/core/journals/the-british-journal-of-psychiatry" TargetMode="External"/><Relationship Id="rId34" Type="http://schemas.openxmlformats.org/officeDocument/2006/relationships/image" Target="media/image12.png"/><Relationship Id="rId50" Type="http://schemas.openxmlformats.org/officeDocument/2006/relationships/hyperlink" Target="http://www.forensicnetwork.scot.nhs.uk/wp-content/uploads/2016/10/WomensServicesReport.pdf" TargetMode="External"/><Relationship Id="rId55" Type="http://schemas.openxmlformats.org/officeDocument/2006/relationships/hyperlink" Target="https://doi.org/10.1016/S0160-2527(00)00053-4" TargetMode="External"/><Relationship Id="rId76" Type="http://schemas.openxmlformats.org/officeDocument/2006/relationships/hyperlink" Target="http://www.forensicnetwork.scot.nhs.uk/wp-content/uploads/2016/10/Care-Standards-FINAL-DRAFT.pdf" TargetMode="External"/><Relationship Id="rId97" Type="http://schemas.openxmlformats.org/officeDocument/2006/relationships/hyperlink" Target="https://doi.org/10.1080/13218719.2017.1396863" TargetMode="External"/><Relationship Id="rId104" Type="http://schemas.openxmlformats.org/officeDocument/2006/relationships/hyperlink" Target="https://doi.org/10.12968/bjon.1999.8.21.1436" TargetMode="External"/><Relationship Id="rId120" Type="http://schemas.openxmlformats.org/officeDocument/2006/relationships/hyperlink" Target="http://www.health.govt.nz/publication/service-delivery-people-co-existing-mental-health-and-addiction-problems-integrated-solutions-2010" TargetMode="External"/><Relationship Id="rId125" Type="http://schemas.openxmlformats.org/officeDocument/2006/relationships/hyperlink" Target="https://www.health.govt.nz/publication/achieving-equity-health-outcomes-highlights-selected-papers" TargetMode="External"/><Relationship Id="rId141" Type="http://schemas.openxmlformats.org/officeDocument/2006/relationships/hyperlink" Target="https://doi.org/10.1258/rsmmsl.47.4.325" TargetMode="External"/><Relationship Id="rId146" Type="http://schemas.openxmlformats.org/officeDocument/2006/relationships/hyperlink" Target="http://www.corrections.govt.nz/resources/research_and_statistics/journal/volume_6_issue_1_july_2018/women_offenders_another_look_at_the_evidence" TargetMode="External"/><Relationship Id="rId167" Type="http://schemas.openxmlformats.org/officeDocument/2006/relationships/hyperlink" Target="https://doi.org/10.1016/j.eurpsy.2017.12.007" TargetMode="External"/><Relationship Id="rId7" Type="http://schemas.openxmlformats.org/officeDocument/2006/relationships/endnotes" Target="endnotes.xml"/><Relationship Id="rId71" Type="http://schemas.openxmlformats.org/officeDocument/2006/relationships/hyperlink" Target="http://www.gov.uk/government/publications/the-womens-mental-health-taskforce-report" TargetMode="External"/><Relationship Id="rId92" Type="http://schemas.openxmlformats.org/officeDocument/2006/relationships/hyperlink" Target="https://doi.org/10.1192/apt.8.6.433" TargetMode="External"/><Relationship Id="rId162" Type="http://schemas.openxmlformats.org/officeDocument/2006/relationships/hyperlink" Target="http://www.health.govt.nz/publication/te-ariari-o-te-oranga-assessment-and-management-people-co-existing-mental-health-and-drug-problems"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footer" Target="footer9.xml"/><Relationship Id="rId40" Type="http://schemas.openxmlformats.org/officeDocument/2006/relationships/image" Target="media/image16.emf"/><Relationship Id="rId45" Type="http://schemas.openxmlformats.org/officeDocument/2006/relationships/hyperlink" Target="https://artsaccess.org.nz/te%20mana%20wahine%20in%20women%E2%80%99s%20prisons" TargetMode="External"/><Relationship Id="rId66" Type="http://schemas.openxmlformats.org/officeDocument/2006/relationships/hyperlink" Target="http://www.corrections.govt.nz/news-and-publications/media-releases/2010-media-releases/growth-of-women-in-prison-nearly-double-that-of-men.html" TargetMode="External"/><Relationship Id="rId87" Type="http://schemas.openxmlformats.org/officeDocument/2006/relationships/hyperlink" Target="http://www.lenus.ie/handle/10147/620156" TargetMode="External"/><Relationship Id="rId110" Type="http://schemas.openxmlformats.org/officeDocument/2006/relationships/hyperlink" Target="http://www.lenus.ie/handle/10147/43831" TargetMode="External"/><Relationship Id="rId115" Type="http://schemas.openxmlformats.org/officeDocument/2006/relationships/hyperlink" Target="http://www.moh.govt.nz/notebook/nbbooks.nsf/0/F70EFE7760CB2804CC256A14007FA8E9/$file/Services%20for%20people%20with%20mental%20illness...framework.pdf" TargetMode="External"/><Relationship Id="rId131" Type="http://schemas.openxmlformats.org/officeDocument/2006/relationships/hyperlink" Target="http://www.abct.org/Journals/?m=mJournal&amp;fa=TBT" TargetMode="External"/><Relationship Id="rId136" Type="http://schemas.openxmlformats.org/officeDocument/2006/relationships/hyperlink" Target="http://www.england.nhs.uk/specialised-commissioning-document-library/service-specifications/" TargetMode="External"/><Relationship Id="rId157" Type="http://schemas.openxmlformats.org/officeDocument/2006/relationships/hyperlink" Target="https://openrepository.aut.ac.nz/bitstream/handle/10292/7910/TarrantPJ.pdf?sequence=3&amp;isAllowed=y" TargetMode="External"/><Relationship Id="rId61" Type="http://schemas.openxmlformats.org/officeDocument/2006/relationships/hyperlink" Target="https://offenderhealth.net.au/sites/default/files/strands_projects/Mental%20Health%20and%20Diversion%20National%20Report.pdf" TargetMode="External"/><Relationship Id="rId82" Type="http://schemas.openxmlformats.org/officeDocument/2006/relationships/hyperlink" Target="http://www.rcpsych.ac.uk/docs/default-source/improving-care/ccqi/quality-networks/secure-forensic/forensic-standards-qnfmhs/standards-for-forensic-mental-health-services-fourth-edition.pdf?sfvrsn=2d2daabf_6" TargetMode="External"/><Relationship Id="rId152" Type="http://schemas.openxmlformats.org/officeDocument/2006/relationships/hyperlink" Target="http://jaapl.org/" TargetMode="External"/><Relationship Id="rId173"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footer" Target="footer3.xm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hyperlink" Target="http://www.corrections.govt.nz/resources/research/journal/volume_4_issue_2_december_2016/the_department_of_corrections_tikanga-based_programmes" TargetMode="External"/><Relationship Id="rId77" Type="http://schemas.openxmlformats.org/officeDocument/2006/relationships/hyperlink" Target="http://www.forensicnetwork.scot.nhs.uk/wp-content/uploads/Annual-Report-2017.pdf" TargetMode="External"/><Relationship Id="rId100" Type="http://schemas.openxmlformats.org/officeDocument/2006/relationships/hyperlink" Target="https://doi.org/10.1016/j.avb.2019.02.001" TargetMode="External"/><Relationship Id="rId105" Type="http://schemas.openxmlformats.org/officeDocument/2006/relationships/hyperlink" Target="http://www.ijsj.ie/assets/uploads/documents/pdfs/2008-Edition-02/article/prison-psychiatric-inreach-and-court-liaison-services-in-ireland.pdf" TargetMode="External"/><Relationship Id="rId126" Type="http://schemas.openxmlformats.org/officeDocument/2006/relationships/hyperlink" Target="http://www.health.govt.nz/publication/night-safety-procedures-transitional-guideline" TargetMode="External"/><Relationship Id="rId147" Type="http://schemas.openxmlformats.org/officeDocument/2006/relationships/hyperlink" Target="https://psycnet.apa.org/doi/10.1037/0090-5550.51.3.247" TargetMode="External"/><Relationship Id="rId168" Type="http://schemas.openxmlformats.org/officeDocument/2006/relationships/hyperlink" Target="http://www.tandfonline.com/toc/tppl20/current" TargetMode="External"/><Relationship Id="rId8" Type="http://schemas.openxmlformats.org/officeDocument/2006/relationships/header" Target="header1.xml"/><Relationship Id="rId51" Type="http://schemas.openxmlformats.org/officeDocument/2006/relationships/hyperlink" Target="https://doi.org/10.1007/s10597-007-9091-x" TargetMode="External"/><Relationship Id="rId72" Type="http://schemas.openxmlformats.org/officeDocument/2006/relationships/hyperlink" Target="http://dx.doi.org/10.1016/j.ijlp.2013.09.012" TargetMode="External"/><Relationship Id="rId93" Type="http://schemas.openxmlformats.org/officeDocument/2006/relationships/hyperlink" Target="http://www.tara.tcd.ie/handle/2262/39131" TargetMode="External"/><Relationship Id="rId98" Type="http://schemas.openxmlformats.org/officeDocument/2006/relationships/hyperlink" Target="http://www.corrections.govt.nz/resources/newsletters_and_brochures/journal/volume_5_issue_2_november_2017/a_review_of_the_saili_matagi_programme_for_male_pacifica_prisoners.html" TargetMode="External"/><Relationship Id="rId121" Type="http://schemas.openxmlformats.org/officeDocument/2006/relationships/hyperlink" Target="http://www.health.govt.nz/publication/guidelines-safe-transport-special-patients-and-special-care-recipients-care-regional-forensic-mental" TargetMode="External"/><Relationship Id="rId142" Type="http://schemas.openxmlformats.org/officeDocument/2006/relationships/hyperlink" Target="https://doi.org/10.1016/j.ijlp.2010.06.002" TargetMode="External"/><Relationship Id="rId163" Type="http://schemas.openxmlformats.org/officeDocument/2006/relationships/hyperlink" Target="http://www.pacifichealthdialog.nz" TargetMode="External"/><Relationship Id="rId3" Type="http://schemas.openxmlformats.org/officeDocument/2006/relationships/styles" Target="styles.xml"/><Relationship Id="rId25" Type="http://schemas.openxmlformats.org/officeDocument/2006/relationships/footer" Target="footer10.xml"/><Relationship Id="rId46" Type="http://schemas.openxmlformats.org/officeDocument/2006/relationships/hyperlink" Target="http://www.aihw.gov.au/reports/mental-health-services/mental-health-services-in-australia/specialised-mental-health-care/restrictive-practices/seclusion" TargetMode="External"/><Relationship Id="rId67" Type="http://schemas.openxmlformats.org/officeDocument/2006/relationships/hyperlink" Target="http://www.corrections.govt.nz/__data/assets/pdf_file/0004/12739/COR_14503_Corrections_Works_v8lowres.pdf" TargetMode="External"/><Relationship Id="rId116" Type="http://schemas.openxmlformats.org/officeDocument/2006/relationships/hyperlink" Target="http://www.health.govt.nz/publication/te-puawaitanga-maori-mental-health-national-strategic-framework" TargetMode="External"/><Relationship Id="rId137" Type="http://schemas.openxmlformats.org/officeDocument/2006/relationships/hyperlink" Target="https://doi.org/10.1080/0312407X.2015.1126750" TargetMode="External"/><Relationship Id="rId158" Type="http://schemas.openxmlformats.org/officeDocument/2006/relationships/hyperlink" Target="http://www.tepou.co.nz/resources/talking-therapies-for-pasifika-peoples/152" TargetMode="External"/><Relationship Id="rId20" Type="http://schemas.openxmlformats.org/officeDocument/2006/relationships/footer" Target="footer7.xml"/><Relationship Id="rId41" Type="http://schemas.openxmlformats.org/officeDocument/2006/relationships/image" Target="media/image17.jpeg"/><Relationship Id="rId62" Type="http://schemas.openxmlformats.org/officeDocument/2006/relationships/hyperlink" Target="https://offenderhealth.net.au/sites/default/files/CLS%20Performance%20Framework%20and%20Measures%202016.pdf" TargetMode="External"/><Relationship Id="rId83" Type="http://schemas.openxmlformats.org/officeDocument/2006/relationships/hyperlink" Target="http://www.rcpsych.ac.uk/docs/default-source/improving-care/ccqi/quality-networks/prison-quality-network-prison/prison-qn-standards/prisons-standards-4th-edition.pdf?sfvrsn=465c58de_2" TargetMode="External"/><Relationship Id="rId88" Type="http://schemas.openxmlformats.org/officeDocument/2006/relationships/hyperlink" Target="http://www.corrections.govt.nz/resources/research/journal/volume_6_issue_2_november_2018/aotearoa_new_zealand_cultural_interventions_current_issues_and_potential_avenues" TargetMode="External"/><Relationship Id="rId111" Type="http://schemas.openxmlformats.org/officeDocument/2006/relationships/hyperlink" Target="http://www.lenus.ie/handle/10147/579851" TargetMode="External"/><Relationship Id="rId132" Type="http://schemas.openxmlformats.org/officeDocument/2006/relationships/hyperlink" Target="https://doi.org/10.1016/S0160-2527(00)00057-1" TargetMode="External"/><Relationship Id="rId153" Type="http://schemas.openxmlformats.org/officeDocument/2006/relationships/hyperlink" Target="https://doi.org/10.1080/09638237.2018.1466029" TargetMode="External"/><Relationship Id="rId17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lakealicehospital.com/history.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B546C-8D2B-4CB4-92E5-E35CCC215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31</TotalTime>
  <Pages>135</Pages>
  <Words>56921</Words>
  <Characters>324450</Characters>
  <Application>Microsoft Office Word</Application>
  <DocSecurity>0</DocSecurity>
  <Lines>2703</Lines>
  <Paragraphs>761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Dianne Grain</dc:creator>
  <cp:lastModifiedBy>Mary Little</cp:lastModifiedBy>
  <cp:revision>12</cp:revision>
  <cp:lastPrinted>2015-11-17T05:02:00Z</cp:lastPrinted>
  <dcterms:created xsi:type="dcterms:W3CDTF">2021-12-16T21:15:00Z</dcterms:created>
  <dcterms:modified xsi:type="dcterms:W3CDTF">2021-12-17T02:43:00Z</dcterms:modified>
</cp:coreProperties>
</file>