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C9" w:rsidRDefault="00DC0A66" w:rsidP="00DC0A66">
      <w:pPr>
        <w:pStyle w:val="Title"/>
      </w:pPr>
      <w:r>
        <w:t>Methodology Report 2015/16</w:t>
      </w:r>
    </w:p>
    <w:p w:rsidR="00C86248" w:rsidRDefault="00DC0A66" w:rsidP="00343365">
      <w:pPr>
        <w:pStyle w:val="Subhead"/>
      </w:pPr>
      <w:r>
        <w:t>New Zealand Health Survey</w:t>
      </w:r>
    </w:p>
    <w:p w:rsidR="00DC0A66" w:rsidRPr="00DC0A66" w:rsidRDefault="00DC0A66" w:rsidP="00DC0A66"/>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DC0A66">
        <w:t>2016</w:t>
      </w:r>
      <w:r w:rsidR="00442C1C">
        <w:t xml:space="preserve">. </w:t>
      </w:r>
      <w:r w:rsidR="00DC0A66">
        <w:rPr>
          <w:i/>
        </w:rPr>
        <w:t>Methodology Report 2015/16</w:t>
      </w:r>
      <w:proofErr w:type="gramStart"/>
      <w:r w:rsidR="00DC0A66">
        <w:rPr>
          <w:i/>
        </w:rPr>
        <w:t>:</w:t>
      </w:r>
      <w:proofErr w:type="gramEnd"/>
      <w:r w:rsidR="00DC0A66">
        <w:rPr>
          <w:i/>
        </w:rPr>
        <w:br/>
        <w:t>New Zealand Health Survey</w:t>
      </w:r>
      <w:r w:rsidR="00442C1C">
        <w:t>. Wellington: Ministry of Health.</w:t>
      </w:r>
    </w:p>
    <w:p w:rsidR="00C86248" w:rsidRDefault="00C86248">
      <w:pPr>
        <w:pStyle w:val="Imprint"/>
      </w:pPr>
      <w:r>
        <w:t xml:space="preserve">Published in </w:t>
      </w:r>
      <w:r w:rsidR="00DC0A66">
        <w:t>December 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F63781" w:rsidP="00082CD6">
      <w:pPr>
        <w:pStyle w:val="Imprint"/>
      </w:pPr>
      <w:r>
        <w:t xml:space="preserve">ISBN </w:t>
      </w:r>
      <w:r w:rsidR="00B940BE" w:rsidRPr="00B940BE">
        <w:rPr>
          <w:lang w:val="en-US"/>
        </w:rPr>
        <w:t>978-0-947515-87-4</w:t>
      </w:r>
      <w:r w:rsidR="00442C1C">
        <w:t xml:space="preserve"> </w:t>
      </w:r>
      <w:r w:rsidR="00D863D0">
        <w:t>(</w:t>
      </w:r>
      <w:r w:rsidR="00442C1C">
        <w:t>online</w:t>
      </w:r>
      <w:proofErr w:type="gramStart"/>
      <w:r w:rsidR="00D863D0">
        <w:t>)</w:t>
      </w:r>
      <w:proofErr w:type="gramEnd"/>
      <w:r w:rsidR="00082CD6">
        <w:br/>
      </w:r>
      <w:r w:rsidR="00082CD6" w:rsidRPr="009C0F2D">
        <w:t xml:space="preserve">HP </w:t>
      </w:r>
      <w:r w:rsidR="00B940BE">
        <w:t>6519</w:t>
      </w:r>
    </w:p>
    <w:p w:rsidR="00C86248" w:rsidRDefault="00C86248">
      <w:pPr>
        <w:pStyle w:val="Imprint"/>
      </w:pPr>
      <w:r>
        <w:t xml:space="preserve">This document is available </w:t>
      </w:r>
      <w:r w:rsidR="00B940BE">
        <w:t xml:space="preserve">at </w:t>
      </w:r>
      <w:r>
        <w:t>h</w:t>
      </w:r>
      <w:r w:rsidR="00A80363">
        <w:t>ealth</w:t>
      </w:r>
      <w:r>
        <w:t>.govt.nz</w:t>
      </w:r>
    </w:p>
    <w:p w:rsidR="00C86248" w:rsidRDefault="008C64C4">
      <w:pPr>
        <w:jc w:val="center"/>
      </w:pPr>
      <w:r>
        <w:rPr>
          <w:noProof/>
          <w:lang w:eastAsia="en-NZ"/>
        </w:rPr>
        <w:drawing>
          <wp:inline distT="0" distB="0" distL="0" distR="0" wp14:anchorId="3DCA2665" wp14:editId="0F2FBA46">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3509D125" wp14:editId="54A9376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w:t>
      </w:r>
      <w:proofErr w:type="spellStart"/>
      <w:r w:rsidRPr="001F45A7">
        <w:rPr>
          <w:sz w:val="18"/>
          <w:szCs w:val="18"/>
        </w:rPr>
        <w:t>ie</w:t>
      </w:r>
      <w:proofErr w:type="spellEnd"/>
      <w:r w:rsidRPr="001F45A7">
        <w:rPr>
          <w:sz w:val="18"/>
          <w:szCs w:val="18"/>
        </w:rPr>
        <w:t xml:space="preserve">, copy and redistribute the material in any medium or format; adapt </w:t>
      </w:r>
      <w:proofErr w:type="spellStart"/>
      <w:r w:rsidRPr="001F45A7">
        <w:rPr>
          <w:sz w:val="18"/>
          <w:szCs w:val="18"/>
        </w:rPr>
        <w:t>ie</w:t>
      </w:r>
      <w:proofErr w:type="spellEnd"/>
      <w:r w:rsidRPr="001F45A7">
        <w:rPr>
          <w:sz w:val="18"/>
          <w:szCs w:val="18"/>
        </w:rPr>
        <w:t xml:space="preserv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DE3B20" w:rsidRDefault="00DC0A66" w:rsidP="0021763B">
      <w:pPr>
        <w:pStyle w:val="Heading1"/>
      </w:pPr>
      <w:bookmarkStart w:id="0" w:name="_Toc467515111"/>
      <w:bookmarkStart w:id="1" w:name="_Toc405792991"/>
      <w:bookmarkStart w:id="2" w:name="_Toc405793224"/>
      <w:r>
        <w:lastRenderedPageBreak/>
        <w:t>Authors</w:t>
      </w:r>
      <w:bookmarkEnd w:id="0"/>
    </w:p>
    <w:p w:rsidR="00DE3B20" w:rsidRDefault="00DC0A66" w:rsidP="00DC0A66">
      <w:r>
        <w:t xml:space="preserve">This report was written by </w:t>
      </w:r>
      <w:proofErr w:type="spellStart"/>
      <w:r>
        <w:t>Deepa</w:t>
      </w:r>
      <w:proofErr w:type="spellEnd"/>
      <w:r>
        <w:t xml:space="preserve"> </w:t>
      </w:r>
      <w:proofErr w:type="spellStart"/>
      <w:r>
        <w:t>Weerasekera</w:t>
      </w:r>
      <w:proofErr w:type="spellEnd"/>
      <w:r>
        <w:t xml:space="preserve"> and</w:t>
      </w:r>
      <w:bookmarkStart w:id="3" w:name="_GoBack"/>
      <w:bookmarkEnd w:id="3"/>
      <w:r>
        <w:t xml:space="preserve"> Steven Johnston </w:t>
      </w:r>
      <w:r w:rsidRPr="003846AC">
        <w:t>(Health and Disability Intelligenc</w:t>
      </w:r>
      <w:r>
        <w:t xml:space="preserve">e Group, Ministry of Health), </w:t>
      </w:r>
      <w:r w:rsidRPr="003846AC">
        <w:t>Robert Clark (</w:t>
      </w:r>
      <w:r>
        <w:t>National Institute for Applied Statistics Research Australia, NIASRA</w:t>
      </w:r>
      <w:r w:rsidRPr="003846AC">
        <w:t>, Unive</w:t>
      </w:r>
      <w:r>
        <w:t xml:space="preserve">rsity of Wollongong, Australia) and </w:t>
      </w:r>
      <w:r w:rsidRPr="003846AC">
        <w:t xml:space="preserve">Barry </w:t>
      </w:r>
      <w:proofErr w:type="spellStart"/>
      <w:r w:rsidRPr="003846AC">
        <w:t>Gribben</w:t>
      </w:r>
      <w:proofErr w:type="spellEnd"/>
      <w:r w:rsidRPr="003846AC">
        <w:t>, Carol Boustead and Neil Tee (C</w:t>
      </w:r>
      <w:r>
        <w:t>BG Health Research Ltd).</w:t>
      </w:r>
    </w:p>
    <w:p w:rsidR="00032C0A" w:rsidRDefault="00DC0A66" w:rsidP="00032C0A">
      <w:pPr>
        <w:pStyle w:val="Heading1"/>
      </w:pPr>
      <w:bookmarkStart w:id="4" w:name="_Toc467515112"/>
      <w:r>
        <w:lastRenderedPageBreak/>
        <w:t>Acknowledgements</w:t>
      </w:r>
      <w:bookmarkEnd w:id="4"/>
    </w:p>
    <w:p w:rsidR="00DC0A66" w:rsidRDefault="00DC0A66" w:rsidP="00DC0A66">
      <w:r w:rsidRPr="00CC7E24">
        <w:t>Thank you to the many thousands of New Zealanders who gave their time to participate in the New Zealand Health Survey and to the interviewers who worked so diligently to collect the data.</w:t>
      </w:r>
    </w:p>
    <w:p w:rsidR="00DC0A66" w:rsidRDefault="00DC0A66" w:rsidP="00DC0A66">
      <w:pPr>
        <w:rPr>
          <w:rFonts w:eastAsia="Calibri"/>
          <w:lang w:eastAsia="en-US"/>
        </w:rPr>
      </w:pPr>
    </w:p>
    <w:p w:rsidR="00032C0A" w:rsidRDefault="00DC0A66" w:rsidP="00DC0A66">
      <w:r w:rsidRPr="00BD09CB">
        <w:rPr>
          <w:rFonts w:eastAsia="Calibri"/>
          <w:lang w:eastAsia="en-US"/>
        </w:rPr>
        <w:t>Please refer to the Ministry of Health</w:t>
      </w:r>
      <w:r w:rsidR="00981544">
        <w:rPr>
          <w:rFonts w:eastAsia="Calibri"/>
          <w:lang w:eastAsia="en-US"/>
        </w:rPr>
        <w:t>’</w:t>
      </w:r>
      <w:r w:rsidRPr="00BD09CB">
        <w:rPr>
          <w:rFonts w:eastAsia="Calibri"/>
          <w:lang w:eastAsia="en-US"/>
        </w:rPr>
        <w:t>s publication</w:t>
      </w:r>
      <w:r>
        <w:rPr>
          <w:rFonts w:eastAsia="Calibri"/>
          <w:lang w:eastAsia="en-US"/>
        </w:rPr>
        <w:t xml:space="preserve"> </w:t>
      </w:r>
      <w:r w:rsidRPr="00963A2D">
        <w:rPr>
          <w:rFonts w:cs="Arial Mäori"/>
          <w:i/>
          <w:color w:val="000000"/>
          <w:lang w:eastAsia="en-NZ"/>
        </w:rPr>
        <w:t xml:space="preserve">Annual </w:t>
      </w:r>
      <w:r>
        <w:rPr>
          <w:rFonts w:cs="Arial Mäori"/>
          <w:i/>
          <w:color w:val="000000"/>
          <w:lang w:eastAsia="en-NZ"/>
        </w:rPr>
        <w:t>U</w:t>
      </w:r>
      <w:r w:rsidRPr="00963A2D">
        <w:rPr>
          <w:rFonts w:cs="Arial Mäori"/>
          <w:i/>
          <w:color w:val="000000"/>
          <w:lang w:eastAsia="en-NZ"/>
        </w:rPr>
        <w:t xml:space="preserve">pdate of </w:t>
      </w:r>
      <w:r>
        <w:rPr>
          <w:rFonts w:cs="Arial Mäori"/>
          <w:i/>
          <w:color w:val="000000"/>
          <w:lang w:eastAsia="en-NZ"/>
        </w:rPr>
        <w:t>K</w:t>
      </w:r>
      <w:r w:rsidRPr="00963A2D">
        <w:rPr>
          <w:rFonts w:cs="Arial Mäori"/>
          <w:i/>
          <w:color w:val="000000"/>
          <w:lang w:eastAsia="en-NZ"/>
        </w:rPr>
        <w:t xml:space="preserve">ey </w:t>
      </w:r>
      <w:r>
        <w:rPr>
          <w:rFonts w:cs="Arial Mäori"/>
          <w:i/>
          <w:color w:val="000000"/>
          <w:lang w:eastAsia="en-NZ"/>
        </w:rPr>
        <w:t xml:space="preserve">Results 2015/16 </w:t>
      </w:r>
      <w:r w:rsidRPr="00BD09CB">
        <w:rPr>
          <w:rFonts w:eastAsia="Calibri"/>
          <w:lang w:eastAsia="en-US"/>
        </w:rPr>
        <w:t>for further acknowledg</w:t>
      </w:r>
      <w:r>
        <w:rPr>
          <w:rFonts w:eastAsia="Calibri"/>
          <w:lang w:eastAsia="en-US"/>
        </w:rPr>
        <w:t>ements (Ministry of Health 2016a</w:t>
      </w:r>
      <w:r w:rsidRPr="00BD09CB">
        <w:rPr>
          <w:rFonts w:eastAsia="Calibri"/>
          <w:lang w:eastAsia="en-US"/>
        </w:rPr>
        <w:t>).</w:t>
      </w:r>
    </w:p>
    <w:p w:rsidR="00032C0A" w:rsidRDefault="00032C0A" w:rsidP="00DC0A66"/>
    <w:p w:rsidR="00C86248" w:rsidRDefault="00C86248">
      <w:pPr>
        <w:pStyle w:val="IntroHead"/>
      </w:pPr>
      <w:r>
        <w:lastRenderedPageBreak/>
        <w:t>Contents</w:t>
      </w:r>
      <w:bookmarkEnd w:id="1"/>
      <w:bookmarkEnd w:id="2"/>
    </w:p>
    <w:p w:rsidR="007013D0"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7013D0">
        <w:rPr>
          <w:noProof/>
        </w:rPr>
        <w:t>Authors</w:t>
      </w:r>
      <w:r w:rsidR="007013D0">
        <w:rPr>
          <w:noProof/>
        </w:rPr>
        <w:tab/>
      </w:r>
      <w:r w:rsidR="007013D0">
        <w:rPr>
          <w:noProof/>
        </w:rPr>
        <w:fldChar w:fldCharType="begin"/>
      </w:r>
      <w:r w:rsidR="007013D0">
        <w:rPr>
          <w:noProof/>
        </w:rPr>
        <w:instrText xml:space="preserve"> PAGEREF _Toc467515111 \h </w:instrText>
      </w:r>
      <w:r w:rsidR="007013D0">
        <w:rPr>
          <w:noProof/>
        </w:rPr>
      </w:r>
      <w:r w:rsidR="007013D0">
        <w:rPr>
          <w:noProof/>
        </w:rPr>
        <w:fldChar w:fldCharType="separate"/>
      </w:r>
      <w:r w:rsidR="006E025A">
        <w:rPr>
          <w:noProof/>
        </w:rPr>
        <w:t>iii</w:t>
      </w:r>
      <w:r w:rsidR="007013D0">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_Toc467515112 \h </w:instrText>
      </w:r>
      <w:r>
        <w:rPr>
          <w:noProof/>
        </w:rPr>
      </w:r>
      <w:r>
        <w:rPr>
          <w:noProof/>
        </w:rPr>
        <w:fldChar w:fldCharType="separate"/>
      </w:r>
      <w:r w:rsidR="006E025A">
        <w:rPr>
          <w:noProof/>
        </w:rPr>
        <w:t>iv</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1: Introduction</w:t>
      </w:r>
      <w:r>
        <w:rPr>
          <w:noProof/>
        </w:rPr>
        <w:tab/>
      </w:r>
      <w:r>
        <w:rPr>
          <w:noProof/>
        </w:rPr>
        <w:fldChar w:fldCharType="begin"/>
      </w:r>
      <w:r>
        <w:rPr>
          <w:noProof/>
        </w:rPr>
        <w:instrText xml:space="preserve"> PAGEREF _Toc467515113 \h </w:instrText>
      </w:r>
      <w:r>
        <w:rPr>
          <w:noProof/>
        </w:rPr>
      </w:r>
      <w:r>
        <w:rPr>
          <w:noProof/>
        </w:rPr>
        <w:fldChar w:fldCharType="separate"/>
      </w:r>
      <w:r w:rsidR="006E025A">
        <w:rPr>
          <w:noProof/>
        </w:rPr>
        <w:t>1</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_Toc467515114 \h </w:instrText>
      </w:r>
      <w:r>
        <w:rPr>
          <w:noProof/>
        </w:rPr>
      </w:r>
      <w:r>
        <w:rPr>
          <w:noProof/>
        </w:rPr>
        <w:fldChar w:fldCharType="separate"/>
      </w:r>
      <w:r w:rsidR="006E025A">
        <w:rPr>
          <w:noProof/>
        </w:rPr>
        <w:t>1</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_Toc467515115 \h </w:instrText>
      </w:r>
      <w:r>
        <w:rPr>
          <w:noProof/>
        </w:rPr>
      </w:r>
      <w:r>
        <w:rPr>
          <w:noProof/>
        </w:rPr>
        <w:fldChar w:fldCharType="separate"/>
      </w:r>
      <w:r w:rsidR="006E025A">
        <w:rPr>
          <w:noProof/>
        </w:rPr>
        <w:t>2</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2: Survey content</w:t>
      </w:r>
      <w:r>
        <w:rPr>
          <w:noProof/>
        </w:rPr>
        <w:tab/>
      </w:r>
      <w:r>
        <w:rPr>
          <w:noProof/>
        </w:rPr>
        <w:fldChar w:fldCharType="begin"/>
      </w:r>
      <w:r>
        <w:rPr>
          <w:noProof/>
        </w:rPr>
        <w:instrText xml:space="preserve"> PAGEREF _Toc467515116 \h </w:instrText>
      </w:r>
      <w:r>
        <w:rPr>
          <w:noProof/>
        </w:rPr>
      </w:r>
      <w:r>
        <w:rPr>
          <w:noProof/>
        </w:rPr>
        <w:fldChar w:fldCharType="separate"/>
      </w:r>
      <w:r w:rsidR="006E025A">
        <w:rPr>
          <w:noProof/>
        </w:rPr>
        <w:t>3</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Core content</w:t>
      </w:r>
      <w:r>
        <w:rPr>
          <w:noProof/>
        </w:rPr>
        <w:tab/>
      </w:r>
      <w:r>
        <w:rPr>
          <w:noProof/>
        </w:rPr>
        <w:fldChar w:fldCharType="begin"/>
      </w:r>
      <w:r>
        <w:rPr>
          <w:noProof/>
        </w:rPr>
        <w:instrText xml:space="preserve"> PAGEREF _Toc467515117 \h </w:instrText>
      </w:r>
      <w:r>
        <w:rPr>
          <w:noProof/>
        </w:rPr>
      </w:r>
      <w:r>
        <w:rPr>
          <w:noProof/>
        </w:rPr>
        <w:fldChar w:fldCharType="separate"/>
      </w:r>
      <w:r w:rsidR="006E025A">
        <w:rPr>
          <w:noProof/>
        </w:rPr>
        <w:t>3</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Module component</w:t>
      </w:r>
      <w:r>
        <w:rPr>
          <w:noProof/>
        </w:rPr>
        <w:tab/>
      </w:r>
      <w:r>
        <w:rPr>
          <w:noProof/>
        </w:rPr>
        <w:fldChar w:fldCharType="begin"/>
      </w:r>
      <w:r>
        <w:rPr>
          <w:noProof/>
        </w:rPr>
        <w:instrText xml:space="preserve"> PAGEREF _Toc467515118 \h </w:instrText>
      </w:r>
      <w:r>
        <w:rPr>
          <w:noProof/>
        </w:rPr>
      </w:r>
      <w:r>
        <w:rPr>
          <w:noProof/>
        </w:rPr>
        <w:fldChar w:fldCharType="separate"/>
      </w:r>
      <w:r w:rsidR="006E025A">
        <w:rPr>
          <w:noProof/>
        </w:rPr>
        <w:t>4</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3: Survey population and sample design</w:t>
      </w:r>
      <w:r>
        <w:rPr>
          <w:noProof/>
        </w:rPr>
        <w:tab/>
      </w:r>
      <w:r>
        <w:rPr>
          <w:noProof/>
        </w:rPr>
        <w:fldChar w:fldCharType="begin"/>
      </w:r>
      <w:r>
        <w:rPr>
          <w:noProof/>
        </w:rPr>
        <w:instrText xml:space="preserve"> PAGEREF _Toc467515119 \h </w:instrText>
      </w:r>
      <w:r>
        <w:rPr>
          <w:noProof/>
        </w:rPr>
      </w:r>
      <w:r>
        <w:rPr>
          <w:noProof/>
        </w:rPr>
        <w:fldChar w:fldCharType="separate"/>
      </w:r>
      <w:r w:rsidR="006E025A">
        <w:rPr>
          <w:noProof/>
        </w:rPr>
        <w:t>5</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Target and survey population</w:t>
      </w:r>
      <w:r>
        <w:rPr>
          <w:noProof/>
        </w:rPr>
        <w:tab/>
      </w:r>
      <w:r>
        <w:rPr>
          <w:noProof/>
        </w:rPr>
        <w:fldChar w:fldCharType="begin"/>
      </w:r>
      <w:r>
        <w:rPr>
          <w:noProof/>
        </w:rPr>
        <w:instrText xml:space="preserve"> PAGEREF _Toc467515120 \h </w:instrText>
      </w:r>
      <w:r>
        <w:rPr>
          <w:noProof/>
        </w:rPr>
      </w:r>
      <w:r>
        <w:rPr>
          <w:noProof/>
        </w:rPr>
        <w:fldChar w:fldCharType="separate"/>
      </w:r>
      <w:r w:rsidR="006E025A">
        <w:rPr>
          <w:noProof/>
        </w:rPr>
        <w:t>5</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Sample design</w:t>
      </w:r>
      <w:r>
        <w:rPr>
          <w:noProof/>
        </w:rPr>
        <w:tab/>
      </w:r>
      <w:r>
        <w:rPr>
          <w:noProof/>
        </w:rPr>
        <w:fldChar w:fldCharType="begin"/>
      </w:r>
      <w:r>
        <w:rPr>
          <w:noProof/>
        </w:rPr>
        <w:instrText xml:space="preserve"> PAGEREF _Toc467515121 \h </w:instrText>
      </w:r>
      <w:r>
        <w:rPr>
          <w:noProof/>
        </w:rPr>
      </w:r>
      <w:r>
        <w:rPr>
          <w:noProof/>
        </w:rPr>
        <w:fldChar w:fldCharType="separate"/>
      </w:r>
      <w:r w:rsidR="006E025A">
        <w:rPr>
          <w:noProof/>
        </w:rPr>
        <w:t>5</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4: Data collection</w:t>
      </w:r>
      <w:r>
        <w:rPr>
          <w:noProof/>
        </w:rPr>
        <w:tab/>
      </w:r>
      <w:r>
        <w:rPr>
          <w:noProof/>
        </w:rPr>
        <w:fldChar w:fldCharType="begin"/>
      </w:r>
      <w:r>
        <w:rPr>
          <w:noProof/>
        </w:rPr>
        <w:instrText xml:space="preserve"> PAGEREF _Toc467515122 \h </w:instrText>
      </w:r>
      <w:r>
        <w:rPr>
          <w:noProof/>
        </w:rPr>
      </w:r>
      <w:r>
        <w:rPr>
          <w:noProof/>
        </w:rPr>
        <w:fldChar w:fldCharType="separate"/>
      </w:r>
      <w:r w:rsidR="006E025A">
        <w:rPr>
          <w:noProof/>
        </w:rPr>
        <w:t>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Pilot study</w:t>
      </w:r>
      <w:r>
        <w:rPr>
          <w:noProof/>
        </w:rPr>
        <w:tab/>
      </w:r>
      <w:r>
        <w:rPr>
          <w:noProof/>
        </w:rPr>
        <w:fldChar w:fldCharType="begin"/>
      </w:r>
      <w:r>
        <w:rPr>
          <w:noProof/>
        </w:rPr>
        <w:instrText xml:space="preserve"> PAGEREF _Toc467515123 \h </w:instrText>
      </w:r>
      <w:r>
        <w:rPr>
          <w:noProof/>
        </w:rPr>
      </w:r>
      <w:r>
        <w:rPr>
          <w:noProof/>
        </w:rPr>
        <w:fldChar w:fldCharType="separate"/>
      </w:r>
      <w:r w:rsidR="006E025A">
        <w:rPr>
          <w:noProof/>
        </w:rPr>
        <w:t>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Enumeration</w:t>
      </w:r>
      <w:r>
        <w:rPr>
          <w:noProof/>
        </w:rPr>
        <w:tab/>
      </w:r>
      <w:r>
        <w:rPr>
          <w:noProof/>
        </w:rPr>
        <w:fldChar w:fldCharType="begin"/>
      </w:r>
      <w:r>
        <w:rPr>
          <w:noProof/>
        </w:rPr>
        <w:instrText xml:space="preserve"> PAGEREF _Toc467515124 \h </w:instrText>
      </w:r>
      <w:r>
        <w:rPr>
          <w:noProof/>
        </w:rPr>
      </w:r>
      <w:r>
        <w:rPr>
          <w:noProof/>
        </w:rPr>
        <w:fldChar w:fldCharType="separate"/>
      </w:r>
      <w:r w:rsidR="006E025A">
        <w:rPr>
          <w:noProof/>
        </w:rPr>
        <w:t>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Invitation to participate</w:t>
      </w:r>
      <w:r>
        <w:rPr>
          <w:noProof/>
        </w:rPr>
        <w:tab/>
      </w:r>
      <w:r>
        <w:rPr>
          <w:noProof/>
        </w:rPr>
        <w:fldChar w:fldCharType="begin"/>
      </w:r>
      <w:r>
        <w:rPr>
          <w:noProof/>
        </w:rPr>
        <w:instrText xml:space="preserve"> PAGEREF _Toc467515125 \h </w:instrText>
      </w:r>
      <w:r>
        <w:rPr>
          <w:noProof/>
        </w:rPr>
      </w:r>
      <w:r>
        <w:rPr>
          <w:noProof/>
        </w:rPr>
        <w:fldChar w:fldCharType="separate"/>
      </w:r>
      <w:r w:rsidR="006E025A">
        <w:rPr>
          <w:noProof/>
        </w:rPr>
        <w:t>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Call pattern</w:t>
      </w:r>
      <w:r>
        <w:rPr>
          <w:noProof/>
        </w:rPr>
        <w:tab/>
      </w:r>
      <w:r>
        <w:rPr>
          <w:noProof/>
        </w:rPr>
        <w:fldChar w:fldCharType="begin"/>
      </w:r>
      <w:r>
        <w:rPr>
          <w:noProof/>
        </w:rPr>
        <w:instrText xml:space="preserve"> PAGEREF _Toc467515126 \h </w:instrText>
      </w:r>
      <w:r>
        <w:rPr>
          <w:noProof/>
        </w:rPr>
      </w:r>
      <w:r>
        <w:rPr>
          <w:noProof/>
        </w:rPr>
        <w:fldChar w:fldCharType="separate"/>
      </w:r>
      <w:r w:rsidR="006E025A">
        <w:rPr>
          <w:noProof/>
        </w:rPr>
        <w:t>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Interviewer audits</w:t>
      </w:r>
      <w:r>
        <w:rPr>
          <w:noProof/>
        </w:rPr>
        <w:tab/>
      </w:r>
      <w:r>
        <w:rPr>
          <w:noProof/>
        </w:rPr>
        <w:fldChar w:fldCharType="begin"/>
      </w:r>
      <w:r>
        <w:rPr>
          <w:noProof/>
        </w:rPr>
        <w:instrText xml:space="preserve"> PAGEREF _Toc467515127 \h </w:instrText>
      </w:r>
      <w:r>
        <w:rPr>
          <w:noProof/>
        </w:rPr>
      </w:r>
      <w:r>
        <w:rPr>
          <w:noProof/>
        </w:rPr>
        <w:fldChar w:fldCharType="separate"/>
      </w:r>
      <w:r w:rsidR="006E025A">
        <w:rPr>
          <w:noProof/>
        </w:rPr>
        <w:t>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Interviewer training</w:t>
      </w:r>
      <w:r>
        <w:rPr>
          <w:noProof/>
        </w:rPr>
        <w:tab/>
      </w:r>
      <w:r>
        <w:rPr>
          <w:noProof/>
        </w:rPr>
        <w:fldChar w:fldCharType="begin"/>
      </w:r>
      <w:r>
        <w:rPr>
          <w:noProof/>
        </w:rPr>
        <w:instrText xml:space="preserve"> PAGEREF _Toc467515128 \h </w:instrText>
      </w:r>
      <w:r>
        <w:rPr>
          <w:noProof/>
        </w:rPr>
      </w:r>
      <w:r>
        <w:rPr>
          <w:noProof/>
        </w:rPr>
        <w:fldChar w:fldCharType="separate"/>
      </w:r>
      <w:r w:rsidR="006E025A">
        <w:rPr>
          <w:noProof/>
        </w:rPr>
        <w:t>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NZ"/>
        </w:rPr>
        <w:t>Objective measurements</w:t>
      </w:r>
      <w:r>
        <w:rPr>
          <w:noProof/>
        </w:rPr>
        <w:tab/>
      </w:r>
      <w:r>
        <w:rPr>
          <w:noProof/>
        </w:rPr>
        <w:fldChar w:fldCharType="begin"/>
      </w:r>
      <w:r>
        <w:rPr>
          <w:noProof/>
        </w:rPr>
        <w:instrText xml:space="preserve"> PAGEREF _Toc467515129 \h </w:instrText>
      </w:r>
      <w:r>
        <w:rPr>
          <w:noProof/>
        </w:rPr>
      </w:r>
      <w:r>
        <w:rPr>
          <w:noProof/>
        </w:rPr>
        <w:fldChar w:fldCharType="separate"/>
      </w:r>
      <w:r w:rsidR="006E025A">
        <w:rPr>
          <w:noProof/>
        </w:rPr>
        <w:t>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NZ"/>
        </w:rPr>
        <w:t>Changes to alcohol consumption questions</w:t>
      </w:r>
      <w:r>
        <w:rPr>
          <w:noProof/>
        </w:rPr>
        <w:tab/>
      </w:r>
      <w:r>
        <w:rPr>
          <w:noProof/>
        </w:rPr>
        <w:fldChar w:fldCharType="begin"/>
      </w:r>
      <w:r>
        <w:rPr>
          <w:noProof/>
        </w:rPr>
        <w:instrText xml:space="preserve"> PAGEREF _Toc467515130 \h </w:instrText>
      </w:r>
      <w:r>
        <w:rPr>
          <w:noProof/>
        </w:rPr>
      </w:r>
      <w:r>
        <w:rPr>
          <w:noProof/>
        </w:rPr>
        <w:fldChar w:fldCharType="separate"/>
      </w:r>
      <w:r w:rsidR="006E025A">
        <w:rPr>
          <w:noProof/>
        </w:rPr>
        <w:t>11</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5: Response and coverage rates</w:t>
      </w:r>
      <w:r>
        <w:rPr>
          <w:noProof/>
        </w:rPr>
        <w:tab/>
      </w:r>
      <w:r>
        <w:rPr>
          <w:noProof/>
        </w:rPr>
        <w:fldChar w:fldCharType="begin"/>
      </w:r>
      <w:r>
        <w:rPr>
          <w:noProof/>
        </w:rPr>
        <w:instrText xml:space="preserve"> PAGEREF _Toc467515131 \h </w:instrText>
      </w:r>
      <w:r>
        <w:rPr>
          <w:noProof/>
        </w:rPr>
      </w:r>
      <w:r>
        <w:rPr>
          <w:noProof/>
        </w:rPr>
        <w:fldChar w:fldCharType="separate"/>
      </w:r>
      <w:r w:rsidR="006E025A">
        <w:rPr>
          <w:noProof/>
        </w:rPr>
        <w:t>12</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Calculating the response rate</w:t>
      </w:r>
      <w:r>
        <w:rPr>
          <w:noProof/>
        </w:rPr>
        <w:tab/>
      </w:r>
      <w:r>
        <w:rPr>
          <w:noProof/>
        </w:rPr>
        <w:fldChar w:fldCharType="begin"/>
      </w:r>
      <w:r>
        <w:rPr>
          <w:noProof/>
        </w:rPr>
        <w:instrText xml:space="preserve"> PAGEREF _Toc467515132 \h </w:instrText>
      </w:r>
      <w:r>
        <w:rPr>
          <w:noProof/>
        </w:rPr>
      </w:r>
      <w:r>
        <w:rPr>
          <w:noProof/>
        </w:rPr>
        <w:fldChar w:fldCharType="separate"/>
      </w:r>
      <w:r w:rsidR="006E025A">
        <w:rPr>
          <w:noProof/>
        </w:rPr>
        <w:t>12</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US"/>
        </w:rPr>
        <w:t>Coverage rate</w:t>
      </w:r>
      <w:r>
        <w:rPr>
          <w:noProof/>
        </w:rPr>
        <w:tab/>
      </w:r>
      <w:r>
        <w:rPr>
          <w:noProof/>
        </w:rPr>
        <w:fldChar w:fldCharType="begin"/>
      </w:r>
      <w:r>
        <w:rPr>
          <w:noProof/>
        </w:rPr>
        <w:instrText xml:space="preserve"> PAGEREF _Toc467515133 \h </w:instrText>
      </w:r>
      <w:r>
        <w:rPr>
          <w:noProof/>
        </w:rPr>
      </w:r>
      <w:r>
        <w:rPr>
          <w:noProof/>
        </w:rPr>
        <w:fldChar w:fldCharType="separate"/>
      </w:r>
      <w:r w:rsidR="006E025A">
        <w:rPr>
          <w:noProof/>
        </w:rPr>
        <w:t>13</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6: Data processing</w:t>
      </w:r>
      <w:r>
        <w:rPr>
          <w:noProof/>
        </w:rPr>
        <w:tab/>
      </w:r>
      <w:r>
        <w:rPr>
          <w:noProof/>
        </w:rPr>
        <w:fldChar w:fldCharType="begin"/>
      </w:r>
      <w:r>
        <w:rPr>
          <w:noProof/>
        </w:rPr>
        <w:instrText xml:space="preserve"> PAGEREF _Toc467515134 \h </w:instrText>
      </w:r>
      <w:r>
        <w:rPr>
          <w:noProof/>
        </w:rPr>
      </w:r>
      <w:r>
        <w:rPr>
          <w:noProof/>
        </w:rPr>
        <w:fldChar w:fldCharType="separate"/>
      </w:r>
      <w:r w:rsidR="006E025A">
        <w:rPr>
          <w:noProof/>
        </w:rPr>
        <w:t>14</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Capturing and coding</w:t>
      </w:r>
      <w:r>
        <w:rPr>
          <w:noProof/>
        </w:rPr>
        <w:tab/>
      </w:r>
      <w:r>
        <w:rPr>
          <w:noProof/>
        </w:rPr>
        <w:fldChar w:fldCharType="begin"/>
      </w:r>
      <w:r>
        <w:rPr>
          <w:noProof/>
        </w:rPr>
        <w:instrText xml:space="preserve"> PAGEREF _Toc467515135 \h </w:instrText>
      </w:r>
      <w:r>
        <w:rPr>
          <w:noProof/>
        </w:rPr>
      </w:r>
      <w:r>
        <w:rPr>
          <w:noProof/>
        </w:rPr>
        <w:fldChar w:fldCharType="separate"/>
      </w:r>
      <w:r w:rsidR="006E025A">
        <w:rPr>
          <w:noProof/>
        </w:rPr>
        <w:t>14</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Securing information</w:t>
      </w:r>
      <w:r>
        <w:rPr>
          <w:noProof/>
        </w:rPr>
        <w:tab/>
      </w:r>
      <w:r>
        <w:rPr>
          <w:noProof/>
        </w:rPr>
        <w:fldChar w:fldCharType="begin"/>
      </w:r>
      <w:r>
        <w:rPr>
          <w:noProof/>
        </w:rPr>
        <w:instrText xml:space="preserve"> PAGEREF _Toc467515136 \h </w:instrText>
      </w:r>
      <w:r>
        <w:rPr>
          <w:noProof/>
        </w:rPr>
      </w:r>
      <w:r>
        <w:rPr>
          <w:noProof/>
        </w:rPr>
        <w:fldChar w:fldCharType="separate"/>
      </w:r>
      <w:r w:rsidR="006E025A">
        <w:rPr>
          <w:noProof/>
        </w:rPr>
        <w:t>14</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Checking and editing</w:t>
      </w:r>
      <w:r>
        <w:rPr>
          <w:noProof/>
        </w:rPr>
        <w:tab/>
      </w:r>
      <w:r>
        <w:rPr>
          <w:noProof/>
        </w:rPr>
        <w:fldChar w:fldCharType="begin"/>
      </w:r>
      <w:r>
        <w:rPr>
          <w:noProof/>
        </w:rPr>
        <w:instrText xml:space="preserve"> PAGEREF _Toc467515137 \h </w:instrText>
      </w:r>
      <w:r>
        <w:rPr>
          <w:noProof/>
        </w:rPr>
      </w:r>
      <w:r>
        <w:rPr>
          <w:noProof/>
        </w:rPr>
        <w:fldChar w:fldCharType="separate"/>
      </w:r>
      <w:r w:rsidR="006E025A">
        <w:rPr>
          <w:noProof/>
        </w:rPr>
        <w:t>14</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Missing data due to non-response</w:t>
      </w:r>
      <w:r>
        <w:rPr>
          <w:noProof/>
        </w:rPr>
        <w:tab/>
      </w:r>
      <w:r>
        <w:rPr>
          <w:noProof/>
        </w:rPr>
        <w:fldChar w:fldCharType="begin"/>
      </w:r>
      <w:r>
        <w:rPr>
          <w:noProof/>
        </w:rPr>
        <w:instrText xml:space="preserve"> PAGEREF _Toc467515138 \h </w:instrText>
      </w:r>
      <w:r>
        <w:rPr>
          <w:noProof/>
        </w:rPr>
      </w:r>
      <w:r>
        <w:rPr>
          <w:noProof/>
        </w:rPr>
        <w:fldChar w:fldCharType="separate"/>
      </w:r>
      <w:r w:rsidR="006E025A">
        <w:rPr>
          <w:noProof/>
        </w:rPr>
        <w:t>14</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Creating derived variables</w:t>
      </w:r>
      <w:r>
        <w:rPr>
          <w:noProof/>
        </w:rPr>
        <w:tab/>
      </w:r>
      <w:r>
        <w:rPr>
          <w:noProof/>
        </w:rPr>
        <w:fldChar w:fldCharType="begin"/>
      </w:r>
      <w:r>
        <w:rPr>
          <w:noProof/>
        </w:rPr>
        <w:instrText xml:space="preserve"> PAGEREF _Toc467515139 \h </w:instrText>
      </w:r>
      <w:r>
        <w:rPr>
          <w:noProof/>
        </w:rPr>
      </w:r>
      <w:r>
        <w:rPr>
          <w:noProof/>
        </w:rPr>
        <w:fldChar w:fldCharType="separate"/>
      </w:r>
      <w:r w:rsidR="006E025A">
        <w:rPr>
          <w:noProof/>
        </w:rPr>
        <w:t>15</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7: Weighting</w:t>
      </w:r>
      <w:r>
        <w:rPr>
          <w:noProof/>
        </w:rPr>
        <w:tab/>
      </w:r>
      <w:r>
        <w:rPr>
          <w:noProof/>
        </w:rPr>
        <w:fldChar w:fldCharType="begin"/>
      </w:r>
      <w:r>
        <w:rPr>
          <w:noProof/>
        </w:rPr>
        <w:instrText xml:space="preserve"> PAGEREF _Toc467515140 \h </w:instrText>
      </w:r>
      <w:r>
        <w:rPr>
          <w:noProof/>
        </w:rPr>
      </w:r>
      <w:r>
        <w:rPr>
          <w:noProof/>
        </w:rPr>
        <w:fldChar w:fldCharType="separate"/>
      </w:r>
      <w:r w:rsidR="006E025A">
        <w:rPr>
          <w:noProof/>
        </w:rPr>
        <w:t>17</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US"/>
        </w:rPr>
        <w:t>Calculating selection weights</w:t>
      </w:r>
      <w:r>
        <w:rPr>
          <w:noProof/>
        </w:rPr>
        <w:tab/>
      </w:r>
      <w:r>
        <w:rPr>
          <w:noProof/>
        </w:rPr>
        <w:fldChar w:fldCharType="begin"/>
      </w:r>
      <w:r>
        <w:rPr>
          <w:noProof/>
        </w:rPr>
        <w:instrText xml:space="preserve"> PAGEREF _Toc467515141 \h </w:instrText>
      </w:r>
      <w:r>
        <w:rPr>
          <w:noProof/>
        </w:rPr>
      </w:r>
      <w:r>
        <w:rPr>
          <w:noProof/>
        </w:rPr>
        <w:fldChar w:fldCharType="separate"/>
      </w:r>
      <w:r w:rsidR="006E025A">
        <w:rPr>
          <w:noProof/>
        </w:rPr>
        <w:t>17</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sidRPr="00745A6A">
        <w:rPr>
          <w:rFonts w:eastAsia="Cambria"/>
          <w:noProof/>
          <w:lang w:eastAsia="en-US"/>
        </w:rPr>
        <w:t>Calibration of selection weights</w:t>
      </w:r>
      <w:r>
        <w:rPr>
          <w:noProof/>
        </w:rPr>
        <w:tab/>
      </w:r>
      <w:r>
        <w:rPr>
          <w:noProof/>
        </w:rPr>
        <w:fldChar w:fldCharType="begin"/>
      </w:r>
      <w:r>
        <w:rPr>
          <w:noProof/>
        </w:rPr>
        <w:instrText xml:space="preserve"> PAGEREF _Toc467515142 \h </w:instrText>
      </w:r>
      <w:r>
        <w:rPr>
          <w:noProof/>
        </w:rPr>
      </w:r>
      <w:r>
        <w:rPr>
          <w:noProof/>
        </w:rPr>
        <w:fldChar w:fldCharType="separate"/>
      </w:r>
      <w:r w:rsidR="006E025A">
        <w:rPr>
          <w:noProof/>
        </w:rPr>
        <w:t>19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sidRPr="00745A6A">
        <w:rPr>
          <w:rFonts w:eastAsia="Cambria"/>
          <w:noProof/>
          <w:lang w:eastAsia="en-US"/>
        </w:rPr>
        <w:t>Jackknife replicate weights</w:t>
      </w:r>
      <w:r>
        <w:rPr>
          <w:noProof/>
        </w:rPr>
        <w:tab/>
      </w:r>
      <w:r>
        <w:rPr>
          <w:noProof/>
        </w:rPr>
        <w:fldChar w:fldCharType="begin"/>
      </w:r>
      <w:r>
        <w:rPr>
          <w:noProof/>
        </w:rPr>
        <w:instrText xml:space="preserve"> PAGEREF _Toc467515143 \h </w:instrText>
      </w:r>
      <w:r>
        <w:rPr>
          <w:noProof/>
        </w:rPr>
      </w:r>
      <w:r>
        <w:rPr>
          <w:noProof/>
        </w:rPr>
        <w:fldChar w:fldCharType="separate"/>
      </w:r>
      <w:r w:rsidR="006E025A">
        <w:rPr>
          <w:noProof/>
        </w:rPr>
        <w:t>20</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NZ"/>
        </w:rPr>
        <w:t>Weights for measurement data</w:t>
      </w:r>
      <w:r>
        <w:rPr>
          <w:noProof/>
        </w:rPr>
        <w:tab/>
      </w:r>
      <w:r>
        <w:rPr>
          <w:noProof/>
        </w:rPr>
        <w:fldChar w:fldCharType="begin"/>
      </w:r>
      <w:r>
        <w:rPr>
          <w:noProof/>
        </w:rPr>
        <w:instrText xml:space="preserve"> PAGEREF _Toc467515144 \h </w:instrText>
      </w:r>
      <w:r>
        <w:rPr>
          <w:noProof/>
        </w:rPr>
      </w:r>
      <w:r>
        <w:rPr>
          <w:noProof/>
        </w:rPr>
        <w:fldChar w:fldCharType="separate"/>
      </w:r>
      <w:r w:rsidR="006E025A">
        <w:rPr>
          <w:noProof/>
        </w:rPr>
        <w:t>21</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NZ"/>
        </w:rPr>
        <w:t>Weights for alcohol consumption data</w:t>
      </w:r>
      <w:r>
        <w:rPr>
          <w:noProof/>
        </w:rPr>
        <w:tab/>
      </w:r>
      <w:r>
        <w:rPr>
          <w:noProof/>
        </w:rPr>
        <w:fldChar w:fldCharType="begin"/>
      </w:r>
      <w:r>
        <w:rPr>
          <w:noProof/>
        </w:rPr>
        <w:instrText xml:space="preserve"> PAGEREF _Toc467515145 \h </w:instrText>
      </w:r>
      <w:r>
        <w:rPr>
          <w:noProof/>
        </w:rPr>
      </w:r>
      <w:r>
        <w:rPr>
          <w:noProof/>
        </w:rPr>
        <w:fldChar w:fldCharType="separate"/>
      </w:r>
      <w:r w:rsidR="006E025A">
        <w:rPr>
          <w:noProof/>
        </w:rPr>
        <w:t>21</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lastRenderedPageBreak/>
        <w:t>Section 8: Analysis methods</w:t>
      </w:r>
      <w:r>
        <w:rPr>
          <w:noProof/>
        </w:rPr>
        <w:tab/>
      </w:r>
      <w:r>
        <w:rPr>
          <w:noProof/>
        </w:rPr>
        <w:fldChar w:fldCharType="begin"/>
      </w:r>
      <w:r>
        <w:rPr>
          <w:noProof/>
        </w:rPr>
        <w:instrText xml:space="preserve"> PAGEREF _Toc467515146 \h </w:instrText>
      </w:r>
      <w:r>
        <w:rPr>
          <w:noProof/>
        </w:rPr>
      </w:r>
      <w:r>
        <w:rPr>
          <w:noProof/>
        </w:rPr>
        <w:fldChar w:fldCharType="separate"/>
      </w:r>
      <w:r w:rsidR="006E025A">
        <w:rPr>
          <w:noProof/>
        </w:rPr>
        <w:t>22</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Estimating proportions, totals and means</w:t>
      </w:r>
      <w:r>
        <w:rPr>
          <w:noProof/>
        </w:rPr>
        <w:tab/>
      </w:r>
      <w:r>
        <w:rPr>
          <w:noProof/>
        </w:rPr>
        <w:fldChar w:fldCharType="begin"/>
      </w:r>
      <w:r>
        <w:rPr>
          <w:noProof/>
        </w:rPr>
        <w:instrText xml:space="preserve"> PAGEREF _Toc467515147 \h </w:instrText>
      </w:r>
      <w:r>
        <w:rPr>
          <w:noProof/>
        </w:rPr>
      </w:r>
      <w:r>
        <w:rPr>
          <w:noProof/>
        </w:rPr>
        <w:fldChar w:fldCharType="separate"/>
      </w:r>
      <w:r w:rsidR="006E025A">
        <w:rPr>
          <w:noProof/>
        </w:rPr>
        <w:t>22</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Comparing population groups</w:t>
      </w:r>
      <w:r>
        <w:rPr>
          <w:noProof/>
        </w:rPr>
        <w:tab/>
      </w:r>
      <w:r>
        <w:rPr>
          <w:noProof/>
        </w:rPr>
        <w:fldChar w:fldCharType="begin"/>
      </w:r>
      <w:r>
        <w:rPr>
          <w:noProof/>
        </w:rPr>
        <w:instrText xml:space="preserve"> PAGEREF _Toc467515148 \h </w:instrText>
      </w:r>
      <w:r>
        <w:rPr>
          <w:noProof/>
        </w:rPr>
      </w:r>
      <w:r>
        <w:rPr>
          <w:noProof/>
        </w:rPr>
        <w:fldChar w:fldCharType="separate"/>
      </w:r>
      <w:r w:rsidR="006E025A">
        <w:rPr>
          <w:noProof/>
        </w:rPr>
        <w:t>23</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Confidence intervals and statistical tests</w:t>
      </w:r>
      <w:r>
        <w:rPr>
          <w:noProof/>
        </w:rPr>
        <w:tab/>
      </w:r>
      <w:r>
        <w:rPr>
          <w:noProof/>
        </w:rPr>
        <w:fldChar w:fldCharType="begin"/>
      </w:r>
      <w:r>
        <w:rPr>
          <w:noProof/>
        </w:rPr>
        <w:instrText xml:space="preserve"> PAGEREF _Toc467515149 \h </w:instrText>
      </w:r>
      <w:r>
        <w:rPr>
          <w:noProof/>
        </w:rPr>
      </w:r>
      <w:r>
        <w:rPr>
          <w:noProof/>
        </w:rPr>
        <w:fldChar w:fldCharType="separate"/>
      </w:r>
      <w:r w:rsidR="006E025A">
        <w:rPr>
          <w:noProof/>
        </w:rPr>
        <w:t>26</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lang w:eastAsia="en-US"/>
        </w:rPr>
        <w:t>Time trends</w:t>
      </w:r>
      <w:r>
        <w:rPr>
          <w:noProof/>
        </w:rPr>
        <w:tab/>
      </w:r>
      <w:r>
        <w:rPr>
          <w:noProof/>
        </w:rPr>
        <w:fldChar w:fldCharType="begin"/>
      </w:r>
      <w:r>
        <w:rPr>
          <w:noProof/>
        </w:rPr>
        <w:instrText xml:space="preserve"> PAGEREF _Toc467515150 \h </w:instrText>
      </w:r>
      <w:r>
        <w:rPr>
          <w:noProof/>
        </w:rPr>
      </w:r>
      <w:r>
        <w:rPr>
          <w:noProof/>
        </w:rPr>
        <w:fldChar w:fldCharType="separate"/>
      </w:r>
      <w:r w:rsidR="006E025A">
        <w:rPr>
          <w:noProof/>
        </w:rPr>
        <w:t>27</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9: New Zealand Health Survey 2015/16</w:t>
      </w:r>
      <w:r>
        <w:rPr>
          <w:noProof/>
        </w:rPr>
        <w:tab/>
      </w:r>
      <w:r>
        <w:rPr>
          <w:noProof/>
        </w:rPr>
        <w:fldChar w:fldCharType="begin"/>
      </w:r>
      <w:r>
        <w:rPr>
          <w:noProof/>
        </w:rPr>
        <w:instrText xml:space="preserve"> PAGEREF _Toc467515151 \h </w:instrText>
      </w:r>
      <w:r>
        <w:rPr>
          <w:noProof/>
        </w:rPr>
      </w:r>
      <w:r>
        <w:rPr>
          <w:noProof/>
        </w:rPr>
        <w:fldChar w:fldCharType="separate"/>
      </w:r>
      <w:r w:rsidR="006E025A">
        <w:rPr>
          <w:noProof/>
        </w:rPr>
        <w:t>28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2015/16 NZHS modules</w:t>
      </w:r>
      <w:r>
        <w:rPr>
          <w:noProof/>
        </w:rPr>
        <w:tab/>
      </w:r>
      <w:r>
        <w:rPr>
          <w:noProof/>
        </w:rPr>
        <w:fldChar w:fldCharType="begin"/>
      </w:r>
      <w:r>
        <w:rPr>
          <w:noProof/>
        </w:rPr>
        <w:instrText xml:space="preserve"> PAGEREF _Toc467515152 \h </w:instrText>
      </w:r>
      <w:r>
        <w:rPr>
          <w:noProof/>
        </w:rPr>
      </w:r>
      <w:r>
        <w:rPr>
          <w:noProof/>
        </w:rPr>
        <w:fldChar w:fldCharType="separate"/>
      </w:r>
      <w:r w:rsidR="006E025A">
        <w:rPr>
          <w:noProof/>
        </w:rPr>
        <w:t>28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Data collection</w:t>
      </w:r>
      <w:r>
        <w:rPr>
          <w:noProof/>
        </w:rPr>
        <w:tab/>
      </w:r>
      <w:r>
        <w:rPr>
          <w:noProof/>
        </w:rPr>
        <w:fldChar w:fldCharType="begin"/>
      </w:r>
      <w:r>
        <w:rPr>
          <w:noProof/>
        </w:rPr>
        <w:instrText xml:space="preserve"> PAGEREF _Toc467515153 \h </w:instrText>
      </w:r>
      <w:r>
        <w:rPr>
          <w:noProof/>
        </w:rPr>
      </w:r>
      <w:r>
        <w:rPr>
          <w:noProof/>
        </w:rPr>
        <w:fldChar w:fldCharType="separate"/>
      </w:r>
      <w:r w:rsidR="006E025A">
        <w:rPr>
          <w:noProof/>
        </w:rPr>
        <w:t>28</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Response rates</w:t>
      </w:r>
      <w:r>
        <w:rPr>
          <w:noProof/>
        </w:rPr>
        <w:tab/>
      </w:r>
      <w:r>
        <w:rPr>
          <w:noProof/>
        </w:rPr>
        <w:fldChar w:fldCharType="begin"/>
      </w:r>
      <w:r>
        <w:rPr>
          <w:noProof/>
        </w:rPr>
        <w:instrText xml:space="preserve"> PAGEREF _Toc467515154 \h </w:instrText>
      </w:r>
      <w:r>
        <w:rPr>
          <w:noProof/>
        </w:rPr>
      </w:r>
      <w:r>
        <w:rPr>
          <w:noProof/>
        </w:rPr>
        <w:fldChar w:fldCharType="separate"/>
      </w:r>
      <w:r w:rsidR="006E025A">
        <w:rPr>
          <w:noProof/>
        </w:rPr>
        <w:t>29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Coverage rates</w:t>
      </w:r>
      <w:r>
        <w:rPr>
          <w:noProof/>
        </w:rPr>
        <w:tab/>
      </w:r>
      <w:r>
        <w:rPr>
          <w:noProof/>
        </w:rPr>
        <w:fldChar w:fldCharType="begin"/>
      </w:r>
      <w:r>
        <w:rPr>
          <w:noProof/>
        </w:rPr>
        <w:instrText xml:space="preserve"> PAGEREF _Toc467515155 \h </w:instrText>
      </w:r>
      <w:r>
        <w:rPr>
          <w:noProof/>
        </w:rPr>
      </w:r>
      <w:r>
        <w:rPr>
          <w:noProof/>
        </w:rPr>
        <w:fldChar w:fldCharType="separate"/>
      </w:r>
      <w:r w:rsidR="006E025A">
        <w:rPr>
          <w:noProof/>
        </w:rPr>
        <w:t>30</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sidRPr="00745A6A">
        <w:rPr>
          <w:rFonts w:eastAsia="Cambria"/>
          <w:noProof/>
          <w:lang w:eastAsia="en-US"/>
        </w:rPr>
        <w:t>Final weights</w:t>
      </w:r>
      <w:r>
        <w:rPr>
          <w:noProof/>
        </w:rPr>
        <w:tab/>
      </w:r>
      <w:r>
        <w:rPr>
          <w:noProof/>
        </w:rPr>
        <w:fldChar w:fldCharType="begin"/>
      </w:r>
      <w:r>
        <w:rPr>
          <w:noProof/>
        </w:rPr>
        <w:instrText xml:space="preserve"> PAGEREF _Toc467515156 \h </w:instrText>
      </w:r>
      <w:r>
        <w:rPr>
          <w:noProof/>
        </w:rPr>
      </w:r>
      <w:r>
        <w:rPr>
          <w:noProof/>
        </w:rPr>
        <w:fldChar w:fldCharType="separate"/>
      </w:r>
      <w:r w:rsidR="006E025A">
        <w:rPr>
          <w:noProof/>
        </w:rPr>
        <w:t>32</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Sample sizes</w:t>
      </w:r>
      <w:r>
        <w:rPr>
          <w:noProof/>
        </w:rPr>
        <w:tab/>
      </w:r>
      <w:r>
        <w:rPr>
          <w:noProof/>
        </w:rPr>
        <w:fldChar w:fldCharType="begin"/>
      </w:r>
      <w:r>
        <w:rPr>
          <w:noProof/>
        </w:rPr>
        <w:instrText xml:space="preserve"> PAGEREF _Toc467515157 \h </w:instrText>
      </w:r>
      <w:r>
        <w:rPr>
          <w:noProof/>
        </w:rPr>
      </w:r>
      <w:r>
        <w:rPr>
          <w:noProof/>
        </w:rPr>
        <w:fldChar w:fldCharType="separate"/>
      </w:r>
      <w:r w:rsidR="006E025A">
        <w:rPr>
          <w:noProof/>
        </w:rPr>
        <w:t>33</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Section 10: Errors in previously published statistics</w:t>
      </w:r>
      <w:r>
        <w:rPr>
          <w:noProof/>
        </w:rPr>
        <w:tab/>
      </w:r>
      <w:r>
        <w:rPr>
          <w:noProof/>
        </w:rPr>
        <w:fldChar w:fldCharType="begin"/>
      </w:r>
      <w:r>
        <w:rPr>
          <w:noProof/>
        </w:rPr>
        <w:instrText xml:space="preserve"> PAGEREF _Toc467515158 \h </w:instrText>
      </w:r>
      <w:r>
        <w:rPr>
          <w:noProof/>
        </w:rPr>
      </w:r>
      <w:r>
        <w:rPr>
          <w:noProof/>
        </w:rPr>
        <w:fldChar w:fldCharType="separate"/>
      </w:r>
      <w:r w:rsidR="006E025A">
        <w:rPr>
          <w:noProof/>
        </w:rPr>
        <w:t>35</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Year 1, 2, 3 and 4 child nutrition indicators</w:t>
      </w:r>
      <w:r>
        <w:rPr>
          <w:noProof/>
        </w:rPr>
        <w:tab/>
      </w:r>
      <w:r>
        <w:rPr>
          <w:noProof/>
        </w:rPr>
        <w:fldChar w:fldCharType="begin"/>
      </w:r>
      <w:r>
        <w:rPr>
          <w:noProof/>
        </w:rPr>
        <w:instrText xml:space="preserve"> PAGEREF _Toc467515159 \h </w:instrText>
      </w:r>
      <w:r>
        <w:rPr>
          <w:noProof/>
        </w:rPr>
      </w:r>
      <w:r>
        <w:rPr>
          <w:noProof/>
        </w:rPr>
        <w:fldChar w:fldCharType="separate"/>
      </w:r>
      <w:r w:rsidR="006E025A">
        <w:rPr>
          <w:noProof/>
        </w:rPr>
        <w:t>35</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Year 1, 2 and 3 estimation weights</w:t>
      </w:r>
      <w:r>
        <w:rPr>
          <w:noProof/>
        </w:rPr>
        <w:tab/>
      </w:r>
      <w:r>
        <w:rPr>
          <w:noProof/>
        </w:rPr>
        <w:fldChar w:fldCharType="begin"/>
      </w:r>
      <w:r>
        <w:rPr>
          <w:noProof/>
        </w:rPr>
        <w:instrText xml:space="preserve"> PAGEREF _Toc467515160 \h </w:instrText>
      </w:r>
      <w:r>
        <w:rPr>
          <w:noProof/>
        </w:rPr>
      </w:r>
      <w:r>
        <w:rPr>
          <w:noProof/>
        </w:rPr>
        <w:fldChar w:fldCharType="separate"/>
      </w:r>
      <w:r w:rsidR="006E025A">
        <w:rPr>
          <w:noProof/>
        </w:rPr>
        <w:t>35</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Year 1, 2 and 3 obesity cut-offs</w:t>
      </w:r>
      <w:r>
        <w:rPr>
          <w:noProof/>
        </w:rPr>
        <w:tab/>
      </w:r>
      <w:r>
        <w:rPr>
          <w:noProof/>
        </w:rPr>
        <w:fldChar w:fldCharType="begin"/>
      </w:r>
      <w:r>
        <w:rPr>
          <w:noProof/>
        </w:rPr>
        <w:instrText xml:space="preserve"> PAGEREF _Toc467515161 \h </w:instrText>
      </w:r>
      <w:r>
        <w:rPr>
          <w:noProof/>
        </w:rPr>
      </w:r>
      <w:r>
        <w:rPr>
          <w:noProof/>
        </w:rPr>
        <w:fldChar w:fldCharType="separate"/>
      </w:r>
      <w:r w:rsidR="006E025A">
        <w:rPr>
          <w:noProof/>
        </w:rPr>
        <w:t>36</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Year 2 height measurements</w:t>
      </w:r>
      <w:r>
        <w:rPr>
          <w:noProof/>
        </w:rPr>
        <w:tab/>
      </w:r>
      <w:r>
        <w:rPr>
          <w:noProof/>
        </w:rPr>
        <w:fldChar w:fldCharType="begin"/>
      </w:r>
      <w:r>
        <w:rPr>
          <w:noProof/>
        </w:rPr>
        <w:instrText xml:space="preserve"> PAGEREF _Toc467515162 \h </w:instrText>
      </w:r>
      <w:r>
        <w:rPr>
          <w:noProof/>
        </w:rPr>
      </w:r>
      <w:r>
        <w:rPr>
          <w:noProof/>
        </w:rPr>
        <w:fldChar w:fldCharType="separate"/>
      </w:r>
      <w:r w:rsidR="006E025A">
        <w:rPr>
          <w:noProof/>
        </w:rPr>
        <w:t>36</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Surveyor dishonesty in year 1</w:t>
      </w:r>
      <w:r>
        <w:rPr>
          <w:noProof/>
        </w:rPr>
        <w:tab/>
      </w:r>
      <w:r>
        <w:rPr>
          <w:noProof/>
        </w:rPr>
        <w:fldChar w:fldCharType="begin"/>
      </w:r>
      <w:r>
        <w:rPr>
          <w:noProof/>
        </w:rPr>
        <w:instrText xml:space="preserve"> PAGEREF _Toc467515163 \h </w:instrText>
      </w:r>
      <w:r>
        <w:rPr>
          <w:noProof/>
        </w:rPr>
      </w:r>
      <w:r>
        <w:rPr>
          <w:noProof/>
        </w:rPr>
        <w:fldChar w:fldCharType="separate"/>
      </w:r>
      <w:r w:rsidR="006E025A">
        <w:rPr>
          <w:noProof/>
        </w:rPr>
        <w:t>36</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_Toc467515164 \h </w:instrText>
      </w:r>
      <w:r>
        <w:rPr>
          <w:noProof/>
        </w:rPr>
      </w:r>
      <w:r>
        <w:rPr>
          <w:noProof/>
        </w:rPr>
        <w:fldChar w:fldCharType="separate"/>
      </w:r>
      <w:r w:rsidR="006E025A">
        <w:rPr>
          <w:noProof/>
        </w:rPr>
        <w:t>37</w:t>
      </w:r>
      <w:r>
        <w:rPr>
          <w:noProof/>
        </w:rPr>
        <w:fldChar w:fldCharType="end"/>
      </w:r>
    </w:p>
    <w:p w:rsidR="007013D0" w:rsidRDefault="007013D0">
      <w:pPr>
        <w:pStyle w:val="TOC1"/>
        <w:rPr>
          <w:rFonts w:asciiTheme="minorHAnsi" w:eastAsiaTheme="minorEastAsia" w:hAnsiTheme="minorHAnsi" w:cstheme="minorBidi"/>
          <w:b w:val="0"/>
          <w:noProof/>
          <w:szCs w:val="22"/>
          <w:lang w:eastAsia="en-NZ"/>
        </w:rPr>
      </w:pPr>
      <w:r>
        <w:rPr>
          <w:noProof/>
        </w:rPr>
        <w:t>Appendix: 2006/07 New Zealand Health Survey</w:t>
      </w:r>
      <w:r>
        <w:rPr>
          <w:noProof/>
        </w:rPr>
        <w:tab/>
      </w:r>
      <w:r>
        <w:rPr>
          <w:noProof/>
        </w:rPr>
        <w:fldChar w:fldCharType="begin"/>
      </w:r>
      <w:r>
        <w:rPr>
          <w:noProof/>
        </w:rPr>
        <w:instrText xml:space="preserve"> PAGEREF _Toc467515165 \h </w:instrText>
      </w:r>
      <w:r>
        <w:rPr>
          <w:noProof/>
        </w:rPr>
      </w:r>
      <w:r>
        <w:rPr>
          <w:noProof/>
        </w:rPr>
        <w:fldChar w:fldCharType="separate"/>
      </w:r>
      <w:r w:rsidR="006E025A">
        <w:rPr>
          <w:noProof/>
        </w:rPr>
        <w:t>39</w:t>
      </w:r>
      <w:r>
        <w:rPr>
          <w:noProof/>
        </w:rPr>
        <w:fldChar w:fldCharType="end"/>
      </w:r>
    </w:p>
    <w:p w:rsidR="007013D0" w:rsidRDefault="007013D0">
      <w:pPr>
        <w:pStyle w:val="TOC2"/>
        <w:rPr>
          <w:rFonts w:asciiTheme="minorHAnsi" w:eastAsiaTheme="minorEastAsia" w:hAnsiTheme="minorHAnsi" w:cstheme="minorBidi"/>
          <w:noProof/>
          <w:szCs w:val="22"/>
          <w:lang w:eastAsia="en-NZ"/>
        </w:rPr>
      </w:pPr>
      <w:r>
        <w:rPr>
          <w:noProof/>
        </w:rPr>
        <w:t>2006/07 New Zealand Health Survey</w:t>
      </w:r>
      <w:r>
        <w:rPr>
          <w:noProof/>
        </w:rPr>
        <w:tab/>
      </w:r>
      <w:r>
        <w:rPr>
          <w:noProof/>
        </w:rPr>
        <w:fldChar w:fldCharType="begin"/>
      </w:r>
      <w:r>
        <w:rPr>
          <w:noProof/>
        </w:rPr>
        <w:instrText xml:space="preserve"> PAGEREF _Toc467515166 \h </w:instrText>
      </w:r>
      <w:r>
        <w:rPr>
          <w:noProof/>
        </w:rPr>
      </w:r>
      <w:r>
        <w:rPr>
          <w:noProof/>
        </w:rPr>
        <w:fldChar w:fldCharType="separate"/>
      </w:r>
      <w:r w:rsidR="006E025A">
        <w:rPr>
          <w:noProof/>
        </w:rPr>
        <w:t>39</w:t>
      </w:r>
      <w:r>
        <w:rPr>
          <w:noProof/>
        </w:rPr>
        <w:fldChar w:fldCharType="end"/>
      </w:r>
    </w:p>
    <w:p w:rsidR="00C86248" w:rsidRDefault="00C86248">
      <w:r>
        <w:rPr>
          <w:b/>
        </w:rPr>
        <w:fldChar w:fldCharType="end"/>
      </w:r>
    </w:p>
    <w:p w:rsidR="00C86248" w:rsidRDefault="00C86248" w:rsidP="003B1D10">
      <w:pPr>
        <w:pStyle w:val="TOC1"/>
        <w:keepNext/>
      </w:pPr>
      <w:r>
        <w:t>List of Tables</w:t>
      </w:r>
    </w:p>
    <w:p w:rsidR="007013D0"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7013D0">
        <w:rPr>
          <w:noProof/>
        </w:rPr>
        <w:t>Table 1</w:t>
      </w:r>
      <w:r w:rsidR="007013D0" w:rsidRPr="007013D0">
        <w:rPr>
          <w:noProof/>
        </w:rPr>
        <w:t>:</w:t>
      </w:r>
      <w:r w:rsidR="007013D0" w:rsidRPr="007013D0">
        <w:rPr>
          <w:noProof/>
        </w:rPr>
        <w:tab/>
      </w:r>
      <w:r w:rsidR="007013D0">
        <w:rPr>
          <w:noProof/>
        </w:rPr>
        <w:t>Core content of the NZHS</w:t>
      </w:r>
      <w:r w:rsidR="007013D0">
        <w:rPr>
          <w:noProof/>
        </w:rPr>
        <w:tab/>
      </w:r>
      <w:r w:rsidR="007013D0">
        <w:rPr>
          <w:noProof/>
        </w:rPr>
        <w:fldChar w:fldCharType="begin"/>
      </w:r>
      <w:r w:rsidR="007013D0">
        <w:rPr>
          <w:noProof/>
        </w:rPr>
        <w:instrText xml:space="preserve"> PAGEREF _Toc467515167 \h </w:instrText>
      </w:r>
      <w:r w:rsidR="007013D0">
        <w:rPr>
          <w:noProof/>
        </w:rPr>
      </w:r>
      <w:r w:rsidR="007013D0">
        <w:rPr>
          <w:noProof/>
        </w:rPr>
        <w:fldChar w:fldCharType="separate"/>
      </w:r>
      <w:r w:rsidR="006E025A">
        <w:rPr>
          <w:noProof/>
        </w:rPr>
        <w:t>3</w:t>
      </w:r>
      <w:r w:rsidR="007013D0">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2</w:t>
      </w:r>
      <w:r w:rsidRPr="007013D0">
        <w:rPr>
          <w:noProof/>
        </w:rPr>
        <w:t>:</w:t>
      </w:r>
      <w:r w:rsidRPr="007013D0">
        <w:rPr>
          <w:noProof/>
        </w:rPr>
        <w:tab/>
      </w:r>
      <w:r>
        <w:rPr>
          <w:noProof/>
        </w:rPr>
        <w:t>NZHS module topics, 2011/12–2015/16</w:t>
      </w:r>
      <w:r>
        <w:rPr>
          <w:noProof/>
        </w:rPr>
        <w:tab/>
      </w:r>
      <w:r>
        <w:rPr>
          <w:noProof/>
        </w:rPr>
        <w:fldChar w:fldCharType="begin"/>
      </w:r>
      <w:r>
        <w:rPr>
          <w:noProof/>
        </w:rPr>
        <w:instrText xml:space="preserve"> PAGEREF _Toc467515168 \h </w:instrText>
      </w:r>
      <w:r>
        <w:rPr>
          <w:noProof/>
        </w:rPr>
      </w:r>
      <w:r>
        <w:rPr>
          <w:noProof/>
        </w:rPr>
        <w:fldChar w:fldCharType="separate"/>
      </w:r>
      <w:r w:rsidR="006E025A">
        <w:rPr>
          <w:noProof/>
        </w:rPr>
        <w:t>4</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3</w:t>
      </w:r>
      <w:r w:rsidRPr="007013D0">
        <w:rPr>
          <w:noProof/>
        </w:rPr>
        <w:t>:</w:t>
      </w:r>
      <w:r w:rsidRPr="007013D0">
        <w:rPr>
          <w:noProof/>
        </w:rPr>
        <w:tab/>
      </w:r>
      <w:r>
        <w:rPr>
          <w:noProof/>
        </w:rPr>
        <w:t>NZHS module topics, 2015/16</w:t>
      </w:r>
      <w:r>
        <w:rPr>
          <w:noProof/>
        </w:rPr>
        <w:tab/>
      </w:r>
      <w:r>
        <w:rPr>
          <w:noProof/>
        </w:rPr>
        <w:fldChar w:fldCharType="begin"/>
      </w:r>
      <w:r>
        <w:rPr>
          <w:noProof/>
        </w:rPr>
        <w:instrText xml:space="preserve"> PAGEREF _Toc467515169 \h </w:instrText>
      </w:r>
      <w:r>
        <w:rPr>
          <w:noProof/>
        </w:rPr>
      </w:r>
      <w:r>
        <w:rPr>
          <w:noProof/>
        </w:rPr>
        <w:fldChar w:fldCharType="separate"/>
      </w:r>
      <w:r w:rsidR="006E025A">
        <w:rPr>
          <w:noProof/>
        </w:rPr>
        <w:t>28</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4</w:t>
      </w:r>
      <w:r w:rsidRPr="007013D0">
        <w:rPr>
          <w:noProof/>
        </w:rPr>
        <w:t>:</w:t>
      </w:r>
      <w:r w:rsidRPr="007013D0">
        <w:rPr>
          <w:noProof/>
        </w:rPr>
        <w:tab/>
      </w:r>
      <w:r>
        <w:rPr>
          <w:noProof/>
        </w:rPr>
        <w:t>Number of survey respondents, by quarter, 2015/16</w:t>
      </w:r>
      <w:r>
        <w:rPr>
          <w:noProof/>
        </w:rPr>
        <w:tab/>
      </w:r>
      <w:r>
        <w:rPr>
          <w:noProof/>
        </w:rPr>
        <w:fldChar w:fldCharType="begin"/>
      </w:r>
      <w:r>
        <w:rPr>
          <w:noProof/>
        </w:rPr>
        <w:instrText xml:space="preserve"> PAGEREF _Toc467515170 \h </w:instrText>
      </w:r>
      <w:r>
        <w:rPr>
          <w:noProof/>
        </w:rPr>
      </w:r>
      <w:r>
        <w:rPr>
          <w:noProof/>
        </w:rPr>
        <w:fldChar w:fldCharType="separate"/>
      </w:r>
      <w:r w:rsidR="006E025A">
        <w:rPr>
          <w:noProof/>
        </w:rPr>
        <w:t>28</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5</w:t>
      </w:r>
      <w:r w:rsidRPr="007013D0">
        <w:rPr>
          <w:noProof/>
        </w:rPr>
        <w:t>:</w:t>
      </w:r>
      <w:r w:rsidRPr="007013D0">
        <w:rPr>
          <w:noProof/>
        </w:rPr>
        <w:tab/>
      </w:r>
      <w:r w:rsidRPr="00FE6A88">
        <w:rPr>
          <w:rFonts w:eastAsia="Cambria"/>
          <w:noProof/>
        </w:rPr>
        <w:t>Final weights, 2015/16</w:t>
      </w:r>
      <w:r>
        <w:rPr>
          <w:noProof/>
        </w:rPr>
        <w:tab/>
      </w:r>
      <w:r>
        <w:rPr>
          <w:noProof/>
        </w:rPr>
        <w:fldChar w:fldCharType="begin"/>
      </w:r>
      <w:r>
        <w:rPr>
          <w:noProof/>
        </w:rPr>
        <w:instrText xml:space="preserve"> PAGEREF _Toc467515171 \h </w:instrText>
      </w:r>
      <w:r>
        <w:rPr>
          <w:noProof/>
        </w:rPr>
      </w:r>
      <w:r>
        <w:rPr>
          <w:noProof/>
        </w:rPr>
        <w:fldChar w:fldCharType="separate"/>
      </w:r>
      <w:r w:rsidR="006E025A">
        <w:rPr>
          <w:noProof/>
        </w:rPr>
        <w:t>32</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6</w:t>
      </w:r>
      <w:r w:rsidRPr="007013D0">
        <w:rPr>
          <w:noProof/>
        </w:rPr>
        <w:t>:</w:t>
      </w:r>
      <w:r w:rsidRPr="007013D0">
        <w:rPr>
          <w:noProof/>
        </w:rPr>
        <w:tab/>
      </w:r>
      <w:r>
        <w:rPr>
          <w:noProof/>
        </w:rPr>
        <w:t xml:space="preserve">Sample sizes and population counts for children and adults, by sex, </w:t>
      </w:r>
      <w:r w:rsidRPr="00FE6A88">
        <w:rPr>
          <w:bCs/>
          <w:noProof/>
        </w:rPr>
        <w:t>2015/16</w:t>
      </w:r>
      <w:r>
        <w:rPr>
          <w:noProof/>
        </w:rPr>
        <w:tab/>
      </w:r>
      <w:r>
        <w:rPr>
          <w:noProof/>
        </w:rPr>
        <w:fldChar w:fldCharType="begin"/>
      </w:r>
      <w:r>
        <w:rPr>
          <w:noProof/>
        </w:rPr>
        <w:instrText xml:space="preserve"> PAGEREF _Toc467515172 \h </w:instrText>
      </w:r>
      <w:r>
        <w:rPr>
          <w:noProof/>
        </w:rPr>
      </w:r>
      <w:r>
        <w:rPr>
          <w:noProof/>
        </w:rPr>
        <w:fldChar w:fldCharType="separate"/>
      </w:r>
      <w:r w:rsidR="006E025A">
        <w:rPr>
          <w:noProof/>
        </w:rPr>
        <w:t>33</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7</w:t>
      </w:r>
      <w:r w:rsidRPr="007013D0">
        <w:rPr>
          <w:noProof/>
        </w:rPr>
        <w:t>:</w:t>
      </w:r>
      <w:r w:rsidRPr="007013D0">
        <w:rPr>
          <w:noProof/>
        </w:rPr>
        <w:tab/>
      </w:r>
      <w:r>
        <w:rPr>
          <w:noProof/>
        </w:rPr>
        <w:t xml:space="preserve">Sample sizes and population counts for children and adults, by ethnic group, </w:t>
      </w:r>
      <w:r w:rsidRPr="00FE6A88">
        <w:rPr>
          <w:bCs/>
          <w:noProof/>
        </w:rPr>
        <w:t>2015/16</w:t>
      </w:r>
      <w:r>
        <w:rPr>
          <w:noProof/>
        </w:rPr>
        <w:tab/>
      </w:r>
      <w:r>
        <w:rPr>
          <w:noProof/>
        </w:rPr>
        <w:fldChar w:fldCharType="begin"/>
      </w:r>
      <w:r>
        <w:rPr>
          <w:noProof/>
        </w:rPr>
        <w:instrText xml:space="preserve"> PAGEREF _Toc467515173 \h </w:instrText>
      </w:r>
      <w:r>
        <w:rPr>
          <w:noProof/>
        </w:rPr>
      </w:r>
      <w:r>
        <w:rPr>
          <w:noProof/>
        </w:rPr>
        <w:fldChar w:fldCharType="separate"/>
      </w:r>
      <w:r w:rsidR="006E025A">
        <w:rPr>
          <w:noProof/>
        </w:rPr>
        <w:t>33</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8</w:t>
      </w:r>
      <w:r w:rsidRPr="007013D0">
        <w:rPr>
          <w:noProof/>
        </w:rPr>
        <w:t>:</w:t>
      </w:r>
      <w:r w:rsidRPr="007013D0">
        <w:rPr>
          <w:noProof/>
        </w:rPr>
        <w:tab/>
      </w:r>
      <w:r>
        <w:rPr>
          <w:noProof/>
        </w:rPr>
        <w:t xml:space="preserve">Sample sizes and population counts, by age group, </w:t>
      </w:r>
      <w:r w:rsidRPr="00FE6A88">
        <w:rPr>
          <w:bCs/>
          <w:noProof/>
        </w:rPr>
        <w:t>2015/16</w:t>
      </w:r>
      <w:r>
        <w:rPr>
          <w:noProof/>
        </w:rPr>
        <w:tab/>
      </w:r>
      <w:r>
        <w:rPr>
          <w:noProof/>
        </w:rPr>
        <w:fldChar w:fldCharType="begin"/>
      </w:r>
      <w:r>
        <w:rPr>
          <w:noProof/>
        </w:rPr>
        <w:instrText xml:space="preserve"> PAGEREF _Toc467515174 \h </w:instrText>
      </w:r>
      <w:r>
        <w:rPr>
          <w:noProof/>
        </w:rPr>
      </w:r>
      <w:r>
        <w:rPr>
          <w:noProof/>
        </w:rPr>
        <w:fldChar w:fldCharType="separate"/>
      </w:r>
      <w:r w:rsidR="006E025A">
        <w:rPr>
          <w:noProof/>
        </w:rPr>
        <w:t>34</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Table 9</w:t>
      </w:r>
      <w:r w:rsidRPr="007013D0">
        <w:rPr>
          <w:noProof/>
        </w:rPr>
        <w:t>:</w:t>
      </w:r>
      <w:r w:rsidRPr="007013D0">
        <w:rPr>
          <w:noProof/>
        </w:rPr>
        <w:tab/>
      </w:r>
      <w:r>
        <w:rPr>
          <w:noProof/>
        </w:rPr>
        <w:t xml:space="preserve">Sample sizes and population counts, by NZDep2013 quintile, </w:t>
      </w:r>
      <w:r w:rsidRPr="00FE6A88">
        <w:rPr>
          <w:bCs/>
          <w:noProof/>
        </w:rPr>
        <w:t>2015/16</w:t>
      </w:r>
      <w:r>
        <w:rPr>
          <w:noProof/>
        </w:rPr>
        <w:tab/>
      </w:r>
      <w:r>
        <w:rPr>
          <w:noProof/>
        </w:rPr>
        <w:fldChar w:fldCharType="begin"/>
      </w:r>
      <w:r>
        <w:rPr>
          <w:noProof/>
        </w:rPr>
        <w:instrText xml:space="preserve"> PAGEREF _Toc467515175 \h </w:instrText>
      </w:r>
      <w:r>
        <w:rPr>
          <w:noProof/>
        </w:rPr>
      </w:r>
      <w:r>
        <w:rPr>
          <w:noProof/>
        </w:rPr>
        <w:fldChar w:fldCharType="separate"/>
      </w:r>
      <w:r w:rsidR="006E025A">
        <w:rPr>
          <w:noProof/>
        </w:rPr>
        <w:t>34</w:t>
      </w:r>
      <w:r>
        <w:rPr>
          <w:noProof/>
        </w:rPr>
        <w:fldChar w:fldCharType="end"/>
      </w:r>
    </w:p>
    <w:p w:rsidR="00C86248" w:rsidRDefault="00C86248" w:rsidP="0030382F">
      <w:r>
        <w:fldChar w:fldCharType="end"/>
      </w:r>
    </w:p>
    <w:p w:rsidR="003A5FEA" w:rsidRDefault="003A5FEA" w:rsidP="008B07B9">
      <w:pPr>
        <w:pStyle w:val="TOC1"/>
        <w:keepNext/>
      </w:pPr>
      <w:r>
        <w:lastRenderedPageBreak/>
        <w:t>List of Figures</w:t>
      </w:r>
    </w:p>
    <w:p w:rsidR="007013D0" w:rsidRDefault="003A5FEA" w:rsidP="008B07B9">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7013D0">
        <w:rPr>
          <w:noProof/>
        </w:rPr>
        <w:t>Figure 1</w:t>
      </w:r>
      <w:r w:rsidR="007013D0" w:rsidRPr="007013D0">
        <w:rPr>
          <w:noProof/>
        </w:rPr>
        <w:t>:</w:t>
      </w:r>
      <w:r w:rsidR="007013D0" w:rsidRPr="007013D0">
        <w:rPr>
          <w:noProof/>
        </w:rPr>
        <w:tab/>
      </w:r>
      <w:r w:rsidR="007013D0">
        <w:rPr>
          <w:noProof/>
        </w:rPr>
        <w:t>Proportion of households agreeing to first interview, by number of calls, 2015/16</w:t>
      </w:r>
      <w:r w:rsidR="007013D0">
        <w:rPr>
          <w:noProof/>
        </w:rPr>
        <w:tab/>
      </w:r>
      <w:r w:rsidR="007013D0">
        <w:rPr>
          <w:noProof/>
        </w:rPr>
        <w:fldChar w:fldCharType="begin"/>
      </w:r>
      <w:r w:rsidR="007013D0">
        <w:rPr>
          <w:noProof/>
        </w:rPr>
        <w:instrText xml:space="preserve"> PAGEREF _Toc467515176 \h </w:instrText>
      </w:r>
      <w:r w:rsidR="007013D0">
        <w:rPr>
          <w:noProof/>
        </w:rPr>
      </w:r>
      <w:r w:rsidR="007013D0">
        <w:rPr>
          <w:noProof/>
        </w:rPr>
        <w:fldChar w:fldCharType="separate"/>
      </w:r>
      <w:r w:rsidR="006E025A">
        <w:rPr>
          <w:noProof/>
        </w:rPr>
        <w:t>29</w:t>
      </w:r>
      <w:r w:rsidR="007013D0">
        <w:rPr>
          <w:noProof/>
        </w:rPr>
        <w:fldChar w:fldCharType="end"/>
      </w:r>
    </w:p>
    <w:p w:rsidR="007013D0" w:rsidRDefault="007013D0" w:rsidP="008B07B9">
      <w:pPr>
        <w:pStyle w:val="TOC3"/>
        <w:keepNext/>
        <w:rPr>
          <w:rFonts w:asciiTheme="minorHAnsi" w:eastAsiaTheme="minorEastAsia" w:hAnsiTheme="minorHAnsi" w:cstheme="minorBidi"/>
          <w:noProof/>
          <w:szCs w:val="22"/>
          <w:lang w:eastAsia="en-NZ"/>
        </w:rPr>
      </w:pPr>
      <w:r>
        <w:rPr>
          <w:noProof/>
        </w:rPr>
        <w:t>Figure 2</w:t>
      </w:r>
      <w:r w:rsidRPr="007013D0">
        <w:rPr>
          <w:noProof/>
        </w:rPr>
        <w:t>:</w:t>
      </w:r>
      <w:r w:rsidRPr="007013D0">
        <w:rPr>
          <w:noProof/>
        </w:rPr>
        <w:tab/>
      </w:r>
      <w:r>
        <w:rPr>
          <w:noProof/>
        </w:rPr>
        <w:t>Response rates (%) for adults and children, 2011/12–2015/16</w:t>
      </w:r>
      <w:r>
        <w:rPr>
          <w:noProof/>
        </w:rPr>
        <w:tab/>
      </w:r>
      <w:r>
        <w:rPr>
          <w:noProof/>
        </w:rPr>
        <w:fldChar w:fldCharType="begin"/>
      </w:r>
      <w:r>
        <w:rPr>
          <w:noProof/>
        </w:rPr>
        <w:instrText xml:space="preserve"> PAGEREF _Toc467515177 \h </w:instrText>
      </w:r>
      <w:r>
        <w:rPr>
          <w:noProof/>
        </w:rPr>
      </w:r>
      <w:r>
        <w:rPr>
          <w:noProof/>
        </w:rPr>
        <w:fldChar w:fldCharType="separate"/>
      </w:r>
      <w:r w:rsidR="006E025A">
        <w:rPr>
          <w:noProof/>
        </w:rPr>
        <w:t>29</w:t>
      </w:r>
      <w:r>
        <w:rPr>
          <w:noProof/>
        </w:rPr>
        <w:fldChar w:fldCharType="end"/>
      </w:r>
    </w:p>
    <w:p w:rsidR="007013D0" w:rsidRDefault="007013D0" w:rsidP="008B07B9">
      <w:pPr>
        <w:pStyle w:val="TOC3"/>
        <w:keepNext/>
        <w:rPr>
          <w:rFonts w:asciiTheme="minorHAnsi" w:eastAsiaTheme="minorEastAsia" w:hAnsiTheme="minorHAnsi" w:cstheme="minorBidi"/>
          <w:noProof/>
          <w:szCs w:val="22"/>
          <w:lang w:eastAsia="en-NZ"/>
        </w:rPr>
      </w:pPr>
      <w:r>
        <w:rPr>
          <w:noProof/>
          <w:lang w:eastAsia="en-US"/>
        </w:rPr>
        <w:t>Figure 3</w:t>
      </w:r>
      <w:r w:rsidRPr="007013D0">
        <w:rPr>
          <w:noProof/>
          <w:lang w:eastAsia="en-US"/>
        </w:rPr>
        <w:t>:</w:t>
      </w:r>
      <w:r w:rsidRPr="007013D0">
        <w:rPr>
          <w:noProof/>
          <w:lang w:eastAsia="en-US"/>
        </w:rPr>
        <w:tab/>
      </w:r>
      <w:r>
        <w:rPr>
          <w:noProof/>
          <w:lang w:eastAsia="en-US"/>
        </w:rPr>
        <w:t>Coverage rates (%) for adults and children, 2011/12–2015/16</w:t>
      </w:r>
      <w:r>
        <w:rPr>
          <w:noProof/>
        </w:rPr>
        <w:tab/>
      </w:r>
      <w:r>
        <w:rPr>
          <w:noProof/>
        </w:rPr>
        <w:fldChar w:fldCharType="begin"/>
      </w:r>
      <w:r>
        <w:rPr>
          <w:noProof/>
        </w:rPr>
        <w:instrText xml:space="preserve"> PAGEREF _Toc467515178 \h </w:instrText>
      </w:r>
      <w:r>
        <w:rPr>
          <w:noProof/>
        </w:rPr>
      </w:r>
      <w:r>
        <w:rPr>
          <w:noProof/>
        </w:rPr>
        <w:fldChar w:fldCharType="separate"/>
      </w:r>
      <w:r w:rsidR="006E025A">
        <w:rPr>
          <w:noProof/>
        </w:rPr>
        <w:t>30</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lang w:eastAsia="en-US"/>
        </w:rPr>
        <w:t>Figure 4</w:t>
      </w:r>
      <w:r w:rsidRPr="007013D0">
        <w:rPr>
          <w:noProof/>
          <w:lang w:eastAsia="en-US"/>
        </w:rPr>
        <w:t>:</w:t>
      </w:r>
      <w:r w:rsidRPr="007013D0">
        <w:rPr>
          <w:noProof/>
          <w:lang w:eastAsia="en-US"/>
        </w:rPr>
        <w:tab/>
      </w:r>
      <w:r>
        <w:rPr>
          <w:noProof/>
          <w:lang w:eastAsia="en-US"/>
        </w:rPr>
        <w:t>Coverage rates (%) for Māori, Pacific and Asian groups, 2011/12–2015/16</w:t>
      </w:r>
      <w:r>
        <w:rPr>
          <w:noProof/>
        </w:rPr>
        <w:tab/>
      </w:r>
      <w:r>
        <w:rPr>
          <w:noProof/>
        </w:rPr>
        <w:fldChar w:fldCharType="begin"/>
      </w:r>
      <w:r>
        <w:rPr>
          <w:noProof/>
        </w:rPr>
        <w:instrText xml:space="preserve"> PAGEREF _Toc467515179 \h </w:instrText>
      </w:r>
      <w:r>
        <w:rPr>
          <w:noProof/>
        </w:rPr>
      </w:r>
      <w:r>
        <w:rPr>
          <w:noProof/>
        </w:rPr>
        <w:fldChar w:fldCharType="separate"/>
      </w:r>
      <w:r w:rsidR="006E025A">
        <w:rPr>
          <w:noProof/>
        </w:rPr>
        <w:t>30</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lang w:eastAsia="en-US"/>
        </w:rPr>
        <w:t>Figure 5</w:t>
      </w:r>
      <w:r w:rsidRPr="007013D0">
        <w:rPr>
          <w:noProof/>
          <w:lang w:eastAsia="en-US"/>
        </w:rPr>
        <w:t>:</w:t>
      </w:r>
      <w:r w:rsidRPr="007013D0">
        <w:rPr>
          <w:noProof/>
          <w:lang w:eastAsia="en-US"/>
        </w:rPr>
        <w:tab/>
      </w:r>
      <w:r>
        <w:rPr>
          <w:noProof/>
          <w:lang w:eastAsia="en-US"/>
        </w:rPr>
        <w:t>Coverage rates (%) by NZDep2013 quintiles, 2011/12–2015/16</w:t>
      </w:r>
      <w:r>
        <w:rPr>
          <w:noProof/>
        </w:rPr>
        <w:tab/>
      </w:r>
      <w:r>
        <w:rPr>
          <w:noProof/>
        </w:rPr>
        <w:fldChar w:fldCharType="begin"/>
      </w:r>
      <w:r>
        <w:rPr>
          <w:noProof/>
        </w:rPr>
        <w:instrText xml:space="preserve"> PAGEREF _Toc467515180 \h </w:instrText>
      </w:r>
      <w:r>
        <w:rPr>
          <w:noProof/>
        </w:rPr>
      </w:r>
      <w:r>
        <w:rPr>
          <w:noProof/>
        </w:rPr>
        <w:fldChar w:fldCharType="separate"/>
      </w:r>
      <w:r w:rsidR="006E025A">
        <w:rPr>
          <w:noProof/>
        </w:rPr>
        <w:t>31</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Figure 6</w:t>
      </w:r>
      <w:r w:rsidRPr="007013D0">
        <w:rPr>
          <w:noProof/>
        </w:rPr>
        <w:t>:</w:t>
      </w:r>
      <w:r w:rsidRPr="007013D0">
        <w:rPr>
          <w:noProof/>
        </w:rPr>
        <w:tab/>
      </w:r>
      <w:r>
        <w:rPr>
          <w:noProof/>
        </w:rPr>
        <w:t>Coverage rates (%) for total population, by age group and sex, 2015/16</w:t>
      </w:r>
      <w:r>
        <w:rPr>
          <w:noProof/>
        </w:rPr>
        <w:tab/>
      </w:r>
      <w:r>
        <w:rPr>
          <w:noProof/>
        </w:rPr>
        <w:fldChar w:fldCharType="begin"/>
      </w:r>
      <w:r>
        <w:rPr>
          <w:noProof/>
        </w:rPr>
        <w:instrText xml:space="preserve"> PAGEREF _Toc467515181 \h </w:instrText>
      </w:r>
      <w:r>
        <w:rPr>
          <w:noProof/>
        </w:rPr>
      </w:r>
      <w:r>
        <w:rPr>
          <w:noProof/>
        </w:rPr>
        <w:fldChar w:fldCharType="separate"/>
      </w:r>
      <w:r w:rsidR="006E025A">
        <w:rPr>
          <w:noProof/>
        </w:rPr>
        <w:t>31</w:t>
      </w:r>
      <w:r>
        <w:rPr>
          <w:noProof/>
        </w:rPr>
        <w:fldChar w:fldCharType="end"/>
      </w:r>
    </w:p>
    <w:p w:rsidR="007013D0" w:rsidRDefault="007013D0">
      <w:pPr>
        <w:pStyle w:val="TOC3"/>
        <w:rPr>
          <w:rFonts w:asciiTheme="minorHAnsi" w:eastAsiaTheme="minorEastAsia" w:hAnsiTheme="minorHAnsi" w:cstheme="minorBidi"/>
          <w:noProof/>
          <w:szCs w:val="22"/>
          <w:lang w:eastAsia="en-NZ"/>
        </w:rPr>
      </w:pPr>
      <w:r>
        <w:rPr>
          <w:noProof/>
        </w:rPr>
        <w:t>Figure 7</w:t>
      </w:r>
      <w:r w:rsidRPr="007013D0">
        <w:rPr>
          <w:noProof/>
        </w:rPr>
        <w:t>:</w:t>
      </w:r>
      <w:r w:rsidRPr="007013D0">
        <w:rPr>
          <w:noProof/>
        </w:rPr>
        <w:tab/>
      </w:r>
      <w:r>
        <w:rPr>
          <w:noProof/>
        </w:rPr>
        <w:t>Coverage rates (%) for Māori, by age group and sex, 2015/16</w:t>
      </w:r>
      <w:r>
        <w:rPr>
          <w:noProof/>
        </w:rPr>
        <w:tab/>
      </w:r>
      <w:r>
        <w:rPr>
          <w:noProof/>
        </w:rPr>
        <w:fldChar w:fldCharType="begin"/>
      </w:r>
      <w:r>
        <w:rPr>
          <w:noProof/>
        </w:rPr>
        <w:instrText xml:space="preserve"> PAGEREF _Toc467515182 \h </w:instrText>
      </w:r>
      <w:r>
        <w:rPr>
          <w:noProof/>
        </w:rPr>
      </w:r>
      <w:r>
        <w:rPr>
          <w:noProof/>
        </w:rPr>
        <w:fldChar w:fldCharType="separate"/>
      </w:r>
      <w:r w:rsidR="006E025A">
        <w:rPr>
          <w:noProof/>
        </w:rPr>
        <w:t>32</w:t>
      </w:r>
      <w:r>
        <w:rPr>
          <w:noProof/>
        </w:rPr>
        <w:fldChar w:fldCharType="end"/>
      </w:r>
    </w:p>
    <w:p w:rsidR="003A5FEA" w:rsidRDefault="003A5FEA" w:rsidP="003A5FEA">
      <w:r>
        <w:fldChar w:fldCharType="end"/>
      </w:r>
    </w:p>
    <w:p w:rsidR="00455CC9" w:rsidRDefault="00455CC9"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DC0A66" w:rsidP="0086388B">
      <w:pPr>
        <w:pStyle w:val="Heading1"/>
      </w:pPr>
      <w:bookmarkStart w:id="5" w:name="_Toc467515113"/>
      <w:r>
        <w:lastRenderedPageBreak/>
        <w:t xml:space="preserve">Section 1: </w:t>
      </w:r>
      <w:r w:rsidR="00032C0A">
        <w:t>Introduction</w:t>
      </w:r>
      <w:bookmarkEnd w:id="5"/>
    </w:p>
    <w:p w:rsidR="00DC0A66" w:rsidRDefault="00DC0A66" w:rsidP="00981544">
      <w:pPr>
        <w:pStyle w:val="Heading2"/>
      </w:pPr>
      <w:bookmarkStart w:id="6" w:name="_Toc372445542"/>
      <w:bookmarkStart w:id="7" w:name="_Toc403043996"/>
      <w:bookmarkStart w:id="8" w:name="_Toc467491512"/>
      <w:bookmarkStart w:id="9" w:name="_Toc467515114"/>
      <w:r>
        <w:t>Overview</w:t>
      </w:r>
      <w:bookmarkEnd w:id="6"/>
      <w:bookmarkEnd w:id="7"/>
      <w:bookmarkEnd w:id="8"/>
      <w:bookmarkEnd w:id="9"/>
    </w:p>
    <w:p w:rsidR="00DC0A66" w:rsidRPr="00CC7E24" w:rsidRDefault="00DC0A66" w:rsidP="00981544">
      <w:r w:rsidRPr="001B6D3B">
        <w:t>The New Zealand Health Survey (NZHS) is an important data collection tool, which is used to</w:t>
      </w:r>
      <w:r w:rsidRPr="00CC7E24">
        <w:t xml:space="preserve"> monitor population health and provide supporting evidence for health policy and strategy development. The Health and</w:t>
      </w:r>
      <w:r>
        <w:t xml:space="preserve"> Disability Intelligence (HDI) group,</w:t>
      </w:r>
      <w:r w:rsidRPr="00CC7E24">
        <w:t xml:space="preserve"> within the Ministry of Health</w:t>
      </w:r>
      <w:r w:rsidR="00981544">
        <w:t>’</w:t>
      </w:r>
      <w:r w:rsidRPr="00CC7E24">
        <w:t>s</w:t>
      </w:r>
      <w:r>
        <w:t xml:space="preserve"> (the Ministry</w:t>
      </w:r>
      <w:r w:rsidR="00981544">
        <w:t>’</w:t>
      </w:r>
      <w:r>
        <w:t>s)</w:t>
      </w:r>
      <w:r w:rsidRPr="00CC7E24">
        <w:t xml:space="preserve"> </w:t>
      </w:r>
      <w:r>
        <w:t>Client Insights and Analytics business</w:t>
      </w:r>
      <w:r w:rsidRPr="00CC7E24">
        <w:t xml:space="preserve"> </w:t>
      </w:r>
      <w:r>
        <w:t>u</w:t>
      </w:r>
      <w:r w:rsidRPr="00CC7E24">
        <w:t>nit</w:t>
      </w:r>
      <w:r>
        <w:t>,</w:t>
      </w:r>
      <w:r w:rsidRPr="00CC7E24">
        <w:t xml:space="preserve"> is responsible for design</w:t>
      </w:r>
      <w:r>
        <w:t>ing</w:t>
      </w:r>
      <w:r w:rsidRPr="00CC7E24">
        <w:t>, analys</w:t>
      </w:r>
      <w:r>
        <w:t>ing</w:t>
      </w:r>
      <w:r w:rsidRPr="00CC7E24">
        <w:t xml:space="preserve"> and reporting </w:t>
      </w:r>
      <w:r>
        <w:t xml:space="preserve">on </w:t>
      </w:r>
      <w:r w:rsidRPr="00CC7E24">
        <w:t xml:space="preserve">the NZHS. The NZHS field </w:t>
      </w:r>
      <w:r>
        <w:t>activities are</w:t>
      </w:r>
      <w:r w:rsidRPr="00CC7E24">
        <w:t xml:space="preserve"> contracted out to a specialist survey provider, CBG Health Research Ltd.</w:t>
      </w:r>
    </w:p>
    <w:p w:rsidR="00DC0A66" w:rsidRPr="00CC7E24" w:rsidRDefault="00DC0A66" w:rsidP="00897B78"/>
    <w:p w:rsidR="00DC0A66" w:rsidRPr="00CC7E24" w:rsidRDefault="00DC0A66" w:rsidP="00897B78">
      <w:r w:rsidRPr="009D18D7">
        <w:t>The NZHS collects information that cannot be obtained more effectively or efficiently through other means</w:t>
      </w:r>
      <w:r w:rsidRPr="00CC7E24">
        <w:t xml:space="preserve">, such as </w:t>
      </w:r>
      <w:r>
        <w:t xml:space="preserve">by </w:t>
      </w:r>
      <w:r w:rsidRPr="00CC7E24">
        <w:t>analyses of hospital administrative records, disease registries or epidemiological research. For most topics in the NZHS</w:t>
      </w:r>
      <w:r>
        <w:t>,</w:t>
      </w:r>
      <w:r w:rsidRPr="00CC7E24">
        <w:t xml:space="preserve"> the survey is the best source of information at a population level.</w:t>
      </w:r>
    </w:p>
    <w:p w:rsidR="00DC0A66" w:rsidRPr="00CC7E24" w:rsidRDefault="00DC0A66" w:rsidP="00897B78"/>
    <w:p w:rsidR="00DC0A66" w:rsidRPr="00CC7E24" w:rsidRDefault="00DC0A66" w:rsidP="00897B78">
      <w:r w:rsidRPr="00CC7E24">
        <w:t xml:space="preserve">Previous </w:t>
      </w:r>
      <w:r>
        <w:t>NZHSs</w:t>
      </w:r>
      <w:r w:rsidRPr="00CC7E24">
        <w:t xml:space="preserve"> were conducted in 1992/93, 1996/97, 2002/03 and 2006/07. In addition, separate stand-alone surveys</w:t>
      </w:r>
      <w:r>
        <w:t xml:space="preserve"> on specific subjects</w:t>
      </w:r>
      <w:r w:rsidRPr="00CC7E24">
        <w:t xml:space="preserve"> </w:t>
      </w:r>
      <w:r>
        <w:t>have been</w:t>
      </w:r>
      <w:r w:rsidRPr="00CC7E24">
        <w:t xml:space="preserve"> conducted once every three or four years as part of the wider health survey programme</w:t>
      </w:r>
      <w:r>
        <w:t>. These surveys</w:t>
      </w:r>
      <w:r w:rsidRPr="00CC7E24">
        <w:t xml:space="preserve"> </w:t>
      </w:r>
      <w:r>
        <w:t>covered</w:t>
      </w:r>
      <w:r w:rsidRPr="00CC7E24">
        <w:t xml:space="preserve"> adult and child nutrition</w:t>
      </w:r>
      <w:r>
        <w:t>;</w:t>
      </w:r>
      <w:r w:rsidRPr="00CC7E24">
        <w:t xml:space="preserve"> tobacco, alcohol and drug</w:t>
      </w:r>
      <w:r>
        <w:t xml:space="preserve"> </w:t>
      </w:r>
      <w:r w:rsidRPr="00CC7E24">
        <w:t>use</w:t>
      </w:r>
      <w:r>
        <w:t>;</w:t>
      </w:r>
      <w:r w:rsidRPr="00CC7E24">
        <w:t xml:space="preserve"> mental health</w:t>
      </w:r>
      <w:r>
        <w:t>;</w:t>
      </w:r>
      <w:r w:rsidRPr="00CC7E24">
        <w:t xml:space="preserve"> and oral health. From </w:t>
      </w:r>
      <w:r>
        <w:t xml:space="preserve">July </w:t>
      </w:r>
      <w:r w:rsidRPr="00CC7E24">
        <w:t>2011</w:t>
      </w:r>
      <w:r>
        <w:t>,</w:t>
      </w:r>
      <w:r w:rsidRPr="00CC7E24">
        <w:t xml:space="preserve"> all the above surveys </w:t>
      </w:r>
      <w:r>
        <w:t>were</w:t>
      </w:r>
      <w:r w:rsidRPr="00CC7E24">
        <w:t xml:space="preserve"> integrated into the single NZHS, which is now in continuous operation.</w:t>
      </w:r>
    </w:p>
    <w:p w:rsidR="00DC0A66" w:rsidRPr="00CC7E24" w:rsidRDefault="00DC0A66" w:rsidP="00897B78"/>
    <w:p w:rsidR="00981544" w:rsidRDefault="00DC0A66" w:rsidP="00897B78">
      <w:r w:rsidRPr="00CC7E24">
        <w:t>From 2013 onwards</w:t>
      </w:r>
      <w:r>
        <w:t>,</w:t>
      </w:r>
      <w:r w:rsidRPr="00CC7E24">
        <w:t xml:space="preserve"> a number of key outputs from the NZHS </w:t>
      </w:r>
      <w:r w:rsidRPr="000A6B49">
        <w:t>became Tier 1 statistics</w:t>
      </w:r>
      <w:r>
        <w:t xml:space="preserve"> </w:t>
      </w:r>
      <w:r w:rsidRPr="000A6B49">
        <w:t>(</w:t>
      </w:r>
      <w:r>
        <w:t>a portfolio of the most important official statistics, essential to understanding how well New Zealand is performing</w:t>
      </w:r>
      <w:r w:rsidRPr="000A6B49">
        <w:t>)</w:t>
      </w:r>
      <w:r>
        <w:t xml:space="preserve">. For the 2015/16 year, the eight Tier 1 statistics from the NZHS are: </w:t>
      </w:r>
      <w:r w:rsidRPr="007042F4">
        <w:t xml:space="preserve">smoking (current), past-year </w:t>
      </w:r>
      <w:r>
        <w:t xml:space="preserve">(alcohol) </w:t>
      </w:r>
      <w:r w:rsidRPr="007042F4">
        <w:t xml:space="preserve">drinking, hazardous </w:t>
      </w:r>
      <w:r>
        <w:t xml:space="preserve">(alcohol) </w:t>
      </w:r>
      <w:r w:rsidRPr="007042F4">
        <w:t xml:space="preserve">drinking, obesity, unmet need for </w:t>
      </w:r>
      <w:r>
        <w:t>a general practitioner (</w:t>
      </w:r>
      <w:r w:rsidRPr="007042F4">
        <w:t>GP</w:t>
      </w:r>
      <w:r>
        <w:t>)</w:t>
      </w:r>
      <w:r w:rsidRPr="007042F4">
        <w:t xml:space="preserve"> due to cost, unfilled prescription due to cost, self-rated health and mental health status (psychological distress)</w:t>
      </w:r>
      <w:r w:rsidRPr="00CC7E24">
        <w:t>.</w:t>
      </w:r>
    </w:p>
    <w:p w:rsidR="00DC0A66" w:rsidRDefault="00DC0A66" w:rsidP="00897B78"/>
    <w:p w:rsidR="00DC0A66" w:rsidRDefault="00DC0A66" w:rsidP="00897B78">
      <w:r w:rsidRPr="00CC7E24">
        <w:t xml:space="preserve">This </w:t>
      </w:r>
      <w:r>
        <w:t>NZHS methodology</w:t>
      </w:r>
      <w:r w:rsidRPr="00CC7E24">
        <w:t xml:space="preserve"> </w:t>
      </w:r>
      <w:r>
        <w:t>r</w:t>
      </w:r>
      <w:r w:rsidRPr="00CC7E24">
        <w:t xml:space="preserve">eport outlines the procedures and protocols followed to ensure the NZHS produces the high-quality and robust data expected of official statistics (Statistics New Zealand 2007). </w:t>
      </w:r>
      <w:r w:rsidRPr="003D2ED1">
        <w:t xml:space="preserve">The information specific to </w:t>
      </w:r>
      <w:r w:rsidRPr="0020597E">
        <w:t xml:space="preserve">the current year </w:t>
      </w:r>
      <w:r>
        <w:t>5</w:t>
      </w:r>
      <w:r w:rsidRPr="0020597E">
        <w:t xml:space="preserve"> of the continuous NZHS </w:t>
      </w:r>
      <w:r>
        <w:t>(</w:t>
      </w:r>
      <w:r w:rsidRPr="0020597E">
        <w:t>data</w:t>
      </w:r>
      <w:r w:rsidRPr="0020597E">
        <w:rPr>
          <w:strike/>
          <w:highlight w:val="yellow"/>
        </w:rPr>
        <w:t xml:space="preserve"> </w:t>
      </w:r>
      <w:r w:rsidRPr="0020597E">
        <w:t>collect</w:t>
      </w:r>
      <w:r>
        <w:t xml:space="preserve">ed between July 2015 and June 2016) </w:t>
      </w:r>
      <w:r w:rsidRPr="003D2ED1">
        <w:t>is include</w:t>
      </w:r>
      <w:r>
        <w:t>d in S</w:t>
      </w:r>
      <w:r w:rsidRPr="003D2ED1">
        <w:t xml:space="preserve">ection </w:t>
      </w:r>
      <w:r>
        <w:t>9 of this report</w:t>
      </w:r>
      <w:r w:rsidRPr="003D2ED1">
        <w:t>.</w:t>
      </w:r>
      <w:bookmarkStart w:id="10" w:name="_Toc199225768"/>
      <w:bookmarkStart w:id="11" w:name="_Toc201042972"/>
      <w:bookmarkStart w:id="12" w:name="_Toc335133096"/>
      <w:r w:rsidRPr="003D2ED1">
        <w:t xml:space="preserve"> The corresponding information </w:t>
      </w:r>
      <w:r w:rsidRPr="0020597E">
        <w:t>for year</w:t>
      </w:r>
      <w:r>
        <w:t xml:space="preserve">s </w:t>
      </w:r>
      <w:r w:rsidRPr="0020597E">
        <w:t>1</w:t>
      </w:r>
      <w:r>
        <w:t>, 2, 3</w:t>
      </w:r>
      <w:r w:rsidRPr="0020597E">
        <w:t xml:space="preserve"> and </w:t>
      </w:r>
      <w:r>
        <w:t>4</w:t>
      </w:r>
      <w:r w:rsidRPr="0020597E">
        <w:t xml:space="preserve"> of the NZHS can</w:t>
      </w:r>
      <w:r w:rsidRPr="003D2ED1">
        <w:t xml:space="preserve"> be found in the previous </w:t>
      </w:r>
      <w:r>
        <w:t xml:space="preserve">methodology </w:t>
      </w:r>
      <w:r w:rsidRPr="003D2ED1">
        <w:t>reports</w:t>
      </w:r>
      <w:r>
        <w:t>.</w:t>
      </w:r>
      <w:r w:rsidRPr="00897B78">
        <w:rPr>
          <w:rStyle w:val="FootnoteReference"/>
        </w:rPr>
        <w:footnoteReference w:id="1"/>
      </w:r>
    </w:p>
    <w:p w:rsidR="00DC0A66" w:rsidRPr="00CC7E24" w:rsidRDefault="00DC0A66" w:rsidP="00DC0A66"/>
    <w:p w:rsidR="00DC0A66" w:rsidRPr="00CC7E24" w:rsidRDefault="00DC0A66" w:rsidP="00897B78">
      <w:pPr>
        <w:pStyle w:val="Heading2"/>
      </w:pPr>
      <w:bookmarkStart w:id="13" w:name="_Toc339269997"/>
      <w:bookmarkStart w:id="14" w:name="_Toc340501923"/>
      <w:bookmarkStart w:id="15" w:name="_Toc372445543"/>
      <w:bookmarkStart w:id="16" w:name="_Toc403043997"/>
      <w:bookmarkStart w:id="17" w:name="_Toc467491513"/>
      <w:bookmarkStart w:id="18" w:name="_Toc467515115"/>
      <w:r w:rsidRPr="00BD09EF">
        <w:lastRenderedPageBreak/>
        <w:t>Background</w:t>
      </w:r>
      <w:bookmarkEnd w:id="10"/>
      <w:bookmarkEnd w:id="11"/>
      <w:bookmarkEnd w:id="12"/>
      <w:bookmarkEnd w:id="13"/>
      <w:bookmarkEnd w:id="14"/>
      <w:bookmarkEnd w:id="15"/>
      <w:bookmarkEnd w:id="16"/>
      <w:bookmarkEnd w:id="17"/>
      <w:bookmarkEnd w:id="18"/>
    </w:p>
    <w:p w:rsidR="00DC0A66" w:rsidRPr="00CC7E24" w:rsidRDefault="00DC0A66" w:rsidP="00897B78">
      <w:pPr>
        <w:keepNext/>
      </w:pPr>
      <w:r w:rsidRPr="001B6D3B">
        <w:t xml:space="preserve">As a signatory of the Protocols </w:t>
      </w:r>
      <w:r>
        <w:t>for</w:t>
      </w:r>
      <w:r w:rsidRPr="001B6D3B">
        <w:t xml:space="preserve"> Official Statistics (Statistics New Zealand 1998),</w:t>
      </w:r>
      <w:r w:rsidRPr="00CC7E24">
        <w:t xml:space="preserve"> the Ministry employs best-practice survey techniques to produce high-quality information through the NZHS.</w:t>
      </w:r>
      <w:r>
        <w:t xml:space="preserve"> It uses</w:t>
      </w:r>
      <w:r w:rsidRPr="00CC7E24">
        <w:t xml:space="preserve"> </w:t>
      </w:r>
      <w:r>
        <w:t>s</w:t>
      </w:r>
      <w:r w:rsidRPr="00CC7E24">
        <w:t xml:space="preserve">tandard frameworks </w:t>
      </w:r>
      <w:r>
        <w:t xml:space="preserve">and </w:t>
      </w:r>
      <w:r w:rsidRPr="00CC7E24">
        <w:t>classifications</w:t>
      </w:r>
      <w:r>
        <w:t>,</w:t>
      </w:r>
      <w:r w:rsidRPr="00CC7E24">
        <w:t xml:space="preserve"> with validated questions where possible</w:t>
      </w:r>
      <w:r>
        <w:t>,</w:t>
      </w:r>
      <w:r w:rsidRPr="00CC7E24">
        <w:t xml:space="preserve"> </w:t>
      </w:r>
      <w:r>
        <w:t xml:space="preserve">so that </w:t>
      </w:r>
      <w:r w:rsidRPr="00CC7E24">
        <w:t xml:space="preserve">NZHS data </w:t>
      </w:r>
      <w:r>
        <w:t xml:space="preserve">can be integrated </w:t>
      </w:r>
      <w:r w:rsidRPr="00CC7E24">
        <w:t>with data from other sources.</w:t>
      </w:r>
    </w:p>
    <w:p w:rsidR="00DC0A66" w:rsidRPr="00CC7E24" w:rsidRDefault="00DC0A66" w:rsidP="00897B78">
      <w:pPr>
        <w:keepNext/>
      </w:pPr>
    </w:p>
    <w:p w:rsidR="00DC0A66" w:rsidRPr="00CC7E24" w:rsidRDefault="00DC0A66" w:rsidP="00897B78">
      <w:pPr>
        <w:keepNext/>
      </w:pPr>
      <w:r w:rsidRPr="00CC7E24">
        <w:t xml:space="preserve">The goal of the continuous NZHS is to support the formulation and evaluation of policy </w:t>
      </w:r>
      <w:r>
        <w:t>by providing</w:t>
      </w:r>
      <w:r w:rsidRPr="00CC7E24">
        <w:t xml:space="preserve"> timely, reliable and relevant health information. </w:t>
      </w:r>
      <w:r w:rsidRPr="009D18D7">
        <w:t xml:space="preserve">This information </w:t>
      </w:r>
      <w:r w:rsidRPr="00CC7E24">
        <w:t>covers population health</w:t>
      </w:r>
      <w:r>
        <w:t>;</w:t>
      </w:r>
      <w:r w:rsidRPr="00CC7E24">
        <w:t xml:space="preserve"> health risk and protective factors</w:t>
      </w:r>
      <w:r>
        <w:t>;</w:t>
      </w:r>
      <w:r w:rsidRPr="00CC7E24">
        <w:t xml:space="preserve"> and health service utilisation.</w:t>
      </w:r>
    </w:p>
    <w:p w:rsidR="00DC0A66" w:rsidRPr="00CC7E24" w:rsidRDefault="00DC0A66" w:rsidP="00897B78"/>
    <w:p w:rsidR="00DC0A66" w:rsidRPr="00CC7E24" w:rsidRDefault="00DC0A66" w:rsidP="00897B78">
      <w:r w:rsidRPr="00CC7E24">
        <w:t>To achieve this goal</w:t>
      </w:r>
      <w:r>
        <w:t>,</w:t>
      </w:r>
      <w:r w:rsidRPr="00CC7E24">
        <w:t xml:space="preserve"> a number of specific objectives</w:t>
      </w:r>
      <w:r>
        <w:t xml:space="preserve"> have been identified. The </w:t>
      </w:r>
      <w:r w:rsidRPr="001700A2">
        <w:rPr>
          <w:i/>
        </w:rPr>
        <w:t xml:space="preserve">Content Guide </w:t>
      </w:r>
      <w:r>
        <w:rPr>
          <w:i/>
        </w:rPr>
        <w:t>2015/16: New Zealand Health Survey</w:t>
      </w:r>
      <w:r w:rsidRPr="001700A2">
        <w:rPr>
          <w:i/>
        </w:rPr>
        <w:t xml:space="preserve"> </w:t>
      </w:r>
      <w:r w:rsidRPr="00CC7E24">
        <w:t xml:space="preserve">contains further information on these objectives </w:t>
      </w:r>
      <w:r w:rsidRPr="004975DE">
        <w:t>(Ministry of Health 201</w:t>
      </w:r>
      <w:r>
        <w:t>6b</w:t>
      </w:r>
      <w:r w:rsidRPr="004975DE">
        <w:t>).</w:t>
      </w:r>
    </w:p>
    <w:p w:rsidR="00DC0A66" w:rsidRPr="00CC7E24" w:rsidRDefault="00DC0A66" w:rsidP="00897B78"/>
    <w:p w:rsidR="00DC0A66" w:rsidRPr="00CC7E24" w:rsidRDefault="00DC0A66" w:rsidP="00897B78">
      <w:r w:rsidRPr="00CC7E24">
        <w:t xml:space="preserve">The NZHS has been carefully designed to </w:t>
      </w:r>
      <w:r>
        <w:t xml:space="preserve">minimise </w:t>
      </w:r>
      <w:r w:rsidRPr="00CC7E24">
        <w:t xml:space="preserve">the impact on </w:t>
      </w:r>
      <w:r>
        <w:t xml:space="preserve">survey </w:t>
      </w:r>
      <w:r w:rsidRPr="00CC7E24">
        <w:t xml:space="preserve">respondents. </w:t>
      </w:r>
      <w:r>
        <w:t xml:space="preserve">Features for this purpose </w:t>
      </w:r>
      <w:r w:rsidRPr="00CC7E24">
        <w:t>include:</w:t>
      </w:r>
    </w:p>
    <w:p w:rsidR="00DC0A66" w:rsidRPr="00CC7E24" w:rsidRDefault="00DC0A66" w:rsidP="00897B78">
      <w:pPr>
        <w:pStyle w:val="Bullet"/>
      </w:pPr>
      <w:r>
        <w:t xml:space="preserve">selecting </w:t>
      </w:r>
      <w:r w:rsidRPr="00CC7E24">
        <w:t>only one eligible adult and one eligible child per dwelling</w:t>
      </w:r>
    </w:p>
    <w:p w:rsidR="00DC0A66" w:rsidRPr="00CC7E24" w:rsidRDefault="00DC0A66" w:rsidP="00897B78">
      <w:pPr>
        <w:pStyle w:val="Bullet"/>
      </w:pPr>
      <w:r>
        <w:t xml:space="preserve">using </w:t>
      </w:r>
      <w:r w:rsidRPr="00CC7E24">
        <w:t>well-tested and</w:t>
      </w:r>
      <w:r w:rsidRPr="00CD21B4">
        <w:t xml:space="preserve"> well-proven</w:t>
      </w:r>
      <w:r w:rsidRPr="00CC7E24">
        <w:t xml:space="preserve"> questionnaires</w:t>
      </w:r>
    </w:p>
    <w:p w:rsidR="00DC0A66" w:rsidRPr="00CC7E24" w:rsidRDefault="00DC0A66" w:rsidP="00897B78">
      <w:pPr>
        <w:pStyle w:val="Bullet"/>
      </w:pPr>
      <w:r>
        <w:t xml:space="preserve">using </w:t>
      </w:r>
      <w:r w:rsidRPr="00CC7E24">
        <w:t>professional</w:t>
      </w:r>
      <w:r>
        <w:t>,</w:t>
      </w:r>
      <w:r w:rsidRPr="00CC7E24">
        <w:t xml:space="preserve"> trained interviewers </w:t>
      </w:r>
      <w:r>
        <w:t xml:space="preserve">to </w:t>
      </w:r>
      <w:r w:rsidRPr="00CC7E24">
        <w:t>conduct the interview</w:t>
      </w:r>
      <w:r>
        <w:t>s</w:t>
      </w:r>
    </w:p>
    <w:p w:rsidR="00DC0A66" w:rsidRPr="00CC7E24" w:rsidRDefault="00DC0A66" w:rsidP="00897B78">
      <w:pPr>
        <w:pStyle w:val="Bullet"/>
      </w:pPr>
      <w:r>
        <w:t xml:space="preserve">making an </w:t>
      </w:r>
      <w:r w:rsidRPr="00CC7E24">
        <w:t xml:space="preserve">appointment </w:t>
      </w:r>
      <w:r>
        <w:t xml:space="preserve">to conduct each </w:t>
      </w:r>
      <w:r w:rsidRPr="00CC7E24">
        <w:t xml:space="preserve">interview at a time </w:t>
      </w:r>
      <w:r>
        <w:t>that</w:t>
      </w:r>
      <w:r w:rsidRPr="00CC7E24">
        <w:t xml:space="preserve"> suit</w:t>
      </w:r>
      <w:r>
        <w:t>s</w:t>
      </w:r>
      <w:r w:rsidRPr="00CC7E24">
        <w:t xml:space="preserve"> the respondent and their family</w:t>
      </w:r>
    </w:p>
    <w:p w:rsidR="00DC0A66" w:rsidRPr="00CC7E24" w:rsidRDefault="00DC0A66" w:rsidP="00897B78">
      <w:pPr>
        <w:pStyle w:val="Bullet"/>
      </w:pPr>
      <w:proofErr w:type="gramStart"/>
      <w:r>
        <w:t>having</w:t>
      </w:r>
      <w:proofErr w:type="gramEnd"/>
      <w:r>
        <w:t xml:space="preserve"> the option of using </w:t>
      </w:r>
      <w:r w:rsidRPr="00CC7E24">
        <w:t xml:space="preserve">a proxy respondent </w:t>
      </w:r>
      <w:r>
        <w:t>where would-be respondent</w:t>
      </w:r>
      <w:r w:rsidRPr="00CC7E24">
        <w:t>s living in private dwellings</w:t>
      </w:r>
      <w:r>
        <w:t xml:space="preserve"> have </w:t>
      </w:r>
      <w:r w:rsidRPr="00CC7E24">
        <w:t>severe ill health or cognitive disability</w:t>
      </w:r>
      <w:r>
        <w:t>.</w:t>
      </w:r>
    </w:p>
    <w:p w:rsidR="00DC0A66" w:rsidRPr="00CC7E24" w:rsidRDefault="00DC0A66" w:rsidP="00897B78"/>
    <w:p w:rsidR="00DC0A66" w:rsidRPr="00CC7E24" w:rsidRDefault="00DC0A66" w:rsidP="00897B78">
      <w:r w:rsidRPr="009C49C4">
        <w:t>The New Zealand Health and Disability Multi-Region Ethics Committee granted approval for the NZHS (MEC/10/10/103) in 2011.</w:t>
      </w:r>
    </w:p>
    <w:p w:rsidR="00DC0A66" w:rsidRPr="00CC7E24" w:rsidRDefault="00DC0A66" w:rsidP="00897B78"/>
    <w:p w:rsidR="00DC0A66" w:rsidRPr="00CC7E24" w:rsidRDefault="00DC0A66" w:rsidP="00897B78">
      <w:pPr>
        <w:pStyle w:val="Heading1"/>
      </w:pPr>
      <w:bookmarkStart w:id="19" w:name="_Toc339269998"/>
      <w:bookmarkStart w:id="20" w:name="_Toc340501924"/>
      <w:bookmarkStart w:id="21" w:name="_Toc372445544"/>
      <w:bookmarkStart w:id="22" w:name="_Toc403043998"/>
      <w:bookmarkStart w:id="23" w:name="_Toc467491514"/>
      <w:bookmarkStart w:id="24" w:name="_Toc467515116"/>
      <w:bookmarkStart w:id="25" w:name="_Toc199225775"/>
      <w:bookmarkStart w:id="26" w:name="_Toc201042979"/>
      <w:r w:rsidRPr="00CC7E24">
        <w:lastRenderedPageBreak/>
        <w:t>Section 2:</w:t>
      </w:r>
      <w:r>
        <w:t xml:space="preserve"> </w:t>
      </w:r>
      <w:bookmarkEnd w:id="19"/>
      <w:bookmarkEnd w:id="20"/>
      <w:bookmarkEnd w:id="21"/>
      <w:bookmarkEnd w:id="22"/>
      <w:r>
        <w:t>Survey content</w:t>
      </w:r>
      <w:bookmarkEnd w:id="23"/>
      <w:bookmarkEnd w:id="24"/>
    </w:p>
    <w:p w:rsidR="00DC0A66" w:rsidRPr="00CC7E24" w:rsidRDefault="00DC0A66" w:rsidP="00897B78">
      <w:r w:rsidRPr="00CC7E24">
        <w:t>The NZHS comprises a set of core questions combined with a flexible programme of rotating topic modules. The questionnaire is administered (face</w:t>
      </w:r>
      <w:r>
        <w:t xml:space="preserve"> </w:t>
      </w:r>
      <w:r w:rsidRPr="00CC7E24">
        <w:t>to</w:t>
      </w:r>
      <w:r>
        <w:t xml:space="preserve"> </w:t>
      </w:r>
      <w:r w:rsidRPr="00CC7E24">
        <w:t xml:space="preserve">face and computer </w:t>
      </w:r>
      <w:r w:rsidRPr="001B4E9C">
        <w:t>assisted) to adults aged 15 years and older</w:t>
      </w:r>
      <w:r>
        <w:t>,</w:t>
      </w:r>
      <w:r w:rsidRPr="001B4E9C">
        <w:t xml:space="preserve"> as well as to children aged 0</w:t>
      </w:r>
      <w:r>
        <w:t>–</w:t>
      </w:r>
      <w:r w:rsidRPr="001B4E9C">
        <w:t>14 years,</w:t>
      </w:r>
      <w:r w:rsidRPr="00CC7E24">
        <w:t xml:space="preserve"> generally through their primary caregiver</w:t>
      </w:r>
      <w:r>
        <w:t>,</w:t>
      </w:r>
      <w:r w:rsidRPr="00CC7E24">
        <w:t xml:space="preserve"> who acts as a proxy</w:t>
      </w:r>
      <w:r>
        <w:t xml:space="preserve"> </w:t>
      </w:r>
      <w:r w:rsidRPr="00CC7E24">
        <w:t>respondent.</w:t>
      </w:r>
    </w:p>
    <w:p w:rsidR="00DC0A66" w:rsidRPr="00CC7E24" w:rsidRDefault="00DC0A66" w:rsidP="00897B78"/>
    <w:p w:rsidR="00DC0A66" w:rsidRPr="00CC7E24" w:rsidRDefault="00DC0A66" w:rsidP="00897B78">
      <w:r w:rsidRPr="00CC7E24">
        <w:t>Over previous years</w:t>
      </w:r>
      <w:r>
        <w:t>,</w:t>
      </w:r>
      <w:r w:rsidRPr="00CC7E24">
        <w:t xml:space="preserve"> the content of </w:t>
      </w:r>
      <w:r>
        <w:t>NZHS</w:t>
      </w:r>
      <w:r w:rsidRPr="00CC7E24">
        <w:t xml:space="preserve">s has remained similar </w:t>
      </w:r>
      <w:r>
        <w:t>so that data can be compared</w:t>
      </w:r>
      <w:r w:rsidRPr="00CC7E24">
        <w:t xml:space="preserve"> over time. The current NZHS maintains </w:t>
      </w:r>
      <w:r w:rsidRPr="00CC7E24">
        <w:rPr>
          <w:rFonts w:eastAsia="Calibri" w:cs="Arial"/>
          <w:color w:val="000000"/>
          <w:szCs w:val="24"/>
          <w:lang w:eastAsia="en-US"/>
        </w:rPr>
        <w:t xml:space="preserve">continuity with the previous surveys </w:t>
      </w:r>
      <w:r>
        <w:t>by including</w:t>
      </w:r>
      <w:r w:rsidRPr="00CC7E24">
        <w:t xml:space="preserve"> a set of core questions in both the adult and child questionnaires.</w:t>
      </w:r>
      <w:r>
        <w:t xml:space="preserve"> </w:t>
      </w:r>
      <w:r w:rsidRPr="00CC7E24">
        <w:t xml:space="preserve">The module </w:t>
      </w:r>
      <w:r>
        <w:t>topics change every 12 </w:t>
      </w:r>
      <w:r w:rsidRPr="00CC7E24">
        <w:t>months.</w:t>
      </w:r>
    </w:p>
    <w:p w:rsidR="00DC0A66" w:rsidRPr="00CC7E24" w:rsidRDefault="00DC0A66" w:rsidP="00897B78"/>
    <w:p w:rsidR="00DC0A66" w:rsidRDefault="00DC0A66" w:rsidP="00897B78">
      <w:r w:rsidRPr="00CC7E24">
        <w:t xml:space="preserve">Cognitive testing is undertaken to ensure </w:t>
      </w:r>
      <w:r>
        <w:t>the questions are understood as intended and response options are appropriate.</w:t>
      </w:r>
    </w:p>
    <w:p w:rsidR="00DC0A66" w:rsidRPr="00CC7E24" w:rsidRDefault="00DC0A66" w:rsidP="00897B78"/>
    <w:p w:rsidR="00DC0A66" w:rsidRPr="00CC7E24" w:rsidRDefault="00DC0A66" w:rsidP="00897B78">
      <w:r>
        <w:t>For m</w:t>
      </w:r>
      <w:r w:rsidRPr="00CC7E24">
        <w:t>ore detail on the rationale of topic inclusion, cognitive testing and the content of the questionnaires</w:t>
      </w:r>
      <w:r>
        <w:t xml:space="preserve">, see the </w:t>
      </w:r>
      <w:r>
        <w:rPr>
          <w:i/>
        </w:rPr>
        <w:t>Content Guide 2015/16</w:t>
      </w:r>
      <w:r>
        <w:t xml:space="preserve"> (Ministry of Health 2016b</w:t>
      </w:r>
      <w:r w:rsidRPr="004975DE">
        <w:t>).</w:t>
      </w:r>
    </w:p>
    <w:p w:rsidR="00DC0A66" w:rsidRPr="00CC7E24" w:rsidRDefault="00DC0A66" w:rsidP="00897B78"/>
    <w:p w:rsidR="00DC0A66" w:rsidRDefault="00DC0A66" w:rsidP="00897B78">
      <w:pPr>
        <w:pStyle w:val="Heading2"/>
      </w:pPr>
      <w:bookmarkStart w:id="27" w:name="_Toc339269999"/>
      <w:bookmarkStart w:id="28" w:name="_Toc340501925"/>
      <w:bookmarkStart w:id="29" w:name="_Toc372445545"/>
      <w:bookmarkStart w:id="30" w:name="_Toc403043999"/>
      <w:bookmarkStart w:id="31" w:name="_Toc467491515"/>
      <w:bookmarkStart w:id="32" w:name="_Toc467515117"/>
      <w:r w:rsidRPr="00CC7E24">
        <w:t xml:space="preserve">Core </w:t>
      </w:r>
      <w:bookmarkEnd w:id="27"/>
      <w:bookmarkEnd w:id="28"/>
      <w:bookmarkEnd w:id="29"/>
      <w:bookmarkEnd w:id="30"/>
      <w:r>
        <w:t>conten</w:t>
      </w:r>
      <w:r w:rsidRPr="00CC7E24">
        <w:t>t</w:t>
      </w:r>
      <w:bookmarkEnd w:id="31"/>
      <w:bookmarkEnd w:id="32"/>
    </w:p>
    <w:p w:rsidR="00DC0A66" w:rsidRDefault="00DC0A66" w:rsidP="00897B78">
      <w:r>
        <w:t>Most of the</w:t>
      </w:r>
      <w:r w:rsidRPr="00CC7E24">
        <w:t xml:space="preserve"> core questions for both adults and children are drawn from the main topic areas included in the 2006/07 NZHS</w:t>
      </w:r>
      <w:r>
        <w:t xml:space="preserve"> and 2011/12 NZHS</w:t>
      </w:r>
      <w:r w:rsidRPr="00CC7E24">
        <w:t>. Topic</w:t>
      </w:r>
      <w:r>
        <w:t xml:space="preserve"> area</w:t>
      </w:r>
      <w:r w:rsidRPr="00CC7E24">
        <w:t>s include long</w:t>
      </w:r>
      <w:r>
        <w:t>-</w:t>
      </w:r>
      <w:r w:rsidRPr="00CC7E24">
        <w:t>term conditions</w:t>
      </w:r>
      <w:r w:rsidR="003F26E4">
        <w:t>,</w:t>
      </w:r>
      <w:r w:rsidRPr="00CC7E24">
        <w:t xml:space="preserve"> health status</w:t>
      </w:r>
      <w:r>
        <w:t xml:space="preserve"> and development</w:t>
      </w:r>
      <w:r w:rsidR="003F26E4">
        <w:t>,</w:t>
      </w:r>
      <w:r>
        <w:t xml:space="preserve"> health behaviours</w:t>
      </w:r>
      <w:r w:rsidR="003F26E4">
        <w:t>,</w:t>
      </w:r>
      <w:r w:rsidRPr="00CC7E24">
        <w:t xml:space="preserve"> health service utilisation and patient experience</w:t>
      </w:r>
      <w:r w:rsidR="003F26E4">
        <w:t>,</w:t>
      </w:r>
      <w:r w:rsidRPr="00CC7E24">
        <w:t xml:space="preserve"> </w:t>
      </w:r>
      <w:proofErr w:type="spellStart"/>
      <w:r w:rsidRPr="00CC7E24">
        <w:t>sociodemographics</w:t>
      </w:r>
      <w:proofErr w:type="spellEnd"/>
      <w:r w:rsidR="003F26E4">
        <w:t>,</w:t>
      </w:r>
      <w:r>
        <w:t xml:space="preserve"> and anthropometry</w:t>
      </w:r>
      <w:r w:rsidRPr="00CC7E24">
        <w:t>.</w:t>
      </w:r>
      <w:r>
        <w:t xml:space="preserve"> Table 1</w:t>
      </w:r>
      <w:r w:rsidRPr="00CC7E24">
        <w:t xml:space="preserve"> summar</w:t>
      </w:r>
      <w:r>
        <w:t>ises</w:t>
      </w:r>
      <w:r w:rsidRPr="00CC7E24">
        <w:t xml:space="preserve"> the topics included in the core </w:t>
      </w:r>
      <w:r>
        <w:t>content</w:t>
      </w:r>
      <w:r w:rsidRPr="00CC7E24">
        <w:t xml:space="preserve"> of the NZHS.</w:t>
      </w:r>
    </w:p>
    <w:p w:rsidR="00DC0A66" w:rsidRPr="00CC7E24" w:rsidRDefault="00DC0A66" w:rsidP="00897B78"/>
    <w:p w:rsidR="00DC0A66" w:rsidRPr="00CC7E24" w:rsidRDefault="00DC0A66" w:rsidP="00897B78">
      <w:pPr>
        <w:pStyle w:val="Table"/>
      </w:pPr>
      <w:bookmarkStart w:id="33" w:name="_Ref338859567"/>
      <w:bookmarkStart w:id="34" w:name="_Toc339878412"/>
      <w:bookmarkStart w:id="35" w:name="_Toc372445582"/>
      <w:bookmarkStart w:id="36" w:name="_Toc403044037"/>
      <w:bookmarkStart w:id="37" w:name="_Toc467491564"/>
      <w:bookmarkStart w:id="38" w:name="_Toc467515167"/>
      <w:r w:rsidRPr="004C5FC0">
        <w:t>Table 1</w:t>
      </w:r>
      <w:bookmarkEnd w:id="33"/>
      <w:r w:rsidRPr="004C5FC0">
        <w:t>: Core</w:t>
      </w:r>
      <w:r w:rsidRPr="00CC7E24">
        <w:t xml:space="preserve"> content of the NZHS</w:t>
      </w:r>
      <w:bookmarkEnd w:id="34"/>
      <w:bookmarkEnd w:id="35"/>
      <w:bookmarkEnd w:id="36"/>
      <w:bookmarkEnd w:id="37"/>
      <w:bookmarkEnd w:id="38"/>
    </w:p>
    <w:tbl>
      <w:tblPr>
        <w:tblW w:w="494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31"/>
        <w:gridCol w:w="6012"/>
      </w:tblGrid>
      <w:tr w:rsidR="00DC0A66" w:rsidRPr="00897B78" w:rsidTr="00897B78">
        <w:trPr>
          <w:cantSplit/>
          <w:tblHeader/>
        </w:trPr>
        <w:tc>
          <w:tcPr>
            <w:tcW w:w="1748" w:type="pct"/>
            <w:tcBorders>
              <w:top w:val="single" w:sz="4" w:space="0" w:color="auto"/>
              <w:bottom w:val="single" w:sz="4" w:space="0" w:color="auto"/>
            </w:tcBorders>
            <w:shd w:val="clear" w:color="auto" w:fill="auto"/>
          </w:tcPr>
          <w:p w:rsidR="00DC0A66" w:rsidRPr="00897B78" w:rsidRDefault="00DC0A66" w:rsidP="00897B78">
            <w:pPr>
              <w:pStyle w:val="TableText"/>
              <w:rPr>
                <w:b/>
              </w:rPr>
            </w:pPr>
            <w:r w:rsidRPr="00897B78">
              <w:rPr>
                <w:b/>
              </w:rPr>
              <w:t>Topic area</w:t>
            </w:r>
          </w:p>
        </w:tc>
        <w:tc>
          <w:tcPr>
            <w:tcW w:w="3252" w:type="pct"/>
            <w:tcBorders>
              <w:top w:val="single" w:sz="4" w:space="0" w:color="auto"/>
              <w:bottom w:val="single" w:sz="4" w:space="0" w:color="auto"/>
            </w:tcBorders>
            <w:shd w:val="clear" w:color="auto" w:fill="auto"/>
          </w:tcPr>
          <w:p w:rsidR="00DC0A66" w:rsidRPr="00897B78" w:rsidRDefault="00DC0A66" w:rsidP="00897B78">
            <w:pPr>
              <w:pStyle w:val="TableText"/>
              <w:rPr>
                <w:b/>
              </w:rPr>
            </w:pPr>
            <w:r w:rsidRPr="00897B78">
              <w:rPr>
                <w:b/>
              </w:rPr>
              <w:t>Topics</w:t>
            </w:r>
          </w:p>
        </w:tc>
      </w:tr>
      <w:tr w:rsidR="00DC0A66" w:rsidRPr="004C5FC0" w:rsidTr="00897B78">
        <w:trPr>
          <w:cantSplit/>
        </w:trPr>
        <w:tc>
          <w:tcPr>
            <w:tcW w:w="5000" w:type="pct"/>
            <w:gridSpan w:val="2"/>
            <w:tcBorders>
              <w:top w:val="single" w:sz="4" w:space="0" w:color="auto"/>
              <w:bottom w:val="single" w:sz="4" w:space="0" w:color="A6A6A6" w:themeColor="background1" w:themeShade="A6"/>
            </w:tcBorders>
            <w:shd w:val="clear" w:color="auto" w:fill="auto"/>
          </w:tcPr>
          <w:p w:rsidR="00DC0A66" w:rsidRPr="00897B78" w:rsidRDefault="00DC0A66" w:rsidP="00897B78">
            <w:pPr>
              <w:pStyle w:val="TableText"/>
              <w:rPr>
                <w:b/>
              </w:rPr>
            </w:pPr>
            <w:r w:rsidRPr="00897B78">
              <w:rPr>
                <w:b/>
              </w:rPr>
              <w:t>Children</w:t>
            </w:r>
          </w:p>
        </w:tc>
      </w:tr>
      <w:tr w:rsidR="00DC0A66" w:rsidRPr="00CC7E24" w:rsidTr="00897B78">
        <w:trPr>
          <w:cantSplit/>
        </w:trPr>
        <w:tc>
          <w:tcPr>
            <w:tcW w:w="1748"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Long-term conditions</w:t>
            </w:r>
          </w:p>
        </w:tc>
        <w:tc>
          <w:tcPr>
            <w:tcW w:w="3252"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Asthma, eczema, diabetes, rheumatic heart di</w:t>
            </w:r>
            <w:r>
              <w:t>sease, mental health conditions</w:t>
            </w:r>
          </w:p>
        </w:tc>
      </w:tr>
      <w:tr w:rsidR="00DC0A66" w:rsidRPr="00CC7E24" w:rsidTr="00897B78">
        <w:trPr>
          <w:cantSplit/>
        </w:trPr>
        <w:tc>
          <w:tcPr>
            <w:tcW w:w="1748"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Health status and development</w:t>
            </w:r>
          </w:p>
        </w:tc>
        <w:tc>
          <w:tcPr>
            <w:tcW w:w="3252"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General health</w:t>
            </w:r>
          </w:p>
        </w:tc>
      </w:tr>
      <w:tr w:rsidR="00DC0A66" w:rsidRPr="00CC7E24" w:rsidTr="00897B78">
        <w:trPr>
          <w:cantSplit/>
        </w:trPr>
        <w:tc>
          <w:tcPr>
            <w:tcW w:w="1748"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t>Health behaviours</w:t>
            </w:r>
          </w:p>
        </w:tc>
        <w:tc>
          <w:tcPr>
            <w:tcW w:w="3252"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Breastfeeding, nutrition, physical activity, family cohesion</w:t>
            </w:r>
          </w:p>
        </w:tc>
      </w:tr>
      <w:tr w:rsidR="00DC0A66" w:rsidRPr="00CC7E24" w:rsidTr="00897B78">
        <w:trPr>
          <w:cantSplit/>
        </w:trPr>
        <w:tc>
          <w:tcPr>
            <w:tcW w:w="1748"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Health service utilisation and patient experience</w:t>
            </w:r>
          </w:p>
        </w:tc>
        <w:tc>
          <w:tcPr>
            <w:tcW w:w="3252"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Primary health care provider use, general practitioners, nurses, medical specialists, oral health care professionals, other health care professionals, hospital use, prescriptions</w:t>
            </w:r>
          </w:p>
        </w:tc>
      </w:tr>
      <w:tr w:rsidR="00DC0A66" w:rsidRPr="00CC7E24" w:rsidTr="00897B78">
        <w:trPr>
          <w:cantSplit/>
        </w:trPr>
        <w:tc>
          <w:tcPr>
            <w:tcW w:w="1748"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proofErr w:type="spellStart"/>
            <w:r w:rsidRPr="00CC7E24">
              <w:t>Sociodemographics</w:t>
            </w:r>
            <w:proofErr w:type="spellEnd"/>
          </w:p>
        </w:tc>
        <w:tc>
          <w:tcPr>
            <w:tcW w:w="3252"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Child</w:t>
            </w:r>
            <w:r>
              <w:t>:</w:t>
            </w:r>
            <w:r w:rsidRPr="00CC7E24">
              <w:t xml:space="preserve"> </w:t>
            </w:r>
            <w:r>
              <w:t>sex</w:t>
            </w:r>
            <w:r w:rsidRPr="00CC7E24">
              <w:t>, age, ethnicity, language, country of birth</w:t>
            </w:r>
          </w:p>
          <w:p w:rsidR="00DC0A66" w:rsidRPr="00CC7E24" w:rsidRDefault="00DC0A66" w:rsidP="00897B78">
            <w:pPr>
              <w:pStyle w:val="TableText"/>
            </w:pPr>
            <w:r w:rsidRPr="00CC7E24">
              <w:t>Primary caregiver/proxy respondent</w:t>
            </w:r>
            <w:r>
              <w:t>:</w:t>
            </w:r>
            <w:r w:rsidRPr="00CC7E24">
              <w:t xml:space="preserve"> relationship to child, age, education, income </w:t>
            </w:r>
            <w:r>
              <w:t>and</w:t>
            </w:r>
            <w:r w:rsidRPr="00CC7E24">
              <w:t xml:space="preserve"> income sources, employment status, and household characteristics</w:t>
            </w:r>
          </w:p>
        </w:tc>
      </w:tr>
      <w:tr w:rsidR="00DC0A66" w:rsidRPr="00CC7E24" w:rsidTr="00897B78">
        <w:trPr>
          <w:cantSplit/>
        </w:trPr>
        <w:tc>
          <w:tcPr>
            <w:tcW w:w="1748" w:type="pct"/>
            <w:tcBorders>
              <w:top w:val="single" w:sz="4" w:space="0" w:color="A6A6A6" w:themeColor="background1" w:themeShade="A6"/>
              <w:bottom w:val="single" w:sz="4" w:space="0" w:color="auto"/>
            </w:tcBorders>
            <w:shd w:val="clear" w:color="auto" w:fill="auto"/>
          </w:tcPr>
          <w:p w:rsidR="00DC0A66" w:rsidRPr="00CC7E24" w:rsidRDefault="00DC0A66" w:rsidP="00897B78">
            <w:pPr>
              <w:pStyle w:val="TableText"/>
            </w:pPr>
            <w:r w:rsidRPr="00CC7E24">
              <w:t>Anthropometry</w:t>
            </w:r>
          </w:p>
        </w:tc>
        <w:tc>
          <w:tcPr>
            <w:tcW w:w="3252" w:type="pct"/>
            <w:tcBorders>
              <w:top w:val="single" w:sz="4" w:space="0" w:color="A6A6A6" w:themeColor="background1" w:themeShade="A6"/>
              <w:bottom w:val="single" w:sz="4" w:space="0" w:color="auto"/>
            </w:tcBorders>
            <w:shd w:val="clear" w:color="auto" w:fill="auto"/>
          </w:tcPr>
          <w:p w:rsidR="00DC0A66" w:rsidRPr="00CC7E24" w:rsidRDefault="00DC0A66" w:rsidP="00897B78">
            <w:pPr>
              <w:pStyle w:val="TableText"/>
            </w:pPr>
            <w:r w:rsidRPr="00CC7E24">
              <w:t>Height, weight and w</w:t>
            </w:r>
            <w:r>
              <w:t>aist circumference measurements</w:t>
            </w:r>
          </w:p>
        </w:tc>
      </w:tr>
    </w:tbl>
    <w:p w:rsidR="00DC0A66" w:rsidRDefault="00DC0A66" w:rsidP="00897B78"/>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31"/>
        <w:gridCol w:w="6001"/>
      </w:tblGrid>
      <w:tr w:rsidR="00DC0A66" w:rsidRPr="00897B78" w:rsidTr="00897B78">
        <w:trPr>
          <w:cantSplit/>
          <w:tblHeader/>
        </w:trPr>
        <w:tc>
          <w:tcPr>
            <w:tcW w:w="1750" w:type="pct"/>
            <w:tcBorders>
              <w:top w:val="single" w:sz="4" w:space="0" w:color="auto"/>
              <w:bottom w:val="single" w:sz="4" w:space="0" w:color="auto"/>
            </w:tcBorders>
            <w:shd w:val="clear" w:color="auto" w:fill="auto"/>
          </w:tcPr>
          <w:p w:rsidR="00DC0A66" w:rsidRPr="00897B78" w:rsidRDefault="00DC0A66" w:rsidP="00897B78">
            <w:pPr>
              <w:pStyle w:val="TableText"/>
              <w:keepNext/>
              <w:rPr>
                <w:b/>
              </w:rPr>
            </w:pPr>
            <w:r w:rsidRPr="00897B78">
              <w:rPr>
                <w:b/>
              </w:rPr>
              <w:lastRenderedPageBreak/>
              <w:t>Topic area</w:t>
            </w:r>
          </w:p>
        </w:tc>
        <w:tc>
          <w:tcPr>
            <w:tcW w:w="3250" w:type="pct"/>
            <w:tcBorders>
              <w:top w:val="single" w:sz="4" w:space="0" w:color="auto"/>
              <w:bottom w:val="single" w:sz="4" w:space="0" w:color="auto"/>
            </w:tcBorders>
            <w:shd w:val="clear" w:color="auto" w:fill="auto"/>
          </w:tcPr>
          <w:p w:rsidR="00DC0A66" w:rsidRPr="00897B78" w:rsidRDefault="00DC0A66" w:rsidP="00897B78">
            <w:pPr>
              <w:pStyle w:val="TableText"/>
              <w:keepNext/>
              <w:rPr>
                <w:b/>
              </w:rPr>
            </w:pPr>
            <w:r w:rsidRPr="00897B78">
              <w:rPr>
                <w:b/>
              </w:rPr>
              <w:t>Topics</w:t>
            </w:r>
          </w:p>
        </w:tc>
      </w:tr>
      <w:tr w:rsidR="00DC0A66" w:rsidRPr="00897B78" w:rsidTr="00897B78">
        <w:trPr>
          <w:cantSplit/>
        </w:trPr>
        <w:tc>
          <w:tcPr>
            <w:tcW w:w="5000" w:type="pct"/>
            <w:gridSpan w:val="2"/>
            <w:tcBorders>
              <w:top w:val="single" w:sz="4" w:space="0" w:color="auto"/>
              <w:bottom w:val="single" w:sz="4" w:space="0" w:color="A6A6A6" w:themeColor="background1" w:themeShade="A6"/>
            </w:tcBorders>
            <w:shd w:val="clear" w:color="auto" w:fill="auto"/>
          </w:tcPr>
          <w:p w:rsidR="00DC0A66" w:rsidRPr="00897B78" w:rsidRDefault="00DC0A66" w:rsidP="00897B78">
            <w:pPr>
              <w:pStyle w:val="TableText"/>
              <w:keepNext/>
              <w:rPr>
                <w:b/>
              </w:rPr>
            </w:pPr>
            <w:r w:rsidRPr="00897B78">
              <w:rPr>
                <w:b/>
              </w:rPr>
              <w:t>Adults</w:t>
            </w:r>
          </w:p>
        </w:tc>
      </w:tr>
      <w:tr w:rsidR="00DC0A66" w:rsidRPr="00CC7E24" w:rsidTr="00897B78">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keepNext/>
            </w:pPr>
            <w:r w:rsidRPr="00CC7E24">
              <w:t>Long-term conditions (self</w:t>
            </w:r>
            <w:r>
              <w:noBreakHyphen/>
            </w:r>
            <w:r w:rsidRPr="00CC7E24">
              <w:t>reported)</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keepNext/>
            </w:pPr>
            <w:r w:rsidRPr="00CC7E24">
              <w:t>Heart disease, stroke, diabetes, asthma, arthritis, mental health conditions, chronic pain, high blood pressure, high blood cholesterol</w:t>
            </w:r>
          </w:p>
        </w:tc>
      </w:tr>
      <w:tr w:rsidR="00DC0A66" w:rsidRPr="00CC7E24" w:rsidTr="00897B78">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keepNext/>
            </w:pPr>
            <w:r w:rsidRPr="00CC7E24">
              <w:t>Health status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keepNext/>
            </w:pPr>
            <w:r w:rsidRPr="00CC7E24">
              <w:t>General health (physical and mental health), psychological distress</w:t>
            </w:r>
          </w:p>
        </w:tc>
      </w:tr>
      <w:tr w:rsidR="00DC0A66" w:rsidRPr="00CC7E24" w:rsidTr="00897B78">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t>Health behaviours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t>P</w:t>
            </w:r>
            <w:r w:rsidRPr="00CC7E24">
              <w:t>hysical activity, tobacco smoking, vegetable and fruit intake, alcohol use and hazardous drinking</w:t>
            </w:r>
          </w:p>
        </w:tc>
      </w:tr>
      <w:tr w:rsidR="00DC0A66" w:rsidRPr="00CC7E24" w:rsidTr="00897B78">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Health service utilisation and patient experience</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Primary health care provider use, general practitioners, nurses, medical specialists, oral health care professionals, other health care professionals, hospital use, prescriptions</w:t>
            </w:r>
          </w:p>
        </w:tc>
      </w:tr>
      <w:tr w:rsidR="00DC0A66" w:rsidRPr="00CC7E24" w:rsidTr="00897B78">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proofErr w:type="spellStart"/>
            <w:r w:rsidRPr="00CC7E24">
              <w:t>Sociodemographics</w:t>
            </w:r>
            <w:proofErr w:type="spellEnd"/>
          </w:p>
        </w:tc>
        <w:tc>
          <w:tcPr>
            <w:tcW w:w="3250" w:type="pct"/>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t>Sex</w:t>
            </w:r>
            <w:r w:rsidRPr="00CC7E24">
              <w:t xml:space="preserve">, age, ethnicity, language, country of birth, education, income </w:t>
            </w:r>
            <w:r>
              <w:t>and</w:t>
            </w:r>
            <w:r w:rsidRPr="00CC7E24">
              <w:t xml:space="preserve"> income sources, employment status, medical insurance, household characteristics</w:t>
            </w:r>
          </w:p>
        </w:tc>
      </w:tr>
      <w:tr w:rsidR="00DC0A66" w:rsidRPr="00CC7E24" w:rsidTr="00897B78">
        <w:trPr>
          <w:cantSplit/>
        </w:trPr>
        <w:tc>
          <w:tcPr>
            <w:tcW w:w="1750" w:type="pct"/>
            <w:tcBorders>
              <w:top w:val="single" w:sz="4" w:space="0" w:color="A6A6A6" w:themeColor="background1" w:themeShade="A6"/>
              <w:bottom w:val="single" w:sz="4" w:space="0" w:color="auto"/>
            </w:tcBorders>
            <w:shd w:val="clear" w:color="auto" w:fill="auto"/>
          </w:tcPr>
          <w:p w:rsidR="00DC0A66" w:rsidRPr="00CC7E24" w:rsidRDefault="00DC0A66" w:rsidP="00897B78">
            <w:pPr>
              <w:pStyle w:val="TableText"/>
            </w:pPr>
            <w:r w:rsidRPr="00CC7E24">
              <w:t>Anthropometry</w:t>
            </w:r>
          </w:p>
        </w:tc>
        <w:tc>
          <w:tcPr>
            <w:tcW w:w="3250" w:type="pct"/>
            <w:tcBorders>
              <w:top w:val="single" w:sz="4" w:space="0" w:color="A6A6A6" w:themeColor="background1" w:themeShade="A6"/>
              <w:bottom w:val="single" w:sz="4" w:space="0" w:color="auto"/>
            </w:tcBorders>
            <w:shd w:val="clear" w:color="auto" w:fill="auto"/>
          </w:tcPr>
          <w:p w:rsidR="00DC0A66" w:rsidRPr="00CC7E24" w:rsidRDefault="00DC0A66" w:rsidP="00897B78">
            <w:pPr>
              <w:pStyle w:val="TableText"/>
            </w:pPr>
            <w:r w:rsidRPr="00CC7E24">
              <w:t>Height, weight and waist circumference measurements</w:t>
            </w:r>
            <w:r>
              <w:t>; blood pressure</w:t>
            </w:r>
          </w:p>
        </w:tc>
      </w:tr>
    </w:tbl>
    <w:p w:rsidR="00DC0A66" w:rsidRDefault="00DC0A66" w:rsidP="00897B78">
      <w:bookmarkStart w:id="39" w:name="_Toc339270000"/>
    </w:p>
    <w:p w:rsidR="00DC0A66" w:rsidRPr="00CC7E24" w:rsidRDefault="00DC0A66" w:rsidP="00897B78">
      <w:pPr>
        <w:pStyle w:val="Heading2"/>
      </w:pPr>
      <w:bookmarkStart w:id="40" w:name="_Toc340501926"/>
      <w:bookmarkStart w:id="41" w:name="_Toc372445546"/>
      <w:bookmarkStart w:id="42" w:name="_Toc403044000"/>
      <w:bookmarkStart w:id="43" w:name="_Toc467491516"/>
      <w:bookmarkStart w:id="44" w:name="_Toc467515118"/>
      <w:r w:rsidRPr="00CC7E24">
        <w:t>Module component</w:t>
      </w:r>
      <w:bookmarkEnd w:id="39"/>
      <w:bookmarkEnd w:id="40"/>
      <w:bookmarkEnd w:id="41"/>
      <w:bookmarkEnd w:id="42"/>
      <w:bookmarkEnd w:id="43"/>
      <w:bookmarkEnd w:id="44"/>
    </w:p>
    <w:p w:rsidR="00DC0A66" w:rsidRDefault="00DC0A66" w:rsidP="00897B78">
      <w:r>
        <w:t xml:space="preserve">All the </w:t>
      </w:r>
      <w:r w:rsidRPr="00CC7E24">
        <w:t xml:space="preserve">module topics for the </w:t>
      </w:r>
      <w:r>
        <w:t xml:space="preserve">continuous </w:t>
      </w:r>
      <w:r w:rsidRPr="00CC7E24">
        <w:t xml:space="preserve">NZHS </w:t>
      </w:r>
      <w:r>
        <w:t>until 2015/16</w:t>
      </w:r>
      <w:r w:rsidRPr="00CC7E24">
        <w:t xml:space="preserve"> are summarised in </w:t>
      </w:r>
      <w:r>
        <w:t>Table 2.</w:t>
      </w:r>
      <w:bookmarkStart w:id="45" w:name="_Ref338860026"/>
      <w:bookmarkStart w:id="46" w:name="_Toc339878413"/>
    </w:p>
    <w:p w:rsidR="00897B78" w:rsidRDefault="00897B78" w:rsidP="00897B78"/>
    <w:p w:rsidR="00DC0A66" w:rsidRPr="00CC7E24" w:rsidRDefault="00DC0A66" w:rsidP="00897B78">
      <w:pPr>
        <w:pStyle w:val="Table"/>
        <w:rPr>
          <w:sz w:val="24"/>
          <w:szCs w:val="24"/>
        </w:rPr>
      </w:pPr>
      <w:bookmarkStart w:id="47" w:name="_Toc372445583"/>
      <w:bookmarkStart w:id="48" w:name="_Toc403044038"/>
      <w:bookmarkStart w:id="49" w:name="_Toc467491565"/>
      <w:bookmarkStart w:id="50" w:name="_Toc467515168"/>
      <w:r w:rsidRPr="004074A3">
        <w:t>Table 2</w:t>
      </w:r>
      <w:bookmarkEnd w:id="45"/>
      <w:r w:rsidRPr="004074A3">
        <w:t>: NZHS</w:t>
      </w:r>
      <w:r w:rsidRPr="00CC7E24">
        <w:t xml:space="preserve"> module topics</w:t>
      </w:r>
      <w:r>
        <w:t>,</w:t>
      </w:r>
      <w:r w:rsidRPr="00CC7E24">
        <w:t xml:space="preserve"> 2011/12</w:t>
      </w:r>
      <w:r>
        <w:t>–</w:t>
      </w:r>
      <w:r w:rsidRPr="00CC7E24">
        <w:t>2015/16</w:t>
      </w:r>
      <w:bookmarkEnd w:id="46"/>
      <w:bookmarkEnd w:id="47"/>
      <w:bookmarkEnd w:id="48"/>
      <w:bookmarkEnd w:id="49"/>
      <w:bookmarkEnd w:id="5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3756"/>
        <w:gridCol w:w="3757"/>
      </w:tblGrid>
      <w:tr w:rsidR="00DC0A66" w:rsidRPr="00C53CD9" w:rsidTr="00C53CD9">
        <w:trPr>
          <w:cantSplit/>
        </w:trPr>
        <w:tc>
          <w:tcPr>
            <w:tcW w:w="1843" w:type="dxa"/>
            <w:tcBorders>
              <w:top w:val="single" w:sz="4" w:space="0" w:color="auto"/>
              <w:bottom w:val="single" w:sz="4" w:space="0" w:color="auto"/>
            </w:tcBorders>
            <w:shd w:val="clear" w:color="auto" w:fill="auto"/>
          </w:tcPr>
          <w:p w:rsidR="00DC0A66" w:rsidRPr="00C53CD9" w:rsidRDefault="00DC0A66" w:rsidP="00897B78">
            <w:pPr>
              <w:pStyle w:val="TableText"/>
              <w:rPr>
                <w:b/>
              </w:rPr>
            </w:pPr>
            <w:r w:rsidRPr="00C53CD9">
              <w:rPr>
                <w:b/>
              </w:rPr>
              <w:t>Year of NZHS</w:t>
            </w:r>
          </w:p>
        </w:tc>
        <w:tc>
          <w:tcPr>
            <w:tcW w:w="3756" w:type="dxa"/>
            <w:tcBorders>
              <w:top w:val="single" w:sz="4" w:space="0" w:color="auto"/>
              <w:bottom w:val="single" w:sz="4" w:space="0" w:color="auto"/>
            </w:tcBorders>
            <w:shd w:val="clear" w:color="auto" w:fill="auto"/>
          </w:tcPr>
          <w:p w:rsidR="00DC0A66" w:rsidRPr="00C53CD9" w:rsidRDefault="00DC0A66" w:rsidP="00897B78">
            <w:pPr>
              <w:pStyle w:val="TableText"/>
              <w:rPr>
                <w:b/>
              </w:rPr>
            </w:pPr>
            <w:r w:rsidRPr="00C53CD9">
              <w:rPr>
                <w:b/>
              </w:rPr>
              <w:t>Child module topic(s)</w:t>
            </w:r>
          </w:p>
        </w:tc>
        <w:tc>
          <w:tcPr>
            <w:tcW w:w="3757" w:type="dxa"/>
            <w:tcBorders>
              <w:top w:val="single" w:sz="4" w:space="0" w:color="auto"/>
              <w:bottom w:val="single" w:sz="4" w:space="0" w:color="auto"/>
            </w:tcBorders>
            <w:shd w:val="clear" w:color="auto" w:fill="auto"/>
          </w:tcPr>
          <w:p w:rsidR="00DC0A66" w:rsidRPr="00C53CD9" w:rsidRDefault="00DC0A66" w:rsidP="00897B78">
            <w:pPr>
              <w:pStyle w:val="TableText"/>
              <w:rPr>
                <w:b/>
              </w:rPr>
            </w:pPr>
            <w:r w:rsidRPr="00C53CD9">
              <w:rPr>
                <w:b/>
              </w:rPr>
              <w:t>Adult module topic(s)</w:t>
            </w:r>
          </w:p>
        </w:tc>
      </w:tr>
      <w:tr w:rsidR="00DC0A66" w:rsidRPr="00CC7E24" w:rsidTr="00C53CD9">
        <w:trPr>
          <w:cantSplit/>
        </w:trPr>
        <w:tc>
          <w:tcPr>
            <w:tcW w:w="1843" w:type="dxa"/>
            <w:tcBorders>
              <w:top w:val="single" w:sz="4" w:space="0" w:color="auto"/>
              <w:bottom w:val="single" w:sz="4" w:space="0" w:color="A6A6A6" w:themeColor="background1" w:themeShade="A6"/>
            </w:tcBorders>
            <w:shd w:val="clear" w:color="auto" w:fill="auto"/>
          </w:tcPr>
          <w:p w:rsidR="00DC0A66" w:rsidRPr="00CC7E24" w:rsidRDefault="00DC0A66" w:rsidP="00897B78">
            <w:pPr>
              <w:pStyle w:val="TableText"/>
            </w:pPr>
            <w:r w:rsidRPr="00CC7E24">
              <w:t>2011/12</w:t>
            </w:r>
          </w:p>
        </w:tc>
        <w:tc>
          <w:tcPr>
            <w:tcW w:w="3756" w:type="dxa"/>
            <w:tcBorders>
              <w:top w:val="single" w:sz="4" w:space="0" w:color="auto"/>
              <w:bottom w:val="single" w:sz="4" w:space="0" w:color="A6A6A6" w:themeColor="background1" w:themeShade="A6"/>
            </w:tcBorders>
            <w:shd w:val="clear" w:color="auto" w:fill="auto"/>
          </w:tcPr>
          <w:p w:rsidR="00DC0A66" w:rsidRPr="00CC7E24" w:rsidRDefault="00DC0A66" w:rsidP="00897B78">
            <w:pPr>
              <w:pStyle w:val="TableText"/>
            </w:pPr>
            <w:r w:rsidRPr="00CC7E24">
              <w:t>Health service utilisation</w:t>
            </w:r>
          </w:p>
          <w:p w:rsidR="00DC0A66" w:rsidRPr="00CC7E24" w:rsidRDefault="00DC0A66" w:rsidP="00897B78">
            <w:pPr>
              <w:pStyle w:val="TableText"/>
            </w:pPr>
            <w:r w:rsidRPr="00CC7E24">
              <w:t>Patient experience</w:t>
            </w:r>
          </w:p>
        </w:tc>
        <w:tc>
          <w:tcPr>
            <w:tcW w:w="3757" w:type="dxa"/>
            <w:tcBorders>
              <w:top w:val="single" w:sz="4" w:space="0" w:color="auto"/>
              <w:bottom w:val="single" w:sz="4" w:space="0" w:color="A6A6A6" w:themeColor="background1" w:themeShade="A6"/>
            </w:tcBorders>
            <w:shd w:val="clear" w:color="auto" w:fill="auto"/>
          </w:tcPr>
          <w:p w:rsidR="00DC0A66" w:rsidRPr="00CC7E24" w:rsidRDefault="00DC0A66" w:rsidP="00897B78">
            <w:pPr>
              <w:pStyle w:val="TableText"/>
            </w:pPr>
            <w:r w:rsidRPr="00CC7E24">
              <w:t>Health service utilisation</w:t>
            </w:r>
          </w:p>
          <w:p w:rsidR="00DC0A66" w:rsidRPr="00CC7E24" w:rsidRDefault="00DC0A66" w:rsidP="00897B78">
            <w:pPr>
              <w:pStyle w:val="TableText"/>
            </w:pPr>
            <w:r w:rsidRPr="00CC7E24">
              <w:t>Patient experience</w:t>
            </w:r>
          </w:p>
          <w:p w:rsidR="00DC0A66" w:rsidRDefault="00DC0A66" w:rsidP="00897B78">
            <w:pPr>
              <w:pStyle w:val="TableText"/>
            </w:pPr>
            <w:r w:rsidRPr="00CC7E24">
              <w:t>Problem gambling</w:t>
            </w:r>
          </w:p>
          <w:p w:rsidR="00DC0A66" w:rsidRPr="00CC7E24" w:rsidRDefault="00DC0A66" w:rsidP="00897B78">
            <w:pPr>
              <w:pStyle w:val="TableText"/>
            </w:pPr>
            <w:r w:rsidRPr="00CC7E24">
              <w:t>Discrimination</w:t>
            </w:r>
          </w:p>
        </w:tc>
      </w:tr>
      <w:tr w:rsidR="00DC0A66" w:rsidRPr="00CC7E24"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2012/13</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Child development</w:t>
            </w:r>
          </w:p>
          <w:p w:rsidR="00DC0A66" w:rsidRPr="00CC7E24" w:rsidRDefault="00DC0A66" w:rsidP="00897B78">
            <w:pPr>
              <w:pStyle w:val="TableText"/>
            </w:pPr>
            <w:r w:rsidRPr="00CC7E24">
              <w:t>Food security</w:t>
            </w:r>
          </w:p>
          <w:p w:rsidR="00DC0A66" w:rsidRPr="00CC7E24" w:rsidRDefault="00DC0A66" w:rsidP="00897B78">
            <w:pPr>
              <w:pStyle w:val="TableText"/>
            </w:pPr>
            <w:r w:rsidRPr="00CC7E24">
              <w:t>Exposure to second-hand smoke</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Alcohol use</w:t>
            </w:r>
          </w:p>
          <w:p w:rsidR="00DC0A66" w:rsidRPr="00CC7E24" w:rsidRDefault="00DC0A66" w:rsidP="00897B78">
            <w:pPr>
              <w:pStyle w:val="TableText"/>
            </w:pPr>
            <w:r w:rsidRPr="00CC7E24">
              <w:t>Tobacco use</w:t>
            </w:r>
          </w:p>
          <w:p w:rsidR="00DC0A66" w:rsidRPr="00CC7E24" w:rsidRDefault="00DC0A66" w:rsidP="00897B78">
            <w:pPr>
              <w:pStyle w:val="TableText"/>
            </w:pPr>
            <w:r w:rsidRPr="00CC7E24">
              <w:t>Drug use</w:t>
            </w:r>
          </w:p>
        </w:tc>
      </w:tr>
      <w:tr w:rsidR="00DC0A66" w:rsidRPr="00CC7E24"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2013/14</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Long-term conditions</w:t>
            </w:r>
          </w:p>
          <w:p w:rsidR="00DC0A66" w:rsidRPr="00CC7E24" w:rsidRDefault="00DC0A66" w:rsidP="00897B78">
            <w:pPr>
              <w:pStyle w:val="TableText"/>
            </w:pPr>
            <w:r w:rsidRPr="00CC7E24">
              <w:t>Health status</w:t>
            </w:r>
          </w:p>
          <w:p w:rsidR="00DC0A66" w:rsidRPr="00CC7E24" w:rsidRDefault="00DC0A66" w:rsidP="00897B78">
            <w:pPr>
              <w:pStyle w:val="TableText"/>
            </w:pPr>
            <w:r w:rsidRPr="00CC7E24">
              <w:t>Disability status</w:t>
            </w:r>
          </w:p>
          <w:p w:rsidR="00DC0A66" w:rsidRPr="00CC7E24" w:rsidRDefault="00DC0A66" w:rsidP="00897B78">
            <w:pPr>
              <w:pStyle w:val="TableText"/>
            </w:pPr>
            <w:r w:rsidRPr="00CC7E24">
              <w:t>Living standards</w:t>
            </w:r>
          </w:p>
          <w:p w:rsidR="00DC0A66" w:rsidRPr="00CC7E24" w:rsidRDefault="00DC0A66" w:rsidP="00897B78">
            <w:pPr>
              <w:pStyle w:val="TableText"/>
            </w:pPr>
            <w:r w:rsidRPr="00CC7E24">
              <w:t>Housing quality</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Long-term conditions</w:t>
            </w:r>
          </w:p>
          <w:p w:rsidR="00DC0A66" w:rsidRPr="00CC7E24" w:rsidRDefault="00DC0A66" w:rsidP="00897B78">
            <w:pPr>
              <w:pStyle w:val="TableText"/>
            </w:pPr>
            <w:r w:rsidRPr="00CC7E24">
              <w:t>Health status</w:t>
            </w:r>
          </w:p>
          <w:p w:rsidR="00DC0A66" w:rsidRPr="00CC7E24" w:rsidRDefault="00DC0A66" w:rsidP="00897B78">
            <w:pPr>
              <w:pStyle w:val="TableText"/>
            </w:pPr>
            <w:r w:rsidRPr="00CC7E24">
              <w:t>Disability status</w:t>
            </w:r>
          </w:p>
          <w:p w:rsidR="00DC0A66" w:rsidRPr="00CC7E24" w:rsidRDefault="00DC0A66" w:rsidP="00897B78">
            <w:pPr>
              <w:pStyle w:val="TableText"/>
            </w:pPr>
            <w:r w:rsidRPr="00CC7E24">
              <w:t>Living standards</w:t>
            </w:r>
          </w:p>
          <w:p w:rsidR="00DC0A66" w:rsidRPr="00CC7E24" w:rsidRDefault="00DC0A66" w:rsidP="00897B78">
            <w:pPr>
              <w:pStyle w:val="TableText"/>
            </w:pPr>
            <w:r w:rsidRPr="00CC7E24">
              <w:t>Housing quality</w:t>
            </w:r>
          </w:p>
        </w:tc>
      </w:tr>
      <w:tr w:rsidR="00DC0A66" w:rsidRPr="00CC7E24" w:rsidTr="00C53CD9">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897B78">
            <w:pPr>
              <w:pStyle w:val="TableText"/>
            </w:pPr>
            <w:r w:rsidRPr="00CC7E24">
              <w:t>2014/15</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DC0A66" w:rsidRDefault="00DC0A66" w:rsidP="00897B78">
            <w:pPr>
              <w:pStyle w:val="TableText"/>
            </w:pPr>
            <w:r>
              <w:t>Child development</w:t>
            </w:r>
          </w:p>
          <w:p w:rsidR="00DC0A66" w:rsidRPr="00CC7E24" w:rsidRDefault="00DC0A66" w:rsidP="00897B78">
            <w:pPr>
              <w:pStyle w:val="TableText"/>
            </w:pPr>
            <w:r>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DC0A66" w:rsidRDefault="00DC0A66" w:rsidP="00897B78">
            <w:pPr>
              <w:pStyle w:val="TableText"/>
            </w:pPr>
            <w:r w:rsidRPr="00CC7E24">
              <w:t>Sexual and reproductive health</w:t>
            </w:r>
          </w:p>
          <w:p w:rsidR="00DC0A66" w:rsidRDefault="00DC0A66" w:rsidP="00897B78">
            <w:pPr>
              <w:pStyle w:val="TableText"/>
            </w:pPr>
            <w:r>
              <w:t>Biomedical tests</w:t>
            </w:r>
          </w:p>
          <w:p w:rsidR="00DC0A66" w:rsidRPr="00CC7E24" w:rsidRDefault="00DC0A66" w:rsidP="00897B78">
            <w:pPr>
              <w:pStyle w:val="TableText"/>
            </w:pPr>
            <w:r>
              <w:t>Rheumatic fever (under 25 years)</w:t>
            </w:r>
          </w:p>
        </w:tc>
      </w:tr>
      <w:tr w:rsidR="00DC0A66" w:rsidRPr="00CC7E24" w:rsidTr="00C53CD9">
        <w:trPr>
          <w:cantSplit/>
        </w:trPr>
        <w:tc>
          <w:tcPr>
            <w:tcW w:w="1843" w:type="dxa"/>
            <w:tcBorders>
              <w:top w:val="single" w:sz="4" w:space="0" w:color="A6A6A6" w:themeColor="background1" w:themeShade="A6"/>
              <w:bottom w:val="single" w:sz="4" w:space="0" w:color="auto"/>
            </w:tcBorders>
            <w:shd w:val="clear" w:color="auto" w:fill="auto"/>
          </w:tcPr>
          <w:p w:rsidR="00DC0A66" w:rsidRPr="00CC7E24" w:rsidRDefault="00DC0A66" w:rsidP="00897B78">
            <w:pPr>
              <w:pStyle w:val="TableText"/>
            </w:pPr>
            <w:r w:rsidRPr="00CC7E24">
              <w:t>2015/16</w:t>
            </w:r>
          </w:p>
        </w:tc>
        <w:tc>
          <w:tcPr>
            <w:tcW w:w="3756" w:type="dxa"/>
            <w:tcBorders>
              <w:top w:val="single" w:sz="4" w:space="0" w:color="A6A6A6" w:themeColor="background1" w:themeShade="A6"/>
              <w:bottom w:val="single" w:sz="4" w:space="0" w:color="auto"/>
            </w:tcBorders>
            <w:shd w:val="clear" w:color="auto" w:fill="auto"/>
          </w:tcPr>
          <w:p w:rsidR="00DC0A66" w:rsidRDefault="00DC0A66" w:rsidP="00897B78">
            <w:pPr>
              <w:pStyle w:val="TableText"/>
            </w:pPr>
            <w:r>
              <w:t>Child development</w:t>
            </w:r>
          </w:p>
          <w:p w:rsidR="00DC0A66" w:rsidRDefault="00DC0A66" w:rsidP="00897B78">
            <w:pPr>
              <w:pStyle w:val="TableText"/>
            </w:pPr>
            <w:r>
              <w:t>Child food security</w:t>
            </w:r>
          </w:p>
          <w:p w:rsidR="00DC0A66" w:rsidRDefault="00C53CD9" w:rsidP="00897B78">
            <w:pPr>
              <w:pStyle w:val="TableText"/>
            </w:pPr>
            <w:r>
              <w:t>Rheumatic fever</w:t>
            </w:r>
          </w:p>
        </w:tc>
        <w:tc>
          <w:tcPr>
            <w:tcW w:w="3757" w:type="dxa"/>
            <w:tcBorders>
              <w:top w:val="single" w:sz="4" w:space="0" w:color="A6A6A6" w:themeColor="background1" w:themeShade="A6"/>
              <w:bottom w:val="single" w:sz="4" w:space="0" w:color="auto"/>
            </w:tcBorders>
            <w:shd w:val="clear" w:color="auto" w:fill="auto"/>
          </w:tcPr>
          <w:p w:rsidR="00DC0A66" w:rsidRDefault="00DC0A66" w:rsidP="00897B78">
            <w:pPr>
              <w:pStyle w:val="TableText"/>
            </w:pPr>
            <w:r>
              <w:t>Tobacco use</w:t>
            </w:r>
          </w:p>
          <w:p w:rsidR="00DC0A66" w:rsidRPr="00CC7E24" w:rsidRDefault="00DC0A66" w:rsidP="00897B78">
            <w:pPr>
              <w:pStyle w:val="TableText"/>
            </w:pPr>
            <w:r>
              <w:t>Rheumatic fever (under 25 years)</w:t>
            </w:r>
          </w:p>
        </w:tc>
      </w:tr>
    </w:tbl>
    <w:p w:rsidR="00DC0A66" w:rsidRDefault="00DC0A66" w:rsidP="00C53CD9">
      <w:pPr>
        <w:pStyle w:val="Heading1"/>
      </w:pPr>
      <w:bookmarkStart w:id="51" w:name="_Toc339270001"/>
      <w:bookmarkStart w:id="52" w:name="_Toc340501927"/>
      <w:bookmarkStart w:id="53" w:name="_Toc372445547"/>
      <w:bookmarkStart w:id="54" w:name="_Toc403044001"/>
      <w:bookmarkStart w:id="55" w:name="_Toc467491517"/>
      <w:bookmarkStart w:id="56" w:name="_Toc467515119"/>
      <w:bookmarkStart w:id="57" w:name="_Toc199225779"/>
      <w:bookmarkEnd w:id="25"/>
      <w:bookmarkEnd w:id="26"/>
      <w:r w:rsidRPr="00CC7E24">
        <w:lastRenderedPageBreak/>
        <w:t xml:space="preserve">Section 3: Survey </w:t>
      </w:r>
      <w:r>
        <w:t>p</w:t>
      </w:r>
      <w:r w:rsidRPr="00CC7E24">
        <w:t xml:space="preserve">opulation and </w:t>
      </w:r>
      <w:r>
        <w:t>s</w:t>
      </w:r>
      <w:r w:rsidRPr="00CC7E24">
        <w:t xml:space="preserve">ample </w:t>
      </w:r>
      <w:r>
        <w:t>d</w:t>
      </w:r>
      <w:r w:rsidRPr="00CC7E24">
        <w:t>esign</w:t>
      </w:r>
      <w:bookmarkEnd w:id="51"/>
      <w:bookmarkEnd w:id="52"/>
      <w:bookmarkEnd w:id="53"/>
      <w:bookmarkEnd w:id="54"/>
      <w:bookmarkEnd w:id="55"/>
      <w:bookmarkEnd w:id="56"/>
    </w:p>
    <w:p w:rsidR="00DC0A66" w:rsidRPr="00CC7E24" w:rsidRDefault="00DC0A66" w:rsidP="00C53CD9">
      <w:bookmarkStart w:id="58" w:name="_Toc335133100"/>
      <w:r w:rsidRPr="00CC7E24">
        <w:t>This section describes the target population, the survey population and the sample design for the NZHS.</w:t>
      </w:r>
    </w:p>
    <w:p w:rsidR="00DC0A66" w:rsidRPr="00CC7E24" w:rsidRDefault="00DC0A66" w:rsidP="00C53CD9"/>
    <w:p w:rsidR="00DC0A66" w:rsidRPr="00CC7E24" w:rsidRDefault="00DC0A66" w:rsidP="00C53CD9">
      <w:pPr>
        <w:pStyle w:val="Heading2"/>
      </w:pPr>
      <w:bookmarkStart w:id="59" w:name="_Toc339270002"/>
      <w:bookmarkStart w:id="60" w:name="_Toc340501928"/>
      <w:bookmarkStart w:id="61" w:name="_Toc372445548"/>
      <w:bookmarkStart w:id="62" w:name="_Toc403044002"/>
      <w:bookmarkStart w:id="63" w:name="_Toc467491518"/>
      <w:bookmarkStart w:id="64" w:name="_Toc467515120"/>
      <w:r w:rsidRPr="00CC7E24">
        <w:t>Target and survey population</w:t>
      </w:r>
      <w:bookmarkEnd w:id="58"/>
      <w:bookmarkEnd w:id="59"/>
      <w:bookmarkEnd w:id="60"/>
      <w:bookmarkEnd w:id="61"/>
      <w:bookmarkEnd w:id="62"/>
      <w:bookmarkEnd w:id="63"/>
      <w:bookmarkEnd w:id="64"/>
    </w:p>
    <w:p w:rsidR="00DC0A66" w:rsidRPr="00CC7E24" w:rsidRDefault="00DC0A66" w:rsidP="00C53CD9">
      <w:r w:rsidRPr="00CC7E24">
        <w:t xml:space="preserve">The </w:t>
      </w:r>
      <w:r w:rsidRPr="00AC5A07">
        <w:rPr>
          <w:b/>
        </w:rPr>
        <w:t>target population</w:t>
      </w:r>
      <w:r w:rsidRPr="00CC7E24">
        <w:t xml:space="preserve"> is the population the survey aims to represent. The </w:t>
      </w:r>
      <w:r w:rsidRPr="00AC5A07">
        <w:rPr>
          <w:b/>
        </w:rPr>
        <w:t>survey population</w:t>
      </w:r>
      <w:r w:rsidRPr="008A0055">
        <w:rPr>
          <w:b/>
        </w:rPr>
        <w:t xml:space="preserve"> </w:t>
      </w:r>
      <w:r w:rsidRPr="00CC7E24">
        <w:t>is the population that was covered in the survey.</w:t>
      </w:r>
    </w:p>
    <w:p w:rsidR="00DC0A66" w:rsidRPr="00CC7E24" w:rsidRDefault="00DC0A66" w:rsidP="00C53CD9"/>
    <w:p w:rsidR="00DC0A66" w:rsidRPr="00CC7E24" w:rsidRDefault="00DC0A66" w:rsidP="00C53CD9">
      <w:pPr>
        <w:pStyle w:val="Heading3"/>
      </w:pPr>
      <w:bookmarkStart w:id="65" w:name="_Toc199225772"/>
      <w:bookmarkStart w:id="66" w:name="_Toc201042976"/>
      <w:bookmarkStart w:id="67" w:name="_Toc335133101"/>
      <w:bookmarkStart w:id="68" w:name="_Toc339270003"/>
      <w:r w:rsidRPr="00CC7E24">
        <w:t>Target population</w:t>
      </w:r>
      <w:bookmarkEnd w:id="65"/>
      <w:bookmarkEnd w:id="66"/>
      <w:bookmarkEnd w:id="67"/>
      <w:bookmarkEnd w:id="68"/>
    </w:p>
    <w:p w:rsidR="00DC0A66" w:rsidRPr="00CC7E24" w:rsidRDefault="00DC0A66" w:rsidP="00C53CD9">
      <w:pPr>
        <w:rPr>
          <w:szCs w:val="24"/>
        </w:rPr>
      </w:pPr>
      <w:r w:rsidRPr="00CC7E24">
        <w:t xml:space="preserve">The target population for the NZHS </w:t>
      </w:r>
      <w:r>
        <w:t>is</w:t>
      </w:r>
      <w:r w:rsidRPr="00CC7E24">
        <w:t xml:space="preserve"> the New Zealand </w:t>
      </w:r>
      <w:r w:rsidR="00981544">
        <w:t>‘</w:t>
      </w:r>
      <w:r w:rsidRPr="00CC7E24">
        <w:t>usually resident</w:t>
      </w:r>
      <w:r w:rsidR="00981544">
        <w:t>’</w:t>
      </w:r>
      <w:r w:rsidRPr="00CC7E24">
        <w:t xml:space="preserve"> population of all ages</w:t>
      </w:r>
      <w:r>
        <w:t xml:space="preserve">, </w:t>
      </w:r>
      <w:r w:rsidRPr="00CC7E24">
        <w:t>including those living in non-private accommodation.</w:t>
      </w:r>
    </w:p>
    <w:p w:rsidR="00DC0A66" w:rsidRPr="00CC7E24" w:rsidRDefault="00DC0A66" w:rsidP="00C53CD9"/>
    <w:p w:rsidR="00DC0A66" w:rsidRPr="00CC7E24" w:rsidRDefault="00DC0A66" w:rsidP="00C53CD9">
      <w:r w:rsidRPr="00CC7E24">
        <w:t xml:space="preserve">The target population </w:t>
      </w:r>
      <w:r>
        <w:t xml:space="preserve">is approximately </w:t>
      </w:r>
      <w:r w:rsidRPr="007E5070">
        <w:t>3.6</w:t>
      </w:r>
      <w:r w:rsidRPr="00CC7E24">
        <w:t xml:space="preserve"> million adults (aged 15 years and over) and 0.9</w:t>
      </w:r>
      <w:r>
        <w:t> </w:t>
      </w:r>
      <w:r w:rsidRPr="00CC7E24">
        <w:t xml:space="preserve">million children (aged from birth to 14 years), according to the Statistics </w:t>
      </w:r>
      <w:r>
        <w:t>New Zealand Census population figures for 2013</w:t>
      </w:r>
      <w:r w:rsidRPr="007E5070">
        <w:t>.</w:t>
      </w:r>
    </w:p>
    <w:p w:rsidR="00DC0A66" w:rsidRPr="00CC7E24" w:rsidRDefault="00DC0A66" w:rsidP="00C53CD9"/>
    <w:p w:rsidR="00DC0A66" w:rsidRPr="00CC7E24" w:rsidRDefault="00DC0A66" w:rsidP="00C53CD9">
      <w:pPr>
        <w:rPr>
          <w:rFonts w:eastAsia="Cambria" w:cs="Arial"/>
          <w:szCs w:val="24"/>
          <w:lang w:eastAsia="en-US"/>
        </w:rPr>
      </w:pPr>
      <w:r w:rsidRPr="00CC7E24">
        <w:t xml:space="preserve">Previously </w:t>
      </w:r>
      <w:r w:rsidRPr="00094C02">
        <w:t xml:space="preserve">(2006/07 and </w:t>
      </w:r>
      <w:r>
        <w:t>earlier</w:t>
      </w:r>
      <w:r w:rsidRPr="00094C02">
        <w:t>)</w:t>
      </w:r>
      <w:r>
        <w:t xml:space="preserve">, </w:t>
      </w:r>
      <w:r w:rsidRPr="00CC7E24">
        <w:t>the NZHS 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non-private accommodation t</w:t>
      </w:r>
      <w:r w:rsidRPr="00CC7E24">
        <w:rPr>
          <w:rFonts w:eastAsia="Cambria" w:cs="Arial"/>
          <w:szCs w:val="24"/>
          <w:lang w:eastAsia="en-US"/>
        </w:rPr>
        <w:t xml:space="preserve">o improve coverage of </w:t>
      </w:r>
      <w:r>
        <w:rPr>
          <w:rFonts w:eastAsia="Cambria" w:cs="Arial"/>
          <w:szCs w:val="24"/>
          <w:lang w:eastAsia="en-US"/>
        </w:rPr>
        <w:t xml:space="preserve">older people in </w:t>
      </w:r>
      <w:r w:rsidRPr="00CC7E24">
        <w:rPr>
          <w:rFonts w:eastAsia="Cambria" w:cs="Arial"/>
          <w:szCs w:val="24"/>
          <w:lang w:eastAsia="en-US"/>
        </w:rPr>
        <w:t>an age</w:t>
      </w:r>
      <w:r>
        <w:rPr>
          <w:rFonts w:eastAsia="Cambria" w:cs="Arial"/>
          <w:szCs w:val="24"/>
          <w:lang w:eastAsia="en-US"/>
        </w:rPr>
        <w:t>ing</w:t>
      </w:r>
      <w:r w:rsidRPr="00CC7E24">
        <w:rPr>
          <w:rFonts w:eastAsia="Cambria" w:cs="Arial"/>
          <w:szCs w:val="24"/>
          <w:lang w:eastAsia="en-US"/>
        </w:rPr>
        <w:t xml:space="preserve"> population.</w:t>
      </w:r>
    </w:p>
    <w:p w:rsidR="00DC0A66" w:rsidRPr="00CC7E24" w:rsidRDefault="00DC0A66" w:rsidP="00C53CD9"/>
    <w:p w:rsidR="00DC0A66" w:rsidRPr="00CC7E24" w:rsidRDefault="00DC0A66" w:rsidP="00C53CD9">
      <w:pPr>
        <w:pStyle w:val="Heading3"/>
      </w:pPr>
      <w:bookmarkStart w:id="69" w:name="_Toc199225773"/>
      <w:bookmarkStart w:id="70" w:name="_Toc201042977"/>
      <w:bookmarkStart w:id="71" w:name="_Toc335133102"/>
      <w:bookmarkStart w:id="72" w:name="_Toc339270004"/>
      <w:r w:rsidRPr="00CC7E24">
        <w:t>Survey population</w:t>
      </w:r>
      <w:bookmarkEnd w:id="69"/>
      <w:bookmarkEnd w:id="70"/>
      <w:bookmarkEnd w:id="71"/>
      <w:bookmarkEnd w:id="72"/>
    </w:p>
    <w:p w:rsidR="00DC0A66" w:rsidRPr="00CC7E24" w:rsidRDefault="00DC0A66" w:rsidP="00C53CD9">
      <w:r w:rsidRPr="00CC7E24">
        <w:t xml:space="preserve">Approximately </w:t>
      </w:r>
      <w:r w:rsidRPr="00A62CB9">
        <w:t>99</w:t>
      </w:r>
      <w:r>
        <w:t xml:space="preserve"> percent</w:t>
      </w:r>
      <w:r w:rsidRPr="00CC7E24">
        <w:t xml:space="preserve"> of the New Zealand</w:t>
      </w:r>
      <w:r>
        <w:t xml:space="preserve"> usually</w:t>
      </w:r>
      <w:r w:rsidRPr="00CC7E24">
        <w:t xml:space="preserve"> resident population of all ages </w:t>
      </w:r>
      <w:r>
        <w:t>is</w:t>
      </w:r>
      <w:r w:rsidRPr="00CC7E24">
        <w:t xml:space="preserve"> eligible </w:t>
      </w:r>
      <w:r>
        <w:t>to</w:t>
      </w:r>
      <w:r w:rsidRPr="00CC7E24">
        <w:t xml:space="preserve"> participat</w:t>
      </w:r>
      <w:r>
        <w:t>e</w:t>
      </w:r>
      <w:r w:rsidRPr="00CC7E24">
        <w:t xml:space="preserve"> in the NZHS. For practical reasons</w:t>
      </w:r>
      <w:r>
        <w:t>,</w:t>
      </w:r>
      <w:r w:rsidRPr="00CC7E24">
        <w:t xml:space="preserve"> a small </w:t>
      </w:r>
      <w:r>
        <w:t>proportion of the</w:t>
      </w:r>
      <w:r w:rsidRPr="00CC7E24">
        <w:t xml:space="preserve"> target population </w:t>
      </w:r>
      <w:r>
        <w:t>is</w:t>
      </w:r>
      <w:r w:rsidRPr="00CC7E24">
        <w:t xml:space="preserve"> excluded from the survey population. </w:t>
      </w:r>
      <w:r>
        <w:t>The following are excluded</w:t>
      </w:r>
      <w:r w:rsidRPr="00CC7E24">
        <w:t xml:space="preserve"> from the survey population:</w:t>
      </w:r>
    </w:p>
    <w:p w:rsidR="00DC0A66" w:rsidRPr="00BD09EF" w:rsidRDefault="00C53CD9" w:rsidP="00C53CD9">
      <w:pPr>
        <w:pStyle w:val="Bullet"/>
      </w:pPr>
      <w:r>
        <w:t>m</w:t>
      </w:r>
      <w:r w:rsidR="00DC0A66">
        <w:t>ost</w:t>
      </w:r>
      <w:r w:rsidR="00DC0A66" w:rsidRPr="00CC7E24">
        <w:t xml:space="preserve"> types of non-private dwellings (prisons, hospitals, hospices, dementia care </w:t>
      </w:r>
      <w:r w:rsidR="00DC0A66" w:rsidRPr="00BD09EF">
        <w:t xml:space="preserve">units and hospital-level care in aged-care </w:t>
      </w:r>
      <w:r w:rsidR="00DC0A66">
        <w:t>facilities</w:t>
      </w:r>
      <w:r w:rsidR="00DC0A66" w:rsidRPr="00BD09EF">
        <w:t>)</w:t>
      </w:r>
    </w:p>
    <w:p w:rsidR="00DC0A66" w:rsidRPr="007969AF" w:rsidRDefault="00C53CD9" w:rsidP="00C53CD9">
      <w:pPr>
        <w:pStyle w:val="Bullet"/>
      </w:pPr>
      <w:proofErr w:type="gramStart"/>
      <w:r>
        <w:rPr>
          <w:szCs w:val="24"/>
        </w:rPr>
        <w:t>h</w:t>
      </w:r>
      <w:r w:rsidR="00DC0A66" w:rsidRPr="007969AF">
        <w:rPr>
          <w:szCs w:val="24"/>
        </w:rPr>
        <w:t>ouseholds</w:t>
      </w:r>
      <w:proofErr w:type="gramEnd"/>
      <w:r w:rsidR="00DC0A66" w:rsidRPr="007969AF">
        <w:rPr>
          <w:szCs w:val="24"/>
        </w:rPr>
        <w:t xml:space="preserve"> </w:t>
      </w:r>
      <w:r w:rsidR="00DC0A66" w:rsidRPr="007969AF">
        <w:t xml:space="preserve">located </w:t>
      </w:r>
      <w:r w:rsidR="00DC0A66">
        <w:t xml:space="preserve">0n islands other than the North Island, South Island and </w:t>
      </w:r>
      <w:proofErr w:type="spellStart"/>
      <w:r w:rsidR="00DC0A66">
        <w:t>Waiheke</w:t>
      </w:r>
      <w:proofErr w:type="spellEnd"/>
      <w:r w:rsidR="00DC0A66">
        <w:t xml:space="preserve"> Island</w:t>
      </w:r>
      <w:r w:rsidR="00DC0A66" w:rsidRPr="007969AF">
        <w:t>.</w:t>
      </w:r>
    </w:p>
    <w:p w:rsidR="00DC0A66" w:rsidRDefault="00DC0A66" w:rsidP="00C53CD9"/>
    <w:p w:rsidR="00DC0A66" w:rsidRDefault="00DC0A66" w:rsidP="00C53CD9">
      <w:r>
        <w:t xml:space="preserve">Included in the survey population are people </w:t>
      </w:r>
      <w:r w:rsidRPr="00CC7E24">
        <w:t xml:space="preserve">living </w:t>
      </w:r>
      <w:r w:rsidRPr="00F31E3E">
        <w:t>in aged-care facilities (rest homes)</w:t>
      </w:r>
      <w:r>
        <w:t xml:space="preserve"> </w:t>
      </w:r>
      <w:r w:rsidRPr="00CC7E24">
        <w:t xml:space="preserve">and </w:t>
      </w:r>
      <w:r>
        <w:t xml:space="preserve">those temporarily living away from their household in </w:t>
      </w:r>
      <w:r w:rsidRPr="00CC7E24">
        <w:t>student accommodation</w:t>
      </w:r>
      <w:r>
        <w:t xml:space="preserve"> </w:t>
      </w:r>
      <w:r w:rsidRPr="00F31E3E">
        <w:t>(university hostels and boarding schools).</w:t>
      </w:r>
    </w:p>
    <w:p w:rsidR="00DC0A66" w:rsidRPr="00CC7E24" w:rsidRDefault="00DC0A66" w:rsidP="00C53CD9"/>
    <w:p w:rsidR="00DC0A66" w:rsidRPr="00CC7E24" w:rsidRDefault="00DC0A66" w:rsidP="00C53CD9">
      <w:pPr>
        <w:pStyle w:val="Heading2"/>
      </w:pPr>
      <w:bookmarkStart w:id="73" w:name="_Toc335133105"/>
      <w:bookmarkStart w:id="74" w:name="_Toc339270005"/>
      <w:bookmarkStart w:id="75" w:name="_Toc340501929"/>
      <w:bookmarkStart w:id="76" w:name="_Toc372445549"/>
      <w:bookmarkStart w:id="77" w:name="_Toc403044003"/>
      <w:bookmarkStart w:id="78" w:name="_Toc467491519"/>
      <w:bookmarkStart w:id="79" w:name="_Toc467515121"/>
      <w:r w:rsidRPr="00CC7E24">
        <w:t>Sample design</w:t>
      </w:r>
      <w:bookmarkEnd w:id="73"/>
      <w:bookmarkEnd w:id="74"/>
      <w:bookmarkEnd w:id="75"/>
      <w:bookmarkEnd w:id="76"/>
      <w:bookmarkEnd w:id="77"/>
      <w:bookmarkEnd w:id="78"/>
      <w:bookmarkEnd w:id="79"/>
    </w:p>
    <w:p w:rsidR="00981544" w:rsidRDefault="00DC0A66" w:rsidP="00C53CD9">
      <w:pPr>
        <w:keepNext/>
      </w:pPr>
      <w:r w:rsidRPr="00CC7E24">
        <w:t xml:space="preserve">The sample design for the NZHS has been developed by the </w:t>
      </w:r>
      <w:r>
        <w:t>National Institute for Applied Statistics Research Australia (NIASRA)</w:t>
      </w:r>
      <w:r w:rsidRPr="00CC7E24">
        <w:t>, University of Wollongong, Australia</w:t>
      </w:r>
      <w:r w:rsidRPr="00CE2CD0">
        <w:t>.</w:t>
      </w:r>
    </w:p>
    <w:p w:rsidR="00DC0A66" w:rsidRDefault="00DC0A66" w:rsidP="00C53CD9">
      <w:pPr>
        <w:keepNext/>
        <w:rPr>
          <w:highlight w:val="yellow"/>
        </w:rPr>
      </w:pPr>
    </w:p>
    <w:p w:rsidR="00DC0A66" w:rsidRPr="00CE2CD0" w:rsidRDefault="00DC0A66" w:rsidP="00C53CD9">
      <w:pPr>
        <w:keepNext/>
      </w:pPr>
      <w:r w:rsidRPr="00CE2CD0">
        <w:t>The sample design used in the current year</w:t>
      </w:r>
      <w:r>
        <w:t>,</w:t>
      </w:r>
      <w:r w:rsidRPr="00CE2CD0">
        <w:t xml:space="preserve"> </w:t>
      </w:r>
      <w:r>
        <w:t xml:space="preserve">year 5 or </w:t>
      </w:r>
      <w:r w:rsidRPr="00CE2CD0">
        <w:t>2015/16</w:t>
      </w:r>
      <w:r>
        <w:t>,</w:t>
      </w:r>
      <w:r w:rsidRPr="00CE2CD0">
        <w:t xml:space="preserve"> is slightly different from the sample design used in the previous four years. The main changes are</w:t>
      </w:r>
      <w:r>
        <w:t xml:space="preserve"> listed below.</w:t>
      </w:r>
    </w:p>
    <w:p w:rsidR="00981544" w:rsidRDefault="00DC0A66" w:rsidP="00C53CD9">
      <w:pPr>
        <w:pStyle w:val="Bullet"/>
      </w:pPr>
      <w:r w:rsidRPr="00CE2CD0">
        <w:t xml:space="preserve">The </w:t>
      </w:r>
      <w:r>
        <w:t xml:space="preserve">first-stage </w:t>
      </w:r>
      <w:r w:rsidRPr="00CE2CD0">
        <w:t>selection units are now Statistics New Zealand</w:t>
      </w:r>
      <w:r w:rsidR="00981544">
        <w:t>’</w:t>
      </w:r>
      <w:r w:rsidRPr="00CE2CD0">
        <w:t>s household surveys frame primary sampling units</w:t>
      </w:r>
      <w:r>
        <w:t xml:space="preserve"> (PSUs)</w:t>
      </w:r>
      <w:r w:rsidRPr="00CE2CD0">
        <w:t xml:space="preserve"> rather than census </w:t>
      </w:r>
      <w:proofErr w:type="spellStart"/>
      <w:r w:rsidRPr="00CE2CD0">
        <w:t>meshblocks</w:t>
      </w:r>
      <w:proofErr w:type="spellEnd"/>
      <w:r w:rsidRPr="00CE2CD0">
        <w:t xml:space="preserve"> used in the previous four </w:t>
      </w:r>
      <w:r w:rsidRPr="00CE2CD0">
        <w:lastRenderedPageBreak/>
        <w:t>years</w:t>
      </w:r>
      <w:r>
        <w:t>.</w:t>
      </w:r>
      <w:r w:rsidRPr="00CE2CD0">
        <w:t xml:space="preserve"> PSUs are</w:t>
      </w:r>
      <w:r>
        <w:t xml:space="preserve"> </w:t>
      </w:r>
      <w:r w:rsidRPr="00CE2CD0">
        <w:t xml:space="preserve">groupings of one or more </w:t>
      </w:r>
      <w:proofErr w:type="spellStart"/>
      <w:r w:rsidRPr="00CE2CD0">
        <w:t>meshblocks</w:t>
      </w:r>
      <w:proofErr w:type="spellEnd"/>
      <w:r w:rsidRPr="00CE2CD0">
        <w:t xml:space="preserve">. </w:t>
      </w:r>
      <w:r>
        <w:t>There have also been s</w:t>
      </w:r>
      <w:r w:rsidRPr="00CE2CD0">
        <w:t xml:space="preserve">ome associated changes to the selection probabilities and the number of dwellings selected from each </w:t>
      </w:r>
      <w:r>
        <w:t>PSU</w:t>
      </w:r>
      <w:r w:rsidRPr="00CE2CD0">
        <w:t>.</w:t>
      </w:r>
    </w:p>
    <w:p w:rsidR="00DC0A66" w:rsidRPr="00CE2CD0" w:rsidRDefault="00DC0A66" w:rsidP="00C53CD9">
      <w:pPr>
        <w:pStyle w:val="Bullet"/>
      </w:pPr>
      <w:r>
        <w:t>PSUs are now selected using the Statistics New Zealand</w:t>
      </w:r>
      <w:r w:rsidRPr="00CE2CD0">
        <w:t xml:space="preserve"> coordinated selection facility to manage overlap across many govern</w:t>
      </w:r>
      <w:r>
        <w:t>ment surveys</w:t>
      </w:r>
      <w:r w:rsidRPr="00CE2CD0">
        <w:t xml:space="preserve"> and to minimise the NZHS revisiting the same households.</w:t>
      </w:r>
    </w:p>
    <w:p w:rsidR="00DC0A66" w:rsidRPr="00CE2CD0" w:rsidRDefault="00DC0A66" w:rsidP="00C53CD9">
      <w:pPr>
        <w:rPr>
          <w:highlight w:val="yellow"/>
        </w:rPr>
      </w:pPr>
    </w:p>
    <w:p w:rsidR="00981544" w:rsidRDefault="00DC0A66" w:rsidP="00C53CD9">
      <w:r w:rsidRPr="00DF62EA">
        <w:t xml:space="preserve">For more detail on the new sample design of the current year 2015/16, see </w:t>
      </w:r>
      <w:r w:rsidRPr="007057F8">
        <w:rPr>
          <w:rFonts w:cs="Georgia"/>
          <w:bCs/>
          <w:i/>
          <w:iCs/>
          <w:color w:val="000000"/>
          <w:szCs w:val="22"/>
          <w:lang w:eastAsia="en-NZ"/>
        </w:rPr>
        <w:t>Sample Design from 2015/16:</w:t>
      </w:r>
      <w:r w:rsidR="00981544">
        <w:rPr>
          <w:rFonts w:cs="Georgia"/>
          <w:bCs/>
          <w:i/>
          <w:iCs/>
          <w:color w:val="000000"/>
          <w:szCs w:val="22"/>
          <w:lang w:eastAsia="en-NZ"/>
        </w:rPr>
        <w:t xml:space="preserve"> </w:t>
      </w:r>
      <w:r w:rsidRPr="007057F8">
        <w:rPr>
          <w:rFonts w:cs="Georgia"/>
          <w:bCs/>
          <w:i/>
          <w:iCs/>
          <w:color w:val="000000"/>
          <w:szCs w:val="22"/>
          <w:lang w:eastAsia="en-NZ"/>
        </w:rPr>
        <w:t>New Zealand Health Survey</w:t>
      </w:r>
      <w:r>
        <w:rPr>
          <w:i/>
        </w:rPr>
        <w:t xml:space="preserve"> </w:t>
      </w:r>
      <w:r>
        <w:t>(Ministry of Health 2016d</w:t>
      </w:r>
      <w:r w:rsidRPr="00DF62EA">
        <w:t xml:space="preserve">). For more details of the sample design of the previous years, see Clark et al (2013) and </w:t>
      </w:r>
      <w:r w:rsidRPr="00DF62EA">
        <w:rPr>
          <w:i/>
        </w:rPr>
        <w:t>The New Zealand Health Survey: Sample design, years 1–3 (2011–2013)</w:t>
      </w:r>
      <w:r w:rsidRPr="00DF62EA">
        <w:t xml:space="preserve"> (Ministry of Health 2011).</w:t>
      </w:r>
    </w:p>
    <w:p w:rsidR="00DC0A66" w:rsidRPr="00CC7E24" w:rsidRDefault="00DC0A66" w:rsidP="00C53CD9"/>
    <w:p w:rsidR="00DC0A66" w:rsidRPr="00CC7E24" w:rsidRDefault="00DC0A66" w:rsidP="00C53CD9">
      <w:pPr>
        <w:pStyle w:val="Heading3"/>
      </w:pPr>
      <w:bookmarkStart w:id="80" w:name="_Toc199225777"/>
      <w:bookmarkStart w:id="81" w:name="_Toc201042981"/>
      <w:bookmarkStart w:id="82" w:name="_Toc335133107"/>
      <w:bookmarkStart w:id="83" w:name="_Toc339270006"/>
      <w:r w:rsidRPr="00CC7E24">
        <w:t>Sample selection</w:t>
      </w:r>
      <w:bookmarkEnd w:id="80"/>
      <w:bookmarkEnd w:id="81"/>
      <w:bookmarkEnd w:id="82"/>
      <w:bookmarkEnd w:id="83"/>
    </w:p>
    <w:p w:rsidR="00DC0A66" w:rsidRPr="00CC7E24" w:rsidRDefault="00DC0A66" w:rsidP="00C53CD9">
      <w:r w:rsidRPr="00CC7E24">
        <w:t>The NZHS has a multi-stage, stratified, probability-proportional-to-size</w:t>
      </w:r>
      <w:r>
        <w:t xml:space="preserve"> </w:t>
      </w:r>
      <w:r w:rsidRPr="00CC7E24">
        <w:t xml:space="preserve">(PPS) sampling design. The survey is designed to yield an annual sample size of approximately </w:t>
      </w:r>
      <w:r w:rsidRPr="00DF62EA">
        <w:t>14,000</w:t>
      </w:r>
      <w:r w:rsidRPr="00CC7E24">
        <w:t xml:space="preserve"> adults and </w:t>
      </w:r>
      <w:r w:rsidRPr="00DF62EA">
        <w:t>5000</w:t>
      </w:r>
      <w:r>
        <w:t> </w:t>
      </w:r>
      <w:r w:rsidRPr="00CC7E24">
        <w:t>children.</w:t>
      </w:r>
    </w:p>
    <w:p w:rsidR="00DC0A66" w:rsidRPr="00CC7E24" w:rsidRDefault="00DC0A66" w:rsidP="00C53CD9"/>
    <w:p w:rsidR="00DC0A66" w:rsidRPr="00CC7E24" w:rsidRDefault="00DC0A66" w:rsidP="00C53CD9">
      <w:r w:rsidRPr="00CC7E24">
        <w:t>A dual</w:t>
      </w:r>
      <w:r>
        <w:t>-</w:t>
      </w:r>
      <w:r w:rsidRPr="00CC7E24">
        <w:t>frame approach has been used</w:t>
      </w:r>
      <w:r>
        <w:t>,</w:t>
      </w:r>
      <w:r w:rsidRPr="00CC7E24">
        <w:t xml:space="preserve"> where</w:t>
      </w:r>
      <w:r>
        <w:t>by</w:t>
      </w:r>
      <w:r w:rsidRPr="00CC7E24">
        <w:t xml:space="preserve"> </w:t>
      </w:r>
      <w:r>
        <w:t>respondent</w:t>
      </w:r>
      <w:r w:rsidRPr="00CC7E24">
        <w:t>s are selected from an area-based sample and a list-based electoral roll sample. The aim of this approach is to increase the sample sizes for Māori, Pacific and Asian ethnic groups.</w:t>
      </w:r>
    </w:p>
    <w:p w:rsidR="00DC0A66" w:rsidRPr="00CC7E24" w:rsidRDefault="00DC0A66" w:rsidP="00C53CD9"/>
    <w:p w:rsidR="00DC0A66" w:rsidRPr="00CC7E24" w:rsidRDefault="00DC0A66" w:rsidP="00C53CD9">
      <w:pPr>
        <w:pStyle w:val="Heading4"/>
      </w:pPr>
      <w:r w:rsidRPr="00CC7E24">
        <w:t>Area-based sample</w:t>
      </w:r>
    </w:p>
    <w:p w:rsidR="00DC0A66" w:rsidRPr="00DF62EA" w:rsidRDefault="00DC0A66" w:rsidP="00C53CD9">
      <w:r>
        <w:t>Statistics New Zealand</w:t>
      </w:r>
      <w:r w:rsidR="00981544">
        <w:t>’</w:t>
      </w:r>
      <w:r>
        <w:t xml:space="preserve">s </w:t>
      </w:r>
      <w:r w:rsidRPr="00DF62EA">
        <w:t xml:space="preserve">PSUs </w:t>
      </w:r>
      <w:r>
        <w:t>form the basis</w:t>
      </w:r>
      <w:r w:rsidRPr="00DF62EA">
        <w:t xml:space="preserve"> </w:t>
      </w:r>
      <w:r>
        <w:t>for</w:t>
      </w:r>
      <w:r w:rsidRPr="00DF62EA">
        <w:t xml:space="preserve"> the area-based sample. Th</w:t>
      </w:r>
      <w:r w:rsidRPr="00DF62EA">
        <w:rPr>
          <w:strike/>
        </w:rPr>
        <w:t>e</w:t>
      </w:r>
      <w:r w:rsidRPr="00DF62EA">
        <w:t xml:space="preserve"> area-based sample is targeted at the ethnic groups of interest by assigning higher probabilities of selection to areas (PSUs) in which these groups are more concentrated.</w:t>
      </w:r>
    </w:p>
    <w:p w:rsidR="00DC0A66" w:rsidRDefault="00DC0A66" w:rsidP="00C53CD9">
      <w:pPr>
        <w:rPr>
          <w:highlight w:val="yellow"/>
        </w:rPr>
      </w:pPr>
    </w:p>
    <w:p w:rsidR="00981544" w:rsidRDefault="00DC0A66" w:rsidP="00C53CD9">
      <w:r w:rsidRPr="006A24F4">
        <w:t>A three-stage selection process is used to achieve the area-based sample.</w:t>
      </w:r>
    </w:p>
    <w:p w:rsidR="00DC0A66" w:rsidRDefault="00DC0A66" w:rsidP="00C53CD9"/>
    <w:p w:rsidR="00DC0A66" w:rsidRDefault="00DC0A66" w:rsidP="00C53CD9">
      <w:r w:rsidRPr="006A24F4">
        <w:t xml:space="preserve">First, a sample </w:t>
      </w:r>
      <w:r>
        <w:t xml:space="preserve">of </w:t>
      </w:r>
      <w:r w:rsidRPr="006A24F4">
        <w:t>PSUs is selected within each district health board (DHB) area.</w:t>
      </w:r>
      <w:r>
        <w:t xml:space="preserve"> The </w:t>
      </w:r>
      <w:r w:rsidRPr="006A24F4">
        <w:t>PSUs are selected with PPS</w:t>
      </w:r>
      <w:r>
        <w:t>, where the size measure is based on the counts of occupied dwellings from the 2013 Census</w:t>
      </w:r>
      <w:r w:rsidRPr="006A24F4">
        <w:t xml:space="preserve">. </w:t>
      </w:r>
      <w:r>
        <w:t xml:space="preserve">This means that larger PSUs have a higher chance of being selected in the sample. The size measures are </w:t>
      </w:r>
      <w:r w:rsidRPr="006A24F4">
        <w:t xml:space="preserve">modified using a targeting factor to give higher probabilities </w:t>
      </w:r>
      <w:r>
        <w:t>of selection to PSUs</w:t>
      </w:r>
      <w:r w:rsidRPr="006A24F4">
        <w:t xml:space="preserve"> where </w:t>
      </w:r>
      <w:r>
        <w:t xml:space="preserve">more </w:t>
      </w:r>
      <w:r w:rsidRPr="006A24F4">
        <w:t xml:space="preserve">Pacific or Asian people </w:t>
      </w:r>
      <w:r>
        <w:t>live, again based on the 2013 Census.</w:t>
      </w:r>
    </w:p>
    <w:p w:rsidR="00DC0A66" w:rsidRPr="0081639F" w:rsidRDefault="00DC0A66" w:rsidP="00C53CD9">
      <w:pPr>
        <w:rPr>
          <w:highlight w:val="yellow"/>
        </w:rPr>
      </w:pPr>
    </w:p>
    <w:p w:rsidR="00DC0A66" w:rsidRPr="00C53CD9" w:rsidRDefault="00DC0A66" w:rsidP="00C53CD9">
      <w:pPr>
        <w:rPr>
          <w:spacing w:val="-2"/>
        </w:rPr>
      </w:pPr>
      <w:r w:rsidRPr="00C53CD9">
        <w:rPr>
          <w:spacing w:val="-2"/>
        </w:rPr>
        <w:t xml:space="preserve">Second, a list of households is compiled for each selected PSU. A systematic sample of approximately 21 households is selected from this list by choosing a random start and selecting every </w:t>
      </w:r>
      <w:proofErr w:type="spellStart"/>
      <w:r w:rsidRPr="00C53CD9">
        <w:rPr>
          <w:i/>
          <w:spacing w:val="-2"/>
        </w:rPr>
        <w:t>k</w:t>
      </w:r>
      <w:r w:rsidRPr="00C53CD9">
        <w:rPr>
          <w:spacing w:val="-2"/>
          <w:vertAlign w:val="superscript"/>
        </w:rPr>
        <w:t>th</w:t>
      </w:r>
      <w:proofErr w:type="spellEnd"/>
      <w:r w:rsidRPr="00C53CD9">
        <w:rPr>
          <w:spacing w:val="-2"/>
        </w:rPr>
        <w:t xml:space="preserve"> household. The skip </w:t>
      </w:r>
      <w:r w:rsidRPr="00C53CD9">
        <w:rPr>
          <w:i/>
          <w:spacing w:val="-2"/>
        </w:rPr>
        <w:t>k</w:t>
      </w:r>
      <w:r w:rsidRPr="00C53CD9">
        <w:rPr>
          <w:spacing w:val="-2"/>
        </w:rPr>
        <w:t xml:space="preserve"> is calculated by the census occupied-dwellings count divided by 21.</w:t>
      </w:r>
    </w:p>
    <w:p w:rsidR="00DC0A66" w:rsidRDefault="00DC0A66" w:rsidP="00C53CD9"/>
    <w:p w:rsidR="00DC0A66" w:rsidRPr="00CC7E24" w:rsidRDefault="00DC0A66" w:rsidP="00C53CD9">
      <w:r>
        <w:t>Third</w:t>
      </w:r>
      <w:r w:rsidRPr="00CC7E24">
        <w:t xml:space="preserve">,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rsidR="00DC0A66" w:rsidRDefault="00DC0A66" w:rsidP="00C53CD9"/>
    <w:p w:rsidR="00DC0A66" w:rsidRPr="00F31E3E" w:rsidRDefault="00DC0A66" w:rsidP="00C53CD9">
      <w:pPr>
        <w:keepLines/>
      </w:pPr>
      <w:r w:rsidRPr="00F31E3E">
        <w:t>Any aged</w:t>
      </w:r>
      <w:r>
        <w:t>-</w:t>
      </w:r>
      <w:r w:rsidRPr="00F31E3E">
        <w:t xml:space="preserve">care facilities in the selected </w:t>
      </w:r>
      <w:r w:rsidRPr="0096502F">
        <w:t>PSUs</w:t>
      </w:r>
      <w:r>
        <w:t xml:space="preserve"> </w:t>
      </w:r>
      <w:r w:rsidRPr="00F31E3E">
        <w:t xml:space="preserve">are included in the area-based sample by first dividing them into </w:t>
      </w:r>
      <w:r w:rsidR="00981544">
        <w:t>‘</w:t>
      </w:r>
      <w:r w:rsidRPr="00F31E3E">
        <w:t>accommodation units</w:t>
      </w:r>
      <w:r w:rsidR="00981544">
        <w:t>’</w:t>
      </w:r>
      <w:r w:rsidRPr="00F31E3E">
        <w:t xml:space="preserve">, typically consisting of an individual or couple living together in the </w:t>
      </w:r>
      <w:r>
        <w:t>facility</w:t>
      </w:r>
      <w:r w:rsidRPr="00F31E3E">
        <w:t>. Accommodation units are then treated as households in the sampling process, although at most</w:t>
      </w:r>
      <w:r>
        <w:t>,</w:t>
      </w:r>
      <w:r w:rsidRPr="00F31E3E">
        <w:t xml:space="preserve"> five accommodation units are selected from a single facility.</w:t>
      </w:r>
    </w:p>
    <w:p w:rsidR="00DC0A66" w:rsidRPr="00F31E3E" w:rsidRDefault="00DC0A66" w:rsidP="00C53CD9"/>
    <w:p w:rsidR="00DC0A66" w:rsidRDefault="00DC0A66" w:rsidP="00C53CD9">
      <w:r w:rsidRPr="00F31E3E">
        <w:t>Students living away from home in university hostels and boarding schools are eligible to be selected via their family</w:t>
      </w:r>
      <w:r w:rsidR="00981544">
        <w:t>’</w:t>
      </w:r>
      <w:r w:rsidRPr="00F31E3E">
        <w:t xml:space="preserve">s house, if they still consider this to be their home. </w:t>
      </w:r>
      <w:r>
        <w:t>If selected, a</w:t>
      </w:r>
      <w:r w:rsidRPr="00F31E3E">
        <w:t>rrangements are made to survey them either when they are next at home or at their student accommodation.</w:t>
      </w:r>
    </w:p>
    <w:p w:rsidR="00DC0A66" w:rsidRPr="00CC7E24" w:rsidRDefault="00DC0A66" w:rsidP="00C53CD9"/>
    <w:p w:rsidR="00DC0A66" w:rsidRPr="00CC7E24" w:rsidRDefault="00DC0A66" w:rsidP="00C53CD9">
      <w:pPr>
        <w:pStyle w:val="Heading4"/>
      </w:pPr>
      <w:r w:rsidRPr="00CC7E24">
        <w:lastRenderedPageBreak/>
        <w:t>Electoral roll sample</w:t>
      </w:r>
    </w:p>
    <w:p w:rsidR="00DC0A66" w:rsidRPr="00CC7E24" w:rsidRDefault="00DC0A66" w:rsidP="00C53CD9">
      <w:r w:rsidRPr="00CC7E24">
        <w:t>The electoral roll is another sampl</w:t>
      </w:r>
      <w:r>
        <w:t>ing</w:t>
      </w:r>
      <w:r w:rsidRPr="00CC7E24">
        <w:t xml:space="preserve"> frame used to increase the sample size of the Māori ethnic group. The electoral roll is used to select a sample of addresses where a person has self-identified as having Māori ancestry. A copy of the electoral roll is obtained quarterly for this purpose.</w:t>
      </w:r>
    </w:p>
    <w:p w:rsidR="00DC0A66" w:rsidRPr="00CC7E24" w:rsidRDefault="00DC0A66" w:rsidP="00C53CD9"/>
    <w:p w:rsidR="00981544" w:rsidRDefault="00DC0A66" w:rsidP="00C53CD9">
      <w:r w:rsidRPr="00CC7E24">
        <w:t>Stratified three-stage sampling is used to select the sample from the electoral roll.</w:t>
      </w:r>
    </w:p>
    <w:p w:rsidR="00DC0A66" w:rsidRDefault="00DC0A66" w:rsidP="00C53CD9"/>
    <w:p w:rsidR="00981544" w:rsidRDefault="00DC0A66" w:rsidP="00C53CD9">
      <w:r w:rsidRPr="00CC7E24">
        <w:t xml:space="preserve">The first stage involves selecting a sample of </w:t>
      </w:r>
      <w:r w:rsidRPr="00093F95">
        <w:t>PSUs within each stratum (DHB</w:t>
      </w:r>
      <w:r>
        <w:t xml:space="preserve"> area</w:t>
      </w:r>
      <w:r w:rsidRPr="00093F95">
        <w:t xml:space="preserve">), with probability proportional to the number of addresses on the electoral roll containing at least one person who has self-identified as having Māori ancestry. The sample of PSUs is selected so that it does not overlap with the sample </w:t>
      </w:r>
      <w:r>
        <w:t xml:space="preserve">of PSUs </w:t>
      </w:r>
      <w:r w:rsidRPr="00093F95">
        <w:t>f</w:t>
      </w:r>
      <w:r>
        <w:t xml:space="preserve">or </w:t>
      </w:r>
      <w:r w:rsidRPr="00093F95">
        <w:t>the area-based sample.</w:t>
      </w:r>
    </w:p>
    <w:p w:rsidR="00DC0A66" w:rsidRDefault="00DC0A66" w:rsidP="00C53CD9"/>
    <w:p w:rsidR="00981544" w:rsidRDefault="00DC0A66" w:rsidP="00C53CD9">
      <w:r w:rsidRPr="00093F95">
        <w:t xml:space="preserve">The second stage involves selecting a systematic sample of 14 addresses (from the list of </w:t>
      </w:r>
      <w:r w:rsidRPr="00C53CD9">
        <w:t>households</w:t>
      </w:r>
      <w:r w:rsidRPr="00093F95">
        <w:t xml:space="preserve"> where any person has self-identified as having Māori ancestry) from each selected PSU</w:t>
      </w:r>
      <w:r>
        <w:t>, or all addresses</w:t>
      </w:r>
      <w:r w:rsidRPr="00093F95">
        <w:t xml:space="preserve"> if </w:t>
      </w:r>
      <w:r>
        <w:t xml:space="preserve">there are </w:t>
      </w:r>
      <w:r w:rsidRPr="00093F95">
        <w:t>fewer than 14</w:t>
      </w:r>
      <w:r>
        <w:t xml:space="preserve"> addresses in a selected PSU</w:t>
      </w:r>
      <w:r w:rsidRPr="00093F95">
        <w:t>.</w:t>
      </w:r>
    </w:p>
    <w:p w:rsidR="00DC0A66" w:rsidRDefault="00DC0A66" w:rsidP="00C53CD9"/>
    <w:p w:rsidR="00DC0A66" w:rsidRPr="00CC7E24" w:rsidRDefault="00DC0A66" w:rsidP="00C53CD9">
      <w:r>
        <w:t>In the third stage</w:t>
      </w:r>
      <w:r w:rsidRPr="00093F95">
        <w:t>, one adult (aged 15 years or over) and one child (aged from birth to 14 years, if any in the household) are selected at random from each selected address.</w:t>
      </w:r>
    </w:p>
    <w:p w:rsidR="00DC0A66" w:rsidRPr="00CC7E24" w:rsidRDefault="00DC0A66" w:rsidP="00C53CD9"/>
    <w:p w:rsidR="00DC0A66" w:rsidRDefault="00DC0A66" w:rsidP="00C53CD9">
      <w:r w:rsidRPr="00CC7E24">
        <w:t xml:space="preserve">The electoral roll is used in order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exactly </w:t>
      </w:r>
      <w:r>
        <w:t xml:space="preserve">the same as </w:t>
      </w:r>
      <w:r w:rsidRPr="00CC7E24">
        <w:t>for the area-based sample. In particular, the adult and child (if any</w:t>
      </w:r>
      <w:r>
        <w:t xml:space="preserve"> in the household</w:t>
      </w:r>
      <w:r w:rsidRPr="00CC7E24">
        <w:t>) randomly selected into the survey can be Māori or non-Māori. This</w:t>
      </w:r>
      <w:r>
        <w:t xml:space="preserve"> approach</w:t>
      </w:r>
      <w:r w:rsidRPr="00CC7E24">
        <w:t xml:space="preserve"> ensures that probabilities of selection can be correctly calculated for all respondents.</w:t>
      </w:r>
    </w:p>
    <w:p w:rsidR="00DC0A66" w:rsidRPr="00CC7E24" w:rsidRDefault="00DC0A66" w:rsidP="00C53CD9"/>
    <w:p w:rsidR="00DC0A66" w:rsidRPr="00CC7E24" w:rsidRDefault="00DC0A66" w:rsidP="00C53CD9">
      <w:pPr>
        <w:pStyle w:val="Heading1"/>
      </w:pPr>
      <w:bookmarkStart w:id="84" w:name="_Toc340501930"/>
      <w:bookmarkStart w:id="85" w:name="_Toc372445550"/>
      <w:bookmarkStart w:id="86" w:name="_Toc403044004"/>
      <w:bookmarkStart w:id="87" w:name="_Toc467491520"/>
      <w:bookmarkStart w:id="88" w:name="_Toc467515122"/>
      <w:bookmarkStart w:id="89" w:name="_Toc199225799"/>
      <w:bookmarkStart w:id="90" w:name="_Toc201043003"/>
      <w:bookmarkEnd w:id="57"/>
      <w:r w:rsidRPr="00CC7E24">
        <w:lastRenderedPageBreak/>
        <w:t xml:space="preserve">Section 4: Data </w:t>
      </w:r>
      <w:r>
        <w:t>c</w:t>
      </w:r>
      <w:r w:rsidRPr="00CC7E24">
        <w:t>ollection</w:t>
      </w:r>
      <w:bookmarkEnd w:id="84"/>
      <w:bookmarkEnd w:id="85"/>
      <w:bookmarkEnd w:id="86"/>
      <w:bookmarkEnd w:id="87"/>
      <w:bookmarkEnd w:id="88"/>
    </w:p>
    <w:p w:rsidR="00981544" w:rsidRDefault="00DC0A66" w:rsidP="00C53CD9">
      <w:r w:rsidRPr="00CC7E24">
        <w:t xml:space="preserve">Data for the NZHS </w:t>
      </w:r>
      <w:r>
        <w:t xml:space="preserve">are collected </w:t>
      </w:r>
      <w:r w:rsidRPr="00CC7E24">
        <w:t>by CBG Health Research Ltd (CBG). The CBG interview team consists of approximately 35 professional social research interviewers.</w:t>
      </w:r>
    </w:p>
    <w:p w:rsidR="00DC0A66" w:rsidRDefault="00DC0A66" w:rsidP="00C53CD9"/>
    <w:p w:rsidR="00981544" w:rsidRDefault="00DC0A66" w:rsidP="00C53CD9">
      <w:r w:rsidRPr="00CC7E24">
        <w:t xml:space="preserve">Interviews are conducted in </w:t>
      </w:r>
      <w:r>
        <w:t>respondent</w:t>
      </w:r>
      <w:r w:rsidRPr="00CC7E24">
        <w:t>s</w:t>
      </w:r>
      <w:r w:rsidR="00981544">
        <w:t>’</w:t>
      </w:r>
      <w:r w:rsidRPr="00CC7E24">
        <w:t xml:space="preserve"> ho</w:t>
      </w:r>
      <w:r>
        <w:t>mes, with the interviewer entering</w:t>
      </w:r>
      <w:r w:rsidRPr="00CC7E24">
        <w:t xml:space="preserve"> responses directly into a laptop computer using </w:t>
      </w:r>
      <w:r>
        <w:t xml:space="preserve">The </w:t>
      </w:r>
      <w:r w:rsidRPr="00CC7E24">
        <w:t>Survey System</w:t>
      </w:r>
      <w:r w:rsidR="00981544">
        <w:t>’</w:t>
      </w:r>
      <w:r>
        <w:t>s</w:t>
      </w:r>
      <w:r w:rsidRPr="00CC7E24">
        <w:t xml:space="preserve"> </w:t>
      </w:r>
      <w:r>
        <w:t>C</w:t>
      </w:r>
      <w:r w:rsidRPr="00CC7E24">
        <w:t>omputer</w:t>
      </w:r>
      <w:r>
        <w:t>-A</w:t>
      </w:r>
      <w:r w:rsidRPr="00CC7E24">
        <w:t xml:space="preserve">ssisted </w:t>
      </w:r>
      <w:r>
        <w:t>P</w:t>
      </w:r>
      <w:r w:rsidRPr="00CC7E24">
        <w:t xml:space="preserve">ersonal </w:t>
      </w:r>
      <w:r>
        <w:t>I</w:t>
      </w:r>
      <w:r w:rsidRPr="00CC7E24">
        <w:t xml:space="preserve">nterview (CAPI) software. </w:t>
      </w:r>
      <w:r w:rsidR="00981544">
        <w:t>‘</w:t>
      </w:r>
      <w:r w:rsidRPr="00CC7E24">
        <w:t>Show</w:t>
      </w:r>
      <w:r>
        <w:t>-</w:t>
      </w:r>
      <w:r w:rsidRPr="00CC7E24">
        <w:t>cards</w:t>
      </w:r>
      <w:r w:rsidR="00981544">
        <w:t>’</w:t>
      </w:r>
      <w:r w:rsidRPr="00CC7E24">
        <w:t xml:space="preserve"> with predetermined response categories are used to assist respondents, where appropriate.</w:t>
      </w:r>
    </w:p>
    <w:p w:rsidR="00DC0A66" w:rsidRPr="00CC7E24" w:rsidRDefault="00DC0A66" w:rsidP="00C53CD9"/>
    <w:p w:rsidR="00DC0A66" w:rsidRDefault="00DC0A66" w:rsidP="00C53CD9">
      <w:pPr>
        <w:pStyle w:val="Heading2"/>
      </w:pPr>
      <w:bookmarkStart w:id="91" w:name="_Toc467491521"/>
      <w:bookmarkStart w:id="92" w:name="_Toc467515123"/>
      <w:r>
        <w:t>Pilot study</w:t>
      </w:r>
      <w:bookmarkEnd w:id="91"/>
      <w:bookmarkEnd w:id="92"/>
    </w:p>
    <w:p w:rsidR="00DC0A66" w:rsidRDefault="00DC0A66" w:rsidP="00C53CD9">
      <w:r w:rsidRPr="00CC7E24">
        <w:t xml:space="preserve">A </w:t>
      </w:r>
      <w:r>
        <w:t xml:space="preserve">pilot study </w:t>
      </w:r>
      <w:r w:rsidRPr="00CC7E24">
        <w:t xml:space="preserve">was carried out </w:t>
      </w:r>
      <w:r>
        <w:t>with 100 respondents from</w:t>
      </w:r>
      <w:r w:rsidRPr="00CC7E24">
        <w:t xml:space="preserve"> </w:t>
      </w:r>
      <w:r>
        <w:t xml:space="preserve">seven PSUs </w:t>
      </w:r>
      <w:r w:rsidRPr="00CC7E24">
        <w:t>in</w:t>
      </w:r>
      <w:r>
        <w:t xml:space="preserve"> </w:t>
      </w:r>
      <w:proofErr w:type="spellStart"/>
      <w:r>
        <w:t>Paihia</w:t>
      </w:r>
      <w:proofErr w:type="spellEnd"/>
      <w:r>
        <w:t xml:space="preserve">, </w:t>
      </w:r>
      <w:r w:rsidRPr="00CC7E24">
        <w:t>Auckland</w:t>
      </w:r>
      <w:r>
        <w:t>,</w:t>
      </w:r>
      <w:r w:rsidRPr="00CC7E24">
        <w:t xml:space="preserve"> </w:t>
      </w:r>
      <w:r>
        <w:t xml:space="preserve">Tauranga and </w:t>
      </w:r>
      <w:proofErr w:type="spellStart"/>
      <w:r>
        <w:t>Porirua</w:t>
      </w:r>
      <w:proofErr w:type="spellEnd"/>
      <w:r>
        <w:t xml:space="preserve"> before the main data collection for the 2015/16 NZHS</w:t>
      </w:r>
      <w:r w:rsidRPr="00CC7E24">
        <w:t xml:space="preserve">. </w:t>
      </w:r>
      <w:r>
        <w:t>The p</w:t>
      </w:r>
      <w:r w:rsidRPr="00CC7E24">
        <w:t>urpose</w:t>
      </w:r>
      <w:r>
        <w:t xml:space="preserve"> of the pilot</w:t>
      </w:r>
      <w:r w:rsidRPr="00CC7E24">
        <w:t xml:space="preserve"> was to </w:t>
      </w:r>
      <w:r>
        <w:t xml:space="preserve">determine average survey timings for different groups and </w:t>
      </w:r>
      <w:r w:rsidRPr="00CC7E24">
        <w:t xml:space="preserve">refine the </w:t>
      </w:r>
      <w:r>
        <w:t xml:space="preserve">survey </w:t>
      </w:r>
      <w:r w:rsidRPr="00CC7E24">
        <w:t xml:space="preserve">instruments, </w:t>
      </w:r>
      <w:r>
        <w:t xml:space="preserve">materials, </w:t>
      </w:r>
      <w:r w:rsidRPr="00CC7E24">
        <w:t>operations and processes</w:t>
      </w:r>
      <w:r>
        <w:t xml:space="preserve"> to suit</w:t>
      </w:r>
      <w:r w:rsidRPr="00CC7E24">
        <w:t xml:space="preserve">. No substantive changes were made </w:t>
      </w:r>
      <w:r>
        <w:t>following the 2015/16 pilot study.</w:t>
      </w:r>
    </w:p>
    <w:p w:rsidR="00DC0A66" w:rsidDel="009250D1" w:rsidRDefault="00DC0A66" w:rsidP="00C53CD9"/>
    <w:p w:rsidR="00DC0A66" w:rsidRPr="006E2538" w:rsidDel="009250D1" w:rsidRDefault="00DC0A66" w:rsidP="00C53CD9">
      <w:pPr>
        <w:pStyle w:val="Heading2"/>
      </w:pPr>
      <w:bookmarkStart w:id="93" w:name="_Toc404606731"/>
      <w:bookmarkStart w:id="94" w:name="_Toc467491522"/>
      <w:bookmarkStart w:id="95" w:name="_Toc467515124"/>
      <w:r w:rsidRPr="00CC7E24" w:rsidDel="009250D1">
        <w:t>Enumeration</w:t>
      </w:r>
      <w:bookmarkEnd w:id="93"/>
      <w:bookmarkEnd w:id="94"/>
      <w:bookmarkEnd w:id="95"/>
    </w:p>
    <w:p w:rsidR="00DC0A66" w:rsidRPr="00CC7E24" w:rsidDel="009250D1" w:rsidRDefault="00DC0A66" w:rsidP="00C53CD9">
      <w:r w:rsidRPr="00CC7E24" w:rsidDel="009250D1">
        <w:t>CBG identif</w:t>
      </w:r>
      <w:r w:rsidDel="009250D1">
        <w:t>ies</w:t>
      </w:r>
      <w:r w:rsidRPr="00CC7E24" w:rsidDel="009250D1">
        <w:t xml:space="preserve"> households from </w:t>
      </w:r>
      <w:r>
        <w:t>PSU</w:t>
      </w:r>
      <w:r w:rsidRPr="00CC7E24" w:rsidDel="009250D1">
        <w:t>s selected for the survey using the N</w:t>
      </w:r>
      <w:r>
        <w:t xml:space="preserve">ew </w:t>
      </w:r>
      <w:r w:rsidRPr="00CC7E24" w:rsidDel="009250D1">
        <w:t>Z</w:t>
      </w:r>
      <w:r>
        <w:t>ealand</w:t>
      </w:r>
      <w:r w:rsidRPr="00CC7E24" w:rsidDel="009250D1">
        <w:t xml:space="preserve"> Post address database, which is obtained quarterly. Each area </w:t>
      </w:r>
      <w:r w:rsidRPr="009573F7">
        <w:t>PSU</w:t>
      </w:r>
      <w:r w:rsidRPr="00CC7E24" w:rsidDel="009250D1">
        <w:t xml:space="preserve"> visited by an interviewer is re</w:t>
      </w:r>
      <w:r w:rsidRPr="00CC7E24" w:rsidDel="009250D1">
        <w:noBreakHyphen/>
        <w:t xml:space="preserve">enumerated in order to record new dwellings built and those removed since the last </w:t>
      </w:r>
      <w:r>
        <w:t>c</w:t>
      </w:r>
      <w:r w:rsidRPr="00CC7E24" w:rsidDel="009250D1">
        <w:t>ensus enumeration and release of the N</w:t>
      </w:r>
      <w:r>
        <w:t xml:space="preserve">ew </w:t>
      </w:r>
      <w:r w:rsidRPr="00CC7E24" w:rsidDel="009250D1">
        <w:t>Z</w:t>
      </w:r>
      <w:r>
        <w:t>ealand</w:t>
      </w:r>
      <w:r w:rsidRPr="00CC7E24" w:rsidDel="009250D1">
        <w:t xml:space="preserve"> Post address list. The details of new dwellings are entered into CBG</w:t>
      </w:r>
      <w:r w:rsidR="00981544">
        <w:t>’</w:t>
      </w:r>
      <w:r w:rsidRPr="00CC7E24" w:rsidDel="009250D1">
        <w:t xml:space="preserve">s Sample Manager </w:t>
      </w:r>
      <w:proofErr w:type="gramStart"/>
      <w:r w:rsidRPr="00CC7E24" w:rsidDel="009250D1">
        <w:t>software</w:t>
      </w:r>
      <w:proofErr w:type="gramEnd"/>
      <w:r w:rsidRPr="00CC7E24" w:rsidDel="009250D1">
        <w:t xml:space="preserve"> while the interviewer is in the field, allowing these households to be included in the </w:t>
      </w:r>
      <w:r w:rsidDel="009250D1">
        <w:t xml:space="preserve">random selection process </w:t>
      </w:r>
      <w:r>
        <w:t>for</w:t>
      </w:r>
      <w:r w:rsidDel="009250D1">
        <w:t xml:space="preserve"> the</w:t>
      </w:r>
      <w:r w:rsidRPr="00CC7E24" w:rsidDel="009250D1">
        <w:t xml:space="preserve"> </w:t>
      </w:r>
      <w:r>
        <w:t>PSU</w:t>
      </w:r>
      <w:r w:rsidRPr="00CC7E24" w:rsidDel="009250D1">
        <w:t>.</w:t>
      </w:r>
    </w:p>
    <w:p w:rsidR="00DC0A66" w:rsidRPr="00CC7E24" w:rsidRDefault="00DC0A66" w:rsidP="00C53CD9"/>
    <w:p w:rsidR="00DC0A66" w:rsidRPr="00CC7E24" w:rsidRDefault="00DC0A66" w:rsidP="00C53CD9">
      <w:pPr>
        <w:pStyle w:val="Heading2"/>
      </w:pPr>
      <w:bookmarkStart w:id="96" w:name="_Toc404606732"/>
      <w:bookmarkStart w:id="97" w:name="_Toc467491523"/>
      <w:bookmarkStart w:id="98" w:name="_Toc467515125"/>
      <w:r w:rsidRPr="00CC7E24">
        <w:t>Invitation to participate</w:t>
      </w:r>
      <w:bookmarkEnd w:id="96"/>
      <w:bookmarkEnd w:id="97"/>
      <w:bookmarkEnd w:id="98"/>
    </w:p>
    <w:p w:rsidR="00DC0A66" w:rsidRPr="00CC7E24" w:rsidRDefault="00DC0A66" w:rsidP="00C53CD9">
      <w:r w:rsidRPr="00CC7E24">
        <w:t xml:space="preserve">The NZHS is voluntary, relying on the goodwill of </w:t>
      </w:r>
      <w:r>
        <w:t>respondent</w:t>
      </w:r>
      <w:r w:rsidRPr="00CC7E24">
        <w:t>s, and consent is obtained without coercion or inducement.</w:t>
      </w:r>
      <w:r>
        <w:t xml:space="preserve"> </w:t>
      </w:r>
      <w:r w:rsidRPr="00CC7E24">
        <w:t>CBG</w:t>
      </w:r>
      <w:r>
        <w:t xml:space="preserve"> uses the New Zealand Post address database to </w:t>
      </w:r>
      <w:r w:rsidRPr="00CC7E24">
        <w:t xml:space="preserve">post each </w:t>
      </w:r>
      <w:r>
        <w:t xml:space="preserve">selected </w:t>
      </w:r>
      <w:r w:rsidRPr="00CC7E24">
        <w:t>household an invitation letter from the Ministry</w:t>
      </w:r>
      <w:r>
        <w:t>,</w:t>
      </w:r>
      <w:r w:rsidRPr="00CC7E24">
        <w:t xml:space="preserve"> along with an information pamphlet about the NZHS. </w:t>
      </w:r>
      <w:r>
        <w:t>Interviewers take c</w:t>
      </w:r>
      <w:r w:rsidRPr="00CC7E24">
        <w:t xml:space="preserve">opies of the information pamphlet in </w:t>
      </w:r>
      <w:r w:rsidRPr="00A15D26">
        <w:t xml:space="preserve">11 languages </w:t>
      </w:r>
      <w:r w:rsidRPr="00CC7E24">
        <w:t xml:space="preserve">when </w:t>
      </w:r>
      <w:r>
        <w:t xml:space="preserve">they </w:t>
      </w:r>
      <w:r w:rsidRPr="00CC7E24">
        <w:t xml:space="preserve">subsequently visit households to seek </w:t>
      </w:r>
      <w:r>
        <w:t>people</w:t>
      </w:r>
      <w:r w:rsidR="00981544">
        <w:t>’</w:t>
      </w:r>
      <w:r>
        <w:t xml:space="preserve">s </w:t>
      </w:r>
      <w:r w:rsidRPr="00CC7E24">
        <w:t>agreement to participat</w:t>
      </w:r>
      <w:r>
        <w:t>e in the survey</w:t>
      </w:r>
      <w:r w:rsidRPr="00CC7E24">
        <w:t>.</w:t>
      </w:r>
    </w:p>
    <w:p w:rsidR="00DC0A66" w:rsidRPr="00CC7E24" w:rsidRDefault="00DC0A66" w:rsidP="00C53CD9"/>
    <w:p w:rsidR="00DC0A66" w:rsidRDefault="00DC0A66" w:rsidP="00C53CD9">
      <w:r w:rsidRPr="00CC7E24">
        <w:t>One adult and one child (if any</w:t>
      </w:r>
      <w:r>
        <w:t xml:space="preserve"> in the household</w:t>
      </w:r>
      <w:r w:rsidRPr="00CC7E24">
        <w:t xml:space="preserve">) are randomly selected </w:t>
      </w:r>
      <w:r>
        <w:t xml:space="preserve">from each selected household </w:t>
      </w:r>
      <w:r w:rsidRPr="00CC7E24">
        <w:t>to take part in the survey using CBG</w:t>
      </w:r>
      <w:r w:rsidR="00981544">
        <w:t>’</w:t>
      </w:r>
      <w:r w:rsidRPr="00CC7E24">
        <w:t xml:space="preserve">s Sample Manager </w:t>
      </w:r>
      <w:proofErr w:type="gramStart"/>
      <w:r w:rsidRPr="00CC7E24">
        <w:t>software</w:t>
      </w:r>
      <w:proofErr w:type="gramEnd"/>
      <w:r w:rsidRPr="00CC7E24">
        <w:t xml:space="preserve">. </w:t>
      </w:r>
      <w:r>
        <w:t>Respondent</w:t>
      </w:r>
      <w:r w:rsidRPr="00CC7E24">
        <w:t xml:space="preserve">s are asked to sign an electronic consent form and are given a copy of the consent form to keep. </w:t>
      </w:r>
      <w:r>
        <w:t>The consent form requires the respondent to confirm that they have read and understood the information pamphlet and that they know they can ask questions at any time and can contact CBG or the Ministry for further information. The consent form also states that:</w:t>
      </w:r>
    </w:p>
    <w:p w:rsidR="00DC0A66" w:rsidRDefault="00DC0A66" w:rsidP="00C53CD9">
      <w:pPr>
        <w:pStyle w:val="Bullet"/>
      </w:pPr>
      <w:r>
        <w:t>the respondent can stop the interview at any time and they don</w:t>
      </w:r>
      <w:r w:rsidR="00981544">
        <w:t>’</w:t>
      </w:r>
      <w:r>
        <w:t>t have to answer every question</w:t>
      </w:r>
    </w:p>
    <w:p w:rsidR="00DC0A66" w:rsidRDefault="00DC0A66" w:rsidP="00C53CD9">
      <w:pPr>
        <w:pStyle w:val="Bullet"/>
      </w:pPr>
      <w:r>
        <w:t>their participation is confidential and no identifiable information will be used in any reports</w:t>
      </w:r>
    </w:p>
    <w:p w:rsidR="00DC0A66" w:rsidRDefault="00DC0A66" w:rsidP="00C53CD9">
      <w:pPr>
        <w:pStyle w:val="Bullet"/>
      </w:pPr>
      <w:proofErr w:type="gramStart"/>
      <w:r>
        <w:t>their</w:t>
      </w:r>
      <w:proofErr w:type="gramEnd"/>
      <w:r>
        <w:t xml:space="preserve"> answers are protected by the Privacy Act 1993.</w:t>
      </w:r>
    </w:p>
    <w:p w:rsidR="00DC0A66" w:rsidRDefault="00DC0A66" w:rsidP="00C53CD9"/>
    <w:p w:rsidR="00DC0A66" w:rsidRPr="00CC7E24" w:rsidRDefault="00DC0A66" w:rsidP="00C53CD9">
      <w:r w:rsidRPr="00CC7E24">
        <w:lastRenderedPageBreak/>
        <w:t xml:space="preserve">The consent form </w:t>
      </w:r>
      <w:r>
        <w:t xml:space="preserve">also </w:t>
      </w:r>
      <w:r w:rsidRPr="00CC7E24">
        <w:t>includes a request for an interpreter</w:t>
      </w:r>
      <w:r>
        <w:t>,</w:t>
      </w:r>
      <w:r w:rsidRPr="00CC7E24">
        <w:t xml:space="preserve"> if required (in </w:t>
      </w:r>
      <w:r>
        <w:t>any of a range of different</w:t>
      </w:r>
      <w:r w:rsidRPr="00CC7E24">
        <w:t xml:space="preserve"> languages)</w:t>
      </w:r>
      <w:r>
        <w:t>. The respondent may elect a friend or family member (aged 15 years or over) to act as the interpreter during the survey, or CBG will arrange a professional interpreter. A</w:t>
      </w:r>
      <w:r w:rsidRPr="00CC7E24">
        <w:t xml:space="preserve">ttempts are </w:t>
      </w:r>
      <w:r>
        <w:t xml:space="preserve">also </w:t>
      </w:r>
      <w:r w:rsidRPr="00CC7E24">
        <w:t xml:space="preserve">made to match respondents and </w:t>
      </w:r>
      <w:r>
        <w:t>interviewers</w:t>
      </w:r>
      <w:r w:rsidRPr="00CC7E24">
        <w:t xml:space="preserve"> by ethnicity and </w:t>
      </w:r>
      <w:r>
        <w:t>sex</w:t>
      </w:r>
      <w:r w:rsidRPr="00CC7E24">
        <w:t xml:space="preserve"> when requested.</w:t>
      </w:r>
    </w:p>
    <w:p w:rsidR="00DC0A66" w:rsidRDefault="00DC0A66" w:rsidP="00C53CD9"/>
    <w:p w:rsidR="00981544" w:rsidRDefault="00DC0A66" w:rsidP="00C53CD9">
      <w:r>
        <w:t>Where a selected adult respondent is unable to provide consent themselves, a legal guardian is permitted to consent and complete the survey on their behalf, if the legal guardian agrees to participate.</w:t>
      </w:r>
    </w:p>
    <w:p w:rsidR="00DC0A66" w:rsidRDefault="00DC0A66" w:rsidP="00C53CD9"/>
    <w:p w:rsidR="00DC0A66" w:rsidRPr="00CC7E24" w:rsidRDefault="00DC0A66" w:rsidP="00C53CD9">
      <w:r w:rsidRPr="00CC7E24">
        <w:t>Child interviews are conducted with a guardian/primary caregiver of the child; that is, a person who has day-to-day responsibility for the care of the child.</w:t>
      </w:r>
    </w:p>
    <w:p w:rsidR="00DC0A66" w:rsidRDefault="00DC0A66" w:rsidP="00C53CD9"/>
    <w:p w:rsidR="00981544" w:rsidRDefault="00DC0A66" w:rsidP="00C53CD9">
      <w:r w:rsidRPr="00CC7E24">
        <w:t xml:space="preserve">All </w:t>
      </w:r>
      <w:r>
        <w:t>respondent</w:t>
      </w:r>
      <w:r w:rsidRPr="00CC7E24">
        <w:t xml:space="preserve">s </w:t>
      </w:r>
      <w:r>
        <w:t>for</w:t>
      </w:r>
      <w:r w:rsidRPr="00CC7E24">
        <w:t xml:space="preserve"> the NZHS are given a thank you card and </w:t>
      </w:r>
      <w:r>
        <w:t xml:space="preserve">a </w:t>
      </w:r>
      <w:r w:rsidRPr="00CC7E24">
        <w:t xml:space="preserve">small token </w:t>
      </w:r>
      <w:r>
        <w:t xml:space="preserve">of appreciation, </w:t>
      </w:r>
      <w:r w:rsidRPr="00CC7E24">
        <w:t>such as a pen or fridge magnet</w:t>
      </w:r>
      <w:r>
        <w:t>,</w:t>
      </w:r>
      <w:r w:rsidRPr="00CC7E24">
        <w:t xml:space="preserve"> at the conclusion of the interview. The </w:t>
      </w:r>
      <w:r>
        <w:t xml:space="preserve">thank you </w:t>
      </w:r>
      <w:r w:rsidRPr="00CC7E24">
        <w:t xml:space="preserve">card contains a list of health and community organisations with </w:t>
      </w:r>
      <w:proofErr w:type="spellStart"/>
      <w:r w:rsidRPr="00CC7E24">
        <w:t>freephone</w:t>
      </w:r>
      <w:proofErr w:type="spellEnd"/>
      <w:r w:rsidRPr="00CC7E24">
        <w:t xml:space="preserve"> numbers </w:t>
      </w:r>
      <w:r>
        <w:t>that</w:t>
      </w:r>
      <w:r w:rsidRPr="00CC7E24">
        <w:t xml:space="preserve"> </w:t>
      </w:r>
      <w:r>
        <w:t>respondents can use</w:t>
      </w:r>
      <w:r w:rsidRPr="00CC7E24">
        <w:t xml:space="preserve"> if they </w:t>
      </w:r>
      <w:r>
        <w:t>would like</w:t>
      </w:r>
      <w:r w:rsidRPr="00CC7E24">
        <w:t xml:space="preserve"> to discuss any issues raised by their participation in the </w:t>
      </w:r>
      <w:r>
        <w:t>NZ</w:t>
      </w:r>
      <w:r w:rsidRPr="00CC7E24">
        <w:t>H</w:t>
      </w:r>
      <w:r>
        <w:t>S</w:t>
      </w:r>
      <w:r w:rsidRPr="00CC7E24">
        <w:t xml:space="preserve"> or </w:t>
      </w:r>
      <w:r>
        <w:t xml:space="preserve">if they </w:t>
      </w:r>
      <w:r w:rsidRPr="00CC7E24">
        <w:t>need advice on a health issue.</w:t>
      </w:r>
    </w:p>
    <w:p w:rsidR="00DC0A66" w:rsidRPr="00CC7E24" w:rsidRDefault="00DC0A66" w:rsidP="00C53CD9"/>
    <w:p w:rsidR="00DC0A66" w:rsidRPr="00CC7E24" w:rsidRDefault="00DC0A66" w:rsidP="00C53CD9">
      <w:pPr>
        <w:pStyle w:val="Heading2"/>
      </w:pPr>
      <w:bookmarkStart w:id="99" w:name="_Toc404606733"/>
      <w:bookmarkStart w:id="100" w:name="_Toc467491524"/>
      <w:bookmarkStart w:id="101" w:name="_Toc467515126"/>
      <w:r>
        <w:t>Call pattern</w:t>
      </w:r>
      <w:bookmarkEnd w:id="99"/>
      <w:bookmarkEnd w:id="100"/>
      <w:bookmarkEnd w:id="101"/>
    </w:p>
    <w:p w:rsidR="00DC0A66" w:rsidRPr="00CC7E24" w:rsidRDefault="00DC0A66" w:rsidP="00C53CD9">
      <w:r>
        <w:t>Interviewers make u</w:t>
      </w:r>
      <w:r w:rsidRPr="00CC7E24">
        <w:t xml:space="preserve">p to 10 calls </w:t>
      </w:r>
      <w:r>
        <w:t>to</w:t>
      </w:r>
      <w:r w:rsidRPr="00CC7E24">
        <w:t xml:space="preserve"> each sampled dwelling at different times of the day and on different days of the week before accepting that </w:t>
      </w:r>
      <w:r>
        <w:t xml:space="preserve">the </w:t>
      </w:r>
      <w:r w:rsidRPr="00CC7E24">
        <w:t xml:space="preserve">dwelling </w:t>
      </w:r>
      <w:r>
        <w:t>i</w:t>
      </w:r>
      <w:r w:rsidRPr="00CC7E24">
        <w:t xml:space="preserve">s a non-contact. Calls are recorded as unique events only if they </w:t>
      </w:r>
      <w:r>
        <w:t>are made</w:t>
      </w:r>
      <w:r w:rsidRPr="00CC7E24">
        <w:t xml:space="preserve"> at least </w:t>
      </w:r>
      <w:r>
        <w:t>two</w:t>
      </w:r>
      <w:r w:rsidRPr="00CC7E24">
        <w:t xml:space="preserve"> hours apart.</w:t>
      </w:r>
    </w:p>
    <w:p w:rsidR="00DC0A66" w:rsidRPr="00CC7E24" w:rsidRDefault="00DC0A66" w:rsidP="00C53CD9"/>
    <w:p w:rsidR="00DC0A66" w:rsidRPr="00CC7E24" w:rsidRDefault="00DC0A66" w:rsidP="00C53CD9">
      <w:r w:rsidRPr="00CC7E24">
        <w:t xml:space="preserve">The number of calls made by an interviewer is spaced over two to three months. </w:t>
      </w:r>
      <w:r w:rsidRPr="002B050C">
        <w:t xml:space="preserve">Up to six calls are made by the interviewer during the month in which the </w:t>
      </w:r>
      <w:r>
        <w:t xml:space="preserve">PSU </w:t>
      </w:r>
      <w:r w:rsidRPr="00CF3C7F">
        <w:t xml:space="preserve">is </w:t>
      </w:r>
      <w:r>
        <w:t>first being surveyed</w:t>
      </w:r>
      <w:r w:rsidRPr="00CC7E24">
        <w:t>.</w:t>
      </w:r>
      <w:r>
        <w:t xml:space="preserve"> If contact with the household is not established during this first month, t</w:t>
      </w:r>
      <w:r w:rsidRPr="00CC7E24">
        <w:t xml:space="preserve">here is a pause for three to four weeks before attempting two more calls. </w:t>
      </w:r>
      <w:r>
        <w:t>If contact is still not established, t</w:t>
      </w:r>
      <w:r w:rsidRPr="00CC7E24">
        <w:t>here is a</w:t>
      </w:r>
      <w:r>
        <w:t>nother</w:t>
      </w:r>
      <w:r w:rsidRPr="00CC7E24">
        <w:t xml:space="preserve"> pause for a further three to four weeks before attempting </w:t>
      </w:r>
      <w:r>
        <w:t>a</w:t>
      </w:r>
      <w:r w:rsidRPr="00CC7E24">
        <w:t xml:space="preserve"> final two calls. This </w:t>
      </w:r>
      <w:r>
        <w:t xml:space="preserve">procedure </w:t>
      </w:r>
      <w:r w:rsidRPr="00CC7E24">
        <w:t xml:space="preserve">helps to contact not only people who are temporarily away, but also </w:t>
      </w:r>
      <w:r>
        <w:t xml:space="preserve">those </w:t>
      </w:r>
      <w:r w:rsidRPr="00CC7E24">
        <w:t>who are busy</w:t>
      </w:r>
      <w:r>
        <w:t xml:space="preserve"> with</w:t>
      </w:r>
      <w:r w:rsidRPr="00CC7E24">
        <w:t xml:space="preserve"> work</w:t>
      </w:r>
      <w:r>
        <w:t xml:space="preserve"> or</w:t>
      </w:r>
      <w:r w:rsidRPr="00CC7E24">
        <w:t xml:space="preserve"> family or socially when their dwelling is first approached.</w:t>
      </w:r>
    </w:p>
    <w:p w:rsidR="00DC0A66" w:rsidRDefault="00DC0A66" w:rsidP="00C53CD9"/>
    <w:p w:rsidR="00DC0A66" w:rsidRPr="00CC7E24" w:rsidRDefault="00DC0A66" w:rsidP="00C53CD9">
      <w:pPr>
        <w:pStyle w:val="Heading2"/>
      </w:pPr>
      <w:bookmarkStart w:id="102" w:name="_Toc404606734"/>
      <w:bookmarkStart w:id="103" w:name="_Toc467491525"/>
      <w:bookmarkStart w:id="104" w:name="_Toc467515127"/>
      <w:r>
        <w:t>I</w:t>
      </w:r>
      <w:r w:rsidRPr="00CC7E24">
        <w:t>nterviewer</w:t>
      </w:r>
      <w:r>
        <w:t xml:space="preserve"> audit</w:t>
      </w:r>
      <w:r w:rsidRPr="00CC7E24">
        <w:t>s</w:t>
      </w:r>
      <w:bookmarkEnd w:id="102"/>
      <w:bookmarkEnd w:id="103"/>
      <w:bookmarkEnd w:id="104"/>
    </w:p>
    <w:p w:rsidR="00DC0A66" w:rsidRPr="00CC7E24" w:rsidRDefault="00DC0A66" w:rsidP="00C53CD9">
      <w:r w:rsidRPr="00CC7E24">
        <w:t xml:space="preserve">CBG conducts audit calls with </w:t>
      </w:r>
      <w:r>
        <w:t>around 10 percent</w:t>
      </w:r>
      <w:r w:rsidRPr="00CC7E24">
        <w:t xml:space="preserve"> of all </w:t>
      </w:r>
      <w:r>
        <w:t>respondent</w:t>
      </w:r>
      <w:r w:rsidRPr="00CC7E24">
        <w:t xml:space="preserve">s </w:t>
      </w:r>
      <w:r>
        <w:t>and</w:t>
      </w:r>
      <w:r w:rsidRPr="00CC7E24">
        <w:t xml:space="preserve"> at least one household per </w:t>
      </w:r>
      <w:r>
        <w:t>PSU</w:t>
      </w:r>
      <w:r w:rsidRPr="00CC7E24">
        <w:t xml:space="preserve">. </w:t>
      </w:r>
      <w:r>
        <w:t>Respondents</w:t>
      </w:r>
      <w:r w:rsidRPr="00CC7E24">
        <w:t xml:space="preserve"> are also left with feedback postcards</w:t>
      </w:r>
      <w:r>
        <w:t>,</w:t>
      </w:r>
      <w:r w:rsidRPr="00CC7E24">
        <w:t xml:space="preserve"> which they can use to send feedback directly to CBG, anonymously if they choose.</w:t>
      </w:r>
    </w:p>
    <w:p w:rsidR="00DC0A66" w:rsidRPr="00CC7E24" w:rsidRDefault="00DC0A66" w:rsidP="00C53CD9"/>
    <w:p w:rsidR="00DC0A66" w:rsidRPr="00CC7E24" w:rsidRDefault="00DC0A66" w:rsidP="00C53CD9">
      <w:pPr>
        <w:pStyle w:val="Heading2"/>
      </w:pPr>
      <w:bookmarkStart w:id="105" w:name="_Toc404606735"/>
      <w:bookmarkStart w:id="106" w:name="_Toc467491526"/>
      <w:bookmarkStart w:id="107" w:name="_Toc467515128"/>
      <w:r w:rsidRPr="00CC7E24">
        <w:t>Interviewer training</w:t>
      </w:r>
      <w:bookmarkEnd w:id="105"/>
      <w:bookmarkEnd w:id="106"/>
      <w:bookmarkEnd w:id="107"/>
    </w:p>
    <w:p w:rsidR="00DC0A66" w:rsidRDefault="00DC0A66" w:rsidP="00C53CD9">
      <w:r w:rsidRPr="00CC7E24">
        <w:t xml:space="preserve">Interviewers </w:t>
      </w:r>
      <w:r>
        <w:t>take</w:t>
      </w:r>
      <w:r w:rsidRPr="00CC7E24">
        <w:t xml:space="preserve"> part in </w:t>
      </w:r>
      <w:r>
        <w:t xml:space="preserve">ongoing </w:t>
      </w:r>
      <w:r w:rsidRPr="00CC7E24">
        <w:t>training courses run by CBG on how to conduct interviews.</w:t>
      </w:r>
    </w:p>
    <w:p w:rsidR="00DC0A66" w:rsidRDefault="00DC0A66" w:rsidP="00C53CD9"/>
    <w:p w:rsidR="00DC0A66" w:rsidRPr="005F160B" w:rsidRDefault="00DC0A66" w:rsidP="00C53CD9">
      <w:pPr>
        <w:pStyle w:val="Heading2"/>
        <w:rPr>
          <w:lang w:eastAsia="en-NZ"/>
        </w:rPr>
      </w:pPr>
      <w:bookmarkStart w:id="108" w:name="_Toc404606736"/>
      <w:bookmarkStart w:id="109" w:name="_Toc467491527"/>
      <w:bookmarkStart w:id="110" w:name="_Toc467515129"/>
      <w:r>
        <w:rPr>
          <w:lang w:eastAsia="en-NZ"/>
        </w:rPr>
        <w:t>Objective</w:t>
      </w:r>
      <w:r w:rsidRPr="005F160B">
        <w:rPr>
          <w:lang w:eastAsia="en-NZ"/>
        </w:rPr>
        <w:t xml:space="preserve"> measurement</w:t>
      </w:r>
      <w:r>
        <w:rPr>
          <w:lang w:eastAsia="en-NZ"/>
        </w:rPr>
        <w:t>s</w:t>
      </w:r>
      <w:bookmarkEnd w:id="108"/>
      <w:bookmarkEnd w:id="109"/>
      <w:bookmarkEnd w:id="110"/>
    </w:p>
    <w:p w:rsidR="00DC0A66" w:rsidRDefault="00DC0A66" w:rsidP="00C53CD9">
      <w:pPr>
        <w:rPr>
          <w:lang w:eastAsia="en-NZ"/>
        </w:rPr>
      </w:pPr>
      <w:r>
        <w:rPr>
          <w:lang w:eastAsia="en-NZ"/>
        </w:rPr>
        <w:t xml:space="preserve">All </w:t>
      </w:r>
      <w:r>
        <w:t>respondent</w:t>
      </w:r>
      <w:r>
        <w:rPr>
          <w:lang w:eastAsia="en-NZ"/>
        </w:rPr>
        <w:t>s aged two years and over have their height and weight measurements taken by the interviewer at the end of the survey. Those aged five years and over also have their waist circumference measured. In addition, adults aged 15 years and over are asked to provide a blood pressure reading. Pregnant women are excluded from having any measurements taken.</w:t>
      </w:r>
    </w:p>
    <w:p w:rsidR="00DC0A66" w:rsidRDefault="00DC0A66" w:rsidP="00C53CD9">
      <w:pPr>
        <w:rPr>
          <w:lang w:eastAsia="en-NZ"/>
        </w:rPr>
      </w:pPr>
    </w:p>
    <w:p w:rsidR="00DC0A66" w:rsidRDefault="00DC0A66" w:rsidP="00C53CD9">
      <w:pPr>
        <w:rPr>
          <w:lang w:eastAsia="en-NZ"/>
        </w:rPr>
      </w:pPr>
      <w:r>
        <w:rPr>
          <w:lang w:eastAsia="en-NZ"/>
        </w:rPr>
        <w:lastRenderedPageBreak/>
        <w:t>In the 2012/13</w:t>
      </w:r>
      <w:r w:rsidRPr="001B6D3B">
        <w:rPr>
          <w:lang w:eastAsia="en-NZ"/>
        </w:rPr>
        <w:t xml:space="preserve"> </w:t>
      </w:r>
      <w:r>
        <w:rPr>
          <w:lang w:eastAsia="en-NZ"/>
        </w:rPr>
        <w:t xml:space="preserve">NZHS, </w:t>
      </w:r>
      <w:r w:rsidRPr="001B6D3B">
        <w:rPr>
          <w:lang w:eastAsia="en-NZ"/>
        </w:rPr>
        <w:t xml:space="preserve">laser height measurement </w:t>
      </w:r>
      <w:r>
        <w:rPr>
          <w:lang w:eastAsia="en-NZ"/>
        </w:rPr>
        <w:t>was introduced</w:t>
      </w:r>
      <w:r w:rsidRPr="001B6D3B">
        <w:rPr>
          <w:lang w:eastAsia="en-NZ"/>
        </w:rPr>
        <w:t>. The measuring device</w:t>
      </w:r>
      <w:r w:rsidRPr="00167EB7">
        <w:rPr>
          <w:lang w:eastAsia="en-NZ"/>
        </w:rPr>
        <w:t xml:space="preserve"> consists of a professional laser meter </w:t>
      </w:r>
      <w:r>
        <w:rPr>
          <w:lang w:eastAsia="en-NZ"/>
        </w:rPr>
        <w:t>(</w:t>
      </w:r>
      <w:proofErr w:type="spellStart"/>
      <w:r>
        <w:rPr>
          <w:lang w:eastAsia="en-NZ"/>
        </w:rPr>
        <w:t>Precaster</w:t>
      </w:r>
      <w:proofErr w:type="spellEnd"/>
      <w:r>
        <w:rPr>
          <w:lang w:eastAsia="en-NZ"/>
        </w:rPr>
        <w:t xml:space="preserve"> HANS CA770) </w:t>
      </w:r>
      <w:r w:rsidRPr="00167EB7">
        <w:rPr>
          <w:lang w:eastAsia="en-NZ"/>
        </w:rPr>
        <w:t>mounted to a rigid headboard</w:t>
      </w:r>
      <w:r>
        <w:rPr>
          <w:lang w:eastAsia="en-NZ"/>
        </w:rPr>
        <w:t>,</w:t>
      </w:r>
      <w:r w:rsidRPr="00167EB7">
        <w:rPr>
          <w:lang w:eastAsia="en-NZ"/>
        </w:rPr>
        <w:t xml:space="preserve"> which the interviewer </w:t>
      </w:r>
      <w:r>
        <w:rPr>
          <w:lang w:eastAsia="en-NZ"/>
        </w:rPr>
        <w:t>holds</w:t>
      </w:r>
      <w:r w:rsidRPr="00167EB7">
        <w:rPr>
          <w:lang w:eastAsia="en-NZ"/>
        </w:rPr>
        <w:t xml:space="preserve"> against the corner of a wall or door. The headboard is lowered until it reaches the </w:t>
      </w:r>
      <w:r>
        <w:rPr>
          <w:lang w:eastAsia="en-NZ"/>
        </w:rPr>
        <w:t>respondent</w:t>
      </w:r>
      <w:r w:rsidR="00981544">
        <w:rPr>
          <w:lang w:eastAsia="en-NZ"/>
        </w:rPr>
        <w:t>’</w:t>
      </w:r>
      <w:r w:rsidRPr="00167EB7">
        <w:rPr>
          <w:lang w:eastAsia="en-NZ"/>
        </w:rPr>
        <w:t>s head</w:t>
      </w:r>
      <w:r>
        <w:rPr>
          <w:lang w:eastAsia="en-NZ"/>
        </w:rPr>
        <w:t>,</w:t>
      </w:r>
      <w:r w:rsidRPr="00167EB7">
        <w:rPr>
          <w:lang w:eastAsia="en-NZ"/>
        </w:rPr>
        <w:t xml:space="preserve"> </w:t>
      </w:r>
      <w:r>
        <w:rPr>
          <w:lang w:eastAsia="en-NZ"/>
        </w:rPr>
        <w:t>at which point</w:t>
      </w:r>
      <w:r w:rsidRPr="00167EB7">
        <w:rPr>
          <w:lang w:eastAsia="en-NZ"/>
        </w:rPr>
        <w:t xml:space="preserve"> the laser is activated to take a measurement. The laser design was trialled and refined in early 2012 </w:t>
      </w:r>
      <w:r>
        <w:rPr>
          <w:lang w:eastAsia="en-NZ"/>
        </w:rPr>
        <w:t>before it was</w:t>
      </w:r>
      <w:r w:rsidRPr="00167EB7">
        <w:rPr>
          <w:lang w:eastAsia="en-NZ"/>
        </w:rPr>
        <w:t xml:space="preserve"> </w:t>
      </w:r>
      <w:r>
        <w:rPr>
          <w:lang w:eastAsia="en-NZ"/>
        </w:rPr>
        <w:t>used for the NZHS from July 2012. The laser meter</w:t>
      </w:r>
      <w:r w:rsidRPr="00167EB7">
        <w:rPr>
          <w:lang w:eastAsia="en-NZ"/>
        </w:rPr>
        <w:t xml:space="preserve"> replaced traditional </w:t>
      </w:r>
      <w:proofErr w:type="spellStart"/>
      <w:r w:rsidRPr="00167EB7">
        <w:rPr>
          <w:lang w:eastAsia="en-NZ"/>
        </w:rPr>
        <w:t>stadiometers</w:t>
      </w:r>
      <w:proofErr w:type="spellEnd"/>
      <w:r>
        <w:rPr>
          <w:lang w:eastAsia="en-NZ"/>
        </w:rPr>
        <w:t>,</w:t>
      </w:r>
      <w:r w:rsidRPr="00167EB7">
        <w:rPr>
          <w:lang w:eastAsia="en-NZ"/>
        </w:rPr>
        <w:t xml:space="preserve"> which were used in the 2011/12 NZHS.</w:t>
      </w:r>
    </w:p>
    <w:p w:rsidR="00DC0A66" w:rsidRDefault="00DC0A66" w:rsidP="00C53CD9">
      <w:pPr>
        <w:rPr>
          <w:lang w:eastAsia="en-NZ"/>
        </w:rPr>
      </w:pPr>
    </w:p>
    <w:p w:rsidR="00DC0A66" w:rsidRDefault="00DC0A66" w:rsidP="00C53CD9">
      <w:r>
        <w:t>Weight is measured with electronic weighing scales (</w:t>
      </w:r>
      <w:proofErr w:type="spellStart"/>
      <w:r w:rsidRPr="00AD7D79">
        <w:t>Tanita</w:t>
      </w:r>
      <w:proofErr w:type="spellEnd"/>
      <w:r w:rsidRPr="00AD7D79">
        <w:t xml:space="preserve"> HD-351</w:t>
      </w:r>
      <w:r>
        <w:t>). Respondents are required to empty their pockets as well as remove their shoes and any bulky clothing that could produce an inaccurate reading.</w:t>
      </w:r>
    </w:p>
    <w:p w:rsidR="00DC0A66" w:rsidRDefault="00DC0A66" w:rsidP="00C53CD9"/>
    <w:p w:rsidR="00DC0A66" w:rsidRDefault="00DC0A66" w:rsidP="00C53CD9">
      <w:r>
        <w:t xml:space="preserve">Waist circumference is measured using an </w:t>
      </w:r>
      <w:r w:rsidRPr="002B5A44">
        <w:t xml:space="preserve">anthropometric measuring tape </w:t>
      </w:r>
      <w:r>
        <w:t>(</w:t>
      </w:r>
      <w:r w:rsidRPr="002B5A44">
        <w:t>Lufkin W606PM</w:t>
      </w:r>
      <w:r>
        <w:t>). The measurement is taken over one layer of clothing at the midpoint between the lowest palpable rib and the top of the hip bone.</w:t>
      </w:r>
    </w:p>
    <w:p w:rsidR="00DC0A66" w:rsidRDefault="00DC0A66" w:rsidP="00C53CD9"/>
    <w:p w:rsidR="00DC0A66" w:rsidRDefault="00DC0A66" w:rsidP="00C53CD9">
      <w:r>
        <w:t xml:space="preserve">Height, weight and waist circumference measurements are taken a minimum of twice each. If there is more than a 1 percent variation between the first and second measurements, then a third measurement is taken for accuracy. </w:t>
      </w:r>
      <w:r w:rsidRPr="003F6337">
        <w:t xml:space="preserve">To align with international standards, the final height, weight and waist measurements </w:t>
      </w:r>
      <w:r>
        <w:t xml:space="preserve">used for analysis are </w:t>
      </w:r>
      <w:r w:rsidRPr="003F6337">
        <w:t>calculated for each respondent by taking the mean of the two closest measurements.</w:t>
      </w:r>
    </w:p>
    <w:p w:rsidR="00DC0A66" w:rsidRDefault="00DC0A66" w:rsidP="00C53CD9"/>
    <w:p w:rsidR="00DC0A66" w:rsidRDefault="00DC0A66" w:rsidP="00C53CD9">
      <w:r>
        <w:t xml:space="preserve">Blood pressure measurement was introduced to the NZHS in July 2012 and is obtained using a portable electronic </w:t>
      </w:r>
      <w:r w:rsidRPr="002B5A44">
        <w:t xml:space="preserve">sphygmomanometer </w:t>
      </w:r>
      <w:r>
        <w:t>(Omron HEM 907). A fabric cuff is wrapped around the respondent</w:t>
      </w:r>
      <w:r w:rsidR="00981544">
        <w:t>’</w:t>
      </w:r>
      <w:r>
        <w:t>s upper left arm, just above the elbow. Within the cuff is a plastic bladder connected by a tube to the main device. As the bladder inflates, the device is able to detect the respondent</w:t>
      </w:r>
      <w:r w:rsidR="00981544">
        <w:t>’</w:t>
      </w:r>
      <w:r>
        <w:t>s blood pressure. The device is programmed to take three readings, with a 1-minute pause between each.</w:t>
      </w:r>
    </w:p>
    <w:p w:rsidR="00DC0A66" w:rsidRDefault="00DC0A66" w:rsidP="00C53CD9"/>
    <w:p w:rsidR="00DC0A66" w:rsidRDefault="00DC0A66" w:rsidP="00C53CD9">
      <w:r>
        <w:t>Respondents are left with a measurement card, which details the readings taken on the day of the survey. The card also provides information on interpreting the blood pressure measurement and where the respondent can go for further information or advice.</w:t>
      </w:r>
    </w:p>
    <w:p w:rsidR="00DC0A66" w:rsidRDefault="00DC0A66" w:rsidP="00C53CD9"/>
    <w:p w:rsidR="00981544" w:rsidRDefault="00DC0A66" w:rsidP="00C53CD9">
      <w:r>
        <w:t>Several techniques are used to ensure the quality of the objective measurement equipment. Interviewers immediately report faulty equipment to CBG management and replacements are supplied immediately. Equipment is also checked by CBG management at least twice every year in the field.</w:t>
      </w:r>
    </w:p>
    <w:p w:rsidR="00DC0A66" w:rsidRDefault="00DC0A66" w:rsidP="00C53CD9"/>
    <w:p w:rsidR="00DC0A66" w:rsidRDefault="00DC0A66" w:rsidP="00DC0A66">
      <w:r>
        <w:t>Additionally the equipment is checked and re-calibrated at the time of the annual module cha</w:t>
      </w:r>
      <w:r w:rsidRPr="00C53CD9">
        <w:t>n</w:t>
      </w:r>
      <w:r>
        <w:t>ge training, where:</w:t>
      </w:r>
    </w:p>
    <w:p w:rsidR="00981544" w:rsidRDefault="00DC0A66" w:rsidP="00C53CD9">
      <w:pPr>
        <w:pStyle w:val="Bullet"/>
      </w:pPr>
      <w:r>
        <w:t>the electronic weighting scales and automatic blood pressure machines are re-calibrated by a manufacturer-approved agent</w:t>
      </w:r>
    </w:p>
    <w:p w:rsidR="00981544" w:rsidRDefault="00DC0A66" w:rsidP="00C53CD9">
      <w:pPr>
        <w:pStyle w:val="Bullet"/>
      </w:pPr>
      <w:proofErr w:type="gramStart"/>
      <w:r>
        <w:t>the</w:t>
      </w:r>
      <w:proofErr w:type="gramEnd"/>
      <w:r>
        <w:t xml:space="preserve"> lasers are checked against a known fixed height to ensure they are measuring correctly and are still programmed to the correct settings.</w:t>
      </w:r>
    </w:p>
    <w:p w:rsidR="00DC0A66" w:rsidRDefault="00DC0A66" w:rsidP="00C53CD9"/>
    <w:p w:rsidR="00DC0A66" w:rsidRDefault="00DC0A66" w:rsidP="00C53CD9">
      <w:r>
        <w:t>Interviewer</w:t>
      </w:r>
      <w:r w:rsidDel="000E101B">
        <w:t>s are retrained annually and must pass a re-certification assessment to ensure th</w:t>
      </w:r>
      <w:r>
        <w:t xml:space="preserve">ey maintain </w:t>
      </w:r>
      <w:r w:rsidDel="000E101B">
        <w:t>the required skill levels.</w:t>
      </w:r>
    </w:p>
    <w:p w:rsidR="00DC0A66" w:rsidRDefault="00DC0A66" w:rsidP="00C53CD9">
      <w:bookmarkStart w:id="111" w:name="_Toc339270015"/>
      <w:bookmarkStart w:id="112" w:name="_Toc340501937"/>
      <w:bookmarkStart w:id="113" w:name="_Toc372445557"/>
      <w:bookmarkStart w:id="114" w:name="_Toc373486719"/>
    </w:p>
    <w:p w:rsidR="00DC0A66" w:rsidRPr="0057116D" w:rsidRDefault="00DC0A66" w:rsidP="00C53CD9">
      <w:pPr>
        <w:pStyle w:val="Heading2"/>
        <w:rPr>
          <w:lang w:eastAsia="en-NZ"/>
        </w:rPr>
      </w:pPr>
      <w:bookmarkStart w:id="115" w:name="_Toc467491528"/>
      <w:bookmarkStart w:id="116" w:name="_Toc467515130"/>
      <w:bookmarkStart w:id="117" w:name="_Toc403044012"/>
      <w:r w:rsidRPr="0057116D">
        <w:rPr>
          <w:lang w:eastAsia="en-NZ"/>
        </w:rPr>
        <w:lastRenderedPageBreak/>
        <w:t>Changes to alcohol consumption questions</w:t>
      </w:r>
      <w:bookmarkEnd w:id="115"/>
      <w:bookmarkEnd w:id="116"/>
    </w:p>
    <w:p w:rsidR="00981544" w:rsidRDefault="00DC0A66" w:rsidP="00C53CD9">
      <w:pPr>
        <w:keepLines/>
        <w:rPr>
          <w:lang w:eastAsia="en-NZ"/>
        </w:rPr>
      </w:pPr>
      <w:r w:rsidRPr="0057116D">
        <w:rPr>
          <w:lang w:eastAsia="en-NZ"/>
        </w:rPr>
        <w:t xml:space="preserve">To improve the accuracy of alcohol consumption reporting by adult respondents, a picture </w:t>
      </w:r>
      <w:proofErr w:type="spellStart"/>
      <w:r w:rsidRPr="0057116D">
        <w:rPr>
          <w:lang w:eastAsia="en-NZ"/>
        </w:rPr>
        <w:t>showcard</w:t>
      </w:r>
      <w:proofErr w:type="spellEnd"/>
      <w:r w:rsidRPr="0057116D">
        <w:rPr>
          <w:lang w:eastAsia="en-NZ"/>
        </w:rPr>
        <w:t xml:space="preserve"> was developed </w:t>
      </w:r>
      <w:r>
        <w:rPr>
          <w:lang w:eastAsia="en-NZ"/>
        </w:rPr>
        <w:t>for the 2015/16 year</w:t>
      </w:r>
      <w:r w:rsidRPr="0057116D">
        <w:rPr>
          <w:lang w:eastAsia="en-NZ"/>
        </w:rPr>
        <w:t xml:space="preserve"> </w:t>
      </w:r>
      <w:r>
        <w:rPr>
          <w:lang w:eastAsia="en-NZ"/>
        </w:rPr>
        <w:t>that</w:t>
      </w:r>
      <w:r w:rsidRPr="0057116D">
        <w:rPr>
          <w:lang w:eastAsia="en-NZ"/>
        </w:rPr>
        <w:t xml:space="preserve"> depicts the number of </w:t>
      </w:r>
      <w:r w:rsidR="00981544">
        <w:rPr>
          <w:lang w:eastAsia="en-NZ"/>
        </w:rPr>
        <w:t>‘</w:t>
      </w:r>
      <w:r>
        <w:rPr>
          <w:lang w:eastAsia="en-NZ"/>
        </w:rPr>
        <w:t>s</w:t>
      </w:r>
      <w:r w:rsidRPr="0057116D">
        <w:rPr>
          <w:lang w:eastAsia="en-NZ"/>
        </w:rPr>
        <w:t xml:space="preserve">tandard </w:t>
      </w:r>
      <w:r>
        <w:rPr>
          <w:lang w:eastAsia="en-NZ"/>
        </w:rPr>
        <w:t>d</w:t>
      </w:r>
      <w:r w:rsidRPr="0057116D">
        <w:rPr>
          <w:lang w:eastAsia="en-NZ"/>
        </w:rPr>
        <w:t>rinks</w:t>
      </w:r>
      <w:r w:rsidR="00981544">
        <w:rPr>
          <w:lang w:eastAsia="en-NZ"/>
        </w:rPr>
        <w:t>’</w:t>
      </w:r>
      <w:r w:rsidRPr="0057116D">
        <w:rPr>
          <w:lang w:eastAsia="en-NZ"/>
        </w:rPr>
        <w:t xml:space="preserve"> contained in a range of common alcoholic drinks and vessel sizes. The </w:t>
      </w:r>
      <w:proofErr w:type="spellStart"/>
      <w:r w:rsidRPr="0057116D">
        <w:rPr>
          <w:lang w:eastAsia="en-NZ"/>
        </w:rPr>
        <w:t>showcard</w:t>
      </w:r>
      <w:proofErr w:type="spellEnd"/>
      <w:r w:rsidRPr="0057116D">
        <w:rPr>
          <w:lang w:eastAsia="en-NZ"/>
        </w:rPr>
        <w:t xml:space="preserve"> is used for two questions (A3.26 </w:t>
      </w:r>
      <w:r w:rsidR="00C53CD9">
        <w:rPr>
          <w:lang w:eastAsia="en-NZ"/>
        </w:rPr>
        <w:t>and</w:t>
      </w:r>
      <w:r w:rsidRPr="0057116D">
        <w:rPr>
          <w:lang w:eastAsia="en-NZ"/>
        </w:rPr>
        <w:t xml:space="preserve"> A3.27)</w:t>
      </w:r>
      <w:r>
        <w:rPr>
          <w:lang w:eastAsia="en-NZ"/>
        </w:rPr>
        <w:t>,</w:t>
      </w:r>
      <w:r w:rsidRPr="0057116D">
        <w:rPr>
          <w:lang w:eastAsia="en-NZ"/>
        </w:rPr>
        <w:t xml:space="preserve"> which have historically been asked in the NZHS. </w:t>
      </w:r>
      <w:r>
        <w:rPr>
          <w:lang w:eastAsia="en-NZ"/>
        </w:rPr>
        <w:t xml:space="preserve">The </w:t>
      </w:r>
      <w:proofErr w:type="spellStart"/>
      <w:r>
        <w:rPr>
          <w:lang w:eastAsia="en-NZ"/>
        </w:rPr>
        <w:t>showcard</w:t>
      </w:r>
      <w:proofErr w:type="spellEnd"/>
      <w:r>
        <w:rPr>
          <w:lang w:eastAsia="en-NZ"/>
        </w:rPr>
        <w:t xml:space="preserve"> questions now refer to </w:t>
      </w:r>
      <w:r w:rsidR="00981544">
        <w:rPr>
          <w:lang w:eastAsia="en-NZ"/>
        </w:rPr>
        <w:t>‘</w:t>
      </w:r>
      <w:r>
        <w:rPr>
          <w:lang w:eastAsia="en-NZ"/>
        </w:rPr>
        <w:t>standard drinks</w:t>
      </w:r>
      <w:r w:rsidR="00981544">
        <w:rPr>
          <w:lang w:eastAsia="en-NZ"/>
        </w:rPr>
        <w:t>’</w:t>
      </w:r>
      <w:r>
        <w:rPr>
          <w:lang w:eastAsia="en-NZ"/>
        </w:rPr>
        <w:t xml:space="preserve"> rather than </w:t>
      </w:r>
      <w:r w:rsidR="00981544">
        <w:rPr>
          <w:lang w:eastAsia="en-NZ"/>
        </w:rPr>
        <w:t>‘</w:t>
      </w:r>
      <w:r>
        <w:rPr>
          <w:lang w:eastAsia="en-NZ"/>
        </w:rPr>
        <w:t>drinks</w:t>
      </w:r>
      <w:r w:rsidR="00981544">
        <w:rPr>
          <w:lang w:eastAsia="en-NZ"/>
        </w:rPr>
        <w:t>’</w:t>
      </w:r>
      <w:r>
        <w:rPr>
          <w:lang w:eastAsia="en-NZ"/>
        </w:rPr>
        <w:t>, as used in the historical questions.</w:t>
      </w:r>
    </w:p>
    <w:p w:rsidR="00DC0A66" w:rsidRDefault="00DC0A66" w:rsidP="00C53CD9">
      <w:pPr>
        <w:rPr>
          <w:lang w:eastAsia="en-NZ"/>
        </w:rPr>
      </w:pPr>
    </w:p>
    <w:p w:rsidR="00981544" w:rsidRDefault="00DC0A66" w:rsidP="00C53CD9">
      <w:pPr>
        <w:rPr>
          <w:lang w:eastAsia="en-NZ"/>
        </w:rPr>
      </w:pPr>
      <w:r w:rsidRPr="0057116D">
        <w:rPr>
          <w:lang w:eastAsia="en-NZ"/>
        </w:rPr>
        <w:t xml:space="preserve">The </w:t>
      </w:r>
      <w:proofErr w:type="spellStart"/>
      <w:r w:rsidRPr="0057116D">
        <w:rPr>
          <w:lang w:eastAsia="en-NZ"/>
        </w:rPr>
        <w:t>showcard</w:t>
      </w:r>
      <w:proofErr w:type="spellEnd"/>
      <w:r w:rsidRPr="0057116D">
        <w:rPr>
          <w:lang w:eastAsia="en-NZ"/>
        </w:rPr>
        <w:t xml:space="preserve"> is left with respondents at the conclusion of the interview for their future reference.</w:t>
      </w:r>
    </w:p>
    <w:p w:rsidR="00DC0A66" w:rsidRDefault="00DC0A66" w:rsidP="00C53CD9">
      <w:pPr>
        <w:rPr>
          <w:lang w:eastAsia="en-NZ"/>
        </w:rPr>
      </w:pPr>
    </w:p>
    <w:p w:rsidR="00DC0A66" w:rsidRPr="0057116D" w:rsidRDefault="00DC0A66" w:rsidP="00C53CD9">
      <w:pPr>
        <w:rPr>
          <w:lang w:eastAsia="en-NZ"/>
        </w:rPr>
      </w:pPr>
      <w:r w:rsidRPr="0057116D">
        <w:rPr>
          <w:lang w:eastAsia="en-NZ"/>
        </w:rPr>
        <w:t xml:space="preserve">See the NZHS 2015/16 adult questionnaire for </w:t>
      </w:r>
      <w:r w:rsidRPr="0057116D">
        <w:t>the instructions given on the two relevant alcohol questions.</w:t>
      </w:r>
    </w:p>
    <w:p w:rsidR="00DC0A66" w:rsidRPr="0057116D" w:rsidRDefault="00DC0A66" w:rsidP="00C53CD9">
      <w:pPr>
        <w:rPr>
          <w:lang w:eastAsia="en-NZ"/>
        </w:rPr>
      </w:pPr>
    </w:p>
    <w:p w:rsidR="00DC0A66" w:rsidRDefault="00DC0A66" w:rsidP="00C53CD9">
      <w:pPr>
        <w:rPr>
          <w:lang w:eastAsia="en-NZ"/>
        </w:rPr>
      </w:pPr>
      <w:r w:rsidRPr="0057116D">
        <w:t>In order to assess the impact of introducing the standard drinks show</w:t>
      </w:r>
      <w:r>
        <w:t>-</w:t>
      </w:r>
      <w:r w:rsidRPr="0057116D">
        <w:t xml:space="preserve">card, </w:t>
      </w:r>
      <w:r w:rsidRPr="0057116D">
        <w:rPr>
          <w:lang w:eastAsia="en-NZ"/>
        </w:rPr>
        <w:t xml:space="preserve">the adult sample in </w:t>
      </w:r>
      <w:r>
        <w:rPr>
          <w:lang w:eastAsia="en-NZ"/>
        </w:rPr>
        <w:t xml:space="preserve">the 2015/16 survey was </w:t>
      </w:r>
      <w:r w:rsidRPr="0057116D">
        <w:rPr>
          <w:lang w:eastAsia="en-NZ"/>
        </w:rPr>
        <w:t>split into two groups. Half of the respondents were asked the questions in the same manner as previous years (sample group A)</w:t>
      </w:r>
      <w:r>
        <w:rPr>
          <w:lang w:eastAsia="en-NZ"/>
        </w:rPr>
        <w:t>,</w:t>
      </w:r>
      <w:r w:rsidRPr="0057116D">
        <w:rPr>
          <w:lang w:eastAsia="en-NZ"/>
        </w:rPr>
        <w:t xml:space="preserve"> whilst the other half were asked the questions with the show</w:t>
      </w:r>
      <w:r>
        <w:rPr>
          <w:lang w:eastAsia="en-NZ"/>
        </w:rPr>
        <w:t>-</w:t>
      </w:r>
      <w:r w:rsidRPr="0057116D">
        <w:rPr>
          <w:lang w:eastAsia="en-NZ"/>
        </w:rPr>
        <w:t xml:space="preserve">card (sample group B). </w:t>
      </w:r>
      <w:r>
        <w:rPr>
          <w:lang w:eastAsia="en-NZ"/>
        </w:rPr>
        <w:t>Among the respondents interviewed by the same interviewer, CBG</w:t>
      </w:r>
      <w:r w:rsidR="00981544">
        <w:rPr>
          <w:lang w:eastAsia="en-NZ"/>
        </w:rPr>
        <w:t>’</w:t>
      </w:r>
      <w:r>
        <w:rPr>
          <w:lang w:eastAsia="en-NZ"/>
        </w:rPr>
        <w:t xml:space="preserve">s Sample Manager </w:t>
      </w:r>
      <w:proofErr w:type="gramStart"/>
      <w:r>
        <w:rPr>
          <w:lang w:eastAsia="en-NZ"/>
        </w:rPr>
        <w:t>software</w:t>
      </w:r>
      <w:proofErr w:type="gramEnd"/>
      <w:r>
        <w:rPr>
          <w:lang w:eastAsia="en-NZ"/>
        </w:rPr>
        <w:t xml:space="preserve"> alternated between the two versions of the alcohol questions. This allows us to:</w:t>
      </w:r>
    </w:p>
    <w:p w:rsidR="00DC0A66" w:rsidRDefault="00DC0A66" w:rsidP="00C53CD9">
      <w:pPr>
        <w:pStyle w:val="Bullet"/>
        <w:rPr>
          <w:lang w:eastAsia="en-NZ"/>
        </w:rPr>
      </w:pPr>
      <w:r>
        <w:rPr>
          <w:lang w:eastAsia="en-NZ"/>
        </w:rPr>
        <w:t>produce population statistics of alcohol consumption from a half sample (sample group A) to compare with the statistics produced in previous years</w:t>
      </w:r>
    </w:p>
    <w:p w:rsidR="00DC0A66" w:rsidRDefault="00DC0A66" w:rsidP="00C53CD9">
      <w:pPr>
        <w:pStyle w:val="Bullet"/>
        <w:rPr>
          <w:lang w:eastAsia="en-NZ"/>
        </w:rPr>
      </w:pPr>
      <w:r>
        <w:rPr>
          <w:lang w:eastAsia="en-NZ"/>
        </w:rPr>
        <w:t xml:space="preserve">produce population statistics of alcohol consumption from the other half sample (sample group B) based on the new </w:t>
      </w:r>
      <w:r w:rsidR="00981544">
        <w:rPr>
          <w:lang w:eastAsia="en-NZ"/>
        </w:rPr>
        <w:t>‘</w:t>
      </w:r>
      <w:r>
        <w:rPr>
          <w:lang w:eastAsia="en-NZ"/>
        </w:rPr>
        <w:t>standard drinks</w:t>
      </w:r>
      <w:r w:rsidR="00981544">
        <w:rPr>
          <w:lang w:eastAsia="en-NZ"/>
        </w:rPr>
        <w:t>’</w:t>
      </w:r>
      <w:r>
        <w:rPr>
          <w:lang w:eastAsia="en-NZ"/>
        </w:rPr>
        <w:t xml:space="preserve"> questions</w:t>
      </w:r>
    </w:p>
    <w:p w:rsidR="00DC0A66" w:rsidRDefault="00DC0A66" w:rsidP="00C53CD9">
      <w:pPr>
        <w:pStyle w:val="Bullet"/>
        <w:rPr>
          <w:lang w:eastAsia="en-NZ"/>
        </w:rPr>
      </w:pPr>
      <w:proofErr w:type="gramStart"/>
      <w:r>
        <w:rPr>
          <w:lang w:eastAsia="en-NZ"/>
        </w:rPr>
        <w:t>compare</w:t>
      </w:r>
      <w:proofErr w:type="gramEnd"/>
      <w:r>
        <w:rPr>
          <w:lang w:eastAsia="en-NZ"/>
        </w:rPr>
        <w:t xml:space="preserve"> the population statistics of alcohol consumption of the two samples to examine the magnitude of the differences.</w:t>
      </w:r>
    </w:p>
    <w:p w:rsidR="00DC0A66" w:rsidRDefault="00DC0A66" w:rsidP="00C53CD9">
      <w:pPr>
        <w:rPr>
          <w:lang w:eastAsia="en-NZ"/>
        </w:rPr>
      </w:pPr>
    </w:p>
    <w:p w:rsidR="00981544" w:rsidRDefault="00DC0A66" w:rsidP="00C53CD9">
      <w:pPr>
        <w:rPr>
          <w:rFonts w:eastAsiaTheme="minorEastAsia"/>
        </w:rPr>
      </w:pPr>
      <w:r>
        <w:rPr>
          <w:rFonts w:eastAsiaTheme="minorEastAsia"/>
        </w:rPr>
        <w:t xml:space="preserve">From 2016/17 onwards, the NZHS will only use the standard drinks </w:t>
      </w:r>
      <w:proofErr w:type="spellStart"/>
      <w:r>
        <w:rPr>
          <w:rFonts w:eastAsiaTheme="minorEastAsia"/>
        </w:rPr>
        <w:t>show</w:t>
      </w:r>
      <w:r w:rsidRPr="00BD2BE6">
        <w:rPr>
          <w:rFonts w:eastAsiaTheme="minorEastAsia"/>
        </w:rPr>
        <w:t>card</w:t>
      </w:r>
      <w:proofErr w:type="spellEnd"/>
      <w:r w:rsidRPr="00BD2BE6">
        <w:rPr>
          <w:rFonts w:eastAsiaTheme="minorEastAsia"/>
        </w:rPr>
        <w:t xml:space="preserve"> version of </w:t>
      </w:r>
      <w:r>
        <w:rPr>
          <w:rFonts w:eastAsiaTheme="minorEastAsia"/>
        </w:rPr>
        <w:t>questions (A3.26a and A3.27a).</w:t>
      </w:r>
    </w:p>
    <w:p w:rsidR="00DC0A66" w:rsidRDefault="00DC0A66" w:rsidP="00C53CD9">
      <w:pPr>
        <w:rPr>
          <w:highlight w:val="yellow"/>
          <w:lang w:eastAsia="en-NZ"/>
        </w:rPr>
      </w:pPr>
    </w:p>
    <w:p w:rsidR="00DC0A66" w:rsidRPr="00CC7E24" w:rsidRDefault="00DC0A66" w:rsidP="00C53CD9">
      <w:pPr>
        <w:pStyle w:val="Heading1"/>
      </w:pPr>
      <w:bookmarkStart w:id="118" w:name="_Toc467491529"/>
      <w:bookmarkStart w:id="119" w:name="_Toc467515131"/>
      <w:r w:rsidRPr="00CC7E24">
        <w:lastRenderedPageBreak/>
        <w:t xml:space="preserve">Section 5: Response and </w:t>
      </w:r>
      <w:r>
        <w:t>c</w:t>
      </w:r>
      <w:r w:rsidRPr="00CC7E24">
        <w:t xml:space="preserve">overage </w:t>
      </w:r>
      <w:r>
        <w:t>r</w:t>
      </w:r>
      <w:r w:rsidRPr="00CC7E24">
        <w:t>ates</w:t>
      </w:r>
      <w:bookmarkEnd w:id="111"/>
      <w:bookmarkEnd w:id="112"/>
      <w:bookmarkEnd w:id="113"/>
      <w:bookmarkEnd w:id="114"/>
      <w:bookmarkEnd w:id="117"/>
      <w:bookmarkEnd w:id="118"/>
      <w:bookmarkEnd w:id="119"/>
    </w:p>
    <w:p w:rsidR="00DC0A66" w:rsidRPr="00CC7E24" w:rsidRDefault="00DC0A66" w:rsidP="00C53CD9">
      <w:pPr>
        <w:rPr>
          <w:lang w:eastAsia="en-US"/>
        </w:rPr>
      </w:pPr>
      <w:r w:rsidRPr="00CC7E24">
        <w:rPr>
          <w:lang w:eastAsia="en-US"/>
        </w:rPr>
        <w:t>The response rate is a measure of how many people who were selected to take part in the survey actually participated. A high response rate means that the survey results are more representative of the New Zealand population.</w:t>
      </w:r>
    </w:p>
    <w:p w:rsidR="00DC0A66" w:rsidRPr="00CC7E24" w:rsidRDefault="00DC0A66" w:rsidP="00C53CD9">
      <w:pPr>
        <w:rPr>
          <w:lang w:eastAsia="en-US"/>
        </w:rPr>
      </w:pPr>
    </w:p>
    <w:p w:rsidR="00DC0A66" w:rsidRPr="00CC7E24" w:rsidRDefault="00DC0A66" w:rsidP="00C53CD9">
      <w:pPr>
        <w:pStyle w:val="Box"/>
        <w:rPr>
          <w:lang w:eastAsia="en-US"/>
        </w:rPr>
      </w:pPr>
      <w:r>
        <w:rPr>
          <w:lang w:eastAsia="en-US"/>
        </w:rPr>
        <w:t>In 2015/16,</w:t>
      </w:r>
      <w:r w:rsidRPr="00CC7E24">
        <w:rPr>
          <w:lang w:eastAsia="en-US"/>
        </w:rPr>
        <w:t xml:space="preserve"> the final</w:t>
      </w:r>
      <w:r>
        <w:rPr>
          <w:lang w:eastAsia="en-US"/>
        </w:rPr>
        <w:t xml:space="preserve"> weighted response rate was 80 percent for </w:t>
      </w:r>
      <w:r w:rsidRPr="00050E3F">
        <w:rPr>
          <w:lang w:eastAsia="en-US"/>
        </w:rPr>
        <w:t>both</w:t>
      </w:r>
      <w:r>
        <w:rPr>
          <w:lang w:eastAsia="en-US"/>
        </w:rPr>
        <w:t xml:space="preserve"> adults and </w:t>
      </w:r>
      <w:r w:rsidRPr="00CC7E24">
        <w:rPr>
          <w:lang w:eastAsia="en-US"/>
        </w:rPr>
        <w:t>children.</w:t>
      </w:r>
    </w:p>
    <w:p w:rsidR="00DC0A66" w:rsidRPr="00CC7E24" w:rsidRDefault="00DC0A66" w:rsidP="00C53CD9">
      <w:pPr>
        <w:pStyle w:val="Box"/>
        <w:rPr>
          <w:lang w:eastAsia="en-US"/>
        </w:rPr>
      </w:pPr>
      <w:r>
        <w:rPr>
          <w:lang w:eastAsia="en-US"/>
        </w:rPr>
        <w:t>For m</w:t>
      </w:r>
      <w:r w:rsidRPr="00CC7E24">
        <w:rPr>
          <w:lang w:eastAsia="en-US"/>
        </w:rPr>
        <w:t>ore detai</w:t>
      </w:r>
      <w:r>
        <w:rPr>
          <w:lang w:eastAsia="en-US"/>
        </w:rPr>
        <w:t>ls on the response rates for 2015/16, see</w:t>
      </w:r>
      <w:r w:rsidRPr="00CC7E24">
        <w:rPr>
          <w:lang w:eastAsia="en-US"/>
        </w:rPr>
        <w:t xml:space="preserve"> </w:t>
      </w:r>
      <w:r>
        <w:rPr>
          <w:lang w:eastAsia="en-US"/>
        </w:rPr>
        <w:t>S</w:t>
      </w:r>
      <w:r w:rsidRPr="00CC7E24">
        <w:rPr>
          <w:lang w:eastAsia="en-US"/>
        </w:rPr>
        <w:t xml:space="preserve">ection </w:t>
      </w:r>
      <w:r>
        <w:rPr>
          <w:lang w:eastAsia="en-US"/>
        </w:rPr>
        <w:t>9</w:t>
      </w:r>
      <w:r w:rsidRPr="00CC7E24">
        <w:rPr>
          <w:lang w:eastAsia="en-US"/>
        </w:rPr>
        <w:t>.</w:t>
      </w:r>
    </w:p>
    <w:p w:rsidR="00DC0A66" w:rsidRPr="00CC7E24" w:rsidRDefault="00DC0A66" w:rsidP="00C53CD9"/>
    <w:p w:rsidR="00DC0A66" w:rsidRPr="00CC7E24" w:rsidRDefault="00DC0A66" w:rsidP="00C53CD9">
      <w:r w:rsidRPr="00CC7E24">
        <w:rPr>
          <w:lang w:eastAsia="en-US"/>
        </w:rPr>
        <w:t xml:space="preserve">The response rate is an important measure of the quality of a survey. </w:t>
      </w:r>
      <w:r>
        <w:t>M</w:t>
      </w:r>
      <w:r w:rsidRPr="00CC7E24">
        <w:t xml:space="preserve">ethods used to </w:t>
      </w:r>
      <w:r w:rsidRPr="001B4E9C">
        <w:t>maximise response rates</w:t>
      </w:r>
      <w:r>
        <w:t xml:space="preserve"> include</w:t>
      </w:r>
      <w:r w:rsidRPr="001B4E9C">
        <w:t>:</w:t>
      </w:r>
    </w:p>
    <w:p w:rsidR="00DC0A66" w:rsidRDefault="00DC0A66" w:rsidP="00C53CD9">
      <w:pPr>
        <w:pStyle w:val="Bullet"/>
      </w:pPr>
      <w:r>
        <w:t>giving</w:t>
      </w:r>
      <w:r w:rsidRPr="00383800">
        <w:t xml:space="preserve"> </w:t>
      </w:r>
      <w:r w:rsidRPr="00CC7E24">
        <w:t>interviewers</w:t>
      </w:r>
      <w:r>
        <w:t xml:space="preserve"> </w:t>
      </w:r>
      <w:r w:rsidRPr="00CC7E24">
        <w:t>initial and ongoing training and development</w:t>
      </w:r>
    </w:p>
    <w:p w:rsidR="00DC0A66" w:rsidRPr="00CC7E24" w:rsidRDefault="00DC0A66" w:rsidP="00C53CD9">
      <w:pPr>
        <w:pStyle w:val="Bullet"/>
      </w:pPr>
      <w:r w:rsidRPr="00CC7E24">
        <w:t>support</w:t>
      </w:r>
      <w:r>
        <w:t>ing</w:t>
      </w:r>
      <w:r w:rsidRPr="00CC7E24">
        <w:t xml:space="preserve"> and assess</w:t>
      </w:r>
      <w:r>
        <w:t>ing</w:t>
      </w:r>
      <w:r w:rsidRPr="00CC7E24">
        <w:t xml:space="preserve"> interviewers</w:t>
      </w:r>
      <w:r>
        <w:t xml:space="preserve"> in the field</w:t>
      </w:r>
    </w:p>
    <w:p w:rsidR="00DC0A66" w:rsidRPr="00CC7E24" w:rsidRDefault="00DC0A66" w:rsidP="00C53CD9">
      <w:pPr>
        <w:pStyle w:val="Bullet"/>
      </w:pPr>
      <w:r w:rsidRPr="00CC7E24">
        <w:t>us</w:t>
      </w:r>
      <w:r>
        <w:t>ing</w:t>
      </w:r>
      <w:r w:rsidRPr="00CC7E24">
        <w:t xml:space="preserve"> well-designed call pattern processes, allowing for up to </w:t>
      </w:r>
      <w:r>
        <w:t>10</w:t>
      </w:r>
      <w:r w:rsidRPr="00CC7E24">
        <w:t xml:space="preserve"> calls</w:t>
      </w:r>
      <w:r>
        <w:t xml:space="preserve"> to potential respondents</w:t>
      </w:r>
      <w:r w:rsidRPr="00CC7E24">
        <w:t xml:space="preserve"> at differ</w:t>
      </w:r>
      <w:r>
        <w:t>ent</w:t>
      </w:r>
      <w:r w:rsidRPr="00CC7E24">
        <w:t xml:space="preserve"> times of the week and day</w:t>
      </w:r>
    </w:p>
    <w:p w:rsidR="00DC0A66" w:rsidRPr="00CC7E24" w:rsidRDefault="00DC0A66" w:rsidP="00C53CD9">
      <w:pPr>
        <w:pStyle w:val="Bullet"/>
      </w:pPr>
      <w:proofErr w:type="gramStart"/>
      <w:r w:rsidRPr="00CC7E24">
        <w:t>revisit</w:t>
      </w:r>
      <w:r>
        <w:t>ing</w:t>
      </w:r>
      <w:proofErr w:type="gramEnd"/>
      <w:r w:rsidRPr="00CC7E24">
        <w:t xml:space="preserve"> </w:t>
      </w:r>
      <w:r w:rsidR="00981544">
        <w:t>‘</w:t>
      </w:r>
      <w:r w:rsidRPr="00CC7E24">
        <w:t>closed</w:t>
      </w:r>
      <w:r w:rsidR="00981544">
        <w:t>’</w:t>
      </w:r>
      <w:r w:rsidRPr="00CC7E24">
        <w:t xml:space="preserve"> </w:t>
      </w:r>
      <w:r w:rsidRPr="00050E3F">
        <w:t>PSUs</w:t>
      </w:r>
      <w:r w:rsidRPr="00CC7E24">
        <w:t xml:space="preserve"> during a mop-up phase (</w:t>
      </w:r>
      <w:proofErr w:type="spellStart"/>
      <w:r w:rsidRPr="00CC7E24">
        <w:t>ie</w:t>
      </w:r>
      <w:proofErr w:type="spellEnd"/>
      <w:r w:rsidRPr="00CC7E24">
        <w:t>, when visiting households where no contact ha</w:t>
      </w:r>
      <w:r>
        <w:t>s</w:t>
      </w:r>
      <w:r w:rsidRPr="00CC7E24">
        <w:t xml:space="preserve"> been established or the selected respondent was unable to take part at that time but did not refuse to participate).</w:t>
      </w:r>
    </w:p>
    <w:p w:rsidR="00DC0A66" w:rsidRPr="00CC7E24" w:rsidRDefault="00DC0A66" w:rsidP="00C53CD9">
      <w:pPr>
        <w:rPr>
          <w:lang w:eastAsia="en-US"/>
        </w:rPr>
      </w:pPr>
    </w:p>
    <w:p w:rsidR="00DC0A66" w:rsidRPr="00CC7E24" w:rsidRDefault="00DC0A66" w:rsidP="00C53CD9">
      <w:pPr>
        <w:pStyle w:val="Heading2"/>
      </w:pPr>
      <w:bookmarkStart w:id="120" w:name="_Toc335133112"/>
      <w:bookmarkStart w:id="121" w:name="_Toc339270016"/>
      <w:bookmarkStart w:id="122" w:name="_Toc340501938"/>
      <w:bookmarkStart w:id="123" w:name="_Toc372445558"/>
      <w:bookmarkStart w:id="124" w:name="_Toc373486720"/>
      <w:bookmarkStart w:id="125" w:name="_Toc403044013"/>
      <w:bookmarkStart w:id="126" w:name="_Toc467491530"/>
      <w:bookmarkStart w:id="127" w:name="_Toc467515132"/>
      <w:r w:rsidRPr="00CC7E24">
        <w:t>Calculati</w:t>
      </w:r>
      <w:r>
        <w:t>ng the</w:t>
      </w:r>
      <w:r w:rsidRPr="00CC7E24">
        <w:t xml:space="preserve"> response rate</w:t>
      </w:r>
      <w:bookmarkEnd w:id="120"/>
      <w:bookmarkEnd w:id="121"/>
      <w:bookmarkEnd w:id="122"/>
      <w:bookmarkEnd w:id="123"/>
      <w:bookmarkEnd w:id="124"/>
      <w:bookmarkEnd w:id="125"/>
      <w:bookmarkEnd w:id="126"/>
      <w:bookmarkEnd w:id="127"/>
    </w:p>
    <w:p w:rsidR="00DC0A66" w:rsidRPr="00CC7E24" w:rsidRDefault="00DC0A66" w:rsidP="00C53CD9">
      <w:pPr>
        <w:rPr>
          <w:lang w:eastAsia="en-US"/>
        </w:rPr>
      </w:pPr>
      <w:r w:rsidRPr="00CC7E24">
        <w:rPr>
          <w:lang w:eastAsia="en-US"/>
        </w:rPr>
        <w:t xml:space="preserve">The </w:t>
      </w:r>
      <w:r>
        <w:rPr>
          <w:lang w:eastAsia="en-US"/>
        </w:rPr>
        <w:t xml:space="preserve">NZHS calculates a </w:t>
      </w:r>
      <w:r w:rsidRPr="00CC7E24">
        <w:rPr>
          <w:lang w:eastAsia="en-US"/>
        </w:rPr>
        <w:t>weighted response rate</w:t>
      </w:r>
      <w:r>
        <w:rPr>
          <w:lang w:eastAsia="en-US"/>
        </w:rPr>
        <w:t>. The weight of each household</w:t>
      </w:r>
      <w:r w:rsidRPr="00CC7E24">
        <w:rPr>
          <w:lang w:eastAsia="en-US"/>
        </w:rPr>
        <w:t xml:space="preserve"> reflects the probability of the household being selected into the sample</w:t>
      </w:r>
      <w:r>
        <w:rPr>
          <w:lang w:eastAsia="en-US"/>
        </w:rPr>
        <w:t>; thus the weighted response rate</w:t>
      </w:r>
      <w:r w:rsidRPr="00CC7E24">
        <w:rPr>
          <w:lang w:eastAsia="en-US"/>
        </w:rPr>
        <w:t xml:space="preserve"> describes the success of the survey in terms of achieving </w:t>
      </w:r>
      <w:r>
        <w:rPr>
          <w:lang w:eastAsia="en-US"/>
        </w:rPr>
        <w:t xml:space="preserve">the </w:t>
      </w:r>
      <w:r w:rsidRPr="00CC7E24">
        <w:rPr>
          <w:lang w:eastAsia="en-US"/>
        </w:rPr>
        <w:t xml:space="preserve">cooperation </w:t>
      </w:r>
      <w:r>
        <w:rPr>
          <w:lang w:eastAsia="en-US"/>
        </w:rPr>
        <w:t>of</w:t>
      </w:r>
      <w:r w:rsidRPr="00CC7E24">
        <w:rPr>
          <w:lang w:eastAsia="en-US"/>
        </w:rPr>
        <w:t xml:space="preserve"> the </w:t>
      </w:r>
      <w:r w:rsidRPr="001B6D3B">
        <w:rPr>
          <w:lang w:eastAsia="en-US"/>
        </w:rPr>
        <w:t>population being measured.</w:t>
      </w:r>
    </w:p>
    <w:p w:rsidR="00DC0A66" w:rsidRPr="00CC7E24" w:rsidRDefault="00DC0A66" w:rsidP="00C53CD9">
      <w:pPr>
        <w:rPr>
          <w:lang w:eastAsia="en-US"/>
        </w:rPr>
      </w:pPr>
    </w:p>
    <w:p w:rsidR="00DC0A66" w:rsidRPr="00CC7E24" w:rsidRDefault="00DC0A66" w:rsidP="00C53CD9">
      <w:pPr>
        <w:rPr>
          <w:lang w:eastAsia="en-US"/>
        </w:rPr>
      </w:pPr>
      <w:r>
        <w:rPr>
          <w:lang w:eastAsia="en-US"/>
        </w:rPr>
        <w:t xml:space="preserve">For adults, the </w:t>
      </w:r>
      <w:r w:rsidRPr="00CC7E24">
        <w:rPr>
          <w:lang w:eastAsia="en-US"/>
        </w:rPr>
        <w:t>response rate calculation</w:t>
      </w:r>
      <w:r>
        <w:rPr>
          <w:lang w:eastAsia="en-US"/>
        </w:rPr>
        <w:t xml:space="preserve"> classifies all selected households into the following four groups</w:t>
      </w:r>
      <w:r w:rsidR="00041F8F">
        <w:rPr>
          <w:lang w:eastAsia="en-US"/>
        </w:rPr>
        <w:t>.</w:t>
      </w:r>
    </w:p>
    <w:p w:rsidR="00DC0A66" w:rsidRPr="00CC7E24" w:rsidRDefault="00DC0A66" w:rsidP="00C53CD9">
      <w:pPr>
        <w:spacing w:before="120"/>
        <w:ind w:left="567" w:hanging="567"/>
        <w:rPr>
          <w:lang w:eastAsia="en-US"/>
        </w:rPr>
      </w:pPr>
      <w:r w:rsidRPr="00CC7E24">
        <w:rPr>
          <w:lang w:eastAsia="en-US"/>
        </w:rPr>
        <w:t>1.</w:t>
      </w:r>
      <w:r w:rsidRPr="00CC7E24">
        <w:rPr>
          <w:lang w:eastAsia="en-US"/>
        </w:rPr>
        <w:tab/>
      </w:r>
      <w:r>
        <w:rPr>
          <w:lang w:eastAsia="en-US"/>
        </w:rPr>
        <w:t>I</w:t>
      </w:r>
      <w:r w:rsidRPr="00CC7E24">
        <w:rPr>
          <w:lang w:eastAsia="en-US"/>
        </w:rPr>
        <w:t>neligibles (</w:t>
      </w:r>
      <w:proofErr w:type="spellStart"/>
      <w:r w:rsidRPr="00CC7E24">
        <w:rPr>
          <w:lang w:eastAsia="en-US"/>
        </w:rPr>
        <w:t>eg</w:t>
      </w:r>
      <w:proofErr w:type="spellEnd"/>
      <w:r w:rsidRPr="00CC7E24">
        <w:rPr>
          <w:lang w:eastAsia="en-US"/>
        </w:rPr>
        <w:t>, vacant sections, vacant dwellings and non-residential dwellings)</w:t>
      </w:r>
      <w:r w:rsidR="00C53CD9">
        <w:rPr>
          <w:lang w:eastAsia="en-US"/>
        </w:rPr>
        <w:t>.</w:t>
      </w:r>
    </w:p>
    <w:p w:rsidR="00DC0A66" w:rsidRPr="00CC7E24" w:rsidRDefault="00DC0A66" w:rsidP="00C53CD9">
      <w:pPr>
        <w:spacing w:before="120"/>
        <w:ind w:left="567" w:hanging="567"/>
        <w:rPr>
          <w:lang w:eastAsia="en-US"/>
        </w:rPr>
      </w:pPr>
      <w:r w:rsidRPr="00CC7E24">
        <w:rPr>
          <w:lang w:eastAsia="en-US"/>
        </w:rPr>
        <w:t>2.</w:t>
      </w:r>
      <w:r w:rsidRPr="00CC7E24">
        <w:rPr>
          <w:lang w:eastAsia="en-US"/>
        </w:rPr>
        <w:tab/>
      </w:r>
      <w:r>
        <w:rPr>
          <w:lang w:eastAsia="en-US"/>
        </w:rPr>
        <w:t>E</w:t>
      </w:r>
      <w:r w:rsidRPr="00CC7E24">
        <w:rPr>
          <w:lang w:eastAsia="en-US"/>
        </w:rPr>
        <w:t>ligible responding (interview conducted, respondent confirmed to be eligible for the survey)</w:t>
      </w:r>
      <w:r w:rsidR="00C53CD9">
        <w:rPr>
          <w:lang w:eastAsia="en-US"/>
        </w:rPr>
        <w:t>.</w:t>
      </w:r>
    </w:p>
    <w:p w:rsidR="00DC0A66" w:rsidRPr="00CC7E24" w:rsidRDefault="00DC0A66" w:rsidP="00C53CD9">
      <w:pPr>
        <w:spacing w:before="120"/>
        <w:ind w:left="567" w:hanging="567"/>
        <w:rPr>
          <w:lang w:eastAsia="en-US"/>
        </w:rPr>
      </w:pPr>
      <w:r w:rsidRPr="00CC7E24">
        <w:rPr>
          <w:lang w:eastAsia="en-US"/>
        </w:rPr>
        <w:t>3.</w:t>
      </w:r>
      <w:r w:rsidRPr="00CC7E24">
        <w:rPr>
          <w:lang w:eastAsia="en-US"/>
        </w:rPr>
        <w:tab/>
      </w:r>
      <w:r>
        <w:rPr>
          <w:lang w:eastAsia="en-US"/>
        </w:rPr>
        <w:t>E</w:t>
      </w:r>
      <w:r w:rsidRPr="00CC7E24">
        <w:rPr>
          <w:lang w:eastAsia="en-US"/>
        </w:rPr>
        <w:t>ligible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r w:rsidR="00C53CD9">
        <w:rPr>
          <w:lang w:eastAsia="en-US"/>
        </w:rPr>
        <w:t>.</w:t>
      </w:r>
    </w:p>
    <w:p w:rsidR="00DC0A66" w:rsidRPr="00CC7E24" w:rsidRDefault="00DC0A66" w:rsidP="00C53CD9">
      <w:pPr>
        <w:spacing w:before="120"/>
        <w:ind w:left="567" w:hanging="567"/>
        <w:rPr>
          <w:lang w:eastAsia="en-US"/>
        </w:rPr>
      </w:pPr>
      <w:r w:rsidRPr="00CC7E24">
        <w:rPr>
          <w:lang w:eastAsia="en-US"/>
        </w:rPr>
        <w:t>4.</w:t>
      </w:r>
      <w:r w:rsidRPr="00CC7E24">
        <w:rPr>
          <w:lang w:eastAsia="en-US"/>
        </w:rPr>
        <w:tab/>
      </w:r>
      <w:r>
        <w:rPr>
          <w:lang w:eastAsia="en-US"/>
        </w:rPr>
        <w:t>U</w:t>
      </w:r>
      <w:r w:rsidRPr="00CC7E24">
        <w:rPr>
          <w:lang w:eastAsia="en-US"/>
        </w:rPr>
        <w:t>nknown eligibility (</w:t>
      </w:r>
      <w:proofErr w:type="spellStart"/>
      <w:r w:rsidRPr="00CC7E24">
        <w:rPr>
          <w:lang w:eastAsia="en-US"/>
        </w:rPr>
        <w:t>eg</w:t>
      </w:r>
      <w:proofErr w:type="spellEnd"/>
      <w:r w:rsidRPr="00CC7E24">
        <w:rPr>
          <w:lang w:eastAsia="en-US"/>
        </w:rPr>
        <w:t>, non-contacts and refusals who provide</w:t>
      </w:r>
      <w:r>
        <w:rPr>
          <w:lang w:eastAsia="en-US"/>
        </w:rPr>
        <w:t>d</w:t>
      </w:r>
      <w:r w:rsidRPr="00CC7E24">
        <w:rPr>
          <w:lang w:eastAsia="en-US"/>
        </w:rPr>
        <w:t xml:space="preserve"> insufficient information to determine eligibility).</w:t>
      </w:r>
    </w:p>
    <w:p w:rsidR="00DC0A66" w:rsidRPr="00CC7E24" w:rsidRDefault="00DC0A66" w:rsidP="00C53CD9">
      <w:pPr>
        <w:rPr>
          <w:lang w:eastAsia="en-US"/>
        </w:rPr>
      </w:pPr>
    </w:p>
    <w:p w:rsidR="00DC0A66" w:rsidRPr="00CC7E24" w:rsidRDefault="00DC0A66" w:rsidP="00C53CD9">
      <w:pPr>
        <w:keepNext/>
        <w:rPr>
          <w:lang w:eastAsia="en-US"/>
        </w:rPr>
      </w:pPr>
      <w:r w:rsidRPr="00CC7E24">
        <w:rPr>
          <w:lang w:eastAsia="en-US"/>
        </w:rPr>
        <w:lastRenderedPageBreak/>
        <w:t>The response rate is calculated as follows:</w:t>
      </w:r>
    </w:p>
    <w:p w:rsidR="00DC0A66" w:rsidRPr="00CC7E24" w:rsidRDefault="00DC0A66" w:rsidP="00C53CD9">
      <w:pPr>
        <w:spacing w:before="60"/>
      </w:pPr>
      <w:r>
        <w:rPr>
          <w:noProof/>
          <w:lang w:eastAsia="en-NZ"/>
        </w:rPr>
        <w:drawing>
          <wp:inline distT="0" distB="0" distL="0" distR="0" wp14:anchorId="2A8C26C1" wp14:editId="5DB7736F">
            <wp:extent cx="5949950" cy="730250"/>
            <wp:effectExtent l="0" t="0" r="0" b="0"/>
            <wp:docPr id="95" name="Picture 1" descr="Calculation of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730250"/>
                    </a:xfrm>
                    <a:prstGeom prst="rect">
                      <a:avLst/>
                    </a:prstGeom>
                    <a:noFill/>
                    <a:ln>
                      <a:noFill/>
                    </a:ln>
                  </pic:spPr>
                </pic:pic>
              </a:graphicData>
            </a:graphic>
          </wp:inline>
        </w:drawing>
      </w:r>
    </w:p>
    <w:p w:rsidR="00DC0A66" w:rsidRPr="00CC7E24" w:rsidRDefault="00DC0A66" w:rsidP="00C53CD9"/>
    <w:p w:rsidR="00DC0A66" w:rsidRPr="00CC7E24" w:rsidRDefault="00DC0A66" w:rsidP="00C53CD9">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r>
        <w:rPr>
          <w:lang w:eastAsia="en-US"/>
        </w:rPr>
        <w:t>is</w:t>
      </w:r>
      <w:r w:rsidRPr="00CC7E24">
        <w:rPr>
          <w:lang w:eastAsia="en-US"/>
        </w:rPr>
        <w:t xml:space="preserve"> likely to have been eligible if contact could have been made. This proportion of the unknowns is therefore treated as eligible non-respond</w:t>
      </w:r>
      <w:r>
        <w:rPr>
          <w:lang w:eastAsia="en-US"/>
        </w:rPr>
        <w:t>ing</w:t>
      </w:r>
      <w:r w:rsidRPr="00CC7E24">
        <w:rPr>
          <w:lang w:eastAsia="en-US"/>
        </w:rPr>
        <w:t>.</w:t>
      </w:r>
    </w:p>
    <w:p w:rsidR="00DC0A66" w:rsidRDefault="00DC0A66" w:rsidP="00C53CD9">
      <w:pPr>
        <w:rPr>
          <w:lang w:eastAsia="en-US"/>
        </w:rPr>
      </w:pPr>
    </w:p>
    <w:p w:rsidR="00DC0A66" w:rsidRDefault="00DC0A66" w:rsidP="00C53CD9">
      <w:pPr>
        <w:rPr>
          <w:lang w:eastAsia="en-US"/>
        </w:rPr>
      </w:pPr>
      <w:r w:rsidRPr="00CC7E24">
        <w:rPr>
          <w:lang w:eastAsia="en-US"/>
        </w:rPr>
        <w:t xml:space="preserve">The estimated number of unknown </w:t>
      </w:r>
      <w:proofErr w:type="spellStart"/>
      <w:r w:rsidRPr="00CC7E24">
        <w:rPr>
          <w:lang w:eastAsia="en-US"/>
        </w:rPr>
        <w:t>eligibles</w:t>
      </w:r>
      <w:proofErr w:type="spellEnd"/>
      <w:r w:rsidRPr="00CC7E24">
        <w:rPr>
          <w:lang w:eastAsia="en-US"/>
        </w:rPr>
        <w:t xml:space="preserve"> is calculated as follows:</w:t>
      </w:r>
    </w:p>
    <w:p w:rsidR="00DC0A66" w:rsidRPr="00CC7E24" w:rsidRDefault="00DC0A66" w:rsidP="00C53CD9">
      <w:pPr>
        <w:spacing w:before="60"/>
      </w:pPr>
      <w:r>
        <w:rPr>
          <w:noProof/>
          <w:lang w:eastAsia="en-NZ"/>
        </w:rPr>
        <w:drawing>
          <wp:inline distT="0" distB="0" distL="0" distR="0" wp14:anchorId="61D44170" wp14:editId="26DF56E8">
            <wp:extent cx="5962650" cy="920750"/>
            <wp:effectExtent l="0" t="0" r="0" b="0"/>
            <wp:docPr id="96" name="Picture 2" descr="estimated number of unknown eligibl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920750"/>
                    </a:xfrm>
                    <a:prstGeom prst="rect">
                      <a:avLst/>
                    </a:prstGeom>
                    <a:noFill/>
                    <a:ln>
                      <a:noFill/>
                    </a:ln>
                  </pic:spPr>
                </pic:pic>
              </a:graphicData>
            </a:graphic>
          </wp:inline>
        </w:drawing>
      </w:r>
    </w:p>
    <w:p w:rsidR="00DC0A66" w:rsidRDefault="00DC0A66" w:rsidP="00C53CD9"/>
    <w:p w:rsidR="00DC0A66" w:rsidRDefault="00DC0A66" w:rsidP="00C53CD9">
      <w:r>
        <w:t xml:space="preserve">The response rate for children is calculated using the same approach as for adults, but </w:t>
      </w:r>
      <w:r w:rsidR="00981544">
        <w:t>‘</w:t>
      </w:r>
      <w:r>
        <w:t>eligible</w:t>
      </w:r>
      <w:r w:rsidR="00981544">
        <w:t>’</w:t>
      </w:r>
      <w:r>
        <w:t xml:space="preserve"> means the household contained at least one child and the definition of </w:t>
      </w:r>
      <w:r w:rsidR="00981544">
        <w:t>‘</w:t>
      </w:r>
      <w:r>
        <w:t>responding</w:t>
      </w:r>
      <w:r w:rsidR="00981544">
        <w:t>’</w:t>
      </w:r>
      <w:r>
        <w:t xml:space="preserve"> is that a child interview was conducted.</w:t>
      </w:r>
    </w:p>
    <w:p w:rsidR="00DC0A66" w:rsidRPr="00CC7E24" w:rsidRDefault="00DC0A66" w:rsidP="00C53CD9"/>
    <w:p w:rsidR="00DC0A66" w:rsidRPr="00CC7E24" w:rsidRDefault="00DC0A66" w:rsidP="00C53CD9">
      <w:pPr>
        <w:pStyle w:val="Heading2"/>
        <w:rPr>
          <w:lang w:eastAsia="en-US"/>
        </w:rPr>
      </w:pPr>
      <w:bookmarkStart w:id="128" w:name="_Toc339270017"/>
      <w:bookmarkStart w:id="129" w:name="_Toc340501939"/>
      <w:bookmarkStart w:id="130" w:name="_Toc372445559"/>
      <w:bookmarkStart w:id="131" w:name="_Toc403044014"/>
      <w:bookmarkStart w:id="132" w:name="_Toc467491531"/>
      <w:bookmarkStart w:id="133" w:name="_Toc467515133"/>
      <w:r w:rsidRPr="00CC7E24">
        <w:rPr>
          <w:lang w:eastAsia="en-US"/>
        </w:rPr>
        <w:t>Coverage rate</w:t>
      </w:r>
      <w:bookmarkEnd w:id="128"/>
      <w:bookmarkEnd w:id="129"/>
      <w:bookmarkEnd w:id="130"/>
      <w:bookmarkEnd w:id="131"/>
      <w:bookmarkEnd w:id="132"/>
      <w:bookmarkEnd w:id="133"/>
    </w:p>
    <w:p w:rsidR="00DC0A66" w:rsidRDefault="00DC0A66" w:rsidP="00C53CD9">
      <w:pPr>
        <w:rPr>
          <w:sz w:val="20"/>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w:t>
      </w:r>
      <w:r>
        <w:rPr>
          <w:lang w:eastAsia="en-US"/>
        </w:rPr>
        <w:t xml:space="preserve">responding </w:t>
      </w:r>
      <w:r w:rsidRPr="00CC7E24">
        <w:rPr>
          <w:lang w:eastAsia="en-US"/>
        </w:rPr>
        <w:t xml:space="preserve">sample (weighted by selection weight) and the population. </w:t>
      </w:r>
      <w:r w:rsidRPr="00CC7E24">
        <w:rPr>
          <w:rFonts w:cs="Arial"/>
          <w:color w:val="000000"/>
          <w:lang w:eastAsia="en-NZ"/>
        </w:rPr>
        <w:t xml:space="preserve">It encompasses the impact of non-response rates but also </w:t>
      </w:r>
      <w:r>
        <w:rPr>
          <w:rFonts w:cs="Arial"/>
          <w:color w:val="000000"/>
          <w:lang w:eastAsia="en-NZ"/>
        </w:rPr>
        <w:t xml:space="preserve">incorporates </w:t>
      </w:r>
      <w:r w:rsidRPr="00CC7E24">
        <w:rPr>
          <w:rFonts w:cs="Arial"/>
          <w:color w:val="000000"/>
          <w:lang w:eastAsia="en-NZ"/>
        </w:rPr>
        <w:t>other factors</w:t>
      </w:r>
      <w:r>
        <w:rPr>
          <w:rFonts w:cs="Arial"/>
          <w:color w:val="000000"/>
          <w:lang w:eastAsia="en-NZ"/>
        </w:rPr>
        <w:t>,</w:t>
      </w:r>
      <w:r w:rsidRPr="00CC7E24">
        <w:rPr>
          <w:rFonts w:cs="Arial"/>
          <w:color w:val="000000"/>
          <w:lang w:eastAsia="en-NZ"/>
        </w:rPr>
        <w:t xml:space="preserve">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w:t>
      </w:r>
      <w:r>
        <w:rPr>
          <w:color w:val="000000"/>
        </w:rPr>
        <w:t>in this way</w:t>
      </w:r>
      <w:r w:rsidRPr="00CC7E24">
        <w:rPr>
          <w:color w:val="000000"/>
        </w:rPr>
        <w:t xml:space="preserve"> contributing to under-coverage</w:t>
      </w:r>
      <w:r w:rsidRPr="00CC7E24">
        <w:t>.</w:t>
      </w:r>
    </w:p>
    <w:p w:rsidR="00DC0A66" w:rsidRDefault="00DC0A66" w:rsidP="00C53CD9"/>
    <w:p w:rsidR="00DC0A66" w:rsidRPr="00CC7E24" w:rsidRDefault="00DC0A66" w:rsidP="00C53CD9">
      <w:pPr>
        <w:rPr>
          <w:lang w:eastAsia="en-US"/>
        </w:rPr>
      </w:pPr>
      <w:r w:rsidRPr="00CC7E24">
        <w:rPr>
          <w:lang w:eastAsia="en-US"/>
        </w:rPr>
        <w:t xml:space="preserve">The coverage rate is defined as the ratio of the sum of the selection weights for the survey </w:t>
      </w:r>
      <w:r>
        <w:rPr>
          <w:lang w:eastAsia="en-US"/>
        </w:rPr>
        <w:t xml:space="preserve">respondents </w:t>
      </w:r>
      <w:r w:rsidRPr="00CC7E24">
        <w:rPr>
          <w:lang w:eastAsia="en-US"/>
        </w:rPr>
        <w:t>to the known external population size.</w:t>
      </w:r>
    </w:p>
    <w:p w:rsidR="00DC0A66" w:rsidRPr="00CC7E24" w:rsidRDefault="00DC0A66" w:rsidP="00C53CD9">
      <w:pPr>
        <w:rPr>
          <w:lang w:eastAsia="en-US"/>
        </w:rPr>
      </w:pPr>
    </w:p>
    <w:p w:rsidR="00DC0A66" w:rsidRPr="00CC7E24" w:rsidRDefault="00DC0A66" w:rsidP="00C53CD9">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w:t>
      </w:r>
      <w:r>
        <w:rPr>
          <w:lang w:eastAsia="en-US"/>
        </w:rPr>
        <w:t>, including by individual characteristics</w:t>
      </w:r>
      <w:r w:rsidRPr="00CC7E24">
        <w:rPr>
          <w:lang w:eastAsia="en-US"/>
        </w:rPr>
        <w:t>. However, definitional or operational differences between the survey scope and the external population size (</w:t>
      </w:r>
      <w:proofErr w:type="spellStart"/>
      <w:r>
        <w:rPr>
          <w:lang w:eastAsia="en-US"/>
        </w:rPr>
        <w:t>eg</w:t>
      </w:r>
      <w:proofErr w:type="spellEnd"/>
      <w:r w:rsidRPr="00CC7E24">
        <w:rPr>
          <w:lang w:eastAsia="en-US"/>
        </w:rPr>
        <w:t>, differing definitions of usual residence)</w:t>
      </w:r>
      <w:r w:rsidRPr="005C5599">
        <w:rPr>
          <w:lang w:eastAsia="en-US"/>
        </w:rPr>
        <w:t xml:space="preserve"> </w:t>
      </w:r>
      <w:r w:rsidRPr="00CC7E24">
        <w:rPr>
          <w:lang w:eastAsia="en-US"/>
        </w:rPr>
        <w:t>will affect the coverage rate. As a result, the response rate is generally used as the primary measure of the survey</w:t>
      </w:r>
      <w:r w:rsidR="00981544">
        <w:rPr>
          <w:lang w:eastAsia="en-US"/>
        </w:rPr>
        <w:t>’</w:t>
      </w:r>
      <w:r w:rsidRPr="00CC7E24">
        <w:rPr>
          <w:lang w:eastAsia="en-US"/>
        </w:rPr>
        <w:t xml:space="preserve">s quality. Some information on the coverage rate is included here to provide more detail on response, particularly response by </w:t>
      </w:r>
      <w:r>
        <w:rPr>
          <w:lang w:eastAsia="en-US"/>
        </w:rPr>
        <w:t xml:space="preserve">ethnicity and </w:t>
      </w:r>
      <w:r w:rsidRPr="00CC7E24">
        <w:rPr>
          <w:lang w:eastAsia="en-US"/>
        </w:rPr>
        <w:t>age group.</w:t>
      </w:r>
    </w:p>
    <w:p w:rsidR="00DC0A66" w:rsidRPr="00CC7E24" w:rsidRDefault="00DC0A66" w:rsidP="00C53CD9">
      <w:pPr>
        <w:rPr>
          <w:lang w:eastAsia="en-US"/>
        </w:rPr>
      </w:pPr>
    </w:p>
    <w:p w:rsidR="00DC0A66" w:rsidRPr="00CC7E24" w:rsidRDefault="00DC0A66" w:rsidP="00C53CD9">
      <w:pPr>
        <w:rPr>
          <w:lang w:eastAsia="en-US"/>
        </w:rPr>
      </w:pPr>
      <w:r w:rsidRPr="00CC7E24">
        <w:rPr>
          <w:lang w:eastAsia="en-US"/>
        </w:rPr>
        <w:t xml:space="preserve">Coverage rates also represent the factor by which the calibrated weighting process </w:t>
      </w:r>
      <w:r>
        <w:rPr>
          <w:lang w:eastAsia="en-US"/>
        </w:rPr>
        <w:t>adjusts</w:t>
      </w:r>
      <w:r w:rsidRPr="00CC7E24">
        <w:rPr>
          <w:lang w:eastAsia="en-US"/>
        </w:rPr>
        <w:t xml:space="preserve"> the selection weights in order to force agreement with </w:t>
      </w:r>
      <w:r>
        <w:rPr>
          <w:lang w:eastAsia="en-US"/>
        </w:rPr>
        <w:t xml:space="preserve">the calibration </w:t>
      </w:r>
      <w:r w:rsidRPr="00CC7E24">
        <w:rPr>
          <w:lang w:eastAsia="en-US"/>
        </w:rPr>
        <w:t>benchmark</w:t>
      </w:r>
      <w:r>
        <w:rPr>
          <w:lang w:eastAsia="en-US"/>
        </w:rPr>
        <w:t>s (see Section 7 for more on calibration)</w:t>
      </w:r>
      <w:r w:rsidRPr="00CC7E24">
        <w:rPr>
          <w:lang w:eastAsia="en-US"/>
        </w:rPr>
        <w:t>.</w:t>
      </w:r>
    </w:p>
    <w:p w:rsidR="00DC0A66" w:rsidRPr="00CC7E24" w:rsidRDefault="00DC0A66" w:rsidP="00C53CD9">
      <w:pPr>
        <w:rPr>
          <w:lang w:eastAsia="en-US"/>
        </w:rPr>
      </w:pPr>
    </w:p>
    <w:p w:rsidR="00DC0A66" w:rsidRDefault="00DC0A66" w:rsidP="00C53CD9">
      <w:r>
        <w:t xml:space="preserve">For </w:t>
      </w:r>
      <w:r w:rsidRPr="00C53CD9">
        <w:t>d</w:t>
      </w:r>
      <w:r w:rsidRPr="00CC7E24">
        <w:t>eta</w:t>
      </w:r>
      <w:r>
        <w:t>ils on the coverage rates in 2015/16, see</w:t>
      </w:r>
      <w:r w:rsidRPr="00CC7E24">
        <w:t xml:space="preserve"> </w:t>
      </w:r>
      <w:r>
        <w:t>S</w:t>
      </w:r>
      <w:r w:rsidRPr="00CC7E24">
        <w:t xml:space="preserve">ection </w:t>
      </w:r>
      <w:r>
        <w:t>9</w:t>
      </w:r>
      <w:r w:rsidRPr="00CC7E24">
        <w:t>.</w:t>
      </w:r>
    </w:p>
    <w:p w:rsidR="00DC0A66" w:rsidRDefault="00DC0A66" w:rsidP="00C53CD9"/>
    <w:p w:rsidR="00DC0A66" w:rsidRPr="00CC7E24" w:rsidRDefault="00DC0A66" w:rsidP="00C53CD9">
      <w:pPr>
        <w:pStyle w:val="Heading1"/>
      </w:pPr>
      <w:bookmarkStart w:id="134" w:name="_Toc467491532"/>
      <w:bookmarkStart w:id="135" w:name="_Toc467515134"/>
      <w:r>
        <w:lastRenderedPageBreak/>
        <w:t>Section 6: Data processing</w:t>
      </w:r>
      <w:bookmarkEnd w:id="134"/>
      <w:bookmarkEnd w:id="135"/>
    </w:p>
    <w:p w:rsidR="00DC0A66" w:rsidRPr="00CC7E24" w:rsidRDefault="00DC0A66" w:rsidP="00C53CD9">
      <w:pPr>
        <w:pStyle w:val="Heading2"/>
      </w:pPr>
      <w:bookmarkStart w:id="136" w:name="_Toc467491533"/>
      <w:bookmarkStart w:id="137" w:name="_Toc467515135"/>
      <w:r w:rsidRPr="00CC7E24">
        <w:t>Captur</w:t>
      </w:r>
      <w:r>
        <w:t>ing</w:t>
      </w:r>
      <w:r w:rsidRPr="00CC7E24">
        <w:t xml:space="preserve"> and coding</w:t>
      </w:r>
      <w:bookmarkEnd w:id="136"/>
      <w:bookmarkEnd w:id="137"/>
    </w:p>
    <w:p w:rsidR="00DC0A66" w:rsidRDefault="00DC0A66" w:rsidP="00C53CD9">
      <w:r w:rsidRPr="00CC7E24">
        <w:t>Questionnaire responses are entered directly on interviewers</w:t>
      </w:r>
      <w:r w:rsidR="00981544">
        <w:t>’</w:t>
      </w:r>
      <w:r w:rsidRPr="00CC7E24">
        <w:t xml:space="preserve"> laptops using </w:t>
      </w:r>
      <w:r>
        <w:t xml:space="preserve">The </w:t>
      </w:r>
      <w:r w:rsidRPr="00CC7E24">
        <w:t>Survey System</w:t>
      </w:r>
      <w:r w:rsidR="00981544">
        <w:t>’</w:t>
      </w:r>
      <w:r>
        <w:t>s</w:t>
      </w:r>
      <w:r w:rsidRPr="00CC7E24">
        <w:t xml:space="preserve"> </w:t>
      </w:r>
      <w:r>
        <w:t>C</w:t>
      </w:r>
      <w:r w:rsidRPr="00CC7E24">
        <w:t>omputer</w:t>
      </w:r>
      <w:r>
        <w:t>-A</w:t>
      </w:r>
      <w:r w:rsidRPr="00CC7E24">
        <w:t xml:space="preserve">ssisted </w:t>
      </w:r>
      <w:r>
        <w:t>P</w:t>
      </w:r>
      <w:r w:rsidRPr="00CC7E24">
        <w:t xml:space="preserve">ersonal </w:t>
      </w:r>
      <w:r>
        <w:t>I</w:t>
      </w:r>
      <w:r w:rsidRPr="00CC7E24">
        <w:t>nterview (CAPI) software.</w:t>
      </w:r>
    </w:p>
    <w:p w:rsidR="00DC0A66" w:rsidRDefault="00DC0A66" w:rsidP="00C53CD9"/>
    <w:p w:rsidR="00DC0A66" w:rsidRPr="00CC7E24" w:rsidRDefault="00DC0A66" w:rsidP="00C53CD9">
      <w:r w:rsidRPr="00CC7E24">
        <w:t>Most questions have single-response options or require discrete numerical responses, such as age at the time of a specific event or the number of visits to a specific medical professional. However, a number of questions allow for multiple responses. For these questions</w:t>
      </w:r>
      <w:r>
        <w:t>,</w:t>
      </w:r>
      <w:r w:rsidRPr="00CC7E24">
        <w:t xml:space="preserve"> all responses are retained, with each response shown as a separate variable on the data file.</w:t>
      </w:r>
    </w:p>
    <w:p w:rsidR="00DC0A66" w:rsidRPr="00CC7E24" w:rsidRDefault="00DC0A66" w:rsidP="00C53CD9"/>
    <w:p w:rsidR="00981544" w:rsidRDefault="00DC0A66" w:rsidP="00C53CD9">
      <w:r w:rsidRPr="00CC7E24">
        <w:t xml:space="preserve">In addition, a number of questions in the questionnaire offer an </w:t>
      </w:r>
      <w:r w:rsidR="00981544">
        <w:t>‘</w:t>
      </w:r>
      <w:r w:rsidRPr="00CC7E24">
        <w:t>other</w:t>
      </w:r>
      <w:r w:rsidR="00981544">
        <w:t>’</w:t>
      </w:r>
      <w:r w:rsidRPr="00CC7E24">
        <w:t xml:space="preserve"> category, where respondents c</w:t>
      </w:r>
      <w:r>
        <w:t>an</w:t>
      </w:r>
      <w:r w:rsidRPr="00CC7E24">
        <w:t xml:space="preserve"> specify non-standard responses. Each </w:t>
      </w:r>
      <w:r w:rsidR="00981544">
        <w:t>‘</w:t>
      </w:r>
      <w:r w:rsidRPr="00CC7E24">
        <w:t>other</w:t>
      </w:r>
      <w:r w:rsidR="00981544">
        <w:t>’</w:t>
      </w:r>
      <w:r w:rsidRPr="00CC7E24">
        <w:t xml:space="preserve"> category response is recorded (in free text).</w:t>
      </w:r>
    </w:p>
    <w:p w:rsidR="00DC0A66" w:rsidRDefault="00DC0A66" w:rsidP="00C53CD9"/>
    <w:p w:rsidR="00DC0A66" w:rsidRDefault="00DC0A66" w:rsidP="00C53CD9">
      <w:r w:rsidRPr="00E747E0">
        <w:t>Ethnicity is self-defined, and respondents are able to report</w:t>
      </w:r>
      <w:r>
        <w:t xml:space="preserve"> their</w:t>
      </w:r>
      <w:r w:rsidRPr="00E747E0">
        <w:t xml:space="preserve"> affiliation with more than one ethnic group using the Statistics New Zealand standard ethnicity question. </w:t>
      </w:r>
      <w:r>
        <w:t>Responses to the ethnicity question are coded to level 3 of the 2005 standard ethnicity classification.</w:t>
      </w:r>
    </w:p>
    <w:p w:rsidR="00DC0A66" w:rsidRPr="00CC7E24" w:rsidRDefault="00DC0A66" w:rsidP="00C53CD9"/>
    <w:p w:rsidR="00DC0A66" w:rsidRPr="00CC7E24" w:rsidRDefault="00DC0A66" w:rsidP="00C53CD9">
      <w:pPr>
        <w:pStyle w:val="Heading2"/>
      </w:pPr>
      <w:bookmarkStart w:id="138" w:name="_Toc467491534"/>
      <w:bookmarkStart w:id="139" w:name="_Toc467515136"/>
      <w:r w:rsidRPr="00CC7E24">
        <w:t>Secur</w:t>
      </w:r>
      <w:r>
        <w:t>ing</w:t>
      </w:r>
      <w:r w:rsidRPr="00CC7E24">
        <w:t xml:space="preserve"> information</w:t>
      </w:r>
      <w:bookmarkEnd w:id="138"/>
      <w:bookmarkEnd w:id="139"/>
    </w:p>
    <w:p w:rsidR="00DC0A66" w:rsidRPr="00CC7E24" w:rsidRDefault="00DC0A66" w:rsidP="00C53CD9">
      <w:r w:rsidRPr="00CC7E24">
        <w:t>Any information collect</w:t>
      </w:r>
      <w:r>
        <w:t>ed</w:t>
      </w:r>
      <w:r w:rsidRPr="00CC7E24">
        <w:t xml:space="preserve"> in the survey that could be used to identify individuals is treated as strictly confidential. Data are transferred daily from interviewers</w:t>
      </w:r>
      <w:r w:rsidR="00981544">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log</w:t>
      </w:r>
      <w:r>
        <w:t>-</w:t>
      </w:r>
      <w:r w:rsidRPr="00CC7E24">
        <w:t>in username</w:t>
      </w:r>
      <w:r>
        <w:t xml:space="preserve"> and </w:t>
      </w:r>
      <w:r w:rsidRPr="00CC7E24">
        <w:t>password.</w:t>
      </w:r>
    </w:p>
    <w:p w:rsidR="00DC0A66" w:rsidRPr="00CC7E24" w:rsidRDefault="00DC0A66" w:rsidP="00C53CD9"/>
    <w:p w:rsidR="00DC0A66" w:rsidRPr="00CC7E24" w:rsidRDefault="00DC0A66" w:rsidP="00C53CD9">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rsidR="00DC0A66" w:rsidRPr="00CC7E24" w:rsidRDefault="00DC0A66" w:rsidP="00C53CD9"/>
    <w:p w:rsidR="00DC0A66" w:rsidRPr="00CC7E24" w:rsidRDefault="00DC0A66" w:rsidP="00C53CD9">
      <w:pPr>
        <w:pStyle w:val="Heading2"/>
      </w:pPr>
      <w:bookmarkStart w:id="140" w:name="_Toc467491535"/>
      <w:bookmarkStart w:id="141" w:name="_Toc467515137"/>
      <w:r w:rsidRPr="00CC7E24">
        <w:t>Checking and editing</w:t>
      </w:r>
      <w:bookmarkEnd w:id="140"/>
      <w:bookmarkEnd w:id="141"/>
    </w:p>
    <w:p w:rsidR="00DC0A66" w:rsidRPr="00CC7E24" w:rsidRDefault="00DC0A66" w:rsidP="00C53CD9">
      <w:r w:rsidRPr="00CC7E24">
        <w:t>CBG and the Ministry both routine</w:t>
      </w:r>
      <w:r>
        <w:t>ly</w:t>
      </w:r>
      <w:r w:rsidRPr="00CC7E24">
        <w:t xml:space="preserve"> check and edit the data throughout the field period of the NZHS. In addition, the final unit record data sets provided to the Ministry are edited for range and logic. Any inconsistencies found are remedied by returning to the interviewer and, if necessary, the respondent for clarification and correction.</w:t>
      </w:r>
    </w:p>
    <w:p w:rsidR="00DC0A66" w:rsidRPr="00CC7E24" w:rsidRDefault="00DC0A66" w:rsidP="00C53CD9"/>
    <w:p w:rsidR="00DC0A66" w:rsidRPr="00CC7E24" w:rsidRDefault="00DC0A66" w:rsidP="00C53CD9">
      <w:pPr>
        <w:pStyle w:val="Heading2"/>
      </w:pPr>
      <w:bookmarkStart w:id="142" w:name="_Toc467491536"/>
      <w:bookmarkStart w:id="143" w:name="_Toc467515138"/>
      <w:r>
        <w:t>Missing data due to non-response</w:t>
      </w:r>
      <w:bookmarkEnd w:id="142"/>
      <w:bookmarkEnd w:id="143"/>
    </w:p>
    <w:p w:rsidR="00DC0A66" w:rsidRPr="00D64AB1" w:rsidRDefault="00DC0A66" w:rsidP="00C53CD9">
      <w:r w:rsidRPr="00D64AB1">
        <w:rPr>
          <w:lang w:eastAsia="en-NZ"/>
        </w:rPr>
        <w:t>Unit non</w:t>
      </w:r>
      <w:r w:rsidR="00195766">
        <w:rPr>
          <w:lang w:eastAsia="en-NZ"/>
        </w:rPr>
        <w:t>-</w:t>
      </w:r>
      <w:r w:rsidRPr="00D64AB1">
        <w:rPr>
          <w:lang w:eastAsia="en-NZ"/>
        </w:rPr>
        <w:t>response is where no response is obtained from the selected household or person; for example if the household is unable to be contacted or declines to participate. Item nonresponse is where the respondent does not provide an answer to some (but not all) questions asked on the questionnaire, usually because they don</w:t>
      </w:r>
      <w:r w:rsidR="00981544">
        <w:rPr>
          <w:lang w:eastAsia="en-NZ"/>
        </w:rPr>
        <w:t>’</w:t>
      </w:r>
      <w:r w:rsidRPr="00D64AB1">
        <w:rPr>
          <w:lang w:eastAsia="en-NZ"/>
        </w:rPr>
        <w:t>t know or refuse to answer.</w:t>
      </w:r>
    </w:p>
    <w:p w:rsidR="00DC0A66" w:rsidRDefault="00DC0A66" w:rsidP="00195766"/>
    <w:p w:rsidR="00DC0A66" w:rsidRDefault="00DC0A66" w:rsidP="00195766">
      <w:r>
        <w:t>Unit n</w:t>
      </w:r>
      <w:r w:rsidRPr="00CC7E24">
        <w:t xml:space="preserve">on-response is adjusted for in the calculation of weights, </w:t>
      </w:r>
      <w:r>
        <w:t>as described in Section 7</w:t>
      </w:r>
      <w:r w:rsidRPr="00CC7E24">
        <w:t>.</w:t>
      </w:r>
      <w:r>
        <w:t xml:space="preserve"> Weighting is also used to adjust for non-response to the measurement phase of the interview.</w:t>
      </w:r>
    </w:p>
    <w:p w:rsidR="00DC0A66" w:rsidRDefault="00DC0A66" w:rsidP="00195766"/>
    <w:p w:rsidR="00DC0A66" w:rsidRDefault="00DC0A66" w:rsidP="00195766">
      <w:r>
        <w:lastRenderedPageBreak/>
        <w:t>A</w:t>
      </w:r>
      <w:r w:rsidRPr="00CC7E24">
        <w:t>lmost all questions have less than 1</w:t>
      </w:r>
      <w:r>
        <w:t> percent item non-responses.</w:t>
      </w:r>
      <w:r w:rsidRPr="00CC7E24">
        <w:t xml:space="preserve"> </w:t>
      </w:r>
      <w:r>
        <w:t>The questions with the most item non-responses are:</w:t>
      </w:r>
    </w:p>
    <w:p w:rsidR="00DC0A66" w:rsidRDefault="00DC0A66" w:rsidP="00195766">
      <w:pPr>
        <w:pStyle w:val="Bullet"/>
      </w:pPr>
      <w:r>
        <w:t>personal income and household income (7.5 percent and 15.0 percent non-respo</w:t>
      </w:r>
      <w:r w:rsidR="00195766">
        <w:t>nse respectively)</w:t>
      </w:r>
    </w:p>
    <w:p w:rsidR="00DC0A66" w:rsidRDefault="00DC0A66" w:rsidP="00195766">
      <w:pPr>
        <w:pStyle w:val="Bullet"/>
      </w:pPr>
      <w:proofErr w:type="gramStart"/>
      <w:r>
        <w:t>questions</w:t>
      </w:r>
      <w:proofErr w:type="gramEnd"/>
      <w:r>
        <w:t xml:space="preserve"> that ask for the cost of the respondent</w:t>
      </w:r>
      <w:r w:rsidR="00981544">
        <w:t>’</w:t>
      </w:r>
      <w:r>
        <w:t>s last GP or nurse visit (around 4–5 percent non-response).</w:t>
      </w:r>
    </w:p>
    <w:p w:rsidR="00DC0A66" w:rsidRDefault="00DC0A66" w:rsidP="00195766"/>
    <w:p w:rsidR="00DC0A66" w:rsidRDefault="00DC0A66" w:rsidP="00195766">
      <w:r>
        <w:t>Item non-response to the income questions was lower for the 2015/16 year</w:t>
      </w:r>
      <w:r w:rsidRPr="00AB6B65">
        <w:t xml:space="preserve"> compared </w:t>
      </w:r>
      <w:r>
        <w:t>with</w:t>
      </w:r>
      <w:r w:rsidRPr="00AB6B65">
        <w:t xml:space="preserve"> the respective figures of 10.3</w:t>
      </w:r>
      <w:r>
        <w:t xml:space="preserve"> percent</w:t>
      </w:r>
      <w:r w:rsidRPr="00AB6B65">
        <w:t xml:space="preserve"> and 20.0</w:t>
      </w:r>
      <w:r>
        <w:t xml:space="preserve"> percent</w:t>
      </w:r>
      <w:r w:rsidRPr="00AB6B65">
        <w:t xml:space="preserve"> reported in the previous year. In 2015/16, the questions on income were improved. A picture show-card was developed to make it easier for respondents to estimate their annual personal income by showing the weekly and fortnightly equivalent of each annual income band. </w:t>
      </w:r>
      <w:r>
        <w:t>Also, t</w:t>
      </w:r>
      <w:r w:rsidRPr="00AB6B65">
        <w:t>he number of response options (income bands) for household income was reduced to make it easier to answer</w:t>
      </w:r>
      <w:r>
        <w:t xml:space="preserve"> the questions.</w:t>
      </w:r>
    </w:p>
    <w:p w:rsidR="00DC0A66" w:rsidRDefault="00DC0A66" w:rsidP="00195766"/>
    <w:p w:rsidR="00DC0A66" w:rsidRPr="00CC7E24" w:rsidRDefault="00DC0A66" w:rsidP="00195766">
      <w:r>
        <w:t>Where a respondent does not provide their date of birth or their age in years, age is imputed as the midpoint of the age group they have provided. No other imputation is used to deal with item non-responses.</w:t>
      </w:r>
    </w:p>
    <w:p w:rsidR="00DC0A66" w:rsidRPr="00CC7E24" w:rsidRDefault="00DC0A66" w:rsidP="00195766"/>
    <w:p w:rsidR="00DC0A66" w:rsidRPr="00CC7E24" w:rsidRDefault="00DC0A66" w:rsidP="00195766">
      <w:pPr>
        <w:pStyle w:val="Heading2"/>
      </w:pPr>
      <w:bookmarkStart w:id="144" w:name="_Toc467491537"/>
      <w:bookmarkStart w:id="145" w:name="_Toc467515139"/>
      <w:r w:rsidRPr="00CC7E24">
        <w:t>Creati</w:t>
      </w:r>
      <w:r>
        <w:t>ng</w:t>
      </w:r>
      <w:r w:rsidRPr="00CC7E24">
        <w:t xml:space="preserve"> derived variables</w:t>
      </w:r>
      <w:bookmarkEnd w:id="144"/>
      <w:bookmarkEnd w:id="145"/>
    </w:p>
    <w:p w:rsidR="00DC0A66" w:rsidRDefault="00DC0A66" w:rsidP="00195766">
      <w:r w:rsidRPr="00CC7E24">
        <w:t xml:space="preserve">A number of derived variables are created on the NZHS data set. </w:t>
      </w:r>
      <w:r>
        <w:t>Many of the d</w:t>
      </w:r>
      <w:r w:rsidRPr="00CC7E24">
        <w:t>erived variables</w:t>
      </w:r>
      <w:r>
        <w:t xml:space="preserve">, </w:t>
      </w:r>
      <w:r w:rsidRPr="00CC7E24">
        <w:t xml:space="preserve">such as </w:t>
      </w:r>
      <w:r>
        <w:t xml:space="preserve">body mass index (BMI), Alcohol Use Disorders Identification Test (AUDIT) and level of psychological distress (K10), </w:t>
      </w:r>
      <w:r w:rsidRPr="00CC7E24">
        <w:t>are based on commonly used or standard definitions</w:t>
      </w:r>
      <w:r>
        <w:t xml:space="preserve"> to enable comparison with other data sources and with other countries</w:t>
      </w:r>
      <w:r w:rsidRPr="00CC7E24">
        <w:t>. Other derived variables</w:t>
      </w:r>
      <w:r>
        <w:t>,</w:t>
      </w:r>
      <w:r w:rsidRPr="00CC7E24">
        <w:t xml:space="preserve"> such as a summary indicator of physical activity level that incorporates information on the intensity, duration and frequency of physical activity</w:t>
      </w:r>
      <w:r>
        <w:t xml:space="preserve">, </w:t>
      </w:r>
      <w:r w:rsidRPr="00CC7E24">
        <w:t xml:space="preserve">are developed specifically for the </w:t>
      </w:r>
      <w:r>
        <w:t>NZHS</w:t>
      </w:r>
      <w:r w:rsidRPr="00CC7E24">
        <w:t>.</w:t>
      </w:r>
    </w:p>
    <w:p w:rsidR="00DC0A66" w:rsidRDefault="00DC0A66" w:rsidP="00195766"/>
    <w:p w:rsidR="00DC0A66" w:rsidRDefault="00DC0A66" w:rsidP="00195766">
      <w:pPr>
        <w:rPr>
          <w:rFonts w:eastAsia="Calibri"/>
          <w:lang w:eastAsia="en-US"/>
        </w:rPr>
      </w:pPr>
      <w:r>
        <w:t xml:space="preserve">See the </w:t>
      </w:r>
      <w:r w:rsidRPr="00891B85">
        <w:rPr>
          <w:i/>
        </w:rPr>
        <w:t>Indicator Interpretation Guide 2015/16: New Zealand Health Survey</w:t>
      </w:r>
      <w:r>
        <w:t xml:space="preserve"> (</w:t>
      </w:r>
      <w:r>
        <w:rPr>
          <w:rFonts w:eastAsia="Calibri"/>
          <w:lang w:eastAsia="en-US"/>
        </w:rPr>
        <w:t>(Ministry of Health 2016c</w:t>
      </w:r>
      <w:r w:rsidRPr="00BD09CB">
        <w:rPr>
          <w:rFonts w:eastAsia="Calibri"/>
          <w:lang w:eastAsia="en-US"/>
        </w:rPr>
        <w:t>)</w:t>
      </w:r>
      <w:r>
        <w:rPr>
          <w:rFonts w:eastAsia="Calibri"/>
          <w:lang w:eastAsia="en-US"/>
        </w:rPr>
        <w:t xml:space="preserve"> for more detailed information on all the indicators used in the NZHS reports.</w:t>
      </w:r>
    </w:p>
    <w:p w:rsidR="00DC0A66" w:rsidRDefault="00DC0A66" w:rsidP="00195766"/>
    <w:p w:rsidR="00DC0A66" w:rsidRDefault="00DC0A66" w:rsidP="00195766">
      <w:pPr>
        <w:pStyle w:val="Heading3"/>
      </w:pPr>
      <w:r>
        <w:t>Outliers</w:t>
      </w:r>
    </w:p>
    <w:p w:rsidR="00DC0A66" w:rsidRDefault="00DC0A66" w:rsidP="00195766">
      <w:r>
        <w:t>Respondents with height and weight measurements that lead to a calculated BMI of less than 10 or greater than 80 are treated as non-respondents to the measurement phase of the interview.</w:t>
      </w:r>
    </w:p>
    <w:p w:rsidR="00DC0A66" w:rsidRDefault="00DC0A66" w:rsidP="00195766"/>
    <w:p w:rsidR="00DC0A66" w:rsidRPr="00CC7E24" w:rsidRDefault="00DC0A66" w:rsidP="00195766">
      <w:r>
        <w:t>Respondents who report more than 112 hours of physical activity per week (an average of 16</w:t>
      </w:r>
      <w:r w:rsidR="00195766">
        <w:t> </w:t>
      </w:r>
      <w:r>
        <w:t>hours per day) are excluded from the derived summary measure of physical activity.</w:t>
      </w:r>
    </w:p>
    <w:p w:rsidR="00DC0A66" w:rsidRPr="00CC7E24" w:rsidRDefault="00DC0A66" w:rsidP="00195766">
      <w:pPr>
        <w:rPr>
          <w:highlight w:val="yellow"/>
        </w:rPr>
      </w:pPr>
    </w:p>
    <w:p w:rsidR="00DC0A66" w:rsidRDefault="00DC0A66" w:rsidP="00195766">
      <w:pPr>
        <w:pStyle w:val="Heading3"/>
        <w:rPr>
          <w:rFonts w:eastAsia="Cambria"/>
          <w:lang w:eastAsia="en-US"/>
        </w:rPr>
      </w:pPr>
      <w:r>
        <w:rPr>
          <w:rFonts w:eastAsia="Cambria"/>
          <w:lang w:eastAsia="en-US"/>
        </w:rPr>
        <w:t>Ethnicity</w:t>
      </w:r>
    </w:p>
    <w:p w:rsidR="00DC0A66" w:rsidRDefault="00DC0A66" w:rsidP="00195766">
      <w:r>
        <w:t xml:space="preserve">Ethnic group variables are derived using the concept of </w:t>
      </w:r>
      <w:r w:rsidRPr="008D080D">
        <w:rPr>
          <w:b/>
        </w:rPr>
        <w:t>total response ethnicity</w:t>
      </w:r>
      <w:r w:rsidRPr="00195766">
        <w:t xml:space="preserve"> </w:t>
      </w:r>
      <w:r w:rsidRPr="00E747E0">
        <w:t xml:space="preserve">(Statistics New Zealand 2005). This means that </w:t>
      </w:r>
      <w:r>
        <w:t xml:space="preserve">respondents can </w:t>
      </w:r>
      <w:r w:rsidRPr="00E747E0">
        <w:t>appear in</w:t>
      </w:r>
      <w:r>
        <w:t>, and contribute to the published statistics for,</w:t>
      </w:r>
      <w:r w:rsidRPr="00E747E0">
        <w:t xml:space="preserve"> more than one ethnic group.</w:t>
      </w:r>
    </w:p>
    <w:p w:rsidR="00DC0A66" w:rsidRDefault="00DC0A66" w:rsidP="00195766"/>
    <w:p w:rsidR="00DC0A66" w:rsidRDefault="00DC0A66" w:rsidP="00195766">
      <w:r>
        <w:t xml:space="preserve">NZHS reports generally provide statistics for the </w:t>
      </w:r>
      <w:r w:rsidRPr="00E747E0">
        <w:t>following four ethnic groups: M</w:t>
      </w:r>
      <w:r>
        <w:t>ā</w:t>
      </w:r>
      <w:r w:rsidRPr="00E747E0">
        <w:t>ori, Pacific</w:t>
      </w:r>
      <w:r>
        <w:t xml:space="preserve"> peoples</w:t>
      </w:r>
      <w:r w:rsidRPr="00E747E0">
        <w:t xml:space="preserve">, Asian and European/Other. The </w:t>
      </w:r>
      <w:r w:rsidR="00981544">
        <w:t>‘</w:t>
      </w:r>
      <w:r w:rsidRPr="00E747E0">
        <w:t>Other</w:t>
      </w:r>
      <w:r w:rsidR="00981544">
        <w:t>’</w:t>
      </w:r>
      <w:r w:rsidRPr="00E747E0">
        <w:t xml:space="preserve"> ethnic group (comprising mainly Middle-Eastern, Latin-American and African ethnicities) has been combined with European to avoid </w:t>
      </w:r>
      <w:r>
        <w:t>problems with small sample sizes</w:t>
      </w:r>
      <w:r w:rsidRPr="00E747E0">
        <w:t>.</w:t>
      </w:r>
    </w:p>
    <w:p w:rsidR="00DC0A66" w:rsidRDefault="00DC0A66" w:rsidP="00195766"/>
    <w:p w:rsidR="00981544" w:rsidRDefault="00DC0A66" w:rsidP="00195766">
      <w:r>
        <w:t>Respondents who don</w:t>
      </w:r>
      <w:r w:rsidR="00981544">
        <w:t>’</w:t>
      </w:r>
      <w:r>
        <w:t xml:space="preserve">t know or refuse to state their ethnicity are included as European/Other, as are those who answer </w:t>
      </w:r>
      <w:r w:rsidR="00981544">
        <w:t>‘</w:t>
      </w:r>
      <w:r>
        <w:t>New Zealander</w:t>
      </w:r>
      <w:r w:rsidR="00981544">
        <w:t>’</w:t>
      </w:r>
      <w:r>
        <w:t>.</w:t>
      </w:r>
    </w:p>
    <w:p w:rsidR="00DC0A66" w:rsidRDefault="00DC0A66" w:rsidP="00195766"/>
    <w:p w:rsidR="00DC0A66" w:rsidRPr="00CC7E24" w:rsidRDefault="00DC0A66" w:rsidP="00195766">
      <w:pPr>
        <w:pStyle w:val="Heading3"/>
      </w:pPr>
      <w:r w:rsidRPr="00CC7E24">
        <w:lastRenderedPageBreak/>
        <w:t>Neighbourhood deprivation</w:t>
      </w:r>
    </w:p>
    <w:p w:rsidR="00DC0A66" w:rsidRPr="00CC7E24" w:rsidRDefault="00DC0A66" w:rsidP="00195766">
      <w:r w:rsidRPr="00CC7E24">
        <w:t>Neighbourhood deprivation refers to the New Z</w:t>
      </w:r>
      <w:r>
        <w:t>ealand Index of Deprivation 2013 (NZDep2013</w:t>
      </w:r>
      <w:r w:rsidRPr="00CC7E24">
        <w:t xml:space="preserve">), </w:t>
      </w:r>
      <w:r>
        <w:t xml:space="preserve">developed by researchers at the University of </w:t>
      </w:r>
      <w:proofErr w:type="spellStart"/>
      <w:r>
        <w:t>Otago</w:t>
      </w:r>
      <w:proofErr w:type="spellEnd"/>
      <w:r>
        <w:t xml:space="preserve"> (Atkinson et al 2014). NZDep2013 </w:t>
      </w:r>
      <w:r w:rsidRPr="00CC7E24">
        <w:t xml:space="preserve">measures the level of socioeconomic deprivation for each neighbourhood </w:t>
      </w:r>
      <w:r w:rsidRPr="002E7089">
        <w:t>(</w:t>
      </w:r>
      <w:proofErr w:type="spellStart"/>
      <w:r w:rsidRPr="002E7089">
        <w:t>meshblock</w:t>
      </w:r>
      <w:proofErr w:type="spellEnd"/>
      <w:r w:rsidRPr="002E7089">
        <w:t>)</w:t>
      </w:r>
      <w:r w:rsidRPr="00CC7E24">
        <w:t xml:space="preserve"> according to a c</w:t>
      </w:r>
      <w:r>
        <w:t>ombination of the following 2013</w:t>
      </w:r>
      <w:r w:rsidRPr="00CC7E24">
        <w:t xml:space="preserve"> Census variables: income, benefit receipt, transport (access to car), household crowding, home ownership, employment status, qualifications, support (sole-parent families) and access to a telephone.</w:t>
      </w:r>
    </w:p>
    <w:p w:rsidR="00DC0A66" w:rsidRPr="00CC7E24" w:rsidRDefault="00DC0A66" w:rsidP="00195766"/>
    <w:p w:rsidR="00DC0A66" w:rsidRDefault="00DC0A66" w:rsidP="00195766">
      <w:r>
        <w:t>NZHS reports generally use NZDep2013</w:t>
      </w:r>
      <w:r w:rsidRPr="00CC7E24">
        <w:t xml:space="preserve"> quintiles</w:t>
      </w:r>
      <w:r>
        <w:t>, where q</w:t>
      </w:r>
      <w:r w:rsidRPr="00CC7E24">
        <w:t>uintile 1 represents the 20</w:t>
      </w:r>
      <w:r>
        <w:t> percent</w:t>
      </w:r>
      <w:r w:rsidRPr="00CC7E24">
        <w:t xml:space="preserve"> of </w:t>
      </w:r>
      <w:r>
        <w:t xml:space="preserve">small </w:t>
      </w:r>
      <w:r w:rsidRPr="00CC7E24">
        <w:t>areas with the lowest levels of deprivation (</w:t>
      </w:r>
      <w:r>
        <w:t xml:space="preserve">the </w:t>
      </w:r>
      <w:r w:rsidRPr="00CC7E24">
        <w:t>least deprived areas) and quintile 5 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rsidR="00DC0A66" w:rsidRDefault="00DC0A66" w:rsidP="00195766"/>
    <w:p w:rsidR="00981544" w:rsidRDefault="00DC0A66" w:rsidP="00195766">
      <w:r w:rsidRPr="002E7089">
        <w:t xml:space="preserve">A small number of </w:t>
      </w:r>
      <w:proofErr w:type="spellStart"/>
      <w:r w:rsidRPr="002E7089">
        <w:t>meshblocks</w:t>
      </w:r>
      <w:proofErr w:type="spellEnd"/>
      <w:r w:rsidRPr="002E7089">
        <w:t xml:space="preserve"> do not have a value for NZDep2013. If any of these </w:t>
      </w:r>
      <w:proofErr w:type="spellStart"/>
      <w:r w:rsidRPr="002E7089">
        <w:t>meshblocks</w:t>
      </w:r>
      <w:proofErr w:type="spellEnd"/>
      <w:r w:rsidRPr="002E7089">
        <w:t xml:space="preserve"> are selected in the NZHS, the respondents are assigned to quintile 3 (</w:t>
      </w:r>
      <w:proofErr w:type="spellStart"/>
      <w:r w:rsidRPr="002E7089">
        <w:t>ie</w:t>
      </w:r>
      <w:proofErr w:type="spellEnd"/>
      <w:r w:rsidRPr="002E7089">
        <w:t>, the middle quintile) for weighting and analysis purposes.</w:t>
      </w:r>
    </w:p>
    <w:p w:rsidR="00195766" w:rsidRDefault="00195766" w:rsidP="00195766"/>
    <w:p w:rsidR="00DC0A66" w:rsidRPr="00CC7E24" w:rsidRDefault="00DC0A66" w:rsidP="00195766">
      <w:pPr>
        <w:pStyle w:val="Heading1"/>
      </w:pPr>
      <w:bookmarkStart w:id="146" w:name="_Toc339270018"/>
      <w:bookmarkStart w:id="147" w:name="_Toc340501940"/>
      <w:bookmarkStart w:id="148" w:name="_Toc372445560"/>
      <w:bookmarkStart w:id="149" w:name="_Toc467491538"/>
      <w:bookmarkStart w:id="150" w:name="_Toc467515140"/>
      <w:r w:rsidRPr="00CC7E24">
        <w:lastRenderedPageBreak/>
        <w:t xml:space="preserve">Section </w:t>
      </w:r>
      <w:r>
        <w:t>7</w:t>
      </w:r>
      <w:r w:rsidRPr="00CC7E24">
        <w:t>: Weighting</w:t>
      </w:r>
      <w:bookmarkEnd w:id="146"/>
      <w:bookmarkEnd w:id="147"/>
      <w:bookmarkEnd w:id="148"/>
      <w:bookmarkEnd w:id="149"/>
      <w:bookmarkEnd w:id="150"/>
    </w:p>
    <w:p w:rsidR="00DC0A66" w:rsidRDefault="00DC0A66" w:rsidP="00402831">
      <w:pPr>
        <w:rPr>
          <w:rFonts w:eastAsia="Cambria"/>
          <w:lang w:eastAsia="en-US"/>
        </w:rPr>
      </w:pPr>
      <w:r w:rsidRPr="00CC7E24">
        <w:t>Weighting of survey data ensures the estimates calculated from th</w:t>
      </w:r>
      <w:r>
        <w:t>ese</w:t>
      </w:r>
      <w:r w:rsidRPr="00CC7E24">
        <w:t xml:space="preserve"> data are representative of the target population.</w:t>
      </w:r>
    </w:p>
    <w:p w:rsidR="00DC0A66"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in particular to</w:t>
      </w:r>
      <w:r w:rsidRPr="00CC7E24">
        <w:rPr>
          <w:rFonts w:eastAsia="Cambria"/>
          <w:lang w:eastAsia="en-US"/>
        </w:rPr>
        <w:t>:</w:t>
      </w:r>
    </w:p>
    <w:p w:rsidR="00DC0A66" w:rsidRPr="00CC7E24" w:rsidRDefault="00DC0A66" w:rsidP="00402831">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w:t>
      </w:r>
    </w:p>
    <w:p w:rsidR="00DC0A66" w:rsidRPr="00CC7E24" w:rsidRDefault="00DC0A66" w:rsidP="00402831">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r w:rsidRPr="00CC7E24">
        <w:rPr>
          <w:rFonts w:eastAsia="Cambria"/>
          <w:lang w:eastAsia="en-US"/>
        </w:rPr>
        <w:t>sufficient sample</w:t>
      </w:r>
      <w:r>
        <w:rPr>
          <w:rFonts w:eastAsia="Cambria"/>
          <w:lang w:eastAsia="en-US"/>
        </w:rPr>
        <w:t xml:space="preserve"> size</w:t>
      </w:r>
      <w:r w:rsidRPr="00CC7E24">
        <w:rPr>
          <w:rFonts w:eastAsia="Cambria"/>
          <w:lang w:eastAsia="en-US"/>
        </w:rPr>
        <w:t xml:space="preserve"> </w:t>
      </w:r>
      <w:r>
        <w:rPr>
          <w:rFonts w:eastAsia="Cambria"/>
          <w:lang w:eastAsia="en-US"/>
        </w:rPr>
        <w:t>for</w:t>
      </w:r>
      <w:r w:rsidRPr="00CC7E24">
        <w:rPr>
          <w:rFonts w:eastAsia="Cambria"/>
          <w:lang w:eastAsia="en-US"/>
        </w:rPr>
        <w:t xml:space="preserve"> adequate estimates</w:t>
      </w:r>
      <w:r>
        <w:rPr>
          <w:rFonts w:eastAsia="Cambria"/>
          <w:lang w:eastAsia="en-US"/>
        </w:rPr>
        <w:t xml:space="preserve"> to be made</w:t>
      </w:r>
    </w:p>
    <w:p w:rsidR="00DC0A66" w:rsidRPr="00CC7E24" w:rsidRDefault="00DC0A66" w:rsidP="00402831">
      <w:pPr>
        <w:pStyle w:val="Bullet"/>
        <w:rPr>
          <w:rFonts w:eastAsia="Cambria"/>
          <w:lang w:eastAsia="en-US"/>
        </w:rPr>
      </w:pPr>
      <w:proofErr w:type="gramStart"/>
      <w:r w:rsidRPr="00CC7E24">
        <w:rPr>
          <w:rFonts w:eastAsia="Cambria"/>
          <w:lang w:eastAsia="en-US"/>
        </w:rPr>
        <w:t>ensur</w:t>
      </w:r>
      <w:r>
        <w:rPr>
          <w:rFonts w:eastAsia="Cambria"/>
          <w:lang w:eastAsia="en-US"/>
        </w:rPr>
        <w:t>e</w:t>
      </w:r>
      <w:proofErr w:type="gramEnd"/>
      <w:r w:rsidRPr="00CC7E24">
        <w:rPr>
          <w:rFonts w:eastAsia="Cambria"/>
          <w:lang w:eastAsia="en-US"/>
        </w:rPr>
        <w:t xml:space="preserve"> </w:t>
      </w:r>
      <w:r>
        <w:rPr>
          <w:rFonts w:eastAsia="Cambria"/>
          <w:lang w:eastAsia="en-US"/>
        </w:rPr>
        <w:t>important</w:t>
      </w:r>
      <w:r w:rsidRPr="00CC7E24">
        <w:rPr>
          <w:rFonts w:eastAsia="Cambria"/>
          <w:lang w:eastAsia="en-US"/>
        </w:rPr>
        <w:t xml:space="preserve"> sub</w:t>
      </w:r>
      <w:r>
        <w:rPr>
          <w:rFonts w:eastAsia="Cambria"/>
          <w:lang w:eastAsia="en-US"/>
        </w:rPr>
        <w:t>-</w:t>
      </w:r>
      <w:r w:rsidRPr="00CC7E24">
        <w:rPr>
          <w:rFonts w:eastAsia="Cambria"/>
          <w:lang w:eastAsia="en-US"/>
        </w:rPr>
        <w:t xml:space="preserve">populations, in particular the Māori, Pacific and Asian </w:t>
      </w:r>
      <w:r>
        <w:rPr>
          <w:rFonts w:eastAsia="Cambria"/>
          <w:lang w:eastAsia="en-US"/>
        </w:rPr>
        <w:t>ethnic groups</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sufficient sample </w:t>
      </w:r>
      <w:r>
        <w:rPr>
          <w:rFonts w:eastAsia="Cambria"/>
          <w:lang w:eastAsia="en-US"/>
        </w:rPr>
        <w:t>size for</w:t>
      </w:r>
      <w:r w:rsidRPr="00CC7E24">
        <w:rPr>
          <w:rFonts w:eastAsia="Cambria"/>
          <w:lang w:eastAsia="en-US"/>
        </w:rPr>
        <w:t xml:space="preserve"> adequate estimates</w:t>
      </w:r>
      <w:r>
        <w:rPr>
          <w:rFonts w:eastAsia="Cambria"/>
          <w:lang w:eastAsia="en-US"/>
        </w:rPr>
        <w:t xml:space="preserve"> to be made</w:t>
      </w:r>
      <w:r w:rsidRPr="00CC7E24">
        <w:rPr>
          <w:rFonts w:eastAsia="Cambria"/>
          <w:lang w:eastAsia="en-US"/>
        </w:rPr>
        <w:t>.</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proofErr w:type="spellStart"/>
      <w:r>
        <w:rPr>
          <w:rFonts w:eastAsia="Cambria"/>
          <w:lang w:eastAsia="en-US"/>
        </w:rPr>
        <w:t>eg</w:t>
      </w:r>
      <w:proofErr w:type="spellEnd"/>
      <w:r w:rsidRPr="00CC7E24">
        <w:rPr>
          <w:rFonts w:eastAsia="Cambria"/>
          <w:lang w:eastAsia="en-US"/>
        </w:rPr>
        <w:t>, young men) are usually assigned a higher weight so that these groups are correctly represented in all estimates from the survey.</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The NZHS uses the calibrated weighting method to:</w:t>
      </w:r>
    </w:p>
    <w:p w:rsidR="00DC0A66" w:rsidRPr="00CC7E24" w:rsidRDefault="00DC0A66" w:rsidP="00402831">
      <w:pPr>
        <w:pStyle w:val="Bullet"/>
        <w:rPr>
          <w:rFonts w:eastAsia="Cambria"/>
          <w:lang w:eastAsia="en-US"/>
        </w:rPr>
      </w:pPr>
      <w:r w:rsidRPr="00CC7E24">
        <w:rPr>
          <w:rFonts w:eastAsia="Cambria"/>
          <w:lang w:eastAsia="en-US"/>
        </w:rPr>
        <w:t>reflect the probabilities of selecti</w:t>
      </w:r>
      <w:r>
        <w:rPr>
          <w:rFonts w:eastAsia="Cambria"/>
          <w:lang w:eastAsia="en-US"/>
        </w:rPr>
        <w:t xml:space="preserve">ng </w:t>
      </w:r>
      <w:r w:rsidRPr="00CC7E24">
        <w:rPr>
          <w:rFonts w:eastAsia="Cambria"/>
          <w:lang w:eastAsia="en-US"/>
        </w:rPr>
        <w:t>each respondent</w:t>
      </w:r>
    </w:p>
    <w:p w:rsidR="00DC0A66" w:rsidRPr="00CC7E24" w:rsidRDefault="00DC0A66" w:rsidP="00402831">
      <w:pPr>
        <w:pStyle w:val="Bullet"/>
        <w:rPr>
          <w:rFonts w:eastAsia="Cambria"/>
          <w:lang w:eastAsia="en-US"/>
        </w:rPr>
      </w:pPr>
      <w:proofErr w:type="gramStart"/>
      <w:r w:rsidRPr="00CC7E24">
        <w:rPr>
          <w:rFonts w:eastAsia="Cambria"/>
          <w:lang w:eastAsia="en-US"/>
        </w:rPr>
        <w:t>make</w:t>
      </w:r>
      <w:proofErr w:type="gramEnd"/>
      <w:r w:rsidRPr="00CC7E24">
        <w:rPr>
          <w:rFonts w:eastAsia="Cambria"/>
          <w:lang w:eastAsia="en-US"/>
        </w:rPr>
        <w:t xml:space="preserve"> use of external population benchmarks (typically </w:t>
      </w:r>
      <w:r>
        <w:rPr>
          <w:rFonts w:eastAsia="Cambria"/>
          <w:lang w:eastAsia="en-US"/>
        </w:rPr>
        <w:t>based on the</w:t>
      </w:r>
      <w:r w:rsidRPr="00CC7E24">
        <w:rPr>
          <w:rFonts w:eastAsia="Cambria"/>
          <w:lang w:eastAsia="en-US"/>
        </w:rPr>
        <w:t xml:space="preserve"> population </w:t>
      </w:r>
      <w:r>
        <w:rPr>
          <w:rFonts w:eastAsia="Cambria"/>
          <w:lang w:eastAsia="en-US"/>
        </w:rPr>
        <w:t>c</w:t>
      </w:r>
      <w:r w:rsidRPr="00CC7E24">
        <w:rPr>
          <w:rFonts w:eastAsia="Cambria"/>
          <w:lang w:eastAsia="en-US"/>
        </w:rPr>
        <w:t>ensus) to correct for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non-response.</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Pr>
          <w:rFonts w:eastAsia="Cambria"/>
          <w:lang w:eastAsia="en-US"/>
        </w:rPr>
        <w:t>Data from each calendar quarter of t</w:t>
      </w:r>
      <w:r w:rsidRPr="00CC7E24">
        <w:rPr>
          <w:rFonts w:eastAsia="Cambria"/>
          <w:lang w:eastAsia="en-US"/>
        </w:rPr>
        <w:t>he NZHS data</w:t>
      </w:r>
      <w:r>
        <w:rPr>
          <w:rFonts w:eastAsia="Cambria"/>
          <w:lang w:eastAsia="en-US"/>
        </w:rPr>
        <w:t xml:space="preserve"> </w:t>
      </w:r>
      <w:r w:rsidRPr="00CC7E24">
        <w:rPr>
          <w:rFonts w:eastAsia="Cambria"/>
          <w:lang w:eastAsia="en-US"/>
        </w:rPr>
        <w:t xml:space="preserve">set </w:t>
      </w:r>
      <w:r>
        <w:rPr>
          <w:rFonts w:eastAsia="Cambria"/>
          <w:lang w:eastAsia="en-US"/>
        </w:rPr>
        <w:t>are</w:t>
      </w:r>
      <w:r w:rsidRPr="00CC7E24">
        <w:rPr>
          <w:rFonts w:eastAsia="Cambria"/>
          <w:lang w:eastAsia="en-US"/>
        </w:rPr>
        <w:t xml:space="preserve"> weighted separately </w:t>
      </w:r>
      <w:r>
        <w:rPr>
          <w:rFonts w:eastAsia="Cambria"/>
          <w:lang w:eastAsia="en-US"/>
        </w:rPr>
        <w:t>to</w:t>
      </w:r>
      <w:r w:rsidRPr="00CC7E24">
        <w:rPr>
          <w:rFonts w:eastAsia="Cambria"/>
          <w:lang w:eastAsia="en-US"/>
        </w:rPr>
        <w:t xml:space="preserve"> population benchmarks</w:t>
      </w:r>
      <w:r>
        <w:rPr>
          <w:rFonts w:eastAsia="Cambria"/>
          <w:lang w:eastAsia="en-US"/>
        </w:rPr>
        <w:t xml:space="preserve"> for that quarter</w:t>
      </w:r>
      <w:r w:rsidRPr="00CC7E24">
        <w:rPr>
          <w:rFonts w:eastAsia="Cambria"/>
          <w:lang w:eastAsia="en-US"/>
        </w:rPr>
        <w:t>. This means that each quarter</w:t>
      </w:r>
      <w:r w:rsidR="00981544">
        <w:rPr>
          <w:rFonts w:eastAsia="Cambria"/>
          <w:lang w:eastAsia="en-US"/>
        </w:rPr>
        <w:t>’</w:t>
      </w:r>
      <w:r>
        <w:rPr>
          <w:rFonts w:eastAsia="Cambria"/>
          <w:lang w:eastAsia="en-US"/>
        </w:rPr>
        <w:t>s data</w:t>
      </w:r>
      <w:r w:rsidRPr="00CC7E24">
        <w:rPr>
          <w:rFonts w:eastAsia="Cambria"/>
          <w:lang w:eastAsia="en-US"/>
        </w:rPr>
        <w:t xml:space="preserve"> can be used to produce valid population estimates.</w:t>
      </w:r>
    </w:p>
    <w:p w:rsidR="00DC0A66" w:rsidRPr="00CC7E24" w:rsidRDefault="00DC0A66" w:rsidP="00402831">
      <w:pPr>
        <w:rPr>
          <w:rFonts w:eastAsia="Cambria"/>
          <w:lang w:eastAsia="en-US"/>
        </w:rPr>
      </w:pPr>
    </w:p>
    <w:p w:rsidR="00DC0A66" w:rsidRPr="00CC7E24" w:rsidRDefault="00DC0A66" w:rsidP="00402831">
      <w:pPr>
        <w:pStyle w:val="Heading2"/>
        <w:rPr>
          <w:lang w:eastAsia="en-US"/>
        </w:rPr>
      </w:pPr>
      <w:bookmarkStart w:id="151" w:name="_Toc339270019"/>
      <w:bookmarkStart w:id="152" w:name="_Toc340501941"/>
      <w:bookmarkStart w:id="153" w:name="_Toc372445561"/>
      <w:bookmarkStart w:id="154" w:name="_Toc467491539"/>
      <w:bookmarkStart w:id="155" w:name="_Toc467515141"/>
      <w:r w:rsidRPr="00CC7E24">
        <w:rPr>
          <w:lang w:eastAsia="en-US"/>
        </w:rPr>
        <w:t>Calculati</w:t>
      </w:r>
      <w:r>
        <w:rPr>
          <w:lang w:eastAsia="en-US"/>
        </w:rPr>
        <w:t>ng</w:t>
      </w:r>
      <w:r w:rsidRPr="00CC7E24">
        <w:rPr>
          <w:lang w:eastAsia="en-US"/>
        </w:rPr>
        <w:t xml:space="preserve"> selection weights</w:t>
      </w:r>
      <w:bookmarkEnd w:id="151"/>
      <w:bookmarkEnd w:id="152"/>
      <w:bookmarkEnd w:id="153"/>
      <w:bookmarkEnd w:id="154"/>
      <w:bookmarkEnd w:id="155"/>
    </w:p>
    <w:p w:rsidR="00981544" w:rsidRDefault="00DC0A66" w:rsidP="00402831">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w:t>
      </w:r>
      <w:r>
        <w:rPr>
          <w:rFonts w:eastAsia="Cambria"/>
          <w:lang w:eastAsia="en-US"/>
        </w:rPr>
        <w:t xml:space="preserve">and hence </w:t>
      </w:r>
      <w:r w:rsidRPr="00CC7E24">
        <w:rPr>
          <w:rFonts w:eastAsia="Cambria"/>
          <w:lang w:eastAsia="en-US"/>
        </w:rPr>
        <w:t>selection weight) for each respondent.</w:t>
      </w:r>
      <w:r>
        <w:rPr>
          <w:rFonts w:eastAsia="Cambria"/>
          <w:lang w:eastAsia="en-US"/>
        </w:rPr>
        <w:t xml:space="preserve"> It is crucial to calculate selection weights correctly to avoid bias in the final calibrated estimators.</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Pr>
          <w:rFonts w:eastAsia="Cambria"/>
          <w:lang w:eastAsia="en-US"/>
        </w:rPr>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rsidR="00DC0A66" w:rsidRPr="00CC7E24" w:rsidRDefault="00DC0A66" w:rsidP="00402831">
      <w:pPr>
        <w:rPr>
          <w:rFonts w:eastAsia="Cambria"/>
          <w:lang w:eastAsia="en-US"/>
        </w:rPr>
      </w:pPr>
    </w:p>
    <w:p w:rsidR="00DC0A66" w:rsidRPr="005F6B91" w:rsidRDefault="00DC0A66" w:rsidP="00402831">
      <w:pPr>
        <w:pStyle w:val="Heading3"/>
        <w:rPr>
          <w:rFonts w:eastAsia="Cambria"/>
          <w:lang w:eastAsia="en-US"/>
        </w:rPr>
      </w:pPr>
      <w:r w:rsidRPr="005F6B91">
        <w:rPr>
          <w:rFonts w:eastAsia="Cambria"/>
          <w:lang w:eastAsia="en-US"/>
        </w:rPr>
        <w:lastRenderedPageBreak/>
        <w:t>Area-based sample</w:t>
      </w:r>
    </w:p>
    <w:p w:rsidR="00DC0A66" w:rsidRPr="005F6B91" w:rsidRDefault="00DC0A66" w:rsidP="00402831">
      <w:pPr>
        <w:pStyle w:val="Bullet"/>
        <w:rPr>
          <w:rFonts w:eastAsia="Cambria"/>
          <w:lang w:eastAsia="en-US"/>
        </w:rPr>
      </w:pPr>
      <w:r w:rsidRPr="005F6B91">
        <w:rPr>
          <w:rFonts w:eastAsia="Cambria"/>
          <w:lang w:eastAsia="en-US"/>
        </w:rPr>
        <w:t xml:space="preserve">The probability of a PSU </w:t>
      </w:r>
      <w:proofErr w:type="spellStart"/>
      <w:r w:rsidRPr="005F6B91">
        <w:rPr>
          <w:rFonts w:eastAsia="Cambria"/>
          <w:i/>
          <w:lang w:eastAsia="en-US"/>
        </w:rPr>
        <w:t>i</w:t>
      </w:r>
      <w:proofErr w:type="spellEnd"/>
      <w:r w:rsidRPr="005F6B91">
        <w:rPr>
          <w:rFonts w:eastAsia="Cambria"/>
          <w:lang w:eastAsia="en-US"/>
        </w:rPr>
        <w:t xml:space="preserve"> being selected in the area-based sample (A) is written as </w:t>
      </w:r>
      <w:r w:rsidRPr="005F6B91">
        <w:rPr>
          <w:rFonts w:ascii="Symbol" w:hAnsi="Symbol"/>
          <w:i/>
        </w:rPr>
        <w:t></w:t>
      </w:r>
      <w:r w:rsidRPr="005F6B91">
        <w:rPr>
          <w:i/>
          <w:vertAlign w:val="subscript"/>
        </w:rPr>
        <w:t>Ai</w:t>
      </w:r>
      <w:r w:rsidRPr="005F6B91">
        <w:rPr>
          <w:rFonts w:eastAsia="Cambria"/>
          <w:lang w:eastAsia="en-US"/>
        </w:rPr>
        <w:t xml:space="preserve">. The values of </w:t>
      </w:r>
      <w:r w:rsidRPr="005F6B91">
        <w:rPr>
          <w:rFonts w:ascii="Symbol" w:hAnsi="Symbol"/>
          <w:i/>
        </w:rPr>
        <w:t></w:t>
      </w:r>
      <w:r w:rsidRPr="005F6B91">
        <w:rPr>
          <w:i/>
          <w:vertAlign w:val="subscript"/>
        </w:rPr>
        <w:t>Ai</w:t>
      </w:r>
      <w:r w:rsidRPr="005F6B91">
        <w:rPr>
          <w:rFonts w:eastAsia="Cambria"/>
          <w:i/>
          <w:lang w:eastAsia="en-US"/>
        </w:rPr>
        <w:t xml:space="preserve"> </w:t>
      </w:r>
      <w:r w:rsidRPr="005F6B91">
        <w:rPr>
          <w:rFonts w:eastAsia="Cambria"/>
          <w:lang w:eastAsia="en-US"/>
        </w:rPr>
        <w:t>are greater than 0 for all PSUs in the survey population.</w:t>
      </w:r>
    </w:p>
    <w:p w:rsidR="00DC0A66" w:rsidRPr="005F6B91" w:rsidRDefault="00DC0A66" w:rsidP="00402831">
      <w:pPr>
        <w:pStyle w:val="Bullet"/>
        <w:rPr>
          <w:rFonts w:eastAsia="Cambria"/>
          <w:lang w:eastAsia="en-US"/>
        </w:rPr>
      </w:pPr>
      <w:r w:rsidRPr="005F6B91">
        <w:rPr>
          <w:rFonts w:eastAsia="Cambria"/>
          <w:lang w:eastAsia="en-US"/>
        </w:rPr>
        <w:t xml:space="preserve">The probability of a dwelling being selected from a selected PSU </w:t>
      </w:r>
      <w:proofErr w:type="spellStart"/>
      <w:r w:rsidRPr="005F6B91">
        <w:rPr>
          <w:rFonts w:eastAsia="Cambria"/>
          <w:i/>
          <w:lang w:eastAsia="en-US"/>
        </w:rPr>
        <w:t>i</w:t>
      </w:r>
      <w:proofErr w:type="spellEnd"/>
      <w:r w:rsidRPr="005F6B91">
        <w:rPr>
          <w:rFonts w:eastAsia="Cambria"/>
          <w:lang w:eastAsia="en-US"/>
        </w:rPr>
        <w:t xml:space="preserve"> in the area sample is 1/</w:t>
      </w:r>
      <w:proofErr w:type="spellStart"/>
      <w:r w:rsidRPr="005F6B91">
        <w:rPr>
          <w:rFonts w:eastAsia="Cambria"/>
          <w:i/>
          <w:lang w:eastAsia="en-US"/>
        </w:rPr>
        <w:t>k</w:t>
      </w:r>
      <w:r w:rsidRPr="005F6B91">
        <w:rPr>
          <w:rFonts w:eastAsia="Cambria"/>
          <w:i/>
          <w:vertAlign w:val="subscript"/>
          <w:lang w:eastAsia="en-US"/>
        </w:rPr>
        <w:t>Ai</w:t>
      </w:r>
      <w:proofErr w:type="spellEnd"/>
      <w:r w:rsidRPr="005F6B91">
        <w:rPr>
          <w:rFonts w:eastAsia="Cambria"/>
          <w:lang w:eastAsia="en-US"/>
        </w:rPr>
        <w:t xml:space="preserve">, where </w:t>
      </w:r>
      <w:proofErr w:type="spellStart"/>
      <w:r w:rsidRPr="005F6B91">
        <w:rPr>
          <w:rFonts w:eastAsia="Cambria"/>
          <w:i/>
          <w:lang w:eastAsia="en-US"/>
        </w:rPr>
        <w:t>k</w:t>
      </w:r>
      <w:r w:rsidRPr="005F6B91">
        <w:rPr>
          <w:rFonts w:eastAsia="Cambria"/>
          <w:i/>
          <w:vertAlign w:val="subscript"/>
          <w:lang w:eastAsia="en-US"/>
        </w:rPr>
        <w:t>Ai</w:t>
      </w:r>
      <w:proofErr w:type="spellEnd"/>
      <w:r w:rsidRPr="005F6B91">
        <w:rPr>
          <w:rFonts w:eastAsia="Cambria"/>
          <w:lang w:eastAsia="en-US"/>
        </w:rPr>
        <w:t xml:space="preserve"> is a skip assigned to each PSU on the frame.</w:t>
      </w:r>
    </w:p>
    <w:p w:rsidR="00DC0A66" w:rsidRPr="005F6B91" w:rsidRDefault="00DC0A66" w:rsidP="00402831">
      <w:pPr>
        <w:pStyle w:val="Bullet"/>
        <w:rPr>
          <w:rFonts w:eastAsia="Cambria"/>
          <w:lang w:eastAsia="en-US"/>
        </w:rPr>
      </w:pPr>
      <w:r w:rsidRPr="005F6B91">
        <w:rPr>
          <w:rFonts w:eastAsia="Cambria"/>
          <w:lang w:eastAsia="en-US"/>
        </w:rPr>
        <w:t xml:space="preserve">The probability of any particular adult being selected from a selected dwelling </w:t>
      </w:r>
      <w:r w:rsidRPr="005F6B91">
        <w:rPr>
          <w:rFonts w:eastAsia="Cambria"/>
          <w:i/>
          <w:lang w:eastAsia="en-US"/>
        </w:rPr>
        <w:t>j</w:t>
      </w:r>
      <w:r w:rsidRPr="005F6B91">
        <w:rPr>
          <w:rFonts w:eastAsia="Cambria"/>
          <w:lang w:eastAsia="en-US"/>
        </w:rPr>
        <w:t xml:space="preserve"> in a selected PSU </w:t>
      </w:r>
      <w:proofErr w:type="spellStart"/>
      <w:r w:rsidRPr="005F6B91">
        <w:rPr>
          <w:rFonts w:eastAsia="Cambria"/>
          <w:i/>
          <w:lang w:eastAsia="en-US"/>
        </w:rPr>
        <w:t>i</w:t>
      </w:r>
      <w:proofErr w:type="spellEnd"/>
      <w:r w:rsidRPr="005F6B91">
        <w:rPr>
          <w:rFonts w:eastAsia="Cambria"/>
          <w:lang w:eastAsia="en-US"/>
        </w:rPr>
        <w:t xml:space="preserve"> is then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xml:space="preserve">, where </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xml:space="preserve"> is the number of adults in the dwelling. Similarly, the probability of any particular child (if any in the household) being selected is 1/</w:t>
      </w:r>
      <w:proofErr w:type="spellStart"/>
      <w:proofErr w:type="gram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w:t>
      </w:r>
      <w:proofErr w:type="gramEnd"/>
      <w:r w:rsidRPr="005F6B91">
        <w:rPr>
          <w:rFonts w:eastAsia="Cambria"/>
          <w:vertAlign w:val="subscript"/>
          <w:lang w:eastAsia="en-US"/>
        </w:rPr>
        <w:t>child)</w:t>
      </w:r>
      <w:r w:rsidRPr="005F6B91">
        <w:rPr>
          <w:rFonts w:eastAsia="Cambria"/>
          <w:lang w:eastAsia="en-US"/>
        </w:rPr>
        <w:t xml:space="preserve">, where </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(child)</w:t>
      </w:r>
      <w:r w:rsidRPr="005F6B91">
        <w:rPr>
          <w:rFonts w:eastAsia="Cambria"/>
          <w:lang w:eastAsia="en-US"/>
        </w:rPr>
        <w:t xml:space="preserve"> is the number of children in the dwelling.</w:t>
      </w:r>
    </w:p>
    <w:p w:rsidR="00DC0A66" w:rsidRPr="005F6B91" w:rsidRDefault="00DC0A66" w:rsidP="00402831">
      <w:pPr>
        <w:rPr>
          <w:rFonts w:eastAsia="Cambria"/>
          <w:lang w:eastAsia="en-US"/>
        </w:rPr>
      </w:pPr>
    </w:p>
    <w:p w:rsidR="00DC0A66" w:rsidRPr="005F6B91" w:rsidRDefault="00DC0A66" w:rsidP="00402831">
      <w:pPr>
        <w:pStyle w:val="Heading3"/>
        <w:rPr>
          <w:rFonts w:eastAsia="Cambria"/>
          <w:lang w:eastAsia="en-US"/>
        </w:rPr>
      </w:pPr>
      <w:r w:rsidRPr="005F6B91">
        <w:rPr>
          <w:rFonts w:eastAsia="Cambria"/>
          <w:lang w:eastAsia="en-US"/>
        </w:rPr>
        <w:t>Electoral roll sample</w:t>
      </w:r>
    </w:p>
    <w:p w:rsidR="00DC0A66" w:rsidRPr="005F6B91" w:rsidRDefault="00DC0A66" w:rsidP="00402831">
      <w:pPr>
        <w:pStyle w:val="Bullet"/>
        <w:rPr>
          <w:rFonts w:eastAsia="Cambria"/>
          <w:lang w:eastAsia="en-US"/>
        </w:rPr>
      </w:pPr>
      <w:r w:rsidRPr="005F6B91">
        <w:rPr>
          <w:rFonts w:eastAsia="Cambria"/>
          <w:lang w:eastAsia="en-US"/>
        </w:rPr>
        <w:t xml:space="preserve">The probability of a PSU </w:t>
      </w:r>
      <w:proofErr w:type="spellStart"/>
      <w:r w:rsidRPr="005F6B91">
        <w:rPr>
          <w:rFonts w:eastAsia="Cambria"/>
          <w:i/>
          <w:lang w:eastAsia="en-US"/>
        </w:rPr>
        <w:t>i</w:t>
      </w:r>
      <w:proofErr w:type="spellEnd"/>
      <w:r w:rsidRPr="005F6B91">
        <w:rPr>
          <w:rFonts w:eastAsia="Cambria"/>
          <w:lang w:eastAsia="en-US"/>
        </w:rPr>
        <w:t xml:space="preserve"> being selected in the electoral roll sample (R) is written as </w:t>
      </w:r>
      <w:r w:rsidRPr="005F6B91">
        <w:rPr>
          <w:rFonts w:ascii="Symbol" w:hAnsi="Symbol"/>
          <w:i/>
        </w:rPr>
        <w:t></w:t>
      </w:r>
      <w:proofErr w:type="spellStart"/>
      <w:r w:rsidRPr="005F6B91">
        <w:rPr>
          <w:i/>
          <w:vertAlign w:val="subscript"/>
        </w:rPr>
        <w:t>Ri</w:t>
      </w:r>
      <w:proofErr w:type="spellEnd"/>
      <w:r w:rsidRPr="005F6B91">
        <w:rPr>
          <w:rFonts w:eastAsia="Cambria"/>
          <w:lang w:eastAsia="en-US"/>
        </w:rPr>
        <w:t xml:space="preserve">. The values of </w:t>
      </w:r>
      <w:r w:rsidRPr="005F6B91">
        <w:rPr>
          <w:rFonts w:ascii="Symbol" w:hAnsi="Symbol"/>
          <w:i/>
        </w:rPr>
        <w:t></w:t>
      </w:r>
      <w:proofErr w:type="spellStart"/>
      <w:r w:rsidRPr="005F6B91">
        <w:rPr>
          <w:i/>
          <w:vertAlign w:val="subscript"/>
        </w:rPr>
        <w:t>Ri</w:t>
      </w:r>
      <w:proofErr w:type="spellEnd"/>
      <w:r w:rsidRPr="005F6B91">
        <w:rPr>
          <w:rFonts w:eastAsia="Cambria"/>
          <w:lang w:eastAsia="en-US"/>
        </w:rPr>
        <w:t xml:space="preserve"> are 0 for some PSUs (those with fewer than three households with residents who registered M</w:t>
      </w:r>
      <w:r w:rsidRPr="005F6B91">
        <w:rPr>
          <w:rFonts w:eastAsia="Cambria" w:cs="Arial"/>
          <w:lang w:eastAsia="en-US"/>
        </w:rPr>
        <w:t>ā</w:t>
      </w:r>
      <w:r w:rsidRPr="005F6B91">
        <w:rPr>
          <w:rFonts w:eastAsia="Cambria"/>
          <w:lang w:eastAsia="en-US"/>
        </w:rPr>
        <w:t>ori descent on the electoral roll snapshot used in the sample design for that year).</w:t>
      </w:r>
    </w:p>
    <w:p w:rsidR="00DC0A66" w:rsidRPr="005F6B91" w:rsidRDefault="00DC0A66" w:rsidP="00402831">
      <w:pPr>
        <w:pStyle w:val="Bullet"/>
        <w:rPr>
          <w:rFonts w:eastAsia="Cambria"/>
          <w:lang w:eastAsia="en-US"/>
        </w:rPr>
      </w:pPr>
      <w:r w:rsidRPr="005F6B91">
        <w:rPr>
          <w:rFonts w:eastAsia="Cambria"/>
          <w:lang w:eastAsia="en-US"/>
        </w:rPr>
        <w:t xml:space="preserve">Dwellings are eligible for selection in the electoral roll sample if they have at least one adult registered </w:t>
      </w:r>
      <w:r>
        <w:rPr>
          <w:rFonts w:eastAsia="Cambria"/>
          <w:lang w:eastAsia="en-US"/>
        </w:rPr>
        <w:t xml:space="preserve">as being of </w:t>
      </w:r>
      <w:r w:rsidRPr="005F6B91">
        <w:rPr>
          <w:rFonts w:eastAsia="Cambria"/>
          <w:lang w:eastAsia="en-US"/>
        </w:rPr>
        <w:t>M</w:t>
      </w:r>
      <w:r w:rsidRPr="005F6B91">
        <w:rPr>
          <w:rFonts w:eastAsia="Cambria" w:cs="Arial"/>
          <w:lang w:eastAsia="en-US"/>
        </w:rPr>
        <w:t>ā</w:t>
      </w:r>
      <w:r w:rsidRPr="005F6B91">
        <w:rPr>
          <w:rFonts w:eastAsia="Cambria"/>
          <w:lang w:eastAsia="en-US"/>
        </w:rPr>
        <w:t>ori descent in the electoral roll snapshot extracted for the enumeration quarter. (</w:t>
      </w:r>
      <w:proofErr w:type="spellStart"/>
      <w:r w:rsidRPr="005F6B91">
        <w:rPr>
          <w:rFonts w:eastAsia="Cambria"/>
          <w:i/>
          <w:lang w:eastAsia="en-US"/>
        </w:rPr>
        <w:t>E</w:t>
      </w:r>
      <w:r w:rsidRPr="005F6B91">
        <w:rPr>
          <w:rFonts w:eastAsia="Cambria"/>
          <w:i/>
          <w:vertAlign w:val="subscript"/>
          <w:lang w:eastAsia="en-US"/>
        </w:rPr>
        <w:t>ij</w:t>
      </w:r>
      <w:proofErr w:type="spellEnd"/>
      <w:r w:rsidRPr="005F6B91">
        <w:rPr>
          <w:rFonts w:eastAsia="Cambria"/>
          <w:vertAlign w:val="subscript"/>
          <w:lang w:eastAsia="en-US"/>
        </w:rPr>
        <w:t xml:space="preserve"> </w:t>
      </w:r>
      <w:r w:rsidRPr="005F6B91">
        <w:rPr>
          <w:rFonts w:eastAsia="Cambria"/>
          <w:lang w:eastAsia="en-US"/>
        </w:rPr>
        <w:t xml:space="preserve">= 1 if PSU </w:t>
      </w:r>
      <w:proofErr w:type="spellStart"/>
      <w:r w:rsidRPr="005F6B91">
        <w:rPr>
          <w:rFonts w:eastAsia="Cambria"/>
          <w:i/>
          <w:lang w:eastAsia="en-US"/>
        </w:rPr>
        <w:t>i</w:t>
      </w:r>
      <w:proofErr w:type="spellEnd"/>
      <w:r w:rsidRPr="005F6B91">
        <w:rPr>
          <w:rFonts w:eastAsia="Cambria"/>
          <w:lang w:eastAsia="en-US"/>
        </w:rPr>
        <w:t xml:space="preserve"> has </w:t>
      </w:r>
      <w:r w:rsidRPr="005F6B91">
        <w:rPr>
          <w:rFonts w:ascii="Symbol" w:hAnsi="Symbol"/>
          <w:b/>
          <w:i/>
        </w:rPr>
        <w:t></w:t>
      </w:r>
      <w:proofErr w:type="spellStart"/>
      <w:r w:rsidRPr="005F6B91">
        <w:rPr>
          <w:b/>
          <w:i/>
          <w:vertAlign w:val="subscript"/>
        </w:rPr>
        <w:t>Ri</w:t>
      </w:r>
      <w:proofErr w:type="spellEnd"/>
      <w:r w:rsidRPr="005F6B91">
        <w:rPr>
          <w:rFonts w:eastAsia="Cambria"/>
          <w:i/>
          <w:lang w:eastAsia="en-US"/>
        </w:rPr>
        <w:t xml:space="preserve"> </w:t>
      </w:r>
      <w:r w:rsidRPr="005F6B91">
        <w:rPr>
          <w:rFonts w:eastAsia="Cambria"/>
          <w:lang w:eastAsia="en-US"/>
        </w:rPr>
        <w:t xml:space="preserve">&gt; 0 and dwelling </w:t>
      </w:r>
      <w:r w:rsidRPr="005F6B91">
        <w:rPr>
          <w:rFonts w:eastAsia="Cambria"/>
          <w:i/>
          <w:lang w:eastAsia="en-US"/>
        </w:rPr>
        <w:t>j</w:t>
      </w:r>
      <w:r w:rsidRPr="005F6B91">
        <w:rPr>
          <w:rFonts w:eastAsia="Cambria"/>
          <w:lang w:eastAsia="en-US"/>
        </w:rPr>
        <w:t xml:space="preserve"> in this PSU is eligible; </w:t>
      </w:r>
      <w:proofErr w:type="spellStart"/>
      <w:r w:rsidRPr="005F6B91">
        <w:rPr>
          <w:rFonts w:eastAsia="Cambria"/>
          <w:i/>
          <w:lang w:eastAsia="en-US"/>
        </w:rPr>
        <w:t>E</w:t>
      </w:r>
      <w:r w:rsidRPr="005F6B91">
        <w:rPr>
          <w:rFonts w:eastAsia="Cambria"/>
          <w:i/>
          <w:vertAlign w:val="subscript"/>
          <w:lang w:eastAsia="en-US"/>
        </w:rPr>
        <w:t>ij</w:t>
      </w:r>
      <w:proofErr w:type="spellEnd"/>
      <w:r w:rsidRPr="005F6B91">
        <w:rPr>
          <w:rFonts w:eastAsia="Cambria"/>
          <w:vertAlign w:val="subscript"/>
          <w:lang w:eastAsia="en-US"/>
        </w:rPr>
        <w:t xml:space="preserve"> </w:t>
      </w:r>
      <w:r w:rsidRPr="005F6B91">
        <w:rPr>
          <w:rFonts w:eastAsia="Cambria"/>
          <w:lang w:eastAsia="en-US"/>
        </w:rPr>
        <w:t>= 0 otherwise.)</w:t>
      </w:r>
    </w:p>
    <w:p w:rsidR="00DC0A66" w:rsidRPr="005F6B91" w:rsidRDefault="00DC0A66" w:rsidP="00402831">
      <w:pPr>
        <w:pStyle w:val="Bullet"/>
        <w:rPr>
          <w:rFonts w:eastAsia="Cambria"/>
          <w:lang w:eastAsia="en-US"/>
        </w:rPr>
      </w:pPr>
      <w:r w:rsidRPr="005F6B91">
        <w:rPr>
          <w:rFonts w:eastAsia="Cambria"/>
          <w:lang w:eastAsia="en-US"/>
        </w:rPr>
        <w:t xml:space="preserve">A skip </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is assigned to each PSU and applied to eligible dwellings. The probability of an eligible dwelling being selected from PSU </w:t>
      </w:r>
      <w:proofErr w:type="spellStart"/>
      <w:r w:rsidRPr="005F6B91">
        <w:rPr>
          <w:rFonts w:eastAsia="Cambria"/>
          <w:i/>
          <w:lang w:eastAsia="en-US"/>
        </w:rPr>
        <w:t>i</w:t>
      </w:r>
      <w:proofErr w:type="spellEnd"/>
      <w:r w:rsidRPr="005F6B91">
        <w:rPr>
          <w:rFonts w:eastAsia="Cambria"/>
          <w:lang w:eastAsia="en-US"/>
        </w:rPr>
        <w:t xml:space="preserve"> in the electoral roll sample is 1/</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where </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is a skip assigned to each PSU on the frame.</w:t>
      </w:r>
    </w:p>
    <w:p w:rsidR="00DC0A66" w:rsidRPr="005F6B91" w:rsidRDefault="00DC0A66" w:rsidP="00402831">
      <w:pPr>
        <w:pStyle w:val="Bullet"/>
        <w:rPr>
          <w:rFonts w:eastAsia="Cambria"/>
          <w:lang w:eastAsia="en-US"/>
        </w:rPr>
      </w:pPr>
      <w:r w:rsidRPr="005F6B91">
        <w:rPr>
          <w:rFonts w:eastAsia="Cambria"/>
          <w:lang w:eastAsia="en-US"/>
        </w:rPr>
        <w:t xml:space="preserve">The probability of any particular adult being selected in the electoral roll sample from a selected dwelling </w:t>
      </w:r>
      <w:r w:rsidRPr="005F6B91">
        <w:rPr>
          <w:rFonts w:eastAsia="Cambria"/>
          <w:i/>
          <w:lang w:eastAsia="en-US"/>
        </w:rPr>
        <w:t>j</w:t>
      </w:r>
      <w:r w:rsidRPr="005F6B91">
        <w:rPr>
          <w:rFonts w:eastAsia="Cambria"/>
          <w:lang w:eastAsia="en-US"/>
        </w:rPr>
        <w:t xml:space="preserve"> in a selected PSU </w:t>
      </w:r>
      <w:proofErr w:type="spellStart"/>
      <w:r w:rsidRPr="005F6B91">
        <w:rPr>
          <w:rFonts w:eastAsia="Cambria"/>
          <w:i/>
          <w:lang w:eastAsia="en-US"/>
        </w:rPr>
        <w:t>i</w:t>
      </w:r>
      <w:proofErr w:type="spellEnd"/>
      <w:r w:rsidRPr="005F6B91">
        <w:rPr>
          <w:rFonts w:eastAsia="Cambria"/>
          <w:lang w:eastAsia="en-US"/>
        </w:rPr>
        <w:t xml:space="preserve"> is then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and the probability of any particular child (if any in the household) being selected is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(child)</w:t>
      </w:r>
      <w:r w:rsidRPr="005F6B91">
        <w:rPr>
          <w:rFonts w:eastAsia="Cambria"/>
          <w:lang w:eastAsia="en-US"/>
        </w:rPr>
        <w:t>.</w:t>
      </w:r>
    </w:p>
    <w:p w:rsidR="00DC0A66" w:rsidRPr="005F6B91" w:rsidRDefault="00DC0A66" w:rsidP="00402831">
      <w:pPr>
        <w:rPr>
          <w:rFonts w:eastAsia="Cambria"/>
          <w:lang w:eastAsia="en-US"/>
        </w:rPr>
      </w:pPr>
    </w:p>
    <w:p w:rsidR="00DC0A66" w:rsidRPr="005F6B91" w:rsidRDefault="00DC0A66" w:rsidP="00402831">
      <w:pPr>
        <w:pStyle w:val="Heading3"/>
        <w:rPr>
          <w:rFonts w:eastAsia="Cambria"/>
          <w:lang w:eastAsia="en-US"/>
        </w:rPr>
      </w:pPr>
      <w:r w:rsidRPr="005F6B91">
        <w:rPr>
          <w:rFonts w:eastAsia="Cambria"/>
          <w:lang w:eastAsia="en-US"/>
        </w:rPr>
        <w:t>Combined sample</w:t>
      </w:r>
    </w:p>
    <w:p w:rsidR="00DC0A66" w:rsidRPr="005F6B91" w:rsidRDefault="00DC0A66" w:rsidP="00402831">
      <w:pPr>
        <w:rPr>
          <w:rFonts w:eastAsia="Cambria"/>
          <w:lang w:eastAsia="en-US"/>
        </w:rPr>
      </w:pPr>
      <w:r w:rsidRPr="005F6B91">
        <w:rPr>
          <w:rFonts w:eastAsia="Cambria"/>
          <w:lang w:eastAsia="en-US"/>
        </w:rPr>
        <w:t>The electoral roll sample and the area-based sample are selected according to the probabilities calculated using the above methods. The two samples of PSUs do not overlap. The complete NZHS sample is defined as the union of the two samples. The probability of select</w:t>
      </w:r>
      <w:r>
        <w:rPr>
          <w:rFonts w:eastAsia="Cambria"/>
          <w:lang w:eastAsia="en-US"/>
        </w:rPr>
        <w:t>ing</w:t>
      </w:r>
      <w:r w:rsidRPr="005F6B91">
        <w:rPr>
          <w:rFonts w:eastAsia="Cambria"/>
          <w:lang w:eastAsia="en-US"/>
        </w:rPr>
        <w:t xml:space="preserve"> any adult in dwelling </w:t>
      </w:r>
      <w:r w:rsidRPr="005F6B91">
        <w:rPr>
          <w:rFonts w:eastAsia="Cambria"/>
          <w:i/>
          <w:lang w:eastAsia="en-US"/>
        </w:rPr>
        <w:t>j</w:t>
      </w:r>
      <w:r w:rsidRPr="005F6B91">
        <w:rPr>
          <w:rFonts w:eastAsia="Cambria"/>
          <w:lang w:eastAsia="en-US"/>
        </w:rPr>
        <w:t xml:space="preserve"> in PSU </w:t>
      </w:r>
      <w:proofErr w:type="spellStart"/>
      <w:r w:rsidRPr="005F6B91">
        <w:rPr>
          <w:rFonts w:eastAsia="Cambria"/>
          <w:i/>
          <w:lang w:eastAsia="en-US"/>
        </w:rPr>
        <w:t>i</w:t>
      </w:r>
      <w:proofErr w:type="spellEnd"/>
      <w:r w:rsidRPr="005F6B91">
        <w:rPr>
          <w:rFonts w:eastAsia="Cambria"/>
          <w:lang w:eastAsia="en-US"/>
        </w:rPr>
        <w:t xml:space="preserve"> in the combined sample is therefore:</w:t>
      </w:r>
    </w:p>
    <w:p w:rsidR="00DC0A66" w:rsidRPr="005F6B91" w:rsidRDefault="00DC0A66" w:rsidP="00402831">
      <w:pPr>
        <w:spacing w:before="120"/>
        <w:ind w:left="567" w:hanging="567"/>
        <w:rPr>
          <w:rFonts w:eastAsia="Cambria"/>
          <w:lang w:eastAsia="en-US"/>
        </w:rPr>
      </w:pPr>
      <w:r w:rsidRPr="005F6B91">
        <w:rPr>
          <w:rFonts w:eastAsia="Cambria"/>
          <w:lang w:eastAsia="en-US"/>
        </w:rPr>
        <w:t>(1)</w:t>
      </w:r>
      <w:r w:rsidRPr="005F6B91">
        <w:rPr>
          <w:rFonts w:eastAsia="Cambria"/>
          <w:lang w:eastAsia="en-US"/>
        </w:rPr>
        <w:tab/>
      </w:r>
      <w:r w:rsidRPr="00981544">
        <w:rPr>
          <w:position w:val="-14"/>
        </w:rPr>
        <w:object w:dxaOrig="6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0.4pt" o:ole="">
            <v:imagedata r:id="rId20" o:title=""/>
          </v:shape>
          <o:OLEObject Type="Embed" ProgID="Equation.3" ShapeID="_x0000_i1025" DrawAspect="Content" ObjectID="_1542631398" r:id="rId21"/>
        </w:object>
      </w:r>
    </w:p>
    <w:p w:rsidR="00402831" w:rsidRDefault="00402831" w:rsidP="00402831">
      <w:pPr>
        <w:rPr>
          <w:rFonts w:eastAsia="Cambria"/>
          <w:lang w:eastAsia="en-US"/>
        </w:rPr>
      </w:pPr>
    </w:p>
    <w:p w:rsidR="00DC0A66" w:rsidRPr="005F6B91" w:rsidRDefault="00DC0A66" w:rsidP="00402831">
      <w:pPr>
        <w:rPr>
          <w:rFonts w:eastAsia="Cambria"/>
          <w:lang w:eastAsia="en-US"/>
        </w:rPr>
      </w:pPr>
      <w:r w:rsidRPr="005F6B91">
        <w:rPr>
          <w:rFonts w:eastAsia="Cambria"/>
          <w:lang w:eastAsia="en-US"/>
        </w:rPr>
        <w:t>Similarly, the probability of selecti</w:t>
      </w:r>
      <w:r>
        <w:rPr>
          <w:rFonts w:eastAsia="Cambria"/>
          <w:lang w:eastAsia="en-US"/>
        </w:rPr>
        <w:t>ng</w:t>
      </w:r>
      <w:r w:rsidRPr="005F6B91">
        <w:rPr>
          <w:rFonts w:eastAsia="Cambria"/>
          <w:lang w:eastAsia="en-US"/>
        </w:rPr>
        <w:t xml:space="preserve"> any child in dwelling </w:t>
      </w:r>
      <w:r w:rsidRPr="005F6B91">
        <w:rPr>
          <w:rFonts w:eastAsia="Cambria"/>
          <w:i/>
          <w:lang w:eastAsia="en-US"/>
        </w:rPr>
        <w:t>j</w:t>
      </w:r>
      <w:r w:rsidRPr="005F6B91">
        <w:rPr>
          <w:rFonts w:eastAsia="Cambria"/>
          <w:lang w:eastAsia="en-US"/>
        </w:rPr>
        <w:t xml:space="preserve"> in PSU </w:t>
      </w:r>
      <w:proofErr w:type="spellStart"/>
      <w:r w:rsidRPr="005F6B91">
        <w:rPr>
          <w:rFonts w:eastAsia="Cambria"/>
          <w:i/>
          <w:lang w:eastAsia="en-US"/>
        </w:rPr>
        <w:t>i</w:t>
      </w:r>
      <w:proofErr w:type="spellEnd"/>
      <w:r w:rsidRPr="005F6B91">
        <w:rPr>
          <w:rFonts w:eastAsia="Cambria"/>
          <w:lang w:eastAsia="en-US"/>
        </w:rPr>
        <w:t xml:space="preserve"> in the combined sample is:</w:t>
      </w:r>
    </w:p>
    <w:p w:rsidR="00DC0A66" w:rsidRPr="005F6B91" w:rsidRDefault="00DC0A66" w:rsidP="00402831">
      <w:pPr>
        <w:spacing w:before="120"/>
        <w:ind w:left="567" w:hanging="567"/>
        <w:rPr>
          <w:rFonts w:eastAsia="Cambria"/>
          <w:lang w:eastAsia="en-US"/>
        </w:rPr>
      </w:pPr>
      <w:r w:rsidRPr="005F6B91">
        <w:rPr>
          <w:rFonts w:eastAsia="Cambria"/>
          <w:lang w:eastAsia="en-US"/>
        </w:rPr>
        <w:t>(2)</w:t>
      </w:r>
      <w:r w:rsidRPr="005F6B91">
        <w:rPr>
          <w:rFonts w:eastAsia="Cambria"/>
          <w:lang w:eastAsia="en-US"/>
        </w:rPr>
        <w:tab/>
      </w:r>
      <w:r w:rsidRPr="00981544">
        <w:rPr>
          <w:position w:val="-14"/>
        </w:rPr>
        <w:object w:dxaOrig="6700" w:dyaOrig="400">
          <v:shape id="_x0000_i1026" type="#_x0000_t75" style="width:335.05pt;height:20.4pt" o:ole="">
            <v:imagedata r:id="rId22" o:title=""/>
          </v:shape>
          <o:OLEObject Type="Embed" ProgID="Equation.3" ShapeID="_x0000_i1026" DrawAspect="Content" ObjectID="_1542631399" r:id="rId23"/>
        </w:object>
      </w:r>
    </w:p>
    <w:p w:rsidR="00DC0A66" w:rsidRPr="005F6B91" w:rsidRDefault="00DC0A66" w:rsidP="00402831">
      <w:pPr>
        <w:rPr>
          <w:rFonts w:eastAsia="Cambria"/>
          <w:lang w:eastAsia="en-US"/>
        </w:rPr>
      </w:pPr>
    </w:p>
    <w:p w:rsidR="00DC0A66" w:rsidRPr="005F6B91" w:rsidRDefault="00DC0A66" w:rsidP="00402831">
      <w:pPr>
        <w:rPr>
          <w:rFonts w:eastAsia="Cambria"/>
          <w:lang w:eastAsia="en-US"/>
        </w:rPr>
      </w:pPr>
      <w:r w:rsidRPr="005F6B91">
        <w:rPr>
          <w:rFonts w:eastAsia="Cambria"/>
          <w:lang w:eastAsia="en-US"/>
        </w:rPr>
        <w:t>The selection weights for adults and children are given by the reciprocal (inverse) of the above:</w:t>
      </w:r>
    </w:p>
    <w:p w:rsidR="00DC0A66" w:rsidRPr="005F6B91" w:rsidRDefault="00DC0A66" w:rsidP="00402831">
      <w:pPr>
        <w:spacing w:before="120"/>
        <w:ind w:left="567" w:hanging="567"/>
        <w:rPr>
          <w:rFonts w:eastAsia="Cambria"/>
          <w:lang w:eastAsia="en-US"/>
        </w:rPr>
      </w:pPr>
      <w:r w:rsidRPr="005F6B91">
        <w:rPr>
          <w:rFonts w:eastAsia="Cambria"/>
          <w:lang w:eastAsia="en-US"/>
        </w:rPr>
        <w:t>(3)</w:t>
      </w:r>
      <w:r w:rsidRPr="005F6B91">
        <w:rPr>
          <w:rFonts w:eastAsia="Cambria"/>
          <w:lang w:eastAsia="en-US"/>
        </w:rPr>
        <w:tab/>
      </w:r>
      <w:r w:rsidRPr="00981544">
        <w:rPr>
          <w:position w:val="-14"/>
        </w:rPr>
        <w:object w:dxaOrig="4459" w:dyaOrig="460">
          <v:shape id="_x0000_i1027" type="#_x0000_t75" style="width:222.8pt;height:23.25pt" o:ole="">
            <v:imagedata r:id="rId24" o:title=""/>
          </v:shape>
          <o:OLEObject Type="Embed" ProgID="Equation.3" ShapeID="_x0000_i1027" DrawAspect="Content" ObjectID="_1542631400" r:id="rId25"/>
        </w:object>
      </w:r>
    </w:p>
    <w:p w:rsidR="00DC0A66" w:rsidRDefault="00DC0A66" w:rsidP="00402831">
      <w:pPr>
        <w:spacing w:before="120"/>
        <w:ind w:left="567" w:hanging="567"/>
        <w:rPr>
          <w:rFonts w:eastAsia="Cambria"/>
          <w:lang w:eastAsia="en-US"/>
        </w:rPr>
      </w:pPr>
      <w:r w:rsidRPr="005F6B91">
        <w:rPr>
          <w:rFonts w:eastAsia="Cambria"/>
          <w:lang w:eastAsia="en-US"/>
        </w:rPr>
        <w:t>(4)</w:t>
      </w:r>
      <w:r w:rsidRPr="005F6B91">
        <w:rPr>
          <w:rFonts w:eastAsia="Cambria"/>
          <w:lang w:eastAsia="en-US"/>
        </w:rPr>
        <w:tab/>
      </w:r>
      <w:r w:rsidRPr="00981544">
        <w:rPr>
          <w:position w:val="-14"/>
        </w:rPr>
        <w:object w:dxaOrig="4459" w:dyaOrig="460">
          <v:shape id="_x0000_i1028" type="#_x0000_t75" style="width:222.8pt;height:23.25pt" o:ole="">
            <v:imagedata r:id="rId26" o:title=""/>
          </v:shape>
          <o:OLEObject Type="Embed" ProgID="Equation.3" ShapeID="_x0000_i1028" DrawAspect="Content" ObjectID="_1542631401" r:id="rId27"/>
        </w:object>
      </w:r>
    </w:p>
    <w:p w:rsidR="00DC0A66" w:rsidRDefault="00DC0A66" w:rsidP="00402831">
      <w:pPr>
        <w:rPr>
          <w:rFonts w:eastAsia="Cambria"/>
          <w:lang w:eastAsia="en-US"/>
        </w:rPr>
      </w:pPr>
    </w:p>
    <w:p w:rsidR="00DC0A66" w:rsidRPr="00CC7E24" w:rsidRDefault="00DC0A66" w:rsidP="00402831">
      <w:pPr>
        <w:pStyle w:val="Heading2"/>
        <w:rPr>
          <w:rFonts w:eastAsia="Cambria"/>
          <w:lang w:eastAsia="en-US"/>
        </w:rPr>
      </w:pPr>
      <w:bookmarkStart w:id="156" w:name="_Toc339270020"/>
      <w:bookmarkStart w:id="157" w:name="_Toc340501942"/>
      <w:bookmarkStart w:id="158" w:name="_Toc372445562"/>
      <w:bookmarkStart w:id="159" w:name="_Toc403044017"/>
      <w:bookmarkStart w:id="160" w:name="_Toc467491540"/>
      <w:bookmarkStart w:id="161" w:name="_Toc467515142"/>
      <w:r w:rsidRPr="00CC7E24">
        <w:rPr>
          <w:rFonts w:eastAsia="Cambria"/>
          <w:lang w:eastAsia="en-US"/>
        </w:rPr>
        <w:lastRenderedPageBreak/>
        <w:t>Calibration of selection weights</w:t>
      </w:r>
      <w:bookmarkEnd w:id="156"/>
      <w:bookmarkEnd w:id="157"/>
      <w:bookmarkEnd w:id="158"/>
      <w:bookmarkEnd w:id="159"/>
      <w:bookmarkEnd w:id="160"/>
      <w:bookmarkEnd w:id="161"/>
    </w:p>
    <w:p w:rsidR="00DC0A66" w:rsidRPr="00CC7E24" w:rsidRDefault="00DC0A66" w:rsidP="00402831">
      <w:pPr>
        <w:rPr>
          <w:rFonts w:eastAsia="Cambria"/>
          <w:lang w:eastAsia="en-US"/>
        </w:rPr>
      </w:pPr>
      <w:r w:rsidRPr="00CC7E24">
        <w:rPr>
          <w:rFonts w:eastAsia="Cambria"/>
          <w:lang w:eastAsia="en-US"/>
        </w:rPr>
        <w:t xml:space="preserve">Calibrated weights are calculated by combining the selection weights and population benchmark </w:t>
      </w:r>
      <w:r w:rsidRPr="001B6D3B">
        <w:rPr>
          <w:rFonts w:eastAsia="Cambria"/>
          <w:lang w:eastAsia="en-US"/>
        </w:rPr>
        <w:t xml:space="preserve">information obtained </w:t>
      </w:r>
      <w:r>
        <w:rPr>
          <w:rFonts w:eastAsia="Cambria"/>
          <w:lang w:eastAsia="en-US"/>
        </w:rPr>
        <w:t>externally from</w:t>
      </w:r>
      <w:r w:rsidRPr="001B6D3B">
        <w:rPr>
          <w:rFonts w:eastAsia="Cambria"/>
          <w:lang w:eastAsia="en-US"/>
        </w:rPr>
        <w:t xml:space="preserve"> the survey. The NZHS uses counts from Statistics New</w:t>
      </w:r>
      <w:r>
        <w:rPr>
          <w:rFonts w:eastAsia="Cambria"/>
          <w:lang w:eastAsia="en-US"/>
        </w:rPr>
        <w:t xml:space="preserve"> Zealand</w:t>
      </w:r>
      <w:r w:rsidR="00981544">
        <w:rPr>
          <w:rFonts w:eastAsia="Cambria"/>
          <w:lang w:eastAsia="en-US"/>
        </w:rPr>
        <w:t>’</w:t>
      </w:r>
      <w:r>
        <w:rPr>
          <w:rFonts w:eastAsia="Cambria"/>
          <w:lang w:eastAsia="en-US"/>
        </w:rPr>
        <w:t>s estimated resident population for each calendar quarter,</w:t>
      </w:r>
      <w:r w:rsidRPr="00CC7E24">
        <w:rPr>
          <w:rFonts w:eastAsia="Cambria"/>
          <w:lang w:eastAsia="en-US"/>
        </w:rPr>
        <w:t xml:space="preserve"> broken down by age, sex, ethnicity</w:t>
      </w:r>
      <w:r>
        <w:rPr>
          <w:rFonts w:eastAsia="Cambria"/>
          <w:lang w:eastAsia="en-US"/>
        </w:rPr>
        <w:t xml:space="preserve"> and socioeconomic position,</w:t>
      </w:r>
      <w:r w:rsidRPr="00CC7E24">
        <w:rPr>
          <w:rFonts w:eastAsia="Cambria"/>
          <w:lang w:eastAsia="en-US"/>
        </w:rPr>
        <w:t xml:space="preserve"> as its benchmark population.</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Calibrated weights are calculated to achieve two requirements.</w:t>
      </w:r>
    </w:p>
    <w:p w:rsidR="00DC0A66" w:rsidRPr="00CC7E24" w:rsidRDefault="00DC0A66" w:rsidP="00402831">
      <w:pPr>
        <w:spacing w:before="120"/>
        <w:ind w:left="567" w:hanging="567"/>
        <w:rPr>
          <w:rFonts w:eastAsia="Cambria"/>
          <w:lang w:eastAsia="en-US"/>
        </w:rPr>
      </w:pPr>
      <w:r>
        <w:rPr>
          <w:rFonts w:eastAsia="Cambria"/>
          <w:lang w:eastAsia="en-US"/>
        </w:rPr>
        <w:t>1.</w:t>
      </w:r>
      <w:r w:rsidRPr="00CC7E24">
        <w:rPr>
          <w:rFonts w:eastAsia="Cambria"/>
          <w:lang w:eastAsia="en-US"/>
        </w:rPr>
        <w:tab/>
        <w:t>The weights should be close to the inverse of the probability of selecti</w:t>
      </w:r>
      <w:r>
        <w:rPr>
          <w:rFonts w:eastAsia="Cambria"/>
          <w:lang w:eastAsia="en-US"/>
        </w:rPr>
        <w:t>ng</w:t>
      </w:r>
      <w:r w:rsidRPr="00CC7E24">
        <w:rPr>
          <w:rFonts w:eastAsia="Cambria"/>
          <w:lang w:eastAsia="en-US"/>
        </w:rPr>
        <w:t xml:space="preserve"> each respondent.</w:t>
      </w:r>
    </w:p>
    <w:p w:rsidR="00DC0A66" w:rsidRPr="00CC7E24" w:rsidRDefault="00DC0A66" w:rsidP="00402831">
      <w:pPr>
        <w:spacing w:before="120"/>
        <w:ind w:left="567" w:hanging="567"/>
        <w:rPr>
          <w:rFonts w:eastAsia="Cambria"/>
          <w:lang w:eastAsia="en-US"/>
        </w:rPr>
      </w:pPr>
      <w:r>
        <w:rPr>
          <w:rFonts w:eastAsia="Cambria"/>
          <w:lang w:eastAsia="en-US"/>
        </w:rPr>
        <w:t>2.</w:t>
      </w:r>
      <w:r w:rsidRPr="00CC7E24">
        <w:rPr>
          <w:rFonts w:eastAsia="Cambria"/>
          <w:lang w:eastAsia="en-US"/>
        </w:rPr>
        <w:tab/>
        <w:t>The weights are calibrated to the known population counts for a range of sub-populations (</w:t>
      </w:r>
      <w:proofErr w:type="spellStart"/>
      <w:r w:rsidRPr="00CC7E24">
        <w:rPr>
          <w:rFonts w:eastAsia="Cambria"/>
          <w:lang w:eastAsia="en-US"/>
        </w:rPr>
        <w:t>eg</w:t>
      </w:r>
      <w:proofErr w:type="spellEnd"/>
      <w:r w:rsidRPr="00CC7E24">
        <w:rPr>
          <w:rFonts w:eastAsia="Cambria"/>
          <w:lang w:eastAsia="en-US"/>
        </w:rPr>
        <w:t>, age</w:t>
      </w:r>
      <w:r>
        <w:rPr>
          <w:rFonts w:eastAsia="Cambria"/>
          <w:lang w:eastAsia="en-US"/>
        </w:rPr>
        <w:t>-</w:t>
      </w:r>
      <w:r w:rsidRPr="00CC7E24">
        <w:rPr>
          <w:rFonts w:eastAsia="Cambria"/>
          <w:lang w:eastAsia="en-US"/>
        </w:rPr>
        <w:t>by</w:t>
      </w:r>
      <w:r>
        <w:rPr>
          <w:rFonts w:eastAsia="Cambria"/>
          <w:lang w:eastAsia="en-US"/>
        </w:rPr>
        <w:t>-</w:t>
      </w:r>
      <w:r w:rsidRPr="00CC7E24">
        <w:rPr>
          <w:rFonts w:eastAsia="Cambria"/>
          <w:lang w:eastAsia="en-US"/>
        </w:rPr>
        <w:t>sex</w:t>
      </w:r>
      <w:r>
        <w:rPr>
          <w:rFonts w:eastAsia="Cambria"/>
          <w:lang w:eastAsia="en-US"/>
        </w:rPr>
        <w:t>-by-ethnicity</w:t>
      </w:r>
      <w:r w:rsidRPr="00CC7E24">
        <w:rPr>
          <w:rFonts w:eastAsia="Cambria"/>
          <w:lang w:eastAsia="en-US"/>
        </w:rPr>
        <w:t xml:space="preserve"> categories). This means that the sum of the weights for respondents in the sub-population must equal exactly the known benchmark for the sub</w:t>
      </w:r>
      <w:r w:rsidR="00402831">
        <w:rPr>
          <w:rFonts w:eastAsia="Cambria"/>
          <w:lang w:eastAsia="en-US"/>
        </w:rPr>
        <w:noBreakHyphen/>
      </w:r>
      <w:r w:rsidRPr="00CC7E24">
        <w:rPr>
          <w:rFonts w:eastAsia="Cambria"/>
          <w:lang w:eastAsia="en-US"/>
        </w:rPr>
        <w:t>population size.</w:t>
      </w:r>
    </w:p>
    <w:p w:rsidR="00DC0A66" w:rsidRPr="00CC7E24" w:rsidRDefault="00DC0A66" w:rsidP="00402831">
      <w:pPr>
        <w:rPr>
          <w:rFonts w:eastAsia="Cambria"/>
          <w:lang w:eastAsia="en-US"/>
        </w:rPr>
      </w:pPr>
    </w:p>
    <w:p w:rsidR="00981544" w:rsidRDefault="00DC0A66" w:rsidP="00402831">
      <w:pPr>
        <w:rPr>
          <w:rFonts w:eastAsia="Cambria"/>
          <w:lang w:eastAsia="en-US"/>
        </w:rPr>
      </w:pPr>
      <w:r w:rsidRPr="00BD09EF">
        <w:rPr>
          <w:rFonts w:eastAsia="Cambria"/>
          <w:lang w:eastAsia="en-US"/>
        </w:rPr>
        <w:t>Requirement 1 ensures that estimates have low bias, while requirement 2 improves the precision of estimates and achieves consistency between the survey estimates and external benchmark information.</w:t>
      </w:r>
      <w:r>
        <w:rPr>
          <w:rFonts w:eastAsia="Cambria"/>
          <w:lang w:eastAsia="en-US"/>
        </w:rPr>
        <w:t xml:space="preserve"> </w:t>
      </w:r>
      <w:r w:rsidRPr="00BD09EF">
        <w:rPr>
          <w:rFonts w:eastAsia="Cambria"/>
          <w:lang w:eastAsia="en-US"/>
        </w:rPr>
        <w:t xml:space="preserve">The </w:t>
      </w:r>
      <w:r>
        <w:rPr>
          <w:rFonts w:eastAsia="Cambria"/>
          <w:lang w:eastAsia="en-US"/>
        </w:rPr>
        <w:t xml:space="preserve">calibrated </w:t>
      </w:r>
      <w:r w:rsidRPr="00BD09EF">
        <w:rPr>
          <w:rFonts w:eastAsia="Cambria"/>
          <w:lang w:eastAsia="en-US"/>
        </w:rPr>
        <w:t xml:space="preserve">weights are </w:t>
      </w:r>
      <w:r>
        <w:rPr>
          <w:rFonts w:eastAsia="Cambria"/>
          <w:lang w:eastAsia="en-US"/>
        </w:rPr>
        <w:t xml:space="preserve">calculated in such a way as </w:t>
      </w:r>
      <w:r w:rsidRPr="00BD09EF">
        <w:rPr>
          <w:rFonts w:eastAsia="Cambria"/>
          <w:lang w:eastAsia="en-US"/>
        </w:rPr>
        <w:t xml:space="preserve">to minimise a measure of the distance between the </w:t>
      </w:r>
      <w:r>
        <w:rPr>
          <w:rFonts w:eastAsia="Cambria"/>
          <w:lang w:eastAsia="en-US"/>
        </w:rPr>
        <w:t xml:space="preserve">calibrated </w:t>
      </w:r>
      <w:r w:rsidRPr="00BD09EF">
        <w:rPr>
          <w:rFonts w:eastAsia="Cambria"/>
          <w:lang w:eastAsia="en-US"/>
        </w:rPr>
        <w:t>weights and the inverse selection probabilities, provided that requirement 2 above is satisfied.</w:t>
      </w:r>
    </w:p>
    <w:p w:rsidR="00DC0A66" w:rsidRPr="009D18D7" w:rsidRDefault="00DC0A66" w:rsidP="00402831">
      <w:pPr>
        <w:rPr>
          <w:rFonts w:eastAsia="Cambria"/>
          <w:lang w:eastAsia="en-US"/>
        </w:rPr>
      </w:pPr>
    </w:p>
    <w:p w:rsidR="00DC0A66" w:rsidRPr="00CC7E24" w:rsidRDefault="00DC0A66" w:rsidP="00402831">
      <w:pPr>
        <w:rPr>
          <w:rFonts w:eastAsia="Cambria"/>
          <w:lang w:eastAsia="en-US"/>
        </w:rPr>
      </w:pPr>
      <w:r w:rsidRPr="00D02E9F">
        <w:rPr>
          <w:rFonts w:eastAsia="Cambria"/>
          <w:lang w:eastAsia="en-US"/>
        </w:rPr>
        <w:t>A number of distance measures are in common use. A chi-square</w:t>
      </w:r>
      <w:r w:rsidRPr="00CC7E24">
        <w:rPr>
          <w:rFonts w:eastAsia="Cambria"/>
          <w:lang w:eastAsia="en-US"/>
        </w:rPr>
        <w:t xml:space="preserve"> distance function (case 1 in Deville and </w:t>
      </w:r>
      <w:proofErr w:type="spellStart"/>
      <w:r w:rsidRPr="00CC7E24">
        <w:rPr>
          <w:rFonts w:eastAsia="Cambria"/>
          <w:lang w:eastAsia="en-US"/>
        </w:rPr>
        <w:t>Särndal</w:t>
      </w:r>
      <w:proofErr w:type="spellEnd"/>
      <w:r w:rsidRPr="00CC7E24">
        <w:rPr>
          <w:rFonts w:eastAsia="Cambria"/>
          <w:lang w:eastAsia="en-US"/>
        </w:rPr>
        <w:t xml:space="preserve"> 1992) </w:t>
      </w:r>
      <w:r>
        <w:rPr>
          <w:rFonts w:eastAsia="Cambria"/>
          <w:lang w:eastAsia="en-US"/>
        </w:rPr>
        <w:t>is</w:t>
      </w:r>
      <w:r w:rsidRPr="00CC7E24">
        <w:rPr>
          <w:rFonts w:eastAsia="Cambria"/>
          <w:lang w:eastAsia="en-US"/>
        </w:rPr>
        <w:t xml:space="preserve"> used for </w:t>
      </w:r>
      <w:r>
        <w:rPr>
          <w:rFonts w:eastAsia="Cambria"/>
          <w:lang w:eastAsia="en-US"/>
        </w:rPr>
        <w:t xml:space="preserve">calibrating </w:t>
      </w:r>
      <w:r w:rsidRPr="00CC7E24">
        <w:rPr>
          <w:rFonts w:eastAsia="Cambria"/>
          <w:lang w:eastAsia="en-US"/>
        </w:rPr>
        <w:t>the NZHS</w:t>
      </w:r>
      <w:r>
        <w:rPr>
          <w:rFonts w:eastAsia="Cambria"/>
          <w:lang w:eastAsia="en-US"/>
        </w:rPr>
        <w:t xml:space="preserve"> weights</w:t>
      </w:r>
      <w:r w:rsidRPr="00CC7E24">
        <w:rPr>
          <w:rFonts w:eastAsia="Cambria"/>
          <w:lang w:eastAsia="en-US"/>
        </w:rPr>
        <w:t xml:space="preserve">, which corresponds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rsidR="00DC0A66" w:rsidRPr="00CC7E24" w:rsidRDefault="00DC0A66" w:rsidP="00402831">
      <w:pPr>
        <w:rPr>
          <w:rFonts w:eastAsia="Cambria"/>
          <w:lang w:eastAsia="en-US"/>
        </w:rPr>
      </w:pPr>
    </w:p>
    <w:p w:rsidR="00DC0A66" w:rsidRPr="00CC7E24" w:rsidRDefault="00DC0A66" w:rsidP="00402831">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sidR="00981544">
        <w:rPr>
          <w:rFonts w:eastAsia="Cambria"/>
          <w:lang w:eastAsia="en-US"/>
        </w:rPr>
        <w:t>‘</w:t>
      </w:r>
      <w:r w:rsidRPr="00CC7E24">
        <w:rPr>
          <w:rFonts w:eastAsia="Cambria"/>
          <w:lang w:eastAsia="en-US"/>
        </w:rPr>
        <w:t>g-weight</w:t>
      </w:r>
      <w:r w:rsidR="00981544">
        <w:rPr>
          <w:rFonts w:eastAsia="Cambria"/>
          <w:lang w:eastAsia="en-US"/>
        </w:rPr>
        <w:t>’</w:t>
      </w:r>
      <w:r w:rsidRPr="00CC7E24">
        <w:rPr>
          <w:rFonts w:eastAsia="Cambria"/>
          <w:lang w:eastAsia="en-US"/>
        </w:rPr>
        <w:t xml:space="preserve"> indicates the factor by which calibration has changed the initial weight.</w:t>
      </w:r>
    </w:p>
    <w:p w:rsidR="00DC0A66" w:rsidRPr="00CC7E24" w:rsidRDefault="00DC0A66" w:rsidP="00402831">
      <w:pPr>
        <w:rPr>
          <w:rFonts w:eastAsia="Cambria"/>
          <w:lang w:eastAsia="en-US"/>
        </w:rPr>
      </w:pPr>
    </w:p>
    <w:p w:rsidR="00DC0A66" w:rsidRPr="00CC7E24" w:rsidRDefault="00DC0A66" w:rsidP="00402831">
      <w:pPr>
        <w:pStyle w:val="Heading3"/>
        <w:rPr>
          <w:rFonts w:eastAsia="Cambria"/>
          <w:lang w:eastAsia="en-US"/>
        </w:rPr>
      </w:pPr>
      <w:bookmarkStart w:id="162" w:name="_Toc340501944"/>
      <w:bookmarkStart w:id="163" w:name="_Toc372445564"/>
      <w:bookmarkStart w:id="164" w:name="_Toc403044019"/>
      <w:r>
        <w:rPr>
          <w:rFonts w:eastAsia="Cambria"/>
          <w:lang w:eastAsia="en-US"/>
        </w:rPr>
        <w:t>Population b</w:t>
      </w:r>
      <w:r w:rsidRPr="00CC7E24">
        <w:rPr>
          <w:rFonts w:eastAsia="Cambria"/>
          <w:lang w:eastAsia="en-US"/>
        </w:rPr>
        <w:t>enchmark</w:t>
      </w:r>
      <w:r>
        <w:rPr>
          <w:rFonts w:eastAsia="Cambria"/>
          <w:lang w:eastAsia="en-US"/>
        </w:rPr>
        <w:t>s</w:t>
      </w:r>
      <w:bookmarkEnd w:id="162"/>
      <w:bookmarkEnd w:id="163"/>
      <w:bookmarkEnd w:id="164"/>
    </w:p>
    <w:p w:rsidR="00DC0A66" w:rsidRPr="00CC7E24" w:rsidRDefault="00DC0A66" w:rsidP="00402831">
      <w:pPr>
        <w:rPr>
          <w:rFonts w:eastAsia="Cambria"/>
          <w:lang w:eastAsia="en-US"/>
        </w:rPr>
      </w:pPr>
      <w:r w:rsidRPr="00CC7E24">
        <w:rPr>
          <w:rFonts w:eastAsia="Cambria"/>
          <w:lang w:eastAsia="en-US"/>
        </w:rPr>
        <w:t xml:space="preserve">The following </w:t>
      </w:r>
      <w:r>
        <w:rPr>
          <w:rFonts w:eastAsia="Cambria"/>
          <w:lang w:eastAsia="en-US"/>
        </w:rPr>
        <w:t xml:space="preserve">population </w:t>
      </w:r>
      <w:r w:rsidRPr="00CC7E24">
        <w:rPr>
          <w:rFonts w:eastAsia="Cambria"/>
          <w:lang w:eastAsia="en-US"/>
        </w:rPr>
        <w:t>benchmarks are used in the NZHS weighting:</w:t>
      </w:r>
    </w:p>
    <w:p w:rsidR="00DC0A66" w:rsidRPr="00CC7E24" w:rsidRDefault="00DC0A66" w:rsidP="00402831">
      <w:pPr>
        <w:pStyle w:val="Bullet"/>
      </w:pPr>
      <w:r w:rsidRPr="00CC7E24">
        <w:t xml:space="preserve">age </w:t>
      </w:r>
      <w:r>
        <w:t xml:space="preserve">group </w:t>
      </w:r>
      <w:r w:rsidRPr="00CC7E24">
        <w:t>(0–4, 5–9, 10–14, 15–19, 20–24, 25–29, 30–34, 35–39, 40–44, 45–49, 50–54, 55–59, 60–64, 65–74, 75+</w:t>
      </w:r>
      <w:r>
        <w:t xml:space="preserve"> years</w:t>
      </w:r>
      <w:r w:rsidRPr="00CC7E24">
        <w:t xml:space="preserve">) </w:t>
      </w:r>
      <w:r w:rsidRPr="00A137C5">
        <w:t xml:space="preserve">by </w:t>
      </w:r>
      <w:r w:rsidRPr="00CC7E24">
        <w:t>sex (male, female) for all people</w:t>
      </w:r>
    </w:p>
    <w:p w:rsidR="00DC0A66" w:rsidRPr="00CC7E24" w:rsidRDefault="00DC0A66" w:rsidP="00402831">
      <w:pPr>
        <w:pStyle w:val="Bullet"/>
      </w:pPr>
      <w:r w:rsidRPr="00CC7E24">
        <w:t xml:space="preserve">age </w:t>
      </w:r>
      <w:r>
        <w:t xml:space="preserve">group </w:t>
      </w:r>
      <w:r w:rsidRPr="00CC7E24">
        <w:t>(0–4, 5–9, 10–14, 15–29, 30–34, 35–39, 40–44, 45–49, 50–54, 55–64, 65+</w:t>
      </w:r>
      <w:r>
        <w:t> years</w:t>
      </w:r>
      <w:r w:rsidRPr="00CC7E24">
        <w:t xml:space="preserve">) </w:t>
      </w:r>
      <w:r w:rsidRPr="00A137C5">
        <w:t>by</w:t>
      </w:r>
      <w:r w:rsidRPr="00CC7E24">
        <w:rPr>
          <w:i/>
        </w:rPr>
        <w:t xml:space="preserve"> </w:t>
      </w:r>
      <w:r w:rsidRPr="00CC7E24">
        <w:t>sex (male, female) for all Māori</w:t>
      </w:r>
    </w:p>
    <w:p w:rsidR="00DC0A66" w:rsidRPr="00CC7E24" w:rsidRDefault="00DC0A66" w:rsidP="00402831">
      <w:pPr>
        <w:pStyle w:val="Bullet"/>
      </w:pPr>
      <w:r>
        <w:t>adult</w:t>
      </w:r>
      <w:r w:rsidRPr="00CC7E24">
        <w:t xml:space="preserve"> population by Pacific</w:t>
      </w:r>
      <w:r>
        <w:t xml:space="preserve"> and n</w:t>
      </w:r>
      <w:r w:rsidRPr="00CC7E24">
        <w:t>on-Pacific</w:t>
      </w:r>
      <w:r>
        <w:t xml:space="preserve"> peoples</w:t>
      </w:r>
    </w:p>
    <w:p w:rsidR="00DC0A66" w:rsidRPr="00CC7E24" w:rsidRDefault="00DC0A66" w:rsidP="00402831">
      <w:pPr>
        <w:pStyle w:val="Bullet"/>
      </w:pPr>
      <w:r>
        <w:t>adult</w:t>
      </w:r>
      <w:r w:rsidRPr="00CC7E24">
        <w:t xml:space="preserve"> population by Asian</w:t>
      </w:r>
      <w:r>
        <w:t xml:space="preserve"> and n</w:t>
      </w:r>
      <w:r w:rsidRPr="00CC7E24">
        <w:t>on-Asian</w:t>
      </w:r>
    </w:p>
    <w:p w:rsidR="00DC0A66" w:rsidRPr="00CC7E24" w:rsidRDefault="00DC0A66" w:rsidP="00402831">
      <w:pPr>
        <w:pStyle w:val="Bullet"/>
      </w:pPr>
      <w:proofErr w:type="gramStart"/>
      <w:r>
        <w:t>t</w:t>
      </w:r>
      <w:r w:rsidRPr="00CC7E24">
        <w:t>otal</w:t>
      </w:r>
      <w:proofErr w:type="gramEnd"/>
      <w:r w:rsidRPr="00CC7E24">
        <w:t xml:space="preserve"> population by </w:t>
      </w:r>
      <w:r>
        <w:t>NZDep2013</w:t>
      </w:r>
      <w:r w:rsidRPr="00CC7E24">
        <w:t xml:space="preserve"> quintile</w:t>
      </w:r>
      <w:r>
        <w:t>.</w:t>
      </w:r>
    </w:p>
    <w:p w:rsidR="00DC0A66" w:rsidRDefault="00DC0A66" w:rsidP="00402831">
      <w:pPr>
        <w:rPr>
          <w:rFonts w:eastAsia="Cambria"/>
          <w:lang w:eastAsia="en-US"/>
        </w:rPr>
      </w:pPr>
    </w:p>
    <w:p w:rsidR="00DC0A66" w:rsidRDefault="00DC0A66" w:rsidP="00402831">
      <w:pPr>
        <w:rPr>
          <w:rFonts w:eastAsia="Cambria"/>
          <w:lang w:eastAsia="en-US"/>
        </w:rPr>
      </w:pPr>
      <w:r w:rsidRPr="00CC7E24">
        <w:rPr>
          <w:rFonts w:eastAsia="Cambria"/>
          <w:lang w:eastAsia="en-US"/>
        </w:rPr>
        <w:t>Age, sex, ethnicity (M</w:t>
      </w:r>
      <w:r w:rsidRPr="00CC7E24">
        <w:t>ā</w:t>
      </w:r>
      <w:r w:rsidRPr="00CC7E24">
        <w:rPr>
          <w:rFonts w:eastAsia="Cambria"/>
          <w:lang w:eastAsia="en-US"/>
        </w:rPr>
        <w:t>ori, Pacific</w:t>
      </w:r>
      <w:r>
        <w:rPr>
          <w:rFonts w:eastAsia="Cambria"/>
          <w:lang w:eastAsia="en-US"/>
        </w:rPr>
        <w:t xml:space="preserve"> peoples</w:t>
      </w:r>
      <w:r w:rsidRPr="00CC7E24">
        <w:rPr>
          <w:rFonts w:eastAsia="Cambria"/>
          <w:lang w:eastAsia="en-US"/>
        </w:rPr>
        <w:t>, Asian</w:t>
      </w:r>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w:t>
      </w:r>
      <w:r>
        <w:rPr>
          <w:rFonts w:eastAsia="Cambria"/>
          <w:lang w:eastAsia="en-US"/>
        </w:rPr>
        <w:t xml:space="preserve"> and to</w:t>
      </w:r>
      <w:r w:rsidRPr="00CC7E24">
        <w:rPr>
          <w:rFonts w:eastAsia="Cambria"/>
          <w:lang w:eastAsia="en-US"/>
        </w:rPr>
        <w:t xml:space="preserve"> non-response</w:t>
      </w:r>
      <w:r>
        <w:rPr>
          <w:rFonts w:eastAsia="Cambria"/>
          <w:lang w:eastAsia="en-US"/>
        </w:rPr>
        <w:t>,</w:t>
      </w:r>
      <w:r w:rsidRPr="00CC7E24">
        <w:rPr>
          <w:rFonts w:eastAsia="Cambria"/>
          <w:lang w:eastAsia="en-US"/>
        </w:rPr>
        <w:t xml:space="preserve"> and </w:t>
      </w:r>
      <w:r>
        <w:rPr>
          <w:rFonts w:eastAsia="Cambria"/>
          <w:lang w:eastAsia="en-US"/>
        </w:rPr>
        <w:t xml:space="preserve">they </w:t>
      </w:r>
      <w:r w:rsidRPr="00CC7E24">
        <w:rPr>
          <w:rFonts w:eastAsia="Cambria"/>
          <w:lang w:eastAsia="en-US"/>
        </w:rPr>
        <w:t>are a key output classification for the survey.</w:t>
      </w:r>
    </w:p>
    <w:p w:rsidR="00DC0A66" w:rsidRDefault="00DC0A66" w:rsidP="00402831">
      <w:pPr>
        <w:rPr>
          <w:rFonts w:eastAsia="Cambria"/>
          <w:lang w:eastAsia="en-US"/>
        </w:rPr>
      </w:pPr>
    </w:p>
    <w:p w:rsidR="00981544" w:rsidRDefault="00DC0A66" w:rsidP="00402831">
      <w:pPr>
        <w:rPr>
          <w:rFonts w:eastAsia="Cambria"/>
          <w:lang w:eastAsia="en-US"/>
        </w:rPr>
      </w:pPr>
      <w:r w:rsidRPr="00B5490B">
        <w:rPr>
          <w:rFonts w:eastAsia="Cambria"/>
          <w:lang w:eastAsia="en-US"/>
        </w:rPr>
        <w:t>Quarterly calibration means that benchmarks are less detailed than would be possible if annual data sets were weighted. In particular, broader age groups are used for the M</w:t>
      </w:r>
      <w:r w:rsidRPr="00B5490B">
        <w:t>ā</w:t>
      </w:r>
      <w:r w:rsidRPr="00B5490B">
        <w:rPr>
          <w:rFonts w:eastAsia="Cambria"/>
          <w:lang w:eastAsia="en-US"/>
        </w:rPr>
        <w:t>ori population benchmarks.</w:t>
      </w:r>
    </w:p>
    <w:p w:rsidR="00DC0A66" w:rsidRPr="00CC7E24" w:rsidRDefault="00DC0A66" w:rsidP="00402831">
      <w:pPr>
        <w:rPr>
          <w:rFonts w:eastAsia="Cambria"/>
          <w:lang w:eastAsia="en-US"/>
        </w:rPr>
      </w:pPr>
    </w:p>
    <w:p w:rsidR="00DC0A66" w:rsidRPr="00402831" w:rsidRDefault="00DC0A66" w:rsidP="00402831">
      <w:pPr>
        <w:pStyle w:val="Heading3"/>
        <w:rPr>
          <w:rFonts w:eastAsia="Cambria"/>
        </w:rPr>
      </w:pPr>
      <w:r w:rsidRPr="00B5490B">
        <w:rPr>
          <w:rFonts w:eastAsia="Cambria"/>
          <w:lang w:eastAsia="en-US"/>
        </w:rPr>
        <w:lastRenderedPageBreak/>
        <w:t>Benchmarks for the M</w:t>
      </w:r>
      <w:r w:rsidRPr="00B5490B">
        <w:t>ā</w:t>
      </w:r>
      <w:r w:rsidRPr="00B5490B">
        <w:rPr>
          <w:rFonts w:eastAsia="Cambria"/>
          <w:lang w:eastAsia="en-US"/>
        </w:rPr>
        <w:t>ori population</w:t>
      </w:r>
    </w:p>
    <w:p w:rsidR="00DC0A66" w:rsidRPr="00B5490B" w:rsidRDefault="00DC0A66" w:rsidP="00402831">
      <w:pPr>
        <w:rPr>
          <w:rFonts w:eastAsia="Cambria"/>
          <w:lang w:eastAsia="en-US"/>
        </w:rPr>
      </w:pPr>
      <w:r w:rsidRPr="00B5490B">
        <w:rPr>
          <w:rFonts w:eastAsia="Cambria"/>
          <w:lang w:eastAsia="en-US"/>
        </w:rPr>
        <w:t>Quarterly benchmarks for the M</w:t>
      </w:r>
      <w:r w:rsidRPr="00B5490B">
        <w:t>ā</w:t>
      </w:r>
      <w:r w:rsidRPr="00B5490B">
        <w:rPr>
          <w:rFonts w:eastAsia="Cambria"/>
          <w:lang w:eastAsia="en-US"/>
        </w:rPr>
        <w:t>ori population are constructed for the NZHS by projecting forward the annual (mid-year) population estimates for M</w:t>
      </w:r>
      <w:r w:rsidRPr="00B5490B">
        <w:t>ā</w:t>
      </w:r>
      <w:r w:rsidRPr="00B5490B">
        <w:rPr>
          <w:rFonts w:eastAsia="Cambria"/>
          <w:lang w:eastAsia="en-US"/>
        </w:rPr>
        <w:t>ori released by Statistics New Zealand.</w:t>
      </w:r>
    </w:p>
    <w:p w:rsidR="00DC0A66" w:rsidRPr="00B5490B" w:rsidRDefault="00DC0A66" w:rsidP="00402831">
      <w:pPr>
        <w:rPr>
          <w:rFonts w:eastAsia="Cambria"/>
          <w:lang w:eastAsia="en-US"/>
        </w:rPr>
      </w:pPr>
    </w:p>
    <w:p w:rsidR="00DC0A66" w:rsidRPr="00B5490B" w:rsidRDefault="00DC0A66" w:rsidP="00402831">
      <w:pPr>
        <w:rPr>
          <w:rFonts w:eastAsia="Cambria"/>
          <w:lang w:eastAsia="en-US"/>
        </w:rPr>
      </w:pPr>
      <w:r w:rsidRPr="00B5490B">
        <w:rPr>
          <w:rFonts w:eastAsia="Cambria"/>
          <w:lang w:eastAsia="en-US"/>
        </w:rPr>
        <w:t>Using the M</w:t>
      </w:r>
      <w:r w:rsidRPr="00B5490B">
        <w:t>ā</w:t>
      </w:r>
      <w:r w:rsidRPr="00B5490B">
        <w:rPr>
          <w:rFonts w:eastAsia="Cambria"/>
          <w:lang w:eastAsia="en-US"/>
        </w:rPr>
        <w:t>ori population estimates and total population estimates as at 30 June, the proportion of the total population who are M</w:t>
      </w:r>
      <w:r w:rsidRPr="00B5490B">
        <w:t>ā</w:t>
      </w:r>
      <w:r w:rsidRPr="00B5490B">
        <w:rPr>
          <w:rFonts w:eastAsia="Cambria"/>
          <w:lang w:eastAsia="en-US"/>
        </w:rPr>
        <w:t xml:space="preserve">ori is calculated for each </w:t>
      </w:r>
      <w:r>
        <w:rPr>
          <w:rFonts w:eastAsia="Cambria"/>
          <w:lang w:eastAsia="en-US"/>
        </w:rPr>
        <w:t>five</w:t>
      </w:r>
      <w:r w:rsidRPr="00B5490B">
        <w:rPr>
          <w:rFonts w:eastAsia="Cambria"/>
          <w:lang w:eastAsia="en-US"/>
        </w:rPr>
        <w:t>-year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Then these proportions are applied to quarterly total population estimates, by age and sex, for the subsequent four quarters.</w:t>
      </w:r>
    </w:p>
    <w:p w:rsidR="00DC0A66" w:rsidRPr="00B5490B" w:rsidRDefault="00DC0A66" w:rsidP="00402831">
      <w:pPr>
        <w:rPr>
          <w:rFonts w:eastAsia="Cambria"/>
          <w:lang w:eastAsia="en-US"/>
        </w:rPr>
      </w:pPr>
    </w:p>
    <w:p w:rsidR="00DC0A66" w:rsidRPr="001B4F14" w:rsidRDefault="00DC0A66" w:rsidP="00402831">
      <w:pPr>
        <w:rPr>
          <w:rFonts w:eastAsia="Cambria"/>
          <w:lang w:eastAsia="en-US"/>
        </w:rPr>
      </w:pPr>
      <w:r w:rsidRPr="00B5490B">
        <w:rPr>
          <w:rFonts w:eastAsia="Cambria"/>
          <w:lang w:eastAsia="en-US"/>
        </w:rPr>
        <w:t>For example, the proportion of each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who are M</w:t>
      </w:r>
      <w:r w:rsidRPr="00B5490B">
        <w:t>ā</w:t>
      </w:r>
      <w:r w:rsidRPr="00B5490B">
        <w:rPr>
          <w:rFonts w:eastAsia="Cambria"/>
          <w:lang w:eastAsia="en-US"/>
        </w:rPr>
        <w:t>ori as at 30 June 2011 is used to construct estimates of the M</w:t>
      </w:r>
      <w:r w:rsidRPr="00B5490B">
        <w:t>ā</w:t>
      </w:r>
      <w:r w:rsidRPr="00B5490B">
        <w:rPr>
          <w:rFonts w:eastAsia="Cambria"/>
          <w:lang w:eastAsia="en-US"/>
        </w:rPr>
        <w:t>ori population by age and sex in each of the quarters ending 30</w:t>
      </w:r>
      <w:r>
        <w:rPr>
          <w:rFonts w:eastAsia="Cambria"/>
          <w:lang w:eastAsia="en-US"/>
        </w:rPr>
        <w:t> </w:t>
      </w:r>
      <w:r w:rsidRPr="00B5490B">
        <w:rPr>
          <w:rFonts w:eastAsia="Cambria"/>
          <w:lang w:eastAsia="en-US"/>
        </w:rPr>
        <w:t>September 2011, 31 December 2011, 31 March 2012 and 30 June 2012.</w:t>
      </w:r>
    </w:p>
    <w:p w:rsidR="00DC0A66" w:rsidRPr="00A4371A" w:rsidRDefault="00DC0A66" w:rsidP="00402831">
      <w:pPr>
        <w:rPr>
          <w:rFonts w:eastAsia="Cambria"/>
          <w:lang w:eastAsia="en-US"/>
        </w:rPr>
      </w:pPr>
    </w:p>
    <w:p w:rsidR="00DC0A66" w:rsidRPr="00CC7E24" w:rsidRDefault="00DC0A66" w:rsidP="00402831">
      <w:pPr>
        <w:pStyle w:val="Heading3"/>
        <w:rPr>
          <w:rFonts w:eastAsia="Cambria"/>
          <w:lang w:eastAsia="en-US"/>
        </w:rPr>
      </w:pPr>
      <w:r w:rsidRPr="00CC7E24">
        <w:rPr>
          <w:rFonts w:eastAsia="Cambria"/>
          <w:lang w:eastAsia="en-US"/>
        </w:rPr>
        <w:t>Benchmarks for the Pacific and Asian population</w:t>
      </w:r>
      <w:r>
        <w:rPr>
          <w:rFonts w:eastAsia="Cambria"/>
          <w:lang w:eastAsia="en-US"/>
        </w:rPr>
        <w:t>s</w:t>
      </w:r>
    </w:p>
    <w:p w:rsidR="00DC0A66" w:rsidRDefault="00DC0A66" w:rsidP="00402831">
      <w:pPr>
        <w:rPr>
          <w:rFonts w:eastAsia="Cambria"/>
          <w:lang w:eastAsia="en-US"/>
        </w:rPr>
      </w:pPr>
      <w:r>
        <w:rPr>
          <w:rFonts w:eastAsia="Cambria"/>
          <w:lang w:eastAsia="en-US"/>
        </w:rPr>
        <w:t>Quarterly b</w:t>
      </w:r>
      <w:r w:rsidRPr="009D18D7">
        <w:rPr>
          <w:rFonts w:eastAsia="Cambria"/>
          <w:lang w:eastAsia="en-US"/>
        </w:rPr>
        <w:t xml:space="preserve">enchmarks for the </w:t>
      </w:r>
      <w:r>
        <w:rPr>
          <w:rFonts w:eastAsia="Cambria"/>
          <w:lang w:eastAsia="en-US"/>
        </w:rPr>
        <w:t>adult</w:t>
      </w:r>
      <w:r w:rsidRPr="009D18D7">
        <w:rPr>
          <w:rFonts w:eastAsia="Cambria"/>
          <w:lang w:eastAsia="en-US"/>
        </w:rPr>
        <w:t xml:space="preserve"> Pacific and Asian populations are derived from Statistics New</w:t>
      </w:r>
      <w:r>
        <w:rPr>
          <w:rFonts w:eastAsia="Cambria"/>
          <w:lang w:eastAsia="en-US"/>
        </w:rPr>
        <w:t xml:space="preserve"> Zealand</w:t>
      </w:r>
      <w:r w:rsidR="00981544">
        <w:rPr>
          <w:rFonts w:eastAsia="Cambria"/>
          <w:lang w:eastAsia="en-US"/>
        </w:rPr>
        <w:t>’</w:t>
      </w:r>
      <w:r>
        <w:rPr>
          <w:rFonts w:eastAsia="Cambria"/>
          <w:lang w:eastAsia="en-US"/>
        </w:rPr>
        <w:t>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 </w:t>
      </w:r>
      <w:r>
        <w:rPr>
          <w:rFonts w:eastAsia="Cambria"/>
          <w:lang w:eastAsia="en-US"/>
        </w:rPr>
        <w:t xml:space="preserve">of </w:t>
      </w:r>
      <w:r w:rsidRPr="00CC7E24">
        <w:rPr>
          <w:rFonts w:eastAsia="Cambria"/>
          <w:lang w:eastAsia="en-US"/>
        </w:rPr>
        <w:t>15,000 households per quarter achieves a very high response rate (close to 90</w:t>
      </w:r>
      <w:r>
        <w:rPr>
          <w:rFonts w:eastAsia="Cambria"/>
          <w:lang w:eastAsia="en-US"/>
        </w:rPr>
        <w:t> percent</w:t>
      </w:r>
      <w:r w:rsidRPr="00CC7E24">
        <w:rPr>
          <w:rFonts w:eastAsia="Cambria"/>
          <w:lang w:eastAsia="en-US"/>
        </w:rPr>
        <w:t>).</w:t>
      </w:r>
    </w:p>
    <w:p w:rsidR="00DC0A66" w:rsidRDefault="00DC0A66" w:rsidP="00402831">
      <w:pPr>
        <w:rPr>
          <w:rFonts w:eastAsia="Cambria"/>
          <w:lang w:eastAsia="en-US"/>
        </w:rPr>
      </w:pPr>
    </w:p>
    <w:p w:rsidR="00DC0A66" w:rsidRPr="00402831" w:rsidRDefault="00DC0A66" w:rsidP="00402831">
      <w:pPr>
        <w:rPr>
          <w:rFonts w:eastAsia="Cambria"/>
        </w:rPr>
      </w:pPr>
      <w:r>
        <w:rPr>
          <w:rFonts w:eastAsia="Cambria"/>
          <w:lang w:eastAsia="en-US"/>
        </w:rPr>
        <w:t>The Household Labour Force Survey</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 xml:space="preserve">age </w:t>
      </w:r>
      <w:r>
        <w:rPr>
          <w:rFonts w:eastAsia="Cambria"/>
          <w:lang w:eastAsia="en-US"/>
        </w:rPr>
        <w:t>(aged 15</w:t>
      </w:r>
      <w:r w:rsidR="00402831">
        <w:rPr>
          <w:rFonts w:eastAsia="Cambria"/>
          <w:lang w:eastAsia="en-US"/>
        </w:rPr>
        <w:t> </w:t>
      </w:r>
      <w:r>
        <w:rPr>
          <w:rFonts w:eastAsia="Cambria"/>
          <w:lang w:eastAsia="en-US"/>
        </w:rPr>
        <w:t xml:space="preserve">years and over) </w:t>
      </w:r>
      <w:r w:rsidRPr="00CC7E24">
        <w:rPr>
          <w:rFonts w:eastAsia="Cambria"/>
          <w:lang w:eastAsia="en-US"/>
        </w:rPr>
        <w:t>Pacific and Asian populations.</w:t>
      </w:r>
      <w:r>
        <w:rPr>
          <w:rFonts w:eastAsia="Cambria"/>
          <w:lang w:eastAsia="en-US"/>
        </w:rPr>
        <w:t xml:space="preserve"> From these estimates, the </w:t>
      </w:r>
      <w:r w:rsidRPr="00B5490B">
        <w:rPr>
          <w:rFonts w:eastAsia="Cambria"/>
          <w:lang w:eastAsia="en-US"/>
        </w:rPr>
        <w:t>proportions of the adult population who are Pacific and Asian are obtained for each quarter. Some of the quarter-to-quarter variation in these proportions is smoothed out by applying a moving average over the quarterly figures. The final smoothed proportions are applied to the total adult benchmark for the corresponding quarter to give quarterly benchmarks for Pacific and Asian adults.</w:t>
      </w:r>
    </w:p>
    <w:p w:rsidR="00DC0A66" w:rsidRPr="00CC7E24" w:rsidRDefault="00DC0A66" w:rsidP="00402831">
      <w:pPr>
        <w:rPr>
          <w:rFonts w:eastAsia="Cambria"/>
          <w:lang w:eastAsia="en-US"/>
        </w:rPr>
      </w:pPr>
    </w:p>
    <w:p w:rsidR="00DC0A66" w:rsidRPr="00CC7E24" w:rsidRDefault="00DC0A66" w:rsidP="00402831">
      <w:pPr>
        <w:pStyle w:val="Heading3"/>
        <w:rPr>
          <w:rFonts w:eastAsia="Cambria"/>
          <w:lang w:eastAsia="en-US"/>
        </w:rPr>
      </w:pPr>
      <w:r w:rsidRPr="007E63E5">
        <w:rPr>
          <w:rFonts w:eastAsia="Cambria"/>
          <w:lang w:eastAsia="en-US"/>
        </w:rPr>
        <w:t>Benchmarks for the NZDep2013 quintiles</w:t>
      </w:r>
    </w:p>
    <w:p w:rsidR="00981544" w:rsidRDefault="00DC0A66" w:rsidP="00402831">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all age</w:t>
      </w:r>
      <w:r>
        <w:rPr>
          <w:rFonts w:eastAsia="Cambria"/>
          <w:lang w:eastAsia="en-US"/>
        </w:rPr>
        <w:t xml:space="preserve"> group</w:t>
      </w:r>
      <w:r w:rsidRPr="00CC7E24">
        <w:rPr>
          <w:rFonts w:eastAsia="Cambria"/>
          <w:lang w:eastAsia="en-US"/>
        </w:rPr>
        <w:t xml:space="preserve">s) into </w:t>
      </w:r>
      <w:r>
        <w:rPr>
          <w:rFonts w:eastAsia="Cambria"/>
          <w:lang w:eastAsia="en-US"/>
        </w:rPr>
        <w:t>five groups of equal size.</w:t>
      </w:r>
    </w:p>
    <w:p w:rsidR="00DC0A66" w:rsidRDefault="00DC0A66" w:rsidP="00402831">
      <w:pPr>
        <w:rPr>
          <w:rFonts w:eastAsia="Cambria"/>
          <w:lang w:eastAsia="en-US"/>
        </w:rPr>
      </w:pPr>
    </w:p>
    <w:p w:rsidR="00981544" w:rsidRDefault="00DC0A66" w:rsidP="00402831">
      <w:pPr>
        <w:rPr>
          <w:rFonts w:eastAsia="Cambria"/>
          <w:lang w:eastAsia="en-US"/>
        </w:rPr>
      </w:pPr>
      <w:r>
        <w:rPr>
          <w:rFonts w:eastAsia="Cambria"/>
          <w:lang w:eastAsia="en-US"/>
        </w:rPr>
        <w:t>The calibration for the 2011/12 and 2012/13 surveys used benchmarks for the New Zealand Index of Deprivation 2006 (NZDep2006) based on 2006 Census data, while the surveys from 2013/14 onwards have used NZDep2013.</w:t>
      </w:r>
    </w:p>
    <w:p w:rsidR="00DC0A66" w:rsidRPr="00CC7E24" w:rsidRDefault="00DC0A66" w:rsidP="00402831">
      <w:pPr>
        <w:rPr>
          <w:rFonts w:eastAsia="Cambria"/>
          <w:lang w:eastAsia="en-US"/>
        </w:rPr>
      </w:pPr>
    </w:p>
    <w:p w:rsidR="00DC0A66" w:rsidRPr="00CC7E24" w:rsidRDefault="00DC0A66" w:rsidP="00402831">
      <w:pPr>
        <w:pStyle w:val="Heading3"/>
        <w:rPr>
          <w:rFonts w:eastAsia="Cambria"/>
          <w:lang w:eastAsia="en-US"/>
        </w:rPr>
      </w:pPr>
      <w:bookmarkStart w:id="165" w:name="_Toc339270021"/>
      <w:bookmarkStart w:id="166" w:name="_Toc340501945"/>
      <w:bookmarkStart w:id="167" w:name="_Toc372445565"/>
      <w:bookmarkStart w:id="168" w:name="_Toc403044020"/>
      <w:r w:rsidRPr="00CC7E24">
        <w:rPr>
          <w:rFonts w:eastAsia="Cambria"/>
          <w:lang w:eastAsia="en-US"/>
        </w:rPr>
        <w:t>Calibrati</w:t>
      </w:r>
      <w:r>
        <w:rPr>
          <w:rFonts w:eastAsia="Cambria"/>
          <w:lang w:eastAsia="en-US"/>
        </w:rPr>
        <w:t>ng</w:t>
      </w:r>
      <w:r w:rsidRPr="00CC7E24">
        <w:rPr>
          <w:rFonts w:eastAsia="Cambria"/>
          <w:lang w:eastAsia="en-US"/>
        </w:rPr>
        <w:t xml:space="preserve"> software and bounding of weights</w:t>
      </w:r>
      <w:bookmarkEnd w:id="165"/>
      <w:bookmarkEnd w:id="166"/>
      <w:bookmarkEnd w:id="167"/>
      <w:bookmarkEnd w:id="168"/>
    </w:p>
    <w:p w:rsidR="00981544" w:rsidRDefault="00DC0A66" w:rsidP="00402831">
      <w:pPr>
        <w:rPr>
          <w:rFonts w:eastAsia="Cambria"/>
          <w:lang w:eastAsia="en-US"/>
        </w:rPr>
      </w:pPr>
      <w:r w:rsidRPr="00CC7E24">
        <w:rPr>
          <w:rFonts w:eastAsia="Cambria"/>
          <w:lang w:eastAsia="en-US"/>
        </w:rPr>
        <w:t xml:space="preserve">The GREGWT </w:t>
      </w:r>
      <w:r>
        <w:rPr>
          <w:rFonts w:eastAsia="Cambria"/>
          <w:lang w:eastAsia="en-US"/>
        </w:rPr>
        <w:t>SAS macro, developed by the Australian Bureau of Statistics, is</w:t>
      </w:r>
      <w:r w:rsidRPr="00CC7E24">
        <w:rPr>
          <w:rFonts w:eastAsia="Cambria"/>
          <w:lang w:eastAsia="en-US"/>
        </w:rPr>
        <w:t xml:space="preserve"> used to calculate </w:t>
      </w:r>
      <w:r>
        <w:rPr>
          <w:rFonts w:eastAsia="Cambria"/>
          <w:lang w:eastAsia="en-US"/>
        </w:rPr>
        <w:t xml:space="preserve">the </w:t>
      </w:r>
      <w:r w:rsidRPr="00CC7E24">
        <w:rPr>
          <w:rFonts w:eastAsia="Cambria"/>
          <w:lang w:eastAsia="en-US"/>
        </w:rPr>
        <w:t xml:space="preserve">calibrated weights. The </w:t>
      </w:r>
      <w:r>
        <w:rPr>
          <w:rFonts w:eastAsia="Cambria"/>
          <w:lang w:eastAsia="en-US"/>
        </w:rPr>
        <w:t>input</w:t>
      </w:r>
      <w:r w:rsidRPr="00CC7E24">
        <w:rPr>
          <w:rFonts w:eastAsia="Cambria"/>
          <w:lang w:eastAsia="en-US"/>
        </w:rPr>
        <w:t xml:space="preserve"> weights are the selection weights, </w:t>
      </w:r>
      <w:r>
        <w:rPr>
          <w:rFonts w:eastAsia="Cambria"/>
          <w:lang w:eastAsia="en-US"/>
        </w:rPr>
        <w:t xml:space="preserve">first </w:t>
      </w:r>
      <w:r w:rsidRPr="00CC7E24">
        <w:rPr>
          <w:rFonts w:eastAsia="Cambria"/>
          <w:lang w:eastAsia="en-US"/>
        </w:rPr>
        <w:t>re</w:t>
      </w:r>
      <w:r>
        <w:rPr>
          <w:rFonts w:eastAsia="Cambria"/>
          <w:lang w:eastAsia="en-US"/>
        </w:rPr>
        <w:t>-</w:t>
      </w:r>
      <w:r w:rsidRPr="00CC7E24">
        <w:rPr>
          <w:rFonts w:eastAsia="Cambria"/>
          <w:lang w:eastAsia="en-US"/>
        </w:rPr>
        <w:t xml:space="preserve">scaled to sum to the </w:t>
      </w:r>
      <w:r>
        <w:rPr>
          <w:rFonts w:eastAsia="Cambria"/>
          <w:lang w:eastAsia="en-US"/>
        </w:rPr>
        <w:t>overall population benchmark</w:t>
      </w:r>
      <w:r w:rsidRPr="00CC7E24">
        <w:rPr>
          <w:rFonts w:eastAsia="Cambria"/>
          <w:lang w:eastAsia="en-US"/>
        </w:rPr>
        <w:t xml:space="preserve">. Final weights are constrained to be less than or equal to the smaller of </w:t>
      </w:r>
      <w:r w:rsidRPr="000B37FC">
        <w:rPr>
          <w:rFonts w:eastAsia="Cambria"/>
          <w:lang w:eastAsia="en-US"/>
        </w:rPr>
        <w:t>1625 and 2.5</w:t>
      </w:r>
      <w:r w:rsidRPr="00CC7E24">
        <w:rPr>
          <w:rFonts w:eastAsia="Cambria"/>
          <w:lang w:eastAsia="en-US"/>
        </w:rPr>
        <w:t xml:space="preserve"> times the </w:t>
      </w:r>
      <w:r>
        <w:rPr>
          <w:rFonts w:eastAsia="Cambria"/>
          <w:lang w:eastAsia="en-US"/>
        </w:rPr>
        <w:t>input</w:t>
      </w:r>
      <w:r w:rsidRPr="00CC7E24">
        <w:rPr>
          <w:rFonts w:eastAsia="Cambria"/>
          <w:lang w:eastAsia="en-US"/>
        </w:rPr>
        <w:t xml:space="preserve"> weight.</w:t>
      </w:r>
    </w:p>
    <w:p w:rsidR="00DC0A66" w:rsidRDefault="00DC0A66" w:rsidP="00402831">
      <w:pPr>
        <w:rPr>
          <w:rFonts w:eastAsia="Cambria"/>
          <w:lang w:eastAsia="en-US"/>
        </w:rPr>
      </w:pPr>
    </w:p>
    <w:p w:rsidR="00DC0A66" w:rsidRPr="00B5490B" w:rsidRDefault="00DC0A66" w:rsidP="00402831">
      <w:pPr>
        <w:pStyle w:val="Heading2"/>
        <w:rPr>
          <w:rFonts w:eastAsia="Cambria"/>
          <w:lang w:eastAsia="en-US"/>
        </w:rPr>
      </w:pPr>
      <w:bookmarkStart w:id="169" w:name="_Toc467491541"/>
      <w:bookmarkStart w:id="170" w:name="_Toc467515143"/>
      <w:proofErr w:type="spellStart"/>
      <w:r w:rsidRPr="00B5490B">
        <w:rPr>
          <w:rFonts w:eastAsia="Cambria"/>
          <w:lang w:eastAsia="en-US"/>
        </w:rPr>
        <w:t>Jackknife</w:t>
      </w:r>
      <w:proofErr w:type="spellEnd"/>
      <w:r w:rsidRPr="00B5490B">
        <w:rPr>
          <w:rFonts w:eastAsia="Cambria"/>
          <w:lang w:eastAsia="en-US"/>
        </w:rPr>
        <w:t xml:space="preserve"> replicate weights</w:t>
      </w:r>
      <w:bookmarkEnd w:id="169"/>
      <w:bookmarkEnd w:id="170"/>
    </w:p>
    <w:p w:rsidR="00DC0A66" w:rsidRPr="00B5490B" w:rsidRDefault="00DC0A66" w:rsidP="00402831">
      <w:pPr>
        <w:rPr>
          <w:rFonts w:eastAsia="Cambria"/>
          <w:lang w:eastAsia="en-US"/>
        </w:rPr>
      </w:pPr>
      <w:r w:rsidRPr="00B5490B">
        <w:rPr>
          <w:rFonts w:eastAsia="Cambria"/>
          <w:lang w:eastAsia="en-US"/>
        </w:rPr>
        <w:t xml:space="preserve">The NZHS uses the delete-a-group </w:t>
      </w:r>
      <w:proofErr w:type="spellStart"/>
      <w:r w:rsidRPr="00B5490B">
        <w:rPr>
          <w:rFonts w:eastAsia="Cambria"/>
          <w:lang w:eastAsia="en-US"/>
        </w:rPr>
        <w:t>jackknife</w:t>
      </w:r>
      <w:proofErr w:type="spellEnd"/>
      <w:r w:rsidRPr="00B5490B">
        <w:rPr>
          <w:rFonts w:eastAsia="Cambria"/>
          <w:lang w:eastAsia="en-US"/>
        </w:rPr>
        <w:t xml:space="preserve"> method </w:t>
      </w:r>
      <w:r w:rsidRPr="00100B6E">
        <w:rPr>
          <w:rFonts w:eastAsia="Cambria"/>
          <w:lang w:eastAsia="en-US"/>
        </w:rPr>
        <w:t>(</w:t>
      </w:r>
      <w:proofErr w:type="spellStart"/>
      <w:r w:rsidRPr="00100B6E">
        <w:rPr>
          <w:rFonts w:eastAsia="Cambria"/>
          <w:lang w:eastAsia="en-US"/>
        </w:rPr>
        <w:t>Kott</w:t>
      </w:r>
      <w:proofErr w:type="spellEnd"/>
      <w:r w:rsidRPr="00100B6E">
        <w:rPr>
          <w:rFonts w:eastAsia="Cambria"/>
          <w:lang w:eastAsia="en-US"/>
        </w:rPr>
        <w:t xml:space="preserve"> 2001)</w:t>
      </w:r>
      <w:r w:rsidRPr="00B5490B">
        <w:rPr>
          <w:rFonts w:eastAsia="Cambria"/>
          <w:lang w:eastAsia="en-US"/>
        </w:rPr>
        <w:t xml:space="preserve"> to calculate standard errors for survey estimates.</w:t>
      </w:r>
    </w:p>
    <w:p w:rsidR="00DC0A66" w:rsidRPr="00B5490B" w:rsidRDefault="00DC0A66" w:rsidP="00402831">
      <w:pPr>
        <w:rPr>
          <w:rFonts w:eastAsia="Cambria"/>
          <w:lang w:eastAsia="en-US"/>
        </w:rPr>
      </w:pPr>
    </w:p>
    <w:p w:rsidR="00DC0A66" w:rsidRPr="00B5490B" w:rsidRDefault="00DC0A66" w:rsidP="00402831">
      <w:pPr>
        <w:keepLines/>
        <w:rPr>
          <w:rFonts w:eastAsia="Cambria"/>
          <w:lang w:eastAsia="en-US"/>
        </w:rPr>
      </w:pPr>
      <w:r>
        <w:rPr>
          <w:rFonts w:eastAsia="Cambria"/>
          <w:lang w:eastAsia="en-US"/>
        </w:rPr>
        <w:lastRenderedPageBreak/>
        <w:t>One hundred</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replicate weights are produced for every respondent in the survey, in addition to the final calibrated weight. Each replicate weight corresponds to removing a group of </w:t>
      </w:r>
      <w:r>
        <w:rPr>
          <w:rFonts w:eastAsia="Cambria"/>
          <w:lang w:eastAsia="en-US"/>
        </w:rPr>
        <w:t>PSU</w:t>
      </w:r>
      <w:r w:rsidRPr="00B5490B">
        <w:rPr>
          <w:rFonts w:eastAsia="Cambria"/>
          <w:lang w:eastAsia="en-US"/>
        </w:rPr>
        <w:t xml:space="preserve">s from the sample and re-weighting the remaining sample using exactly the same approach </w:t>
      </w:r>
      <w:r>
        <w:rPr>
          <w:rFonts w:eastAsia="Cambria"/>
          <w:lang w:eastAsia="en-US"/>
        </w:rPr>
        <w:t xml:space="preserve">as that </w:t>
      </w:r>
      <w:r w:rsidRPr="00B5490B">
        <w:rPr>
          <w:rFonts w:eastAsia="Cambria"/>
          <w:lang w:eastAsia="en-US"/>
        </w:rPr>
        <w:t>used to construct the weights for the full sample, including calibration to the same population benchmarks.</w:t>
      </w:r>
    </w:p>
    <w:p w:rsidR="00DC0A66" w:rsidRPr="00B5490B" w:rsidRDefault="00DC0A66" w:rsidP="00402831">
      <w:pPr>
        <w:rPr>
          <w:rFonts w:eastAsia="Cambria"/>
          <w:lang w:eastAsia="en-US"/>
        </w:rPr>
      </w:pPr>
    </w:p>
    <w:p w:rsidR="00DC0A66" w:rsidRPr="00B5490B" w:rsidRDefault="00DC0A66" w:rsidP="00402831">
      <w:pPr>
        <w:rPr>
          <w:rFonts w:eastAsia="Cambria"/>
          <w:lang w:eastAsia="en-US"/>
        </w:rPr>
      </w:pPr>
      <w:r w:rsidRPr="00B5490B">
        <w:rPr>
          <w:rFonts w:eastAsia="Cambria"/>
          <w:lang w:eastAsia="en-US"/>
        </w:rPr>
        <w:t xml:space="preserve">For any weighted estimate calculated from the survey, 100 </w:t>
      </w:r>
      <w:proofErr w:type="spellStart"/>
      <w:r w:rsidRPr="00B5490B">
        <w:rPr>
          <w:rFonts w:eastAsia="Cambria"/>
          <w:lang w:eastAsia="en-US"/>
        </w:rPr>
        <w:t>jackknife</w:t>
      </w:r>
      <w:proofErr w:type="spellEnd"/>
      <w:r w:rsidRPr="00B5490B">
        <w:rPr>
          <w:rFonts w:eastAsia="Cambria"/>
          <w:lang w:eastAsia="en-US"/>
        </w:rPr>
        <w:t xml:space="preserve"> replicate estimates can also be calculated using the 100 </w:t>
      </w:r>
      <w:proofErr w:type="spellStart"/>
      <w:r w:rsidRPr="00B5490B">
        <w:rPr>
          <w:rFonts w:eastAsia="Cambria"/>
          <w:lang w:eastAsia="en-US"/>
        </w:rPr>
        <w:t>jackknife</w:t>
      </w:r>
      <w:proofErr w:type="spellEnd"/>
      <w:r w:rsidRPr="00B5490B">
        <w:rPr>
          <w:rFonts w:eastAsia="Cambria"/>
          <w:lang w:eastAsia="en-US"/>
        </w:rPr>
        <w:t xml:space="preserve"> weights. The standard error of the full sample estimate is based on the variation in the replicate estimates.</w:t>
      </w:r>
    </w:p>
    <w:p w:rsidR="00DC0A66" w:rsidRPr="00B5490B" w:rsidRDefault="00DC0A66" w:rsidP="00402831">
      <w:pPr>
        <w:rPr>
          <w:rFonts w:eastAsia="Cambria"/>
          <w:lang w:eastAsia="en-US"/>
        </w:rPr>
      </w:pPr>
    </w:p>
    <w:p w:rsidR="00DC0A66" w:rsidRDefault="00DC0A66" w:rsidP="00402831">
      <w:pPr>
        <w:rPr>
          <w:rFonts w:eastAsia="Cambria"/>
          <w:highlight w:val="yellow"/>
          <w:lang w:eastAsia="en-US"/>
        </w:rPr>
      </w:pPr>
      <w:r w:rsidRPr="00B5490B">
        <w:rPr>
          <w:rFonts w:eastAsia="Cambria"/>
          <w:lang w:eastAsia="en-US"/>
        </w:rPr>
        <w:t xml:space="preserve">A number of statistical analysis packages, including SAS, </w:t>
      </w:r>
      <w:proofErr w:type="spellStart"/>
      <w:r w:rsidRPr="00B5490B">
        <w:rPr>
          <w:rFonts w:eastAsia="Cambria"/>
          <w:lang w:eastAsia="en-US"/>
        </w:rPr>
        <w:t>Stata</w:t>
      </w:r>
      <w:proofErr w:type="spellEnd"/>
      <w:r w:rsidRPr="00B5490B">
        <w:rPr>
          <w:rFonts w:eastAsia="Cambria"/>
          <w:lang w:eastAsia="en-US"/>
        </w:rPr>
        <w:t xml:space="preserve"> and R</w:t>
      </w:r>
      <w:r>
        <w:rPr>
          <w:rFonts w:eastAsia="Cambria"/>
          <w:lang w:eastAsia="en-US"/>
        </w:rPr>
        <w:t>, can calculate</w:t>
      </w:r>
      <w:r w:rsidRPr="00B5490B">
        <w:rPr>
          <w:rFonts w:eastAsia="Cambria"/>
          <w:lang w:eastAsia="en-US"/>
        </w:rPr>
        <w:t xml:space="preserve"> standard errors </w:t>
      </w:r>
      <w:r>
        <w:rPr>
          <w:rFonts w:eastAsia="Cambria"/>
          <w:lang w:eastAsia="en-US"/>
        </w:rPr>
        <w:t>using</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weights.</w:t>
      </w:r>
    </w:p>
    <w:p w:rsidR="00DC0A66" w:rsidRDefault="00DC0A66" w:rsidP="00402831">
      <w:pPr>
        <w:rPr>
          <w:rFonts w:eastAsia="Cambria"/>
          <w:lang w:eastAsia="en-US"/>
        </w:rPr>
      </w:pPr>
    </w:p>
    <w:p w:rsidR="00DC0A66" w:rsidRPr="00CC7E24" w:rsidRDefault="00DC0A66" w:rsidP="00402831">
      <w:pPr>
        <w:pStyle w:val="Heading2"/>
        <w:rPr>
          <w:lang w:eastAsia="en-NZ"/>
        </w:rPr>
      </w:pPr>
      <w:bookmarkStart w:id="171" w:name="_Toc467491542"/>
      <w:bookmarkStart w:id="172" w:name="_Toc467515144"/>
      <w:r w:rsidRPr="00CC7E24">
        <w:rPr>
          <w:lang w:eastAsia="en-NZ"/>
        </w:rPr>
        <w:t>Weights for</w:t>
      </w:r>
      <w:r>
        <w:rPr>
          <w:lang w:eastAsia="en-NZ"/>
        </w:rPr>
        <w:t xml:space="preserve"> </w:t>
      </w:r>
      <w:r w:rsidRPr="00CC7E24">
        <w:rPr>
          <w:lang w:eastAsia="en-NZ"/>
        </w:rPr>
        <w:t xml:space="preserve">measurement </w:t>
      </w:r>
      <w:r>
        <w:rPr>
          <w:lang w:eastAsia="en-NZ"/>
        </w:rPr>
        <w:t>data</w:t>
      </w:r>
      <w:bookmarkEnd w:id="171"/>
      <w:bookmarkEnd w:id="172"/>
    </w:p>
    <w:p w:rsidR="00DC0A66" w:rsidRPr="00E747E0" w:rsidRDefault="00DC0A66" w:rsidP="00402831">
      <w:r w:rsidRPr="00E747E0">
        <w:t xml:space="preserve">An additional set of estimation weights (and corresponding </w:t>
      </w:r>
      <w:proofErr w:type="spellStart"/>
      <w:r w:rsidRPr="00E747E0">
        <w:t>jackknife</w:t>
      </w:r>
      <w:proofErr w:type="spellEnd"/>
      <w:r w:rsidRPr="00E747E0">
        <w:t xml:space="preserve"> weights) has been created specifically for analys</w:t>
      </w:r>
      <w:r>
        <w:t>ing</w:t>
      </w:r>
      <w:r w:rsidRPr="00E747E0">
        <w:t xml:space="preserve"> the measurements collected from respondents as part of the core NZHS interview. </w:t>
      </w:r>
      <w:r w:rsidRPr="00100B6E">
        <w:t xml:space="preserve">Height and weight measurements are obtained from around </w:t>
      </w:r>
      <w:r w:rsidRPr="005F6B91">
        <w:t>95</w:t>
      </w:r>
      <w:r>
        <w:t xml:space="preserve"> percent</w:t>
      </w:r>
      <w:r w:rsidRPr="00EA2C2A">
        <w:t xml:space="preserve"> </w:t>
      </w:r>
      <w:r w:rsidRPr="00100B6E">
        <w:t>of eligible adult</w:t>
      </w:r>
      <w:r>
        <w:t xml:space="preserve"> </w:t>
      </w:r>
      <w:r w:rsidRPr="00100B6E">
        <w:t xml:space="preserve">and </w:t>
      </w:r>
      <w:r w:rsidRPr="005F6B91">
        <w:t>91</w:t>
      </w:r>
      <w:r>
        <w:t xml:space="preserve"> percent</w:t>
      </w:r>
      <w:r w:rsidRPr="00100B6E">
        <w:t xml:space="preserve"> </w:t>
      </w:r>
      <w:r>
        <w:t>of eligible</w:t>
      </w:r>
      <w:r w:rsidRPr="00100B6E">
        <w:t xml:space="preserve"> child respondents.</w:t>
      </w:r>
      <w:r w:rsidRPr="00E747E0">
        <w:t xml:space="preserve"> As variables derived from height and weight are key outputs from the survey, it is useful to have this additional set of estimation weights to compensate for the additional non</w:t>
      </w:r>
      <w:r>
        <w:t>-</w:t>
      </w:r>
      <w:r w:rsidRPr="00E747E0">
        <w:t>response to these items.</w:t>
      </w:r>
    </w:p>
    <w:p w:rsidR="00DC0A66" w:rsidRDefault="00DC0A66" w:rsidP="00402831"/>
    <w:p w:rsidR="00981544" w:rsidRDefault="00DC0A66" w:rsidP="00402831">
      <w:pPr>
        <w:rPr>
          <w:lang w:eastAsia="en-NZ"/>
        </w:rPr>
      </w:pPr>
      <w:r>
        <w:rPr>
          <w:lang w:eastAsia="en-NZ"/>
        </w:rPr>
        <w:t>The</w:t>
      </w:r>
      <w:r w:rsidRPr="00CC7E24">
        <w:rPr>
          <w:lang w:eastAsia="en-NZ"/>
        </w:rPr>
        <w:t xml:space="preserve"> extra set of </w:t>
      </w:r>
      <w:r>
        <w:rPr>
          <w:lang w:eastAsia="en-NZ"/>
        </w:rPr>
        <w:t>weights is</w:t>
      </w:r>
      <w:r w:rsidRPr="00CC7E24">
        <w:rPr>
          <w:lang w:eastAsia="en-NZ"/>
        </w:rPr>
        <w:t xml:space="preserve"> calculated for the subset of </w:t>
      </w:r>
      <w:r>
        <w:t>respondents</w:t>
      </w:r>
      <w:r w:rsidRPr="00CC7E24">
        <w:rPr>
          <w:lang w:eastAsia="en-NZ"/>
        </w:rPr>
        <w:t xml:space="preserve"> who ha</w:t>
      </w:r>
      <w:r>
        <w:rPr>
          <w:lang w:eastAsia="en-NZ"/>
        </w:rPr>
        <w:t>ve</w:t>
      </w:r>
      <w:r w:rsidRPr="00CC7E24">
        <w:rPr>
          <w:lang w:eastAsia="en-NZ"/>
        </w:rPr>
        <w:t xml:space="preserve"> their height</w:t>
      </w:r>
      <w:r>
        <w:rPr>
          <w:lang w:eastAsia="en-NZ"/>
        </w:rPr>
        <w:t xml:space="preserve"> and weight </w:t>
      </w:r>
      <w:r w:rsidRPr="00CC7E24">
        <w:rPr>
          <w:lang w:eastAsia="en-NZ"/>
        </w:rPr>
        <w:t xml:space="preserve">measured. </w:t>
      </w:r>
      <w:r>
        <w:rPr>
          <w:lang w:eastAsia="en-NZ"/>
        </w:rPr>
        <w:t>Creating these estimation weights follows e</w:t>
      </w:r>
      <w:r w:rsidRPr="00CC7E24">
        <w:rPr>
          <w:lang w:eastAsia="en-NZ"/>
        </w:rPr>
        <w:t xml:space="preserve">xactly the same process as for the full sample. This </w:t>
      </w:r>
      <w:r>
        <w:rPr>
          <w:lang w:eastAsia="en-NZ"/>
        </w:rPr>
        <w:t xml:space="preserve">consistent approach </w:t>
      </w:r>
      <w:r w:rsidRPr="00CC7E24">
        <w:rPr>
          <w:lang w:eastAsia="en-NZ"/>
        </w:rPr>
        <w:t xml:space="preserve">ensures that any bias due to lower participation in the measurement phase of the </w:t>
      </w:r>
      <w:r>
        <w:rPr>
          <w:lang w:eastAsia="en-NZ"/>
        </w:rPr>
        <w:t>survey</w:t>
      </w:r>
      <w:r w:rsidRPr="00CC7E24">
        <w:rPr>
          <w:lang w:eastAsia="en-NZ"/>
        </w:rPr>
        <w:t xml:space="preserve"> for particular demographic subgroups (such as age groups or ethnic groups) is accounted for in the final estimates for the survey.</w:t>
      </w:r>
    </w:p>
    <w:p w:rsidR="00DC0A66" w:rsidRDefault="00DC0A66" w:rsidP="00402831">
      <w:pPr>
        <w:rPr>
          <w:lang w:eastAsia="en-NZ"/>
        </w:rPr>
      </w:pPr>
    </w:p>
    <w:p w:rsidR="00DC0A66" w:rsidRDefault="00DC0A66" w:rsidP="00402831">
      <w:pPr>
        <w:rPr>
          <w:lang w:eastAsia="en-NZ"/>
        </w:rPr>
      </w:pPr>
      <w:r w:rsidRPr="00E747E0">
        <w:rPr>
          <w:lang w:eastAsia="en-NZ"/>
        </w:rPr>
        <w:t xml:space="preserve">These </w:t>
      </w:r>
      <w:r>
        <w:rPr>
          <w:lang w:eastAsia="en-NZ"/>
        </w:rPr>
        <w:t xml:space="preserve">estimation </w:t>
      </w:r>
      <w:r w:rsidRPr="00E747E0">
        <w:rPr>
          <w:lang w:eastAsia="en-NZ"/>
        </w:rPr>
        <w:t>weights are also used for analysis involving waist and blood pressure measurements. Waist and blood pressure measurements are obtained from almost all respondents who have had their height and weight measured.</w:t>
      </w:r>
    </w:p>
    <w:p w:rsidR="00DC0A66" w:rsidRPr="00CC7E24" w:rsidRDefault="00DC0A66" w:rsidP="00402831">
      <w:pPr>
        <w:rPr>
          <w:lang w:eastAsia="en-NZ"/>
        </w:rPr>
      </w:pPr>
    </w:p>
    <w:p w:rsidR="00DC0A66" w:rsidRPr="00CC7E24" w:rsidRDefault="00DC0A66" w:rsidP="00402831">
      <w:pPr>
        <w:pStyle w:val="Heading2"/>
        <w:rPr>
          <w:lang w:eastAsia="en-NZ"/>
        </w:rPr>
      </w:pPr>
      <w:bookmarkStart w:id="173" w:name="_Toc467491543"/>
      <w:bookmarkStart w:id="174" w:name="_Toc467515145"/>
      <w:r w:rsidRPr="00CC7E24">
        <w:rPr>
          <w:lang w:eastAsia="en-NZ"/>
        </w:rPr>
        <w:t xml:space="preserve">Weights for </w:t>
      </w:r>
      <w:r>
        <w:rPr>
          <w:lang w:eastAsia="en-NZ"/>
        </w:rPr>
        <w:t>alcohol</w:t>
      </w:r>
      <w:r w:rsidRPr="00CC7E24">
        <w:rPr>
          <w:lang w:eastAsia="en-NZ"/>
        </w:rPr>
        <w:t xml:space="preserve"> </w:t>
      </w:r>
      <w:r>
        <w:rPr>
          <w:lang w:eastAsia="en-NZ"/>
        </w:rPr>
        <w:t>consumption data</w:t>
      </w:r>
      <w:bookmarkEnd w:id="173"/>
      <w:bookmarkEnd w:id="174"/>
    </w:p>
    <w:p w:rsidR="00DC0A66" w:rsidRDefault="00DC0A66" w:rsidP="00402831">
      <w:r>
        <w:t>In 2015/16, half of the adult respondents answered the same questions on alcohol consumption as the previous years, while the other half answered new questions that refer to a show-card about standard drinks (see also Section 4).</w:t>
      </w:r>
    </w:p>
    <w:p w:rsidR="00DC0A66" w:rsidRDefault="00DC0A66" w:rsidP="00402831"/>
    <w:p w:rsidR="00DC0A66" w:rsidRDefault="00DC0A66" w:rsidP="00402831">
      <w:r>
        <w:t xml:space="preserve">As expected, the two groups of respondents are very similar in terms of their age, sex, </w:t>
      </w:r>
      <w:proofErr w:type="gramStart"/>
      <w:r>
        <w:t>ethnicity</w:t>
      </w:r>
      <w:proofErr w:type="gramEnd"/>
      <w:r>
        <w:t xml:space="preserve"> and NZDep2013 profiles.</w:t>
      </w:r>
    </w:p>
    <w:p w:rsidR="00DC0A66" w:rsidRDefault="00DC0A66" w:rsidP="00402831"/>
    <w:p w:rsidR="00DC0A66" w:rsidRDefault="00DC0A66" w:rsidP="00402831">
      <w:pPr>
        <w:rPr>
          <w:lang w:eastAsia="en-NZ"/>
        </w:rPr>
      </w:pPr>
      <w:r>
        <w:t xml:space="preserve">To further ensure that each half of the two sample groups accurately represents the New Zealand population, each group is re-weighted separately to match the same population benchmarks as for the full 2015/16 sample. These additional weights (and corresponding </w:t>
      </w:r>
      <w:proofErr w:type="spellStart"/>
      <w:r>
        <w:t>jackknife</w:t>
      </w:r>
      <w:proofErr w:type="spellEnd"/>
      <w:r>
        <w:t xml:space="preserve"> replicate weights) are only used for statistics derived from the alcohol consumption questions.</w:t>
      </w:r>
    </w:p>
    <w:p w:rsidR="00DC0A66" w:rsidRDefault="00DC0A66" w:rsidP="00402831"/>
    <w:p w:rsidR="00DC0A66" w:rsidRDefault="00DC0A66" w:rsidP="00402831">
      <w:pPr>
        <w:pStyle w:val="Heading1"/>
      </w:pPr>
      <w:bookmarkStart w:id="175" w:name="_Toc339270022"/>
      <w:bookmarkStart w:id="176" w:name="_Toc340501946"/>
      <w:bookmarkStart w:id="177" w:name="_Toc372445566"/>
      <w:bookmarkStart w:id="178" w:name="_Toc403044021"/>
      <w:bookmarkStart w:id="179" w:name="_Toc467491544"/>
      <w:bookmarkStart w:id="180" w:name="_Toc467515146"/>
      <w:bookmarkStart w:id="181" w:name="_Toc196280178"/>
      <w:bookmarkEnd w:id="89"/>
      <w:bookmarkEnd w:id="90"/>
      <w:r w:rsidRPr="00CC7E24">
        <w:lastRenderedPageBreak/>
        <w:t xml:space="preserve">Section </w:t>
      </w:r>
      <w:r>
        <w:t>8</w:t>
      </w:r>
      <w:r w:rsidRPr="00CC7E24">
        <w:t xml:space="preserve">: </w:t>
      </w:r>
      <w:r>
        <w:t>A</w:t>
      </w:r>
      <w:r w:rsidRPr="00CC7E24">
        <w:t>nalysis</w:t>
      </w:r>
      <w:bookmarkEnd w:id="175"/>
      <w:bookmarkEnd w:id="176"/>
      <w:bookmarkEnd w:id="177"/>
      <w:bookmarkEnd w:id="178"/>
      <w:r>
        <w:t xml:space="preserve"> methods</w:t>
      </w:r>
      <w:bookmarkEnd w:id="179"/>
      <w:bookmarkEnd w:id="180"/>
    </w:p>
    <w:p w:rsidR="00DC0A66" w:rsidRPr="00CC7E24" w:rsidRDefault="00DC0A66" w:rsidP="0051040E">
      <w:pPr>
        <w:pStyle w:val="Heading2"/>
      </w:pPr>
      <w:bookmarkStart w:id="182" w:name="_Toc467491545"/>
      <w:bookmarkStart w:id="183" w:name="_Toc467515147"/>
      <w:r>
        <w:t>Estimating proportions, totals and means</w:t>
      </w:r>
      <w:bookmarkEnd w:id="182"/>
      <w:bookmarkEnd w:id="183"/>
    </w:p>
    <w:p w:rsidR="00DC0A66" w:rsidRDefault="00DC0A66" w:rsidP="0051040E">
      <w:r>
        <w:t>Most statistics published in NZHS reports are proportions, totals or means, that is, survey estimates of:</w:t>
      </w:r>
    </w:p>
    <w:p w:rsidR="00DC0A66" w:rsidRDefault="00DC0A66" w:rsidP="0051040E">
      <w:pPr>
        <w:pStyle w:val="Bullet"/>
      </w:pPr>
      <w:proofErr w:type="gramStart"/>
      <w:r>
        <w:t>the</w:t>
      </w:r>
      <w:proofErr w:type="gramEnd"/>
      <w:r>
        <w:t xml:space="preserve"> proportion (or percentage) of people with a particular characteristic, such as a specific health condition, behaviour or outcome. (In epidemiology, the proportion of a population who have a disease or health condition at a specific period of time is called the prevalence of the disease or condition.)</w:t>
      </w:r>
    </w:p>
    <w:p w:rsidR="00DC0A66" w:rsidRDefault="00DC0A66" w:rsidP="0051040E">
      <w:pPr>
        <w:pStyle w:val="Bullet"/>
      </w:pPr>
      <w:r>
        <w:t>the total number of people with a particular characteristic</w:t>
      </w:r>
    </w:p>
    <w:p w:rsidR="00DC0A66" w:rsidRDefault="00DC0A66" w:rsidP="0051040E">
      <w:pPr>
        <w:pStyle w:val="Bullet"/>
      </w:pPr>
      <w:proofErr w:type="gramStart"/>
      <w:r>
        <w:t>the</w:t>
      </w:r>
      <w:proofErr w:type="gramEnd"/>
      <w:r>
        <w:t xml:space="preserve"> mean per person of some numeric quantity.</w:t>
      </w:r>
    </w:p>
    <w:p w:rsidR="00DC0A66" w:rsidRDefault="00DC0A66" w:rsidP="0051040E"/>
    <w:p w:rsidR="00DC0A66" w:rsidRPr="00CC7E24" w:rsidRDefault="00DC0A66" w:rsidP="0051040E">
      <w:r>
        <w:t>A description of the calculation method for each of these types of statistics follows. References to weights here mean the final calibrated weights discussed in Section 7</w:t>
      </w:r>
      <w:r w:rsidRPr="00A5780D">
        <w:t>.</w:t>
      </w:r>
    </w:p>
    <w:p w:rsidR="00DC0A66" w:rsidRDefault="00DC0A66" w:rsidP="0051040E">
      <w:pPr>
        <w:rPr>
          <w:rFonts w:eastAsia="Cambria"/>
          <w:lang w:eastAsia="en-US"/>
        </w:rPr>
      </w:pPr>
    </w:p>
    <w:p w:rsidR="00DC0A66" w:rsidRDefault="00DC0A66" w:rsidP="0051040E">
      <w:pPr>
        <w:pStyle w:val="Heading3"/>
        <w:rPr>
          <w:rFonts w:eastAsia="Cambria"/>
          <w:lang w:eastAsia="en-US"/>
        </w:rPr>
      </w:pPr>
      <w:r>
        <w:rPr>
          <w:rFonts w:eastAsia="Cambria"/>
          <w:lang w:eastAsia="en-US"/>
        </w:rPr>
        <w:t>Adjusting for item non-response</w:t>
      </w:r>
    </w:p>
    <w:p w:rsidR="00DC0A66" w:rsidRDefault="00DC0A66" w:rsidP="0051040E">
      <w:r>
        <w:t xml:space="preserve">Before calculating proportions, totals or means for a particular variable, an adjustment is made to the final weights to account for respondents who answered with </w:t>
      </w:r>
      <w:r w:rsidR="00981544">
        <w:t>‘</w:t>
      </w:r>
      <w:r>
        <w:t>don</w:t>
      </w:r>
      <w:r w:rsidR="00981544">
        <w:t>’</w:t>
      </w:r>
      <w:r>
        <w:t>t know</w:t>
      </w:r>
      <w:r w:rsidR="00981544">
        <w:t>’</w:t>
      </w:r>
      <w:r>
        <w:t xml:space="preserve"> or </w:t>
      </w:r>
      <w:r w:rsidR="00981544">
        <w:t>‘</w:t>
      </w:r>
      <w:r>
        <w:t>refused</w:t>
      </w:r>
      <w:r w:rsidR="00981544">
        <w:t>’</w:t>
      </w:r>
      <w:r>
        <w:t xml:space="preserve"> to the relevant question or questions.</w:t>
      </w:r>
    </w:p>
    <w:p w:rsidR="00DC0A66" w:rsidRDefault="00DC0A66" w:rsidP="0051040E"/>
    <w:p w:rsidR="00DC0A66" w:rsidRDefault="00DC0A66" w:rsidP="0051040E">
      <w:r>
        <w:t xml:space="preserve">The adjustment increases the rating for the final weights of the respondents who answered the question, to represent the final weights of the respondents who answered </w:t>
      </w:r>
      <w:r w:rsidR="00981544">
        <w:t>‘</w:t>
      </w:r>
      <w:r>
        <w:t>don</w:t>
      </w:r>
      <w:r w:rsidR="00981544">
        <w:t>’</w:t>
      </w:r>
      <w:r>
        <w:t>t know</w:t>
      </w:r>
      <w:r w:rsidR="00981544">
        <w:t>’</w:t>
      </w:r>
      <w:r>
        <w:t xml:space="preserve"> or </w:t>
      </w:r>
      <w:r w:rsidR="00981544">
        <w:t>‘</w:t>
      </w:r>
      <w:r>
        <w:t>refused</w:t>
      </w:r>
      <w:r w:rsidR="00981544">
        <w:t>’</w:t>
      </w:r>
      <w:r>
        <w:t xml:space="preserve">. This is carried out within cells defined by sex and age group (10-year age groups for adults and </w:t>
      </w:r>
      <w:r w:rsidR="0051040E">
        <w:t>five</w:t>
      </w:r>
      <w:r>
        <w:t>-year age groups for children), therefore making use of some information on what type of respondents are more likely to be item non-respondents to this variable. Then the item non-respondents can be safely left out of the calculation of proportions, totals or means for the variable.</w:t>
      </w:r>
    </w:p>
    <w:p w:rsidR="00DC0A66" w:rsidRDefault="00DC0A66" w:rsidP="0051040E"/>
    <w:p w:rsidR="00DC0A66" w:rsidRDefault="00DC0A66" w:rsidP="0051040E">
      <w:r>
        <w:t>The adjustment is most important for totals to ensure that item non-response does not lead to underestimating the number of people having a particular condition or behaviour. The effect will usually be very small for proportions and means</w:t>
      </w:r>
      <w:r w:rsidR="000F6953">
        <w:t>;</w:t>
      </w:r>
      <w:r>
        <w:t xml:space="preserve"> that is, proportions and means using the adjusted weights will be very similar to those using the final calibrated weights.</w:t>
      </w:r>
    </w:p>
    <w:p w:rsidR="00981544" w:rsidRDefault="00981544" w:rsidP="0051040E"/>
    <w:p w:rsidR="00DC0A66" w:rsidRDefault="00DC0A66" w:rsidP="0051040E">
      <w:r>
        <w:t xml:space="preserve">The adjustment is done </w:t>
      </w:r>
      <w:r w:rsidR="00981544">
        <w:t>‘</w:t>
      </w:r>
      <w:r>
        <w:t>on the fly</w:t>
      </w:r>
      <w:r w:rsidR="00981544">
        <w:t>’</w:t>
      </w:r>
      <w:r>
        <w:t xml:space="preserve"> in the sense that the item-specific weights are created and used for estimating but are not kept on the survey data set.</w:t>
      </w:r>
    </w:p>
    <w:p w:rsidR="00DC0A66" w:rsidRPr="00CC7E24" w:rsidRDefault="00DC0A66" w:rsidP="0051040E">
      <w:pPr>
        <w:rPr>
          <w:rFonts w:eastAsia="Cambria"/>
          <w:lang w:eastAsia="en-US"/>
        </w:rPr>
      </w:pPr>
    </w:p>
    <w:p w:rsidR="00DC0A66" w:rsidRPr="00CC7E24" w:rsidRDefault="00DC0A66" w:rsidP="0051040E">
      <w:pPr>
        <w:pStyle w:val="Heading3"/>
        <w:rPr>
          <w:rFonts w:eastAsia="Cambria"/>
          <w:lang w:eastAsia="en-US"/>
        </w:rPr>
      </w:pPr>
      <w:bookmarkStart w:id="184" w:name="_Toc339270029"/>
      <w:r w:rsidRPr="00CC7E24">
        <w:rPr>
          <w:rFonts w:eastAsia="Cambria"/>
          <w:lang w:eastAsia="en-US"/>
        </w:rPr>
        <w:t>Calculati</w:t>
      </w:r>
      <w:r>
        <w:rPr>
          <w:rFonts w:eastAsia="Cambria"/>
          <w:lang w:eastAsia="en-US"/>
        </w:rPr>
        <w:t>ng</w:t>
      </w:r>
      <w:r w:rsidRPr="00CC7E24">
        <w:rPr>
          <w:rFonts w:eastAsia="Cambria"/>
          <w:lang w:eastAsia="en-US"/>
        </w:rPr>
        <w:t xml:space="preserve"> proportions</w:t>
      </w:r>
      <w:bookmarkEnd w:id="184"/>
    </w:p>
    <w:p w:rsidR="00DC0A66" w:rsidRPr="00CC7E24" w:rsidRDefault="00DC0A66" w:rsidP="0051040E">
      <w:pPr>
        <w:rPr>
          <w:rFonts w:eastAsia="Cambria"/>
          <w:lang w:eastAsia="en-US"/>
        </w:rPr>
      </w:pPr>
      <w:r w:rsidRPr="00F20E7F">
        <w:rPr>
          <w:rFonts w:eastAsia="Cambria"/>
          <w:lang w:eastAsia="en-US"/>
        </w:rPr>
        <w:t>The proportion of the population who belong to a particular group (</w:t>
      </w:r>
      <w:proofErr w:type="spellStart"/>
      <w:r w:rsidRPr="00F20E7F">
        <w:rPr>
          <w:rFonts w:eastAsia="Cambria"/>
          <w:lang w:eastAsia="en-US"/>
        </w:rPr>
        <w:t>eg</w:t>
      </w:r>
      <w:proofErr w:type="spellEnd"/>
      <w:r w:rsidRPr="00F20E7F">
        <w:rPr>
          <w:rFonts w:eastAsia="Cambria"/>
          <w:lang w:eastAsia="en-US"/>
        </w:rPr>
        <w:t>,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group divided by the sum of the weights </w:t>
      </w:r>
      <w:r>
        <w:rPr>
          <w:rFonts w:eastAsia="Cambria"/>
          <w:lang w:eastAsia="en-US"/>
        </w:rPr>
        <w:t>of</w:t>
      </w:r>
      <w:r w:rsidRPr="00CC7E24">
        <w:rPr>
          <w:rFonts w:eastAsia="Cambria"/>
          <w:lang w:eastAsia="en-US"/>
        </w:rPr>
        <w:t xml:space="preserve"> all respondents.</w:t>
      </w:r>
    </w:p>
    <w:p w:rsidR="00DC0A66" w:rsidRPr="00CC7E24" w:rsidRDefault="00DC0A66" w:rsidP="0051040E">
      <w:pPr>
        <w:rPr>
          <w:rFonts w:eastAsia="Cambria"/>
          <w:lang w:eastAsia="en-US"/>
        </w:rPr>
      </w:pPr>
    </w:p>
    <w:p w:rsidR="00DC0A66" w:rsidRPr="00CC7E24" w:rsidRDefault="00DC0A66" w:rsidP="0051040E">
      <w:pPr>
        <w:rPr>
          <w:rFonts w:eastAsia="Cambria"/>
          <w:lang w:eastAsia="en-US"/>
        </w:rPr>
      </w:pPr>
      <w:r w:rsidRPr="00CC7E24">
        <w:rPr>
          <w:rFonts w:eastAsia="Cambria"/>
          <w:lang w:eastAsia="en-US"/>
        </w:rPr>
        <w:t>The proportion of people in a population group who belong to a subgroup (</w:t>
      </w:r>
      <w:proofErr w:type="spellStart"/>
      <w:r>
        <w:rPr>
          <w:rFonts w:eastAsia="Cambria"/>
          <w:lang w:eastAsia="en-US"/>
        </w:rPr>
        <w:t>eg</w:t>
      </w:r>
      <w:proofErr w:type="spellEnd"/>
      <w:r>
        <w:rPr>
          <w:rFonts w:eastAsia="Cambria"/>
          <w:lang w:eastAsia="en-US"/>
        </w:rPr>
        <w:t>,</w:t>
      </w:r>
      <w:r w:rsidRPr="00CC7E24">
        <w:rPr>
          <w:rFonts w:eastAsia="Cambria"/>
          <w:lang w:eastAsia="en-US"/>
        </w:rPr>
        <w:t xml:space="preserve"> the proportion of Māor</w:t>
      </w:r>
      <w:r w:rsidRPr="0051040E">
        <w:rPr>
          <w:rFonts w:eastAsia="Cambria"/>
        </w:rPr>
        <w:t>i</w:t>
      </w:r>
      <w:r w:rsidRPr="00CC7E24">
        <w:rPr>
          <w:rFonts w:eastAsia="Cambria"/>
          <w:lang w:eastAsia="en-US"/>
        </w:rPr>
        <w:t xml:space="preserve">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subgroup (Māori who have diabetes) divided by the sum of the weights </w:t>
      </w:r>
      <w:r>
        <w:rPr>
          <w:rFonts w:eastAsia="Cambria"/>
          <w:lang w:eastAsia="en-US"/>
        </w:rPr>
        <w:t>of</w:t>
      </w:r>
      <w:r w:rsidRPr="00CC7E24">
        <w:rPr>
          <w:rFonts w:eastAsia="Cambria"/>
          <w:lang w:eastAsia="en-US"/>
        </w:rPr>
        <w:t xml:space="preserve"> the respondents in the population group (Māori).</w:t>
      </w:r>
    </w:p>
    <w:p w:rsidR="00DC0A66" w:rsidRPr="00CC7E24" w:rsidRDefault="00DC0A66" w:rsidP="0051040E">
      <w:pPr>
        <w:pStyle w:val="Heading3"/>
        <w:spacing w:before="360"/>
        <w:rPr>
          <w:rFonts w:eastAsia="Cambria"/>
          <w:lang w:eastAsia="en-US"/>
        </w:rPr>
      </w:pPr>
      <w:bookmarkStart w:id="185" w:name="_Toc339270030"/>
      <w:r w:rsidRPr="00CC7E24">
        <w:rPr>
          <w:rFonts w:eastAsia="Cambria"/>
          <w:lang w:eastAsia="en-US"/>
        </w:rPr>
        <w:lastRenderedPageBreak/>
        <w:t>Calculati</w:t>
      </w:r>
      <w:r>
        <w:rPr>
          <w:rFonts w:eastAsia="Cambria"/>
          <w:lang w:eastAsia="en-US"/>
        </w:rPr>
        <w:t>ng</w:t>
      </w:r>
      <w:r w:rsidRPr="00CC7E24">
        <w:rPr>
          <w:rFonts w:eastAsia="Cambria"/>
          <w:lang w:eastAsia="en-US"/>
        </w:rPr>
        <w:t xml:space="preserve"> totals</w:t>
      </w:r>
      <w:bookmarkEnd w:id="185"/>
    </w:p>
    <w:p w:rsidR="00DC0A66" w:rsidRDefault="00DC0A66" w:rsidP="0051040E">
      <w:pPr>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w:t>
      </w:r>
      <w:r>
        <w:rPr>
          <w:rFonts w:eastAsia="Cambria"/>
          <w:lang w:eastAsia="en-US"/>
        </w:rPr>
        <w:t xml:space="preserve">the </w:t>
      </w:r>
      <w:r w:rsidRPr="0021423C">
        <w:rPr>
          <w:rFonts w:eastAsia="Cambria"/>
          <w:lang w:eastAsia="en-US"/>
        </w:rPr>
        <w:t xml:space="preserve">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of the respondents who have diabetes in the </w:t>
      </w:r>
      <w:r w:rsidRPr="0021423C">
        <w:rPr>
          <w:rFonts w:eastAsia="Cambria"/>
          <w:lang w:eastAsia="en-US"/>
        </w:rPr>
        <w:t>population</w:t>
      </w:r>
      <w:r>
        <w:rPr>
          <w:rFonts w:eastAsia="Cambria"/>
          <w:lang w:eastAsia="en-US"/>
        </w:rPr>
        <w:t>.</w:t>
      </w:r>
    </w:p>
    <w:p w:rsidR="00DC0A66" w:rsidRPr="00CC7E24" w:rsidRDefault="00DC0A66" w:rsidP="0051040E">
      <w:pPr>
        <w:rPr>
          <w:rFonts w:eastAsia="Cambria"/>
          <w:lang w:eastAsia="en-US"/>
        </w:rPr>
      </w:pPr>
    </w:p>
    <w:p w:rsidR="00DC0A66" w:rsidRPr="00CC7E24" w:rsidRDefault="00DC0A66" w:rsidP="0051040E">
      <w:pPr>
        <w:pStyle w:val="Heading3"/>
        <w:rPr>
          <w:rFonts w:eastAsia="Cambria"/>
          <w:lang w:eastAsia="en-US"/>
        </w:rPr>
      </w:pPr>
      <w:bookmarkStart w:id="186" w:name="_Toc339270031"/>
      <w:r w:rsidRPr="00CC7E24">
        <w:rPr>
          <w:rFonts w:eastAsia="Cambria"/>
          <w:lang w:eastAsia="en-US"/>
        </w:rPr>
        <w:t>Calculati</w:t>
      </w:r>
      <w:r>
        <w:rPr>
          <w:rFonts w:eastAsia="Cambria"/>
          <w:lang w:eastAsia="en-US"/>
        </w:rPr>
        <w:t>ng</w:t>
      </w:r>
      <w:r w:rsidRPr="00CC7E24">
        <w:rPr>
          <w:rFonts w:eastAsia="Cambria"/>
          <w:lang w:eastAsia="en-US"/>
        </w:rPr>
        <w:t xml:space="preserve"> means</w:t>
      </w:r>
      <w:bookmarkEnd w:id="186"/>
    </w:p>
    <w:p w:rsidR="00DC0A66" w:rsidRPr="0021423C" w:rsidRDefault="00DC0A66" w:rsidP="0051040E">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 xml:space="preserve">ts to a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rsidR="00DC0A66" w:rsidRPr="0021423C" w:rsidRDefault="00DC0A66" w:rsidP="0051040E">
      <w:pPr>
        <w:rPr>
          <w:rFonts w:eastAsia="Cambria"/>
          <w:lang w:eastAsia="en-US"/>
        </w:rPr>
      </w:pPr>
    </w:p>
    <w:p w:rsidR="00DC0A66" w:rsidRDefault="00DC0A66" w:rsidP="0051040E">
      <w:pPr>
        <w:rPr>
          <w:rFonts w:eastAsia="Cambria"/>
          <w:lang w:eastAsia="en-US"/>
        </w:rPr>
      </w:pPr>
      <w:r w:rsidRPr="0021423C">
        <w:rPr>
          <w:rFonts w:eastAsia="Cambria"/>
          <w:lang w:eastAsia="en-US"/>
        </w:rPr>
        <w:t>Sometimes the average within a group is of interest; for example, the average number of visits to a GP by males. The estimate is given by calculating the sum</w:t>
      </w:r>
      <w:r>
        <w:rPr>
          <w:rFonts w:eastAsia="Cambria"/>
          <w:lang w:eastAsia="en-US"/>
        </w:rPr>
        <w:t xml:space="preserve"> </w:t>
      </w:r>
      <w:r w:rsidRPr="0021423C">
        <w:rPr>
          <w:rFonts w:eastAsia="Cambria"/>
          <w:lang w:eastAsia="en-US"/>
        </w:rPr>
        <w:t>over respondents in the group</w:t>
      </w:r>
      <w:r>
        <w:rPr>
          <w:rFonts w:eastAsia="Cambria"/>
          <w:lang w:eastAsia="en-US"/>
        </w:rPr>
        <w:t>,</w:t>
      </w:r>
      <w:r w:rsidRPr="0021423C">
        <w:rPr>
          <w:rFonts w:eastAsia="Cambria"/>
          <w:lang w:eastAsia="en-US"/>
        </w:rPr>
        <w:t xml:space="preserve"> of the weight multiplied by the variable of interest</w:t>
      </w:r>
      <w:r>
        <w:rPr>
          <w:rFonts w:eastAsia="Cambria"/>
          <w:lang w:eastAsia="en-US"/>
        </w:rPr>
        <w:t>,</w:t>
      </w:r>
      <w:r w:rsidRPr="0021423C">
        <w:rPr>
          <w:rFonts w:eastAsia="Cambria"/>
          <w:lang w:eastAsia="en-US"/>
        </w:rPr>
        <w:t xml:space="preserve"> divided by the sum of the weights </w:t>
      </w:r>
      <w:r>
        <w:rPr>
          <w:rFonts w:eastAsia="Cambria"/>
          <w:lang w:eastAsia="en-US"/>
        </w:rPr>
        <w:t>of the</w:t>
      </w:r>
      <w:r w:rsidRPr="0021423C">
        <w:rPr>
          <w:rFonts w:eastAsia="Cambria"/>
          <w:lang w:eastAsia="en-US"/>
        </w:rPr>
        <w:t xml:space="preserve"> respondents in the group</w:t>
      </w:r>
      <w:r w:rsidRPr="00D72108">
        <w:rPr>
          <w:rFonts w:eastAsia="Cambria"/>
          <w:lang w:eastAsia="en-US"/>
        </w:rPr>
        <w:t>.</w:t>
      </w:r>
    </w:p>
    <w:p w:rsidR="00DC0A66" w:rsidRDefault="00DC0A66" w:rsidP="0051040E">
      <w:pPr>
        <w:rPr>
          <w:rFonts w:eastAsia="Cambria"/>
          <w:lang w:eastAsia="en-US"/>
        </w:rPr>
      </w:pPr>
    </w:p>
    <w:p w:rsidR="00DC0A66" w:rsidRPr="00CC7E24" w:rsidRDefault="00DC0A66" w:rsidP="0051040E">
      <w:pPr>
        <w:pStyle w:val="Heading3"/>
      </w:pPr>
      <w:r>
        <w:t>Suppression of s</w:t>
      </w:r>
      <w:r w:rsidRPr="00CC7E24">
        <w:t xml:space="preserve">mall </w:t>
      </w:r>
      <w:r>
        <w:t>sample sizes</w:t>
      </w:r>
    </w:p>
    <w:p w:rsidR="00DC0A66" w:rsidRPr="00CC7E24" w:rsidRDefault="00DC0A66" w:rsidP="0051040E">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rsidR="00DC0A66" w:rsidRPr="00CC7E24" w:rsidRDefault="00DC0A66" w:rsidP="0051040E"/>
    <w:p w:rsidR="00DC0A66" w:rsidRPr="00CC7E24" w:rsidRDefault="00DC0A66" w:rsidP="0051040E">
      <w:r>
        <w:t>T</w:t>
      </w:r>
      <w:r w:rsidRPr="00CC7E24">
        <w:t xml:space="preserve">o ensure the survey data presented </w:t>
      </w:r>
      <w:r>
        <w:t>are</w:t>
      </w:r>
      <w:r w:rsidRPr="00CC7E24">
        <w:t xml:space="preserve"> reliable and the</w:t>
      </w:r>
      <w:r>
        <w:t xml:space="preserve"> respondents</w:t>
      </w:r>
      <w:r w:rsidR="00981544">
        <w:t>’</w:t>
      </w:r>
      <w:r w:rsidRPr="00CC7E24">
        <w:t xml:space="preserve"> confidentiality </w:t>
      </w:r>
      <w:r w:rsidRPr="009D18D7">
        <w:t>is protected, data have only been presented when there are at least</w:t>
      </w:r>
      <w:r w:rsidRPr="00CC7E24">
        <w:t xml:space="preserve"> 30 people in the denominator (the population group being analysed). Care has been taken to ensure that no </w:t>
      </w:r>
      <w:r>
        <w:t>respondent</w:t>
      </w:r>
      <w:r w:rsidRPr="00CC7E24">
        <w:t xml:space="preserve"> can be identified in the results.</w:t>
      </w:r>
    </w:p>
    <w:p w:rsidR="00DC0A66" w:rsidRPr="002A0886" w:rsidRDefault="00DC0A66" w:rsidP="0051040E"/>
    <w:p w:rsidR="00DC0A66" w:rsidRDefault="00DC0A66" w:rsidP="0051040E">
      <w:pPr>
        <w:pStyle w:val="Heading2"/>
      </w:pPr>
      <w:bookmarkStart w:id="187" w:name="_Toc467491546"/>
      <w:bookmarkStart w:id="188" w:name="_Toc467515148"/>
      <w:r>
        <w:t>Comparing population groups</w:t>
      </w:r>
      <w:bookmarkEnd w:id="187"/>
      <w:bookmarkEnd w:id="188"/>
    </w:p>
    <w:p w:rsidR="00DC0A66" w:rsidRPr="00CC7E24" w:rsidRDefault="00DC0A66" w:rsidP="0051040E">
      <w:pPr>
        <w:pStyle w:val="Heading3"/>
      </w:pPr>
      <w:bookmarkStart w:id="189" w:name="_Toc335133123"/>
      <w:bookmarkStart w:id="190" w:name="_Toc339270033"/>
      <w:r w:rsidRPr="00CC7E24">
        <w:t>Age standardisation</w:t>
      </w:r>
      <w:bookmarkEnd w:id="189"/>
      <w:bookmarkEnd w:id="190"/>
    </w:p>
    <w:p w:rsidR="00DC0A66" w:rsidRDefault="00DC0A66" w:rsidP="0051040E">
      <w:r>
        <w:t>NZHS reports mainly focus on presenting crude (unadjusted)</w:t>
      </w:r>
      <w:r w:rsidRPr="00CC7E24">
        <w:t xml:space="preserve"> estimates of the </w:t>
      </w:r>
      <w:r>
        <w:t>proportion or mean</w:t>
      </w:r>
      <w:r w:rsidRPr="00CC7E24">
        <w:t xml:space="preserve"> in the total population by age group </w:t>
      </w:r>
      <w:r>
        <w:t>(age-specific rates or means)</w:t>
      </w:r>
      <w:r w:rsidRPr="00CC7E24">
        <w:t>.</w:t>
      </w:r>
    </w:p>
    <w:p w:rsidR="00DC0A66" w:rsidRDefault="00DC0A66" w:rsidP="0051040E"/>
    <w:p w:rsidR="00DC0A66" w:rsidRDefault="00DC0A66" w:rsidP="0051040E">
      <w:r w:rsidRPr="00CC7E24">
        <w:t>However, age is an important determinant of health, so population</w:t>
      </w:r>
      <w:r>
        <w:t xml:space="preserve"> groups</w:t>
      </w:r>
      <w:r w:rsidRPr="00CC7E24">
        <w:t xml:space="preserve"> with different age structures (such as men and women, </w:t>
      </w:r>
      <w:r>
        <w:t xml:space="preserve">whose age structures differ </w:t>
      </w:r>
      <w:r w:rsidRPr="00CC7E24">
        <w:t>due to women</w:t>
      </w:r>
      <w:r w:rsidR="00981544">
        <w:t>’</w:t>
      </w:r>
      <w:r>
        <w:t>s</w:t>
      </w:r>
      <w:r w:rsidRPr="00CC7E24">
        <w:t xml:space="preserve"> longer life expectancy) may have different rates </w:t>
      </w:r>
      <w:r>
        <w:t xml:space="preserve">or means </w:t>
      </w:r>
      <w:r w:rsidRPr="00CC7E24">
        <w:t>due to these age differences.</w:t>
      </w:r>
      <w:r>
        <w:t xml:space="preserve"> This means that </w:t>
      </w:r>
      <w:r w:rsidRPr="00E747E0">
        <w:t xml:space="preserve">comparisons of crude rates </w:t>
      </w:r>
      <w:r>
        <w:t xml:space="preserve">or means </w:t>
      </w:r>
      <w:r w:rsidRPr="00E747E0">
        <w:t xml:space="preserve">over time and between groups may be misleading if the age structure differs </w:t>
      </w:r>
      <w:r>
        <w:t>between</w:t>
      </w:r>
      <w:r w:rsidRPr="00E747E0">
        <w:t xml:space="preserve"> the groups being compared.</w:t>
      </w:r>
    </w:p>
    <w:p w:rsidR="00DC0A66" w:rsidRDefault="00DC0A66" w:rsidP="0051040E"/>
    <w:p w:rsidR="00981544" w:rsidRDefault="00DC0A66" w:rsidP="0051040E">
      <w:r>
        <w:t>One approach to making more meaningful comparisons between groups is to compare age-specific rates or means. Alternatively it can be useful to summarise a set of age-specific rates or means for a group into a single age-independent measure.</w:t>
      </w:r>
      <w:r w:rsidRPr="00E747E0">
        <w:t xml:space="preserve"> This </w:t>
      </w:r>
      <w:r>
        <w:t xml:space="preserve">is </w:t>
      </w:r>
      <w:r w:rsidRPr="00E747E0">
        <w:t>achieved by a process</w:t>
      </w:r>
      <w:r>
        <w:t xml:space="preserve"> called </w:t>
      </w:r>
      <w:r w:rsidRPr="007F3067">
        <w:rPr>
          <w:b/>
        </w:rPr>
        <w:t>age standardisation</w:t>
      </w:r>
      <w:r w:rsidRPr="00E747E0">
        <w:t>.</w:t>
      </w:r>
    </w:p>
    <w:p w:rsidR="00DC0A66" w:rsidRPr="00E747E0" w:rsidRDefault="00DC0A66" w:rsidP="0051040E"/>
    <w:p w:rsidR="00981544" w:rsidRDefault="00DC0A66" w:rsidP="0051040E">
      <w:pPr>
        <w:keepLines/>
      </w:pPr>
      <w:r w:rsidRPr="00E747E0">
        <w:lastRenderedPageBreak/>
        <w:t xml:space="preserve">Age standardisation </w:t>
      </w:r>
      <w:r>
        <w:t xml:space="preserve">in NZHS reports </w:t>
      </w:r>
      <w:r w:rsidRPr="00E747E0">
        <w:t>is performed by</w:t>
      </w:r>
      <w:r w:rsidRPr="007F3067">
        <w:rPr>
          <w:b/>
        </w:rPr>
        <w:t xml:space="preserve"> direct standardisation</w:t>
      </w:r>
      <w:r w:rsidRPr="00E747E0">
        <w:t xml:space="preserve"> using the World Health Organization (WHO) world population age distribution (Ahmad et al 2000). The direct method calculates an age</w:t>
      </w:r>
      <w:r>
        <w:t>-</w:t>
      </w:r>
      <w:r w:rsidRPr="00E747E0">
        <w:t>standardised rate, which is a weighted average of the age</w:t>
      </w:r>
      <w:r w:rsidR="0051040E">
        <w:noBreakHyphen/>
      </w:r>
      <w:r w:rsidRPr="00E747E0">
        <w:t>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rsidR="00DC0A66" w:rsidRDefault="00DC0A66" w:rsidP="0051040E">
      <w:pPr>
        <w:rPr>
          <w:highlight w:val="yellow"/>
        </w:rPr>
      </w:pPr>
    </w:p>
    <w:p w:rsidR="00DC0A66" w:rsidRPr="00E747E0" w:rsidRDefault="00DC0A66" w:rsidP="0051040E">
      <w:r w:rsidRPr="00E747E0">
        <w:t>The age</w:t>
      </w:r>
      <w:r>
        <w:t>-</w:t>
      </w:r>
      <w:r w:rsidRPr="00E747E0">
        <w:t>standardised rate (ASR) is given by:</w:t>
      </w:r>
    </w:p>
    <w:p w:rsidR="00DC0A66" w:rsidRPr="00E747E0" w:rsidRDefault="00DC0A66" w:rsidP="0051040E">
      <w:pPr>
        <w:spacing w:before="120"/>
        <w:ind w:left="567"/>
      </w:pPr>
      <w:r w:rsidRPr="00E747E0">
        <w:t xml:space="preserve">ASR = </w:t>
      </w:r>
      <w:r w:rsidRPr="00E747E0">
        <w:sym w:font="Symbol" w:char="F0E5"/>
      </w:r>
      <w:proofErr w:type="spellStart"/>
      <w:proofErr w:type="gramStart"/>
      <w:r w:rsidRPr="00E747E0">
        <w:t>r</w:t>
      </w:r>
      <w:r w:rsidRPr="00E747E0">
        <w:rPr>
          <w:vertAlign w:val="subscript"/>
        </w:rPr>
        <w:t>i</w:t>
      </w:r>
      <w:proofErr w:type="spellEnd"/>
      <w:proofErr w:type="gramEnd"/>
      <w:r w:rsidRPr="00E747E0">
        <w:t xml:space="preserve"> (</w:t>
      </w:r>
      <w:proofErr w:type="spellStart"/>
      <w:r w:rsidRPr="00E747E0">
        <w:t>n</w:t>
      </w:r>
      <w:r w:rsidRPr="00E747E0">
        <w:rPr>
          <w:vertAlign w:val="subscript"/>
        </w:rPr>
        <w:t>i</w:t>
      </w:r>
      <w:proofErr w:type="spellEnd"/>
      <w:r w:rsidRPr="00E747E0">
        <w:t>/</w:t>
      </w:r>
      <w:r w:rsidRPr="00E747E0">
        <w:sym w:font="Symbol" w:char="F0E5"/>
      </w:r>
      <w:r w:rsidRPr="00E747E0">
        <w:t xml:space="preserve"> </w:t>
      </w:r>
      <w:proofErr w:type="spellStart"/>
      <w:r w:rsidRPr="00E747E0">
        <w:t>n</w:t>
      </w:r>
      <w:r w:rsidRPr="00E747E0">
        <w:rPr>
          <w:vertAlign w:val="subscript"/>
        </w:rPr>
        <w:t>i</w:t>
      </w:r>
      <w:proofErr w:type="spellEnd"/>
      <w:r w:rsidR="0051040E">
        <w:t>),</w:t>
      </w:r>
    </w:p>
    <w:p w:rsidR="00DC0A66" w:rsidRPr="00E747E0" w:rsidRDefault="00DC0A66" w:rsidP="000F6953">
      <w:pPr>
        <w:spacing w:before="120"/>
      </w:pPr>
      <w:proofErr w:type="gramStart"/>
      <w:r w:rsidRPr="00E747E0">
        <w:t>where</w:t>
      </w:r>
      <w:proofErr w:type="gramEnd"/>
      <w:r w:rsidRPr="00E747E0">
        <w:t xml:space="preserve"> </w:t>
      </w:r>
      <w:proofErr w:type="spellStart"/>
      <w:r w:rsidRPr="00E747E0">
        <w:rPr>
          <w:i/>
        </w:rPr>
        <w:t>n</w:t>
      </w:r>
      <w:r w:rsidRPr="00E747E0">
        <w:rPr>
          <w:i/>
          <w:vertAlign w:val="subscript"/>
        </w:rPr>
        <w:t>i</w:t>
      </w:r>
      <w:proofErr w:type="spellEnd"/>
      <w:r w:rsidRPr="00E747E0">
        <w:rPr>
          <w:i/>
        </w:rPr>
        <w:t xml:space="preserve"> </w:t>
      </w:r>
      <w:r w:rsidRPr="00E747E0">
        <w:t xml:space="preserve">is the population in the </w:t>
      </w:r>
      <w:proofErr w:type="spellStart"/>
      <w:r w:rsidRPr="00E747E0">
        <w:rPr>
          <w:i/>
        </w:rPr>
        <w:t>i</w:t>
      </w:r>
      <w:r w:rsidRPr="00E747E0">
        <w:rPr>
          <w:vertAlign w:val="superscript"/>
        </w:rPr>
        <w:t>th</w:t>
      </w:r>
      <w:proofErr w:type="spellEnd"/>
      <w:r w:rsidRPr="00E747E0">
        <w:t xml:space="preserve"> age group of the standard population and </w:t>
      </w:r>
      <w:proofErr w:type="spellStart"/>
      <w:r w:rsidRPr="00E747E0">
        <w:rPr>
          <w:i/>
        </w:rPr>
        <w:t>r</w:t>
      </w:r>
      <w:r w:rsidRPr="00E747E0">
        <w:rPr>
          <w:i/>
          <w:vertAlign w:val="subscript"/>
        </w:rPr>
        <w:t>i</w:t>
      </w:r>
      <w:proofErr w:type="spellEnd"/>
      <w:r w:rsidRPr="00E747E0">
        <w:t xml:space="preserve"> is the rate in the </w:t>
      </w:r>
      <w:proofErr w:type="spellStart"/>
      <w:r w:rsidRPr="00E747E0">
        <w:rPr>
          <w:i/>
        </w:rPr>
        <w:t>i</w:t>
      </w:r>
      <w:r w:rsidRPr="00E747E0">
        <w:rPr>
          <w:vertAlign w:val="superscript"/>
        </w:rPr>
        <w:t>th</w:t>
      </w:r>
      <w:proofErr w:type="spellEnd"/>
      <w:r w:rsidRPr="00E747E0">
        <w:t xml:space="preserve"> age group from the survey.</w:t>
      </w:r>
    </w:p>
    <w:p w:rsidR="00DC0A66" w:rsidRPr="00E747E0" w:rsidRDefault="00DC0A66" w:rsidP="000F6953"/>
    <w:p w:rsidR="00DC0A66" w:rsidRPr="00E747E0" w:rsidRDefault="00DC0A66" w:rsidP="000F6953">
      <w:r w:rsidRPr="00E747E0">
        <w:t xml:space="preserve">Age-standardised rates are provided in some tables to </w:t>
      </w:r>
      <w:r>
        <w:t>help make</w:t>
      </w:r>
      <w:r w:rsidRPr="00E747E0">
        <w:t xml:space="preserve"> comparisons by sex, ethnic group and neighbourhood deprivation (NZDep2013) and between survey years.</w:t>
      </w:r>
    </w:p>
    <w:p w:rsidR="00DC0A66" w:rsidRPr="00E747E0" w:rsidRDefault="00DC0A66" w:rsidP="000F6953"/>
    <w:p w:rsidR="00DC0A66" w:rsidRPr="00CC7E24" w:rsidRDefault="00DC0A66" w:rsidP="000F6953">
      <w:r w:rsidRPr="00E747E0">
        <w:t>Results for children are age</w:t>
      </w:r>
      <w:r>
        <w:t>-</w:t>
      </w:r>
      <w:r w:rsidRPr="00E747E0">
        <w:t xml:space="preserve">standardised to the population younger than 15 years, and results for adults </w:t>
      </w:r>
      <w:r w:rsidRPr="000F6953">
        <w:t>are</w:t>
      </w:r>
      <w:r w:rsidRPr="00E747E0">
        <w:t xml:space="preserve"> age</w:t>
      </w:r>
      <w:r>
        <w:t>-</w:t>
      </w:r>
      <w:r w:rsidRPr="00E747E0">
        <w:t>standardised to the population aged 15 years and over.</w:t>
      </w:r>
    </w:p>
    <w:p w:rsidR="00DC0A66" w:rsidRDefault="00DC0A66" w:rsidP="000F6953"/>
    <w:p w:rsidR="00DC0A66" w:rsidRDefault="00DC0A66" w:rsidP="000F6953">
      <w:r>
        <w:t>The same approach is used to age-standardised estimates of means.</w:t>
      </w:r>
    </w:p>
    <w:p w:rsidR="00DC0A66" w:rsidRPr="00CC7E24" w:rsidRDefault="00DC0A66" w:rsidP="000F6953"/>
    <w:p w:rsidR="00DC0A66" w:rsidRPr="00D72108" w:rsidRDefault="00DC0A66" w:rsidP="000F6953">
      <w:pPr>
        <w:pStyle w:val="Heading4"/>
      </w:pPr>
      <w:r>
        <w:t>Adjusted r</w:t>
      </w:r>
      <w:r w:rsidRPr="00D72108">
        <w:t>ate ratios</w:t>
      </w:r>
    </w:p>
    <w:p w:rsidR="00DC0A66" w:rsidRDefault="00DC0A66" w:rsidP="000F6953">
      <w:r>
        <w:t xml:space="preserve">NZHS reports also present comparisons between population groups as </w:t>
      </w:r>
      <w:r w:rsidRPr="007F3067">
        <w:rPr>
          <w:b/>
        </w:rPr>
        <w:t>rate ratios</w:t>
      </w:r>
      <w:r>
        <w:t>; that is, as the ratio of the estimated proportions having the characteristic of interest in the two groups.</w:t>
      </w:r>
    </w:p>
    <w:p w:rsidR="00DC0A66" w:rsidRDefault="00DC0A66" w:rsidP="000F6953"/>
    <w:p w:rsidR="00DC0A66" w:rsidRPr="00302221" w:rsidRDefault="00DC0A66" w:rsidP="000F6953">
      <w:r>
        <w:t>R</w:t>
      </w:r>
      <w:r w:rsidRPr="00302221">
        <w:t xml:space="preserve">ate ratios </w:t>
      </w:r>
      <w:r>
        <w:t xml:space="preserve">are used </w:t>
      </w:r>
      <w:r w:rsidRPr="00302221">
        <w:t xml:space="preserve">for </w:t>
      </w:r>
      <w:r>
        <w:t>comparing</w:t>
      </w:r>
      <w:r w:rsidRPr="00302221">
        <w:t>:</w:t>
      </w:r>
    </w:p>
    <w:p w:rsidR="00DC0A66" w:rsidRPr="00302221" w:rsidRDefault="00DC0A66" w:rsidP="000F6953">
      <w:pPr>
        <w:pStyle w:val="Bullet"/>
      </w:pPr>
      <w:r w:rsidRPr="00302221">
        <w:t>men and women</w:t>
      </w:r>
    </w:p>
    <w:p w:rsidR="00DC0A66" w:rsidRPr="00302221" w:rsidRDefault="00DC0A66" w:rsidP="000F6953">
      <w:pPr>
        <w:pStyle w:val="Bullet"/>
      </w:pPr>
      <w:r w:rsidRPr="00302221">
        <w:t xml:space="preserve">Māori and non-Māori (for </w:t>
      </w:r>
      <w:r>
        <w:t xml:space="preserve">the </w:t>
      </w:r>
      <w:r w:rsidRPr="00302221">
        <w:t>total</w:t>
      </w:r>
      <w:r>
        <w:t xml:space="preserve"> population</w:t>
      </w:r>
      <w:r w:rsidRPr="00302221">
        <w:t>, men</w:t>
      </w:r>
      <w:r>
        <w:t xml:space="preserve"> and</w:t>
      </w:r>
      <w:r w:rsidRPr="00302221">
        <w:t xml:space="preserve"> women)</w:t>
      </w:r>
    </w:p>
    <w:p w:rsidR="00DC0A66" w:rsidRPr="00302221" w:rsidRDefault="00DC0A66" w:rsidP="000F6953">
      <w:pPr>
        <w:pStyle w:val="Bullet"/>
      </w:pPr>
      <w:r w:rsidRPr="00302221">
        <w:t xml:space="preserve">Pacific and non-Pacific (for </w:t>
      </w:r>
      <w:r>
        <w:t xml:space="preserve">the </w:t>
      </w:r>
      <w:r w:rsidRPr="00302221">
        <w:t>total</w:t>
      </w:r>
      <w:r>
        <w:t xml:space="preserve"> population</w:t>
      </w:r>
      <w:r w:rsidRPr="00302221">
        <w:t>, men</w:t>
      </w:r>
      <w:r>
        <w:t xml:space="preserve"> and</w:t>
      </w:r>
      <w:r w:rsidRPr="00302221">
        <w:t xml:space="preserve"> women)</w:t>
      </w:r>
    </w:p>
    <w:p w:rsidR="00DC0A66" w:rsidRDefault="00DC0A66" w:rsidP="000F6953">
      <w:pPr>
        <w:pStyle w:val="Bullet"/>
      </w:pPr>
      <w:r w:rsidRPr="00302221">
        <w:t xml:space="preserve">Asian and non-Asian (for </w:t>
      </w:r>
      <w:r>
        <w:t xml:space="preserve">the </w:t>
      </w:r>
      <w:r w:rsidRPr="00302221">
        <w:t>total</w:t>
      </w:r>
      <w:r>
        <w:t xml:space="preserve"> population</w:t>
      </w:r>
      <w:r w:rsidRPr="00302221">
        <w:t>, men</w:t>
      </w:r>
      <w:r>
        <w:t xml:space="preserve"> and</w:t>
      </w:r>
      <w:r w:rsidRPr="00302221">
        <w:t xml:space="preserve"> women)</w:t>
      </w:r>
    </w:p>
    <w:p w:rsidR="00DC0A66" w:rsidRPr="00302221" w:rsidRDefault="00DC0A66" w:rsidP="000F6953">
      <w:pPr>
        <w:pStyle w:val="Bullet"/>
      </w:pPr>
      <w:proofErr w:type="gramStart"/>
      <w:r w:rsidRPr="00302221">
        <w:t>people</w:t>
      </w:r>
      <w:proofErr w:type="gramEnd"/>
      <w:r w:rsidRPr="00302221">
        <w:t xml:space="preserve"> living in the most and least </w:t>
      </w:r>
      <w:r>
        <w:t xml:space="preserve">socioeconomically </w:t>
      </w:r>
      <w:r w:rsidRPr="00302221">
        <w:t>deprived areas.</w:t>
      </w:r>
    </w:p>
    <w:p w:rsidR="00DC0A66" w:rsidRDefault="00DC0A66" w:rsidP="000F6953"/>
    <w:p w:rsidR="00981544" w:rsidRDefault="00DC0A66" w:rsidP="000F6953">
      <w:r>
        <w:rPr>
          <w:rFonts w:eastAsia="Cambria"/>
          <w:lang w:eastAsia="en-US"/>
        </w:rPr>
        <w:t xml:space="preserve">In keeping with the use of total response ethnicity to present statistics by ethnic group, </w:t>
      </w:r>
      <w:r w:rsidRPr="00E747E0">
        <w:t>ethnic comparisons are presented such that M</w:t>
      </w:r>
      <w:r>
        <w:t>ā</w:t>
      </w:r>
      <w:r w:rsidRPr="00E747E0">
        <w:t>ori are compared with non-M</w:t>
      </w:r>
      <w:r>
        <w:t>ā</w:t>
      </w:r>
      <w:r w:rsidRPr="00E747E0">
        <w:t>ori, Pacific with non-Pacific and Asian with non-Asian. For this purpose, all respondents who identified as M</w:t>
      </w:r>
      <w:r>
        <w:t>ā</w:t>
      </w:r>
      <w:r w:rsidRPr="00E747E0">
        <w:t>ori are included in the M</w:t>
      </w:r>
      <w:r>
        <w:t>ā</w:t>
      </w:r>
      <w:r w:rsidRPr="00E747E0">
        <w:t>ori group; all other respondents are included in the non-M</w:t>
      </w:r>
      <w:r>
        <w:t>ā</w:t>
      </w:r>
      <w:r w:rsidRPr="00E747E0">
        <w:t>ori group. Similar groups are formed for Pacific and Asian ethnic groups.</w:t>
      </w:r>
    </w:p>
    <w:p w:rsidR="00DC0A66" w:rsidRPr="00302221" w:rsidRDefault="00DC0A66" w:rsidP="000F6953"/>
    <w:p w:rsidR="00DC0A66" w:rsidRDefault="00DC0A66" w:rsidP="000F6953">
      <w:r>
        <w:t xml:space="preserve">Rate ratios </w:t>
      </w:r>
      <w:r w:rsidRPr="00CC7E24">
        <w:t>can be interpreted in the following way</w:t>
      </w:r>
      <w:r w:rsidR="00041F8F">
        <w:t>.</w:t>
      </w:r>
    </w:p>
    <w:p w:rsidR="00DC0A66" w:rsidRPr="00CC7E24" w:rsidRDefault="00DC0A66" w:rsidP="000F6953">
      <w:pPr>
        <w:pStyle w:val="Bullet"/>
      </w:pPr>
      <w:r w:rsidRPr="00CC7E24">
        <w:t>A value of 1 shows that there is no difference</w:t>
      </w:r>
      <w:r>
        <w:t xml:space="preserve"> </w:t>
      </w:r>
      <w:r w:rsidRPr="00CC7E24">
        <w:t>between the group of interest (</w:t>
      </w:r>
      <w:proofErr w:type="spellStart"/>
      <w:r w:rsidRPr="00CC7E24">
        <w:t>eg</w:t>
      </w:r>
      <w:proofErr w:type="spellEnd"/>
      <w:r>
        <w:t>,</w:t>
      </w:r>
      <w:r w:rsidRPr="00CC7E24">
        <w:t xml:space="preserve"> men) and the reference group (</w:t>
      </w:r>
      <w:proofErr w:type="spellStart"/>
      <w:r w:rsidRPr="00CC7E24">
        <w:t>eg</w:t>
      </w:r>
      <w:proofErr w:type="spellEnd"/>
      <w:r>
        <w:t>,</w:t>
      </w:r>
      <w:r w:rsidRPr="00CC7E24">
        <w:t xml:space="preserve"> women)</w:t>
      </w:r>
      <w:r>
        <w:t>.</w:t>
      </w:r>
    </w:p>
    <w:p w:rsidR="00DC0A66" w:rsidRPr="00CC7E24" w:rsidRDefault="00DC0A66" w:rsidP="000F6953">
      <w:pPr>
        <w:pStyle w:val="Bullet"/>
      </w:pPr>
      <w:r w:rsidRPr="00CC7E24">
        <w:t xml:space="preserve">A value higher than 1 </w:t>
      </w:r>
      <w:r>
        <w:t>shows</w:t>
      </w:r>
      <w:r w:rsidRPr="00CC7E24">
        <w:t xml:space="preserve"> that the </w:t>
      </w:r>
      <w:r>
        <w:t>proportion</w:t>
      </w:r>
      <w:r w:rsidRPr="00CC7E24">
        <w:t xml:space="preserve"> is higher for the group of interest than </w:t>
      </w:r>
      <w:r>
        <w:t xml:space="preserve">for </w:t>
      </w:r>
      <w:r w:rsidRPr="00CC7E24">
        <w:t>the reference group.</w:t>
      </w:r>
    </w:p>
    <w:p w:rsidR="00DC0A66" w:rsidRPr="00CC7E24" w:rsidRDefault="00DC0A66" w:rsidP="000F6953">
      <w:pPr>
        <w:pStyle w:val="Bullet"/>
      </w:pPr>
      <w:r w:rsidRPr="00CC7E24">
        <w:t xml:space="preserve">A value lower than 1 </w:t>
      </w:r>
      <w:r>
        <w:t>shows</w:t>
      </w:r>
      <w:r w:rsidRPr="00CC7E24">
        <w:t xml:space="preserve"> that the </w:t>
      </w:r>
      <w:r>
        <w:t>proportion</w:t>
      </w:r>
      <w:r w:rsidRPr="00CC7E24">
        <w:t xml:space="preserve"> is lower for the group of interest than </w:t>
      </w:r>
      <w:r>
        <w:t xml:space="preserve">for </w:t>
      </w:r>
      <w:r w:rsidRPr="00CC7E24">
        <w:t>the reference group.</w:t>
      </w:r>
    </w:p>
    <w:p w:rsidR="00DC0A66" w:rsidRDefault="00DC0A66" w:rsidP="000F6953"/>
    <w:p w:rsidR="00DC0A66" w:rsidRDefault="00DC0A66" w:rsidP="000F6953">
      <w:pPr>
        <w:keepNext/>
        <w:rPr>
          <w:rFonts w:eastAsia="Calibri"/>
          <w:lang w:eastAsia="en-US"/>
        </w:rPr>
      </w:pPr>
      <w:r w:rsidRPr="001B000C">
        <w:rPr>
          <w:rFonts w:eastAsia="Calibri"/>
          <w:lang w:eastAsia="en-US"/>
        </w:rPr>
        <w:lastRenderedPageBreak/>
        <w:t>The rate ratios presented in NZHS reports are adjusted for differences in demographic factors between the groups being compared that may be influencing (confounding) the comparison</w:t>
      </w:r>
      <w:r>
        <w:rPr>
          <w:rFonts w:eastAsia="Calibri"/>
          <w:lang w:eastAsia="en-US"/>
        </w:rPr>
        <w:t>. The adjustments are as follows.</w:t>
      </w:r>
    </w:p>
    <w:p w:rsidR="00DC0A66" w:rsidRPr="00D72108" w:rsidRDefault="00DC0A66" w:rsidP="000F6953">
      <w:pPr>
        <w:pStyle w:val="Bullet"/>
        <w:rPr>
          <w:rFonts w:eastAsia="Calibri"/>
          <w:lang w:eastAsia="en-US"/>
        </w:rPr>
      </w:pPr>
      <w:r w:rsidRPr="00D72108">
        <w:rPr>
          <w:rFonts w:eastAsia="Calibri"/>
          <w:lang w:eastAsia="en-US"/>
        </w:rPr>
        <w:t>The sex comparison is adjusted for age</w:t>
      </w:r>
      <w:r>
        <w:rPr>
          <w:rFonts w:eastAsia="Calibri"/>
          <w:lang w:eastAsia="en-US"/>
        </w:rPr>
        <w:t>.</w:t>
      </w:r>
    </w:p>
    <w:p w:rsidR="00DC0A66" w:rsidRPr="00D72108" w:rsidRDefault="00DC0A66" w:rsidP="000F6953">
      <w:pPr>
        <w:pStyle w:val="Bullet"/>
        <w:rPr>
          <w:rFonts w:eastAsia="Calibri"/>
          <w:lang w:eastAsia="en-US"/>
        </w:rPr>
      </w:pPr>
      <w:r w:rsidRPr="00D72108">
        <w:rPr>
          <w:rFonts w:eastAsia="Calibri"/>
          <w:lang w:eastAsia="en-US"/>
        </w:rPr>
        <w:t>The ethnic comparisons are adjusted for age and sex</w:t>
      </w:r>
      <w:r>
        <w:rPr>
          <w:rFonts w:eastAsia="Calibri"/>
          <w:lang w:eastAsia="en-US"/>
        </w:rPr>
        <w:t>.</w:t>
      </w:r>
    </w:p>
    <w:p w:rsidR="00DC0A66" w:rsidRDefault="00DC0A66" w:rsidP="000F6953">
      <w:pPr>
        <w:pStyle w:val="Bullet"/>
        <w:rPr>
          <w:rFonts w:eastAsia="Calibri"/>
          <w:lang w:eastAsia="en-US"/>
        </w:rPr>
      </w:pPr>
      <w:r w:rsidRPr="00D72108">
        <w:rPr>
          <w:rFonts w:eastAsia="Calibri"/>
          <w:lang w:eastAsia="en-US"/>
        </w:rPr>
        <w:t xml:space="preserve">The deprivation comparison </w:t>
      </w:r>
      <w:r>
        <w:rPr>
          <w:rFonts w:eastAsia="Calibri"/>
          <w:lang w:eastAsia="en-US"/>
        </w:rPr>
        <w:t>is</w:t>
      </w:r>
      <w:r w:rsidRPr="00D72108">
        <w:rPr>
          <w:rFonts w:eastAsia="Calibri"/>
          <w:lang w:eastAsia="en-US"/>
        </w:rPr>
        <w:t xml:space="preserve"> adjusted for age, sex and ethnic group</w:t>
      </w:r>
      <w:r>
        <w:rPr>
          <w:rFonts w:eastAsia="Calibri"/>
          <w:lang w:eastAsia="en-US"/>
        </w:rPr>
        <w:t>.</w:t>
      </w:r>
    </w:p>
    <w:p w:rsidR="00DC0A66" w:rsidRPr="00D72108" w:rsidRDefault="00DC0A66" w:rsidP="000F6953">
      <w:pPr>
        <w:rPr>
          <w:rFonts w:eastAsia="Calibri"/>
          <w:lang w:eastAsia="en-US"/>
        </w:rPr>
      </w:pPr>
    </w:p>
    <w:p w:rsidR="00DC0A66" w:rsidRPr="001B000C" w:rsidRDefault="00DC0A66" w:rsidP="000F6953">
      <w:pPr>
        <w:rPr>
          <w:rFonts w:eastAsia="Calibri"/>
          <w:lang w:eastAsia="en-US"/>
        </w:rPr>
      </w:pPr>
      <w:r w:rsidRPr="001B000C">
        <w:rPr>
          <w:rFonts w:eastAsia="Calibri"/>
          <w:lang w:eastAsia="en-US"/>
        </w:rPr>
        <w:t>Adjusting for potential confounding factors makes comparisons more accurate and meaningful</w:t>
      </w:r>
      <w:r>
        <w:rPr>
          <w:rFonts w:eastAsia="Calibri"/>
          <w:lang w:eastAsia="en-US"/>
        </w:rPr>
        <w:t xml:space="preserve"> because</w:t>
      </w:r>
      <w:r w:rsidRPr="001B000C">
        <w:rPr>
          <w:rFonts w:eastAsia="Calibri"/>
          <w:lang w:eastAsia="en-US"/>
        </w:rPr>
        <w:t xml:space="preserve"> the adjustment removes the effect of these confounding factors.</w:t>
      </w:r>
    </w:p>
    <w:p w:rsidR="00DC0A66" w:rsidRDefault="00DC0A66" w:rsidP="000F6953">
      <w:pPr>
        <w:rPr>
          <w:rFonts w:eastAsia="Calibri"/>
          <w:lang w:eastAsia="en-US"/>
        </w:rPr>
      </w:pPr>
    </w:p>
    <w:p w:rsidR="00DC0A66" w:rsidRDefault="00DC0A66" w:rsidP="000F6953">
      <w:pPr>
        <w:rPr>
          <w:rFonts w:eastAsia="Calibri"/>
          <w:lang w:eastAsia="en-US"/>
        </w:rPr>
      </w:pPr>
      <w:r>
        <w:rPr>
          <w:rFonts w:eastAsia="Calibri"/>
          <w:lang w:eastAsia="en-US"/>
        </w:rPr>
        <w:t>In the above comparisons, the comparison across neighbourhood deprivation is adjusted for ethnicity as well as age and sex. However, ethnic comparisons are adjusted for age and sex only; not for neighbourhood deprivation. This approach is used because ethnicity confounds the association between deprivation and health outcomes. By contrast, deprivation is only a mediator, not a confounder, of the association between ethnicity and health outcomes</w:t>
      </w:r>
      <w:r w:rsidR="000F6953">
        <w:rPr>
          <w:rFonts w:eastAsia="Calibri"/>
          <w:lang w:eastAsia="en-US"/>
        </w:rPr>
        <w:t>;</w:t>
      </w:r>
      <w:r>
        <w:rPr>
          <w:rFonts w:eastAsia="Calibri"/>
          <w:lang w:eastAsia="en-US"/>
        </w:rPr>
        <w:t xml:space="preserve"> </w:t>
      </w:r>
      <w:r w:rsidR="000F6953">
        <w:rPr>
          <w:rFonts w:eastAsia="Calibri"/>
          <w:lang w:eastAsia="en-US"/>
        </w:rPr>
        <w:t>t</w:t>
      </w:r>
      <w:r>
        <w:rPr>
          <w:rFonts w:eastAsia="Calibri"/>
          <w:lang w:eastAsia="en-US"/>
        </w:rPr>
        <w:t>hat is, deprivation is on the path that links ethnicity to health outcomes. So, if ethnic comparisons were adjusted for deprivation, the analyses would not reflect the full independent effect of ethnicity but only that portion of the ethnic effect that is not mediated by the socioeconomic position of deprivation.</w:t>
      </w:r>
    </w:p>
    <w:p w:rsidR="00DC0A66" w:rsidRPr="001B000C" w:rsidRDefault="00DC0A66" w:rsidP="000F6953">
      <w:pPr>
        <w:rPr>
          <w:rFonts w:eastAsia="Calibri"/>
          <w:lang w:eastAsia="en-US"/>
        </w:rPr>
      </w:pPr>
    </w:p>
    <w:p w:rsidR="00981544" w:rsidRDefault="00DC0A66" w:rsidP="000F6953">
      <w:pPr>
        <w:rPr>
          <w:rFonts w:eastAsia="Calibri"/>
          <w:lang w:eastAsia="en-US"/>
        </w:rPr>
      </w:pPr>
      <w:r w:rsidRPr="001B000C">
        <w:rPr>
          <w:rFonts w:eastAsia="Calibri"/>
          <w:lang w:eastAsia="en-US"/>
        </w:rPr>
        <w:t>Adjusted rate ratios are calculated using the</w:t>
      </w:r>
      <w:r w:rsidRPr="007F3067">
        <w:rPr>
          <w:rFonts w:eastAsia="Calibri"/>
          <w:b/>
        </w:rPr>
        <w:t xml:space="preserve"> predictive margins</w:t>
      </w:r>
      <w:r>
        <w:rPr>
          <w:rFonts w:eastAsia="Calibri"/>
          <w:lang w:eastAsia="en-US"/>
        </w:rPr>
        <w:t xml:space="preserve"> approach of </w:t>
      </w:r>
      <w:proofErr w:type="spellStart"/>
      <w:r>
        <w:rPr>
          <w:rFonts w:eastAsia="Calibri"/>
          <w:lang w:eastAsia="en-US"/>
        </w:rPr>
        <w:t>Korn</w:t>
      </w:r>
      <w:proofErr w:type="spellEnd"/>
      <w:r>
        <w:rPr>
          <w:rFonts w:eastAsia="Calibri"/>
          <w:lang w:eastAsia="en-US"/>
        </w:rPr>
        <w:t xml:space="preserve"> and </w:t>
      </w:r>
      <w:proofErr w:type="spellStart"/>
      <w:r>
        <w:rPr>
          <w:rFonts w:eastAsia="Calibri"/>
          <w:lang w:eastAsia="en-US"/>
        </w:rPr>
        <w:t>Graubard</w:t>
      </w:r>
      <w:proofErr w:type="spellEnd"/>
      <w:r>
        <w:rPr>
          <w:rFonts w:eastAsia="Calibri"/>
          <w:lang w:eastAsia="en-US"/>
        </w:rPr>
        <w:t xml:space="preserve"> (1999), which</w:t>
      </w:r>
      <w:r w:rsidRPr="001E5ED6">
        <w:rPr>
          <w:rFonts w:eastAsia="Calibri"/>
          <w:lang w:eastAsia="en-US"/>
        </w:rPr>
        <w:t xml:space="preserve"> </w:t>
      </w:r>
      <w:proofErr w:type="spellStart"/>
      <w:r>
        <w:rPr>
          <w:rFonts w:eastAsia="Calibri"/>
          <w:lang w:eastAsia="en-US"/>
        </w:rPr>
        <w:t>Bieler</w:t>
      </w:r>
      <w:proofErr w:type="spellEnd"/>
      <w:r>
        <w:rPr>
          <w:rFonts w:eastAsia="Calibri"/>
          <w:lang w:eastAsia="en-US"/>
        </w:rPr>
        <w:t xml:space="preserve"> et al (2010) call </w:t>
      </w:r>
      <w:r w:rsidRPr="007F3067">
        <w:rPr>
          <w:rFonts w:eastAsia="Calibri"/>
          <w:b/>
        </w:rPr>
        <w:t>model-adjusted risk ratios</w:t>
      </w:r>
      <w:r>
        <w:rPr>
          <w:rFonts w:eastAsia="Calibri"/>
          <w:lang w:eastAsia="en-US"/>
        </w:rPr>
        <w:t>. In this method:</w:t>
      </w:r>
    </w:p>
    <w:p w:rsidR="00DC0A66" w:rsidRPr="001B000C" w:rsidRDefault="00DC0A66" w:rsidP="000F6953">
      <w:pPr>
        <w:pStyle w:val="Bullet"/>
        <w:rPr>
          <w:rFonts w:eastAsia="Calibri"/>
          <w:lang w:eastAsia="en-US"/>
        </w:rPr>
      </w:pPr>
      <w:proofErr w:type="gramStart"/>
      <w:r>
        <w:rPr>
          <w:rFonts w:eastAsia="Calibri"/>
          <w:lang w:eastAsia="en-US"/>
        </w:rPr>
        <w:t>a</w:t>
      </w:r>
      <w:proofErr w:type="gramEnd"/>
      <w:r w:rsidRPr="001B000C">
        <w:rPr>
          <w:rFonts w:eastAsia="Calibri"/>
          <w:lang w:eastAsia="en-US"/>
        </w:rPr>
        <w:t xml:space="preserve"> logistic </w:t>
      </w:r>
      <w:r>
        <w:rPr>
          <w:rFonts w:eastAsia="Calibri"/>
          <w:lang w:eastAsia="en-US"/>
        </w:rPr>
        <w:t xml:space="preserve">regression </w:t>
      </w:r>
      <w:r w:rsidRPr="001B000C">
        <w:rPr>
          <w:rFonts w:eastAsia="Calibri"/>
          <w:lang w:eastAsia="en-US"/>
        </w:rPr>
        <w:t>model is fitted to the data</w:t>
      </w:r>
      <w:r>
        <w:rPr>
          <w:rFonts w:eastAsia="Calibri"/>
          <w:lang w:eastAsia="en-US"/>
        </w:rPr>
        <w:t>.</w:t>
      </w:r>
      <w:r w:rsidRPr="001B000C">
        <w:rPr>
          <w:rFonts w:eastAsia="Calibri"/>
          <w:lang w:eastAsia="en-US"/>
        </w:rPr>
        <w:t xml:space="preserve"> </w:t>
      </w:r>
      <w:r>
        <w:rPr>
          <w:rFonts w:eastAsia="Calibri"/>
          <w:lang w:eastAsia="en-US"/>
        </w:rPr>
        <w:t>T</w:t>
      </w:r>
      <w:r w:rsidRPr="001B000C">
        <w:rPr>
          <w:rFonts w:eastAsia="Calibri"/>
          <w:lang w:eastAsia="en-US"/>
        </w:rPr>
        <w:t xml:space="preserve">he variable defining the groups to be compared, and the adjustment variables, </w:t>
      </w:r>
      <w:r>
        <w:rPr>
          <w:rFonts w:eastAsia="Calibri"/>
          <w:lang w:eastAsia="en-US"/>
        </w:rPr>
        <w:t>are</w:t>
      </w:r>
      <w:r w:rsidRPr="001B000C">
        <w:rPr>
          <w:rFonts w:eastAsia="Calibri"/>
          <w:lang w:eastAsia="en-US"/>
        </w:rPr>
        <w:t xml:space="preserve"> explanatory variables in the model</w:t>
      </w:r>
    </w:p>
    <w:p w:rsidR="00DC0A66" w:rsidRDefault="00DC0A66" w:rsidP="000F6953">
      <w:pPr>
        <w:pStyle w:val="Bullet"/>
        <w:rPr>
          <w:rFonts w:eastAsia="Calibri"/>
          <w:lang w:eastAsia="en-US"/>
        </w:rPr>
      </w:pPr>
      <w:r>
        <w:rPr>
          <w:rFonts w:eastAsia="Calibri"/>
          <w:lang w:eastAsia="en-US"/>
        </w:rPr>
        <w:t>t</w:t>
      </w:r>
      <w:r w:rsidRPr="001B000C">
        <w:rPr>
          <w:rFonts w:eastAsia="Calibri"/>
          <w:lang w:eastAsia="en-US"/>
        </w:rPr>
        <w:t xml:space="preserve">he parameters of the </w:t>
      </w:r>
      <w:r>
        <w:rPr>
          <w:rFonts w:eastAsia="Calibri"/>
          <w:lang w:eastAsia="en-US"/>
        </w:rPr>
        <w:t xml:space="preserve">fitted </w:t>
      </w:r>
      <w:r w:rsidRPr="001B000C">
        <w:rPr>
          <w:rFonts w:eastAsia="Calibri"/>
          <w:lang w:eastAsia="en-US"/>
        </w:rPr>
        <w:t xml:space="preserve">model are used to estimate the </w:t>
      </w:r>
      <w:r>
        <w:rPr>
          <w:rFonts w:eastAsia="Calibri"/>
          <w:lang w:eastAsia="en-US"/>
        </w:rPr>
        <w:t xml:space="preserve">proportion having the characteristic of interest </w:t>
      </w:r>
      <w:r w:rsidRPr="001B000C">
        <w:rPr>
          <w:rFonts w:eastAsia="Calibri"/>
          <w:lang w:eastAsia="en-US"/>
        </w:rPr>
        <w:t xml:space="preserve">as if all the respondents belong to </w:t>
      </w:r>
      <w:r>
        <w:rPr>
          <w:rFonts w:eastAsia="Calibri"/>
          <w:lang w:eastAsia="en-US"/>
        </w:rPr>
        <w:t>the group of interest</w:t>
      </w:r>
      <w:r w:rsidRPr="001B000C">
        <w:rPr>
          <w:rFonts w:eastAsia="Calibri"/>
          <w:lang w:eastAsia="en-US"/>
        </w:rPr>
        <w:t xml:space="preserve">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t>
      </w:r>
      <w:r>
        <w:rPr>
          <w:rFonts w:eastAsia="Calibri"/>
          <w:lang w:eastAsia="en-US"/>
        </w:rPr>
        <w:t>are</w:t>
      </w:r>
      <w:r w:rsidRPr="001B000C">
        <w:rPr>
          <w:rFonts w:eastAsia="Calibri"/>
          <w:lang w:eastAsia="en-US"/>
        </w:rPr>
        <w:t xml:space="preserve"> all 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men who have the same age distribution as the full sample</w:t>
      </w:r>
    </w:p>
    <w:p w:rsidR="00DC0A66" w:rsidRPr="00F0773B" w:rsidRDefault="00DC0A66" w:rsidP="000F6953">
      <w:pPr>
        <w:pStyle w:val="Bullet"/>
        <w:rPr>
          <w:rFonts w:eastAsia="Calibri"/>
          <w:lang w:eastAsia="en-US"/>
        </w:rPr>
      </w:pPr>
      <w:r>
        <w:rPr>
          <w:rFonts w:eastAsia="Calibri"/>
          <w:lang w:eastAsia="en-US"/>
        </w:rPr>
        <w:t xml:space="preserve">in the same way, the parameters of the fitted model are used to estimate the proportion having the characteristic of interest </w:t>
      </w:r>
      <w:r w:rsidRPr="001B000C">
        <w:rPr>
          <w:rFonts w:eastAsia="Calibri"/>
          <w:lang w:eastAsia="en-US"/>
        </w:rPr>
        <w:t>as if all the respondents</w:t>
      </w:r>
      <w:r>
        <w:rPr>
          <w:rFonts w:eastAsia="Calibri"/>
          <w:lang w:eastAsia="en-US"/>
        </w:rPr>
        <w:t xml:space="preserve"> belong to the comparison group of interest </w:t>
      </w:r>
      <w:r w:rsidRPr="001B000C">
        <w:rPr>
          <w:rFonts w:eastAsia="Calibri"/>
          <w:lang w:eastAsia="en-US"/>
        </w:rPr>
        <w:t>(</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t>
      </w:r>
      <w:r>
        <w:rPr>
          <w:rFonts w:eastAsia="Calibri"/>
          <w:lang w:eastAsia="en-US"/>
        </w:rPr>
        <w:t>a</w:t>
      </w:r>
      <w:r w:rsidRPr="001B000C">
        <w:rPr>
          <w:rFonts w:eastAsia="Calibri"/>
          <w:lang w:eastAsia="en-US"/>
        </w:rPr>
        <w:t xml:space="preserve">re all </w:t>
      </w:r>
      <w:r>
        <w:rPr>
          <w:rFonts w:eastAsia="Calibri"/>
          <w:lang w:eastAsia="en-US"/>
        </w:rPr>
        <w:t>fe</w:t>
      </w:r>
      <w:r w:rsidRPr="001B000C">
        <w:rPr>
          <w:rFonts w:eastAsia="Calibri"/>
          <w:lang w:eastAsia="en-US"/>
        </w:rPr>
        <w:t>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women who have the same age distribution as the full sample</w:t>
      </w:r>
    </w:p>
    <w:p w:rsidR="00DC0A66" w:rsidRDefault="00DC0A66" w:rsidP="000F6953">
      <w:pPr>
        <w:pStyle w:val="Bullet"/>
        <w:rPr>
          <w:rFonts w:eastAsia="Calibri"/>
          <w:lang w:eastAsia="en-US"/>
        </w:rPr>
      </w:pPr>
      <w:proofErr w:type="gramStart"/>
      <w:r>
        <w:rPr>
          <w:rFonts w:eastAsia="Calibri"/>
          <w:lang w:eastAsia="en-US"/>
        </w:rPr>
        <w:t>o</w:t>
      </w:r>
      <w:r w:rsidRPr="001B000C">
        <w:rPr>
          <w:rFonts w:eastAsia="Calibri"/>
          <w:lang w:eastAsia="en-US"/>
        </w:rPr>
        <w:t>nce</w:t>
      </w:r>
      <w:proofErr w:type="gramEnd"/>
      <w:r w:rsidRPr="001B000C">
        <w:rPr>
          <w:rFonts w:eastAsia="Calibri"/>
          <w:lang w:eastAsia="en-US"/>
        </w:rPr>
        <w:t xml:space="preserve"> the </w:t>
      </w:r>
      <w:r>
        <w:rPr>
          <w:rFonts w:eastAsia="Calibri"/>
          <w:lang w:eastAsia="en-US"/>
        </w:rPr>
        <w:t>model-</w:t>
      </w:r>
      <w:r w:rsidRPr="001B000C">
        <w:rPr>
          <w:rFonts w:eastAsia="Calibri"/>
          <w:lang w:eastAsia="en-US"/>
        </w:rPr>
        <w:t xml:space="preserve">adjusted </w:t>
      </w:r>
      <w:r>
        <w:rPr>
          <w:rFonts w:eastAsia="Calibri"/>
          <w:lang w:eastAsia="en-US"/>
        </w:rPr>
        <w:t>proportions</w:t>
      </w:r>
      <w:r w:rsidRPr="001B000C">
        <w:rPr>
          <w:rFonts w:eastAsia="Calibri"/>
          <w:lang w:eastAsia="en-US"/>
        </w:rPr>
        <w:t xml:space="preserve"> for the group of interest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men) and the comparison group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women) have been estimated in this way, their ratio can be calculated.</w:t>
      </w:r>
    </w:p>
    <w:p w:rsidR="00DC0A66" w:rsidRDefault="00DC0A66" w:rsidP="000F6953">
      <w:pPr>
        <w:rPr>
          <w:rFonts w:eastAsia="Calibri"/>
          <w:lang w:eastAsia="en-US"/>
        </w:rPr>
      </w:pPr>
    </w:p>
    <w:p w:rsidR="00DC0A66" w:rsidRPr="002A0886" w:rsidRDefault="00DC0A66" w:rsidP="000F6953">
      <w:r w:rsidRPr="002A0886">
        <w:t xml:space="preserve">In the neighbourhood deprivation comparisons, the rate ratio refers to the </w:t>
      </w:r>
      <w:r w:rsidRPr="007F3067">
        <w:rPr>
          <w:b/>
        </w:rPr>
        <w:t xml:space="preserve">relative index of inequality </w:t>
      </w:r>
      <w:r w:rsidRPr="002A0886">
        <w:t>(Hayes and Barry 2002). This measure is used instead of simply comparing the most deprived quintile with the least deprived quintile</w:t>
      </w:r>
      <w:r>
        <w:t>. It</w:t>
      </w:r>
      <w:r w:rsidRPr="002A0886">
        <w:t xml:space="preserve"> is calculated by first using data from all quintiles to calculate a line of best fit (</w:t>
      </w:r>
      <w:r>
        <w:t xml:space="preserve">linear </w:t>
      </w:r>
      <w:r w:rsidRPr="002A0886">
        <w:t>regression line), adjusted for age group, sex and ethnic group. The</w:t>
      </w:r>
      <w:r w:rsidRPr="002A0886">
        <w:rPr>
          <w:rFonts w:cs="Arial"/>
          <w:szCs w:val="24"/>
        </w:rPr>
        <w:t xml:space="preserve"> points on the </w:t>
      </w:r>
      <w:r w:rsidRPr="002A0886">
        <w:t>regression line corresponding to the most and least deprived areas are used to calculate the rate ratio that is presented in the reports. This method has the advantage of using data from all the NZDep2013 quintiles to give an overall test for trend (gradient) by neighbourhood deprivation rather than only using the data from quintiles 1 and 5.</w:t>
      </w:r>
    </w:p>
    <w:p w:rsidR="00DC0A66" w:rsidRPr="002A0886" w:rsidRDefault="00DC0A66" w:rsidP="000F6953"/>
    <w:p w:rsidR="00981544" w:rsidRDefault="00DC0A66" w:rsidP="000F6953">
      <w:pPr>
        <w:keepLines/>
      </w:pPr>
      <w:r w:rsidRPr="002A0886">
        <w:rPr>
          <w:rFonts w:eastAsia="Calibri"/>
          <w:lang w:eastAsia="en-US"/>
        </w:rPr>
        <w:lastRenderedPageBreak/>
        <w:t>While total response ethnicity is used to report ethnic group statistics in the NZHS reports, a prioritised ethnicity variable is used when adjusting for ethnicity in the regression model</w:t>
      </w:r>
      <w:r>
        <w:rPr>
          <w:rFonts w:eastAsia="Calibri"/>
          <w:lang w:eastAsia="en-US"/>
        </w:rPr>
        <w:t xml:space="preserve"> underlying the relative index of inequality</w:t>
      </w:r>
      <w:r w:rsidRPr="002A0886">
        <w:rPr>
          <w:rFonts w:eastAsia="Calibri"/>
          <w:lang w:eastAsia="en-US"/>
        </w:rPr>
        <w:t xml:space="preserve">. </w:t>
      </w:r>
      <w:r w:rsidRPr="002A0886">
        <w:t>Using prioritised ethnicity in the model simplifies the modelling process and gives results similar to including total response ethnicity variables in the model.</w:t>
      </w:r>
      <w:r w:rsidRPr="002A0886">
        <w:rPr>
          <w:rFonts w:eastAsia="Calibri"/>
          <w:lang w:eastAsia="en-US"/>
        </w:rPr>
        <w:t xml:space="preserve"> The priority ordering of ethnic groups used is: </w:t>
      </w:r>
      <w:r w:rsidRPr="002A0886">
        <w:t>Māori, Pacific</w:t>
      </w:r>
      <w:r>
        <w:t xml:space="preserve"> peoples</w:t>
      </w:r>
      <w:r w:rsidRPr="002A0886">
        <w:t>, Asian, European/Other.</w:t>
      </w:r>
    </w:p>
    <w:p w:rsidR="00DC0A66" w:rsidRDefault="00DC0A66" w:rsidP="000F6953"/>
    <w:p w:rsidR="00DC0A66" w:rsidRPr="00CC7E24" w:rsidRDefault="00DC0A66" w:rsidP="000F6953">
      <w:pPr>
        <w:pStyle w:val="Heading2"/>
      </w:pPr>
      <w:bookmarkStart w:id="191" w:name="_Toc335133124"/>
      <w:bookmarkStart w:id="192" w:name="_Toc339270034"/>
      <w:bookmarkStart w:id="193" w:name="_Toc467491547"/>
      <w:bookmarkStart w:id="194" w:name="_Toc467515149"/>
      <w:r w:rsidRPr="00CC7E24">
        <w:t>Confidence intervals</w:t>
      </w:r>
      <w:bookmarkEnd w:id="191"/>
      <w:bookmarkEnd w:id="192"/>
      <w:r>
        <w:t xml:space="preserve"> and statistical tests</w:t>
      </w:r>
      <w:bookmarkEnd w:id="193"/>
      <w:bookmarkEnd w:id="194"/>
    </w:p>
    <w:p w:rsidR="00DC0A66" w:rsidRDefault="00DC0A66" w:rsidP="000F6953">
      <w:r w:rsidRPr="00CC7E24">
        <w:t xml:space="preserve">Ninety-five percent confidence intervals are used </w:t>
      </w:r>
      <w:r>
        <w:t xml:space="preserve">in NZHS reports </w:t>
      </w:r>
      <w:r w:rsidRPr="00CC7E24">
        <w:t>to represent the sampl</w:t>
      </w:r>
      <w:r>
        <w:t>ing</w:t>
      </w:r>
      <w:r w:rsidRPr="00CC7E24">
        <w:t xml:space="preserve"> error </w:t>
      </w:r>
      <w:r>
        <w:t>associated with the statistics; that is, the uncertainty due to selecting a sample to estimate values for the entire population</w:t>
      </w:r>
      <w:r w:rsidRPr="00CC7E24">
        <w:t xml:space="preserve">. </w:t>
      </w:r>
      <w:r>
        <w:t>A 95 percent confidence interval for a statistic is constructed in such a way that, under a hypothetical scenario where selecting the sample could be repeated many times, 95 percent of the confidence intervals constructed in this way would contain the true population value.</w:t>
      </w:r>
    </w:p>
    <w:p w:rsidR="00DC0A66" w:rsidRDefault="00DC0A66" w:rsidP="000F6953"/>
    <w:p w:rsidR="00DC0A66" w:rsidRPr="00CC7E24" w:rsidRDefault="00DC0A66" w:rsidP="000F6953">
      <w:pPr>
        <w:pStyle w:val="Heading3"/>
      </w:pPr>
      <w:r w:rsidRPr="00CC7E24">
        <w:t>Calculati</w:t>
      </w:r>
      <w:r>
        <w:t>ng</w:t>
      </w:r>
      <w:r w:rsidRPr="00CC7E24">
        <w:t xml:space="preserve"> confidence intervals</w:t>
      </w:r>
    </w:p>
    <w:p w:rsidR="00DC0A66" w:rsidRDefault="00DC0A66" w:rsidP="000F6953">
      <w:pPr>
        <w:rPr>
          <w:rFonts w:eastAsia="Cambria"/>
          <w:lang w:eastAsia="en-US"/>
        </w:rPr>
      </w:pPr>
      <w:r>
        <w:rPr>
          <w:rFonts w:eastAsia="Cambria"/>
          <w:lang w:eastAsia="en-US"/>
        </w:rPr>
        <w:t>In most cases, confidence intervals presented in NZHS reports are calculated using the usual normal approximation. The upper and lower limits of the 95 percent confidence interval are found by:</w:t>
      </w:r>
    </w:p>
    <w:p w:rsidR="00DC0A66" w:rsidRDefault="00DC0A66" w:rsidP="000F6953">
      <w:pPr>
        <w:spacing w:before="120"/>
        <w:ind w:left="567"/>
        <w:rPr>
          <w:rFonts w:eastAsia="Cambria"/>
          <w:lang w:eastAsia="en-US"/>
        </w:rPr>
      </w:pPr>
      <w:proofErr w:type="gramStart"/>
      <w:r>
        <w:rPr>
          <w:rFonts w:eastAsia="Cambria"/>
          <w:lang w:eastAsia="en-US"/>
        </w:rPr>
        <w:t>estimate</w:t>
      </w:r>
      <w:proofErr w:type="gramEnd"/>
      <w:r>
        <w:rPr>
          <w:rFonts w:eastAsia="Cambria"/>
          <w:lang w:eastAsia="en-US"/>
        </w:rPr>
        <w:t xml:space="preserve"> ± 1.96 x standard error of the estimate</w:t>
      </w:r>
    </w:p>
    <w:p w:rsidR="00DC0A66" w:rsidRDefault="00DC0A66" w:rsidP="000F6953">
      <w:pPr>
        <w:rPr>
          <w:rFonts w:eastAsia="Cambria"/>
          <w:lang w:eastAsia="en-US"/>
        </w:rPr>
      </w:pPr>
    </w:p>
    <w:p w:rsidR="00DC0A66" w:rsidRPr="00CC7E24" w:rsidRDefault="00DC0A66" w:rsidP="000F6953">
      <w:pPr>
        <w:rPr>
          <w:rFonts w:eastAsia="Cambria"/>
          <w:lang w:eastAsia="en-US"/>
        </w:rPr>
      </w:pPr>
      <w:r>
        <w:rPr>
          <w:rFonts w:eastAsia="Cambria"/>
          <w:lang w:eastAsia="en-US"/>
        </w:rPr>
        <w:t>However, c</w:t>
      </w:r>
      <w:r w:rsidRPr="00CC7E24">
        <w:rPr>
          <w:rFonts w:eastAsia="Cambria"/>
          <w:lang w:eastAsia="en-US"/>
        </w:rPr>
        <w:t xml:space="preserve">onfidence intervals based on </w:t>
      </w:r>
      <w:r>
        <w:rPr>
          <w:rFonts w:eastAsia="Cambria"/>
          <w:lang w:eastAsia="en-US"/>
        </w:rPr>
        <w:t xml:space="preserve">the </w:t>
      </w:r>
      <w:r w:rsidRPr="00CC7E24">
        <w:rPr>
          <w:rFonts w:eastAsia="Cambria"/>
          <w:lang w:eastAsia="en-US"/>
        </w:rPr>
        <w:t xml:space="preserve">normal approximation </w:t>
      </w:r>
      <w:r>
        <w:rPr>
          <w:rFonts w:eastAsia="Cambria"/>
          <w:lang w:eastAsia="en-US"/>
        </w:rPr>
        <w:t xml:space="preserve">sometimes </w:t>
      </w:r>
      <w:r w:rsidRPr="00CC7E24">
        <w:rPr>
          <w:rFonts w:eastAsia="Cambria"/>
          <w:lang w:eastAsia="en-US"/>
        </w:rPr>
        <w:t xml:space="preserve">do not work well when estimating small proportions. </w:t>
      </w:r>
      <w:r>
        <w:rPr>
          <w:rFonts w:eastAsia="Cambria"/>
          <w:lang w:eastAsia="en-US"/>
        </w:rPr>
        <w:t>In these cases</w:t>
      </w:r>
      <w:r w:rsidRPr="00CC7E24">
        <w:rPr>
          <w:rFonts w:eastAsia="Cambria"/>
          <w:lang w:eastAsia="en-US"/>
        </w:rPr>
        <w:t>, the symmetric</w:t>
      </w:r>
      <w:r>
        <w:rPr>
          <w:rFonts w:eastAsia="Cambria"/>
          <w:lang w:eastAsia="en-US"/>
        </w:rPr>
        <w:t>al</w:t>
      </w:r>
      <w:r w:rsidRPr="00CC7E24">
        <w:rPr>
          <w:rFonts w:eastAsia="Cambria"/>
          <w:lang w:eastAsia="en-US"/>
        </w:rPr>
        <w:t xml:space="preserve"> behaviour of these</w:t>
      </w:r>
      <w:r>
        <w:rPr>
          <w:rFonts w:eastAsia="Cambria"/>
          <w:lang w:eastAsia="en-US"/>
        </w:rPr>
        <w:t xml:space="preserve"> normal</w:t>
      </w:r>
      <w:r w:rsidRPr="00CC7E24">
        <w:rPr>
          <w:rFonts w:eastAsia="Cambria"/>
          <w:lang w:eastAsia="en-US"/>
        </w:rPr>
        <w:t xml:space="preserve"> confidence intervals can be unrealistic and can even lead to confidence intervals containing negative values.</w:t>
      </w:r>
    </w:p>
    <w:p w:rsidR="00DC0A66" w:rsidRPr="00CC7E24" w:rsidRDefault="00DC0A66" w:rsidP="000F6953">
      <w:pPr>
        <w:rPr>
          <w:rFonts w:eastAsia="Cambria"/>
          <w:lang w:eastAsia="en-US"/>
        </w:rPr>
      </w:pPr>
    </w:p>
    <w:p w:rsidR="00DC0A66" w:rsidRPr="00CC7E24" w:rsidRDefault="00DC0A66" w:rsidP="000F6953">
      <w:pPr>
        <w:rPr>
          <w:rFonts w:eastAsia="Cambria" w:cs="Arial"/>
          <w:szCs w:val="24"/>
          <w:lang w:eastAsia="en-US"/>
        </w:rPr>
      </w:pPr>
      <w:r>
        <w:rPr>
          <w:rFonts w:eastAsia="Cambria"/>
          <w:lang w:eastAsia="en-US"/>
        </w:rPr>
        <w:t>T</w:t>
      </w:r>
      <w:r w:rsidRPr="00CC7E24">
        <w:rPr>
          <w:rFonts w:eastAsia="Cambria"/>
          <w:lang w:eastAsia="en-US"/>
        </w:rPr>
        <w:t xml:space="preserve">he </w:t>
      </w:r>
      <w:proofErr w:type="spellStart"/>
      <w:r w:rsidRPr="00CC7E24">
        <w:rPr>
          <w:rFonts w:eastAsia="Cambria"/>
          <w:lang w:eastAsia="en-US"/>
        </w:rPr>
        <w:t>Korn</w:t>
      </w:r>
      <w:proofErr w:type="spellEnd"/>
      <w:r w:rsidRPr="00CC7E24">
        <w:rPr>
          <w:rFonts w:eastAsia="Cambria"/>
          <w:lang w:eastAsia="en-US"/>
        </w:rPr>
        <w:t xml:space="preserve"> and </w:t>
      </w:r>
      <w:proofErr w:type="spellStart"/>
      <w:r w:rsidRPr="00CC7E24">
        <w:rPr>
          <w:rFonts w:eastAsia="Cambria"/>
          <w:lang w:eastAsia="en-US"/>
        </w:rPr>
        <w:t>Graubard</w:t>
      </w:r>
      <w:proofErr w:type="spellEnd"/>
      <w:r w:rsidRPr="00CC7E24">
        <w:rPr>
          <w:rFonts w:eastAsia="Cambria"/>
          <w:lang w:eastAsia="en-US"/>
        </w:rPr>
        <w:t xml:space="preserve"> (1998) method is used </w:t>
      </w:r>
      <w:r>
        <w:rPr>
          <w:rFonts w:eastAsia="Cambria"/>
          <w:lang w:eastAsia="en-US"/>
        </w:rPr>
        <w:t xml:space="preserve">to calculate more appropriate confidence intervals </w:t>
      </w:r>
      <w:r>
        <w:rPr>
          <w:rFonts w:eastAsia="Cambria" w:cs="Arial"/>
          <w:szCs w:val="24"/>
          <w:lang w:eastAsia="en-US"/>
        </w:rPr>
        <w:t>where</w:t>
      </w:r>
      <w:r w:rsidRPr="00CC7E24">
        <w:rPr>
          <w:rFonts w:eastAsia="Cambria" w:cs="Arial"/>
          <w:szCs w:val="24"/>
          <w:lang w:eastAsia="en-US"/>
        </w:rPr>
        <w:t>:</w:t>
      </w:r>
    </w:p>
    <w:p w:rsidR="00DC0A66" w:rsidRDefault="00DC0A66" w:rsidP="000F6953">
      <w:pPr>
        <w:pStyle w:val="Bullet"/>
      </w:pPr>
      <w:r>
        <w:t xml:space="preserve">the </w:t>
      </w:r>
      <w:r>
        <w:rPr>
          <w:rFonts w:eastAsia="Cambria"/>
          <w:lang w:eastAsia="en-US"/>
        </w:rPr>
        <w:t>prevalence estimate is less than 5 percent or greater than 95 percent</w:t>
      </w:r>
    </w:p>
    <w:p w:rsidR="00DC0A66" w:rsidRPr="00CC7E24" w:rsidRDefault="00DC0A66" w:rsidP="000F6953">
      <w:pPr>
        <w:pStyle w:val="Bullet"/>
      </w:pPr>
      <w:r w:rsidRPr="00CC7E24">
        <w:t xml:space="preserve">the lower confidence interval </w:t>
      </w:r>
      <w:r>
        <w:t xml:space="preserve">limit from the normal approximation </w:t>
      </w:r>
      <w:r w:rsidRPr="00CC7E24">
        <w:t>results in a value less than 0</w:t>
      </w:r>
      <w:r w:rsidR="000F6953">
        <w:t> </w:t>
      </w:r>
      <w:r>
        <w:t>percent</w:t>
      </w:r>
    </w:p>
    <w:p w:rsidR="00DC0A66" w:rsidRDefault="00DC0A66" w:rsidP="000F6953">
      <w:pPr>
        <w:pStyle w:val="Bullet"/>
      </w:pPr>
      <w:proofErr w:type="gramStart"/>
      <w:r w:rsidRPr="00CC7E24">
        <w:t>the</w:t>
      </w:r>
      <w:proofErr w:type="gramEnd"/>
      <w:r w:rsidRPr="00CC7E24">
        <w:t xml:space="preserve"> upper confidence interval </w:t>
      </w:r>
      <w:r>
        <w:t xml:space="preserve">limit from the normal approximation </w:t>
      </w:r>
      <w:r w:rsidRPr="00CC7E24">
        <w:t>results in a value greater than 100</w:t>
      </w:r>
      <w:r>
        <w:t xml:space="preserve"> percent.</w:t>
      </w:r>
    </w:p>
    <w:p w:rsidR="00DC0A66" w:rsidRDefault="00DC0A66" w:rsidP="000F6953"/>
    <w:p w:rsidR="00DC0A66" w:rsidRDefault="00DC0A66" w:rsidP="000F6953">
      <w:r>
        <w:t xml:space="preserve">In any of these circumstances, the </w:t>
      </w:r>
      <w:proofErr w:type="spellStart"/>
      <w:r>
        <w:t>Korn</w:t>
      </w:r>
      <w:proofErr w:type="spellEnd"/>
      <w:r>
        <w:t xml:space="preserve"> and </w:t>
      </w:r>
      <w:proofErr w:type="spellStart"/>
      <w:r>
        <w:t>Graubard</w:t>
      </w:r>
      <w:proofErr w:type="spellEnd"/>
      <w:r>
        <w:t xml:space="preserve"> confidence intervals can and should be asymmetrical.</w:t>
      </w:r>
    </w:p>
    <w:p w:rsidR="00DC0A66" w:rsidRDefault="00DC0A66" w:rsidP="000F6953"/>
    <w:p w:rsidR="00DC0A66" w:rsidRPr="00CC7E24" w:rsidRDefault="00DC0A66" w:rsidP="000F6953">
      <w:r>
        <w:t>Confidence intervals for percentiles (</w:t>
      </w:r>
      <w:proofErr w:type="spellStart"/>
      <w:r>
        <w:t>eg</w:t>
      </w:r>
      <w:proofErr w:type="spellEnd"/>
      <w:r>
        <w:t xml:space="preserve">, medians) are calculated using the </w:t>
      </w:r>
      <w:r w:rsidRPr="00CC7E24">
        <w:t xml:space="preserve">Woodruff </w:t>
      </w:r>
      <w:r>
        <w:t>(</w:t>
      </w:r>
      <w:r w:rsidRPr="00CC7E24">
        <w:t>1952)</w:t>
      </w:r>
      <w:r>
        <w:t xml:space="preserve"> method</w:t>
      </w:r>
      <w:r w:rsidRPr="00CC7E24">
        <w:t>.</w:t>
      </w:r>
    </w:p>
    <w:p w:rsidR="00DC0A66" w:rsidRDefault="00DC0A66" w:rsidP="000F6953"/>
    <w:p w:rsidR="00DC0A66" w:rsidRDefault="00DC0A66" w:rsidP="000F6953">
      <w:pPr>
        <w:pStyle w:val="Heading3"/>
      </w:pPr>
      <w:r>
        <w:t>Tests for statistically significant differences</w:t>
      </w:r>
    </w:p>
    <w:p w:rsidR="00DC0A66" w:rsidRDefault="00DC0A66" w:rsidP="000F6953">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rsidR="00DC0A66" w:rsidRDefault="00DC0A66" w:rsidP="000F6953"/>
    <w:p w:rsidR="00DC0A66" w:rsidRDefault="00DC0A66" w:rsidP="000F6953">
      <w:pPr>
        <w:keepLines/>
      </w:pPr>
      <w:r>
        <w:lastRenderedPageBreak/>
        <w:t xml:space="preserve">When confidence intervals do not overlap, it can be concluded that the estimates differ significantly. However, when they do overlap, it is still possible that there is a significant difference. In this case, </w:t>
      </w:r>
      <w:r w:rsidRPr="006B12A7">
        <w:t xml:space="preserve">a </w:t>
      </w:r>
      <w:r w:rsidRPr="00FE3329">
        <w:rPr>
          <w:i/>
        </w:rPr>
        <w:t>t</w:t>
      </w:r>
      <w:r w:rsidRPr="006B12A7">
        <w:t>-test is used</w:t>
      </w:r>
      <w:r>
        <w:t xml:space="preserve"> to correctly test the statistical significance of differences between NZHS estimates.</w:t>
      </w:r>
    </w:p>
    <w:p w:rsidR="00DC0A66" w:rsidRPr="00CC7E24" w:rsidRDefault="00DC0A66" w:rsidP="000F6953"/>
    <w:p w:rsidR="00DC0A66" w:rsidRDefault="00DC0A66" w:rsidP="000F6953">
      <w:pPr>
        <w:pStyle w:val="Heading2"/>
        <w:rPr>
          <w:lang w:eastAsia="en-US"/>
        </w:rPr>
      </w:pPr>
      <w:bookmarkStart w:id="195" w:name="_Toc467491548"/>
      <w:bookmarkStart w:id="196" w:name="_Toc467515150"/>
      <w:r w:rsidRPr="00D968B8">
        <w:rPr>
          <w:lang w:eastAsia="en-US"/>
        </w:rPr>
        <w:t>Time trends</w:t>
      </w:r>
      <w:bookmarkEnd w:id="195"/>
      <w:bookmarkEnd w:id="196"/>
    </w:p>
    <w:p w:rsidR="00DC0A66" w:rsidRPr="001B000C" w:rsidRDefault="00DC0A66" w:rsidP="000F6953">
      <w:pPr>
        <w:rPr>
          <w:rFonts w:eastAsia="Calibri"/>
          <w:lang w:eastAsia="en-US"/>
        </w:rPr>
      </w:pPr>
      <w:r w:rsidRPr="001B000C">
        <w:rPr>
          <w:rFonts w:eastAsia="Calibri"/>
          <w:lang w:eastAsia="en-US"/>
        </w:rPr>
        <w:t>Where possible, the results of indicators presented in the current report are compared with the corresponding results from the previous years of the continuous NZHS (from 2011/12 onwards) and from the 2006/07 NZHS, to examine whether an indicator shows an increase or</w:t>
      </w:r>
      <w:r>
        <w:rPr>
          <w:rFonts w:eastAsia="Calibri"/>
          <w:lang w:eastAsia="en-US"/>
        </w:rPr>
        <w:t xml:space="preserve"> a</w:t>
      </w:r>
      <w:r w:rsidRPr="001B000C">
        <w:rPr>
          <w:rFonts w:eastAsia="Calibri"/>
          <w:lang w:eastAsia="en-US"/>
        </w:rPr>
        <w:t xml:space="preserve"> decrease. This is referred to as </w:t>
      </w:r>
      <w:r w:rsidR="00981544">
        <w:rPr>
          <w:rFonts w:eastAsia="Calibri"/>
          <w:lang w:eastAsia="en-US"/>
        </w:rPr>
        <w:t>‘</w:t>
      </w:r>
      <w:r w:rsidRPr="001B000C">
        <w:rPr>
          <w:rFonts w:eastAsia="Calibri"/>
          <w:lang w:eastAsia="en-US"/>
        </w:rPr>
        <w:t>time trends</w:t>
      </w:r>
      <w:r w:rsidR="00981544">
        <w:rPr>
          <w:rFonts w:eastAsia="Calibri"/>
          <w:lang w:eastAsia="en-US"/>
        </w:rPr>
        <w:t>’</w:t>
      </w:r>
      <w:r w:rsidRPr="001B000C">
        <w:rPr>
          <w:rFonts w:eastAsia="Calibri"/>
          <w:lang w:eastAsia="en-US"/>
        </w:rPr>
        <w:t xml:space="preserve"> in the annual report.</w:t>
      </w:r>
    </w:p>
    <w:p w:rsidR="00DC0A66" w:rsidRPr="001B000C" w:rsidRDefault="00DC0A66" w:rsidP="000F6953">
      <w:pPr>
        <w:rPr>
          <w:rFonts w:eastAsia="Calibri"/>
          <w:lang w:eastAsia="en-US"/>
        </w:rPr>
      </w:pPr>
    </w:p>
    <w:p w:rsidR="00DC0A66" w:rsidRDefault="00DC0A66" w:rsidP="000F6953">
      <w:pPr>
        <w:rPr>
          <w:rFonts w:eastAsia="Calibri"/>
          <w:lang w:eastAsia="en-US"/>
        </w:rPr>
      </w:pPr>
      <w:r w:rsidRPr="001B000C">
        <w:rPr>
          <w:rFonts w:eastAsia="Calibri"/>
          <w:lang w:eastAsia="en-US"/>
        </w:rPr>
        <w:t xml:space="preserve">Testing the statistical significance of changes over time is based on age-standardised </w:t>
      </w:r>
      <w:r>
        <w:rPr>
          <w:rFonts w:eastAsia="Calibri"/>
          <w:lang w:eastAsia="en-US"/>
        </w:rPr>
        <w:t>statistics</w:t>
      </w:r>
      <w:r w:rsidRPr="001B000C">
        <w:rPr>
          <w:rFonts w:eastAsia="Calibri"/>
          <w:lang w:eastAsia="en-US"/>
        </w:rPr>
        <w:t>.</w:t>
      </w:r>
    </w:p>
    <w:p w:rsidR="000F6953" w:rsidRPr="00D968B8" w:rsidRDefault="000F6953" w:rsidP="000F6953">
      <w:pPr>
        <w:rPr>
          <w:rFonts w:eastAsia="Calibri"/>
          <w:lang w:eastAsia="en-US"/>
        </w:rPr>
      </w:pPr>
    </w:p>
    <w:p w:rsidR="00DC0A66" w:rsidRDefault="00DC0A66" w:rsidP="000F6953">
      <w:pPr>
        <w:pStyle w:val="Heading1"/>
      </w:pPr>
      <w:bookmarkStart w:id="197" w:name="_Toc339270038"/>
      <w:bookmarkStart w:id="198" w:name="_Toc340501953"/>
      <w:bookmarkStart w:id="199" w:name="_Toc372445573"/>
      <w:bookmarkStart w:id="200" w:name="_Toc403044028"/>
      <w:bookmarkStart w:id="201" w:name="_Toc467491549"/>
      <w:bookmarkStart w:id="202" w:name="_Toc467515151"/>
      <w:bookmarkEnd w:id="181"/>
      <w:r w:rsidRPr="00CC7E24">
        <w:lastRenderedPageBreak/>
        <w:t xml:space="preserve">Section </w:t>
      </w:r>
      <w:r>
        <w:t>9</w:t>
      </w:r>
      <w:r w:rsidRPr="00CC7E24">
        <w:t>: New Zealand Health Survey</w:t>
      </w:r>
      <w:bookmarkEnd w:id="197"/>
      <w:r>
        <w:t xml:space="preserve"> 2015</w:t>
      </w:r>
      <w:r w:rsidRPr="00CC7E24">
        <w:t>/1</w:t>
      </w:r>
      <w:bookmarkEnd w:id="198"/>
      <w:bookmarkEnd w:id="199"/>
      <w:bookmarkEnd w:id="200"/>
      <w:r>
        <w:t>6</w:t>
      </w:r>
      <w:bookmarkEnd w:id="201"/>
      <w:bookmarkEnd w:id="202"/>
    </w:p>
    <w:p w:rsidR="00981544" w:rsidRDefault="00DC0A66" w:rsidP="000F6953">
      <w:r w:rsidRPr="00CC7E24">
        <w:t xml:space="preserve">This section provides some field-related data specific to the data collection </w:t>
      </w:r>
      <w:r>
        <w:t xml:space="preserve">and analysis of the NZHS in 2015/16 </w:t>
      </w:r>
      <w:r w:rsidRPr="00F20E7F">
        <w:t>(year</w:t>
      </w:r>
      <w:r w:rsidRPr="00F203A8">
        <w:t xml:space="preserve"> </w:t>
      </w:r>
      <w:r>
        <w:t>5</w:t>
      </w:r>
      <w:r w:rsidRPr="00F20E7F">
        <w:t xml:space="preserve">). </w:t>
      </w:r>
      <w:r>
        <w:t xml:space="preserve">The </w:t>
      </w:r>
      <w:r w:rsidRPr="00F20E7F">
        <w:t>Appendix</w:t>
      </w:r>
      <w:r>
        <w:t xml:space="preserve"> contains some information on a past NZHS carried out in 2006/07.</w:t>
      </w:r>
    </w:p>
    <w:p w:rsidR="00DC0A66" w:rsidRPr="00CC7E24" w:rsidRDefault="00DC0A66" w:rsidP="000F6953"/>
    <w:p w:rsidR="00DC0A66" w:rsidRPr="00CC7E24" w:rsidRDefault="00DC0A66" w:rsidP="000F6953">
      <w:pPr>
        <w:pStyle w:val="Heading2"/>
      </w:pPr>
      <w:bookmarkStart w:id="203" w:name="_Toc340501954"/>
      <w:bookmarkStart w:id="204" w:name="_Toc372445574"/>
      <w:bookmarkStart w:id="205" w:name="_Toc403044029"/>
      <w:bookmarkStart w:id="206" w:name="_Toc467491550"/>
      <w:bookmarkStart w:id="207" w:name="_Toc467515152"/>
      <w:r>
        <w:t>2015/16</w:t>
      </w:r>
      <w:r w:rsidRPr="00CC7E24">
        <w:t xml:space="preserve"> NZHS module</w:t>
      </w:r>
      <w:bookmarkEnd w:id="203"/>
      <w:bookmarkEnd w:id="204"/>
      <w:bookmarkEnd w:id="205"/>
      <w:r>
        <w:t>s</w:t>
      </w:r>
      <w:bookmarkEnd w:id="206"/>
      <w:bookmarkEnd w:id="207"/>
    </w:p>
    <w:p w:rsidR="00DC0A66" w:rsidRPr="00CC7E24" w:rsidRDefault="00DC0A66" w:rsidP="000F6953">
      <w:r>
        <w:t>Table 3 outlines the NZHS module topics for 2015/16</w:t>
      </w:r>
      <w:r w:rsidRPr="00CC7E24">
        <w:t>.</w:t>
      </w:r>
    </w:p>
    <w:p w:rsidR="00DC0A66" w:rsidRPr="00CC7E24" w:rsidRDefault="00DC0A66" w:rsidP="000F6953"/>
    <w:p w:rsidR="00DC0A66" w:rsidRPr="00CC7E24" w:rsidRDefault="00DC0A66" w:rsidP="000F6953">
      <w:pPr>
        <w:pStyle w:val="Table"/>
      </w:pPr>
      <w:bookmarkStart w:id="208" w:name="_Ref339287554"/>
      <w:bookmarkStart w:id="209" w:name="_Toc339878414"/>
      <w:bookmarkStart w:id="210" w:name="_Toc372445584"/>
      <w:bookmarkStart w:id="211" w:name="_Toc403044039"/>
      <w:bookmarkStart w:id="212" w:name="_Toc467491566"/>
      <w:bookmarkStart w:id="213" w:name="_Toc467515169"/>
      <w:r w:rsidRPr="00805094">
        <w:t>Table 3</w:t>
      </w:r>
      <w:bookmarkEnd w:id="208"/>
      <w:r w:rsidRPr="00805094">
        <w:t>:</w:t>
      </w:r>
      <w:r w:rsidRPr="00CC7E24">
        <w:t xml:space="preserve"> NZHS module</w:t>
      </w:r>
      <w:r>
        <w:t xml:space="preserve"> topics, 2015</w:t>
      </w:r>
      <w:r w:rsidRPr="00CC7E24">
        <w:t>/1</w:t>
      </w:r>
      <w:bookmarkEnd w:id="209"/>
      <w:bookmarkEnd w:id="210"/>
      <w:bookmarkEnd w:id="211"/>
      <w:r>
        <w:t>6</w:t>
      </w:r>
      <w:bookmarkEnd w:id="212"/>
      <w:bookmarkEnd w:id="21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544"/>
        <w:gridCol w:w="2126"/>
      </w:tblGrid>
      <w:tr w:rsidR="00DC0A66" w:rsidRPr="000F6953" w:rsidTr="000F6953">
        <w:trPr>
          <w:cantSplit/>
        </w:trPr>
        <w:tc>
          <w:tcPr>
            <w:tcW w:w="3544" w:type="dxa"/>
            <w:tcBorders>
              <w:top w:val="single" w:sz="4" w:space="0" w:color="auto"/>
              <w:bottom w:val="single" w:sz="4" w:space="0" w:color="auto"/>
            </w:tcBorders>
            <w:shd w:val="clear" w:color="auto" w:fill="auto"/>
          </w:tcPr>
          <w:p w:rsidR="00DC0A66" w:rsidRPr="000F6953" w:rsidRDefault="00DC0A66" w:rsidP="000F6953">
            <w:pPr>
              <w:pStyle w:val="TableText"/>
              <w:rPr>
                <w:b/>
              </w:rPr>
            </w:pPr>
            <w:r w:rsidRPr="000F6953">
              <w:rPr>
                <w:b/>
              </w:rPr>
              <w:t>Adult module topics</w:t>
            </w:r>
          </w:p>
        </w:tc>
        <w:tc>
          <w:tcPr>
            <w:tcW w:w="2126" w:type="dxa"/>
            <w:tcBorders>
              <w:top w:val="single" w:sz="4" w:space="0" w:color="auto"/>
              <w:bottom w:val="single" w:sz="4" w:space="0" w:color="auto"/>
            </w:tcBorders>
            <w:shd w:val="clear" w:color="auto" w:fill="auto"/>
          </w:tcPr>
          <w:p w:rsidR="00DC0A66" w:rsidRPr="000F6953" w:rsidRDefault="00DC0A66" w:rsidP="000F6953">
            <w:pPr>
              <w:pStyle w:val="TableText"/>
              <w:rPr>
                <w:b/>
              </w:rPr>
            </w:pPr>
            <w:r w:rsidRPr="000F6953">
              <w:rPr>
                <w:b/>
              </w:rPr>
              <w:t>Child module topics</w:t>
            </w:r>
          </w:p>
        </w:tc>
      </w:tr>
      <w:tr w:rsidR="00DC0A66" w:rsidRPr="0055576E" w:rsidTr="000F6953">
        <w:trPr>
          <w:cantSplit/>
        </w:trPr>
        <w:tc>
          <w:tcPr>
            <w:tcW w:w="3544" w:type="dxa"/>
            <w:tcBorders>
              <w:top w:val="single" w:sz="4" w:space="0" w:color="auto"/>
            </w:tcBorders>
            <w:shd w:val="clear" w:color="auto" w:fill="auto"/>
          </w:tcPr>
          <w:p w:rsidR="00DC0A66" w:rsidRDefault="00DC0A66" w:rsidP="000F6953">
            <w:pPr>
              <w:pStyle w:val="TableText"/>
            </w:pPr>
            <w:r>
              <w:t>Tobacco use</w:t>
            </w:r>
          </w:p>
          <w:p w:rsidR="00DC0A66" w:rsidRPr="00942081" w:rsidRDefault="00DC0A66" w:rsidP="000F6953">
            <w:pPr>
              <w:pStyle w:val="TableText"/>
              <w:rPr>
                <w:highlight w:val="yellow"/>
              </w:rPr>
            </w:pPr>
            <w:r>
              <w:t>Rheumatic fever (under 25 years)</w:t>
            </w:r>
          </w:p>
        </w:tc>
        <w:tc>
          <w:tcPr>
            <w:tcW w:w="2126" w:type="dxa"/>
            <w:tcBorders>
              <w:top w:val="single" w:sz="4" w:space="0" w:color="auto"/>
            </w:tcBorders>
            <w:shd w:val="clear" w:color="auto" w:fill="auto"/>
          </w:tcPr>
          <w:p w:rsidR="00DC0A66" w:rsidRDefault="00DC0A66" w:rsidP="000F6953">
            <w:pPr>
              <w:pStyle w:val="TableText"/>
            </w:pPr>
            <w:r>
              <w:t>Child development</w:t>
            </w:r>
          </w:p>
          <w:p w:rsidR="00DC0A66" w:rsidRDefault="00DC0A66" w:rsidP="000F6953">
            <w:pPr>
              <w:pStyle w:val="TableText"/>
            </w:pPr>
            <w:r>
              <w:t>Child food security</w:t>
            </w:r>
          </w:p>
          <w:p w:rsidR="00DC0A66" w:rsidRPr="00942081" w:rsidRDefault="000F6953" w:rsidP="000F6953">
            <w:pPr>
              <w:pStyle w:val="TableText"/>
              <w:rPr>
                <w:highlight w:val="yellow"/>
              </w:rPr>
            </w:pPr>
            <w:r>
              <w:t>Rheumatic fever</w:t>
            </w:r>
          </w:p>
        </w:tc>
      </w:tr>
    </w:tbl>
    <w:p w:rsidR="00DC0A66" w:rsidRPr="00CC7E24" w:rsidRDefault="00DC0A66" w:rsidP="000F6953"/>
    <w:p w:rsidR="00DC0A66" w:rsidRDefault="00DC0A66" w:rsidP="000F6953">
      <w:r w:rsidRPr="00CC7E24">
        <w:t>F</w:t>
      </w:r>
      <w:r>
        <w:t xml:space="preserve">or </w:t>
      </w:r>
      <w:r w:rsidRPr="00CC7E24">
        <w:t>detail</w:t>
      </w:r>
      <w:r>
        <w:t xml:space="preserve">s on the questionnaires for 2015/16, see the Ministry webpage: </w:t>
      </w:r>
      <w:r w:rsidRPr="00CD1383">
        <w:rPr>
          <w:lang w:eastAsia="en-NZ"/>
        </w:rPr>
        <w:t>www.health.govt.nz/publication/quest</w:t>
      </w:r>
      <w:r>
        <w:rPr>
          <w:lang w:eastAsia="en-NZ"/>
        </w:rPr>
        <w:t>ionnaires-and-content-guide-2015-16</w:t>
      </w:r>
      <w:r w:rsidRPr="00CD1383">
        <w:rPr>
          <w:lang w:eastAsia="en-NZ"/>
        </w:rPr>
        <w:t>-new-zealand-health-survey</w:t>
      </w:r>
    </w:p>
    <w:p w:rsidR="00DC0A66" w:rsidRPr="00CC7E24" w:rsidRDefault="00DC0A66" w:rsidP="000F6953"/>
    <w:p w:rsidR="00DC0A66" w:rsidRPr="00CC7E24" w:rsidRDefault="00DC0A66" w:rsidP="000F6953">
      <w:pPr>
        <w:pStyle w:val="Heading2"/>
        <w:rPr>
          <w:szCs w:val="24"/>
        </w:rPr>
      </w:pPr>
      <w:bookmarkStart w:id="214" w:name="_Toc339270039"/>
      <w:bookmarkStart w:id="215" w:name="_Toc340501955"/>
      <w:bookmarkStart w:id="216" w:name="_Toc372445575"/>
      <w:bookmarkStart w:id="217" w:name="_Toc403044030"/>
      <w:bookmarkStart w:id="218" w:name="_Toc467491551"/>
      <w:bookmarkStart w:id="219" w:name="_Toc467515153"/>
      <w:r w:rsidRPr="00CC7E24">
        <w:t>Data collection</w:t>
      </w:r>
      <w:bookmarkEnd w:id="214"/>
      <w:bookmarkEnd w:id="215"/>
      <w:bookmarkEnd w:id="216"/>
      <w:bookmarkEnd w:id="217"/>
      <w:bookmarkEnd w:id="218"/>
      <w:bookmarkEnd w:id="219"/>
    </w:p>
    <w:p w:rsidR="00DC0A66" w:rsidRDefault="00DC0A66" w:rsidP="000F6953">
      <w:r>
        <w:t>In year 5 of</w:t>
      </w:r>
      <w:r w:rsidRPr="00CC7E24">
        <w:t xml:space="preserve"> the </w:t>
      </w:r>
      <w:r>
        <w:t xml:space="preserve">continuous </w:t>
      </w:r>
      <w:r w:rsidRPr="00CC7E24">
        <w:t>NZHS</w:t>
      </w:r>
      <w:r>
        <w:t>, 1 July 2015</w:t>
      </w:r>
      <w:r w:rsidRPr="00CC7E24">
        <w:t xml:space="preserve"> </w:t>
      </w:r>
      <w:r>
        <w:t>to</w:t>
      </w:r>
      <w:r w:rsidRPr="00CC7E24">
        <w:t xml:space="preserve"> 30 June 201</w:t>
      </w:r>
      <w:r>
        <w:t>6, a</w:t>
      </w:r>
      <w:r w:rsidRPr="00CC7E24">
        <w:t xml:space="preserve"> total of </w:t>
      </w:r>
      <w:r>
        <w:t xml:space="preserve">13,781 </w:t>
      </w:r>
      <w:r w:rsidRPr="00CC7E24">
        <w:t xml:space="preserve">adults and </w:t>
      </w:r>
      <w:r>
        <w:t>4721</w:t>
      </w:r>
      <w:r w:rsidR="000F6953">
        <w:t> </w:t>
      </w:r>
      <w:r w:rsidRPr="00CC7E24">
        <w:t>children took part in the survey.</w:t>
      </w:r>
      <w:r>
        <w:t xml:space="preserve"> Table 4</w:t>
      </w:r>
      <w:r w:rsidRPr="00CC7E24">
        <w:t xml:space="preserve"> shows the number of </w:t>
      </w:r>
      <w:r>
        <w:t>respondents selected in each quarter of 2015/16</w:t>
      </w:r>
      <w:r w:rsidRPr="00CC7E24">
        <w:t>.</w:t>
      </w:r>
    </w:p>
    <w:p w:rsidR="00DC0A66" w:rsidRPr="00CC7E24" w:rsidRDefault="00DC0A66" w:rsidP="000F6953"/>
    <w:p w:rsidR="00DC0A66" w:rsidRPr="00CC7E24" w:rsidRDefault="00DC0A66" w:rsidP="000F6953">
      <w:pPr>
        <w:pStyle w:val="Table"/>
      </w:pPr>
      <w:bookmarkStart w:id="220" w:name="_Ref339268569"/>
      <w:bookmarkStart w:id="221" w:name="_Toc339878415"/>
      <w:bookmarkStart w:id="222" w:name="_Toc372445585"/>
      <w:bookmarkStart w:id="223" w:name="_Toc403044040"/>
      <w:bookmarkStart w:id="224" w:name="_Toc467491567"/>
      <w:bookmarkStart w:id="225" w:name="_Toc467515170"/>
      <w:r w:rsidRPr="00805094">
        <w:t>Table 4</w:t>
      </w:r>
      <w:bookmarkEnd w:id="220"/>
      <w:r w:rsidRPr="00805094">
        <w:t>: Number</w:t>
      </w:r>
      <w:r>
        <w:t xml:space="preserve"> of survey respondents, by quarter, 2015</w:t>
      </w:r>
      <w:r w:rsidRPr="00CC7E24">
        <w:t>/1</w:t>
      </w:r>
      <w:bookmarkEnd w:id="221"/>
      <w:bookmarkEnd w:id="222"/>
      <w:bookmarkEnd w:id="223"/>
      <w:r>
        <w:t>6</w:t>
      </w:r>
      <w:bookmarkEnd w:id="224"/>
      <w:bookmarkEnd w:id="22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86"/>
        <w:gridCol w:w="1134"/>
        <w:gridCol w:w="1701"/>
        <w:gridCol w:w="1134"/>
        <w:gridCol w:w="1701"/>
      </w:tblGrid>
      <w:tr w:rsidR="00DC0A66" w:rsidRPr="00805094" w:rsidTr="000F6953">
        <w:trPr>
          <w:cantSplit/>
        </w:trPr>
        <w:tc>
          <w:tcPr>
            <w:tcW w:w="3686" w:type="dxa"/>
            <w:vMerge w:val="restart"/>
            <w:tcBorders>
              <w:top w:val="single" w:sz="4" w:space="0" w:color="auto"/>
              <w:left w:val="nil"/>
              <w:bottom w:val="nil"/>
              <w:right w:val="single" w:sz="4" w:space="0" w:color="A6A6A6"/>
            </w:tcBorders>
            <w:shd w:val="clear" w:color="auto" w:fill="auto"/>
          </w:tcPr>
          <w:p w:rsidR="00DC0A66" w:rsidRPr="00805094" w:rsidRDefault="00DC0A66" w:rsidP="000F6953">
            <w:pPr>
              <w:pStyle w:val="TableText"/>
            </w:pPr>
          </w:p>
        </w:tc>
        <w:tc>
          <w:tcPr>
            <w:tcW w:w="2835" w:type="dxa"/>
            <w:gridSpan w:val="2"/>
            <w:tcBorders>
              <w:top w:val="single" w:sz="4" w:space="0" w:color="auto"/>
              <w:left w:val="single" w:sz="4" w:space="0" w:color="A6A6A6"/>
              <w:bottom w:val="single" w:sz="4" w:space="0" w:color="A6A6A6"/>
              <w:right w:val="single" w:sz="4" w:space="0" w:color="A6A6A6"/>
            </w:tcBorders>
            <w:shd w:val="clear" w:color="auto" w:fill="auto"/>
          </w:tcPr>
          <w:p w:rsidR="00DC0A66" w:rsidRPr="000F6953" w:rsidRDefault="00DC0A66" w:rsidP="000F6953">
            <w:pPr>
              <w:pStyle w:val="TableText"/>
              <w:jc w:val="center"/>
              <w:rPr>
                <w:b/>
              </w:rPr>
            </w:pPr>
            <w:r w:rsidRPr="000F6953">
              <w:rPr>
                <w:b/>
              </w:rPr>
              <w:t>Adults</w:t>
            </w:r>
          </w:p>
        </w:tc>
        <w:tc>
          <w:tcPr>
            <w:tcW w:w="2835" w:type="dxa"/>
            <w:gridSpan w:val="2"/>
            <w:tcBorders>
              <w:top w:val="single" w:sz="4" w:space="0" w:color="auto"/>
              <w:left w:val="single" w:sz="4" w:space="0" w:color="A6A6A6"/>
              <w:bottom w:val="single" w:sz="4" w:space="0" w:color="A6A6A6"/>
              <w:right w:val="nil"/>
            </w:tcBorders>
            <w:shd w:val="clear" w:color="auto" w:fill="auto"/>
          </w:tcPr>
          <w:p w:rsidR="00DC0A66" w:rsidRPr="000F6953" w:rsidRDefault="00DC0A66" w:rsidP="000F6953">
            <w:pPr>
              <w:pStyle w:val="TableText"/>
              <w:jc w:val="center"/>
              <w:rPr>
                <w:b/>
              </w:rPr>
            </w:pPr>
            <w:r w:rsidRPr="000F6953">
              <w:rPr>
                <w:b/>
              </w:rPr>
              <w:t>Children</w:t>
            </w:r>
          </w:p>
        </w:tc>
      </w:tr>
      <w:tr w:rsidR="00DC0A66" w:rsidRPr="00805094" w:rsidTr="000F6953">
        <w:trPr>
          <w:cantSplit/>
        </w:trPr>
        <w:tc>
          <w:tcPr>
            <w:tcW w:w="3686" w:type="dxa"/>
            <w:vMerge/>
            <w:tcBorders>
              <w:top w:val="nil"/>
              <w:left w:val="nil"/>
              <w:bottom w:val="single" w:sz="4" w:space="0" w:color="auto"/>
              <w:right w:val="single" w:sz="4" w:space="0" w:color="A6A6A6"/>
            </w:tcBorders>
            <w:shd w:val="clear" w:color="auto" w:fill="auto"/>
          </w:tcPr>
          <w:p w:rsidR="00DC0A66" w:rsidRPr="00805094" w:rsidRDefault="00DC0A66" w:rsidP="000F6953">
            <w:pPr>
              <w:pStyle w:val="TableText"/>
            </w:pPr>
          </w:p>
        </w:tc>
        <w:tc>
          <w:tcPr>
            <w:tcW w:w="1134" w:type="dxa"/>
            <w:tcBorders>
              <w:top w:val="single" w:sz="4" w:space="0" w:color="A6A6A6"/>
              <w:left w:val="single" w:sz="4" w:space="0" w:color="A6A6A6"/>
              <w:bottom w:val="single" w:sz="4" w:space="0" w:color="auto"/>
              <w:right w:val="nil"/>
            </w:tcBorders>
            <w:shd w:val="clear" w:color="auto" w:fill="auto"/>
          </w:tcPr>
          <w:p w:rsidR="00DC0A66" w:rsidRPr="000F6953" w:rsidRDefault="00DC0A66" w:rsidP="000F6953">
            <w:pPr>
              <w:pStyle w:val="TableText"/>
              <w:jc w:val="center"/>
              <w:rPr>
                <w:b/>
              </w:rPr>
            </w:pPr>
            <w:r w:rsidRPr="000F6953">
              <w:rPr>
                <w:b/>
              </w:rPr>
              <w:t>Number</w:t>
            </w:r>
          </w:p>
        </w:tc>
        <w:tc>
          <w:tcPr>
            <w:tcW w:w="1701" w:type="dxa"/>
            <w:tcBorders>
              <w:top w:val="single" w:sz="4" w:space="0" w:color="A6A6A6"/>
              <w:left w:val="nil"/>
              <w:bottom w:val="single" w:sz="4" w:space="0" w:color="auto"/>
              <w:right w:val="single" w:sz="4" w:space="0" w:color="A6A6A6"/>
            </w:tcBorders>
            <w:shd w:val="clear" w:color="auto" w:fill="auto"/>
          </w:tcPr>
          <w:p w:rsidR="00DC0A66" w:rsidRPr="000F6953" w:rsidRDefault="00DC0A66" w:rsidP="000F6953">
            <w:pPr>
              <w:pStyle w:val="TableText"/>
              <w:jc w:val="center"/>
              <w:rPr>
                <w:b/>
              </w:rPr>
            </w:pPr>
            <w:r w:rsidRPr="000F6953">
              <w:rPr>
                <w:b/>
              </w:rPr>
              <w:t>Percentage of total respondents</w:t>
            </w:r>
          </w:p>
        </w:tc>
        <w:tc>
          <w:tcPr>
            <w:tcW w:w="1134" w:type="dxa"/>
            <w:tcBorders>
              <w:top w:val="single" w:sz="4" w:space="0" w:color="A6A6A6"/>
              <w:left w:val="single" w:sz="4" w:space="0" w:color="A6A6A6"/>
              <w:bottom w:val="single" w:sz="4" w:space="0" w:color="auto"/>
              <w:right w:val="nil"/>
            </w:tcBorders>
            <w:shd w:val="clear" w:color="auto" w:fill="auto"/>
          </w:tcPr>
          <w:p w:rsidR="00DC0A66" w:rsidRPr="000F6953" w:rsidRDefault="00DC0A66" w:rsidP="000F6953">
            <w:pPr>
              <w:pStyle w:val="TableText"/>
              <w:jc w:val="center"/>
              <w:rPr>
                <w:b/>
              </w:rPr>
            </w:pPr>
            <w:r w:rsidRPr="000F6953">
              <w:rPr>
                <w:b/>
              </w:rPr>
              <w:t>Number</w:t>
            </w:r>
          </w:p>
        </w:tc>
        <w:tc>
          <w:tcPr>
            <w:tcW w:w="1701" w:type="dxa"/>
            <w:tcBorders>
              <w:top w:val="single" w:sz="4" w:space="0" w:color="A6A6A6"/>
              <w:left w:val="nil"/>
              <w:bottom w:val="single" w:sz="4" w:space="0" w:color="auto"/>
              <w:right w:val="nil"/>
            </w:tcBorders>
            <w:shd w:val="clear" w:color="auto" w:fill="auto"/>
          </w:tcPr>
          <w:p w:rsidR="00DC0A66" w:rsidRPr="000F6953" w:rsidRDefault="00DC0A66" w:rsidP="000F6953">
            <w:pPr>
              <w:pStyle w:val="TableText"/>
              <w:jc w:val="center"/>
              <w:rPr>
                <w:b/>
              </w:rPr>
            </w:pPr>
            <w:r w:rsidRPr="000F6953">
              <w:rPr>
                <w:b/>
              </w:rPr>
              <w:t>Percentage of total respondents</w:t>
            </w:r>
          </w:p>
        </w:tc>
      </w:tr>
      <w:tr w:rsidR="00DC0A66" w:rsidRPr="00CC7E24" w:rsidTr="000F6953">
        <w:trPr>
          <w:cantSplit/>
        </w:trPr>
        <w:tc>
          <w:tcPr>
            <w:tcW w:w="3686" w:type="dxa"/>
            <w:tcBorders>
              <w:top w:val="single" w:sz="4" w:space="0" w:color="auto"/>
              <w:left w:val="nil"/>
              <w:bottom w:val="single" w:sz="4" w:space="0" w:color="A6A6A6" w:themeColor="background1" w:themeShade="A6"/>
              <w:right w:val="single" w:sz="4" w:space="0" w:color="A6A6A6"/>
            </w:tcBorders>
            <w:shd w:val="clear" w:color="auto" w:fill="auto"/>
          </w:tcPr>
          <w:p w:rsidR="00DC0A66" w:rsidRPr="00CC7E24" w:rsidRDefault="00DC0A66" w:rsidP="000F6953">
            <w:pPr>
              <w:pStyle w:val="TableText"/>
            </w:pPr>
            <w:r>
              <w:t>Quarter 1 (July–September 2015)</w:t>
            </w:r>
          </w:p>
        </w:tc>
        <w:tc>
          <w:tcPr>
            <w:tcW w:w="1134" w:type="dxa"/>
            <w:tcBorders>
              <w:top w:val="single" w:sz="4" w:space="0" w:color="auto"/>
              <w:left w:val="single" w:sz="4" w:space="0" w:color="A6A6A6"/>
              <w:bottom w:val="single" w:sz="4" w:space="0" w:color="A6A6A6" w:themeColor="background1" w:themeShade="A6"/>
              <w:right w:val="nil"/>
            </w:tcBorders>
            <w:shd w:val="clear" w:color="auto" w:fill="auto"/>
          </w:tcPr>
          <w:p w:rsidR="00DC0A66" w:rsidRPr="00CC7E24" w:rsidRDefault="00DC0A66" w:rsidP="000F6953">
            <w:pPr>
              <w:pStyle w:val="TableText"/>
              <w:tabs>
                <w:tab w:val="decimal" w:pos="743"/>
              </w:tabs>
            </w:pPr>
            <w:r>
              <w:t>3464</w:t>
            </w:r>
          </w:p>
        </w:tc>
        <w:tc>
          <w:tcPr>
            <w:tcW w:w="1701" w:type="dxa"/>
            <w:tcBorders>
              <w:top w:val="single" w:sz="4" w:space="0" w:color="auto"/>
              <w:left w:val="nil"/>
              <w:bottom w:val="single" w:sz="4" w:space="0" w:color="A6A6A6" w:themeColor="background1" w:themeShade="A6"/>
              <w:right w:val="single" w:sz="4" w:space="0" w:color="A6A6A6"/>
            </w:tcBorders>
            <w:shd w:val="clear" w:color="auto" w:fill="auto"/>
          </w:tcPr>
          <w:p w:rsidR="00DC0A66" w:rsidRPr="00CC7E24" w:rsidRDefault="00DC0A66" w:rsidP="000F6953">
            <w:pPr>
              <w:pStyle w:val="TableText"/>
              <w:tabs>
                <w:tab w:val="decimal" w:pos="944"/>
              </w:tabs>
            </w:pPr>
            <w:r>
              <w:t>25</w:t>
            </w:r>
          </w:p>
        </w:tc>
        <w:tc>
          <w:tcPr>
            <w:tcW w:w="1134" w:type="dxa"/>
            <w:tcBorders>
              <w:top w:val="single" w:sz="4" w:space="0" w:color="auto"/>
              <w:left w:val="single" w:sz="4" w:space="0" w:color="A6A6A6"/>
              <w:bottom w:val="single" w:sz="4" w:space="0" w:color="A6A6A6" w:themeColor="background1" w:themeShade="A6"/>
              <w:right w:val="nil"/>
            </w:tcBorders>
            <w:shd w:val="clear" w:color="auto" w:fill="auto"/>
          </w:tcPr>
          <w:p w:rsidR="00DC0A66" w:rsidRPr="00CC7E24" w:rsidRDefault="00DC0A66" w:rsidP="000F6953">
            <w:pPr>
              <w:pStyle w:val="TableText"/>
              <w:jc w:val="center"/>
            </w:pPr>
            <w:r>
              <w:t>1237</w:t>
            </w:r>
          </w:p>
        </w:tc>
        <w:tc>
          <w:tcPr>
            <w:tcW w:w="1701" w:type="dxa"/>
            <w:tcBorders>
              <w:top w:val="single" w:sz="4" w:space="0" w:color="auto"/>
              <w:left w:val="nil"/>
              <w:bottom w:val="single" w:sz="4" w:space="0" w:color="A6A6A6" w:themeColor="background1" w:themeShade="A6"/>
              <w:right w:val="nil"/>
            </w:tcBorders>
            <w:shd w:val="clear" w:color="auto" w:fill="auto"/>
          </w:tcPr>
          <w:p w:rsidR="00DC0A66" w:rsidRPr="00CC7E24" w:rsidRDefault="00DC0A66" w:rsidP="000F6953">
            <w:pPr>
              <w:pStyle w:val="TableText"/>
              <w:tabs>
                <w:tab w:val="decimal" w:pos="963"/>
              </w:tabs>
            </w:pPr>
            <w:r>
              <w:t>26</w:t>
            </w:r>
          </w:p>
        </w:tc>
      </w:tr>
      <w:tr w:rsidR="00DC0A66" w:rsidRPr="00CC7E24" w:rsidTr="000F6953">
        <w:trPr>
          <w:cantSplit/>
        </w:trPr>
        <w:tc>
          <w:tcPr>
            <w:tcW w:w="368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DC0A66" w:rsidRPr="00CC7E24" w:rsidRDefault="00DC0A66" w:rsidP="000F6953">
            <w:pPr>
              <w:pStyle w:val="TableText"/>
            </w:pPr>
            <w:r>
              <w:t>Quarter</w:t>
            </w:r>
            <w:r w:rsidRPr="00CC7E24">
              <w:t xml:space="preserve"> 2</w:t>
            </w:r>
            <w:r>
              <w:t xml:space="preserve"> (</w:t>
            </w:r>
            <w:r w:rsidRPr="00CC7E24">
              <w:t>Oct</w:t>
            </w:r>
            <w:r>
              <w:t>ober–</w:t>
            </w:r>
            <w:r w:rsidRPr="00CC7E24">
              <w:t>Dec</w:t>
            </w:r>
            <w:r>
              <w:t>ember 2015)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DC0A66" w:rsidRPr="00CC7E24" w:rsidRDefault="00DC0A66" w:rsidP="000F6953">
            <w:pPr>
              <w:pStyle w:val="TableText"/>
              <w:tabs>
                <w:tab w:val="decimal" w:pos="743"/>
              </w:tabs>
            </w:pPr>
            <w:r>
              <w:t>3501</w:t>
            </w:r>
          </w:p>
        </w:tc>
        <w:tc>
          <w:tcPr>
            <w:tcW w:w="17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DC0A66" w:rsidRPr="00CC7E24" w:rsidRDefault="00DC0A66" w:rsidP="000F6953">
            <w:pPr>
              <w:pStyle w:val="TableText"/>
              <w:tabs>
                <w:tab w:val="decimal" w:pos="944"/>
              </w:tabs>
            </w:pPr>
            <w:r>
              <w:t>25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DC0A66" w:rsidRPr="00CC7E24" w:rsidRDefault="00DC0A66" w:rsidP="000F6953">
            <w:pPr>
              <w:pStyle w:val="TableText"/>
              <w:jc w:val="center"/>
            </w:pPr>
            <w:r>
              <w:t>1198</w:t>
            </w:r>
          </w:p>
        </w:tc>
        <w:tc>
          <w:tcPr>
            <w:tcW w:w="1701"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CC7E24" w:rsidRDefault="00DC0A66" w:rsidP="000F6953">
            <w:pPr>
              <w:pStyle w:val="TableText"/>
              <w:tabs>
                <w:tab w:val="decimal" w:pos="963"/>
              </w:tabs>
            </w:pPr>
            <w:r>
              <w:t>26</w:t>
            </w:r>
          </w:p>
        </w:tc>
      </w:tr>
      <w:tr w:rsidR="00DC0A66" w:rsidRPr="00CC7E24" w:rsidTr="000F6953">
        <w:trPr>
          <w:cantSplit/>
        </w:trPr>
        <w:tc>
          <w:tcPr>
            <w:tcW w:w="368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DC0A66" w:rsidRPr="00CC7E24" w:rsidRDefault="00DC0A66" w:rsidP="000F6953">
            <w:pPr>
              <w:pStyle w:val="TableText"/>
            </w:pPr>
            <w:r>
              <w:t>Quarter</w:t>
            </w:r>
            <w:r w:rsidRPr="00CC7E24">
              <w:t xml:space="preserve"> 3</w:t>
            </w:r>
            <w:r>
              <w:t xml:space="preserve"> (</w:t>
            </w:r>
            <w:r w:rsidRPr="00CC7E24">
              <w:t>Jan</w:t>
            </w:r>
            <w:r>
              <w:t>uary–</w:t>
            </w:r>
            <w:r w:rsidRPr="00CC7E24">
              <w:t>Mar</w:t>
            </w:r>
            <w:r>
              <w:t>ch 2016)</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DC0A66" w:rsidRPr="00CC7E24" w:rsidRDefault="00DC0A66" w:rsidP="000F6953">
            <w:pPr>
              <w:pStyle w:val="TableText"/>
              <w:tabs>
                <w:tab w:val="decimal" w:pos="743"/>
              </w:tabs>
            </w:pPr>
            <w:r>
              <w:t>3403</w:t>
            </w:r>
          </w:p>
        </w:tc>
        <w:tc>
          <w:tcPr>
            <w:tcW w:w="17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DC0A66" w:rsidRPr="00CC7E24" w:rsidRDefault="00DC0A66" w:rsidP="000F6953">
            <w:pPr>
              <w:pStyle w:val="TableText"/>
              <w:tabs>
                <w:tab w:val="decimal" w:pos="944"/>
              </w:tabs>
            </w:pPr>
            <w:r>
              <w:t>25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DC0A66" w:rsidRPr="00CC7E24" w:rsidRDefault="00DC0A66" w:rsidP="000F6953">
            <w:pPr>
              <w:pStyle w:val="TableText"/>
              <w:jc w:val="center"/>
            </w:pPr>
            <w:r>
              <w:t>1141</w:t>
            </w:r>
          </w:p>
        </w:tc>
        <w:tc>
          <w:tcPr>
            <w:tcW w:w="1701"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CC7E24" w:rsidRDefault="00DC0A66" w:rsidP="000F6953">
            <w:pPr>
              <w:pStyle w:val="TableText"/>
              <w:tabs>
                <w:tab w:val="decimal" w:pos="963"/>
              </w:tabs>
            </w:pPr>
            <w:r>
              <w:t>24</w:t>
            </w:r>
          </w:p>
        </w:tc>
      </w:tr>
      <w:tr w:rsidR="00DC0A66" w:rsidRPr="00CC7E24" w:rsidTr="000F6953">
        <w:trPr>
          <w:cantSplit/>
        </w:trPr>
        <w:tc>
          <w:tcPr>
            <w:tcW w:w="3686"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DC0A66" w:rsidRPr="00CC7E24" w:rsidRDefault="00DC0A66" w:rsidP="000F6953">
            <w:pPr>
              <w:pStyle w:val="TableText"/>
            </w:pPr>
            <w:r>
              <w:t>Quarter</w:t>
            </w:r>
            <w:r w:rsidRPr="00CC7E24">
              <w:t xml:space="preserve"> 4</w:t>
            </w:r>
            <w:r>
              <w:t xml:space="preserve"> (</w:t>
            </w:r>
            <w:r w:rsidRPr="00CC7E24">
              <w:t>Apr</w:t>
            </w:r>
            <w:r>
              <w:t>il–</w:t>
            </w:r>
            <w:r w:rsidRPr="00CC7E24">
              <w:t>Jun</w:t>
            </w:r>
            <w:r>
              <w:t>e 2016)</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DC0A66" w:rsidRPr="00CC7E24" w:rsidRDefault="00DC0A66" w:rsidP="000F6953">
            <w:pPr>
              <w:pStyle w:val="TableText"/>
              <w:tabs>
                <w:tab w:val="decimal" w:pos="743"/>
              </w:tabs>
            </w:pPr>
            <w:r>
              <w:t>3413</w:t>
            </w:r>
          </w:p>
        </w:tc>
        <w:tc>
          <w:tcPr>
            <w:tcW w:w="1701"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DC0A66" w:rsidRPr="00CC7E24" w:rsidRDefault="00DC0A66" w:rsidP="000F6953">
            <w:pPr>
              <w:pStyle w:val="TableText"/>
              <w:tabs>
                <w:tab w:val="decimal" w:pos="944"/>
              </w:tabs>
            </w:pPr>
            <w:r>
              <w:t>25</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DC0A66" w:rsidRPr="00CC7E24" w:rsidRDefault="00DC0A66" w:rsidP="000F6953">
            <w:pPr>
              <w:pStyle w:val="TableText"/>
              <w:jc w:val="center"/>
            </w:pPr>
            <w:r>
              <w:t>1145</w:t>
            </w:r>
          </w:p>
        </w:tc>
        <w:tc>
          <w:tcPr>
            <w:tcW w:w="1701" w:type="dxa"/>
            <w:tcBorders>
              <w:top w:val="single" w:sz="4" w:space="0" w:color="A6A6A6" w:themeColor="background1" w:themeShade="A6"/>
              <w:left w:val="nil"/>
              <w:bottom w:val="single" w:sz="4" w:space="0" w:color="auto"/>
              <w:right w:val="nil"/>
            </w:tcBorders>
            <w:shd w:val="clear" w:color="auto" w:fill="auto"/>
          </w:tcPr>
          <w:p w:rsidR="00DC0A66" w:rsidRPr="00CC7E24" w:rsidRDefault="00DC0A66" w:rsidP="000F6953">
            <w:pPr>
              <w:pStyle w:val="TableText"/>
              <w:tabs>
                <w:tab w:val="decimal" w:pos="963"/>
              </w:tabs>
            </w:pPr>
            <w:r>
              <w:t>24</w:t>
            </w:r>
          </w:p>
        </w:tc>
      </w:tr>
      <w:tr w:rsidR="00DC0A66" w:rsidRPr="000F6953" w:rsidTr="000F6953">
        <w:trPr>
          <w:cantSplit/>
        </w:trPr>
        <w:tc>
          <w:tcPr>
            <w:tcW w:w="3686" w:type="dxa"/>
            <w:tcBorders>
              <w:top w:val="single" w:sz="4" w:space="0" w:color="auto"/>
              <w:left w:val="nil"/>
              <w:bottom w:val="single" w:sz="4" w:space="0" w:color="auto"/>
              <w:right w:val="single" w:sz="4" w:space="0" w:color="A6A6A6"/>
            </w:tcBorders>
            <w:shd w:val="clear" w:color="auto" w:fill="auto"/>
          </w:tcPr>
          <w:p w:rsidR="00DC0A66" w:rsidRPr="000F6953" w:rsidRDefault="00DC0A66" w:rsidP="000F6953">
            <w:pPr>
              <w:pStyle w:val="TableText"/>
              <w:rPr>
                <w:b/>
              </w:rPr>
            </w:pPr>
            <w:r w:rsidRPr="000F6953">
              <w:rPr>
                <w:b/>
              </w:rPr>
              <w:t>Total (July 2015–June 2016)</w:t>
            </w:r>
          </w:p>
        </w:tc>
        <w:tc>
          <w:tcPr>
            <w:tcW w:w="1134" w:type="dxa"/>
            <w:tcBorders>
              <w:top w:val="single" w:sz="4" w:space="0" w:color="auto"/>
              <w:left w:val="single" w:sz="4" w:space="0" w:color="A6A6A6"/>
              <w:bottom w:val="single" w:sz="4" w:space="0" w:color="auto"/>
              <w:right w:val="nil"/>
            </w:tcBorders>
            <w:shd w:val="clear" w:color="auto" w:fill="auto"/>
          </w:tcPr>
          <w:p w:rsidR="00DC0A66" w:rsidRPr="000F6953" w:rsidRDefault="00DC0A66" w:rsidP="000F6953">
            <w:pPr>
              <w:pStyle w:val="TableText"/>
              <w:tabs>
                <w:tab w:val="decimal" w:pos="743"/>
              </w:tabs>
              <w:rPr>
                <w:b/>
              </w:rPr>
            </w:pPr>
            <w:r w:rsidRPr="000F6953">
              <w:rPr>
                <w:b/>
              </w:rPr>
              <w:t>13,781</w:t>
            </w:r>
          </w:p>
        </w:tc>
        <w:tc>
          <w:tcPr>
            <w:tcW w:w="1701" w:type="dxa"/>
            <w:tcBorders>
              <w:top w:val="single" w:sz="4" w:space="0" w:color="auto"/>
              <w:left w:val="nil"/>
              <w:bottom w:val="single" w:sz="4" w:space="0" w:color="auto"/>
              <w:right w:val="single" w:sz="4" w:space="0" w:color="A6A6A6"/>
            </w:tcBorders>
            <w:shd w:val="clear" w:color="auto" w:fill="auto"/>
          </w:tcPr>
          <w:p w:rsidR="00DC0A66" w:rsidRPr="000F6953" w:rsidRDefault="00DC0A66" w:rsidP="000F6953">
            <w:pPr>
              <w:pStyle w:val="TableText"/>
              <w:tabs>
                <w:tab w:val="decimal" w:pos="944"/>
              </w:tabs>
              <w:rPr>
                <w:b/>
              </w:rPr>
            </w:pPr>
            <w:r w:rsidRPr="000F6953">
              <w:rPr>
                <w:b/>
              </w:rPr>
              <w:t>100</w:t>
            </w:r>
          </w:p>
        </w:tc>
        <w:tc>
          <w:tcPr>
            <w:tcW w:w="1134" w:type="dxa"/>
            <w:tcBorders>
              <w:top w:val="single" w:sz="4" w:space="0" w:color="auto"/>
              <w:left w:val="single" w:sz="4" w:space="0" w:color="A6A6A6"/>
              <w:bottom w:val="single" w:sz="4" w:space="0" w:color="auto"/>
              <w:right w:val="nil"/>
            </w:tcBorders>
            <w:shd w:val="clear" w:color="auto" w:fill="auto"/>
          </w:tcPr>
          <w:p w:rsidR="00DC0A66" w:rsidRPr="000F6953" w:rsidRDefault="00DC0A66" w:rsidP="000F6953">
            <w:pPr>
              <w:pStyle w:val="TableText"/>
              <w:jc w:val="center"/>
              <w:rPr>
                <w:b/>
              </w:rPr>
            </w:pPr>
            <w:r w:rsidRPr="000F6953">
              <w:rPr>
                <w:b/>
              </w:rPr>
              <w:t>4721</w:t>
            </w:r>
          </w:p>
        </w:tc>
        <w:tc>
          <w:tcPr>
            <w:tcW w:w="1701" w:type="dxa"/>
            <w:tcBorders>
              <w:top w:val="single" w:sz="4" w:space="0" w:color="auto"/>
              <w:left w:val="nil"/>
              <w:bottom w:val="single" w:sz="4" w:space="0" w:color="auto"/>
              <w:right w:val="nil"/>
            </w:tcBorders>
            <w:shd w:val="clear" w:color="auto" w:fill="auto"/>
          </w:tcPr>
          <w:p w:rsidR="00DC0A66" w:rsidRPr="000F6953" w:rsidRDefault="00DC0A66" w:rsidP="000F6953">
            <w:pPr>
              <w:pStyle w:val="TableText"/>
              <w:tabs>
                <w:tab w:val="decimal" w:pos="963"/>
              </w:tabs>
              <w:rPr>
                <w:b/>
              </w:rPr>
            </w:pPr>
            <w:r w:rsidRPr="000F6953">
              <w:rPr>
                <w:b/>
              </w:rPr>
              <w:t>100</w:t>
            </w:r>
          </w:p>
        </w:tc>
      </w:tr>
    </w:tbl>
    <w:p w:rsidR="00DC0A66" w:rsidRPr="00CC7E24" w:rsidRDefault="00DC0A66" w:rsidP="000F6953"/>
    <w:p w:rsidR="00DC0A66" w:rsidRPr="00CC7E24" w:rsidRDefault="00DC0A66" w:rsidP="000F6953">
      <w:pPr>
        <w:pStyle w:val="Heading3"/>
      </w:pPr>
      <w:bookmarkStart w:id="226" w:name="_Toc339270040"/>
      <w:r w:rsidRPr="00CC7E24">
        <w:lastRenderedPageBreak/>
        <w:t>Call pattern</w:t>
      </w:r>
      <w:bookmarkEnd w:id="226"/>
    </w:p>
    <w:p w:rsidR="00DC0A66" w:rsidRDefault="00DC0A66" w:rsidP="000F6953">
      <w:pPr>
        <w:keepLines/>
      </w:pPr>
      <w:bookmarkStart w:id="227" w:name="_Ref339268736"/>
      <w:bookmarkStart w:id="228" w:name="_Toc339878405"/>
      <w:r>
        <w:t>The call pattern</w:t>
      </w:r>
      <w:r w:rsidRPr="00D37C34">
        <w:t xml:space="preserve"> </w:t>
      </w:r>
      <w:r w:rsidRPr="00016B2F">
        <w:t>used in the NZ</w:t>
      </w:r>
      <w:r>
        <w:t>HS, as described in Section 4, i</w:t>
      </w:r>
      <w:r w:rsidRPr="00016B2F">
        <w:t xml:space="preserve">s an important </w:t>
      </w:r>
      <w:r>
        <w:t>par</w:t>
      </w:r>
      <w:r w:rsidRPr="00016B2F">
        <w:t>t of achieving</w:t>
      </w:r>
      <w:r>
        <w:t xml:space="preserve"> a high </w:t>
      </w:r>
      <w:r w:rsidRPr="00016B2F">
        <w:t xml:space="preserve">response </w:t>
      </w:r>
      <w:r>
        <w:t>rate</w:t>
      </w:r>
      <w:r w:rsidRPr="00016B2F">
        <w:t xml:space="preserve">. </w:t>
      </w:r>
      <w:r>
        <w:t>In 2015/16, surveyors followed a proven call</w:t>
      </w:r>
      <w:r w:rsidRPr="00016B2F">
        <w:t xml:space="preserve"> </w:t>
      </w:r>
      <w:r>
        <w:t>approach,</w:t>
      </w:r>
      <w:r w:rsidRPr="00016B2F">
        <w:t xml:space="preserve"> including visiting </w:t>
      </w:r>
      <w:r w:rsidR="006F2CD5">
        <w:t>PSUs</w:t>
      </w:r>
      <w:r w:rsidRPr="00016B2F">
        <w:t xml:space="preserve"> at different times and on different days depending on the area they were working in.</w:t>
      </w:r>
      <w:r>
        <w:t xml:space="preserve"> For about 90 percent of households, the first (or only) interview took place within seven calls (Figure 1).</w:t>
      </w:r>
    </w:p>
    <w:p w:rsidR="00DC0A66" w:rsidRDefault="00DC0A66" w:rsidP="000F6953"/>
    <w:p w:rsidR="00DC0A66" w:rsidRDefault="00DC0A66" w:rsidP="000F6953">
      <w:pPr>
        <w:pStyle w:val="Figure"/>
      </w:pPr>
      <w:bookmarkStart w:id="229" w:name="_Toc372445592"/>
      <w:bookmarkStart w:id="230" w:name="_Toc403044052"/>
      <w:bookmarkStart w:id="231" w:name="_Toc467491573"/>
      <w:bookmarkStart w:id="232" w:name="_Toc467515176"/>
      <w:bookmarkStart w:id="233" w:name="OLE_LINK1"/>
      <w:r w:rsidRPr="00805094">
        <w:t>Figure 1</w:t>
      </w:r>
      <w:bookmarkEnd w:id="227"/>
      <w:r w:rsidRPr="00805094">
        <w:t>:</w:t>
      </w:r>
      <w:r w:rsidRPr="00CC7E24">
        <w:t xml:space="preserve"> </w:t>
      </w:r>
      <w:r>
        <w:t>Proportion of households agreeing to first interview, by number of calls, 2015</w:t>
      </w:r>
      <w:r w:rsidRPr="00CC7E24">
        <w:t>/1</w:t>
      </w:r>
      <w:bookmarkEnd w:id="228"/>
      <w:bookmarkEnd w:id="229"/>
      <w:bookmarkEnd w:id="230"/>
      <w:r>
        <w:t>6</w:t>
      </w:r>
      <w:bookmarkEnd w:id="231"/>
      <w:bookmarkEnd w:id="232"/>
    </w:p>
    <w:p w:rsidR="00FD1143" w:rsidRPr="006108D7" w:rsidRDefault="00FD1143" w:rsidP="00FD1143">
      <w:r w:rsidRPr="00FD1143">
        <w:rPr>
          <w:noProof/>
          <w:lang w:eastAsia="en-NZ"/>
        </w:rPr>
        <w:drawing>
          <wp:inline distT="0" distB="0" distL="0" distR="0" wp14:anchorId="243FBB43" wp14:editId="3BFFC312">
            <wp:extent cx="4688378" cy="2860111"/>
            <wp:effectExtent l="0" t="0" r="0" b="0"/>
            <wp:docPr id="7" name="Picture 7" title="Figure 1: Proportion of households agreeing to first interview, by number of call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7814" cy="2859767"/>
                    </a:xfrm>
                    <a:prstGeom prst="rect">
                      <a:avLst/>
                    </a:prstGeom>
                  </pic:spPr>
                </pic:pic>
              </a:graphicData>
            </a:graphic>
          </wp:inline>
        </w:drawing>
      </w:r>
    </w:p>
    <w:bookmarkEnd w:id="233"/>
    <w:p w:rsidR="00DC0A66" w:rsidRPr="00CC7E24" w:rsidRDefault="00DC0A66" w:rsidP="00FD1143"/>
    <w:p w:rsidR="00DC0A66" w:rsidRPr="006540E5" w:rsidRDefault="00DC0A66" w:rsidP="000F6953">
      <w:pPr>
        <w:pStyle w:val="Heading2"/>
      </w:pPr>
      <w:bookmarkStart w:id="234" w:name="_Toc467491552"/>
      <w:bookmarkStart w:id="235" w:name="_Toc467515154"/>
      <w:bookmarkStart w:id="236" w:name="_Toc339270041"/>
      <w:bookmarkStart w:id="237" w:name="_Toc340501956"/>
      <w:bookmarkStart w:id="238" w:name="_Toc372445576"/>
      <w:bookmarkStart w:id="239" w:name="_Toc403044031"/>
      <w:r w:rsidRPr="00CC7E24">
        <w:t>Response rates</w:t>
      </w:r>
      <w:bookmarkEnd w:id="234"/>
      <w:bookmarkEnd w:id="235"/>
    </w:p>
    <w:p w:rsidR="00DC0A66" w:rsidRDefault="00DC0A66" w:rsidP="000F6953">
      <w:pPr>
        <w:rPr>
          <w:lang w:eastAsia="en-US"/>
        </w:rPr>
      </w:pPr>
      <w:r>
        <w:t xml:space="preserve">The </w:t>
      </w:r>
      <w:r w:rsidRPr="009D18D7">
        <w:t>NZHS is well received by the public</w:t>
      </w:r>
      <w:r>
        <w:t>:</w:t>
      </w:r>
      <w:r w:rsidRPr="00D02E9F">
        <w:t xml:space="preserve"> t</w:t>
      </w:r>
      <w:r w:rsidRPr="00CF4161">
        <w:t>he</w:t>
      </w:r>
      <w:r w:rsidRPr="0062719B">
        <w:t xml:space="preserve"> weighted</w:t>
      </w:r>
      <w:r w:rsidRPr="00432458">
        <w:t xml:space="preserve"> response rate in</w:t>
      </w:r>
      <w:r>
        <w:t xml:space="preserve"> 2015/16 was 80 percent for both adults and </w:t>
      </w:r>
      <w:r w:rsidRPr="00CC7E24">
        <w:t>children</w:t>
      </w:r>
      <w:r w:rsidRPr="006D32C3">
        <w:t xml:space="preserve">. </w:t>
      </w:r>
      <w:r>
        <w:rPr>
          <w:lang w:eastAsia="en-US"/>
        </w:rPr>
        <w:t>Figure 2</w:t>
      </w:r>
      <w:r w:rsidRPr="00CC7E24">
        <w:rPr>
          <w:lang w:eastAsia="en-US"/>
        </w:rPr>
        <w:t xml:space="preserve"> shows the </w:t>
      </w:r>
      <w:r>
        <w:rPr>
          <w:lang w:eastAsia="en-US"/>
        </w:rPr>
        <w:t>time trend of response rates of adults and children from 2011/12 to the current survey year, 2015/16</w:t>
      </w:r>
      <w:r w:rsidRPr="00CC7E24">
        <w:rPr>
          <w:lang w:eastAsia="en-US"/>
        </w:rPr>
        <w:t>.</w:t>
      </w:r>
      <w:bookmarkStart w:id="240" w:name="_Toc339270042"/>
      <w:bookmarkStart w:id="241" w:name="_Toc340501957"/>
      <w:bookmarkStart w:id="242" w:name="_Toc372445577"/>
      <w:bookmarkStart w:id="243" w:name="_Toc403044032"/>
      <w:bookmarkEnd w:id="236"/>
      <w:bookmarkEnd w:id="237"/>
      <w:bookmarkEnd w:id="238"/>
      <w:bookmarkEnd w:id="239"/>
    </w:p>
    <w:p w:rsidR="000F6953" w:rsidRPr="00CC2DBC" w:rsidRDefault="000F6953" w:rsidP="000F6953">
      <w:pPr>
        <w:rPr>
          <w:lang w:eastAsia="en-NZ"/>
        </w:rPr>
      </w:pPr>
    </w:p>
    <w:p w:rsidR="00DC0A66" w:rsidRPr="00CC2DBC" w:rsidRDefault="00DC0A66" w:rsidP="000F6953">
      <w:pPr>
        <w:pStyle w:val="Figure"/>
      </w:pPr>
      <w:bookmarkStart w:id="244" w:name="_Toc467491574"/>
      <w:bookmarkStart w:id="245" w:name="_Toc467515177"/>
      <w:r w:rsidRPr="00C921ED">
        <w:t xml:space="preserve">Figure 2: </w:t>
      </w:r>
      <w:r>
        <w:t>Response</w:t>
      </w:r>
      <w:r w:rsidRPr="00C921ED">
        <w:t xml:space="preserve"> rates (%) for adults and children</w:t>
      </w:r>
      <w:r>
        <w:t>,</w:t>
      </w:r>
      <w:r w:rsidRPr="00C921ED">
        <w:t xml:space="preserve"> 2011/12</w:t>
      </w:r>
      <w:r>
        <w:t>–2015</w:t>
      </w:r>
      <w:r w:rsidRPr="00C921ED">
        <w:t>/1</w:t>
      </w:r>
      <w:r>
        <w:t>6</w:t>
      </w:r>
      <w:bookmarkEnd w:id="244"/>
      <w:bookmarkEnd w:id="245"/>
    </w:p>
    <w:p w:rsidR="00DC0A66" w:rsidRDefault="0048336D" w:rsidP="00FD1143">
      <w:pPr>
        <w:rPr>
          <w:lang w:eastAsia="en-NZ"/>
        </w:rPr>
      </w:pPr>
      <w:r w:rsidRPr="0048336D">
        <w:rPr>
          <w:noProof/>
          <w:lang w:eastAsia="en-NZ"/>
        </w:rPr>
        <w:drawing>
          <wp:inline distT="0" distB="0" distL="0" distR="0" wp14:anchorId="26DC648B" wp14:editId="7009FE23">
            <wp:extent cx="4680066" cy="2855040"/>
            <wp:effectExtent l="0" t="0" r="6350" b="2540"/>
            <wp:docPr id="1" name="Picture 1" title="Figure 2: Response rates (%) for adults and children, 2011/12–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79503" cy="2854697"/>
                    </a:xfrm>
                    <a:prstGeom prst="rect">
                      <a:avLst/>
                    </a:prstGeom>
                  </pic:spPr>
                </pic:pic>
              </a:graphicData>
            </a:graphic>
          </wp:inline>
        </w:drawing>
      </w:r>
    </w:p>
    <w:p w:rsidR="00DC0A66" w:rsidRDefault="00DC0A66" w:rsidP="000F6953">
      <w:pPr>
        <w:rPr>
          <w:lang w:eastAsia="en-NZ"/>
        </w:rPr>
      </w:pPr>
    </w:p>
    <w:p w:rsidR="00DC0A66" w:rsidRPr="00C832A1" w:rsidRDefault="00DC0A66" w:rsidP="000F6953">
      <w:pPr>
        <w:pStyle w:val="Heading2"/>
        <w:rPr>
          <w:lang w:eastAsia="en-NZ"/>
        </w:rPr>
      </w:pPr>
      <w:bookmarkStart w:id="246" w:name="_Toc467491553"/>
      <w:bookmarkStart w:id="247" w:name="_Toc467515155"/>
      <w:r w:rsidRPr="00C832A1">
        <w:lastRenderedPageBreak/>
        <w:t>Coverage rates</w:t>
      </w:r>
      <w:bookmarkEnd w:id="240"/>
      <w:bookmarkEnd w:id="241"/>
      <w:bookmarkEnd w:id="242"/>
      <w:bookmarkEnd w:id="243"/>
      <w:bookmarkEnd w:id="246"/>
      <w:bookmarkEnd w:id="247"/>
    </w:p>
    <w:p w:rsidR="00DC0A66" w:rsidRDefault="00DC0A66" w:rsidP="000F6953">
      <w:pPr>
        <w:rPr>
          <w:lang w:eastAsia="en-NZ"/>
        </w:rPr>
      </w:pPr>
      <w:r>
        <w:rPr>
          <w:lang w:eastAsia="en-US"/>
        </w:rPr>
        <w:t>In 2015/16, the coverage rates were 67 percent for adults and 76 percent for children. Figure 3</w:t>
      </w:r>
      <w:r w:rsidRPr="00CC7E24">
        <w:rPr>
          <w:lang w:eastAsia="en-US"/>
        </w:rPr>
        <w:t xml:space="preserve"> shows the </w:t>
      </w:r>
      <w:r>
        <w:rPr>
          <w:lang w:eastAsia="en-US"/>
        </w:rPr>
        <w:t>time trend of coverage rates of adults and children from 2011/12 to the current survey year, 2015/16</w:t>
      </w:r>
      <w:r w:rsidRPr="00CC7E24">
        <w:rPr>
          <w:lang w:eastAsia="en-US"/>
        </w:rPr>
        <w:t>.</w:t>
      </w:r>
    </w:p>
    <w:p w:rsidR="00DC0A66" w:rsidRDefault="00DC0A66" w:rsidP="000F6953">
      <w:pPr>
        <w:rPr>
          <w:lang w:eastAsia="en-US"/>
        </w:rPr>
      </w:pPr>
    </w:p>
    <w:p w:rsidR="00981544" w:rsidRDefault="00DC0A66" w:rsidP="000F6953">
      <w:pPr>
        <w:pStyle w:val="Figure"/>
        <w:rPr>
          <w:lang w:eastAsia="en-US"/>
        </w:rPr>
      </w:pPr>
      <w:bookmarkStart w:id="248" w:name="_Toc467491575"/>
      <w:bookmarkStart w:id="249" w:name="_Toc467515178"/>
      <w:r w:rsidRPr="00E8136C">
        <w:rPr>
          <w:lang w:eastAsia="en-US"/>
        </w:rPr>
        <w:t xml:space="preserve">Figure </w:t>
      </w:r>
      <w:r>
        <w:rPr>
          <w:lang w:eastAsia="en-US"/>
        </w:rPr>
        <w:t>3</w:t>
      </w:r>
      <w:r w:rsidRPr="00E8136C">
        <w:rPr>
          <w:lang w:eastAsia="en-US"/>
        </w:rPr>
        <w:t xml:space="preserve">: Coverage rates (%) for </w:t>
      </w:r>
      <w:r>
        <w:rPr>
          <w:lang w:eastAsia="en-US"/>
        </w:rPr>
        <w:t>adults and children, 2011/12–2015</w:t>
      </w:r>
      <w:r w:rsidRPr="00E8136C">
        <w:rPr>
          <w:lang w:eastAsia="en-US"/>
        </w:rPr>
        <w:t>/1</w:t>
      </w:r>
      <w:r>
        <w:rPr>
          <w:lang w:eastAsia="en-US"/>
        </w:rPr>
        <w:t>6</w:t>
      </w:r>
      <w:bookmarkEnd w:id="248"/>
      <w:bookmarkEnd w:id="249"/>
    </w:p>
    <w:p w:rsidR="00DC0A66" w:rsidRPr="00A22FDF" w:rsidRDefault="00801ACA" w:rsidP="00801ACA">
      <w:pPr>
        <w:rPr>
          <w:lang w:eastAsia="en-US"/>
        </w:rPr>
      </w:pPr>
      <w:r w:rsidRPr="00801ACA">
        <w:rPr>
          <w:noProof/>
          <w:lang w:eastAsia="en-NZ"/>
        </w:rPr>
        <w:drawing>
          <wp:inline distT="0" distB="0" distL="0" distR="0" wp14:anchorId="201B151A" wp14:editId="4A054190">
            <wp:extent cx="4680066" cy="2855040"/>
            <wp:effectExtent l="0" t="0" r="6350" b="2540"/>
            <wp:docPr id="14" name="Picture 14" title="Figure 3: Coverage rates (%) for adults and children, 2011/12–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79503" cy="2854697"/>
                    </a:xfrm>
                    <a:prstGeom prst="rect">
                      <a:avLst/>
                    </a:prstGeom>
                  </pic:spPr>
                </pic:pic>
              </a:graphicData>
            </a:graphic>
          </wp:inline>
        </w:drawing>
      </w:r>
    </w:p>
    <w:p w:rsidR="00DC0A66" w:rsidRDefault="00DC0A66" w:rsidP="000F6953">
      <w:pPr>
        <w:rPr>
          <w:lang w:eastAsia="en-US"/>
        </w:rPr>
      </w:pPr>
    </w:p>
    <w:p w:rsidR="00DC0A66" w:rsidRDefault="00DC0A66" w:rsidP="000F6953">
      <w:pPr>
        <w:rPr>
          <w:lang w:eastAsia="en-US"/>
        </w:rPr>
      </w:pPr>
      <w:r>
        <w:rPr>
          <w:lang w:eastAsia="en-US"/>
        </w:rPr>
        <w:t xml:space="preserve">Figure 3 clearly shows that the </w:t>
      </w:r>
      <w:r w:rsidRPr="00CC7E24">
        <w:rPr>
          <w:lang w:eastAsia="en-US"/>
        </w:rPr>
        <w:t xml:space="preserve">overage rates </w:t>
      </w:r>
      <w:r>
        <w:rPr>
          <w:lang w:eastAsia="en-US"/>
        </w:rPr>
        <w:t>are</w:t>
      </w:r>
      <w:r w:rsidRPr="00CC7E24">
        <w:rPr>
          <w:lang w:eastAsia="en-US"/>
        </w:rPr>
        <w:t xml:space="preserve"> high for children</w:t>
      </w:r>
      <w:r>
        <w:rPr>
          <w:lang w:eastAsia="en-US"/>
        </w:rPr>
        <w:t xml:space="preserve"> in all the years.</w:t>
      </w:r>
    </w:p>
    <w:p w:rsidR="00DC0A66" w:rsidRDefault="00DC0A66" w:rsidP="000F6953">
      <w:pPr>
        <w:rPr>
          <w:lang w:eastAsia="en-US"/>
        </w:rPr>
      </w:pPr>
    </w:p>
    <w:p w:rsidR="00DC0A66" w:rsidRDefault="00DC0A66" w:rsidP="000F6953">
      <w:pPr>
        <w:rPr>
          <w:lang w:eastAsia="en-US"/>
        </w:rPr>
      </w:pPr>
      <w:r>
        <w:rPr>
          <w:lang w:eastAsia="en-US"/>
        </w:rPr>
        <w:t>In 2015/16, the coverage rates were 68 percent for Māori, 67 percent for Pacific peoples and 73</w:t>
      </w:r>
      <w:r w:rsidR="000F6953">
        <w:rPr>
          <w:lang w:eastAsia="en-US"/>
        </w:rPr>
        <w:t> </w:t>
      </w:r>
      <w:r>
        <w:rPr>
          <w:lang w:eastAsia="en-US"/>
        </w:rPr>
        <w:t>percent for Asian peoples. Figure 4</w:t>
      </w:r>
      <w:r w:rsidRPr="00CC7E24">
        <w:rPr>
          <w:lang w:eastAsia="en-US"/>
        </w:rPr>
        <w:t xml:space="preserve"> shows the </w:t>
      </w:r>
      <w:r>
        <w:rPr>
          <w:lang w:eastAsia="en-US"/>
        </w:rPr>
        <w:t>time trend of coverage rates for Māori,</w:t>
      </w:r>
      <w:r w:rsidRPr="00CC7E24">
        <w:rPr>
          <w:lang w:eastAsia="en-US"/>
        </w:rPr>
        <w:t xml:space="preserve"> Pacific</w:t>
      </w:r>
      <w:r>
        <w:rPr>
          <w:lang w:eastAsia="en-US"/>
        </w:rPr>
        <w:t xml:space="preserve"> and Asian ethnic groups from 2011/12 to the current survey year, 2015/16</w:t>
      </w:r>
      <w:r w:rsidRPr="00CC7E24">
        <w:rPr>
          <w:lang w:eastAsia="en-US"/>
        </w:rPr>
        <w:t>.</w:t>
      </w:r>
    </w:p>
    <w:p w:rsidR="00DC0A66" w:rsidRDefault="00DC0A66" w:rsidP="000F6953">
      <w:pPr>
        <w:rPr>
          <w:lang w:eastAsia="en-US"/>
        </w:rPr>
      </w:pPr>
    </w:p>
    <w:p w:rsidR="00981544" w:rsidRDefault="00DC0A66" w:rsidP="000F6953">
      <w:pPr>
        <w:pStyle w:val="Figure"/>
        <w:rPr>
          <w:lang w:eastAsia="en-US"/>
        </w:rPr>
      </w:pPr>
      <w:bookmarkStart w:id="250" w:name="_Toc467491576"/>
      <w:bookmarkStart w:id="251" w:name="_Toc467515179"/>
      <w:r>
        <w:rPr>
          <w:lang w:eastAsia="en-US"/>
        </w:rPr>
        <w:t>Figure 4</w:t>
      </w:r>
      <w:r w:rsidRPr="00E8136C">
        <w:rPr>
          <w:lang w:eastAsia="en-US"/>
        </w:rPr>
        <w:t xml:space="preserve">: Coverage rates (%) for </w:t>
      </w:r>
      <w:r w:rsidRPr="00126E02">
        <w:rPr>
          <w:lang w:eastAsia="en-US"/>
        </w:rPr>
        <w:t>Māori, Pacific</w:t>
      </w:r>
      <w:r>
        <w:rPr>
          <w:lang w:eastAsia="en-US"/>
        </w:rPr>
        <w:t xml:space="preserve"> and Asian</w:t>
      </w:r>
      <w:r w:rsidRPr="00126E02">
        <w:rPr>
          <w:lang w:eastAsia="en-US"/>
        </w:rPr>
        <w:t xml:space="preserve"> </w:t>
      </w:r>
      <w:r>
        <w:rPr>
          <w:lang w:eastAsia="en-US"/>
        </w:rPr>
        <w:t>groups, 2011/12–2015</w:t>
      </w:r>
      <w:r w:rsidRPr="00E8136C">
        <w:rPr>
          <w:lang w:eastAsia="en-US"/>
        </w:rPr>
        <w:t>/1</w:t>
      </w:r>
      <w:r>
        <w:rPr>
          <w:lang w:eastAsia="en-US"/>
        </w:rPr>
        <w:t>6</w:t>
      </w:r>
      <w:bookmarkEnd w:id="250"/>
      <w:bookmarkEnd w:id="251"/>
    </w:p>
    <w:p w:rsidR="00981544" w:rsidRDefault="00672DBE" w:rsidP="00672DBE">
      <w:pPr>
        <w:rPr>
          <w:noProof/>
          <w:lang w:eastAsia="en-NZ"/>
        </w:rPr>
      </w:pPr>
      <w:r w:rsidRPr="00672DBE">
        <w:rPr>
          <w:noProof/>
          <w:lang w:eastAsia="en-NZ"/>
        </w:rPr>
        <w:drawing>
          <wp:inline distT="0" distB="0" distL="0" distR="0" wp14:anchorId="23FEE9AE" wp14:editId="0557768E">
            <wp:extent cx="4671752" cy="2849968"/>
            <wp:effectExtent l="0" t="0" r="0" b="7620"/>
            <wp:docPr id="15" name="Picture 15" title="Figure 4: Coverage rates (%) for Māori, Pacific and Asian groups, 2011/12–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71190" cy="2849625"/>
                    </a:xfrm>
                    <a:prstGeom prst="rect">
                      <a:avLst/>
                    </a:prstGeom>
                  </pic:spPr>
                </pic:pic>
              </a:graphicData>
            </a:graphic>
          </wp:inline>
        </w:drawing>
      </w:r>
    </w:p>
    <w:p w:rsidR="00DC0A66" w:rsidRDefault="00DC0A66" w:rsidP="000F6953">
      <w:pPr>
        <w:rPr>
          <w:lang w:eastAsia="en-US"/>
        </w:rPr>
      </w:pPr>
    </w:p>
    <w:p w:rsidR="00981544" w:rsidRDefault="00DC0A66" w:rsidP="000F6953">
      <w:pPr>
        <w:rPr>
          <w:lang w:eastAsia="en-US"/>
        </w:rPr>
      </w:pPr>
      <w:r>
        <w:rPr>
          <w:lang w:eastAsia="en-US"/>
        </w:rPr>
        <w:t>As Figure 4 shows,</w:t>
      </w:r>
      <w:r w:rsidRPr="00CC7E24">
        <w:rPr>
          <w:lang w:eastAsia="en-US"/>
        </w:rPr>
        <w:t xml:space="preserve"> </w:t>
      </w:r>
      <w:r>
        <w:rPr>
          <w:lang w:eastAsia="en-US"/>
        </w:rPr>
        <w:t xml:space="preserve">the </w:t>
      </w:r>
      <w:r w:rsidRPr="00CC7E24">
        <w:rPr>
          <w:lang w:eastAsia="en-US"/>
        </w:rPr>
        <w:t xml:space="preserve">coverage </w:t>
      </w:r>
      <w:r>
        <w:rPr>
          <w:lang w:eastAsia="en-US"/>
        </w:rPr>
        <w:t xml:space="preserve">rates are clearly improving </w:t>
      </w:r>
      <w:r w:rsidRPr="00CC7E24">
        <w:rPr>
          <w:lang w:eastAsia="en-US"/>
        </w:rPr>
        <w:t>for</w:t>
      </w:r>
      <w:r>
        <w:rPr>
          <w:lang w:eastAsia="en-US"/>
        </w:rPr>
        <w:t xml:space="preserve"> Asian people.</w:t>
      </w:r>
    </w:p>
    <w:p w:rsidR="00DC0A66" w:rsidRDefault="00DC0A66" w:rsidP="000F6953">
      <w:pPr>
        <w:rPr>
          <w:lang w:eastAsia="en-US"/>
        </w:rPr>
      </w:pPr>
    </w:p>
    <w:p w:rsidR="00DC0A66" w:rsidRDefault="00DC0A66" w:rsidP="000F6953">
      <w:pPr>
        <w:rPr>
          <w:lang w:eastAsia="en-US"/>
        </w:rPr>
      </w:pPr>
      <w:r>
        <w:rPr>
          <w:lang w:eastAsia="en-US"/>
        </w:rPr>
        <w:lastRenderedPageBreak/>
        <w:t xml:space="preserve">In 2015/16, the coverage rates for neighbourhood deprivation quintiles were 70 percent (Q1), </w:t>
      </w:r>
      <w:r w:rsidRPr="008D3489">
        <w:rPr>
          <w:lang w:eastAsia="en-US"/>
        </w:rPr>
        <w:t>6</w:t>
      </w:r>
      <w:r>
        <w:rPr>
          <w:lang w:eastAsia="en-US"/>
        </w:rPr>
        <w:t>8</w:t>
      </w:r>
      <w:r w:rsidR="000F6953">
        <w:rPr>
          <w:lang w:eastAsia="en-US"/>
        </w:rPr>
        <w:t> </w:t>
      </w:r>
      <w:r>
        <w:rPr>
          <w:lang w:eastAsia="en-US"/>
        </w:rPr>
        <w:t xml:space="preserve">percent (Q2), 78 percent (Q3), </w:t>
      </w:r>
      <w:r w:rsidRPr="008D3489">
        <w:rPr>
          <w:lang w:eastAsia="en-US"/>
        </w:rPr>
        <w:t>6</w:t>
      </w:r>
      <w:r>
        <w:rPr>
          <w:lang w:eastAsia="en-US"/>
        </w:rPr>
        <w:t>2 percent (Q4) and 64 percent (Q5). Figure 5</w:t>
      </w:r>
      <w:r w:rsidRPr="00CC7E24">
        <w:rPr>
          <w:lang w:eastAsia="en-US"/>
        </w:rPr>
        <w:t xml:space="preserve"> shows the </w:t>
      </w:r>
      <w:r>
        <w:rPr>
          <w:lang w:eastAsia="en-US"/>
        </w:rPr>
        <w:t>time trend figures for Q1 to Q5 from 2011/12 to the current survey year, 2015/16</w:t>
      </w:r>
      <w:r w:rsidRPr="00CC7E24">
        <w:rPr>
          <w:lang w:eastAsia="en-US"/>
        </w:rPr>
        <w:t>.</w:t>
      </w:r>
    </w:p>
    <w:p w:rsidR="00DC0A66" w:rsidRDefault="00DC0A66" w:rsidP="000F6953">
      <w:pPr>
        <w:rPr>
          <w:lang w:eastAsia="en-US"/>
        </w:rPr>
      </w:pPr>
    </w:p>
    <w:p w:rsidR="00981544" w:rsidRDefault="00DC0A66" w:rsidP="000F6953">
      <w:pPr>
        <w:pStyle w:val="Figure"/>
        <w:rPr>
          <w:lang w:eastAsia="en-US"/>
        </w:rPr>
      </w:pPr>
      <w:bookmarkStart w:id="252" w:name="_Toc467491577"/>
      <w:bookmarkStart w:id="253" w:name="_Toc467515180"/>
      <w:r>
        <w:rPr>
          <w:lang w:eastAsia="en-US"/>
        </w:rPr>
        <w:t>Figure 5</w:t>
      </w:r>
      <w:r w:rsidRPr="00E8136C">
        <w:rPr>
          <w:lang w:eastAsia="en-US"/>
        </w:rPr>
        <w:t>: Coverage rates (%)</w:t>
      </w:r>
      <w:r>
        <w:rPr>
          <w:lang w:eastAsia="en-US"/>
        </w:rPr>
        <w:t xml:space="preserve"> by NZDep2013</w:t>
      </w:r>
      <w:r w:rsidRPr="005104D3">
        <w:rPr>
          <w:lang w:eastAsia="en-US"/>
        </w:rPr>
        <w:t xml:space="preserve"> quintiles</w:t>
      </w:r>
      <w:r>
        <w:rPr>
          <w:lang w:eastAsia="en-US"/>
        </w:rPr>
        <w:t>, 2011/12–2015</w:t>
      </w:r>
      <w:r w:rsidRPr="00E8136C">
        <w:rPr>
          <w:lang w:eastAsia="en-US"/>
        </w:rPr>
        <w:t>/1</w:t>
      </w:r>
      <w:r>
        <w:rPr>
          <w:lang w:eastAsia="en-US"/>
        </w:rPr>
        <w:t>6</w:t>
      </w:r>
      <w:bookmarkEnd w:id="252"/>
      <w:bookmarkEnd w:id="253"/>
    </w:p>
    <w:p w:rsidR="00DC0A66" w:rsidRPr="00A22FDF" w:rsidRDefault="00672DBE" w:rsidP="00672DBE">
      <w:pPr>
        <w:rPr>
          <w:lang w:eastAsia="en-US"/>
        </w:rPr>
      </w:pPr>
      <w:r w:rsidRPr="00672DBE">
        <w:rPr>
          <w:noProof/>
          <w:lang w:eastAsia="en-NZ"/>
        </w:rPr>
        <w:drawing>
          <wp:inline distT="0" distB="0" distL="0" distR="0" wp14:anchorId="571147D4" wp14:editId="4CFD6B5A">
            <wp:extent cx="4671752" cy="2849968"/>
            <wp:effectExtent l="0" t="0" r="0" b="7620"/>
            <wp:docPr id="16" name="Picture 16" title="Figure 5: Coverage rates (%) by NZDep2013 quintiles, 2011/12–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1190" cy="2849625"/>
                    </a:xfrm>
                    <a:prstGeom prst="rect">
                      <a:avLst/>
                    </a:prstGeom>
                  </pic:spPr>
                </pic:pic>
              </a:graphicData>
            </a:graphic>
          </wp:inline>
        </w:drawing>
      </w:r>
    </w:p>
    <w:p w:rsidR="00DC0A66" w:rsidRDefault="00DC0A66" w:rsidP="000F6953">
      <w:pPr>
        <w:rPr>
          <w:lang w:eastAsia="en-US"/>
        </w:rPr>
      </w:pPr>
    </w:p>
    <w:p w:rsidR="00DC0A66" w:rsidRPr="00DA4CB4" w:rsidRDefault="00DC0A66" w:rsidP="000F6953">
      <w:pPr>
        <w:rPr>
          <w:lang w:eastAsia="en-US"/>
        </w:rPr>
      </w:pPr>
      <w:r w:rsidRPr="00DA4CB4">
        <w:rPr>
          <w:lang w:eastAsia="en-US"/>
        </w:rPr>
        <w:t xml:space="preserve">Figure </w:t>
      </w:r>
      <w:r>
        <w:rPr>
          <w:lang w:eastAsia="en-US"/>
        </w:rPr>
        <w:t>6</w:t>
      </w:r>
      <w:r w:rsidRPr="00DA4CB4">
        <w:rPr>
          <w:lang w:eastAsia="en-US"/>
        </w:rPr>
        <w:t xml:space="preserve"> shows the coverage rates by age and sex</w:t>
      </w:r>
      <w:r>
        <w:rPr>
          <w:lang w:eastAsia="en-US"/>
        </w:rPr>
        <w:t xml:space="preserve"> for 2015/16</w:t>
      </w:r>
      <w:r w:rsidRPr="00DA4CB4">
        <w:rPr>
          <w:lang w:eastAsia="en-US"/>
        </w:rPr>
        <w:t xml:space="preserve">. The pattern for Māori in Figure </w:t>
      </w:r>
      <w:r>
        <w:rPr>
          <w:lang w:eastAsia="en-US"/>
        </w:rPr>
        <w:t>7</w:t>
      </w:r>
      <w:r w:rsidRPr="00DA4CB4">
        <w:rPr>
          <w:lang w:eastAsia="en-US"/>
        </w:rPr>
        <w:t xml:space="preserve"> is similar to the overall pattern shown in Figure </w:t>
      </w:r>
      <w:r>
        <w:rPr>
          <w:lang w:eastAsia="en-US"/>
        </w:rPr>
        <w:t>6</w:t>
      </w:r>
      <w:r w:rsidRPr="00DA4CB4">
        <w:rPr>
          <w:lang w:eastAsia="en-US"/>
        </w:rPr>
        <w:t>.</w:t>
      </w:r>
    </w:p>
    <w:p w:rsidR="00DC0A66" w:rsidRDefault="00DC0A66" w:rsidP="000F6953">
      <w:pPr>
        <w:rPr>
          <w:lang w:eastAsia="en-US"/>
        </w:rPr>
      </w:pPr>
    </w:p>
    <w:p w:rsidR="00981544" w:rsidRDefault="00DC0A66" w:rsidP="000F6953">
      <w:pPr>
        <w:pStyle w:val="Figure"/>
      </w:pPr>
      <w:bookmarkStart w:id="254" w:name="_Ref339269048"/>
      <w:bookmarkStart w:id="255" w:name="_Ref339597124"/>
      <w:bookmarkStart w:id="256" w:name="_Toc339878406"/>
      <w:bookmarkStart w:id="257" w:name="_Toc372445593"/>
      <w:bookmarkStart w:id="258" w:name="_Toc403044053"/>
      <w:bookmarkStart w:id="259" w:name="_Toc467491578"/>
      <w:bookmarkStart w:id="260" w:name="_Toc467515181"/>
      <w:r w:rsidRPr="00805094">
        <w:t xml:space="preserve">Figure </w:t>
      </w:r>
      <w:bookmarkEnd w:id="254"/>
      <w:bookmarkEnd w:id="255"/>
      <w:r>
        <w:t>6</w:t>
      </w:r>
      <w:r w:rsidRPr="00805094">
        <w:t>:</w:t>
      </w:r>
      <w:r w:rsidRPr="00CC7E24">
        <w:t xml:space="preserve"> Coverage rates (%)</w:t>
      </w:r>
      <w:r>
        <w:t xml:space="preserve"> for total population, by age group and sex, 2015</w:t>
      </w:r>
      <w:r w:rsidRPr="00CC7E24">
        <w:t>/1</w:t>
      </w:r>
      <w:bookmarkEnd w:id="256"/>
      <w:bookmarkEnd w:id="257"/>
      <w:bookmarkEnd w:id="258"/>
      <w:r>
        <w:t>6</w:t>
      </w:r>
      <w:bookmarkEnd w:id="259"/>
      <w:bookmarkEnd w:id="260"/>
    </w:p>
    <w:p w:rsidR="00DC0A66" w:rsidRPr="00EE063B" w:rsidRDefault="00672DBE" w:rsidP="00672DBE">
      <w:r w:rsidRPr="00672DBE">
        <w:rPr>
          <w:noProof/>
          <w:lang w:eastAsia="en-NZ"/>
        </w:rPr>
        <w:drawing>
          <wp:inline distT="0" distB="0" distL="0" distR="0" wp14:anchorId="3793B710" wp14:editId="38E2A765">
            <wp:extent cx="4671752" cy="2849968"/>
            <wp:effectExtent l="0" t="0" r="0" b="7620"/>
            <wp:docPr id="17" name="Picture 17" title="Figure 6: Coverage rates (%) for total population, by age group and sex,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71190" cy="2849625"/>
                    </a:xfrm>
                    <a:prstGeom prst="rect">
                      <a:avLst/>
                    </a:prstGeom>
                  </pic:spPr>
                </pic:pic>
              </a:graphicData>
            </a:graphic>
          </wp:inline>
        </w:drawing>
      </w:r>
    </w:p>
    <w:p w:rsidR="00DC0A66" w:rsidRDefault="00DC0A66" w:rsidP="000F6953">
      <w:pPr>
        <w:rPr>
          <w:noProof/>
          <w:lang w:eastAsia="en-NZ"/>
        </w:rPr>
      </w:pPr>
    </w:p>
    <w:p w:rsidR="00DC0A66" w:rsidRDefault="00DC0A66" w:rsidP="009047FD">
      <w:pPr>
        <w:pStyle w:val="Figure"/>
      </w:pPr>
      <w:bookmarkStart w:id="261" w:name="_Toc403044054"/>
      <w:bookmarkStart w:id="262" w:name="_Toc467491579"/>
      <w:bookmarkStart w:id="263" w:name="_Toc467515182"/>
      <w:bookmarkStart w:id="264" w:name="_Toc339270043"/>
      <w:bookmarkStart w:id="265" w:name="_Toc340501958"/>
      <w:r>
        <w:lastRenderedPageBreak/>
        <w:t>Figure 7</w:t>
      </w:r>
      <w:r w:rsidRPr="006B12A7">
        <w:t>: Coverage rates (%) for M</w:t>
      </w:r>
      <w:r>
        <w:t>āori, by age group and sex, 2015</w:t>
      </w:r>
      <w:r w:rsidRPr="006B12A7">
        <w:t>/1</w:t>
      </w:r>
      <w:bookmarkEnd w:id="261"/>
      <w:r>
        <w:t>6</w:t>
      </w:r>
      <w:bookmarkEnd w:id="262"/>
      <w:bookmarkEnd w:id="263"/>
    </w:p>
    <w:p w:rsidR="00DC0A66" w:rsidRPr="00A22FDF" w:rsidRDefault="00016F90" w:rsidP="00016F90">
      <w:r w:rsidRPr="00016F90">
        <w:rPr>
          <w:noProof/>
          <w:lang w:eastAsia="en-NZ"/>
        </w:rPr>
        <w:drawing>
          <wp:inline distT="0" distB="0" distL="0" distR="0" wp14:anchorId="5480DA26" wp14:editId="6E3DC55C">
            <wp:extent cx="4663440" cy="2844897"/>
            <wp:effectExtent l="0" t="0" r="3810" b="0"/>
            <wp:docPr id="18" name="Picture 18" title="Figure 7: Coverage rates (%) for Māori, by age group and sex,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2879" cy="2844555"/>
                    </a:xfrm>
                    <a:prstGeom prst="rect">
                      <a:avLst/>
                    </a:prstGeom>
                  </pic:spPr>
                </pic:pic>
              </a:graphicData>
            </a:graphic>
          </wp:inline>
        </w:drawing>
      </w:r>
    </w:p>
    <w:p w:rsidR="00DC0A66" w:rsidRDefault="00DC0A66" w:rsidP="009047FD">
      <w:pPr>
        <w:rPr>
          <w:rFonts w:eastAsia="Cambria"/>
          <w:lang w:eastAsia="en-US"/>
        </w:rPr>
      </w:pPr>
      <w:bookmarkStart w:id="266" w:name="_Toc372445578"/>
    </w:p>
    <w:p w:rsidR="00DC0A66" w:rsidRPr="00CC7E24" w:rsidRDefault="00DC0A66" w:rsidP="009047FD">
      <w:pPr>
        <w:pStyle w:val="Heading2"/>
        <w:rPr>
          <w:rFonts w:eastAsia="Cambria"/>
          <w:lang w:eastAsia="en-US"/>
        </w:rPr>
      </w:pPr>
      <w:bookmarkStart w:id="267" w:name="_Toc403044033"/>
      <w:bookmarkStart w:id="268" w:name="_Toc467491554"/>
      <w:bookmarkStart w:id="269" w:name="_Toc467515156"/>
      <w:r w:rsidRPr="00CC7E24">
        <w:rPr>
          <w:rFonts w:eastAsia="Cambria"/>
          <w:lang w:eastAsia="en-US"/>
        </w:rPr>
        <w:t>Final weights</w:t>
      </w:r>
      <w:bookmarkEnd w:id="264"/>
      <w:bookmarkEnd w:id="265"/>
      <w:bookmarkEnd w:id="266"/>
      <w:bookmarkEnd w:id="267"/>
      <w:bookmarkEnd w:id="268"/>
      <w:bookmarkEnd w:id="269"/>
    </w:p>
    <w:p w:rsidR="00DC0A66" w:rsidRPr="00CC7E24" w:rsidRDefault="00DC0A66" w:rsidP="009047FD">
      <w:pPr>
        <w:rPr>
          <w:rFonts w:eastAsia="Cambria"/>
          <w:lang w:eastAsia="en-US"/>
        </w:rPr>
      </w:pPr>
      <w:r w:rsidRPr="001B6D3B">
        <w:rPr>
          <w:rFonts w:eastAsia="Cambria"/>
          <w:lang w:eastAsia="en-US"/>
        </w:rPr>
        <w:t xml:space="preserve">Section </w:t>
      </w:r>
      <w:r>
        <w:rPr>
          <w:rFonts w:eastAsia="Cambria"/>
          <w:lang w:eastAsia="en-US"/>
        </w:rPr>
        <w:t>7 has</w:t>
      </w:r>
      <w:r w:rsidRPr="001B6D3B">
        <w:rPr>
          <w:rFonts w:eastAsia="Cambria"/>
          <w:lang w:eastAsia="en-US"/>
        </w:rPr>
        <w:t xml:space="preserve"> explained how the calibrated weights were calculated. Table </w:t>
      </w:r>
      <w:r>
        <w:rPr>
          <w:rFonts w:eastAsia="Cambria"/>
          <w:lang w:eastAsia="en-US"/>
        </w:rPr>
        <w:t>5</w:t>
      </w:r>
      <w:r w:rsidRPr="001B6D3B">
        <w:rPr>
          <w:rFonts w:eastAsia="Cambria"/>
          <w:lang w:eastAsia="en-US"/>
        </w:rPr>
        <w:t xml:space="preserve"> gives basic descriptive</w:t>
      </w:r>
      <w:r w:rsidRPr="00CC7E24">
        <w:rPr>
          <w:rFonts w:eastAsia="Cambria"/>
          <w:lang w:eastAsia="en-US"/>
        </w:rPr>
        <w:t xml:space="preserve"> information on the final weights calculated for the </w:t>
      </w:r>
      <w:r>
        <w:rPr>
          <w:rFonts w:eastAsia="Cambria"/>
          <w:lang w:eastAsia="en-US"/>
        </w:rPr>
        <w:t>2015/16 survey</w:t>
      </w:r>
      <w:r w:rsidRPr="00CC7E24">
        <w:rPr>
          <w:rFonts w:eastAsia="Cambria"/>
          <w:lang w:eastAsia="en-US"/>
        </w:rPr>
        <w:t>.</w:t>
      </w:r>
    </w:p>
    <w:p w:rsidR="00DC0A66" w:rsidRPr="00CC7E24" w:rsidRDefault="00DC0A66" w:rsidP="009047FD">
      <w:pPr>
        <w:rPr>
          <w:rFonts w:eastAsia="Cambria"/>
          <w:lang w:eastAsia="en-US"/>
        </w:rPr>
      </w:pPr>
    </w:p>
    <w:p w:rsidR="00DC0A66" w:rsidRPr="00CC7E24" w:rsidRDefault="00DC0A66" w:rsidP="009047FD">
      <w:pPr>
        <w:rPr>
          <w:rFonts w:eastAsia="Cambria"/>
          <w:lang w:eastAsia="en-US"/>
        </w:rPr>
      </w:pPr>
      <w:r w:rsidRPr="00CC7E24">
        <w:rPr>
          <w:rFonts w:eastAsia="Cambria"/>
          <w:lang w:eastAsia="en-US"/>
        </w:rPr>
        <w:t xml:space="preserve">The </w:t>
      </w:r>
      <w:r>
        <w:rPr>
          <w:rFonts w:eastAsia="Cambria"/>
          <w:lang w:eastAsia="en-US"/>
        </w:rPr>
        <w:t xml:space="preserve">g-weights are the </w:t>
      </w:r>
      <w:r w:rsidRPr="00CC7E24">
        <w:rPr>
          <w:rFonts w:eastAsia="Cambria"/>
          <w:lang w:eastAsia="en-US"/>
        </w:rPr>
        <w:t>ratio</w:t>
      </w:r>
      <w:r>
        <w:rPr>
          <w:rFonts w:eastAsia="Cambria"/>
          <w:lang w:eastAsia="en-US"/>
        </w:rPr>
        <w:t>s</w:t>
      </w:r>
      <w:r w:rsidRPr="00CC7E24">
        <w:rPr>
          <w:rFonts w:eastAsia="Cambria"/>
          <w:lang w:eastAsia="en-US"/>
        </w:rPr>
        <w:t xml:space="preserve"> of the final weight</w:t>
      </w:r>
      <w:r>
        <w:rPr>
          <w:rFonts w:eastAsia="Cambria"/>
          <w:lang w:eastAsia="en-US"/>
        </w:rPr>
        <w:t>s</w:t>
      </w:r>
      <w:r w:rsidRPr="00CC7E24">
        <w:rPr>
          <w:rFonts w:eastAsia="Cambria"/>
          <w:lang w:eastAsia="en-US"/>
        </w:rPr>
        <w:t xml:space="preserve"> to the initial selection weight</w:t>
      </w:r>
      <w:r>
        <w:rPr>
          <w:rFonts w:eastAsia="Cambria"/>
          <w:lang w:eastAsia="en-US"/>
        </w:rPr>
        <w:t>s. The mean g</w:t>
      </w:r>
      <w:r w:rsidR="009047FD">
        <w:rPr>
          <w:rFonts w:eastAsia="Cambria"/>
          <w:lang w:eastAsia="en-US"/>
        </w:rPr>
        <w:noBreakHyphen/>
      </w:r>
      <w:r>
        <w:rPr>
          <w:rFonts w:eastAsia="Cambria"/>
          <w:lang w:eastAsia="en-US"/>
        </w:rPr>
        <w:t>weight is approximately 1.7. This means</w:t>
      </w:r>
      <w:r w:rsidRPr="00CC7E24">
        <w:rPr>
          <w:rFonts w:eastAsia="Cambria"/>
          <w:lang w:eastAsia="en-US"/>
        </w:rPr>
        <w:t xml:space="preserve"> the calibrated weights, </w:t>
      </w:r>
      <w:r>
        <w:rPr>
          <w:rFonts w:eastAsia="Cambria"/>
          <w:lang w:eastAsia="en-US"/>
        </w:rPr>
        <w:t>which</w:t>
      </w:r>
      <w:r w:rsidRPr="00CC7E24">
        <w:rPr>
          <w:rFonts w:eastAsia="Cambria"/>
          <w:lang w:eastAsia="en-US"/>
        </w:rPr>
        <w:t xml:space="preserve"> were calculated using population benchmark information, have changed the initial selection weight by a</w:t>
      </w:r>
      <w:r>
        <w:rPr>
          <w:rFonts w:eastAsia="Cambria"/>
          <w:lang w:eastAsia="en-US"/>
        </w:rPr>
        <w:t>n average</w:t>
      </w:r>
      <w:r w:rsidRPr="00CC7E24">
        <w:rPr>
          <w:rFonts w:eastAsia="Cambria"/>
          <w:lang w:eastAsia="en-US"/>
        </w:rPr>
        <w:t xml:space="preserve"> factor of </w:t>
      </w:r>
      <w:r w:rsidRPr="002B34AC">
        <w:rPr>
          <w:rFonts w:eastAsia="Cambria"/>
          <w:lang w:eastAsia="en-US"/>
        </w:rPr>
        <w:t>1.</w:t>
      </w:r>
      <w:r>
        <w:rPr>
          <w:rFonts w:eastAsia="Cambria"/>
          <w:lang w:eastAsia="en-US"/>
        </w:rPr>
        <w:t>7</w:t>
      </w:r>
      <w:r w:rsidRPr="00B64486">
        <w:rPr>
          <w:rFonts w:eastAsia="Cambria"/>
          <w:lang w:eastAsia="en-US"/>
        </w:rPr>
        <w:t>.</w:t>
      </w:r>
    </w:p>
    <w:p w:rsidR="00DC0A66" w:rsidRPr="00CC7E24" w:rsidRDefault="00DC0A66" w:rsidP="009047FD">
      <w:pPr>
        <w:rPr>
          <w:rFonts w:eastAsia="Cambria"/>
          <w:lang w:eastAsia="en-US"/>
        </w:rPr>
      </w:pPr>
    </w:p>
    <w:p w:rsidR="00DC0A66" w:rsidRPr="00CC7E24" w:rsidRDefault="00DC0A66" w:rsidP="009047FD">
      <w:pPr>
        <w:pStyle w:val="Table"/>
      </w:pPr>
      <w:bookmarkStart w:id="270" w:name="_Ref339269124"/>
      <w:bookmarkStart w:id="271" w:name="_Toc339878417"/>
      <w:bookmarkStart w:id="272" w:name="_Toc372445587"/>
      <w:bookmarkStart w:id="273" w:name="_Toc403044042"/>
      <w:bookmarkStart w:id="274" w:name="_Toc467491568"/>
      <w:bookmarkStart w:id="275" w:name="_Toc467515171"/>
      <w:r w:rsidRPr="00805094">
        <w:t xml:space="preserve">Table </w:t>
      </w:r>
      <w:bookmarkEnd w:id="270"/>
      <w:r>
        <w:t>5</w:t>
      </w:r>
      <w:r w:rsidRPr="00805094">
        <w:t>:</w:t>
      </w:r>
      <w:r w:rsidRPr="00805094">
        <w:rPr>
          <w:rFonts w:eastAsia="Cambria"/>
        </w:rPr>
        <w:t xml:space="preserve"> Final</w:t>
      </w:r>
      <w:r w:rsidRPr="00CC7E24">
        <w:rPr>
          <w:rFonts w:eastAsia="Cambria"/>
        </w:rPr>
        <w:t xml:space="preserve"> weights</w:t>
      </w:r>
      <w:r>
        <w:rPr>
          <w:rFonts w:eastAsia="Cambria"/>
        </w:rPr>
        <w:t>, 2015</w:t>
      </w:r>
      <w:r w:rsidRPr="00CC7E24">
        <w:rPr>
          <w:rFonts w:eastAsia="Cambria"/>
        </w:rPr>
        <w:t>/1</w:t>
      </w:r>
      <w:bookmarkEnd w:id="271"/>
      <w:bookmarkEnd w:id="272"/>
      <w:bookmarkEnd w:id="273"/>
      <w:r>
        <w:rPr>
          <w:rFonts w:eastAsia="Cambria"/>
        </w:rPr>
        <w:t>6</w:t>
      </w:r>
      <w:bookmarkEnd w:id="274"/>
      <w:bookmarkEnd w:id="275"/>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820"/>
        <w:gridCol w:w="1417"/>
      </w:tblGrid>
      <w:tr w:rsidR="00DC0A66" w:rsidRPr="009047FD" w:rsidTr="009047FD">
        <w:trPr>
          <w:cantSplit/>
        </w:trPr>
        <w:tc>
          <w:tcPr>
            <w:tcW w:w="4820" w:type="dxa"/>
            <w:tcBorders>
              <w:top w:val="single" w:sz="4" w:space="0" w:color="auto"/>
              <w:bottom w:val="single" w:sz="4" w:space="0" w:color="auto"/>
            </w:tcBorders>
            <w:shd w:val="clear" w:color="auto" w:fill="auto"/>
          </w:tcPr>
          <w:p w:rsidR="00DC0A66" w:rsidRPr="009047FD" w:rsidRDefault="00DC0A66" w:rsidP="009047FD">
            <w:pPr>
              <w:pStyle w:val="TableText"/>
              <w:rPr>
                <w:rFonts w:eastAsia="Cambria"/>
                <w:b/>
                <w:lang w:eastAsia="en-US"/>
              </w:rPr>
            </w:pPr>
          </w:p>
        </w:tc>
        <w:tc>
          <w:tcPr>
            <w:tcW w:w="1417" w:type="dxa"/>
            <w:tcBorders>
              <w:top w:val="single" w:sz="4" w:space="0" w:color="auto"/>
              <w:bottom w:val="single" w:sz="4" w:space="0" w:color="auto"/>
            </w:tcBorders>
            <w:shd w:val="clear" w:color="auto" w:fill="auto"/>
          </w:tcPr>
          <w:p w:rsidR="00DC0A66" w:rsidRPr="009047FD" w:rsidRDefault="00DC0A66" w:rsidP="009047FD">
            <w:pPr>
              <w:pStyle w:val="TableText"/>
              <w:jc w:val="center"/>
              <w:rPr>
                <w:rFonts w:eastAsia="Cambria"/>
                <w:b/>
                <w:lang w:eastAsia="en-US"/>
              </w:rPr>
            </w:pPr>
            <w:r w:rsidRPr="009047FD">
              <w:rPr>
                <w:rFonts w:eastAsia="Cambria"/>
                <w:b/>
                <w:lang w:eastAsia="en-US"/>
              </w:rPr>
              <w:t>Final weight</w:t>
            </w:r>
          </w:p>
        </w:tc>
      </w:tr>
      <w:tr w:rsidR="00DC0A66" w:rsidRPr="00CC7E24" w:rsidTr="009047FD">
        <w:trPr>
          <w:cantSplit/>
        </w:trPr>
        <w:tc>
          <w:tcPr>
            <w:tcW w:w="4820" w:type="dxa"/>
            <w:tcBorders>
              <w:top w:val="single" w:sz="4" w:space="0" w:color="auto"/>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Minimum</w:t>
            </w:r>
          </w:p>
        </w:tc>
        <w:tc>
          <w:tcPr>
            <w:tcW w:w="1417" w:type="dxa"/>
            <w:tcBorders>
              <w:top w:val="single" w:sz="4" w:space="0" w:color="auto"/>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Pr>
                <w:rFonts w:eastAsia="Cambria"/>
                <w:lang w:eastAsia="en-US"/>
              </w:rPr>
              <w:t>19</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Median</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Pr>
                <w:rFonts w:eastAsia="Cambria"/>
                <w:lang w:eastAsia="en-US"/>
              </w:rPr>
              <w:t>199</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90</w:t>
            </w:r>
            <w:r>
              <w:rPr>
                <w:rFonts w:eastAsia="Cambria"/>
                <w:lang w:eastAsia="en-US"/>
              </w:rPr>
              <w:t>th</w:t>
            </w:r>
            <w:r w:rsidRPr="00CC7E24">
              <w:rPr>
                <w:rFonts w:eastAsia="Cambria"/>
                <w:lang w:eastAsia="en-US"/>
              </w:rPr>
              <w:t xml:space="preserve"> percentile</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Pr>
                <w:rFonts w:eastAsia="Cambria"/>
                <w:lang w:eastAsia="en-US"/>
              </w:rPr>
              <w:t>545</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95</w:t>
            </w:r>
            <w:r>
              <w:rPr>
                <w:rFonts w:eastAsia="Cambria"/>
                <w:lang w:eastAsia="en-US"/>
              </w:rPr>
              <w:t>th</w:t>
            </w:r>
            <w:r w:rsidRPr="00CC7E24">
              <w:rPr>
                <w:rFonts w:eastAsia="Cambria"/>
                <w:lang w:eastAsia="en-US"/>
              </w:rPr>
              <w:t xml:space="preserve"> percentile</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Pr>
                <w:rFonts w:eastAsia="Cambria"/>
                <w:lang w:eastAsia="en-US"/>
              </w:rPr>
              <w:t>721</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99</w:t>
            </w:r>
            <w:r>
              <w:rPr>
                <w:rFonts w:eastAsia="Cambria"/>
                <w:lang w:eastAsia="en-US"/>
              </w:rPr>
              <w:t>th</w:t>
            </w:r>
            <w:r w:rsidRPr="00CC7E24">
              <w:rPr>
                <w:rFonts w:eastAsia="Cambria"/>
                <w:lang w:eastAsia="en-US"/>
              </w:rPr>
              <w:t xml:space="preserve"> percentile</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Pr>
                <w:rFonts w:eastAsia="Cambria"/>
                <w:lang w:eastAsia="en-US"/>
              </w:rPr>
              <w:t>1117</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Maximum</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765"/>
              </w:tabs>
              <w:rPr>
                <w:rFonts w:eastAsia="Cambria"/>
                <w:lang w:eastAsia="en-US"/>
              </w:rPr>
            </w:pPr>
            <w:r w:rsidRPr="00CC7E24">
              <w:rPr>
                <w:rFonts w:eastAsia="Cambria"/>
                <w:lang w:eastAsia="en-US"/>
              </w:rPr>
              <w:t>16</w:t>
            </w:r>
            <w:r>
              <w:rPr>
                <w:rFonts w:eastAsia="Cambria"/>
                <w:lang w:eastAsia="en-US"/>
              </w:rPr>
              <w:t>25</w:t>
            </w:r>
          </w:p>
        </w:tc>
      </w:tr>
      <w:tr w:rsidR="00DC0A66" w:rsidRPr="00CC7E24" w:rsidTr="009047FD">
        <w:trPr>
          <w:cantSplit/>
        </w:trPr>
        <w:tc>
          <w:tcPr>
            <w:tcW w:w="4820"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Coefficient of variation (</w:t>
            </w:r>
            <w:proofErr w:type="gramStart"/>
            <w:r w:rsidRPr="00CC7E24">
              <w:rPr>
                <w:rFonts w:eastAsia="Cambria"/>
                <w:lang w:eastAsia="en-US"/>
              </w:rPr>
              <w:t>CV%</w:t>
            </w:r>
            <w:proofErr w:type="gramEnd"/>
            <w:r w:rsidRPr="00CC7E24">
              <w:rPr>
                <w:rFonts w:eastAsia="Cambria"/>
                <w:lang w:eastAsia="en-US"/>
              </w:rPr>
              <w:t>)</w:t>
            </w:r>
          </w:p>
        </w:tc>
        <w:tc>
          <w:tcPr>
            <w:tcW w:w="141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9047FD">
            <w:pPr>
              <w:pStyle w:val="TableText"/>
              <w:tabs>
                <w:tab w:val="decimal" w:pos="608"/>
              </w:tabs>
              <w:rPr>
                <w:rFonts w:eastAsia="Cambria"/>
                <w:lang w:eastAsia="en-US"/>
              </w:rPr>
            </w:pPr>
            <w:r>
              <w:rPr>
                <w:rFonts w:eastAsia="Cambria"/>
                <w:lang w:eastAsia="en-US"/>
              </w:rPr>
              <w:t>82.9</w:t>
            </w:r>
          </w:p>
        </w:tc>
      </w:tr>
      <w:tr w:rsidR="00DC0A66" w:rsidRPr="00CC7E24" w:rsidTr="009047FD">
        <w:trPr>
          <w:cantSplit/>
        </w:trPr>
        <w:tc>
          <w:tcPr>
            <w:tcW w:w="4820" w:type="dxa"/>
            <w:tcBorders>
              <w:top w:val="single" w:sz="4" w:space="0" w:color="A6A6A6" w:themeColor="background1" w:themeShade="A6"/>
              <w:bottom w:val="single" w:sz="4" w:space="0" w:color="auto"/>
            </w:tcBorders>
            <w:shd w:val="clear" w:color="auto" w:fill="auto"/>
          </w:tcPr>
          <w:p w:rsidR="00DC0A66" w:rsidRPr="00CC7E24" w:rsidRDefault="00DC0A66" w:rsidP="009047FD">
            <w:pPr>
              <w:pStyle w:val="TableText"/>
              <w:rPr>
                <w:rFonts w:eastAsia="Cambria"/>
                <w:lang w:eastAsia="en-US"/>
              </w:rPr>
            </w:pPr>
            <w:r w:rsidRPr="00CC7E24">
              <w:rPr>
                <w:rFonts w:eastAsia="Cambria"/>
                <w:lang w:eastAsia="en-US"/>
              </w:rPr>
              <w:t>Approximate design effect due to weighting (1</w:t>
            </w:r>
            <w:r>
              <w:rPr>
                <w:rFonts w:eastAsia="Cambria"/>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CV</w:t>
            </w:r>
            <w:r w:rsidRPr="00CC7E24">
              <w:rPr>
                <w:rFonts w:eastAsia="Cambria"/>
                <w:vertAlign w:val="superscript"/>
                <w:lang w:eastAsia="en-US"/>
              </w:rPr>
              <w:t>2</w:t>
            </w:r>
            <w:r w:rsidRPr="00CC7E24">
              <w:rPr>
                <w:rFonts w:eastAsia="Cambria"/>
                <w:lang w:eastAsia="en-US"/>
              </w:rPr>
              <w:t>)</w:t>
            </w:r>
          </w:p>
        </w:tc>
        <w:tc>
          <w:tcPr>
            <w:tcW w:w="1417" w:type="dxa"/>
            <w:tcBorders>
              <w:top w:val="single" w:sz="4" w:space="0" w:color="A6A6A6" w:themeColor="background1" w:themeShade="A6"/>
              <w:bottom w:val="single" w:sz="4" w:space="0" w:color="auto"/>
            </w:tcBorders>
            <w:shd w:val="clear" w:color="auto" w:fill="auto"/>
          </w:tcPr>
          <w:p w:rsidR="00DC0A66" w:rsidRPr="00CC7E24" w:rsidRDefault="00DC0A66" w:rsidP="009047FD">
            <w:pPr>
              <w:pStyle w:val="TableText"/>
              <w:tabs>
                <w:tab w:val="decimal" w:pos="608"/>
              </w:tabs>
              <w:rPr>
                <w:rFonts w:eastAsia="Cambria"/>
                <w:lang w:eastAsia="en-US"/>
              </w:rPr>
            </w:pPr>
            <w:r>
              <w:rPr>
                <w:rFonts w:eastAsia="Cambria"/>
                <w:lang w:eastAsia="en-US"/>
              </w:rPr>
              <w:t>1.7</w:t>
            </w:r>
          </w:p>
        </w:tc>
      </w:tr>
    </w:tbl>
    <w:p w:rsidR="00DC0A66" w:rsidRDefault="00DC0A66" w:rsidP="009047FD">
      <w:bookmarkStart w:id="276" w:name="_Toc339270044"/>
      <w:bookmarkStart w:id="277" w:name="_Toc340501959"/>
      <w:bookmarkStart w:id="278" w:name="_Toc372445579"/>
      <w:bookmarkStart w:id="279" w:name="_Toc199225803"/>
    </w:p>
    <w:p w:rsidR="00DC0A66" w:rsidRPr="00CC7E24" w:rsidRDefault="00DC0A66" w:rsidP="009047FD">
      <w:pPr>
        <w:pStyle w:val="Heading2"/>
      </w:pPr>
      <w:bookmarkStart w:id="280" w:name="_Toc403044034"/>
      <w:bookmarkStart w:id="281" w:name="_Toc467491555"/>
      <w:bookmarkStart w:id="282" w:name="_Toc467515157"/>
      <w:r w:rsidRPr="00CC7E24">
        <w:lastRenderedPageBreak/>
        <w:t>Sample sizes</w:t>
      </w:r>
      <w:bookmarkEnd w:id="276"/>
      <w:bookmarkEnd w:id="277"/>
      <w:bookmarkEnd w:id="278"/>
      <w:bookmarkEnd w:id="280"/>
      <w:bookmarkEnd w:id="281"/>
      <w:bookmarkEnd w:id="282"/>
    </w:p>
    <w:p w:rsidR="00DC0A66" w:rsidRDefault="00DC0A66" w:rsidP="003319F7">
      <w:pPr>
        <w:keepNext/>
      </w:pPr>
      <w:r>
        <w:t>Tables 6–9</w:t>
      </w:r>
      <w:r w:rsidRPr="00CC7E24">
        <w:t xml:space="preserve"> show the </w:t>
      </w:r>
      <w:r>
        <w:rPr>
          <w:bCs/>
        </w:rPr>
        <w:t>2015/16</w:t>
      </w:r>
      <w:r w:rsidRPr="00CC7E24">
        <w:rPr>
          <w:bCs/>
        </w:rPr>
        <w:t xml:space="preserve"> NZHS</w:t>
      </w:r>
      <w:r w:rsidRPr="00CC7E24">
        <w:t xml:space="preserve"> sample sizes and the total </w:t>
      </w:r>
      <w:r w:rsidR="00981544">
        <w:t>‘</w:t>
      </w:r>
      <w:r w:rsidRPr="00CC7E24">
        <w:t>usually resident</w:t>
      </w:r>
      <w:r w:rsidR="00981544">
        <w:t>’</w:t>
      </w:r>
      <w:r w:rsidRPr="00CC7E24">
        <w:t xml:space="preserve"> population counts</w:t>
      </w:r>
      <w:r>
        <w:t>,</w:t>
      </w:r>
      <w:r w:rsidRPr="00CC7E24">
        <w:t xml:space="preserve"> by </w:t>
      </w:r>
      <w:r>
        <w:t xml:space="preserve">sex, ethnicity, </w:t>
      </w:r>
      <w:proofErr w:type="gramStart"/>
      <w:r>
        <w:t>age</w:t>
      </w:r>
      <w:proofErr w:type="gramEnd"/>
      <w:r>
        <w:t xml:space="preserve"> and NZDep2013</w:t>
      </w:r>
      <w:r w:rsidRPr="00CC7E24">
        <w:t xml:space="preserve"> quintile.</w:t>
      </w:r>
    </w:p>
    <w:p w:rsidR="00DC0A66" w:rsidRPr="00CC7E24" w:rsidRDefault="00DC0A66" w:rsidP="003319F7">
      <w:pPr>
        <w:keepNext/>
      </w:pPr>
    </w:p>
    <w:p w:rsidR="00DC0A66" w:rsidRPr="00CC7E24" w:rsidRDefault="00DC0A66" w:rsidP="003319F7">
      <w:pPr>
        <w:pStyle w:val="Table"/>
      </w:pPr>
      <w:bookmarkStart w:id="283" w:name="_Ref339269445"/>
      <w:bookmarkStart w:id="284" w:name="_Toc339878418"/>
      <w:bookmarkStart w:id="285" w:name="_Toc372445588"/>
      <w:bookmarkStart w:id="286" w:name="_Toc403044043"/>
      <w:bookmarkStart w:id="287" w:name="_Toc467491569"/>
      <w:bookmarkStart w:id="288" w:name="_Toc467515172"/>
      <w:r w:rsidRPr="00805094">
        <w:t xml:space="preserve">Table </w:t>
      </w:r>
      <w:bookmarkEnd w:id="283"/>
      <w:r>
        <w:t>6</w:t>
      </w:r>
      <w:r w:rsidRPr="00805094">
        <w:t>:</w:t>
      </w:r>
      <w:r w:rsidRPr="00CC7E24">
        <w:t xml:space="preserve"> Sample sizes and population counts fo</w:t>
      </w:r>
      <w:r>
        <w:t>r children and adults, by sex,</w:t>
      </w:r>
      <w:r w:rsidRPr="00CC7E24">
        <w:t xml:space="preserve"> </w:t>
      </w:r>
      <w:r>
        <w:rPr>
          <w:bCs/>
        </w:rPr>
        <w:t>2015</w:t>
      </w:r>
      <w:r w:rsidRPr="00CC7E24">
        <w:rPr>
          <w:bCs/>
        </w:rPr>
        <w:t>/1</w:t>
      </w:r>
      <w:bookmarkEnd w:id="284"/>
      <w:bookmarkEnd w:id="285"/>
      <w:bookmarkEnd w:id="286"/>
      <w:r>
        <w:rPr>
          <w:bCs/>
        </w:rPr>
        <w:t>6</w:t>
      </w:r>
      <w:bookmarkEnd w:id="287"/>
      <w:bookmarkEnd w:id="288"/>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59"/>
        <w:gridCol w:w="1823"/>
        <w:gridCol w:w="1680"/>
        <w:gridCol w:w="1821"/>
        <w:gridCol w:w="1960"/>
      </w:tblGrid>
      <w:tr w:rsidR="00DC0A66" w:rsidRPr="009047FD" w:rsidTr="009047FD">
        <w:trPr>
          <w:cantSplit/>
        </w:trPr>
        <w:tc>
          <w:tcPr>
            <w:tcW w:w="1060" w:type="pct"/>
            <w:tcBorders>
              <w:top w:val="single" w:sz="4" w:space="0" w:color="auto"/>
              <w:bottom w:val="single" w:sz="4" w:space="0" w:color="auto"/>
            </w:tcBorders>
            <w:shd w:val="clear" w:color="auto" w:fill="auto"/>
          </w:tcPr>
          <w:p w:rsidR="00DC0A66" w:rsidRPr="009047FD" w:rsidRDefault="00DC0A66" w:rsidP="003319F7">
            <w:pPr>
              <w:pStyle w:val="TableText"/>
              <w:keepNext/>
              <w:rPr>
                <w:b/>
              </w:rPr>
            </w:pPr>
            <w:r w:rsidRPr="009047FD">
              <w:rPr>
                <w:b/>
              </w:rPr>
              <w:t>Population group</w:t>
            </w:r>
          </w:p>
        </w:tc>
        <w:tc>
          <w:tcPr>
            <w:tcW w:w="986" w:type="pct"/>
            <w:tcBorders>
              <w:top w:val="single" w:sz="4" w:space="0" w:color="auto"/>
              <w:bottom w:val="single" w:sz="4" w:space="0" w:color="auto"/>
              <w:right w:val="nil"/>
            </w:tcBorders>
            <w:shd w:val="clear" w:color="auto" w:fill="auto"/>
          </w:tcPr>
          <w:p w:rsidR="00DC0A66" w:rsidRPr="009047FD" w:rsidRDefault="00DC0A66" w:rsidP="003319F7">
            <w:pPr>
              <w:pStyle w:val="TableText"/>
              <w:keepNext/>
              <w:rPr>
                <w:b/>
              </w:rPr>
            </w:pPr>
            <w:r w:rsidRPr="009047FD">
              <w:rPr>
                <w:b/>
              </w:rPr>
              <w:t>Sex</w:t>
            </w:r>
          </w:p>
        </w:tc>
        <w:tc>
          <w:tcPr>
            <w:tcW w:w="909" w:type="pct"/>
            <w:tcBorders>
              <w:top w:val="single" w:sz="4" w:space="0" w:color="auto"/>
              <w:left w:val="nil"/>
              <w:bottom w:val="single" w:sz="4" w:space="0" w:color="auto"/>
              <w:right w:val="nil"/>
            </w:tcBorders>
            <w:shd w:val="clear" w:color="auto" w:fill="auto"/>
          </w:tcPr>
          <w:p w:rsidR="00DC0A66" w:rsidRPr="009047FD" w:rsidRDefault="00DC0A66" w:rsidP="003319F7">
            <w:pPr>
              <w:pStyle w:val="TableText"/>
              <w:keepNext/>
              <w:jc w:val="center"/>
              <w:rPr>
                <w:b/>
              </w:rPr>
            </w:pPr>
            <w:r w:rsidRPr="009047FD">
              <w:rPr>
                <w:b/>
              </w:rPr>
              <w:t>Interviews</w:t>
            </w:r>
          </w:p>
        </w:tc>
        <w:tc>
          <w:tcPr>
            <w:tcW w:w="985" w:type="pct"/>
            <w:tcBorders>
              <w:top w:val="single" w:sz="4" w:space="0" w:color="auto"/>
              <w:left w:val="nil"/>
              <w:bottom w:val="single" w:sz="4" w:space="0" w:color="auto"/>
              <w:right w:val="nil"/>
            </w:tcBorders>
            <w:shd w:val="clear" w:color="auto" w:fill="auto"/>
          </w:tcPr>
          <w:p w:rsidR="00DC0A66" w:rsidRPr="009047FD" w:rsidRDefault="00DC0A66" w:rsidP="003319F7">
            <w:pPr>
              <w:pStyle w:val="TableText"/>
              <w:keepNext/>
              <w:jc w:val="center"/>
              <w:rPr>
                <w:b/>
              </w:rPr>
            </w:pPr>
            <w:r w:rsidRPr="009047FD">
              <w:rPr>
                <w:b/>
              </w:rPr>
              <w:t>Measurements*</w:t>
            </w:r>
            <w:r w:rsidRPr="009047FD">
              <w:rPr>
                <w:b/>
              </w:rPr>
              <w:br/>
              <w:t>(2+ years)</w:t>
            </w:r>
          </w:p>
        </w:tc>
        <w:tc>
          <w:tcPr>
            <w:tcW w:w="1060" w:type="pct"/>
            <w:tcBorders>
              <w:top w:val="single" w:sz="4" w:space="0" w:color="auto"/>
              <w:left w:val="nil"/>
              <w:bottom w:val="single" w:sz="4" w:space="0" w:color="auto"/>
            </w:tcBorders>
            <w:shd w:val="clear" w:color="auto" w:fill="auto"/>
          </w:tcPr>
          <w:p w:rsidR="00DC0A66" w:rsidRPr="009047FD" w:rsidRDefault="00DC0A66" w:rsidP="003319F7">
            <w:pPr>
              <w:pStyle w:val="TableText"/>
              <w:keepNext/>
              <w:jc w:val="center"/>
              <w:rPr>
                <w:b/>
              </w:rPr>
            </w:pPr>
            <w:r w:rsidRPr="009047FD">
              <w:rPr>
                <w:b/>
              </w:rPr>
              <w:t>Population count</w:t>
            </w:r>
          </w:p>
        </w:tc>
      </w:tr>
      <w:tr w:rsidR="00DC0A66" w:rsidRPr="00CC7E24" w:rsidTr="009047FD">
        <w:trPr>
          <w:cantSplit/>
        </w:trPr>
        <w:tc>
          <w:tcPr>
            <w:tcW w:w="1060" w:type="pct"/>
            <w:vMerge w:val="restart"/>
            <w:tcBorders>
              <w:top w:val="single" w:sz="4" w:space="0" w:color="auto"/>
            </w:tcBorders>
            <w:shd w:val="clear" w:color="auto" w:fill="auto"/>
          </w:tcPr>
          <w:p w:rsidR="00DC0A66" w:rsidRPr="00CC7E24" w:rsidRDefault="00DC0A66" w:rsidP="003319F7">
            <w:pPr>
              <w:pStyle w:val="TableText"/>
              <w:keepNext/>
            </w:pPr>
            <w:r w:rsidRPr="00CC7E24">
              <w:t>Children</w:t>
            </w:r>
            <w:r>
              <w:br/>
            </w:r>
            <w:r w:rsidRPr="00CC7E24">
              <w:t>(0–14 years)</w:t>
            </w:r>
          </w:p>
        </w:tc>
        <w:tc>
          <w:tcPr>
            <w:tcW w:w="986" w:type="pct"/>
            <w:tcBorders>
              <w:top w:val="single" w:sz="4" w:space="0" w:color="auto"/>
              <w:bottom w:val="single" w:sz="4" w:space="0" w:color="A6A6A6" w:themeColor="background1" w:themeShade="A6"/>
              <w:right w:val="nil"/>
            </w:tcBorders>
            <w:shd w:val="clear" w:color="auto" w:fill="auto"/>
          </w:tcPr>
          <w:p w:rsidR="00DC0A66" w:rsidRPr="00CC7E24" w:rsidRDefault="00DC0A66" w:rsidP="003319F7">
            <w:pPr>
              <w:pStyle w:val="TableText"/>
              <w:keepNext/>
              <w:rPr>
                <w:rFonts w:cs="Arial"/>
              </w:rPr>
            </w:pPr>
            <w:r w:rsidRPr="00CC7E24">
              <w:rPr>
                <w:rFonts w:cs="Arial"/>
              </w:rPr>
              <w:t>Boys</w:t>
            </w:r>
          </w:p>
        </w:tc>
        <w:tc>
          <w:tcPr>
            <w:tcW w:w="909" w:type="pct"/>
            <w:tcBorders>
              <w:top w:val="single" w:sz="4" w:space="0" w:color="auto"/>
              <w:left w:val="nil"/>
              <w:bottom w:val="single" w:sz="4" w:space="0" w:color="A6A6A6" w:themeColor="background1" w:themeShade="A6"/>
              <w:right w:val="nil"/>
            </w:tcBorders>
            <w:shd w:val="clear" w:color="auto" w:fill="auto"/>
          </w:tcPr>
          <w:p w:rsidR="00DC0A66" w:rsidRPr="00CC7E24" w:rsidRDefault="00DC0A66" w:rsidP="003319F7">
            <w:pPr>
              <w:pStyle w:val="TableText"/>
              <w:keepNext/>
              <w:tabs>
                <w:tab w:val="decimal" w:pos="1024"/>
              </w:tabs>
              <w:rPr>
                <w:rFonts w:cs="Arial"/>
              </w:rPr>
            </w:pPr>
            <w:r>
              <w:rPr>
                <w:rFonts w:cs="Arial"/>
              </w:rPr>
              <w:t>2468</w:t>
            </w:r>
          </w:p>
        </w:tc>
        <w:tc>
          <w:tcPr>
            <w:tcW w:w="985" w:type="pct"/>
            <w:tcBorders>
              <w:top w:val="single" w:sz="4" w:space="0" w:color="auto"/>
              <w:left w:val="nil"/>
              <w:bottom w:val="single" w:sz="4" w:space="0" w:color="A6A6A6" w:themeColor="background1" w:themeShade="A6"/>
              <w:right w:val="nil"/>
            </w:tcBorders>
            <w:shd w:val="clear" w:color="auto" w:fill="auto"/>
          </w:tcPr>
          <w:p w:rsidR="00DC0A66" w:rsidRPr="00CC7E24" w:rsidRDefault="009047FD" w:rsidP="003319F7">
            <w:pPr>
              <w:pStyle w:val="TableText"/>
              <w:keepNext/>
              <w:tabs>
                <w:tab w:val="decimal" w:pos="1077"/>
              </w:tabs>
              <w:rPr>
                <w:rFonts w:cs="Arial"/>
              </w:rPr>
            </w:pPr>
            <w:r>
              <w:rPr>
                <w:rFonts w:cs="Arial"/>
                <w:bCs/>
              </w:rPr>
              <w:t>1697</w:t>
            </w:r>
          </w:p>
        </w:tc>
        <w:tc>
          <w:tcPr>
            <w:tcW w:w="1060" w:type="pct"/>
            <w:tcBorders>
              <w:top w:val="single" w:sz="4" w:space="0" w:color="auto"/>
              <w:left w:val="nil"/>
              <w:bottom w:val="single" w:sz="4" w:space="0" w:color="A6A6A6" w:themeColor="background1" w:themeShade="A6"/>
            </w:tcBorders>
            <w:shd w:val="clear" w:color="auto" w:fill="auto"/>
          </w:tcPr>
          <w:p w:rsidR="00DC0A66" w:rsidRPr="00CC7E24" w:rsidRDefault="00DC0A66" w:rsidP="003319F7">
            <w:pPr>
              <w:pStyle w:val="TableText"/>
              <w:keepNext/>
              <w:tabs>
                <w:tab w:val="decimal" w:pos="1394"/>
              </w:tabs>
              <w:rPr>
                <w:rFonts w:cs="Arial"/>
              </w:rPr>
            </w:pPr>
            <w:r>
              <w:rPr>
                <w:rFonts w:cs="Arial"/>
              </w:rPr>
              <w:t>468,187</w:t>
            </w:r>
          </w:p>
        </w:tc>
      </w:tr>
      <w:tr w:rsidR="00DC0A66" w:rsidRPr="00CC7E24" w:rsidTr="009047FD">
        <w:trPr>
          <w:cantSplit/>
        </w:trPr>
        <w:tc>
          <w:tcPr>
            <w:tcW w:w="1060" w:type="pct"/>
            <w:vMerge/>
            <w:shd w:val="clear" w:color="auto" w:fill="auto"/>
          </w:tcPr>
          <w:p w:rsidR="00DC0A66" w:rsidRPr="00CC7E24" w:rsidRDefault="00DC0A66" w:rsidP="009047FD">
            <w:pPr>
              <w:pStyle w:val="TableText"/>
            </w:pPr>
          </w:p>
        </w:tc>
        <w:tc>
          <w:tcPr>
            <w:tcW w:w="986" w:type="pct"/>
            <w:tcBorders>
              <w:top w:val="single" w:sz="4" w:space="0" w:color="A6A6A6" w:themeColor="background1" w:themeShade="A6"/>
              <w:bottom w:val="single" w:sz="4" w:space="0" w:color="auto"/>
              <w:right w:val="nil"/>
            </w:tcBorders>
            <w:shd w:val="clear" w:color="auto" w:fill="auto"/>
          </w:tcPr>
          <w:p w:rsidR="00DC0A66" w:rsidRPr="00CC7E24" w:rsidRDefault="00DC0A66" w:rsidP="009047FD">
            <w:pPr>
              <w:pStyle w:val="TableText"/>
              <w:rPr>
                <w:rFonts w:cs="Arial"/>
              </w:rPr>
            </w:pPr>
            <w:r w:rsidRPr="00CC7E24">
              <w:rPr>
                <w:rFonts w:cs="Arial"/>
              </w:rPr>
              <w:t>Girls</w:t>
            </w:r>
          </w:p>
        </w:tc>
        <w:tc>
          <w:tcPr>
            <w:tcW w:w="909" w:type="pct"/>
            <w:tcBorders>
              <w:top w:val="single" w:sz="4" w:space="0" w:color="A6A6A6" w:themeColor="background1" w:themeShade="A6"/>
              <w:left w:val="nil"/>
              <w:bottom w:val="single" w:sz="4" w:space="0" w:color="auto"/>
              <w:right w:val="nil"/>
            </w:tcBorders>
            <w:shd w:val="clear" w:color="auto" w:fill="auto"/>
          </w:tcPr>
          <w:p w:rsidR="00DC0A66" w:rsidRPr="00CC7E24" w:rsidRDefault="00DC0A66" w:rsidP="009047FD">
            <w:pPr>
              <w:pStyle w:val="TableText"/>
              <w:tabs>
                <w:tab w:val="decimal" w:pos="1024"/>
              </w:tabs>
              <w:rPr>
                <w:rFonts w:cs="Arial"/>
              </w:rPr>
            </w:pPr>
            <w:r>
              <w:rPr>
                <w:rFonts w:cs="Arial"/>
              </w:rPr>
              <w:t>2253</w:t>
            </w:r>
          </w:p>
        </w:tc>
        <w:tc>
          <w:tcPr>
            <w:tcW w:w="985" w:type="pct"/>
            <w:tcBorders>
              <w:top w:val="single" w:sz="4" w:space="0" w:color="A6A6A6" w:themeColor="background1" w:themeShade="A6"/>
              <w:left w:val="nil"/>
              <w:bottom w:val="single" w:sz="4" w:space="0" w:color="auto"/>
              <w:right w:val="nil"/>
            </w:tcBorders>
            <w:shd w:val="clear" w:color="auto" w:fill="auto"/>
          </w:tcPr>
          <w:p w:rsidR="00DC0A66" w:rsidRPr="00CC7E24" w:rsidRDefault="00DC0A66" w:rsidP="009047FD">
            <w:pPr>
              <w:pStyle w:val="TableText"/>
              <w:tabs>
                <w:tab w:val="decimal" w:pos="1077"/>
              </w:tabs>
              <w:rPr>
                <w:rFonts w:cs="Arial"/>
              </w:rPr>
            </w:pPr>
            <w:r>
              <w:rPr>
                <w:rFonts w:cs="Arial"/>
                <w:bCs/>
              </w:rPr>
              <w:t>1890</w:t>
            </w:r>
          </w:p>
        </w:tc>
        <w:tc>
          <w:tcPr>
            <w:tcW w:w="1060" w:type="pct"/>
            <w:tcBorders>
              <w:top w:val="single" w:sz="4" w:space="0" w:color="A6A6A6" w:themeColor="background1" w:themeShade="A6"/>
              <w:left w:val="nil"/>
              <w:bottom w:val="single" w:sz="4" w:space="0" w:color="auto"/>
            </w:tcBorders>
            <w:shd w:val="clear" w:color="auto" w:fill="auto"/>
          </w:tcPr>
          <w:p w:rsidR="00DC0A66" w:rsidRPr="00CC7E24" w:rsidRDefault="00DC0A66" w:rsidP="009047FD">
            <w:pPr>
              <w:pStyle w:val="TableText"/>
              <w:tabs>
                <w:tab w:val="decimal" w:pos="1394"/>
              </w:tabs>
              <w:rPr>
                <w:rFonts w:cs="Arial"/>
              </w:rPr>
            </w:pPr>
            <w:r>
              <w:rPr>
                <w:rFonts w:cs="Arial"/>
              </w:rPr>
              <w:t>444,870</w:t>
            </w:r>
          </w:p>
        </w:tc>
      </w:tr>
      <w:tr w:rsidR="00DC0A66" w:rsidRPr="00CC7E24" w:rsidTr="009047FD">
        <w:trPr>
          <w:cantSplit/>
        </w:trPr>
        <w:tc>
          <w:tcPr>
            <w:tcW w:w="1060" w:type="pct"/>
            <w:vMerge/>
            <w:tcBorders>
              <w:bottom w:val="single" w:sz="4" w:space="0" w:color="auto"/>
            </w:tcBorders>
            <w:shd w:val="clear" w:color="auto" w:fill="auto"/>
          </w:tcPr>
          <w:p w:rsidR="00DC0A66" w:rsidRPr="00CC7E24" w:rsidRDefault="00DC0A66" w:rsidP="009047FD">
            <w:pPr>
              <w:pStyle w:val="TableText"/>
            </w:pPr>
          </w:p>
        </w:tc>
        <w:tc>
          <w:tcPr>
            <w:tcW w:w="986" w:type="pct"/>
            <w:tcBorders>
              <w:top w:val="single" w:sz="4" w:space="0" w:color="auto"/>
              <w:bottom w:val="single" w:sz="4" w:space="0" w:color="auto"/>
              <w:right w:val="nil"/>
            </w:tcBorders>
            <w:shd w:val="clear" w:color="auto" w:fill="auto"/>
          </w:tcPr>
          <w:p w:rsidR="00DC0A66" w:rsidRPr="009047FD" w:rsidRDefault="00DC0A66" w:rsidP="009047FD">
            <w:pPr>
              <w:pStyle w:val="TableText"/>
              <w:rPr>
                <w:rFonts w:cs="Arial"/>
                <w:b/>
              </w:rPr>
            </w:pPr>
            <w:r w:rsidRPr="009047FD">
              <w:rPr>
                <w:rFonts w:cs="Arial"/>
                <w:b/>
              </w:rPr>
              <w:t>Total</w:t>
            </w:r>
          </w:p>
        </w:tc>
        <w:tc>
          <w:tcPr>
            <w:tcW w:w="909"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tabs>
                <w:tab w:val="decimal" w:pos="1024"/>
              </w:tabs>
              <w:rPr>
                <w:rFonts w:cs="Arial"/>
                <w:b/>
              </w:rPr>
            </w:pPr>
            <w:r w:rsidRPr="009047FD">
              <w:rPr>
                <w:rFonts w:cs="Arial"/>
                <w:b/>
              </w:rPr>
              <w:t>4721</w:t>
            </w:r>
          </w:p>
        </w:tc>
        <w:tc>
          <w:tcPr>
            <w:tcW w:w="985"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tabs>
                <w:tab w:val="decimal" w:pos="1077"/>
              </w:tabs>
              <w:rPr>
                <w:rFonts w:cs="Arial"/>
                <w:b/>
              </w:rPr>
            </w:pPr>
            <w:r w:rsidRPr="009047FD">
              <w:rPr>
                <w:rFonts w:cs="Arial"/>
                <w:b/>
                <w:bCs/>
              </w:rPr>
              <w:t>3587</w:t>
            </w:r>
          </w:p>
        </w:tc>
        <w:tc>
          <w:tcPr>
            <w:tcW w:w="1060" w:type="pct"/>
            <w:tcBorders>
              <w:top w:val="single" w:sz="4" w:space="0" w:color="auto"/>
              <w:left w:val="nil"/>
              <w:bottom w:val="single" w:sz="4" w:space="0" w:color="auto"/>
            </w:tcBorders>
            <w:shd w:val="clear" w:color="auto" w:fill="auto"/>
          </w:tcPr>
          <w:p w:rsidR="00DC0A66" w:rsidRPr="009047FD" w:rsidRDefault="00DC0A66" w:rsidP="009047FD">
            <w:pPr>
              <w:pStyle w:val="TableText"/>
              <w:tabs>
                <w:tab w:val="decimal" w:pos="1394"/>
              </w:tabs>
              <w:rPr>
                <w:rFonts w:cs="Arial"/>
                <w:b/>
              </w:rPr>
            </w:pPr>
            <w:r w:rsidRPr="009047FD">
              <w:rPr>
                <w:rFonts w:cs="Arial"/>
                <w:b/>
              </w:rPr>
              <w:t>913,057</w:t>
            </w:r>
          </w:p>
        </w:tc>
      </w:tr>
      <w:tr w:rsidR="00DC0A66" w:rsidRPr="00CC7E24" w:rsidTr="009047FD">
        <w:tblPrEx>
          <w:tblLook w:val="01E0" w:firstRow="1" w:lastRow="1" w:firstColumn="1" w:lastColumn="1" w:noHBand="0" w:noVBand="0"/>
        </w:tblPrEx>
        <w:trPr>
          <w:cantSplit/>
        </w:trPr>
        <w:tc>
          <w:tcPr>
            <w:tcW w:w="1060" w:type="pct"/>
            <w:vMerge w:val="restart"/>
            <w:tcBorders>
              <w:top w:val="single" w:sz="4" w:space="0" w:color="auto"/>
              <w:bottom w:val="nil"/>
            </w:tcBorders>
            <w:shd w:val="clear" w:color="auto" w:fill="auto"/>
          </w:tcPr>
          <w:p w:rsidR="00DC0A66" w:rsidRPr="00CC7E24" w:rsidRDefault="00DC0A66" w:rsidP="009047FD">
            <w:pPr>
              <w:pStyle w:val="TableText"/>
            </w:pPr>
            <w:r w:rsidRPr="00CC7E24">
              <w:t>Adults</w:t>
            </w:r>
            <w:r>
              <w:br/>
            </w:r>
            <w:r w:rsidRPr="00CC7E24">
              <w:t>(15 years and over)</w:t>
            </w:r>
          </w:p>
        </w:tc>
        <w:tc>
          <w:tcPr>
            <w:tcW w:w="986" w:type="pct"/>
            <w:tcBorders>
              <w:top w:val="single" w:sz="4" w:space="0" w:color="auto"/>
              <w:bottom w:val="single" w:sz="4" w:space="0" w:color="A6A6A6" w:themeColor="background1" w:themeShade="A6"/>
              <w:right w:val="nil"/>
            </w:tcBorders>
            <w:shd w:val="clear" w:color="auto" w:fill="auto"/>
          </w:tcPr>
          <w:p w:rsidR="00DC0A66" w:rsidRPr="00CC7E24" w:rsidRDefault="00DC0A66" w:rsidP="009047FD">
            <w:pPr>
              <w:pStyle w:val="TableText"/>
              <w:rPr>
                <w:rFonts w:cs="Arial"/>
              </w:rPr>
            </w:pPr>
            <w:r w:rsidRPr="00CC7E24">
              <w:rPr>
                <w:rFonts w:cs="Arial"/>
              </w:rPr>
              <w:t>Men</w:t>
            </w:r>
          </w:p>
        </w:tc>
        <w:tc>
          <w:tcPr>
            <w:tcW w:w="909" w:type="pct"/>
            <w:tcBorders>
              <w:top w:val="single" w:sz="4" w:space="0" w:color="auto"/>
              <w:left w:val="nil"/>
              <w:bottom w:val="single" w:sz="4" w:space="0" w:color="A6A6A6" w:themeColor="background1" w:themeShade="A6"/>
              <w:right w:val="nil"/>
            </w:tcBorders>
            <w:shd w:val="clear" w:color="auto" w:fill="auto"/>
          </w:tcPr>
          <w:p w:rsidR="00DC0A66" w:rsidRPr="00CC7E24" w:rsidRDefault="00DC0A66" w:rsidP="009047FD">
            <w:pPr>
              <w:pStyle w:val="TableText"/>
              <w:tabs>
                <w:tab w:val="decimal" w:pos="1024"/>
              </w:tabs>
              <w:rPr>
                <w:rFonts w:cs="Arial"/>
              </w:rPr>
            </w:pPr>
            <w:r>
              <w:rPr>
                <w:rFonts w:cs="Arial"/>
              </w:rPr>
              <w:t>6003</w:t>
            </w:r>
          </w:p>
        </w:tc>
        <w:tc>
          <w:tcPr>
            <w:tcW w:w="985" w:type="pct"/>
            <w:tcBorders>
              <w:top w:val="single" w:sz="4" w:space="0" w:color="auto"/>
              <w:left w:val="nil"/>
              <w:bottom w:val="single" w:sz="4" w:space="0" w:color="A6A6A6" w:themeColor="background1" w:themeShade="A6"/>
              <w:right w:val="nil"/>
            </w:tcBorders>
            <w:shd w:val="clear" w:color="auto" w:fill="auto"/>
          </w:tcPr>
          <w:p w:rsidR="00DC0A66" w:rsidRPr="00496E4F" w:rsidRDefault="00DC0A66" w:rsidP="009047FD">
            <w:pPr>
              <w:pStyle w:val="TableText"/>
              <w:tabs>
                <w:tab w:val="decimal" w:pos="1077"/>
              </w:tabs>
              <w:rPr>
                <w:rFonts w:cs="Arial"/>
                <w:bCs/>
              </w:rPr>
            </w:pPr>
            <w:r>
              <w:rPr>
                <w:rFonts w:cs="Arial"/>
                <w:bCs/>
              </w:rPr>
              <w:t>5774</w:t>
            </w:r>
          </w:p>
        </w:tc>
        <w:tc>
          <w:tcPr>
            <w:tcW w:w="1060" w:type="pct"/>
            <w:tcBorders>
              <w:top w:val="single" w:sz="4" w:space="0" w:color="auto"/>
              <w:left w:val="nil"/>
              <w:bottom w:val="single" w:sz="4" w:space="0" w:color="A6A6A6" w:themeColor="background1" w:themeShade="A6"/>
            </w:tcBorders>
            <w:shd w:val="clear" w:color="auto" w:fill="auto"/>
          </w:tcPr>
          <w:p w:rsidR="00DC0A66" w:rsidRPr="00CC7E24" w:rsidRDefault="00DC0A66" w:rsidP="009047FD">
            <w:pPr>
              <w:pStyle w:val="TableText"/>
              <w:tabs>
                <w:tab w:val="decimal" w:pos="1394"/>
              </w:tabs>
              <w:rPr>
                <w:rFonts w:cs="Arial"/>
              </w:rPr>
            </w:pPr>
            <w:r>
              <w:rPr>
                <w:rFonts w:cs="Arial"/>
              </w:rPr>
              <w:t>1,820,088</w:t>
            </w:r>
          </w:p>
        </w:tc>
      </w:tr>
      <w:tr w:rsidR="00DC0A66" w:rsidRPr="00CC7E24" w:rsidTr="009047FD">
        <w:tblPrEx>
          <w:tblLook w:val="01E0" w:firstRow="1" w:lastRow="1" w:firstColumn="1" w:lastColumn="1" w:noHBand="0" w:noVBand="0"/>
        </w:tblPrEx>
        <w:trPr>
          <w:cantSplit/>
        </w:trPr>
        <w:tc>
          <w:tcPr>
            <w:tcW w:w="1060" w:type="pct"/>
            <w:vMerge/>
            <w:tcBorders>
              <w:top w:val="nil"/>
            </w:tcBorders>
            <w:shd w:val="clear" w:color="auto" w:fill="auto"/>
          </w:tcPr>
          <w:p w:rsidR="00DC0A66" w:rsidRPr="00CC7E24" w:rsidRDefault="00DC0A66" w:rsidP="009047FD">
            <w:pPr>
              <w:pStyle w:val="TableText"/>
            </w:pPr>
          </w:p>
        </w:tc>
        <w:tc>
          <w:tcPr>
            <w:tcW w:w="986" w:type="pct"/>
            <w:tcBorders>
              <w:top w:val="single" w:sz="4" w:space="0" w:color="A6A6A6" w:themeColor="background1" w:themeShade="A6"/>
              <w:bottom w:val="single" w:sz="4" w:space="0" w:color="auto"/>
              <w:right w:val="nil"/>
            </w:tcBorders>
            <w:shd w:val="clear" w:color="auto" w:fill="auto"/>
          </w:tcPr>
          <w:p w:rsidR="00DC0A66" w:rsidRPr="00CC7E24" w:rsidRDefault="00DC0A66" w:rsidP="009047FD">
            <w:pPr>
              <w:pStyle w:val="TableText"/>
              <w:rPr>
                <w:rFonts w:cs="Arial"/>
              </w:rPr>
            </w:pPr>
            <w:r w:rsidRPr="00CC7E24">
              <w:rPr>
                <w:rFonts w:cs="Arial"/>
              </w:rPr>
              <w:t>Women</w:t>
            </w:r>
          </w:p>
        </w:tc>
        <w:tc>
          <w:tcPr>
            <w:tcW w:w="909" w:type="pct"/>
            <w:tcBorders>
              <w:top w:val="single" w:sz="4" w:space="0" w:color="A6A6A6" w:themeColor="background1" w:themeShade="A6"/>
              <w:left w:val="nil"/>
              <w:bottom w:val="single" w:sz="4" w:space="0" w:color="auto"/>
              <w:right w:val="nil"/>
            </w:tcBorders>
            <w:shd w:val="clear" w:color="auto" w:fill="auto"/>
          </w:tcPr>
          <w:p w:rsidR="00DC0A66" w:rsidRPr="00CC7E24" w:rsidRDefault="00DC0A66" w:rsidP="009047FD">
            <w:pPr>
              <w:pStyle w:val="TableText"/>
              <w:tabs>
                <w:tab w:val="decimal" w:pos="1024"/>
              </w:tabs>
              <w:rPr>
                <w:rFonts w:cs="Arial"/>
              </w:rPr>
            </w:pPr>
            <w:r>
              <w:rPr>
                <w:rFonts w:cs="Arial"/>
              </w:rPr>
              <w:t>7778</w:t>
            </w:r>
          </w:p>
        </w:tc>
        <w:tc>
          <w:tcPr>
            <w:tcW w:w="985" w:type="pct"/>
            <w:tcBorders>
              <w:top w:val="single" w:sz="4" w:space="0" w:color="A6A6A6" w:themeColor="background1" w:themeShade="A6"/>
              <w:left w:val="nil"/>
              <w:bottom w:val="single" w:sz="4" w:space="0" w:color="auto"/>
              <w:right w:val="nil"/>
            </w:tcBorders>
            <w:shd w:val="clear" w:color="auto" w:fill="auto"/>
          </w:tcPr>
          <w:p w:rsidR="00DC0A66" w:rsidRPr="00CC7E24" w:rsidRDefault="00DC0A66" w:rsidP="009047FD">
            <w:pPr>
              <w:pStyle w:val="TableText"/>
              <w:tabs>
                <w:tab w:val="decimal" w:pos="1077"/>
              </w:tabs>
              <w:rPr>
                <w:rFonts w:cs="Arial"/>
              </w:rPr>
            </w:pPr>
            <w:r>
              <w:rPr>
                <w:rFonts w:cs="Arial"/>
                <w:bCs/>
              </w:rPr>
              <w:t>7148</w:t>
            </w:r>
          </w:p>
        </w:tc>
        <w:tc>
          <w:tcPr>
            <w:tcW w:w="1060" w:type="pct"/>
            <w:tcBorders>
              <w:top w:val="single" w:sz="4" w:space="0" w:color="A6A6A6" w:themeColor="background1" w:themeShade="A6"/>
              <w:left w:val="nil"/>
              <w:bottom w:val="single" w:sz="4" w:space="0" w:color="auto"/>
            </w:tcBorders>
            <w:shd w:val="clear" w:color="auto" w:fill="auto"/>
          </w:tcPr>
          <w:p w:rsidR="00DC0A66" w:rsidRPr="00CC7E24" w:rsidRDefault="00DC0A66" w:rsidP="009047FD">
            <w:pPr>
              <w:pStyle w:val="TableText"/>
              <w:tabs>
                <w:tab w:val="decimal" w:pos="1394"/>
              </w:tabs>
              <w:rPr>
                <w:rFonts w:cs="Arial"/>
              </w:rPr>
            </w:pPr>
            <w:r>
              <w:rPr>
                <w:rFonts w:cs="Arial"/>
              </w:rPr>
              <w:t>1,920,815</w:t>
            </w:r>
          </w:p>
        </w:tc>
      </w:tr>
      <w:tr w:rsidR="00DC0A66" w:rsidRPr="00CC7E24" w:rsidTr="009047FD">
        <w:tblPrEx>
          <w:tblLook w:val="01E0" w:firstRow="1" w:lastRow="1" w:firstColumn="1" w:lastColumn="1" w:noHBand="0" w:noVBand="0"/>
        </w:tblPrEx>
        <w:trPr>
          <w:cantSplit/>
        </w:trPr>
        <w:tc>
          <w:tcPr>
            <w:tcW w:w="1060" w:type="pct"/>
            <w:vMerge/>
            <w:tcBorders>
              <w:bottom w:val="single" w:sz="4" w:space="0" w:color="auto"/>
            </w:tcBorders>
            <w:shd w:val="clear" w:color="auto" w:fill="auto"/>
          </w:tcPr>
          <w:p w:rsidR="00DC0A66" w:rsidRPr="00CC7E24" w:rsidRDefault="00DC0A66" w:rsidP="009047FD">
            <w:pPr>
              <w:pStyle w:val="TableText"/>
            </w:pPr>
          </w:p>
        </w:tc>
        <w:tc>
          <w:tcPr>
            <w:tcW w:w="986" w:type="pct"/>
            <w:tcBorders>
              <w:top w:val="single" w:sz="4" w:space="0" w:color="auto"/>
              <w:bottom w:val="single" w:sz="4" w:space="0" w:color="auto"/>
              <w:right w:val="nil"/>
            </w:tcBorders>
            <w:shd w:val="clear" w:color="auto" w:fill="auto"/>
          </w:tcPr>
          <w:p w:rsidR="00DC0A66" w:rsidRPr="009047FD" w:rsidRDefault="00DC0A66" w:rsidP="009047FD">
            <w:pPr>
              <w:pStyle w:val="TableText"/>
              <w:rPr>
                <w:rFonts w:cs="Arial"/>
                <w:b/>
              </w:rPr>
            </w:pPr>
            <w:r w:rsidRPr="009047FD">
              <w:rPr>
                <w:rFonts w:cs="Arial"/>
                <w:b/>
              </w:rPr>
              <w:t>Total</w:t>
            </w:r>
          </w:p>
        </w:tc>
        <w:tc>
          <w:tcPr>
            <w:tcW w:w="909"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tabs>
                <w:tab w:val="decimal" w:pos="1024"/>
              </w:tabs>
              <w:rPr>
                <w:rFonts w:cs="Arial"/>
                <w:b/>
              </w:rPr>
            </w:pPr>
            <w:r w:rsidRPr="009047FD">
              <w:rPr>
                <w:rFonts w:cs="Arial"/>
                <w:b/>
              </w:rPr>
              <w:t>13,781</w:t>
            </w:r>
          </w:p>
        </w:tc>
        <w:tc>
          <w:tcPr>
            <w:tcW w:w="985"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tabs>
                <w:tab w:val="decimal" w:pos="1077"/>
              </w:tabs>
              <w:rPr>
                <w:rFonts w:cs="Arial"/>
                <w:b/>
              </w:rPr>
            </w:pPr>
            <w:r w:rsidRPr="009047FD">
              <w:rPr>
                <w:rFonts w:cs="Arial"/>
                <w:b/>
                <w:bCs/>
              </w:rPr>
              <w:t>12,922</w:t>
            </w:r>
          </w:p>
        </w:tc>
        <w:tc>
          <w:tcPr>
            <w:tcW w:w="1060" w:type="pct"/>
            <w:tcBorders>
              <w:top w:val="single" w:sz="4" w:space="0" w:color="auto"/>
              <w:left w:val="nil"/>
              <w:bottom w:val="single" w:sz="4" w:space="0" w:color="auto"/>
            </w:tcBorders>
            <w:shd w:val="clear" w:color="auto" w:fill="auto"/>
          </w:tcPr>
          <w:p w:rsidR="00DC0A66" w:rsidRPr="009047FD" w:rsidRDefault="00DC0A66" w:rsidP="009047FD">
            <w:pPr>
              <w:pStyle w:val="TableText"/>
              <w:tabs>
                <w:tab w:val="decimal" w:pos="1394"/>
              </w:tabs>
              <w:rPr>
                <w:rFonts w:cs="Arial"/>
                <w:b/>
              </w:rPr>
            </w:pPr>
            <w:r w:rsidRPr="009047FD">
              <w:rPr>
                <w:rFonts w:cs="Arial"/>
                <w:b/>
              </w:rPr>
              <w:t>3,740,903</w:t>
            </w:r>
          </w:p>
        </w:tc>
      </w:tr>
    </w:tbl>
    <w:p w:rsidR="009047FD" w:rsidRDefault="00DC0A66" w:rsidP="009047FD">
      <w:pPr>
        <w:pStyle w:val="Note"/>
      </w:pPr>
      <w:r w:rsidRPr="002201DB">
        <w:t>Note:</w:t>
      </w:r>
    </w:p>
    <w:p w:rsidR="00DC0A66" w:rsidRPr="00263797" w:rsidRDefault="009047FD" w:rsidP="009047FD">
      <w:pPr>
        <w:pStyle w:val="Note"/>
      </w:pPr>
      <w:r>
        <w:t>*</w:t>
      </w:r>
      <w:r>
        <w:tab/>
      </w:r>
      <w:r w:rsidR="00DC0A66" w:rsidRPr="002201DB">
        <w:t>These numbers are based on the number of respondents with valid height and weight measurements, and they exclude 201 pregnant women</w:t>
      </w:r>
      <w:r w:rsidR="00DC0A66">
        <w:t>,</w:t>
      </w:r>
      <w:r w:rsidR="00DC0A66" w:rsidRPr="002201DB">
        <w:t xml:space="preserve"> who are not eligible to be measured</w:t>
      </w:r>
      <w:r w:rsidR="00DC0A66">
        <w:t>.</w:t>
      </w:r>
    </w:p>
    <w:p w:rsidR="00DC0A66" w:rsidRPr="00BA350C" w:rsidRDefault="00DC0A66" w:rsidP="009047FD"/>
    <w:p w:rsidR="00DC0A66" w:rsidRPr="00CC7E24" w:rsidRDefault="00DC0A66" w:rsidP="009047FD">
      <w:pPr>
        <w:pStyle w:val="Table"/>
      </w:pPr>
      <w:bookmarkStart w:id="289" w:name="_Toc339878419"/>
      <w:bookmarkStart w:id="290" w:name="_Toc372445589"/>
      <w:bookmarkStart w:id="291" w:name="_Toc403044044"/>
      <w:bookmarkStart w:id="292" w:name="_Toc467491570"/>
      <w:bookmarkStart w:id="293" w:name="_Toc467515173"/>
      <w:r>
        <w:t>Table 7</w:t>
      </w:r>
      <w:r w:rsidRPr="00805094">
        <w:t>:</w:t>
      </w:r>
      <w:r w:rsidRPr="00CC7E24">
        <w:t xml:space="preserve"> Sample sizes and population counts for children and adults, by ethnic group</w:t>
      </w:r>
      <w:r>
        <w:t>,</w:t>
      </w:r>
      <w:r w:rsidRPr="00CC7E24">
        <w:t xml:space="preserve"> </w:t>
      </w:r>
      <w:r>
        <w:rPr>
          <w:bCs/>
        </w:rPr>
        <w:t>2015</w:t>
      </w:r>
      <w:r w:rsidRPr="00CC7E24">
        <w:rPr>
          <w:bCs/>
        </w:rPr>
        <w:t>/1</w:t>
      </w:r>
      <w:bookmarkEnd w:id="289"/>
      <w:bookmarkEnd w:id="290"/>
      <w:bookmarkEnd w:id="291"/>
      <w:r>
        <w:rPr>
          <w:bCs/>
        </w:rPr>
        <w:t>6</w:t>
      </w:r>
      <w:bookmarkEnd w:id="292"/>
      <w:bookmarkEnd w:id="293"/>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1843"/>
        <w:gridCol w:w="1701"/>
        <w:gridCol w:w="1842"/>
        <w:gridCol w:w="1985"/>
      </w:tblGrid>
      <w:tr w:rsidR="00DC0A66" w:rsidRPr="009047FD" w:rsidTr="009047FD">
        <w:trPr>
          <w:cantSplit/>
        </w:trPr>
        <w:tc>
          <w:tcPr>
            <w:tcW w:w="1985" w:type="dxa"/>
            <w:tcBorders>
              <w:top w:val="single" w:sz="4" w:space="0" w:color="auto"/>
              <w:bottom w:val="single" w:sz="4" w:space="0" w:color="auto"/>
            </w:tcBorders>
            <w:shd w:val="clear" w:color="auto" w:fill="auto"/>
          </w:tcPr>
          <w:p w:rsidR="00DC0A66" w:rsidRPr="009047FD" w:rsidRDefault="00DC0A66" w:rsidP="009047FD">
            <w:pPr>
              <w:pStyle w:val="TableText"/>
              <w:rPr>
                <w:b/>
              </w:rPr>
            </w:pPr>
            <w:r w:rsidRPr="009047FD">
              <w:rPr>
                <w:b/>
              </w:rPr>
              <w:t>Ethnic group</w:t>
            </w:r>
            <w:r w:rsidRPr="009047FD">
              <w:rPr>
                <w:b/>
              </w:rPr>
              <w:br/>
              <w:t>(total response)</w:t>
            </w:r>
          </w:p>
        </w:tc>
        <w:tc>
          <w:tcPr>
            <w:tcW w:w="1843" w:type="dxa"/>
            <w:tcBorders>
              <w:top w:val="single" w:sz="4" w:space="0" w:color="auto"/>
              <w:bottom w:val="single" w:sz="4" w:space="0" w:color="auto"/>
              <w:right w:val="nil"/>
            </w:tcBorders>
            <w:shd w:val="clear" w:color="auto" w:fill="auto"/>
          </w:tcPr>
          <w:p w:rsidR="00DC0A66" w:rsidRPr="009047FD" w:rsidRDefault="00DC0A66" w:rsidP="009047FD">
            <w:pPr>
              <w:pStyle w:val="TableText"/>
              <w:rPr>
                <w:b/>
              </w:rPr>
            </w:pPr>
            <w:r w:rsidRPr="009047FD">
              <w:rPr>
                <w:b/>
              </w:rPr>
              <w:t>Population group</w:t>
            </w:r>
          </w:p>
        </w:tc>
        <w:tc>
          <w:tcPr>
            <w:tcW w:w="1701" w:type="dxa"/>
            <w:tcBorders>
              <w:top w:val="single" w:sz="4" w:space="0" w:color="auto"/>
              <w:left w:val="nil"/>
              <w:bottom w:val="single" w:sz="4" w:space="0" w:color="auto"/>
              <w:right w:val="nil"/>
            </w:tcBorders>
            <w:shd w:val="clear" w:color="auto" w:fill="auto"/>
          </w:tcPr>
          <w:p w:rsidR="00DC0A66" w:rsidRPr="009047FD" w:rsidRDefault="00DC0A66" w:rsidP="009047FD">
            <w:pPr>
              <w:pStyle w:val="TableText"/>
              <w:jc w:val="center"/>
              <w:rPr>
                <w:b/>
              </w:rPr>
            </w:pPr>
            <w:r w:rsidRPr="009047FD">
              <w:rPr>
                <w:b/>
              </w:rPr>
              <w:t>Interviews</w:t>
            </w:r>
          </w:p>
        </w:tc>
        <w:tc>
          <w:tcPr>
            <w:tcW w:w="1842" w:type="dxa"/>
            <w:tcBorders>
              <w:top w:val="single" w:sz="4" w:space="0" w:color="auto"/>
              <w:left w:val="nil"/>
              <w:bottom w:val="single" w:sz="4" w:space="0" w:color="auto"/>
              <w:right w:val="nil"/>
            </w:tcBorders>
            <w:shd w:val="clear" w:color="auto" w:fill="auto"/>
          </w:tcPr>
          <w:p w:rsidR="00DC0A66" w:rsidRPr="009047FD" w:rsidRDefault="00DC0A66" w:rsidP="009047FD">
            <w:pPr>
              <w:pStyle w:val="TableText"/>
              <w:jc w:val="center"/>
              <w:rPr>
                <w:b/>
              </w:rPr>
            </w:pPr>
            <w:r w:rsidRPr="009047FD">
              <w:rPr>
                <w:b/>
              </w:rPr>
              <w:t>Measurements*</w:t>
            </w:r>
            <w:r w:rsidRPr="009047FD">
              <w:rPr>
                <w:b/>
              </w:rPr>
              <w:br/>
              <w:t>(2+ years)</w:t>
            </w:r>
          </w:p>
        </w:tc>
        <w:tc>
          <w:tcPr>
            <w:tcW w:w="1985" w:type="dxa"/>
            <w:tcBorders>
              <w:top w:val="single" w:sz="4" w:space="0" w:color="auto"/>
              <w:left w:val="nil"/>
              <w:bottom w:val="single" w:sz="4" w:space="0" w:color="auto"/>
            </w:tcBorders>
            <w:shd w:val="clear" w:color="auto" w:fill="auto"/>
          </w:tcPr>
          <w:p w:rsidR="00DC0A66" w:rsidRPr="009047FD" w:rsidRDefault="00DC0A66" w:rsidP="009047FD">
            <w:pPr>
              <w:pStyle w:val="TableText"/>
              <w:jc w:val="center"/>
              <w:rPr>
                <w:b/>
              </w:rPr>
            </w:pPr>
            <w:r w:rsidRPr="009047FD">
              <w:rPr>
                <w:b/>
              </w:rPr>
              <w:t>Population count</w:t>
            </w:r>
          </w:p>
        </w:tc>
      </w:tr>
      <w:tr w:rsidR="00DC0A66" w:rsidRPr="00CC7E24" w:rsidTr="009047FD">
        <w:trPr>
          <w:cantSplit/>
        </w:trPr>
        <w:tc>
          <w:tcPr>
            <w:tcW w:w="1985" w:type="dxa"/>
            <w:vMerge w:val="restart"/>
            <w:tcBorders>
              <w:top w:val="single" w:sz="4" w:space="0" w:color="auto"/>
            </w:tcBorders>
            <w:shd w:val="clear" w:color="auto" w:fill="auto"/>
          </w:tcPr>
          <w:p w:rsidR="00DC0A66" w:rsidRPr="00CC7E24" w:rsidRDefault="00DC0A66" w:rsidP="009047FD">
            <w:pPr>
              <w:pStyle w:val="TableText"/>
            </w:pPr>
            <w:r w:rsidRPr="00CC7E24">
              <w:t>European/Other</w:t>
            </w:r>
          </w:p>
        </w:tc>
        <w:tc>
          <w:tcPr>
            <w:tcW w:w="1843" w:type="dxa"/>
            <w:tcBorders>
              <w:top w:val="single" w:sz="4" w:space="0" w:color="auto"/>
              <w:bottom w:val="nil"/>
              <w:right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1701" w:type="dxa"/>
            <w:tcBorders>
              <w:top w:val="single" w:sz="4" w:space="0" w:color="auto"/>
              <w:left w:val="nil"/>
              <w:bottom w:val="nil"/>
              <w:right w:val="nil"/>
            </w:tcBorders>
            <w:shd w:val="clear" w:color="auto" w:fill="auto"/>
          </w:tcPr>
          <w:p w:rsidR="00DC0A66" w:rsidRPr="00CC7E24" w:rsidRDefault="00DC0A66" w:rsidP="009047FD">
            <w:pPr>
              <w:pStyle w:val="TableText"/>
              <w:tabs>
                <w:tab w:val="decimal" w:pos="1076"/>
              </w:tabs>
              <w:rPr>
                <w:rFonts w:cs="Arial"/>
              </w:rPr>
            </w:pPr>
            <w:r>
              <w:rPr>
                <w:rFonts w:cs="Arial"/>
              </w:rPr>
              <w:t>3181</w:t>
            </w:r>
          </w:p>
        </w:tc>
        <w:tc>
          <w:tcPr>
            <w:tcW w:w="1842" w:type="dxa"/>
            <w:tcBorders>
              <w:top w:val="single" w:sz="4" w:space="0" w:color="auto"/>
              <w:left w:val="nil"/>
              <w:bottom w:val="nil"/>
              <w:right w:val="nil"/>
            </w:tcBorders>
            <w:shd w:val="clear" w:color="auto" w:fill="auto"/>
          </w:tcPr>
          <w:p w:rsidR="00DC0A66" w:rsidRPr="00CC7E24" w:rsidRDefault="00DC0A66" w:rsidP="009047FD">
            <w:pPr>
              <w:pStyle w:val="TableText"/>
              <w:tabs>
                <w:tab w:val="decimal" w:pos="1103"/>
              </w:tabs>
              <w:rPr>
                <w:rFonts w:cs="Arial"/>
              </w:rPr>
            </w:pPr>
            <w:r>
              <w:rPr>
                <w:rFonts w:cs="Arial"/>
                <w:bCs/>
              </w:rPr>
              <w:t>2421</w:t>
            </w:r>
          </w:p>
        </w:tc>
        <w:tc>
          <w:tcPr>
            <w:tcW w:w="1985" w:type="dxa"/>
            <w:tcBorders>
              <w:top w:val="single" w:sz="4" w:space="0" w:color="auto"/>
              <w:left w:val="nil"/>
              <w:bottom w:val="nil"/>
            </w:tcBorders>
            <w:shd w:val="clear" w:color="auto" w:fill="auto"/>
          </w:tcPr>
          <w:p w:rsidR="00DC0A66" w:rsidRPr="00CC7E24" w:rsidRDefault="00DC0A66" w:rsidP="009047FD">
            <w:pPr>
              <w:pStyle w:val="TableText"/>
              <w:tabs>
                <w:tab w:val="decimal" w:pos="1277"/>
              </w:tabs>
              <w:rPr>
                <w:rFonts w:cs="Arial"/>
              </w:rPr>
            </w:pPr>
            <w:r>
              <w:rPr>
                <w:rFonts w:cs="Arial"/>
              </w:rPr>
              <w:t>651,664</w:t>
            </w:r>
          </w:p>
        </w:tc>
      </w:tr>
      <w:tr w:rsidR="00DC0A66" w:rsidRPr="00CC7E24" w:rsidTr="009047FD">
        <w:trPr>
          <w:cantSplit/>
        </w:trPr>
        <w:tc>
          <w:tcPr>
            <w:tcW w:w="1985" w:type="dxa"/>
            <w:vMerge/>
            <w:tcBorders>
              <w:bottom w:val="single" w:sz="4" w:space="0" w:color="A6A6A6"/>
            </w:tcBorders>
            <w:shd w:val="clear" w:color="auto" w:fill="auto"/>
          </w:tcPr>
          <w:p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rsidR="00DC0A66" w:rsidRPr="00CC7E24" w:rsidRDefault="00DC0A66" w:rsidP="009047FD">
            <w:pPr>
              <w:pStyle w:val="TableT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076"/>
              </w:tabs>
              <w:rPr>
                <w:rFonts w:cs="Arial"/>
              </w:rPr>
            </w:pPr>
            <w:r>
              <w:rPr>
                <w:rFonts w:cs="Arial"/>
              </w:rPr>
              <w:t>10,435</w:t>
            </w:r>
          </w:p>
        </w:tc>
        <w:tc>
          <w:tcPr>
            <w:tcW w:w="1842"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103"/>
              </w:tabs>
              <w:rPr>
                <w:rFonts w:cs="Arial"/>
              </w:rPr>
            </w:pPr>
            <w:r>
              <w:rPr>
                <w:rFonts w:cs="Arial"/>
                <w:bCs/>
              </w:rPr>
              <w:t>9827</w:t>
            </w:r>
          </w:p>
        </w:tc>
        <w:tc>
          <w:tcPr>
            <w:tcW w:w="1985" w:type="dxa"/>
            <w:tcBorders>
              <w:top w:val="nil"/>
              <w:left w:val="nil"/>
              <w:bottom w:val="single" w:sz="4" w:space="0" w:color="A6A6A6"/>
            </w:tcBorders>
            <w:shd w:val="clear" w:color="auto" w:fill="auto"/>
          </w:tcPr>
          <w:p w:rsidR="00DC0A66" w:rsidRPr="00CC7E24" w:rsidRDefault="00DC0A66" w:rsidP="009047FD">
            <w:pPr>
              <w:pStyle w:val="TableText"/>
              <w:tabs>
                <w:tab w:val="decimal" w:pos="1277"/>
              </w:tabs>
              <w:rPr>
                <w:rFonts w:cs="Arial"/>
              </w:rPr>
            </w:pPr>
            <w:r>
              <w:rPr>
                <w:rFonts w:cs="Arial"/>
              </w:rPr>
              <w:t>2,871,096</w:t>
            </w:r>
          </w:p>
        </w:tc>
      </w:tr>
      <w:tr w:rsidR="00DC0A66" w:rsidRPr="00CC7E24" w:rsidTr="009047FD">
        <w:trPr>
          <w:cantSplit/>
        </w:trPr>
        <w:tc>
          <w:tcPr>
            <w:tcW w:w="1985" w:type="dxa"/>
            <w:vMerge w:val="restart"/>
            <w:tcBorders>
              <w:top w:val="single" w:sz="4" w:space="0" w:color="A6A6A6"/>
              <w:bottom w:val="nil"/>
            </w:tcBorders>
            <w:shd w:val="clear" w:color="auto" w:fill="auto"/>
          </w:tcPr>
          <w:p w:rsidR="00DC0A66" w:rsidRPr="00CC7E24" w:rsidRDefault="00DC0A66" w:rsidP="009047FD">
            <w:pPr>
              <w:pStyle w:val="TableText"/>
            </w:pPr>
            <w:r w:rsidRPr="00CC7E24">
              <w:t>Māori</w:t>
            </w:r>
          </w:p>
        </w:tc>
        <w:tc>
          <w:tcPr>
            <w:tcW w:w="1843" w:type="dxa"/>
            <w:tcBorders>
              <w:top w:val="single" w:sz="4" w:space="0" w:color="A6A6A6"/>
              <w:bottom w:val="nil"/>
              <w:right w:val="nil"/>
            </w:tcBorders>
            <w:shd w:val="clear" w:color="auto" w:fill="auto"/>
          </w:tcPr>
          <w:p w:rsidR="00DC0A66" w:rsidRPr="00CC7E24" w:rsidRDefault="00DC0A66" w:rsidP="009047FD">
            <w:pPr>
              <w:pStyle w:val="TableText"/>
              <w:rPr>
                <w:rFonts w:cs="Arial"/>
              </w:rPr>
            </w:pPr>
            <w:r>
              <w:rPr>
                <w:rFonts w:cs="Arial"/>
              </w:rPr>
              <w:t>Children</w:t>
            </w:r>
          </w:p>
        </w:tc>
        <w:tc>
          <w:tcPr>
            <w:tcW w:w="1701" w:type="dxa"/>
            <w:tcBorders>
              <w:top w:val="single" w:sz="4" w:space="0" w:color="A6A6A6"/>
              <w:left w:val="nil"/>
              <w:bottom w:val="nil"/>
              <w:right w:val="nil"/>
            </w:tcBorders>
            <w:shd w:val="clear" w:color="auto" w:fill="auto"/>
          </w:tcPr>
          <w:p w:rsidR="00DC0A66" w:rsidRPr="00CC7E24" w:rsidRDefault="00DC0A66" w:rsidP="009047FD">
            <w:pPr>
              <w:pStyle w:val="TableText"/>
              <w:tabs>
                <w:tab w:val="decimal" w:pos="1076"/>
              </w:tabs>
              <w:rPr>
                <w:rFonts w:cs="Arial"/>
              </w:rPr>
            </w:pPr>
            <w:r>
              <w:rPr>
                <w:rFonts w:cs="Arial"/>
              </w:rPr>
              <w:t>1722</w:t>
            </w:r>
          </w:p>
        </w:tc>
        <w:tc>
          <w:tcPr>
            <w:tcW w:w="1842" w:type="dxa"/>
            <w:tcBorders>
              <w:top w:val="single" w:sz="4" w:space="0" w:color="A6A6A6"/>
              <w:left w:val="nil"/>
              <w:bottom w:val="nil"/>
              <w:right w:val="nil"/>
            </w:tcBorders>
            <w:shd w:val="clear" w:color="auto" w:fill="auto"/>
          </w:tcPr>
          <w:p w:rsidR="00DC0A66" w:rsidRPr="00BA350C" w:rsidRDefault="00DC0A66" w:rsidP="009047FD">
            <w:pPr>
              <w:pStyle w:val="TableText"/>
              <w:tabs>
                <w:tab w:val="decimal" w:pos="1103"/>
              </w:tabs>
              <w:rPr>
                <w:rFonts w:cs="Arial"/>
                <w:bCs/>
              </w:rPr>
            </w:pPr>
            <w:r>
              <w:rPr>
                <w:rFonts w:cs="Arial"/>
                <w:bCs/>
              </w:rPr>
              <w:t>1288</w:t>
            </w:r>
          </w:p>
        </w:tc>
        <w:tc>
          <w:tcPr>
            <w:tcW w:w="1985" w:type="dxa"/>
            <w:tcBorders>
              <w:top w:val="single" w:sz="4" w:space="0" w:color="A6A6A6"/>
              <w:left w:val="nil"/>
              <w:bottom w:val="nil"/>
            </w:tcBorders>
            <w:shd w:val="clear" w:color="auto" w:fill="auto"/>
          </w:tcPr>
          <w:p w:rsidR="00DC0A66" w:rsidRPr="00CC7E24" w:rsidRDefault="00DC0A66" w:rsidP="009047FD">
            <w:pPr>
              <w:pStyle w:val="TableText"/>
              <w:tabs>
                <w:tab w:val="decimal" w:pos="1277"/>
              </w:tabs>
              <w:rPr>
                <w:rFonts w:cs="Arial"/>
              </w:rPr>
            </w:pPr>
            <w:r>
              <w:rPr>
                <w:rFonts w:cs="Arial"/>
              </w:rPr>
              <w:t>234,943</w:t>
            </w:r>
          </w:p>
        </w:tc>
      </w:tr>
      <w:tr w:rsidR="00DC0A66" w:rsidRPr="00CC7E24" w:rsidTr="009047FD">
        <w:trPr>
          <w:cantSplit/>
        </w:trPr>
        <w:tc>
          <w:tcPr>
            <w:tcW w:w="1985" w:type="dxa"/>
            <w:vMerge/>
            <w:tcBorders>
              <w:top w:val="nil"/>
              <w:bottom w:val="single" w:sz="4" w:space="0" w:color="A6A6A6"/>
            </w:tcBorders>
            <w:shd w:val="clear" w:color="auto" w:fill="auto"/>
          </w:tcPr>
          <w:p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rsidR="00DC0A66" w:rsidRPr="00CC7E24" w:rsidRDefault="00DC0A66" w:rsidP="009047FD">
            <w:pPr>
              <w:pStyle w:val="TableText"/>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076"/>
              </w:tabs>
              <w:rPr>
                <w:rFonts w:cs="Arial"/>
              </w:rPr>
            </w:pPr>
            <w:r>
              <w:rPr>
                <w:rFonts w:cs="Arial"/>
              </w:rPr>
              <w:t>2770</w:t>
            </w:r>
          </w:p>
        </w:tc>
        <w:tc>
          <w:tcPr>
            <w:tcW w:w="1842"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103"/>
              </w:tabs>
              <w:rPr>
                <w:rFonts w:cs="Arial"/>
              </w:rPr>
            </w:pPr>
            <w:r>
              <w:rPr>
                <w:rFonts w:cs="Arial"/>
                <w:bCs/>
              </w:rPr>
              <w:t>2557</w:t>
            </w:r>
          </w:p>
        </w:tc>
        <w:tc>
          <w:tcPr>
            <w:tcW w:w="1985" w:type="dxa"/>
            <w:tcBorders>
              <w:top w:val="nil"/>
              <w:left w:val="nil"/>
              <w:bottom w:val="single" w:sz="4" w:space="0" w:color="A6A6A6"/>
            </w:tcBorders>
            <w:shd w:val="clear" w:color="auto" w:fill="auto"/>
          </w:tcPr>
          <w:p w:rsidR="00DC0A66" w:rsidRPr="00CC7E24" w:rsidRDefault="00DC0A66" w:rsidP="009047FD">
            <w:pPr>
              <w:pStyle w:val="TableText"/>
              <w:tabs>
                <w:tab w:val="decimal" w:pos="1277"/>
              </w:tabs>
              <w:rPr>
                <w:rFonts w:cs="Arial"/>
              </w:rPr>
            </w:pPr>
            <w:r>
              <w:rPr>
                <w:rFonts w:cs="Arial"/>
              </w:rPr>
              <w:t>484,302</w:t>
            </w:r>
          </w:p>
        </w:tc>
      </w:tr>
      <w:tr w:rsidR="00DC0A66" w:rsidRPr="00CC7E24" w:rsidTr="009047FD">
        <w:trPr>
          <w:cantSplit/>
        </w:trPr>
        <w:tc>
          <w:tcPr>
            <w:tcW w:w="1985" w:type="dxa"/>
            <w:vMerge w:val="restart"/>
            <w:tcBorders>
              <w:top w:val="single" w:sz="4" w:space="0" w:color="A6A6A6"/>
            </w:tcBorders>
            <w:shd w:val="clear" w:color="auto" w:fill="auto"/>
          </w:tcPr>
          <w:p w:rsidR="00DC0A66" w:rsidRPr="00CC7E24" w:rsidRDefault="00DC0A66" w:rsidP="009047FD">
            <w:pPr>
              <w:pStyle w:val="TableText"/>
            </w:pPr>
            <w:r w:rsidRPr="00CC7E24">
              <w:t>Pacific</w:t>
            </w:r>
          </w:p>
        </w:tc>
        <w:tc>
          <w:tcPr>
            <w:tcW w:w="1843" w:type="dxa"/>
            <w:tcBorders>
              <w:top w:val="single" w:sz="4" w:space="0" w:color="A6A6A6"/>
              <w:bottom w:val="nil"/>
              <w:right w:val="nil"/>
            </w:tcBorders>
            <w:shd w:val="clear" w:color="auto" w:fill="auto"/>
          </w:tcPr>
          <w:p w:rsidR="00DC0A66" w:rsidRPr="00CC7E24" w:rsidRDefault="00DC0A66" w:rsidP="009047FD">
            <w:pPr>
              <w:pStyle w:val="TableText"/>
              <w:rPr>
                <w:rFonts w:cs="Arial"/>
              </w:rPr>
            </w:pPr>
            <w:r w:rsidRPr="00CC7E24">
              <w:t>Children</w:t>
            </w:r>
          </w:p>
        </w:tc>
        <w:tc>
          <w:tcPr>
            <w:tcW w:w="1701" w:type="dxa"/>
            <w:tcBorders>
              <w:top w:val="single" w:sz="4" w:space="0" w:color="A6A6A6"/>
              <w:left w:val="nil"/>
              <w:bottom w:val="nil"/>
              <w:right w:val="nil"/>
            </w:tcBorders>
            <w:shd w:val="clear" w:color="auto" w:fill="auto"/>
          </w:tcPr>
          <w:p w:rsidR="00DC0A66" w:rsidRPr="00CC7E24" w:rsidRDefault="00DC0A66" w:rsidP="009047FD">
            <w:pPr>
              <w:pStyle w:val="TableText"/>
              <w:tabs>
                <w:tab w:val="decimal" w:pos="1076"/>
              </w:tabs>
              <w:rPr>
                <w:rFonts w:cs="Arial"/>
              </w:rPr>
            </w:pPr>
            <w:r>
              <w:rPr>
                <w:rFonts w:cs="Arial"/>
              </w:rPr>
              <w:t>693</w:t>
            </w:r>
          </w:p>
        </w:tc>
        <w:tc>
          <w:tcPr>
            <w:tcW w:w="1842" w:type="dxa"/>
            <w:tcBorders>
              <w:top w:val="single" w:sz="4" w:space="0" w:color="A6A6A6"/>
              <w:left w:val="nil"/>
              <w:bottom w:val="nil"/>
              <w:right w:val="nil"/>
            </w:tcBorders>
            <w:shd w:val="clear" w:color="auto" w:fill="auto"/>
          </w:tcPr>
          <w:p w:rsidR="00DC0A66" w:rsidRPr="00CC7E24" w:rsidRDefault="00DC0A66" w:rsidP="009047FD">
            <w:pPr>
              <w:pStyle w:val="TableText"/>
              <w:tabs>
                <w:tab w:val="decimal" w:pos="1103"/>
              </w:tabs>
              <w:rPr>
                <w:rFonts w:cs="Arial"/>
              </w:rPr>
            </w:pPr>
            <w:r>
              <w:rPr>
                <w:rFonts w:cs="Arial"/>
                <w:bCs/>
              </w:rPr>
              <w:t>528</w:t>
            </w:r>
          </w:p>
        </w:tc>
        <w:tc>
          <w:tcPr>
            <w:tcW w:w="1985" w:type="dxa"/>
            <w:tcBorders>
              <w:top w:val="single" w:sz="4" w:space="0" w:color="A6A6A6"/>
              <w:left w:val="nil"/>
              <w:bottom w:val="nil"/>
            </w:tcBorders>
            <w:shd w:val="clear" w:color="auto" w:fill="auto"/>
          </w:tcPr>
          <w:p w:rsidR="00DC0A66" w:rsidRPr="00CC7E24" w:rsidRDefault="00DC0A66" w:rsidP="009047FD">
            <w:pPr>
              <w:pStyle w:val="TableText"/>
              <w:tabs>
                <w:tab w:val="decimal" w:pos="1277"/>
              </w:tabs>
              <w:rPr>
                <w:rFonts w:cs="Arial"/>
              </w:rPr>
            </w:pPr>
            <w:r>
              <w:rPr>
                <w:rFonts w:cs="Arial"/>
              </w:rPr>
              <w:t>107,198</w:t>
            </w:r>
          </w:p>
        </w:tc>
      </w:tr>
      <w:tr w:rsidR="00DC0A66" w:rsidRPr="00CC7E24" w:rsidTr="009047FD">
        <w:trPr>
          <w:cantSplit/>
        </w:trPr>
        <w:tc>
          <w:tcPr>
            <w:tcW w:w="1985" w:type="dxa"/>
            <w:vMerge/>
            <w:tcBorders>
              <w:bottom w:val="single" w:sz="4" w:space="0" w:color="A6A6A6"/>
            </w:tcBorders>
            <w:shd w:val="clear" w:color="auto" w:fill="auto"/>
          </w:tcPr>
          <w:p w:rsidR="00DC0A66" w:rsidRPr="00CC7E24" w:rsidRDefault="00DC0A66" w:rsidP="009047FD">
            <w:pPr>
              <w:pStyle w:val="TableText"/>
            </w:pPr>
          </w:p>
        </w:tc>
        <w:tc>
          <w:tcPr>
            <w:tcW w:w="1843" w:type="dxa"/>
            <w:tcBorders>
              <w:top w:val="nil"/>
              <w:bottom w:val="single" w:sz="4" w:space="0" w:color="A6A6A6"/>
              <w:right w:val="nil"/>
            </w:tcBorders>
            <w:shd w:val="clear" w:color="auto" w:fill="auto"/>
          </w:tcPr>
          <w:p w:rsidR="00DC0A66" w:rsidRPr="00CC7E24" w:rsidRDefault="00DC0A66" w:rsidP="009047FD">
            <w:pPr>
              <w:pStyle w:val="TableText"/>
              <w:rPr>
                <w:rFonts w:cs="Arial"/>
              </w:rPr>
            </w:pPr>
            <w:r w:rsidRPr="00CC7E24">
              <w:t>Adults</w:t>
            </w:r>
          </w:p>
        </w:tc>
        <w:tc>
          <w:tcPr>
            <w:tcW w:w="1701"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076"/>
              </w:tabs>
              <w:rPr>
                <w:rFonts w:cs="Arial"/>
              </w:rPr>
            </w:pPr>
            <w:r>
              <w:rPr>
                <w:rFonts w:cs="Arial"/>
              </w:rPr>
              <w:t>838</w:t>
            </w:r>
          </w:p>
        </w:tc>
        <w:tc>
          <w:tcPr>
            <w:tcW w:w="1842" w:type="dxa"/>
            <w:tcBorders>
              <w:top w:val="nil"/>
              <w:left w:val="nil"/>
              <w:bottom w:val="single" w:sz="4" w:space="0" w:color="A6A6A6"/>
              <w:right w:val="nil"/>
            </w:tcBorders>
            <w:shd w:val="clear" w:color="auto" w:fill="auto"/>
          </w:tcPr>
          <w:p w:rsidR="00DC0A66" w:rsidRPr="00CC7E24" w:rsidRDefault="00DC0A66" w:rsidP="009047FD">
            <w:pPr>
              <w:pStyle w:val="TableText"/>
              <w:tabs>
                <w:tab w:val="decimal" w:pos="1103"/>
              </w:tabs>
              <w:rPr>
                <w:rFonts w:cs="Arial"/>
              </w:rPr>
            </w:pPr>
            <w:r>
              <w:rPr>
                <w:rFonts w:cs="Arial"/>
                <w:bCs/>
              </w:rPr>
              <w:t>785</w:t>
            </w:r>
          </w:p>
        </w:tc>
        <w:tc>
          <w:tcPr>
            <w:tcW w:w="1985" w:type="dxa"/>
            <w:tcBorders>
              <w:top w:val="nil"/>
              <w:left w:val="nil"/>
              <w:bottom w:val="single" w:sz="4" w:space="0" w:color="A6A6A6"/>
            </w:tcBorders>
            <w:shd w:val="clear" w:color="auto" w:fill="auto"/>
          </w:tcPr>
          <w:p w:rsidR="00DC0A66" w:rsidRPr="00CC7E24" w:rsidRDefault="00DC0A66" w:rsidP="009047FD">
            <w:pPr>
              <w:pStyle w:val="TableText"/>
              <w:tabs>
                <w:tab w:val="decimal" w:pos="1277"/>
              </w:tabs>
              <w:rPr>
                <w:rFonts w:cs="Arial"/>
              </w:rPr>
            </w:pPr>
            <w:r>
              <w:rPr>
                <w:rFonts w:cs="Arial"/>
              </w:rPr>
              <w:t>223,000</w:t>
            </w:r>
          </w:p>
        </w:tc>
      </w:tr>
      <w:tr w:rsidR="00DC0A66" w:rsidRPr="00CC7E24" w:rsidTr="009047FD">
        <w:trPr>
          <w:cantSplit/>
        </w:trPr>
        <w:tc>
          <w:tcPr>
            <w:tcW w:w="1985" w:type="dxa"/>
            <w:vMerge w:val="restart"/>
            <w:tcBorders>
              <w:top w:val="single" w:sz="4" w:space="0" w:color="A6A6A6"/>
              <w:bottom w:val="nil"/>
            </w:tcBorders>
            <w:shd w:val="clear" w:color="auto" w:fill="auto"/>
          </w:tcPr>
          <w:p w:rsidR="00DC0A66" w:rsidRPr="00CC7E24" w:rsidRDefault="00DC0A66" w:rsidP="009047FD">
            <w:pPr>
              <w:pStyle w:val="TableText"/>
            </w:pPr>
            <w:r w:rsidRPr="00CC7E24">
              <w:t>Asian</w:t>
            </w:r>
          </w:p>
        </w:tc>
        <w:tc>
          <w:tcPr>
            <w:tcW w:w="1843" w:type="dxa"/>
            <w:tcBorders>
              <w:top w:val="single" w:sz="4" w:space="0" w:color="A6A6A6"/>
              <w:bottom w:val="nil"/>
              <w:right w:val="nil"/>
            </w:tcBorders>
            <w:shd w:val="clear" w:color="auto" w:fill="auto"/>
          </w:tcPr>
          <w:p w:rsidR="00DC0A66" w:rsidRPr="00CC7E24" w:rsidRDefault="00DC0A66" w:rsidP="009047FD">
            <w:pPr>
              <w:pStyle w:val="TableText"/>
              <w:rPr>
                <w:rFonts w:cs="Arial"/>
              </w:rPr>
            </w:pPr>
            <w:r w:rsidRPr="00CC7E24">
              <w:t>Children</w:t>
            </w:r>
          </w:p>
        </w:tc>
        <w:tc>
          <w:tcPr>
            <w:tcW w:w="1701" w:type="dxa"/>
            <w:tcBorders>
              <w:top w:val="single" w:sz="4" w:space="0" w:color="A6A6A6"/>
              <w:left w:val="nil"/>
              <w:bottom w:val="nil"/>
              <w:right w:val="nil"/>
            </w:tcBorders>
            <w:shd w:val="clear" w:color="auto" w:fill="auto"/>
          </w:tcPr>
          <w:p w:rsidR="00DC0A66" w:rsidRPr="00CC7E24" w:rsidRDefault="00DC0A66" w:rsidP="009047FD">
            <w:pPr>
              <w:pStyle w:val="TableText"/>
              <w:tabs>
                <w:tab w:val="decimal" w:pos="1076"/>
              </w:tabs>
              <w:rPr>
                <w:rFonts w:cs="Arial"/>
              </w:rPr>
            </w:pPr>
            <w:r>
              <w:rPr>
                <w:rFonts w:cs="Arial"/>
              </w:rPr>
              <w:t>583</w:t>
            </w:r>
          </w:p>
        </w:tc>
        <w:tc>
          <w:tcPr>
            <w:tcW w:w="1842" w:type="dxa"/>
            <w:tcBorders>
              <w:top w:val="single" w:sz="4" w:space="0" w:color="A6A6A6"/>
              <w:left w:val="nil"/>
              <w:bottom w:val="nil"/>
              <w:right w:val="nil"/>
            </w:tcBorders>
            <w:shd w:val="clear" w:color="auto" w:fill="auto"/>
          </w:tcPr>
          <w:p w:rsidR="00DC0A66" w:rsidRPr="00CC7E24" w:rsidRDefault="00DC0A66" w:rsidP="009047FD">
            <w:pPr>
              <w:pStyle w:val="TableText"/>
              <w:tabs>
                <w:tab w:val="decimal" w:pos="1103"/>
              </w:tabs>
              <w:rPr>
                <w:rFonts w:cs="Arial"/>
              </w:rPr>
            </w:pPr>
            <w:r>
              <w:rPr>
                <w:rFonts w:cs="Arial"/>
                <w:bCs/>
              </w:rPr>
              <w:t>433</w:t>
            </w:r>
          </w:p>
        </w:tc>
        <w:tc>
          <w:tcPr>
            <w:tcW w:w="1985" w:type="dxa"/>
            <w:tcBorders>
              <w:top w:val="single" w:sz="4" w:space="0" w:color="A6A6A6"/>
              <w:left w:val="nil"/>
              <w:bottom w:val="nil"/>
            </w:tcBorders>
            <w:shd w:val="clear" w:color="auto" w:fill="auto"/>
          </w:tcPr>
          <w:p w:rsidR="00DC0A66" w:rsidRPr="00CC7E24" w:rsidRDefault="00DC0A66" w:rsidP="009047FD">
            <w:pPr>
              <w:pStyle w:val="TableText"/>
              <w:tabs>
                <w:tab w:val="decimal" w:pos="1277"/>
              </w:tabs>
              <w:rPr>
                <w:rFonts w:cs="Arial"/>
              </w:rPr>
            </w:pPr>
            <w:r>
              <w:rPr>
                <w:rFonts w:cs="Arial"/>
              </w:rPr>
              <w:t>122,493</w:t>
            </w:r>
          </w:p>
        </w:tc>
      </w:tr>
      <w:tr w:rsidR="00DC0A66" w:rsidRPr="00CC7E24" w:rsidTr="009047FD">
        <w:trPr>
          <w:cantSplit/>
        </w:trPr>
        <w:tc>
          <w:tcPr>
            <w:tcW w:w="1985" w:type="dxa"/>
            <w:vMerge/>
            <w:tcBorders>
              <w:top w:val="nil"/>
              <w:bottom w:val="single" w:sz="4" w:space="0" w:color="auto"/>
            </w:tcBorders>
            <w:shd w:val="clear" w:color="auto" w:fill="auto"/>
          </w:tcPr>
          <w:p w:rsidR="00DC0A66" w:rsidRPr="00CC7E24" w:rsidRDefault="00DC0A66" w:rsidP="009047FD">
            <w:pPr>
              <w:pStyle w:val="TableText"/>
            </w:pPr>
          </w:p>
        </w:tc>
        <w:tc>
          <w:tcPr>
            <w:tcW w:w="1843" w:type="dxa"/>
            <w:tcBorders>
              <w:top w:val="nil"/>
              <w:bottom w:val="single" w:sz="4" w:space="0" w:color="auto"/>
              <w:right w:val="nil"/>
            </w:tcBorders>
            <w:shd w:val="clear" w:color="auto" w:fill="auto"/>
          </w:tcPr>
          <w:p w:rsidR="00DC0A66" w:rsidRPr="00CC7E24" w:rsidRDefault="00DC0A66" w:rsidP="009047FD">
            <w:pPr>
              <w:pStyle w:val="TableText"/>
              <w:rPr>
                <w:rFonts w:cs="Arial"/>
              </w:rPr>
            </w:pPr>
            <w:r w:rsidRPr="00CC7E24">
              <w:t>Adults</w:t>
            </w:r>
          </w:p>
        </w:tc>
        <w:tc>
          <w:tcPr>
            <w:tcW w:w="1701" w:type="dxa"/>
            <w:tcBorders>
              <w:top w:val="nil"/>
              <w:left w:val="nil"/>
              <w:bottom w:val="single" w:sz="4" w:space="0" w:color="auto"/>
              <w:right w:val="nil"/>
            </w:tcBorders>
            <w:shd w:val="clear" w:color="auto" w:fill="auto"/>
          </w:tcPr>
          <w:p w:rsidR="00DC0A66" w:rsidRPr="00CC7E24" w:rsidRDefault="00DC0A66" w:rsidP="009047FD">
            <w:pPr>
              <w:pStyle w:val="TableText"/>
              <w:tabs>
                <w:tab w:val="decimal" w:pos="1076"/>
              </w:tabs>
              <w:rPr>
                <w:rFonts w:cs="Arial"/>
              </w:rPr>
            </w:pPr>
            <w:r>
              <w:rPr>
                <w:rFonts w:cs="Arial"/>
              </w:rPr>
              <w:t>1236</w:t>
            </w:r>
          </w:p>
        </w:tc>
        <w:tc>
          <w:tcPr>
            <w:tcW w:w="1842" w:type="dxa"/>
            <w:tcBorders>
              <w:top w:val="nil"/>
              <w:left w:val="nil"/>
              <w:bottom w:val="single" w:sz="4" w:space="0" w:color="auto"/>
              <w:right w:val="nil"/>
            </w:tcBorders>
            <w:shd w:val="clear" w:color="auto" w:fill="auto"/>
          </w:tcPr>
          <w:p w:rsidR="00DC0A66" w:rsidRPr="00CC7E24" w:rsidRDefault="00DC0A66" w:rsidP="009047FD">
            <w:pPr>
              <w:pStyle w:val="TableText"/>
              <w:tabs>
                <w:tab w:val="decimal" w:pos="1103"/>
              </w:tabs>
              <w:rPr>
                <w:rFonts w:cs="Arial"/>
              </w:rPr>
            </w:pPr>
            <w:r>
              <w:rPr>
                <w:rFonts w:cs="Arial"/>
                <w:bCs/>
              </w:rPr>
              <w:t>1158</w:t>
            </w:r>
          </w:p>
        </w:tc>
        <w:tc>
          <w:tcPr>
            <w:tcW w:w="1985" w:type="dxa"/>
            <w:tcBorders>
              <w:top w:val="nil"/>
              <w:left w:val="nil"/>
              <w:bottom w:val="single" w:sz="4" w:space="0" w:color="auto"/>
            </w:tcBorders>
            <w:shd w:val="clear" w:color="auto" w:fill="auto"/>
          </w:tcPr>
          <w:p w:rsidR="00DC0A66" w:rsidRPr="00CC7E24" w:rsidRDefault="00DC0A66" w:rsidP="009047FD">
            <w:pPr>
              <w:pStyle w:val="TableText"/>
              <w:tabs>
                <w:tab w:val="decimal" w:pos="1277"/>
              </w:tabs>
              <w:rPr>
                <w:rFonts w:cs="Arial"/>
              </w:rPr>
            </w:pPr>
            <w:r>
              <w:rPr>
                <w:rFonts w:cs="Arial"/>
              </w:rPr>
              <w:t>450,250</w:t>
            </w:r>
          </w:p>
        </w:tc>
      </w:tr>
    </w:tbl>
    <w:p w:rsidR="00981544" w:rsidRDefault="00DC0A66" w:rsidP="009047FD">
      <w:pPr>
        <w:pStyle w:val="Note"/>
      </w:pPr>
      <w:r w:rsidRPr="002201DB">
        <w:t>Note:</w:t>
      </w:r>
    </w:p>
    <w:p w:rsidR="00DC0A66" w:rsidRPr="00263797" w:rsidRDefault="00DC0A66" w:rsidP="009047FD">
      <w:pPr>
        <w:pStyle w:val="Note"/>
      </w:pPr>
      <w:r>
        <w:t>*</w:t>
      </w:r>
      <w:r w:rsidR="009047FD">
        <w:tab/>
      </w:r>
      <w:r w:rsidRPr="002201DB">
        <w:t>These numbers are based on the number of respondents with valid height and weight measurements, and they exclude 201 pregnant women</w:t>
      </w:r>
      <w:r>
        <w:t>,</w:t>
      </w:r>
      <w:r w:rsidRPr="002201DB">
        <w:t xml:space="preserve"> who are not eligible to be measured</w:t>
      </w:r>
      <w:r>
        <w:t>.</w:t>
      </w:r>
    </w:p>
    <w:p w:rsidR="00DC0A66" w:rsidRDefault="00DC0A66" w:rsidP="009047FD"/>
    <w:p w:rsidR="00DC0A66" w:rsidRPr="00B17F0E" w:rsidRDefault="00DC0A66" w:rsidP="009047FD">
      <w:pPr>
        <w:pStyle w:val="Table"/>
      </w:pPr>
      <w:bookmarkStart w:id="294" w:name="_Toc339878420"/>
      <w:bookmarkStart w:id="295" w:name="_Toc372445590"/>
      <w:bookmarkStart w:id="296" w:name="_Toc403044045"/>
      <w:bookmarkStart w:id="297" w:name="_Toc467491571"/>
      <w:bookmarkStart w:id="298" w:name="_Toc467515174"/>
      <w:r>
        <w:lastRenderedPageBreak/>
        <w:t>Table 8</w:t>
      </w:r>
      <w:r w:rsidRPr="00805094">
        <w:t>:</w:t>
      </w:r>
      <w:r w:rsidRPr="00CC7E24">
        <w:t xml:space="preserve"> Sample sizes and populati</w:t>
      </w:r>
      <w:r>
        <w:t>on counts, by age group,</w:t>
      </w:r>
      <w:r w:rsidRPr="00CC7E24">
        <w:t xml:space="preserve"> </w:t>
      </w:r>
      <w:r>
        <w:rPr>
          <w:bCs/>
        </w:rPr>
        <w:t>2015</w:t>
      </w:r>
      <w:r w:rsidRPr="00CC7E24">
        <w:rPr>
          <w:bCs/>
        </w:rPr>
        <w:t>/1</w:t>
      </w:r>
      <w:bookmarkEnd w:id="294"/>
      <w:bookmarkEnd w:id="295"/>
      <w:bookmarkEnd w:id="296"/>
      <w:r>
        <w:rPr>
          <w:bCs/>
        </w:rPr>
        <w:t>6</w:t>
      </w:r>
      <w:bookmarkEnd w:id="297"/>
      <w:bookmarkEnd w:id="298"/>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2457"/>
        <w:gridCol w:w="2457"/>
        <w:gridCol w:w="2457"/>
      </w:tblGrid>
      <w:tr w:rsidR="00DC0A66" w:rsidRPr="009047FD" w:rsidTr="009047FD">
        <w:trPr>
          <w:cantSplit/>
        </w:trPr>
        <w:tc>
          <w:tcPr>
            <w:tcW w:w="1985" w:type="dxa"/>
            <w:tcBorders>
              <w:top w:val="single" w:sz="4" w:space="0" w:color="auto"/>
              <w:bottom w:val="single" w:sz="4" w:space="0" w:color="auto"/>
            </w:tcBorders>
            <w:shd w:val="clear" w:color="auto" w:fill="auto"/>
          </w:tcPr>
          <w:p w:rsidR="00DC0A66" w:rsidRPr="009047FD" w:rsidRDefault="00DC0A66" w:rsidP="003319F7">
            <w:pPr>
              <w:pStyle w:val="TableText"/>
              <w:keepNext/>
              <w:rPr>
                <w:b/>
              </w:rPr>
            </w:pPr>
            <w:r w:rsidRPr="009047FD">
              <w:rPr>
                <w:b/>
              </w:rPr>
              <w:t>Age group (years)</w:t>
            </w:r>
          </w:p>
        </w:tc>
        <w:tc>
          <w:tcPr>
            <w:tcW w:w="2457" w:type="dxa"/>
            <w:tcBorders>
              <w:top w:val="single" w:sz="4" w:space="0" w:color="auto"/>
              <w:bottom w:val="single" w:sz="4" w:space="0" w:color="auto"/>
            </w:tcBorders>
            <w:shd w:val="clear" w:color="auto" w:fill="auto"/>
          </w:tcPr>
          <w:p w:rsidR="00DC0A66" w:rsidRPr="009047FD" w:rsidRDefault="00DC0A66" w:rsidP="003319F7">
            <w:pPr>
              <w:pStyle w:val="TableText"/>
              <w:keepNext/>
              <w:jc w:val="center"/>
              <w:rPr>
                <w:b/>
              </w:rPr>
            </w:pPr>
            <w:r w:rsidRPr="009047FD">
              <w:rPr>
                <w:b/>
              </w:rPr>
              <w:t>Interviews</w:t>
            </w:r>
          </w:p>
        </w:tc>
        <w:tc>
          <w:tcPr>
            <w:tcW w:w="2457" w:type="dxa"/>
            <w:tcBorders>
              <w:top w:val="single" w:sz="4" w:space="0" w:color="auto"/>
              <w:bottom w:val="single" w:sz="4" w:space="0" w:color="auto"/>
            </w:tcBorders>
            <w:shd w:val="clear" w:color="auto" w:fill="auto"/>
          </w:tcPr>
          <w:p w:rsidR="00DC0A66" w:rsidRPr="009047FD" w:rsidRDefault="00DC0A66" w:rsidP="003319F7">
            <w:pPr>
              <w:pStyle w:val="TableText"/>
              <w:keepNext/>
              <w:jc w:val="center"/>
              <w:rPr>
                <w:b/>
              </w:rPr>
            </w:pPr>
            <w:r w:rsidRPr="009047FD">
              <w:rPr>
                <w:b/>
              </w:rPr>
              <w:t>Measurements* (2+ years)</w:t>
            </w:r>
          </w:p>
        </w:tc>
        <w:tc>
          <w:tcPr>
            <w:tcW w:w="2457" w:type="dxa"/>
            <w:tcBorders>
              <w:top w:val="single" w:sz="4" w:space="0" w:color="auto"/>
              <w:bottom w:val="single" w:sz="4" w:space="0" w:color="auto"/>
            </w:tcBorders>
            <w:shd w:val="clear" w:color="auto" w:fill="auto"/>
          </w:tcPr>
          <w:p w:rsidR="00DC0A66" w:rsidRPr="009047FD" w:rsidRDefault="00DC0A66" w:rsidP="003319F7">
            <w:pPr>
              <w:pStyle w:val="TableText"/>
              <w:keepNext/>
              <w:jc w:val="center"/>
              <w:rPr>
                <w:b/>
              </w:rPr>
            </w:pPr>
            <w:r w:rsidRPr="009047FD">
              <w:rPr>
                <w:b/>
              </w:rPr>
              <w:t>Population count</w:t>
            </w:r>
          </w:p>
        </w:tc>
      </w:tr>
      <w:tr w:rsidR="00DC0A66" w:rsidRPr="00CC7E24" w:rsidTr="009047FD">
        <w:trPr>
          <w:cantSplit/>
        </w:trPr>
        <w:tc>
          <w:tcPr>
            <w:tcW w:w="1985" w:type="dxa"/>
            <w:tcBorders>
              <w:top w:val="single" w:sz="4" w:space="0" w:color="auto"/>
              <w:bottom w:val="single" w:sz="4" w:space="0" w:color="A6A6A6" w:themeColor="background1" w:themeShade="A6"/>
            </w:tcBorders>
            <w:shd w:val="clear" w:color="auto" w:fill="auto"/>
          </w:tcPr>
          <w:p w:rsidR="00DC0A66" w:rsidRPr="00CC7E24" w:rsidRDefault="00DC0A66" w:rsidP="003319F7">
            <w:pPr>
              <w:pStyle w:val="TableText"/>
              <w:keepNext/>
            </w:pPr>
            <w:r w:rsidRPr="00CC7E24">
              <w:t>0–4</w:t>
            </w:r>
          </w:p>
        </w:tc>
        <w:tc>
          <w:tcPr>
            <w:tcW w:w="2457" w:type="dxa"/>
            <w:tcBorders>
              <w:top w:val="single" w:sz="4" w:space="0" w:color="auto"/>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1711</w:t>
            </w:r>
          </w:p>
        </w:tc>
        <w:tc>
          <w:tcPr>
            <w:tcW w:w="2457" w:type="dxa"/>
            <w:tcBorders>
              <w:top w:val="single" w:sz="4" w:space="0" w:color="auto"/>
              <w:bottom w:val="single" w:sz="4" w:space="0" w:color="A6A6A6" w:themeColor="background1" w:themeShade="A6"/>
            </w:tcBorders>
            <w:shd w:val="clear" w:color="auto" w:fill="auto"/>
          </w:tcPr>
          <w:p w:rsidR="00DC0A66" w:rsidRPr="00CC7E24" w:rsidRDefault="00DC0A66" w:rsidP="003319F7">
            <w:pPr>
              <w:pStyle w:val="TableText"/>
              <w:keepNext/>
              <w:tabs>
                <w:tab w:val="decimal" w:pos="1431"/>
              </w:tabs>
              <w:rPr>
                <w:rFonts w:cs="Arial"/>
              </w:rPr>
            </w:pPr>
            <w:r>
              <w:rPr>
                <w:rFonts w:cs="Arial"/>
                <w:bCs/>
              </w:rPr>
              <w:t>800</w:t>
            </w:r>
          </w:p>
        </w:tc>
        <w:tc>
          <w:tcPr>
            <w:tcW w:w="2457" w:type="dxa"/>
            <w:tcBorders>
              <w:top w:val="single" w:sz="4" w:space="0" w:color="auto"/>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306,973</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5–9</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1486</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tabs>
                <w:tab w:val="decimal" w:pos="1431"/>
              </w:tabs>
              <w:rPr>
                <w:rFonts w:cs="Arial"/>
              </w:rPr>
            </w:pPr>
            <w:r>
              <w:rPr>
                <w:rFonts w:cs="Arial"/>
                <w:bCs/>
              </w:rPr>
              <w:t>1397</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pPr>
            <w:r>
              <w:t>311,813</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10–14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1524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tabs>
                <w:tab w:val="decimal" w:pos="1431"/>
              </w:tabs>
              <w:rPr>
                <w:rFonts w:cs="Arial"/>
              </w:rPr>
            </w:pPr>
            <w:r>
              <w:rPr>
                <w:rFonts w:cs="Arial"/>
                <w:bCs/>
              </w:rPr>
              <w:t>1390</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pPr>
            <w:r>
              <w:t>294,273</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t>15–24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1630</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1549</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lang w:eastAsia="en-NZ"/>
              </w:rPr>
            </w:pPr>
            <w:r w:rsidRPr="00297B2C">
              <w:rPr>
                <w:color w:val="000000"/>
                <w:szCs w:val="18"/>
              </w:rPr>
              <w:t>664</w:t>
            </w:r>
            <w:r>
              <w:rPr>
                <w:color w:val="000000"/>
                <w:szCs w:val="18"/>
              </w:rPr>
              <w:t>,</w:t>
            </w:r>
            <w:r w:rsidRPr="00297B2C">
              <w:rPr>
                <w:color w:val="000000"/>
                <w:szCs w:val="18"/>
              </w:rPr>
              <w:t>625</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25–34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2261</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2058</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rPr>
            </w:pPr>
            <w:r w:rsidRPr="00297B2C">
              <w:rPr>
                <w:color w:val="000000"/>
                <w:szCs w:val="18"/>
              </w:rPr>
              <w:t>624</w:t>
            </w:r>
            <w:r>
              <w:rPr>
                <w:color w:val="000000"/>
                <w:szCs w:val="18"/>
              </w:rPr>
              <w:t>,</w:t>
            </w:r>
            <w:r w:rsidRPr="00297B2C">
              <w:rPr>
                <w:color w:val="000000"/>
                <w:szCs w:val="18"/>
              </w:rPr>
              <w:t>323</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35–44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2219</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2102</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rPr>
            </w:pPr>
            <w:r w:rsidRPr="00297B2C">
              <w:rPr>
                <w:color w:val="000000"/>
                <w:szCs w:val="18"/>
              </w:rPr>
              <w:t>581</w:t>
            </w:r>
            <w:r>
              <w:rPr>
                <w:color w:val="000000"/>
                <w:szCs w:val="18"/>
              </w:rPr>
              <w:t>,</w:t>
            </w:r>
            <w:r w:rsidRPr="00297B2C">
              <w:rPr>
                <w:color w:val="000000"/>
                <w:szCs w:val="18"/>
              </w:rPr>
              <w:t>390</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45–54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2135</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2015</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rPr>
            </w:pPr>
            <w:r w:rsidRPr="00297B2C">
              <w:rPr>
                <w:color w:val="000000"/>
                <w:szCs w:val="18"/>
              </w:rPr>
              <w:t>634</w:t>
            </w:r>
            <w:r>
              <w:rPr>
                <w:color w:val="000000"/>
                <w:szCs w:val="18"/>
              </w:rPr>
              <w:t>,</w:t>
            </w:r>
            <w:r w:rsidRPr="00297B2C">
              <w:rPr>
                <w:color w:val="000000"/>
                <w:szCs w:val="18"/>
              </w:rPr>
              <w:t>128</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55–64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2168</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2064</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rPr>
            </w:pPr>
            <w:r w:rsidRPr="00297B2C">
              <w:rPr>
                <w:color w:val="000000"/>
                <w:szCs w:val="18"/>
              </w:rPr>
              <w:t>547</w:t>
            </w:r>
            <w:r>
              <w:rPr>
                <w:color w:val="000000"/>
                <w:szCs w:val="18"/>
              </w:rPr>
              <w:t>,</w:t>
            </w:r>
            <w:r w:rsidRPr="00297B2C">
              <w:rPr>
                <w:color w:val="000000"/>
                <w:szCs w:val="18"/>
              </w:rPr>
              <w:t>193</w:t>
            </w:r>
          </w:p>
        </w:tc>
      </w:tr>
      <w:tr w:rsidR="00DC0A66" w:rsidRPr="00CC7E24" w:rsidTr="009047FD">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pPr>
            <w:r w:rsidRPr="00CC7E24">
              <w:t>65–74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CC7E24" w:rsidRDefault="00DC0A66" w:rsidP="003319F7">
            <w:pPr>
              <w:pStyle w:val="TableText"/>
              <w:keepNext/>
              <w:jc w:val="center"/>
              <w:rPr>
                <w:rFonts w:cs="Arial"/>
              </w:rPr>
            </w:pPr>
            <w:r>
              <w:rPr>
                <w:rFonts w:cs="Arial"/>
              </w:rPr>
              <w:t>1854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DC0A66" w:rsidRPr="00302221" w:rsidRDefault="00DC0A66" w:rsidP="003319F7">
            <w:pPr>
              <w:pStyle w:val="TableText"/>
              <w:keepNext/>
              <w:tabs>
                <w:tab w:val="decimal" w:pos="1431"/>
              </w:tabs>
              <w:rPr>
                <w:rFonts w:cs="Arial"/>
              </w:rPr>
            </w:pPr>
            <w:r>
              <w:rPr>
                <w:rFonts w:cs="Arial"/>
                <w:bCs/>
              </w:rPr>
              <w:t>1748</w:t>
            </w:r>
          </w:p>
        </w:tc>
        <w:tc>
          <w:tcPr>
            <w:tcW w:w="2457" w:type="dxa"/>
            <w:tcBorders>
              <w:top w:val="single" w:sz="4" w:space="0" w:color="A6A6A6" w:themeColor="background1" w:themeShade="A6"/>
              <w:left w:val="nil"/>
              <w:bottom w:val="single" w:sz="4" w:space="0" w:color="A6A6A6" w:themeColor="background1" w:themeShade="A6"/>
              <w:right w:val="nil"/>
            </w:tcBorders>
            <w:shd w:val="clear" w:color="auto" w:fill="auto"/>
          </w:tcPr>
          <w:p w:rsidR="00DC0A66" w:rsidRPr="00297B2C" w:rsidRDefault="00DC0A66" w:rsidP="003319F7">
            <w:pPr>
              <w:pStyle w:val="TableText"/>
              <w:keepNext/>
              <w:jc w:val="center"/>
              <w:rPr>
                <w:color w:val="000000"/>
                <w:szCs w:val="18"/>
              </w:rPr>
            </w:pPr>
            <w:r w:rsidRPr="00297B2C">
              <w:rPr>
                <w:color w:val="000000"/>
                <w:szCs w:val="18"/>
              </w:rPr>
              <w:t>398</w:t>
            </w:r>
            <w:r>
              <w:rPr>
                <w:color w:val="000000"/>
                <w:szCs w:val="18"/>
              </w:rPr>
              <w:t>,</w:t>
            </w:r>
            <w:r w:rsidRPr="00297B2C">
              <w:rPr>
                <w:color w:val="000000"/>
                <w:szCs w:val="18"/>
              </w:rPr>
              <w:t>750</w:t>
            </w:r>
          </w:p>
        </w:tc>
      </w:tr>
      <w:tr w:rsidR="00DC0A66" w:rsidRPr="00CC7E24" w:rsidTr="009047FD">
        <w:trPr>
          <w:cantSplit/>
        </w:trPr>
        <w:tc>
          <w:tcPr>
            <w:tcW w:w="1985" w:type="dxa"/>
            <w:tcBorders>
              <w:top w:val="single" w:sz="4" w:space="0" w:color="A6A6A6" w:themeColor="background1" w:themeShade="A6"/>
            </w:tcBorders>
            <w:shd w:val="clear" w:color="auto" w:fill="auto"/>
          </w:tcPr>
          <w:p w:rsidR="00DC0A66" w:rsidRPr="00CC7E24" w:rsidRDefault="00DC0A66" w:rsidP="009047FD">
            <w:pPr>
              <w:pStyle w:val="TableText"/>
            </w:pPr>
            <w:r w:rsidRPr="00CC7E24">
              <w:t>75 and over</w:t>
            </w:r>
          </w:p>
        </w:tc>
        <w:tc>
          <w:tcPr>
            <w:tcW w:w="2457" w:type="dxa"/>
            <w:tcBorders>
              <w:top w:val="single" w:sz="4" w:space="0" w:color="A6A6A6" w:themeColor="background1" w:themeShade="A6"/>
            </w:tcBorders>
            <w:shd w:val="clear" w:color="auto" w:fill="auto"/>
          </w:tcPr>
          <w:p w:rsidR="00DC0A66" w:rsidRPr="00CC7E24" w:rsidRDefault="00DC0A66" w:rsidP="009047FD">
            <w:pPr>
              <w:pStyle w:val="TableText"/>
              <w:jc w:val="center"/>
              <w:rPr>
                <w:rFonts w:cs="Arial"/>
              </w:rPr>
            </w:pPr>
            <w:r>
              <w:rPr>
                <w:rFonts w:cs="Arial"/>
              </w:rPr>
              <w:t>1514</w:t>
            </w:r>
          </w:p>
        </w:tc>
        <w:tc>
          <w:tcPr>
            <w:tcW w:w="2457" w:type="dxa"/>
            <w:tcBorders>
              <w:top w:val="single" w:sz="4" w:space="0" w:color="A6A6A6" w:themeColor="background1" w:themeShade="A6"/>
            </w:tcBorders>
            <w:shd w:val="clear" w:color="auto" w:fill="auto"/>
          </w:tcPr>
          <w:p w:rsidR="00DC0A66" w:rsidRPr="00302221" w:rsidRDefault="00DC0A66" w:rsidP="009047FD">
            <w:pPr>
              <w:pStyle w:val="TableText"/>
              <w:tabs>
                <w:tab w:val="decimal" w:pos="1431"/>
              </w:tabs>
              <w:rPr>
                <w:rFonts w:cs="Arial"/>
              </w:rPr>
            </w:pPr>
            <w:r>
              <w:rPr>
                <w:rFonts w:cs="Arial"/>
                <w:bCs/>
              </w:rPr>
              <w:t>1386</w:t>
            </w:r>
          </w:p>
        </w:tc>
        <w:tc>
          <w:tcPr>
            <w:tcW w:w="2457" w:type="dxa"/>
            <w:tcBorders>
              <w:top w:val="single" w:sz="4" w:space="0" w:color="A6A6A6" w:themeColor="background1" w:themeShade="A6"/>
              <w:left w:val="nil"/>
              <w:bottom w:val="single" w:sz="4" w:space="0" w:color="auto"/>
              <w:right w:val="nil"/>
            </w:tcBorders>
            <w:shd w:val="clear" w:color="auto" w:fill="auto"/>
          </w:tcPr>
          <w:p w:rsidR="00DC0A66" w:rsidRPr="00297B2C" w:rsidRDefault="00DC0A66" w:rsidP="009047FD">
            <w:pPr>
              <w:pStyle w:val="TableText"/>
              <w:jc w:val="center"/>
              <w:rPr>
                <w:color w:val="000000"/>
                <w:szCs w:val="18"/>
              </w:rPr>
            </w:pPr>
            <w:r w:rsidRPr="00297B2C">
              <w:rPr>
                <w:color w:val="000000"/>
                <w:szCs w:val="18"/>
              </w:rPr>
              <w:t>290</w:t>
            </w:r>
            <w:r>
              <w:rPr>
                <w:color w:val="000000"/>
                <w:szCs w:val="18"/>
              </w:rPr>
              <w:t>,</w:t>
            </w:r>
            <w:r w:rsidRPr="00297B2C">
              <w:rPr>
                <w:color w:val="000000"/>
                <w:szCs w:val="18"/>
              </w:rPr>
              <w:t>495</w:t>
            </w:r>
          </w:p>
        </w:tc>
      </w:tr>
    </w:tbl>
    <w:p w:rsidR="00981544" w:rsidRDefault="00DC0A66" w:rsidP="009047FD">
      <w:pPr>
        <w:pStyle w:val="Note"/>
      </w:pPr>
      <w:r w:rsidRPr="002201DB">
        <w:t>Note:</w:t>
      </w:r>
    </w:p>
    <w:p w:rsidR="00DC0A66" w:rsidRDefault="00DC0A66" w:rsidP="009047FD">
      <w:pPr>
        <w:pStyle w:val="Note"/>
      </w:pPr>
      <w:r>
        <w:t>*</w:t>
      </w:r>
      <w:r w:rsidR="009047FD">
        <w:tab/>
      </w:r>
      <w:r w:rsidRPr="002201DB">
        <w:t>These numbers are based on the number of respondents with valid height and weight measurements, and they exclude 201 pregnant women</w:t>
      </w:r>
      <w:r>
        <w:t>,</w:t>
      </w:r>
      <w:r w:rsidRPr="002201DB">
        <w:t xml:space="preserve"> who are not eligible to be measured</w:t>
      </w:r>
      <w:r>
        <w:t>.</w:t>
      </w:r>
    </w:p>
    <w:p w:rsidR="009047FD" w:rsidRPr="009047FD" w:rsidRDefault="009047FD" w:rsidP="009047FD"/>
    <w:p w:rsidR="00DC0A66" w:rsidRPr="00CC7E24" w:rsidRDefault="00DC0A66" w:rsidP="009047FD">
      <w:pPr>
        <w:pStyle w:val="Table"/>
      </w:pPr>
      <w:bookmarkStart w:id="299" w:name="_Toc339878421"/>
      <w:bookmarkStart w:id="300" w:name="_Toc372445591"/>
      <w:bookmarkStart w:id="301" w:name="_Toc403044046"/>
      <w:bookmarkStart w:id="302" w:name="_Toc467491572"/>
      <w:bookmarkStart w:id="303" w:name="_Toc467515175"/>
      <w:r>
        <w:t>Table 9</w:t>
      </w:r>
      <w:r w:rsidRPr="00805094">
        <w:t>: Sample</w:t>
      </w:r>
      <w:r w:rsidRPr="00CC7E24">
        <w:t xml:space="preserve"> sizes and population counts, by NZDep20</w:t>
      </w:r>
      <w:r>
        <w:t>13</w:t>
      </w:r>
      <w:r w:rsidRPr="00CC7E24">
        <w:t xml:space="preserve"> quintile</w:t>
      </w:r>
      <w:r>
        <w:t>,</w:t>
      </w:r>
      <w:r w:rsidRPr="00CC7E24">
        <w:t xml:space="preserve"> </w:t>
      </w:r>
      <w:r>
        <w:rPr>
          <w:bCs/>
        </w:rPr>
        <w:t>2015</w:t>
      </w:r>
      <w:r w:rsidRPr="00CC7E24">
        <w:rPr>
          <w:bCs/>
        </w:rPr>
        <w:t>/1</w:t>
      </w:r>
      <w:bookmarkEnd w:id="299"/>
      <w:bookmarkEnd w:id="300"/>
      <w:bookmarkEnd w:id="301"/>
      <w:r>
        <w:rPr>
          <w:bCs/>
        </w:rPr>
        <w:t>6</w:t>
      </w:r>
      <w:bookmarkEnd w:id="302"/>
      <w:bookmarkEnd w:id="303"/>
    </w:p>
    <w:tbl>
      <w:tblPr>
        <w:tblW w:w="500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076"/>
        <w:gridCol w:w="1394"/>
        <w:gridCol w:w="1553"/>
        <w:gridCol w:w="1704"/>
        <w:gridCol w:w="1628"/>
      </w:tblGrid>
      <w:tr w:rsidR="00DC0A66" w:rsidRPr="009047FD" w:rsidTr="009047FD">
        <w:trPr>
          <w:cantSplit/>
        </w:trPr>
        <w:tc>
          <w:tcPr>
            <w:tcW w:w="1644" w:type="pct"/>
            <w:tcBorders>
              <w:top w:val="single" w:sz="4" w:space="0" w:color="auto"/>
              <w:bottom w:val="single" w:sz="4" w:space="0" w:color="auto"/>
            </w:tcBorders>
            <w:shd w:val="clear" w:color="auto" w:fill="auto"/>
          </w:tcPr>
          <w:p w:rsidR="00DC0A66" w:rsidRPr="009047FD" w:rsidRDefault="00DC0A66" w:rsidP="009047FD">
            <w:pPr>
              <w:pStyle w:val="TableText"/>
              <w:rPr>
                <w:b/>
              </w:rPr>
            </w:pPr>
            <w:r w:rsidRPr="009047FD">
              <w:rPr>
                <w:b/>
              </w:rPr>
              <w:t>NZDep2013 quintile</w:t>
            </w:r>
          </w:p>
        </w:tc>
        <w:tc>
          <w:tcPr>
            <w:tcW w:w="745" w:type="pct"/>
            <w:tcBorders>
              <w:top w:val="single" w:sz="4" w:space="0" w:color="auto"/>
              <w:bottom w:val="single" w:sz="4" w:space="0" w:color="auto"/>
              <w:right w:val="nil"/>
            </w:tcBorders>
            <w:shd w:val="clear" w:color="auto" w:fill="auto"/>
          </w:tcPr>
          <w:p w:rsidR="00DC0A66" w:rsidRPr="009047FD" w:rsidRDefault="00DC0A66" w:rsidP="009047FD">
            <w:pPr>
              <w:pStyle w:val="TableText"/>
              <w:rPr>
                <w:b/>
              </w:rPr>
            </w:pPr>
            <w:r w:rsidRPr="009047FD">
              <w:rPr>
                <w:b/>
              </w:rPr>
              <w:t>Population group</w:t>
            </w:r>
          </w:p>
        </w:tc>
        <w:tc>
          <w:tcPr>
            <w:tcW w:w="830"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jc w:val="center"/>
              <w:rPr>
                <w:b/>
              </w:rPr>
            </w:pPr>
            <w:r w:rsidRPr="009047FD">
              <w:rPr>
                <w:b/>
              </w:rPr>
              <w:t>Interviews</w:t>
            </w:r>
          </w:p>
        </w:tc>
        <w:tc>
          <w:tcPr>
            <w:tcW w:w="911" w:type="pct"/>
            <w:tcBorders>
              <w:top w:val="single" w:sz="4" w:space="0" w:color="auto"/>
              <w:left w:val="nil"/>
              <w:bottom w:val="single" w:sz="4" w:space="0" w:color="auto"/>
              <w:right w:val="nil"/>
            </w:tcBorders>
            <w:shd w:val="clear" w:color="auto" w:fill="auto"/>
          </w:tcPr>
          <w:p w:rsidR="00DC0A66" w:rsidRPr="009047FD" w:rsidRDefault="00DC0A66" w:rsidP="009047FD">
            <w:pPr>
              <w:pStyle w:val="TableText"/>
              <w:jc w:val="center"/>
              <w:rPr>
                <w:b/>
              </w:rPr>
            </w:pPr>
            <w:r w:rsidRPr="009047FD">
              <w:rPr>
                <w:b/>
              </w:rPr>
              <w:t>Measurements*</w:t>
            </w:r>
            <w:r w:rsidRPr="009047FD">
              <w:rPr>
                <w:b/>
              </w:rPr>
              <w:br/>
              <w:t>(2+ years)</w:t>
            </w:r>
          </w:p>
        </w:tc>
        <w:tc>
          <w:tcPr>
            <w:tcW w:w="870" w:type="pct"/>
            <w:tcBorders>
              <w:top w:val="single" w:sz="4" w:space="0" w:color="auto"/>
              <w:left w:val="nil"/>
              <w:bottom w:val="single" w:sz="4" w:space="0" w:color="auto"/>
            </w:tcBorders>
            <w:shd w:val="clear" w:color="auto" w:fill="auto"/>
          </w:tcPr>
          <w:p w:rsidR="00DC0A66" w:rsidRPr="009047FD" w:rsidRDefault="00DC0A66" w:rsidP="009047FD">
            <w:pPr>
              <w:pStyle w:val="TableText"/>
              <w:jc w:val="center"/>
              <w:rPr>
                <w:b/>
              </w:rPr>
            </w:pPr>
            <w:r w:rsidRPr="009047FD">
              <w:rPr>
                <w:b/>
              </w:rPr>
              <w:t>Population count</w:t>
            </w:r>
          </w:p>
        </w:tc>
      </w:tr>
      <w:tr w:rsidR="00DC0A66" w:rsidRPr="00CC7E24" w:rsidTr="009047FD">
        <w:trPr>
          <w:cantSplit/>
        </w:trPr>
        <w:tc>
          <w:tcPr>
            <w:tcW w:w="1644" w:type="pct"/>
            <w:vMerge w:val="restart"/>
            <w:tcBorders>
              <w:top w:val="single" w:sz="4" w:space="0" w:color="auto"/>
            </w:tcBorders>
            <w:shd w:val="clear" w:color="auto" w:fill="auto"/>
          </w:tcPr>
          <w:p w:rsidR="00DC0A66" w:rsidRPr="00CC7E24" w:rsidRDefault="00DC0A66" w:rsidP="009047FD">
            <w:pPr>
              <w:pStyle w:val="TableText"/>
            </w:pPr>
            <w:r w:rsidRPr="00CC7E24">
              <w:t>Quintile 1</w:t>
            </w:r>
            <w:r>
              <w:br/>
              <w:t xml:space="preserve">(least </w:t>
            </w:r>
            <w:r w:rsidRPr="00CC7E24">
              <w:t>deprived neighbourhoods)</w:t>
            </w:r>
          </w:p>
        </w:tc>
        <w:tc>
          <w:tcPr>
            <w:tcW w:w="745" w:type="pct"/>
            <w:tcBorders>
              <w:top w:val="single" w:sz="4" w:space="0" w:color="auto"/>
              <w:bottom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830" w:type="pct"/>
            <w:tcBorders>
              <w:top w:val="single" w:sz="4" w:space="0" w:color="auto"/>
              <w:bottom w:val="nil"/>
            </w:tcBorders>
            <w:shd w:val="clear" w:color="auto" w:fill="auto"/>
          </w:tcPr>
          <w:p w:rsidR="00DC0A66" w:rsidRPr="00CC7E24" w:rsidRDefault="00DC0A66" w:rsidP="009047FD">
            <w:pPr>
              <w:pStyle w:val="TableText"/>
              <w:tabs>
                <w:tab w:val="decimal" w:pos="959"/>
              </w:tabs>
              <w:rPr>
                <w:rFonts w:cs="Arial"/>
              </w:rPr>
            </w:pPr>
            <w:r>
              <w:rPr>
                <w:rFonts w:cs="Arial"/>
              </w:rPr>
              <w:t>633</w:t>
            </w:r>
          </w:p>
        </w:tc>
        <w:tc>
          <w:tcPr>
            <w:tcW w:w="911" w:type="pct"/>
            <w:tcBorders>
              <w:top w:val="single" w:sz="4" w:space="0" w:color="auto"/>
              <w:bottom w:val="nil"/>
            </w:tcBorders>
            <w:shd w:val="clear" w:color="auto" w:fill="auto"/>
          </w:tcPr>
          <w:p w:rsidR="00DC0A66" w:rsidRPr="00CC7E24" w:rsidRDefault="00DC0A66" w:rsidP="009047FD">
            <w:pPr>
              <w:pStyle w:val="TableText"/>
              <w:tabs>
                <w:tab w:val="decimal" w:pos="1024"/>
              </w:tabs>
              <w:rPr>
                <w:rFonts w:cs="Arial"/>
              </w:rPr>
            </w:pPr>
            <w:r>
              <w:rPr>
                <w:rFonts w:cs="Arial"/>
                <w:bCs/>
              </w:rPr>
              <w:t>520</w:t>
            </w:r>
          </w:p>
        </w:tc>
        <w:tc>
          <w:tcPr>
            <w:tcW w:w="870" w:type="pct"/>
            <w:tcBorders>
              <w:top w:val="single" w:sz="4" w:space="0" w:color="auto"/>
              <w:bottom w:val="nil"/>
            </w:tcBorders>
            <w:shd w:val="clear" w:color="auto" w:fill="auto"/>
          </w:tcPr>
          <w:p w:rsidR="00DC0A66" w:rsidRPr="00CC7E24" w:rsidRDefault="00DC0A66" w:rsidP="009047FD">
            <w:pPr>
              <w:pStyle w:val="TableText"/>
              <w:jc w:val="center"/>
              <w:rPr>
                <w:rFonts w:cs="Arial"/>
              </w:rPr>
            </w:pPr>
            <w:r>
              <w:rPr>
                <w:rFonts w:cs="Arial"/>
              </w:rPr>
              <w:t>175,365</w:t>
            </w:r>
          </w:p>
        </w:tc>
      </w:tr>
      <w:tr w:rsidR="00DC0A66" w:rsidRPr="00CC7E24" w:rsidTr="009047FD">
        <w:trPr>
          <w:cantSplit/>
        </w:trPr>
        <w:tc>
          <w:tcPr>
            <w:tcW w:w="1644" w:type="pct"/>
            <w:vMerge/>
            <w:tcBorders>
              <w:bottom w:val="single" w:sz="4" w:space="0" w:color="A6A6A6"/>
            </w:tcBorders>
            <w:shd w:val="clear" w:color="auto" w:fill="auto"/>
          </w:tcPr>
          <w:p w:rsidR="00DC0A66" w:rsidRPr="00CC7E24" w:rsidRDefault="00DC0A66" w:rsidP="009047FD">
            <w:pPr>
              <w:pStyle w:val="TableText"/>
            </w:pPr>
          </w:p>
        </w:tc>
        <w:tc>
          <w:tcPr>
            <w:tcW w:w="745" w:type="pct"/>
            <w:tcBorders>
              <w:top w:val="nil"/>
              <w:bottom w:val="single" w:sz="4" w:space="0" w:color="A6A6A6"/>
            </w:tcBorders>
            <w:shd w:val="clear" w:color="auto" w:fill="auto"/>
          </w:tcPr>
          <w:p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rsidR="00DC0A66" w:rsidRPr="00CC7E24" w:rsidRDefault="00DC0A66" w:rsidP="009047FD">
            <w:pPr>
              <w:pStyle w:val="TableText"/>
              <w:tabs>
                <w:tab w:val="decimal" w:pos="959"/>
              </w:tabs>
              <w:rPr>
                <w:rFonts w:cs="Arial"/>
              </w:rPr>
            </w:pPr>
            <w:r>
              <w:rPr>
                <w:rFonts w:cs="Arial"/>
              </w:rPr>
              <w:t>1876</w:t>
            </w:r>
          </w:p>
        </w:tc>
        <w:tc>
          <w:tcPr>
            <w:tcW w:w="911" w:type="pct"/>
            <w:tcBorders>
              <w:top w:val="nil"/>
              <w:bottom w:val="single" w:sz="4" w:space="0" w:color="A6A6A6"/>
            </w:tcBorders>
            <w:shd w:val="clear" w:color="auto" w:fill="auto"/>
          </w:tcPr>
          <w:p w:rsidR="00DC0A66" w:rsidRPr="00CC7E24" w:rsidRDefault="00DC0A66" w:rsidP="009047FD">
            <w:pPr>
              <w:pStyle w:val="TableText"/>
              <w:tabs>
                <w:tab w:val="decimal" w:pos="1024"/>
              </w:tabs>
              <w:rPr>
                <w:rFonts w:cs="Arial"/>
              </w:rPr>
            </w:pPr>
            <w:r>
              <w:rPr>
                <w:rFonts w:cs="Arial"/>
                <w:bCs/>
              </w:rPr>
              <w:t>1774</w:t>
            </w:r>
          </w:p>
        </w:tc>
        <w:tc>
          <w:tcPr>
            <w:tcW w:w="870" w:type="pct"/>
            <w:tcBorders>
              <w:top w:val="nil"/>
              <w:bottom w:val="single" w:sz="4" w:space="0" w:color="A6A6A6"/>
            </w:tcBorders>
            <w:shd w:val="clear" w:color="auto" w:fill="auto"/>
          </w:tcPr>
          <w:p w:rsidR="00DC0A66" w:rsidRPr="00CC7E24" w:rsidRDefault="00DC0A66" w:rsidP="009047FD">
            <w:pPr>
              <w:pStyle w:val="TableText"/>
              <w:jc w:val="center"/>
              <w:rPr>
                <w:rFonts w:cs="Arial"/>
              </w:rPr>
            </w:pPr>
            <w:r>
              <w:rPr>
                <w:rFonts w:cs="Arial"/>
              </w:rPr>
              <w:t>747,779</w:t>
            </w:r>
          </w:p>
        </w:tc>
      </w:tr>
      <w:tr w:rsidR="00DC0A66" w:rsidRPr="00CC7E24" w:rsidTr="009047FD">
        <w:trPr>
          <w:cantSplit/>
        </w:trPr>
        <w:tc>
          <w:tcPr>
            <w:tcW w:w="1644" w:type="pct"/>
            <w:vMerge w:val="restart"/>
            <w:tcBorders>
              <w:top w:val="single" w:sz="4" w:space="0" w:color="A6A6A6"/>
              <w:bottom w:val="nil"/>
            </w:tcBorders>
            <w:shd w:val="clear" w:color="auto" w:fill="auto"/>
          </w:tcPr>
          <w:p w:rsidR="00DC0A66" w:rsidRPr="00CC7E24" w:rsidRDefault="00DC0A66" w:rsidP="009047FD">
            <w:pPr>
              <w:pStyle w:val="TableText"/>
            </w:pPr>
            <w:r w:rsidRPr="00CC7E24">
              <w:t>Quintile 2</w:t>
            </w:r>
          </w:p>
        </w:tc>
        <w:tc>
          <w:tcPr>
            <w:tcW w:w="745" w:type="pct"/>
            <w:tcBorders>
              <w:top w:val="single" w:sz="4" w:space="0" w:color="A6A6A6"/>
              <w:bottom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rsidR="00DC0A66" w:rsidRPr="00CC7E24" w:rsidRDefault="00DC0A66" w:rsidP="009047FD">
            <w:pPr>
              <w:pStyle w:val="TableText"/>
              <w:tabs>
                <w:tab w:val="decimal" w:pos="959"/>
              </w:tabs>
              <w:rPr>
                <w:rFonts w:cs="Arial"/>
              </w:rPr>
            </w:pPr>
            <w:r>
              <w:rPr>
                <w:rFonts w:cs="Arial"/>
              </w:rPr>
              <w:t>677</w:t>
            </w:r>
          </w:p>
        </w:tc>
        <w:tc>
          <w:tcPr>
            <w:tcW w:w="911" w:type="pct"/>
            <w:tcBorders>
              <w:top w:val="single" w:sz="4" w:space="0" w:color="A6A6A6"/>
              <w:bottom w:val="nil"/>
            </w:tcBorders>
            <w:shd w:val="clear" w:color="auto" w:fill="auto"/>
          </w:tcPr>
          <w:p w:rsidR="00DC0A66" w:rsidRPr="00CC7E24" w:rsidRDefault="00DC0A66" w:rsidP="009047FD">
            <w:pPr>
              <w:pStyle w:val="TableText"/>
              <w:tabs>
                <w:tab w:val="decimal" w:pos="1024"/>
              </w:tabs>
              <w:rPr>
                <w:rFonts w:cs="Arial"/>
              </w:rPr>
            </w:pPr>
            <w:r>
              <w:rPr>
                <w:rFonts w:cs="Arial"/>
                <w:bCs/>
              </w:rPr>
              <w:t>536</w:t>
            </w:r>
          </w:p>
        </w:tc>
        <w:tc>
          <w:tcPr>
            <w:tcW w:w="870" w:type="pct"/>
            <w:tcBorders>
              <w:top w:val="single" w:sz="4" w:space="0" w:color="A6A6A6"/>
              <w:bottom w:val="nil"/>
            </w:tcBorders>
            <w:shd w:val="clear" w:color="auto" w:fill="auto"/>
          </w:tcPr>
          <w:p w:rsidR="00DC0A66" w:rsidRPr="00CC7E24" w:rsidRDefault="00DC0A66" w:rsidP="009047FD">
            <w:pPr>
              <w:pStyle w:val="TableText"/>
              <w:jc w:val="center"/>
              <w:rPr>
                <w:rFonts w:cs="Arial"/>
              </w:rPr>
            </w:pPr>
            <w:r>
              <w:rPr>
                <w:rFonts w:cs="Arial"/>
              </w:rPr>
              <w:t>181,594</w:t>
            </w:r>
          </w:p>
        </w:tc>
      </w:tr>
      <w:tr w:rsidR="00DC0A66" w:rsidRPr="00CC7E24" w:rsidTr="009047FD">
        <w:trPr>
          <w:cantSplit/>
        </w:trPr>
        <w:tc>
          <w:tcPr>
            <w:tcW w:w="1644" w:type="pct"/>
            <w:vMerge/>
            <w:tcBorders>
              <w:top w:val="nil"/>
              <w:bottom w:val="single" w:sz="4" w:space="0" w:color="A6A6A6"/>
            </w:tcBorders>
            <w:shd w:val="clear" w:color="auto" w:fill="auto"/>
          </w:tcPr>
          <w:p w:rsidR="00DC0A66" w:rsidRPr="00CC7E24" w:rsidRDefault="00DC0A66" w:rsidP="009047FD">
            <w:pPr>
              <w:pStyle w:val="TableText"/>
            </w:pPr>
          </w:p>
        </w:tc>
        <w:tc>
          <w:tcPr>
            <w:tcW w:w="745" w:type="pct"/>
            <w:tcBorders>
              <w:top w:val="nil"/>
              <w:bottom w:val="single" w:sz="4" w:space="0" w:color="A6A6A6"/>
            </w:tcBorders>
            <w:shd w:val="clear" w:color="auto" w:fill="auto"/>
          </w:tcPr>
          <w:p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rsidR="00DC0A66" w:rsidRPr="00CC7E24" w:rsidRDefault="00DC0A66" w:rsidP="009047FD">
            <w:pPr>
              <w:pStyle w:val="TableText"/>
              <w:tabs>
                <w:tab w:val="decimal" w:pos="959"/>
              </w:tabs>
              <w:rPr>
                <w:rFonts w:cs="Arial"/>
              </w:rPr>
            </w:pPr>
            <w:r>
              <w:rPr>
                <w:rFonts w:cs="Arial"/>
              </w:rPr>
              <w:t>2181</w:t>
            </w:r>
          </w:p>
        </w:tc>
        <w:tc>
          <w:tcPr>
            <w:tcW w:w="911" w:type="pct"/>
            <w:tcBorders>
              <w:top w:val="nil"/>
              <w:bottom w:val="single" w:sz="4" w:space="0" w:color="A6A6A6"/>
            </w:tcBorders>
            <w:shd w:val="clear" w:color="auto" w:fill="auto"/>
          </w:tcPr>
          <w:p w:rsidR="00DC0A66" w:rsidRPr="00CC7E24" w:rsidRDefault="00DC0A66" w:rsidP="009047FD">
            <w:pPr>
              <w:pStyle w:val="TableText"/>
              <w:tabs>
                <w:tab w:val="decimal" w:pos="1024"/>
              </w:tabs>
              <w:rPr>
                <w:rFonts w:cs="Arial"/>
              </w:rPr>
            </w:pPr>
            <w:r>
              <w:rPr>
                <w:rFonts w:cs="Arial"/>
                <w:bCs/>
              </w:rPr>
              <w:t>2066</w:t>
            </w:r>
          </w:p>
        </w:tc>
        <w:tc>
          <w:tcPr>
            <w:tcW w:w="870" w:type="pct"/>
            <w:tcBorders>
              <w:top w:val="nil"/>
              <w:bottom w:val="single" w:sz="4" w:space="0" w:color="A6A6A6"/>
            </w:tcBorders>
            <w:shd w:val="clear" w:color="auto" w:fill="auto"/>
          </w:tcPr>
          <w:p w:rsidR="00DC0A66" w:rsidRPr="00CC7E24" w:rsidRDefault="00DC0A66" w:rsidP="009047FD">
            <w:pPr>
              <w:pStyle w:val="TableText"/>
              <w:jc w:val="center"/>
              <w:rPr>
                <w:rFonts w:cs="Arial"/>
              </w:rPr>
            </w:pPr>
            <w:r>
              <w:rPr>
                <w:rFonts w:cs="Arial"/>
              </w:rPr>
              <w:t>758,370</w:t>
            </w:r>
          </w:p>
        </w:tc>
      </w:tr>
      <w:tr w:rsidR="00DC0A66" w:rsidRPr="00CC7E24" w:rsidTr="009047FD">
        <w:trPr>
          <w:cantSplit/>
        </w:trPr>
        <w:tc>
          <w:tcPr>
            <w:tcW w:w="1644" w:type="pct"/>
            <w:vMerge w:val="restart"/>
            <w:tcBorders>
              <w:top w:val="single" w:sz="4" w:space="0" w:color="A6A6A6"/>
              <w:bottom w:val="nil"/>
            </w:tcBorders>
            <w:shd w:val="clear" w:color="auto" w:fill="auto"/>
          </w:tcPr>
          <w:p w:rsidR="00DC0A66" w:rsidRPr="00CC7E24" w:rsidRDefault="00DC0A66" w:rsidP="009047FD">
            <w:pPr>
              <w:pStyle w:val="TableText"/>
            </w:pPr>
            <w:r w:rsidRPr="00CC7E24">
              <w:t>Quintile 3</w:t>
            </w:r>
          </w:p>
        </w:tc>
        <w:tc>
          <w:tcPr>
            <w:tcW w:w="745" w:type="pct"/>
            <w:tcBorders>
              <w:top w:val="single" w:sz="4" w:space="0" w:color="A6A6A6"/>
              <w:bottom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rsidR="00DC0A66" w:rsidRPr="00CC7E24" w:rsidRDefault="00DC0A66" w:rsidP="009047FD">
            <w:pPr>
              <w:pStyle w:val="TableText"/>
              <w:tabs>
                <w:tab w:val="decimal" w:pos="959"/>
              </w:tabs>
              <w:rPr>
                <w:rFonts w:cs="Arial"/>
              </w:rPr>
            </w:pPr>
            <w:r>
              <w:rPr>
                <w:rFonts w:cs="Arial"/>
              </w:rPr>
              <w:t>975</w:t>
            </w:r>
          </w:p>
        </w:tc>
        <w:tc>
          <w:tcPr>
            <w:tcW w:w="911" w:type="pct"/>
            <w:tcBorders>
              <w:top w:val="single" w:sz="4" w:space="0" w:color="A6A6A6"/>
              <w:bottom w:val="nil"/>
            </w:tcBorders>
            <w:shd w:val="clear" w:color="auto" w:fill="auto"/>
          </w:tcPr>
          <w:p w:rsidR="00DC0A66" w:rsidRPr="00CC7E24" w:rsidRDefault="00DC0A66" w:rsidP="009047FD">
            <w:pPr>
              <w:pStyle w:val="TableText"/>
              <w:tabs>
                <w:tab w:val="decimal" w:pos="1024"/>
              </w:tabs>
              <w:rPr>
                <w:rFonts w:cs="Arial"/>
              </w:rPr>
            </w:pPr>
            <w:r>
              <w:rPr>
                <w:rFonts w:cs="Arial"/>
                <w:bCs/>
              </w:rPr>
              <w:t>714</w:t>
            </w:r>
          </w:p>
        </w:tc>
        <w:tc>
          <w:tcPr>
            <w:tcW w:w="870" w:type="pct"/>
            <w:tcBorders>
              <w:top w:val="single" w:sz="4" w:space="0" w:color="A6A6A6"/>
              <w:bottom w:val="nil"/>
            </w:tcBorders>
            <w:shd w:val="clear" w:color="auto" w:fill="auto"/>
          </w:tcPr>
          <w:p w:rsidR="00DC0A66" w:rsidRPr="00CC7E24" w:rsidRDefault="00DC0A66" w:rsidP="009047FD">
            <w:pPr>
              <w:pStyle w:val="TableText"/>
              <w:jc w:val="center"/>
              <w:rPr>
                <w:rFonts w:cs="Arial"/>
              </w:rPr>
            </w:pPr>
            <w:r>
              <w:rPr>
                <w:rFonts w:cs="Arial"/>
              </w:rPr>
              <w:t>163,222</w:t>
            </w:r>
          </w:p>
        </w:tc>
      </w:tr>
      <w:tr w:rsidR="00DC0A66" w:rsidRPr="00CC7E24" w:rsidTr="009047FD">
        <w:trPr>
          <w:cantSplit/>
        </w:trPr>
        <w:tc>
          <w:tcPr>
            <w:tcW w:w="1644" w:type="pct"/>
            <w:vMerge/>
            <w:tcBorders>
              <w:top w:val="nil"/>
              <w:bottom w:val="single" w:sz="4" w:space="0" w:color="A6A6A6"/>
            </w:tcBorders>
            <w:shd w:val="clear" w:color="auto" w:fill="auto"/>
          </w:tcPr>
          <w:p w:rsidR="00DC0A66" w:rsidRPr="00CC7E24" w:rsidRDefault="00DC0A66" w:rsidP="009047FD">
            <w:pPr>
              <w:pStyle w:val="TableText"/>
            </w:pPr>
          </w:p>
        </w:tc>
        <w:tc>
          <w:tcPr>
            <w:tcW w:w="745" w:type="pct"/>
            <w:tcBorders>
              <w:top w:val="nil"/>
              <w:bottom w:val="single" w:sz="4" w:space="0" w:color="A6A6A6"/>
            </w:tcBorders>
            <w:shd w:val="clear" w:color="auto" w:fill="auto"/>
          </w:tcPr>
          <w:p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rsidR="00DC0A66" w:rsidRPr="00CC7E24" w:rsidRDefault="00DC0A66" w:rsidP="009047FD">
            <w:pPr>
              <w:pStyle w:val="TableText"/>
              <w:tabs>
                <w:tab w:val="decimal" w:pos="959"/>
              </w:tabs>
              <w:rPr>
                <w:rFonts w:cs="Arial"/>
              </w:rPr>
            </w:pPr>
            <w:r>
              <w:rPr>
                <w:rFonts w:cs="Arial"/>
              </w:rPr>
              <w:t>3030</w:t>
            </w:r>
          </w:p>
        </w:tc>
        <w:tc>
          <w:tcPr>
            <w:tcW w:w="911" w:type="pct"/>
            <w:tcBorders>
              <w:top w:val="nil"/>
              <w:bottom w:val="single" w:sz="4" w:space="0" w:color="A6A6A6"/>
            </w:tcBorders>
            <w:shd w:val="clear" w:color="auto" w:fill="auto"/>
          </w:tcPr>
          <w:p w:rsidR="00DC0A66" w:rsidRPr="00CC7E24" w:rsidRDefault="00DC0A66" w:rsidP="009047FD">
            <w:pPr>
              <w:pStyle w:val="TableText"/>
              <w:tabs>
                <w:tab w:val="decimal" w:pos="1024"/>
              </w:tabs>
              <w:rPr>
                <w:rFonts w:cs="Arial"/>
              </w:rPr>
            </w:pPr>
            <w:r>
              <w:rPr>
                <w:rFonts w:cs="Arial"/>
                <w:bCs/>
              </w:rPr>
              <w:t>2857</w:t>
            </w:r>
          </w:p>
        </w:tc>
        <w:tc>
          <w:tcPr>
            <w:tcW w:w="870" w:type="pct"/>
            <w:tcBorders>
              <w:top w:val="nil"/>
              <w:bottom w:val="single" w:sz="4" w:space="0" w:color="A6A6A6"/>
            </w:tcBorders>
            <w:shd w:val="clear" w:color="auto" w:fill="auto"/>
          </w:tcPr>
          <w:p w:rsidR="00DC0A66" w:rsidRPr="00CC7E24" w:rsidRDefault="00DC0A66" w:rsidP="009047FD">
            <w:pPr>
              <w:pStyle w:val="TableText"/>
              <w:jc w:val="center"/>
              <w:rPr>
                <w:rFonts w:cs="Arial"/>
              </w:rPr>
            </w:pPr>
            <w:r>
              <w:rPr>
                <w:rFonts w:cs="Arial"/>
              </w:rPr>
              <w:t>763,747</w:t>
            </w:r>
          </w:p>
        </w:tc>
      </w:tr>
      <w:tr w:rsidR="00DC0A66" w:rsidRPr="00CC7E24" w:rsidTr="009047FD">
        <w:trPr>
          <w:cantSplit/>
        </w:trPr>
        <w:tc>
          <w:tcPr>
            <w:tcW w:w="1644" w:type="pct"/>
            <w:vMerge w:val="restart"/>
            <w:tcBorders>
              <w:top w:val="single" w:sz="4" w:space="0" w:color="A6A6A6"/>
              <w:bottom w:val="nil"/>
            </w:tcBorders>
            <w:shd w:val="clear" w:color="auto" w:fill="auto"/>
          </w:tcPr>
          <w:p w:rsidR="00DC0A66" w:rsidRPr="00CC7E24" w:rsidRDefault="00DC0A66" w:rsidP="009047FD">
            <w:pPr>
              <w:pStyle w:val="TableText"/>
            </w:pPr>
            <w:r w:rsidRPr="00CC7E24">
              <w:t>Quintile 4</w:t>
            </w:r>
          </w:p>
        </w:tc>
        <w:tc>
          <w:tcPr>
            <w:tcW w:w="745" w:type="pct"/>
            <w:tcBorders>
              <w:top w:val="single" w:sz="4" w:space="0" w:color="A6A6A6"/>
              <w:bottom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rsidR="00DC0A66" w:rsidRPr="00CC7E24" w:rsidRDefault="00DC0A66" w:rsidP="009047FD">
            <w:pPr>
              <w:pStyle w:val="TableText"/>
              <w:tabs>
                <w:tab w:val="decimal" w:pos="959"/>
              </w:tabs>
              <w:rPr>
                <w:rFonts w:cs="Arial"/>
              </w:rPr>
            </w:pPr>
            <w:r>
              <w:rPr>
                <w:rFonts w:cs="Arial"/>
              </w:rPr>
              <w:t>1005</w:t>
            </w:r>
          </w:p>
        </w:tc>
        <w:tc>
          <w:tcPr>
            <w:tcW w:w="911" w:type="pct"/>
            <w:tcBorders>
              <w:top w:val="single" w:sz="4" w:space="0" w:color="A6A6A6"/>
              <w:bottom w:val="nil"/>
            </w:tcBorders>
            <w:shd w:val="clear" w:color="auto" w:fill="auto"/>
          </w:tcPr>
          <w:p w:rsidR="00DC0A66" w:rsidRPr="00CC7E24" w:rsidRDefault="00DC0A66" w:rsidP="009047FD">
            <w:pPr>
              <w:pStyle w:val="TableText"/>
              <w:tabs>
                <w:tab w:val="decimal" w:pos="1024"/>
              </w:tabs>
              <w:rPr>
                <w:rFonts w:cs="Arial"/>
              </w:rPr>
            </w:pPr>
            <w:r>
              <w:rPr>
                <w:rFonts w:cs="Arial"/>
                <w:bCs/>
              </w:rPr>
              <w:t>761</w:t>
            </w:r>
          </w:p>
        </w:tc>
        <w:tc>
          <w:tcPr>
            <w:tcW w:w="870" w:type="pct"/>
            <w:tcBorders>
              <w:top w:val="single" w:sz="4" w:space="0" w:color="A6A6A6"/>
              <w:bottom w:val="nil"/>
            </w:tcBorders>
            <w:shd w:val="clear" w:color="auto" w:fill="auto"/>
          </w:tcPr>
          <w:p w:rsidR="00DC0A66" w:rsidRPr="00CC7E24" w:rsidRDefault="00DC0A66" w:rsidP="009047FD">
            <w:pPr>
              <w:pStyle w:val="TableText"/>
              <w:jc w:val="center"/>
              <w:rPr>
                <w:rFonts w:cs="Arial"/>
              </w:rPr>
            </w:pPr>
            <w:r>
              <w:rPr>
                <w:rFonts w:cs="Arial"/>
              </w:rPr>
              <w:t>181,665</w:t>
            </w:r>
          </w:p>
        </w:tc>
      </w:tr>
      <w:tr w:rsidR="00DC0A66" w:rsidRPr="00CC7E24" w:rsidTr="009047FD">
        <w:trPr>
          <w:cantSplit/>
        </w:trPr>
        <w:tc>
          <w:tcPr>
            <w:tcW w:w="1644" w:type="pct"/>
            <w:vMerge/>
            <w:tcBorders>
              <w:top w:val="nil"/>
              <w:bottom w:val="single" w:sz="4" w:space="0" w:color="A6A6A6"/>
            </w:tcBorders>
            <w:shd w:val="clear" w:color="auto" w:fill="auto"/>
          </w:tcPr>
          <w:p w:rsidR="00DC0A66" w:rsidRPr="00CC7E24" w:rsidRDefault="00DC0A66" w:rsidP="009047FD">
            <w:pPr>
              <w:pStyle w:val="TableText"/>
            </w:pPr>
          </w:p>
        </w:tc>
        <w:tc>
          <w:tcPr>
            <w:tcW w:w="745" w:type="pct"/>
            <w:tcBorders>
              <w:top w:val="nil"/>
              <w:bottom w:val="single" w:sz="4" w:space="0" w:color="A6A6A6"/>
            </w:tcBorders>
            <w:shd w:val="clear" w:color="auto" w:fill="auto"/>
          </w:tcPr>
          <w:p w:rsidR="00DC0A66" w:rsidRPr="00CC7E24" w:rsidRDefault="00DC0A66" w:rsidP="009047FD">
            <w:pPr>
              <w:pStyle w:val="TableText"/>
              <w:rPr>
                <w:rFonts w:cs="Arial"/>
              </w:rPr>
            </w:pPr>
            <w:r w:rsidRPr="00CC7E24">
              <w:rPr>
                <w:rFonts w:cs="Arial"/>
              </w:rPr>
              <w:t>Adults</w:t>
            </w:r>
          </w:p>
        </w:tc>
        <w:tc>
          <w:tcPr>
            <w:tcW w:w="830" w:type="pct"/>
            <w:tcBorders>
              <w:top w:val="nil"/>
              <w:bottom w:val="single" w:sz="4" w:space="0" w:color="A6A6A6"/>
            </w:tcBorders>
            <w:shd w:val="clear" w:color="auto" w:fill="auto"/>
          </w:tcPr>
          <w:p w:rsidR="00DC0A66" w:rsidRPr="00CC7E24" w:rsidRDefault="00DC0A66" w:rsidP="009047FD">
            <w:pPr>
              <w:pStyle w:val="TableText"/>
              <w:tabs>
                <w:tab w:val="decimal" w:pos="959"/>
              </w:tabs>
              <w:rPr>
                <w:rFonts w:cs="Arial"/>
              </w:rPr>
            </w:pPr>
            <w:r>
              <w:rPr>
                <w:rFonts w:cs="Arial"/>
              </w:rPr>
              <w:t>3150</w:t>
            </w:r>
          </w:p>
        </w:tc>
        <w:tc>
          <w:tcPr>
            <w:tcW w:w="911" w:type="pct"/>
            <w:tcBorders>
              <w:top w:val="nil"/>
              <w:bottom w:val="single" w:sz="4" w:space="0" w:color="A6A6A6"/>
            </w:tcBorders>
            <w:shd w:val="clear" w:color="auto" w:fill="auto"/>
          </w:tcPr>
          <w:p w:rsidR="00DC0A66" w:rsidRPr="00CC7E24" w:rsidRDefault="00DC0A66" w:rsidP="009047FD">
            <w:pPr>
              <w:pStyle w:val="TableText"/>
              <w:tabs>
                <w:tab w:val="decimal" w:pos="1024"/>
              </w:tabs>
              <w:rPr>
                <w:rFonts w:cs="Arial"/>
              </w:rPr>
            </w:pPr>
            <w:r>
              <w:rPr>
                <w:rFonts w:cs="Arial"/>
                <w:bCs/>
              </w:rPr>
              <w:t>2940</w:t>
            </w:r>
          </w:p>
        </w:tc>
        <w:tc>
          <w:tcPr>
            <w:tcW w:w="870" w:type="pct"/>
            <w:tcBorders>
              <w:top w:val="nil"/>
              <w:bottom w:val="single" w:sz="4" w:space="0" w:color="A6A6A6"/>
            </w:tcBorders>
            <w:shd w:val="clear" w:color="auto" w:fill="auto"/>
          </w:tcPr>
          <w:p w:rsidR="00DC0A66" w:rsidRPr="00CC7E24" w:rsidRDefault="00DC0A66" w:rsidP="009047FD">
            <w:pPr>
              <w:pStyle w:val="TableText"/>
              <w:jc w:val="center"/>
              <w:rPr>
                <w:rFonts w:cs="Arial"/>
              </w:rPr>
            </w:pPr>
            <w:r>
              <w:rPr>
                <w:rFonts w:cs="Arial"/>
              </w:rPr>
              <w:t>758,992</w:t>
            </w:r>
          </w:p>
        </w:tc>
      </w:tr>
      <w:tr w:rsidR="00DC0A66" w:rsidRPr="00CC7E24" w:rsidTr="009047FD">
        <w:tblPrEx>
          <w:tblLook w:val="01E0" w:firstRow="1" w:lastRow="1" w:firstColumn="1" w:lastColumn="1" w:noHBand="0" w:noVBand="0"/>
        </w:tblPrEx>
        <w:trPr>
          <w:cantSplit/>
        </w:trPr>
        <w:tc>
          <w:tcPr>
            <w:tcW w:w="1644" w:type="pct"/>
            <w:vMerge w:val="restart"/>
            <w:tcBorders>
              <w:top w:val="single" w:sz="4" w:space="0" w:color="A6A6A6"/>
              <w:bottom w:val="nil"/>
            </w:tcBorders>
            <w:shd w:val="clear" w:color="auto" w:fill="auto"/>
          </w:tcPr>
          <w:p w:rsidR="00DC0A66" w:rsidRPr="00CC7E24" w:rsidRDefault="00DC0A66" w:rsidP="009047FD">
            <w:pPr>
              <w:pStyle w:val="TableText"/>
            </w:pPr>
            <w:r w:rsidRPr="00CC7E24">
              <w:t>Quintile 5</w:t>
            </w:r>
            <w:r>
              <w:br/>
            </w:r>
            <w:r w:rsidRPr="00CC7E24">
              <w:t>(most deprived neighbourhoods)</w:t>
            </w:r>
          </w:p>
        </w:tc>
        <w:tc>
          <w:tcPr>
            <w:tcW w:w="745" w:type="pct"/>
            <w:tcBorders>
              <w:top w:val="single" w:sz="4" w:space="0" w:color="A6A6A6"/>
              <w:bottom w:val="nil"/>
            </w:tcBorders>
            <w:shd w:val="clear" w:color="auto" w:fill="auto"/>
          </w:tcPr>
          <w:p w:rsidR="00DC0A66" w:rsidRPr="00CC7E24" w:rsidRDefault="00DC0A66" w:rsidP="009047FD">
            <w:pPr>
              <w:pStyle w:val="TableText"/>
              <w:rPr>
                <w:rFonts w:cs="Arial"/>
              </w:rPr>
            </w:pPr>
            <w:r w:rsidRPr="00CC7E24">
              <w:rPr>
                <w:rFonts w:cs="Arial"/>
              </w:rPr>
              <w:t>Children</w:t>
            </w:r>
          </w:p>
        </w:tc>
        <w:tc>
          <w:tcPr>
            <w:tcW w:w="830" w:type="pct"/>
            <w:tcBorders>
              <w:top w:val="single" w:sz="4" w:space="0" w:color="A6A6A6"/>
              <w:bottom w:val="nil"/>
            </w:tcBorders>
            <w:shd w:val="clear" w:color="auto" w:fill="auto"/>
          </w:tcPr>
          <w:p w:rsidR="00DC0A66" w:rsidRPr="00CC7E24" w:rsidRDefault="00DC0A66" w:rsidP="009047FD">
            <w:pPr>
              <w:pStyle w:val="TableText"/>
              <w:tabs>
                <w:tab w:val="decimal" w:pos="959"/>
              </w:tabs>
              <w:rPr>
                <w:rFonts w:cs="Arial"/>
              </w:rPr>
            </w:pPr>
            <w:r>
              <w:rPr>
                <w:rFonts w:cs="Arial"/>
              </w:rPr>
              <w:t>1431</w:t>
            </w:r>
          </w:p>
        </w:tc>
        <w:tc>
          <w:tcPr>
            <w:tcW w:w="911" w:type="pct"/>
            <w:tcBorders>
              <w:top w:val="single" w:sz="4" w:space="0" w:color="A6A6A6"/>
              <w:bottom w:val="nil"/>
            </w:tcBorders>
            <w:shd w:val="clear" w:color="auto" w:fill="auto"/>
          </w:tcPr>
          <w:p w:rsidR="00DC0A66" w:rsidRPr="00CC7E24" w:rsidRDefault="00DC0A66" w:rsidP="009047FD">
            <w:pPr>
              <w:pStyle w:val="TableText"/>
              <w:tabs>
                <w:tab w:val="decimal" w:pos="1024"/>
              </w:tabs>
              <w:rPr>
                <w:rFonts w:cs="Arial"/>
              </w:rPr>
            </w:pPr>
            <w:r>
              <w:rPr>
                <w:rFonts w:cs="Arial"/>
                <w:bCs/>
              </w:rPr>
              <w:t>1056</w:t>
            </w:r>
          </w:p>
        </w:tc>
        <w:tc>
          <w:tcPr>
            <w:tcW w:w="870" w:type="pct"/>
            <w:tcBorders>
              <w:top w:val="single" w:sz="4" w:space="0" w:color="A6A6A6"/>
              <w:bottom w:val="nil"/>
            </w:tcBorders>
            <w:shd w:val="clear" w:color="auto" w:fill="auto"/>
          </w:tcPr>
          <w:p w:rsidR="00DC0A66" w:rsidRPr="00CC7E24" w:rsidRDefault="00DC0A66" w:rsidP="009047FD">
            <w:pPr>
              <w:pStyle w:val="TableText"/>
              <w:jc w:val="center"/>
              <w:rPr>
                <w:rFonts w:cs="Arial"/>
              </w:rPr>
            </w:pPr>
            <w:r>
              <w:rPr>
                <w:rFonts w:cs="Arial"/>
              </w:rPr>
              <w:t>211,212</w:t>
            </w:r>
          </w:p>
        </w:tc>
      </w:tr>
      <w:tr w:rsidR="00DC0A66" w:rsidRPr="00CC7E24" w:rsidTr="009047FD">
        <w:tblPrEx>
          <w:tblLook w:val="01E0" w:firstRow="1" w:lastRow="1" w:firstColumn="1" w:lastColumn="1" w:noHBand="0" w:noVBand="0"/>
        </w:tblPrEx>
        <w:trPr>
          <w:cantSplit/>
        </w:trPr>
        <w:tc>
          <w:tcPr>
            <w:tcW w:w="1644" w:type="pct"/>
            <w:vMerge/>
            <w:tcBorders>
              <w:top w:val="nil"/>
            </w:tcBorders>
            <w:shd w:val="clear" w:color="auto" w:fill="auto"/>
          </w:tcPr>
          <w:p w:rsidR="00DC0A66" w:rsidRPr="00CC7E24" w:rsidRDefault="00DC0A66" w:rsidP="009047FD">
            <w:pPr>
              <w:pStyle w:val="TableText"/>
            </w:pPr>
          </w:p>
        </w:tc>
        <w:tc>
          <w:tcPr>
            <w:tcW w:w="745" w:type="pct"/>
            <w:tcBorders>
              <w:top w:val="nil"/>
            </w:tcBorders>
            <w:shd w:val="clear" w:color="auto" w:fill="auto"/>
          </w:tcPr>
          <w:p w:rsidR="00DC0A66" w:rsidRPr="00CC7E24" w:rsidRDefault="00DC0A66" w:rsidP="009047FD">
            <w:pPr>
              <w:pStyle w:val="TableText"/>
              <w:rPr>
                <w:rFonts w:cs="Arial"/>
              </w:rPr>
            </w:pPr>
            <w:r w:rsidRPr="00CC7E24">
              <w:rPr>
                <w:rFonts w:cs="Arial"/>
              </w:rPr>
              <w:t>Adults</w:t>
            </w:r>
          </w:p>
        </w:tc>
        <w:tc>
          <w:tcPr>
            <w:tcW w:w="830" w:type="pct"/>
            <w:tcBorders>
              <w:top w:val="nil"/>
            </w:tcBorders>
            <w:shd w:val="clear" w:color="auto" w:fill="auto"/>
          </w:tcPr>
          <w:p w:rsidR="00DC0A66" w:rsidRPr="00CC7E24" w:rsidRDefault="00DC0A66" w:rsidP="009047FD">
            <w:pPr>
              <w:pStyle w:val="TableText"/>
              <w:tabs>
                <w:tab w:val="decimal" w:pos="959"/>
              </w:tabs>
              <w:rPr>
                <w:rFonts w:cs="Arial"/>
              </w:rPr>
            </w:pPr>
            <w:r>
              <w:rPr>
                <w:rFonts w:cs="Arial"/>
              </w:rPr>
              <w:t>3544</w:t>
            </w:r>
          </w:p>
        </w:tc>
        <w:tc>
          <w:tcPr>
            <w:tcW w:w="911" w:type="pct"/>
            <w:tcBorders>
              <w:top w:val="nil"/>
            </w:tcBorders>
            <w:shd w:val="clear" w:color="auto" w:fill="auto"/>
          </w:tcPr>
          <w:p w:rsidR="00DC0A66" w:rsidRPr="00CC7E24" w:rsidRDefault="00DC0A66" w:rsidP="009047FD">
            <w:pPr>
              <w:pStyle w:val="TableText"/>
              <w:tabs>
                <w:tab w:val="decimal" w:pos="1024"/>
              </w:tabs>
              <w:rPr>
                <w:rFonts w:cs="Arial"/>
              </w:rPr>
            </w:pPr>
            <w:r>
              <w:rPr>
                <w:rFonts w:cs="Arial"/>
                <w:bCs/>
              </w:rPr>
              <w:t>3285</w:t>
            </w:r>
          </w:p>
        </w:tc>
        <w:tc>
          <w:tcPr>
            <w:tcW w:w="870" w:type="pct"/>
            <w:tcBorders>
              <w:top w:val="nil"/>
            </w:tcBorders>
            <w:shd w:val="clear" w:color="auto" w:fill="auto"/>
          </w:tcPr>
          <w:p w:rsidR="00DC0A66" w:rsidRPr="00CC7E24" w:rsidRDefault="00DC0A66" w:rsidP="009047FD">
            <w:pPr>
              <w:pStyle w:val="TableText"/>
              <w:jc w:val="center"/>
              <w:rPr>
                <w:rFonts w:cs="Arial"/>
              </w:rPr>
            </w:pPr>
            <w:r>
              <w:rPr>
                <w:rFonts w:cs="Arial"/>
              </w:rPr>
              <w:t>712,014</w:t>
            </w:r>
          </w:p>
        </w:tc>
      </w:tr>
    </w:tbl>
    <w:bookmarkEnd w:id="279"/>
    <w:p w:rsidR="00981544" w:rsidRDefault="00DC0A66" w:rsidP="009047FD">
      <w:pPr>
        <w:pStyle w:val="Note"/>
      </w:pPr>
      <w:r w:rsidRPr="002201DB">
        <w:t>Note:</w:t>
      </w:r>
    </w:p>
    <w:p w:rsidR="00DC0A66" w:rsidRDefault="00DC0A66" w:rsidP="009047FD">
      <w:pPr>
        <w:pStyle w:val="Note"/>
      </w:pPr>
      <w:r>
        <w:t>*</w:t>
      </w:r>
      <w:r w:rsidR="009047FD">
        <w:tab/>
      </w:r>
      <w:r w:rsidRPr="002201DB">
        <w:t>These numbers are based on the number of respondents with valid height and weight measurements, and they exclude 201 pregnant women</w:t>
      </w:r>
      <w:r>
        <w:t>,</w:t>
      </w:r>
      <w:r w:rsidRPr="002201DB">
        <w:t xml:space="preserve"> who are not eligible to be measured</w:t>
      </w:r>
      <w:r>
        <w:t>.</w:t>
      </w:r>
    </w:p>
    <w:p w:rsidR="009047FD" w:rsidRPr="009047FD" w:rsidRDefault="009047FD" w:rsidP="009047FD"/>
    <w:p w:rsidR="00DC0A66" w:rsidRDefault="00DC0A66" w:rsidP="0058027F">
      <w:pPr>
        <w:pStyle w:val="Heading1"/>
      </w:pPr>
      <w:bookmarkStart w:id="304" w:name="_Toc467491556"/>
      <w:bookmarkStart w:id="305" w:name="_Toc467515158"/>
      <w:bookmarkStart w:id="306" w:name="_Toc199225810"/>
      <w:r>
        <w:lastRenderedPageBreak/>
        <w:t>Section 10</w:t>
      </w:r>
      <w:r w:rsidRPr="00CC7E24">
        <w:t xml:space="preserve">: </w:t>
      </w:r>
      <w:r>
        <w:t>Errors in previously published statistics</w:t>
      </w:r>
      <w:bookmarkEnd w:id="304"/>
      <w:bookmarkEnd w:id="305"/>
    </w:p>
    <w:p w:rsidR="00DC0A66" w:rsidRDefault="00DC0A66" w:rsidP="0058027F">
      <w:r>
        <w:t>T</w:t>
      </w:r>
      <w:r w:rsidRPr="00A85A25">
        <w:t xml:space="preserve">his section </w:t>
      </w:r>
      <w:r>
        <w:t>notifies NZHS users about errors in the statistics published in previous annual reports.</w:t>
      </w:r>
      <w:r w:rsidDel="000B7A92">
        <w:t xml:space="preserve"> </w:t>
      </w:r>
      <w:r w:rsidRPr="00460249">
        <w:t xml:space="preserve">These errors </w:t>
      </w:r>
      <w:r>
        <w:t>occurred as a result of independent events at different stages of the survey process, which are explained below.</w:t>
      </w:r>
    </w:p>
    <w:p w:rsidR="00DC0A66" w:rsidRDefault="00DC0A66" w:rsidP="0058027F"/>
    <w:p w:rsidR="00DC0A66" w:rsidRDefault="00DC0A66" w:rsidP="0058027F">
      <w:r>
        <w:t>Revisions to the data and statistics have been made as these errors have been uncovered. The size of the revisions has generally been very small, with the corrected statistics well within the confidence interval limits of the originally published statistics.</w:t>
      </w:r>
    </w:p>
    <w:p w:rsidR="00DC0A66" w:rsidRDefault="00DC0A66" w:rsidP="0058027F"/>
    <w:p w:rsidR="00DC0A66" w:rsidRDefault="00DC0A66" w:rsidP="0058027F">
      <w:pPr>
        <w:pStyle w:val="Heading2"/>
      </w:pPr>
      <w:bookmarkStart w:id="307" w:name="_Toc467491557"/>
      <w:bookmarkStart w:id="308" w:name="_Toc467515159"/>
      <w:r>
        <w:t>Year 1, 2, 3 and 4 child nutrition indicators</w:t>
      </w:r>
      <w:bookmarkEnd w:id="307"/>
      <w:bookmarkEnd w:id="308"/>
    </w:p>
    <w:p w:rsidR="00981544" w:rsidRDefault="00DC0A66" w:rsidP="0058027F">
      <w:r>
        <w:t>The</w:t>
      </w:r>
      <w:r w:rsidRPr="00F04D3D">
        <w:t xml:space="preserve"> statistics for </w:t>
      </w:r>
      <w:r w:rsidRPr="008449F0">
        <w:t xml:space="preserve">the </w:t>
      </w:r>
      <w:r>
        <w:t xml:space="preserve">two </w:t>
      </w:r>
      <w:r w:rsidRPr="008449F0">
        <w:t xml:space="preserve">child </w:t>
      </w:r>
      <w:r>
        <w:t xml:space="preserve">nutrition </w:t>
      </w:r>
      <w:r w:rsidRPr="008449F0">
        <w:t>indicator</w:t>
      </w:r>
      <w:r>
        <w:t>s</w:t>
      </w:r>
      <w:r w:rsidRPr="008449F0">
        <w:t xml:space="preserve"> </w:t>
      </w:r>
      <w:r w:rsidR="00981544">
        <w:t>‘</w:t>
      </w:r>
      <w:r w:rsidRPr="008449F0">
        <w:t>solid food given before four months of age</w:t>
      </w:r>
      <w:r w:rsidR="00981544">
        <w:t>’</w:t>
      </w:r>
      <w:r w:rsidRPr="00F63CCC">
        <w:t xml:space="preserve"> </w:t>
      </w:r>
      <w:r>
        <w:t xml:space="preserve">and </w:t>
      </w:r>
      <w:r w:rsidR="00981544">
        <w:t>‘</w:t>
      </w:r>
      <w:r>
        <w:t>solid food given before six</w:t>
      </w:r>
      <w:r w:rsidRPr="008449F0">
        <w:t xml:space="preserve"> months of age</w:t>
      </w:r>
      <w:r w:rsidR="00981544">
        <w:t>’</w:t>
      </w:r>
      <w:r>
        <w:t xml:space="preserve"> in years 1–4 of the NZHS have been corrected</w:t>
      </w:r>
      <w:r w:rsidRPr="00F63CCC">
        <w:t>.</w:t>
      </w:r>
    </w:p>
    <w:p w:rsidR="00DC0A66" w:rsidRDefault="00DC0A66" w:rsidP="0058027F"/>
    <w:p w:rsidR="00DC0A66" w:rsidRDefault="00DC0A66" w:rsidP="0058027F">
      <w:r w:rsidRPr="00CE2CD0">
        <w:t xml:space="preserve">There </w:t>
      </w:r>
      <w:r w:rsidRPr="00DF62EA">
        <w:t>were two errors</w:t>
      </w:r>
      <w:r w:rsidRPr="00BA10DB">
        <w:t xml:space="preserve">. </w:t>
      </w:r>
      <w:r w:rsidRPr="0096502F">
        <w:t xml:space="preserve">Firstly, </w:t>
      </w:r>
      <w:r>
        <w:t xml:space="preserve">the </w:t>
      </w:r>
      <w:r w:rsidR="00981544">
        <w:t>‘</w:t>
      </w:r>
      <w:r w:rsidRPr="008449F0">
        <w:t>solid food given before four months of age</w:t>
      </w:r>
      <w:r w:rsidR="00981544">
        <w:t>’</w:t>
      </w:r>
      <w:r w:rsidRPr="00070BBD">
        <w:t xml:space="preserve"> </w:t>
      </w:r>
      <w:r w:rsidRPr="00F63CCC">
        <w:t xml:space="preserve">indicator was supposed to report for children aged four months to four years, </w:t>
      </w:r>
      <w:r>
        <w:t xml:space="preserve">and </w:t>
      </w:r>
      <w:r w:rsidR="00981544">
        <w:t>‘</w:t>
      </w:r>
      <w:r>
        <w:t>solid food given before six</w:t>
      </w:r>
      <w:r w:rsidRPr="008449F0">
        <w:t xml:space="preserve"> months of age</w:t>
      </w:r>
      <w:r w:rsidR="00981544">
        <w:t>’</w:t>
      </w:r>
      <w:r>
        <w:t xml:space="preserve"> </w:t>
      </w:r>
      <w:r w:rsidRPr="00070BBD">
        <w:t xml:space="preserve">was supposed </w:t>
      </w:r>
      <w:r>
        <w:t>to report for children aged six</w:t>
      </w:r>
      <w:r w:rsidRPr="00070BBD">
        <w:t xml:space="preserve"> months to four years</w:t>
      </w:r>
      <w:r>
        <w:t>. However, t</w:t>
      </w:r>
      <w:r w:rsidRPr="00F63CCC">
        <w:t xml:space="preserve">he denominator </w:t>
      </w:r>
      <w:r>
        <w:t xml:space="preserve">of the </w:t>
      </w:r>
      <w:r w:rsidR="00981544">
        <w:t>‘</w:t>
      </w:r>
      <w:r w:rsidRPr="008449F0">
        <w:t>solid food given before four months of age</w:t>
      </w:r>
      <w:r w:rsidR="00981544">
        <w:t>’</w:t>
      </w:r>
      <w:r>
        <w:t xml:space="preserve"> indicator </w:t>
      </w:r>
      <w:r w:rsidRPr="00F63CCC">
        <w:t>mistakenly included those children aged 0</w:t>
      </w:r>
      <w:r>
        <w:t>–</w:t>
      </w:r>
      <w:r w:rsidRPr="00F63CCC">
        <w:t xml:space="preserve">4 months </w:t>
      </w:r>
      <w:r w:rsidRPr="005D2D01">
        <w:t>as well</w:t>
      </w:r>
      <w:r>
        <w:t>, and</w:t>
      </w:r>
      <w:r w:rsidRPr="00116BF7">
        <w:t xml:space="preserve"> </w:t>
      </w:r>
      <w:r>
        <w:t xml:space="preserve">the </w:t>
      </w:r>
      <w:r w:rsidR="00981544">
        <w:t>‘</w:t>
      </w:r>
      <w:r>
        <w:t>solid food given before six</w:t>
      </w:r>
      <w:r w:rsidRPr="008449F0">
        <w:t xml:space="preserve"> months of age</w:t>
      </w:r>
      <w:r w:rsidR="00981544">
        <w:t>’</w:t>
      </w:r>
      <w:r>
        <w:t xml:space="preserve"> indicator </w:t>
      </w:r>
      <w:r w:rsidRPr="00070BBD">
        <w:t xml:space="preserve">mistakenly </w:t>
      </w:r>
      <w:r>
        <w:t>included those children aged 0–6</w:t>
      </w:r>
      <w:r w:rsidRPr="00070BBD">
        <w:t xml:space="preserve"> months as well</w:t>
      </w:r>
      <w:r>
        <w:t>.</w:t>
      </w:r>
    </w:p>
    <w:p w:rsidR="00DC0A66" w:rsidRPr="00AD1CDC" w:rsidRDefault="00DC0A66" w:rsidP="0058027F"/>
    <w:p w:rsidR="00DC0A66" w:rsidRPr="001964FF" w:rsidRDefault="00DC0A66" w:rsidP="0058027F">
      <w:pPr>
        <w:rPr>
          <w:b/>
        </w:rPr>
      </w:pPr>
      <w:r w:rsidRPr="00F63CCC">
        <w:t xml:space="preserve">Secondly, there was a </w:t>
      </w:r>
      <w:r w:rsidR="00981544">
        <w:t>‘</w:t>
      </w:r>
      <w:r w:rsidRPr="00F63CCC">
        <w:t>Not applicable</w:t>
      </w:r>
      <w:r w:rsidR="00981544">
        <w:t>’</w:t>
      </w:r>
      <w:r w:rsidRPr="00F63CCC">
        <w:t xml:space="preserve"> code in the questionnaire for those children not yet given solids</w:t>
      </w:r>
      <w:r>
        <w:t xml:space="preserve">. This </w:t>
      </w:r>
      <w:r w:rsidR="00981544">
        <w:t>‘</w:t>
      </w:r>
      <w:r>
        <w:t>Not applicable</w:t>
      </w:r>
      <w:r w:rsidR="00981544">
        <w:t>’</w:t>
      </w:r>
      <w:r>
        <w:t xml:space="preserve"> category was treated as </w:t>
      </w:r>
      <w:r w:rsidR="00981544">
        <w:t>‘</w:t>
      </w:r>
      <w:r>
        <w:t>missing</w:t>
      </w:r>
      <w:r w:rsidR="00981544">
        <w:t>’</w:t>
      </w:r>
      <w:r>
        <w:t xml:space="preserve"> and not properly considered in the calculation of the statistics for both indicators.</w:t>
      </w:r>
    </w:p>
    <w:p w:rsidR="00DC0A66" w:rsidRDefault="00DC0A66" w:rsidP="0058027F"/>
    <w:p w:rsidR="00DC0A66" w:rsidRDefault="00DC0A66" w:rsidP="0058027F">
      <w:pPr>
        <w:pStyle w:val="Heading2"/>
      </w:pPr>
      <w:bookmarkStart w:id="309" w:name="_Toc467491558"/>
      <w:bookmarkStart w:id="310" w:name="_Toc467515160"/>
      <w:r>
        <w:t>Year 1, 2 and 3 estimation weights</w:t>
      </w:r>
      <w:bookmarkEnd w:id="309"/>
      <w:bookmarkEnd w:id="310"/>
    </w:p>
    <w:p w:rsidR="00DC0A66" w:rsidRDefault="00DC0A66" w:rsidP="0058027F">
      <w:r>
        <w:t xml:space="preserve">The NZHS sample design involves selecting households systematically within </w:t>
      </w:r>
      <w:proofErr w:type="spellStart"/>
      <w:r>
        <w:t>meshblocks</w:t>
      </w:r>
      <w:proofErr w:type="spellEnd"/>
      <w:r>
        <w:t>, using a skip algorithm. In years 1 to 3 of the survey (</w:t>
      </w:r>
      <w:proofErr w:type="spellStart"/>
      <w:r>
        <w:t>ie</w:t>
      </w:r>
      <w:proofErr w:type="spellEnd"/>
      <w:r>
        <w:t xml:space="preserve">, 2011/12, 2012/13 and 2013/14), the skips used were different from those specified in the design. In particular, households in higher-growth </w:t>
      </w:r>
      <w:proofErr w:type="spellStart"/>
      <w:r>
        <w:t>meshblocks</w:t>
      </w:r>
      <w:proofErr w:type="spellEnd"/>
      <w:r>
        <w:t xml:space="preserve"> had a lower probability of selection than intended.</w:t>
      </w:r>
    </w:p>
    <w:p w:rsidR="00DC0A66" w:rsidRDefault="00DC0A66" w:rsidP="0058027F"/>
    <w:p w:rsidR="00981544" w:rsidRDefault="00DC0A66" w:rsidP="0058027F">
      <w:r>
        <w:t>The estimation weights for respondents in years 1, 2 and 3 had previously been calculated using the intended probabilities of selection. The estimation weight of every respondent in years 1, 2 and 3 has now been recalculated to reflect each respondent</w:t>
      </w:r>
      <w:r w:rsidR="00981544">
        <w:t>’</w:t>
      </w:r>
      <w:r>
        <w:t>s actual probability of selection.</w:t>
      </w:r>
    </w:p>
    <w:p w:rsidR="00DC0A66" w:rsidRDefault="00DC0A66" w:rsidP="0058027F"/>
    <w:p w:rsidR="00DC0A66" w:rsidRDefault="00DC0A66" w:rsidP="0058027F">
      <w:r>
        <w:t>The revisions to the weights also took advantage of the availability of revised population estimates from Statistics New Zealand for the period between 2006 and 2013, which have been re-based to the 2013 Census.</w:t>
      </w:r>
    </w:p>
    <w:p w:rsidR="00DC0A66" w:rsidRDefault="00DC0A66" w:rsidP="0058027F"/>
    <w:p w:rsidR="00DC0A66" w:rsidRDefault="00DC0A66" w:rsidP="0058027F">
      <w:r>
        <w:t>The revisions to the weights mean that all year 1, 2 and 3 indicators in the year 4 report and accompanying tables may be different to those previously published.</w:t>
      </w:r>
    </w:p>
    <w:p w:rsidR="00DC0A66" w:rsidRDefault="00DC0A66" w:rsidP="0058027F"/>
    <w:p w:rsidR="00DC0A66" w:rsidRDefault="00DC0A66" w:rsidP="0058027F">
      <w:pPr>
        <w:keepLines/>
      </w:pPr>
      <w:r>
        <w:lastRenderedPageBreak/>
        <w:t xml:space="preserve">An additional issue was that some respondents in the final quarter of year 3 were incorrectly assigned to an NZDep2013 quintile because they had been surveyed in a 2006 </w:t>
      </w:r>
      <w:proofErr w:type="spellStart"/>
      <w:r>
        <w:t>meshblock</w:t>
      </w:r>
      <w:proofErr w:type="spellEnd"/>
      <w:r>
        <w:t xml:space="preserve"> that was split by Statistics New Zealand into two or more new </w:t>
      </w:r>
      <w:proofErr w:type="spellStart"/>
      <w:r>
        <w:t>meshblocks</w:t>
      </w:r>
      <w:proofErr w:type="spellEnd"/>
      <w:r>
        <w:t xml:space="preserve"> in the 2013 </w:t>
      </w:r>
      <w:proofErr w:type="spellStart"/>
      <w:r>
        <w:t>meshblock</w:t>
      </w:r>
      <w:proofErr w:type="spellEnd"/>
      <w:r>
        <w:t xml:space="preserve"> pattern. These respondents have now been geo-coded to 2013 </w:t>
      </w:r>
      <w:proofErr w:type="spellStart"/>
      <w:r>
        <w:t>meshblocks</w:t>
      </w:r>
      <w:proofErr w:type="spellEnd"/>
      <w:r>
        <w:t xml:space="preserve"> and the correct NZDep2013 quintile used in both the calibration of the year 3 weights and all year 3 analyses by NZDep2013.</w:t>
      </w:r>
    </w:p>
    <w:p w:rsidR="00DC0A66" w:rsidRDefault="00DC0A66" w:rsidP="0058027F"/>
    <w:p w:rsidR="00981544" w:rsidRDefault="00DC0A66" w:rsidP="0058027F">
      <w:pPr>
        <w:pStyle w:val="Heading2"/>
      </w:pPr>
      <w:bookmarkStart w:id="311" w:name="_Toc467491559"/>
      <w:bookmarkStart w:id="312" w:name="_Toc467515161"/>
      <w:r>
        <w:t>Y</w:t>
      </w:r>
      <w:r w:rsidRPr="005B7AAA">
        <w:t xml:space="preserve">ear 1, 2 and 3 </w:t>
      </w:r>
      <w:r>
        <w:t>obesity cut-off</w:t>
      </w:r>
      <w:r w:rsidRPr="005B7AAA">
        <w:t>s</w:t>
      </w:r>
      <w:bookmarkEnd w:id="311"/>
      <w:bookmarkEnd w:id="312"/>
    </w:p>
    <w:p w:rsidR="00DC0A66" w:rsidRDefault="00DC0A66" w:rsidP="0058027F">
      <w:r>
        <w:t xml:space="preserve">The statistics for underweight, healthy weight, overweight and obese classes in the </w:t>
      </w:r>
      <w:r>
        <w:rPr>
          <w:rFonts w:eastAsia="Cambria"/>
          <w:lang w:eastAsia="en-US"/>
        </w:rPr>
        <w:t xml:space="preserve">2011/12 and 2012/13 NZHS reports were based </w:t>
      </w:r>
      <w:r>
        <w:t xml:space="preserve">on the </w:t>
      </w:r>
      <w:r w:rsidRPr="00960D16">
        <w:t xml:space="preserve">International Obesity </w:t>
      </w:r>
      <w:proofErr w:type="spellStart"/>
      <w:r w:rsidRPr="00960D16">
        <w:t>Task</w:t>
      </w:r>
      <w:r>
        <w:t>F</w:t>
      </w:r>
      <w:r w:rsidRPr="00960D16">
        <w:t>orce</w:t>
      </w:r>
      <w:proofErr w:type="spellEnd"/>
      <w:r w:rsidRPr="00960D16">
        <w:t xml:space="preserve"> </w:t>
      </w:r>
      <w:r>
        <w:t>(</w:t>
      </w:r>
      <w:r w:rsidRPr="00960D16">
        <w:t>IOTF</w:t>
      </w:r>
      <w:r>
        <w:t>)</w:t>
      </w:r>
      <w:r w:rsidRPr="00960D16">
        <w:t xml:space="preserve"> </w:t>
      </w:r>
      <w:r>
        <w:t>cut-off values for BMI published in Cole et al (2000, 2007).</w:t>
      </w:r>
    </w:p>
    <w:p w:rsidR="00DC0A66" w:rsidRDefault="00DC0A66" w:rsidP="0058027F"/>
    <w:p w:rsidR="00DC0A66" w:rsidRDefault="00DC0A66" w:rsidP="0058027F">
      <w:r>
        <w:t xml:space="preserve">In 2012, the IOTF slightly revised the cut-off values for those aged 2–18 years (Cole and </w:t>
      </w:r>
      <w:proofErr w:type="spellStart"/>
      <w:r>
        <w:t>Lobstein</w:t>
      </w:r>
      <w:proofErr w:type="spellEnd"/>
      <w:r>
        <w:t xml:space="preserve"> 2012). While the Indicator Interpretation Guide that accompanied the 2013/14 annual report included a table of the revised cut-off values, the 2013/14 statistics were mistakenly calculated using the old IOTF cut-off values.</w:t>
      </w:r>
    </w:p>
    <w:p w:rsidR="00981544" w:rsidRDefault="00981544" w:rsidP="0058027F"/>
    <w:p w:rsidR="00DC0A66" w:rsidRDefault="00DC0A66" w:rsidP="0058027F">
      <w:r>
        <w:t>The revised IOTF cut-off values have now been used to calculate the proportion of underweight, healthy weight, overweight and obese classes in all years of the continuous NZHS.</w:t>
      </w:r>
    </w:p>
    <w:p w:rsidR="00DC0A66" w:rsidRDefault="00DC0A66" w:rsidP="0058027F"/>
    <w:p w:rsidR="00DC0A66" w:rsidRDefault="00DC0A66" w:rsidP="0058027F">
      <w:pPr>
        <w:pStyle w:val="Heading2"/>
      </w:pPr>
      <w:bookmarkStart w:id="313" w:name="_Toc467491560"/>
      <w:bookmarkStart w:id="314" w:name="_Toc467515162"/>
      <w:r>
        <w:t>Year 2 height measurements</w:t>
      </w:r>
      <w:bookmarkEnd w:id="313"/>
      <w:bookmarkEnd w:id="314"/>
    </w:p>
    <w:p w:rsidR="00DC0A66" w:rsidRDefault="00DC0A66" w:rsidP="0058027F">
      <w:r>
        <w:t>After publishing the year 2 (2012/13) report, it was discovered that all height measurements for the year 2 respondents had been truncated to the next lowest centimetre. Heights are measured and recorded by CBG</w:t>
      </w:r>
      <w:r w:rsidR="00981544">
        <w:t>’</w:t>
      </w:r>
      <w:r>
        <w:t>s surveyors to the nearest 0.1 centimetre, but an error had occurred in transferring the data to the Ministry.</w:t>
      </w:r>
    </w:p>
    <w:p w:rsidR="00DC0A66" w:rsidRDefault="00DC0A66" w:rsidP="0058027F"/>
    <w:p w:rsidR="00DC0A66" w:rsidRDefault="00DC0A66" w:rsidP="0058027F">
      <w:r>
        <w:t>Revised height measurements were used in all analyses of year 2 data for the year 3 (2013/14) annual report. Because respondents appeared to be shorter than they really were, the prevalence of obesity reported in year 2 was slightly overstated.</w:t>
      </w:r>
    </w:p>
    <w:p w:rsidR="00DC0A66" w:rsidRDefault="00DC0A66" w:rsidP="0058027F"/>
    <w:p w:rsidR="00DC0A66" w:rsidRDefault="00DC0A66" w:rsidP="0058027F">
      <w:pPr>
        <w:pStyle w:val="Heading2"/>
      </w:pPr>
      <w:bookmarkStart w:id="315" w:name="_Toc467491561"/>
      <w:bookmarkStart w:id="316" w:name="_Toc467515163"/>
      <w:r>
        <w:t>Surveyor dishonesty in year 1</w:t>
      </w:r>
      <w:bookmarkEnd w:id="315"/>
      <w:bookmarkEnd w:id="316"/>
    </w:p>
    <w:p w:rsidR="00981544" w:rsidRDefault="00DC0A66" w:rsidP="0058027F">
      <w:r>
        <w:t xml:space="preserve">Just before publishing the year 1 (2011/12) report, dishonest practice </w:t>
      </w:r>
      <w:r w:rsidRPr="00812ECB">
        <w:t>was discovered in one surveyor</w:t>
      </w:r>
      <w:r w:rsidR="00981544">
        <w:t>’</w:t>
      </w:r>
      <w:r w:rsidRPr="00812ECB">
        <w:t xml:space="preserve">s work in </w:t>
      </w:r>
      <w:r>
        <w:t>the areas of Hutt Valley and Capital &amp; Coast DHBs. The affected data were removed and those households re-interviewed. The year 1 report was published without the data of the re-interviewed households.</w:t>
      </w:r>
    </w:p>
    <w:p w:rsidR="00DC0A66" w:rsidRDefault="00DC0A66" w:rsidP="0058027F"/>
    <w:p w:rsidR="00DC0A66" w:rsidRDefault="00DC0A66" w:rsidP="0058027F">
      <w:r>
        <w:t>Subsequently the re-interviewed records were included in the year 1 data set and the estimation weights recalculated. All year 1 statistics in the annual reports from year 2 onwards are based on the revised year 1 data set.</w:t>
      </w:r>
    </w:p>
    <w:p w:rsidR="00DC0A66" w:rsidRDefault="00DC0A66" w:rsidP="0058027F"/>
    <w:p w:rsidR="00DC0A66" w:rsidRPr="0058027F" w:rsidRDefault="00DC0A66" w:rsidP="0058027F">
      <w:pPr>
        <w:pStyle w:val="Heading1"/>
      </w:pPr>
      <w:bookmarkStart w:id="317" w:name="_Toc340501960"/>
      <w:bookmarkStart w:id="318" w:name="_Toc372445580"/>
      <w:bookmarkStart w:id="319" w:name="_Toc403044035"/>
      <w:bookmarkStart w:id="320" w:name="_Toc467491562"/>
      <w:bookmarkStart w:id="321" w:name="_Toc467515164"/>
      <w:bookmarkStart w:id="322" w:name="_Toc339270046"/>
      <w:bookmarkEnd w:id="306"/>
      <w:r w:rsidRPr="00CC7E24">
        <w:lastRenderedPageBreak/>
        <w:t>References</w:t>
      </w:r>
      <w:bookmarkEnd w:id="317"/>
      <w:bookmarkEnd w:id="318"/>
      <w:bookmarkEnd w:id="319"/>
      <w:bookmarkEnd w:id="320"/>
      <w:bookmarkEnd w:id="321"/>
    </w:p>
    <w:p w:rsidR="00DC0A66" w:rsidRPr="00F20E7F" w:rsidRDefault="00DC0A66" w:rsidP="00DC0A66">
      <w:pPr>
        <w:pStyle w:val="References"/>
      </w:pPr>
      <w:r w:rsidRPr="001B6D3B">
        <w:t xml:space="preserve">Ahmad O, </w:t>
      </w:r>
      <w:proofErr w:type="spellStart"/>
      <w:r w:rsidRPr="001B6D3B">
        <w:t>Boschi</w:t>
      </w:r>
      <w:proofErr w:type="spellEnd"/>
      <w:r w:rsidRPr="001B6D3B">
        <w:t xml:space="preserve">-Pinto C, Lopez A, et al. 2000. </w:t>
      </w:r>
      <w:r w:rsidRPr="001B6D3B">
        <w:rPr>
          <w:i/>
        </w:rPr>
        <w:t xml:space="preserve">Age-standardization of </w:t>
      </w:r>
      <w:r>
        <w:rPr>
          <w:i/>
        </w:rPr>
        <w:t>R</w:t>
      </w:r>
      <w:r w:rsidRPr="001B6D3B">
        <w:rPr>
          <w:i/>
        </w:rPr>
        <w:t>ates: A new WHO standard</w:t>
      </w:r>
      <w:r w:rsidRPr="00F20E7F">
        <w:t>. Geneva: World Health Organization.</w:t>
      </w:r>
    </w:p>
    <w:p w:rsidR="00DC0A66" w:rsidRDefault="00DC0A66" w:rsidP="00DC0A66">
      <w:pPr>
        <w:pStyle w:val="References"/>
        <w:rPr>
          <w:szCs w:val="21"/>
        </w:rPr>
      </w:pPr>
      <w:r w:rsidRPr="006829B3">
        <w:t xml:space="preserve">Atkinson J, </w:t>
      </w:r>
      <w:proofErr w:type="spellStart"/>
      <w:r w:rsidRPr="006829B3">
        <w:rPr>
          <w:szCs w:val="21"/>
        </w:rPr>
        <w:t>Salmond</w:t>
      </w:r>
      <w:proofErr w:type="spellEnd"/>
      <w:r w:rsidRPr="006829B3">
        <w:rPr>
          <w:szCs w:val="21"/>
        </w:rPr>
        <w:t xml:space="preserve"> C, </w:t>
      </w:r>
      <w:proofErr w:type="spellStart"/>
      <w:r w:rsidRPr="006829B3">
        <w:rPr>
          <w:szCs w:val="21"/>
        </w:rPr>
        <w:t>Crampton</w:t>
      </w:r>
      <w:proofErr w:type="spellEnd"/>
      <w:r w:rsidRPr="006829B3">
        <w:rPr>
          <w:szCs w:val="21"/>
        </w:rPr>
        <w:t xml:space="preserve"> P. 2014. </w:t>
      </w:r>
      <w:r w:rsidRPr="006829B3">
        <w:rPr>
          <w:i/>
          <w:szCs w:val="21"/>
        </w:rPr>
        <w:t>NZDep2013 Index of Deprivation</w:t>
      </w:r>
      <w:r w:rsidRPr="001B6D3B">
        <w:rPr>
          <w:szCs w:val="21"/>
        </w:rPr>
        <w:t xml:space="preserve">. Wellington: Department of Public Health, University of </w:t>
      </w:r>
      <w:proofErr w:type="spellStart"/>
      <w:r w:rsidRPr="001B6D3B">
        <w:rPr>
          <w:szCs w:val="21"/>
        </w:rPr>
        <w:t>Otago</w:t>
      </w:r>
      <w:proofErr w:type="spellEnd"/>
      <w:r w:rsidRPr="001B6D3B">
        <w:rPr>
          <w:szCs w:val="21"/>
        </w:rPr>
        <w:t>.</w:t>
      </w:r>
    </w:p>
    <w:p w:rsidR="00DC0A66" w:rsidRPr="00DE134C" w:rsidRDefault="00DC0A66" w:rsidP="00DC0A66">
      <w:pPr>
        <w:pStyle w:val="References"/>
        <w:rPr>
          <w:spacing w:val="-2"/>
          <w:szCs w:val="21"/>
        </w:rPr>
      </w:pPr>
      <w:proofErr w:type="spellStart"/>
      <w:r w:rsidRPr="00DE134C">
        <w:rPr>
          <w:spacing w:val="-2"/>
          <w:szCs w:val="21"/>
        </w:rPr>
        <w:t>Bieler</w:t>
      </w:r>
      <w:proofErr w:type="spellEnd"/>
      <w:r w:rsidRPr="00DE134C">
        <w:rPr>
          <w:spacing w:val="-2"/>
          <w:szCs w:val="21"/>
        </w:rPr>
        <w:t xml:space="preserve"> GS, Brown GG, Williams RL, </w:t>
      </w:r>
      <w:r>
        <w:rPr>
          <w:spacing w:val="-2"/>
          <w:szCs w:val="21"/>
        </w:rPr>
        <w:t>et al</w:t>
      </w:r>
      <w:r w:rsidRPr="00DE134C">
        <w:rPr>
          <w:spacing w:val="-2"/>
          <w:szCs w:val="21"/>
        </w:rPr>
        <w:t xml:space="preserve">. 2010. Estimating model-adjusted risks, risk differences, and risk ratios from complex survey data. </w:t>
      </w:r>
      <w:r w:rsidRPr="00DE134C">
        <w:rPr>
          <w:i/>
          <w:spacing w:val="-2"/>
          <w:szCs w:val="21"/>
        </w:rPr>
        <w:t>American Journal of Epidemiology</w:t>
      </w:r>
      <w:r w:rsidRPr="00DE134C">
        <w:rPr>
          <w:spacing w:val="-2"/>
          <w:szCs w:val="21"/>
        </w:rPr>
        <w:t xml:space="preserve"> 171:</w:t>
      </w:r>
      <w:r w:rsidR="00003291">
        <w:rPr>
          <w:spacing w:val="-2"/>
          <w:szCs w:val="21"/>
        </w:rPr>
        <w:t xml:space="preserve"> </w:t>
      </w:r>
      <w:r w:rsidRPr="00DE134C">
        <w:rPr>
          <w:spacing w:val="-2"/>
          <w:szCs w:val="21"/>
        </w:rPr>
        <w:t>618</w:t>
      </w:r>
      <w:r>
        <w:rPr>
          <w:spacing w:val="-2"/>
          <w:szCs w:val="21"/>
        </w:rPr>
        <w:t>–</w:t>
      </w:r>
      <w:r w:rsidRPr="00DE134C">
        <w:rPr>
          <w:spacing w:val="-2"/>
          <w:szCs w:val="21"/>
        </w:rPr>
        <w:t>23.</w:t>
      </w:r>
    </w:p>
    <w:p w:rsidR="00DC0A66" w:rsidRDefault="00DC0A66" w:rsidP="00DC0A66">
      <w:pPr>
        <w:pStyle w:val="References"/>
      </w:pPr>
      <w:r w:rsidRPr="00981544">
        <w:rPr>
          <w:szCs w:val="21"/>
        </w:rPr>
        <w:t xml:space="preserve">Clark RG, Templeton R, </w:t>
      </w:r>
      <w:proofErr w:type="spellStart"/>
      <w:r w:rsidRPr="00981544">
        <w:rPr>
          <w:szCs w:val="21"/>
        </w:rPr>
        <w:t>McNicholas</w:t>
      </w:r>
      <w:proofErr w:type="spellEnd"/>
      <w:r w:rsidRPr="00981544">
        <w:rPr>
          <w:szCs w:val="21"/>
        </w:rPr>
        <w:t xml:space="preserve"> A. 2013. Developing the design of a continuous national health survey for New Zealand.</w:t>
      </w:r>
      <w:r w:rsidR="00003291">
        <w:rPr>
          <w:szCs w:val="21"/>
        </w:rPr>
        <w:t xml:space="preserve"> </w:t>
      </w:r>
      <w:r w:rsidRPr="00981544">
        <w:rPr>
          <w:i/>
          <w:iCs/>
          <w:szCs w:val="21"/>
        </w:rPr>
        <w:t>Population Health Metrics</w:t>
      </w:r>
      <w:r w:rsidRPr="00981544">
        <w:rPr>
          <w:szCs w:val="21"/>
        </w:rPr>
        <w:t xml:space="preserve"> </w:t>
      </w:r>
      <w:r w:rsidRPr="00981544">
        <w:rPr>
          <w:iCs/>
          <w:szCs w:val="21"/>
        </w:rPr>
        <w:t>11</w:t>
      </w:r>
      <w:r w:rsidRPr="00981544">
        <w:rPr>
          <w:szCs w:val="21"/>
        </w:rPr>
        <w:t xml:space="preserve">(1): 25. URL: </w:t>
      </w:r>
      <w:hyperlink r:id="rId35" w:history="1">
        <w:r w:rsidRPr="001B6D3B">
          <w:rPr>
            <w:rStyle w:val="Hyperlink"/>
          </w:rPr>
          <w:t>www.pophealthmetrics.com/content/11/1/25</w:t>
        </w:r>
      </w:hyperlink>
      <w:r w:rsidRPr="001B6D3B">
        <w:t xml:space="preserve"> </w:t>
      </w:r>
      <w:r>
        <w:t>(accessed 29 October 2015).</w:t>
      </w:r>
    </w:p>
    <w:p w:rsidR="00DC0A66" w:rsidRDefault="00DC0A66" w:rsidP="00003291">
      <w:pPr>
        <w:pStyle w:val="References"/>
        <w:rPr>
          <w:lang w:eastAsia="en-NZ"/>
        </w:rPr>
      </w:pPr>
      <w:r>
        <w:rPr>
          <w:lang w:eastAsia="en-NZ"/>
        </w:rPr>
        <w:t xml:space="preserve">Cole TJ, </w:t>
      </w:r>
      <w:proofErr w:type="spellStart"/>
      <w:r>
        <w:rPr>
          <w:lang w:eastAsia="en-NZ"/>
        </w:rPr>
        <w:t>Bellizzi</w:t>
      </w:r>
      <w:proofErr w:type="spellEnd"/>
      <w:r>
        <w:rPr>
          <w:lang w:eastAsia="en-NZ"/>
        </w:rPr>
        <w:t xml:space="preserve"> MC, </w:t>
      </w:r>
      <w:proofErr w:type="spellStart"/>
      <w:r>
        <w:rPr>
          <w:lang w:eastAsia="en-NZ"/>
        </w:rPr>
        <w:t>Flegal</w:t>
      </w:r>
      <w:proofErr w:type="spellEnd"/>
      <w:r>
        <w:rPr>
          <w:lang w:eastAsia="en-NZ"/>
        </w:rPr>
        <w:t xml:space="preserve"> KM, et al. 2000. Establishing a standard definition for child overweight and obesity worldwide: international survey. </w:t>
      </w:r>
      <w:r w:rsidRPr="0082049E">
        <w:rPr>
          <w:i/>
          <w:lang w:eastAsia="en-NZ"/>
        </w:rPr>
        <w:t xml:space="preserve">British Medical Journal </w:t>
      </w:r>
      <w:r>
        <w:rPr>
          <w:lang w:eastAsia="en-NZ"/>
        </w:rPr>
        <w:t>320(7244): 1240.</w:t>
      </w:r>
    </w:p>
    <w:p w:rsidR="00DC0A66" w:rsidRDefault="00DC0A66" w:rsidP="00003291">
      <w:pPr>
        <w:pStyle w:val="References"/>
        <w:rPr>
          <w:lang w:eastAsia="en-NZ"/>
        </w:rPr>
      </w:pPr>
      <w:r>
        <w:rPr>
          <w:lang w:eastAsia="en-NZ"/>
        </w:rPr>
        <w:t xml:space="preserve">Cole TJ, </w:t>
      </w:r>
      <w:proofErr w:type="spellStart"/>
      <w:r>
        <w:rPr>
          <w:lang w:eastAsia="en-NZ"/>
        </w:rPr>
        <w:t>Flegal</w:t>
      </w:r>
      <w:proofErr w:type="spellEnd"/>
      <w:r>
        <w:rPr>
          <w:lang w:eastAsia="en-NZ"/>
        </w:rPr>
        <w:t xml:space="preserve"> KM, Nicholls D, et al. 2007. Body mass index cut offs to define thinness in children and adolescents: international survey.</w:t>
      </w:r>
      <w:r w:rsidRPr="0082049E">
        <w:rPr>
          <w:i/>
          <w:lang w:eastAsia="en-NZ"/>
        </w:rPr>
        <w:t xml:space="preserve"> British Medical Journal </w:t>
      </w:r>
      <w:r>
        <w:rPr>
          <w:lang w:eastAsia="en-NZ"/>
        </w:rPr>
        <w:t>335(7612): 194.</w:t>
      </w:r>
    </w:p>
    <w:p w:rsidR="00DC0A66" w:rsidRDefault="00DC0A66" w:rsidP="00003291">
      <w:pPr>
        <w:pStyle w:val="References"/>
        <w:rPr>
          <w:lang w:eastAsia="en-NZ"/>
        </w:rPr>
      </w:pPr>
      <w:r>
        <w:rPr>
          <w:lang w:eastAsia="en-NZ"/>
        </w:rPr>
        <w:t xml:space="preserve">Cole TJ, </w:t>
      </w:r>
      <w:proofErr w:type="spellStart"/>
      <w:r>
        <w:rPr>
          <w:lang w:eastAsia="en-NZ"/>
        </w:rPr>
        <w:t>Lobstein</w:t>
      </w:r>
      <w:proofErr w:type="spellEnd"/>
      <w:r>
        <w:rPr>
          <w:lang w:eastAsia="en-NZ"/>
        </w:rPr>
        <w:t xml:space="preserve"> T. 2012. Extended international (IOTF) body mass index cut-offs for thinness, overweight and obesity. </w:t>
      </w:r>
      <w:proofErr w:type="spellStart"/>
      <w:r>
        <w:rPr>
          <w:i/>
          <w:iCs/>
          <w:lang w:eastAsia="en-NZ"/>
        </w:rPr>
        <w:t>Pediatric</w:t>
      </w:r>
      <w:proofErr w:type="spellEnd"/>
      <w:r>
        <w:rPr>
          <w:i/>
          <w:iCs/>
          <w:lang w:eastAsia="en-NZ"/>
        </w:rPr>
        <w:t xml:space="preserve"> Obesity </w:t>
      </w:r>
      <w:r>
        <w:rPr>
          <w:lang w:eastAsia="en-NZ"/>
        </w:rPr>
        <w:t>7(4): 284–94.</w:t>
      </w:r>
    </w:p>
    <w:p w:rsidR="00DC0A66" w:rsidRPr="006829B3" w:rsidRDefault="00DC0A66" w:rsidP="00DC0A66">
      <w:pPr>
        <w:pStyle w:val="References"/>
      </w:pPr>
      <w:r w:rsidRPr="00F20E7F">
        <w:t xml:space="preserve">Deville JC, </w:t>
      </w:r>
      <w:proofErr w:type="spellStart"/>
      <w:r w:rsidRPr="00F20E7F">
        <w:t>Särndal</w:t>
      </w:r>
      <w:proofErr w:type="spellEnd"/>
      <w:r w:rsidRPr="00F20E7F">
        <w:t xml:space="preserve"> CE. 1992. Calibration estimators in survey sampling. </w:t>
      </w:r>
      <w:r w:rsidRPr="006829B3">
        <w:rPr>
          <w:i/>
        </w:rPr>
        <w:t xml:space="preserve">Journal of the American </w:t>
      </w:r>
      <w:r w:rsidRPr="00860CCB">
        <w:rPr>
          <w:i/>
        </w:rPr>
        <w:t>Statistical Association</w:t>
      </w:r>
      <w:r w:rsidRPr="00860CCB">
        <w:t xml:space="preserve"> 87: 376–82.</w:t>
      </w:r>
    </w:p>
    <w:p w:rsidR="00DC0A66" w:rsidRDefault="00DC0A66" w:rsidP="00DC0A66">
      <w:pPr>
        <w:pStyle w:val="References"/>
        <w:rPr>
          <w:rFonts w:cs="Arial"/>
        </w:rPr>
      </w:pPr>
      <w:r>
        <w:rPr>
          <w:rFonts w:cs="Arial"/>
        </w:rPr>
        <w:t xml:space="preserve">Hayes L, Barry G. 2002. Sampling variability of the </w:t>
      </w:r>
      <w:proofErr w:type="spellStart"/>
      <w:r>
        <w:rPr>
          <w:rFonts w:cs="Arial"/>
        </w:rPr>
        <w:t>Kunst-Mackenbach</w:t>
      </w:r>
      <w:proofErr w:type="spellEnd"/>
      <w:r>
        <w:rPr>
          <w:rFonts w:cs="Arial"/>
        </w:rPr>
        <w:t xml:space="preserve"> relative index of inequality. </w:t>
      </w:r>
      <w:r w:rsidRPr="004E2301">
        <w:rPr>
          <w:rFonts w:cs="Arial"/>
          <w:i/>
        </w:rPr>
        <w:t xml:space="preserve">Journal of </w:t>
      </w:r>
      <w:r>
        <w:rPr>
          <w:rFonts w:cs="Arial"/>
          <w:i/>
        </w:rPr>
        <w:t>E</w:t>
      </w:r>
      <w:r w:rsidRPr="004E2301">
        <w:rPr>
          <w:rFonts w:cs="Arial"/>
          <w:i/>
        </w:rPr>
        <w:t>pidemiology and Community Health</w:t>
      </w:r>
      <w:r>
        <w:rPr>
          <w:rFonts w:cs="Arial"/>
        </w:rPr>
        <w:t xml:space="preserve"> 56: 762–5.</w:t>
      </w:r>
    </w:p>
    <w:p w:rsidR="00DC0A66" w:rsidRDefault="00DC0A66" w:rsidP="00DC0A66">
      <w:pPr>
        <w:pStyle w:val="References"/>
        <w:rPr>
          <w:rFonts w:cs="Arial"/>
        </w:rPr>
      </w:pPr>
      <w:proofErr w:type="spellStart"/>
      <w:r w:rsidRPr="006829B3">
        <w:rPr>
          <w:rFonts w:cs="Arial"/>
        </w:rPr>
        <w:t>Korn</w:t>
      </w:r>
      <w:proofErr w:type="spellEnd"/>
      <w:r w:rsidRPr="006829B3">
        <w:rPr>
          <w:rFonts w:cs="Arial"/>
        </w:rPr>
        <w:t xml:space="preserve"> EL, </w:t>
      </w:r>
      <w:proofErr w:type="spellStart"/>
      <w:r w:rsidRPr="006829B3">
        <w:rPr>
          <w:rFonts w:cs="Arial"/>
        </w:rPr>
        <w:t>Graubard</w:t>
      </w:r>
      <w:proofErr w:type="spellEnd"/>
      <w:r w:rsidRPr="006829B3">
        <w:rPr>
          <w:rFonts w:cs="Arial"/>
        </w:rPr>
        <w:t xml:space="preserve"> BI. 1998. Confidence intervals for proportions with small expected number of positive counts estimated from survey data. </w:t>
      </w:r>
      <w:r w:rsidRPr="006829B3">
        <w:rPr>
          <w:rFonts w:cs="Arial"/>
          <w:i/>
        </w:rPr>
        <w:t>Survey Methodology</w:t>
      </w:r>
      <w:r w:rsidRPr="006829B3">
        <w:rPr>
          <w:rFonts w:cs="Arial"/>
        </w:rPr>
        <w:t xml:space="preserve"> 24(2): 193–201.</w:t>
      </w:r>
    </w:p>
    <w:p w:rsidR="00DC0A66" w:rsidRDefault="00DC0A66" w:rsidP="00DC0A66">
      <w:pPr>
        <w:pStyle w:val="References"/>
        <w:rPr>
          <w:rFonts w:cs="Arial"/>
        </w:rPr>
      </w:pPr>
      <w:proofErr w:type="spellStart"/>
      <w:r>
        <w:rPr>
          <w:rFonts w:cs="Arial"/>
        </w:rPr>
        <w:t>Korn</w:t>
      </w:r>
      <w:proofErr w:type="spellEnd"/>
      <w:r>
        <w:rPr>
          <w:rFonts w:cs="Arial"/>
        </w:rPr>
        <w:t xml:space="preserve"> EL, </w:t>
      </w:r>
      <w:proofErr w:type="spellStart"/>
      <w:r>
        <w:rPr>
          <w:rFonts w:cs="Arial"/>
        </w:rPr>
        <w:t>Graubard</w:t>
      </w:r>
      <w:proofErr w:type="spellEnd"/>
      <w:r>
        <w:rPr>
          <w:rFonts w:cs="Arial"/>
        </w:rPr>
        <w:t xml:space="preserve"> BI. 1999. </w:t>
      </w:r>
      <w:r w:rsidRPr="003F4BAC">
        <w:rPr>
          <w:rFonts w:cs="Arial"/>
          <w:i/>
        </w:rPr>
        <w:t>Analysis of Health Surveys</w:t>
      </w:r>
      <w:r>
        <w:rPr>
          <w:rFonts w:cs="Arial"/>
        </w:rPr>
        <w:t>. New York: Wiley.</w:t>
      </w:r>
    </w:p>
    <w:p w:rsidR="00DC0A66" w:rsidRPr="006829B3" w:rsidRDefault="00DC0A66" w:rsidP="00DC0A66">
      <w:pPr>
        <w:pStyle w:val="References"/>
        <w:rPr>
          <w:rFonts w:cs="Arial"/>
        </w:rPr>
      </w:pPr>
      <w:proofErr w:type="spellStart"/>
      <w:r>
        <w:rPr>
          <w:rFonts w:cs="Arial"/>
        </w:rPr>
        <w:t>Kott</w:t>
      </w:r>
      <w:proofErr w:type="spellEnd"/>
      <w:r>
        <w:rPr>
          <w:rFonts w:cs="Arial"/>
        </w:rPr>
        <w:t xml:space="preserve"> PS. 2001. The delete-a-group </w:t>
      </w:r>
      <w:proofErr w:type="spellStart"/>
      <w:r>
        <w:rPr>
          <w:rFonts w:cs="Arial"/>
        </w:rPr>
        <w:t>jackknife</w:t>
      </w:r>
      <w:proofErr w:type="spellEnd"/>
      <w:r>
        <w:rPr>
          <w:rFonts w:cs="Arial"/>
        </w:rPr>
        <w:t xml:space="preserve">. </w:t>
      </w:r>
      <w:r w:rsidRPr="00142CAA">
        <w:rPr>
          <w:rFonts w:cs="Arial"/>
          <w:i/>
        </w:rPr>
        <w:t>Journal of Official Statistics</w:t>
      </w:r>
      <w:r>
        <w:rPr>
          <w:rFonts w:cs="Arial"/>
        </w:rPr>
        <w:t xml:space="preserve"> 17(4): 521–6.</w:t>
      </w:r>
    </w:p>
    <w:p w:rsidR="00DC0A66" w:rsidRPr="006829B3" w:rsidRDefault="00DC0A66" w:rsidP="00DC0A66">
      <w:pPr>
        <w:pStyle w:val="References"/>
      </w:pPr>
      <w:r w:rsidRPr="006829B3">
        <w:t xml:space="preserve">Ministry of Health. 2008. </w:t>
      </w:r>
      <w:r w:rsidRPr="006829B3">
        <w:rPr>
          <w:i/>
        </w:rPr>
        <w:t xml:space="preserve">A Portrait of Health: Key results of the 2006/07 New Zealand Health Survey. </w:t>
      </w:r>
      <w:r w:rsidRPr="006829B3">
        <w:t>Wellington: Ministry of Health.</w:t>
      </w:r>
    </w:p>
    <w:p w:rsidR="00DC0A66" w:rsidRPr="006829B3" w:rsidRDefault="00DC0A66" w:rsidP="00DC0A66">
      <w:pPr>
        <w:pStyle w:val="References"/>
        <w:rPr>
          <w:sz w:val="20"/>
        </w:rPr>
      </w:pPr>
      <w:r w:rsidRPr="006829B3">
        <w:t xml:space="preserve">Ministry of Health. 2011. </w:t>
      </w:r>
      <w:r w:rsidRPr="006829B3">
        <w:rPr>
          <w:i/>
        </w:rPr>
        <w:t>The New Zealand Health Survey: Sample design, years 1–3 (2011–2013).</w:t>
      </w:r>
      <w:r w:rsidRPr="006829B3">
        <w:t xml:space="preserve"> Wellington: Ministry of Health. URL: </w:t>
      </w:r>
      <w:hyperlink r:id="rId36" w:history="1">
        <w:r w:rsidRPr="006829B3">
          <w:t>www.health.govt.nz/publication/new-zealand-health-survey-sample-design-years-1-3-2011-2013</w:t>
        </w:r>
      </w:hyperlink>
      <w:r>
        <w:t xml:space="preserve"> (accessed 3 November 2016).</w:t>
      </w:r>
    </w:p>
    <w:p w:rsidR="00DC0A66" w:rsidRPr="006829B3" w:rsidRDefault="00DC0A66" w:rsidP="00DC0A66">
      <w:pPr>
        <w:pStyle w:val="References"/>
      </w:pPr>
      <w:r w:rsidRPr="006829B3">
        <w:t>Ministry of Health. 201</w:t>
      </w:r>
      <w:r>
        <w:t>6</w:t>
      </w:r>
      <w:r w:rsidRPr="006829B3">
        <w:t>a.</w:t>
      </w:r>
      <w:r>
        <w:rPr>
          <w:rFonts w:cs="Arial Mäori"/>
          <w:i/>
          <w:color w:val="000000"/>
          <w:szCs w:val="22"/>
          <w:lang w:eastAsia="en-NZ"/>
        </w:rPr>
        <w:t xml:space="preserve"> </w:t>
      </w:r>
      <w:r w:rsidRPr="00963A2D">
        <w:rPr>
          <w:rFonts w:cs="Arial Mäori"/>
          <w:i/>
          <w:color w:val="000000"/>
          <w:szCs w:val="22"/>
          <w:lang w:eastAsia="en-NZ"/>
        </w:rPr>
        <w:t xml:space="preserve">Annual </w:t>
      </w:r>
      <w:r>
        <w:rPr>
          <w:rFonts w:cs="Arial Mäori"/>
          <w:i/>
          <w:color w:val="000000"/>
          <w:szCs w:val="22"/>
          <w:lang w:eastAsia="en-NZ"/>
        </w:rPr>
        <w:t>U</w:t>
      </w:r>
      <w:r w:rsidRPr="00963A2D">
        <w:rPr>
          <w:rFonts w:cs="Arial Mäori"/>
          <w:i/>
          <w:color w:val="000000"/>
          <w:szCs w:val="22"/>
          <w:lang w:eastAsia="en-NZ"/>
        </w:rPr>
        <w:t xml:space="preserve">pdate of </w:t>
      </w:r>
      <w:r>
        <w:rPr>
          <w:rFonts w:cs="Arial Mäori"/>
          <w:i/>
          <w:color w:val="000000"/>
          <w:szCs w:val="22"/>
          <w:lang w:eastAsia="en-NZ"/>
        </w:rPr>
        <w:t>K</w:t>
      </w:r>
      <w:r w:rsidRPr="00963A2D">
        <w:rPr>
          <w:rFonts w:cs="Arial Mäori"/>
          <w:i/>
          <w:color w:val="000000"/>
          <w:szCs w:val="22"/>
          <w:lang w:eastAsia="en-NZ"/>
        </w:rPr>
        <w:t xml:space="preserve">ey </w:t>
      </w:r>
      <w:r>
        <w:rPr>
          <w:rFonts w:cs="Arial Mäori"/>
          <w:i/>
          <w:color w:val="000000"/>
          <w:szCs w:val="22"/>
          <w:lang w:eastAsia="en-NZ"/>
        </w:rPr>
        <w:t>Results 2015/16:</w:t>
      </w:r>
      <w:r w:rsidRPr="00CB765E">
        <w:rPr>
          <w:rFonts w:cs="Arial Mäori"/>
          <w:i/>
          <w:color w:val="000000"/>
          <w:szCs w:val="22"/>
          <w:lang w:eastAsia="en-NZ"/>
        </w:rPr>
        <w:t xml:space="preserve"> </w:t>
      </w:r>
      <w:r w:rsidRPr="00963A2D">
        <w:rPr>
          <w:rFonts w:cs="Arial Mäori"/>
          <w:i/>
          <w:color w:val="000000"/>
          <w:szCs w:val="22"/>
          <w:lang w:eastAsia="en-NZ"/>
        </w:rPr>
        <w:t>New Zealand Health Survey</w:t>
      </w:r>
      <w:r w:rsidRPr="006829B3">
        <w:rPr>
          <w:rFonts w:cs="Arial Mäori"/>
          <w:color w:val="000000"/>
          <w:szCs w:val="22"/>
          <w:lang w:eastAsia="en-NZ"/>
        </w:rPr>
        <w:t xml:space="preserve">. </w:t>
      </w:r>
      <w:r w:rsidRPr="006829B3">
        <w:t>Wellington: Ministry of Health.</w:t>
      </w:r>
    </w:p>
    <w:p w:rsidR="00DC0A66" w:rsidRDefault="00DC0A66" w:rsidP="00DC0A66">
      <w:pPr>
        <w:pStyle w:val="References"/>
      </w:pPr>
      <w:r w:rsidRPr="006829B3">
        <w:t>Ministry of Health. 201</w:t>
      </w:r>
      <w:r>
        <w:t>6</w:t>
      </w:r>
      <w:r w:rsidRPr="006829B3">
        <w:t xml:space="preserve">b. </w:t>
      </w:r>
      <w:r w:rsidRPr="006829B3">
        <w:rPr>
          <w:i/>
        </w:rPr>
        <w:t>Content Guide</w:t>
      </w:r>
      <w:r>
        <w:rPr>
          <w:i/>
        </w:rPr>
        <w:t xml:space="preserve"> </w:t>
      </w:r>
      <w:r>
        <w:rPr>
          <w:rFonts w:cs="Arial Mäori"/>
          <w:i/>
          <w:color w:val="000000"/>
          <w:szCs w:val="22"/>
          <w:lang w:eastAsia="en-NZ"/>
        </w:rPr>
        <w:t>2015/16:</w:t>
      </w:r>
      <w:r w:rsidRPr="000644E3">
        <w:rPr>
          <w:i/>
        </w:rPr>
        <w:t xml:space="preserve"> </w:t>
      </w:r>
      <w:r w:rsidRPr="006829B3">
        <w:rPr>
          <w:i/>
        </w:rPr>
        <w:t xml:space="preserve">New Zealand Health Survey. </w:t>
      </w:r>
      <w:r w:rsidRPr="006829B3">
        <w:t>Wellington: Ministry of Health.</w:t>
      </w:r>
    </w:p>
    <w:p w:rsidR="00DC0A66" w:rsidRPr="009D18D7" w:rsidRDefault="00DC0A66" w:rsidP="00DC0A66">
      <w:pPr>
        <w:pStyle w:val="References"/>
      </w:pPr>
      <w:r w:rsidRPr="006829B3">
        <w:t>Ministry of Health. 201</w:t>
      </w:r>
      <w:r>
        <w:t>6c</w:t>
      </w:r>
      <w:r w:rsidRPr="006829B3">
        <w:t xml:space="preserve">. </w:t>
      </w:r>
      <w:r w:rsidRPr="00891B85">
        <w:rPr>
          <w:i/>
        </w:rPr>
        <w:t>Indicator Interpretation Guide 2015/16: New Zealand Health Survey</w:t>
      </w:r>
      <w:r>
        <w:rPr>
          <w:i/>
        </w:rPr>
        <w:t xml:space="preserve">. Wellington: </w:t>
      </w:r>
      <w:r>
        <w:t>Ministry of Health.</w:t>
      </w:r>
    </w:p>
    <w:p w:rsidR="00DC0A66" w:rsidRDefault="00DC0A66" w:rsidP="00DC0A66">
      <w:pPr>
        <w:pStyle w:val="References"/>
      </w:pPr>
      <w:r w:rsidRPr="006829B3">
        <w:t>Ministry of Health. 201</w:t>
      </w:r>
      <w:r>
        <w:t>6d</w:t>
      </w:r>
      <w:r w:rsidRPr="006829B3">
        <w:t xml:space="preserve">. </w:t>
      </w:r>
      <w:r w:rsidRPr="0097368B">
        <w:rPr>
          <w:rFonts w:cs="Georgia"/>
          <w:bCs/>
          <w:i/>
          <w:iCs/>
          <w:color w:val="000000"/>
          <w:szCs w:val="22"/>
          <w:lang w:eastAsia="en-NZ"/>
        </w:rPr>
        <w:t>Sample Design from 2015/16:</w:t>
      </w:r>
      <w:r w:rsidR="00981544">
        <w:rPr>
          <w:rFonts w:cs="Georgia"/>
          <w:bCs/>
          <w:i/>
          <w:iCs/>
          <w:color w:val="000000"/>
          <w:szCs w:val="22"/>
          <w:lang w:eastAsia="en-NZ"/>
        </w:rPr>
        <w:t xml:space="preserve"> </w:t>
      </w:r>
      <w:r w:rsidRPr="0097368B">
        <w:rPr>
          <w:rFonts w:cs="Georgia"/>
          <w:bCs/>
          <w:i/>
          <w:iCs/>
          <w:color w:val="000000"/>
          <w:szCs w:val="22"/>
          <w:lang w:eastAsia="en-NZ"/>
        </w:rPr>
        <w:t>New Zealand Health Survey</w:t>
      </w:r>
      <w:r>
        <w:rPr>
          <w:i/>
        </w:rPr>
        <w:t xml:space="preserve">. </w:t>
      </w:r>
      <w:r w:rsidRPr="008A53D4">
        <w:t xml:space="preserve">Wellington: </w:t>
      </w:r>
      <w:r>
        <w:t>Ministry of Health.</w:t>
      </w:r>
    </w:p>
    <w:p w:rsidR="00DC0A66" w:rsidRPr="006829B3" w:rsidRDefault="00DC0A66" w:rsidP="00003291">
      <w:pPr>
        <w:pStyle w:val="References"/>
        <w:keepNext/>
      </w:pPr>
      <w:r w:rsidRPr="001B6D3B">
        <w:lastRenderedPageBreak/>
        <w:t xml:space="preserve">Statistics New Zealand. 1998. </w:t>
      </w:r>
      <w:r w:rsidRPr="001B6D3B">
        <w:rPr>
          <w:i/>
        </w:rPr>
        <w:t xml:space="preserve">Protocols </w:t>
      </w:r>
      <w:r>
        <w:rPr>
          <w:i/>
        </w:rPr>
        <w:t>for</w:t>
      </w:r>
      <w:r w:rsidRPr="001B6D3B">
        <w:rPr>
          <w:i/>
        </w:rPr>
        <w:t xml:space="preserve"> Official Statistics.</w:t>
      </w:r>
      <w:r w:rsidRPr="00F20E7F">
        <w:t xml:space="preserve"> </w:t>
      </w:r>
      <w:r w:rsidRPr="006829B3">
        <w:t>Wellington: Statistics New Zealand.</w:t>
      </w:r>
    </w:p>
    <w:p w:rsidR="00DC0A66" w:rsidRPr="006829B3" w:rsidRDefault="00DC0A66" w:rsidP="00DC0A66">
      <w:pPr>
        <w:pStyle w:val="References"/>
      </w:pPr>
      <w:r>
        <w:t>Statistics New Zealand. 2005</w:t>
      </w:r>
      <w:r w:rsidRPr="00860CCB">
        <w:t xml:space="preserve">. </w:t>
      </w:r>
      <w:r>
        <w:rPr>
          <w:i/>
        </w:rPr>
        <w:t>Understanding and Working with Ethnicity Data: A technical paper</w:t>
      </w:r>
      <w:r w:rsidRPr="00860CCB">
        <w:rPr>
          <w:i/>
        </w:rPr>
        <w:t xml:space="preserve">. </w:t>
      </w:r>
      <w:r w:rsidRPr="00860CCB">
        <w:t>Wellington</w:t>
      </w:r>
      <w:r w:rsidRPr="006829B3">
        <w:t>: Statistics New Zealand.</w:t>
      </w:r>
    </w:p>
    <w:p w:rsidR="00DC0A66" w:rsidRPr="006829B3" w:rsidRDefault="00DC0A66" w:rsidP="00DC0A66">
      <w:pPr>
        <w:pStyle w:val="References"/>
      </w:pPr>
      <w:r w:rsidRPr="00860CCB">
        <w:t xml:space="preserve">Statistics New Zealand. 2007. </w:t>
      </w:r>
      <w:r w:rsidRPr="00FA09ED">
        <w:rPr>
          <w:i/>
        </w:rPr>
        <w:t xml:space="preserve">Principles and Protocols for Producers of Tier 1 Statistics. </w:t>
      </w:r>
      <w:r w:rsidRPr="00860CCB">
        <w:t>Wellington</w:t>
      </w:r>
      <w:r w:rsidRPr="006829B3">
        <w:t>: Statistics New Zealand.</w:t>
      </w:r>
      <w:r w:rsidRPr="00FA09ED">
        <w:t xml:space="preserve"> </w:t>
      </w:r>
      <w:r>
        <w:t xml:space="preserve">URL: </w:t>
      </w:r>
      <w:hyperlink r:id="rId37" w:history="1">
        <w:r w:rsidRPr="00CF2CC4">
          <w:rPr>
            <w:rStyle w:val="Hyperlink"/>
          </w:rPr>
          <w:t>www.statisphere.govt.nz/tier1-statistics/principles-protocols.aspx</w:t>
        </w:r>
      </w:hyperlink>
      <w:r>
        <w:t xml:space="preserve"> (accessed 2 November 2016).</w:t>
      </w:r>
    </w:p>
    <w:p w:rsidR="00DC0A66" w:rsidRDefault="00DC0A66" w:rsidP="00003291">
      <w:pPr>
        <w:pStyle w:val="References"/>
      </w:pPr>
      <w:r w:rsidRPr="006829B3">
        <w:t xml:space="preserve">Woodruff RS. 1952. Confidence intervals for medians and other position measures. </w:t>
      </w:r>
      <w:r w:rsidRPr="006829B3">
        <w:rPr>
          <w:i/>
        </w:rPr>
        <w:t xml:space="preserve">Journal of the American Statistical Association </w:t>
      </w:r>
      <w:r w:rsidRPr="006829B3">
        <w:t>47: 635–46.</w:t>
      </w:r>
    </w:p>
    <w:p w:rsidR="00DC0A66" w:rsidRDefault="00DC0A66" w:rsidP="00003291">
      <w:pPr>
        <w:pStyle w:val="Heading1"/>
      </w:pPr>
      <w:bookmarkStart w:id="323" w:name="_Toc340501961"/>
      <w:bookmarkStart w:id="324" w:name="_Toc340937809"/>
      <w:bookmarkStart w:id="325" w:name="_Toc372445581"/>
      <w:bookmarkStart w:id="326" w:name="_Toc403044036"/>
      <w:bookmarkStart w:id="327" w:name="_Toc467491563"/>
      <w:bookmarkStart w:id="328" w:name="_Toc467515165"/>
      <w:r w:rsidRPr="00CC7E24">
        <w:lastRenderedPageBreak/>
        <w:t>Appendix:</w:t>
      </w:r>
      <w:r>
        <w:t xml:space="preserve"> </w:t>
      </w:r>
      <w:bookmarkEnd w:id="322"/>
      <w:bookmarkEnd w:id="323"/>
      <w:bookmarkEnd w:id="324"/>
      <w:r>
        <w:t>2006/07 New Zealand Health S</w:t>
      </w:r>
      <w:r w:rsidRPr="00CC7E24">
        <w:t>urvey</w:t>
      </w:r>
      <w:bookmarkEnd w:id="325"/>
      <w:bookmarkEnd w:id="326"/>
      <w:bookmarkEnd w:id="327"/>
      <w:bookmarkEnd w:id="328"/>
    </w:p>
    <w:p w:rsidR="00DC0A66" w:rsidRDefault="00DC0A66" w:rsidP="00003291">
      <w:r>
        <w:t xml:space="preserve">To determine any changes in the prevalence of indicators over time, </w:t>
      </w:r>
      <w:r w:rsidRPr="00D53751">
        <w:t>the annual report</w:t>
      </w:r>
      <w:r>
        <w:t>,</w:t>
      </w:r>
      <w:r>
        <w:rPr>
          <w:rFonts w:cs="Arial Mäori"/>
          <w:i/>
          <w:color w:val="000000"/>
          <w:szCs w:val="22"/>
          <w:lang w:eastAsia="en-NZ"/>
        </w:rPr>
        <w:t xml:space="preserve"> </w:t>
      </w:r>
      <w:r w:rsidRPr="00963A2D">
        <w:rPr>
          <w:rFonts w:cs="Arial Mäori"/>
          <w:i/>
          <w:color w:val="000000"/>
          <w:szCs w:val="22"/>
          <w:lang w:eastAsia="en-NZ"/>
        </w:rPr>
        <w:t xml:space="preserve">Annual </w:t>
      </w:r>
      <w:r>
        <w:rPr>
          <w:rFonts w:cs="Arial Mäori"/>
          <w:i/>
          <w:color w:val="000000"/>
          <w:szCs w:val="22"/>
          <w:lang w:eastAsia="en-NZ"/>
        </w:rPr>
        <w:t>U</w:t>
      </w:r>
      <w:r w:rsidRPr="00963A2D">
        <w:rPr>
          <w:rFonts w:cs="Arial Mäori"/>
          <w:i/>
          <w:color w:val="000000"/>
          <w:szCs w:val="22"/>
          <w:lang w:eastAsia="en-NZ"/>
        </w:rPr>
        <w:t xml:space="preserve">pdate of </w:t>
      </w:r>
      <w:r>
        <w:rPr>
          <w:rFonts w:cs="Arial Mäori"/>
          <w:i/>
          <w:color w:val="000000"/>
          <w:szCs w:val="22"/>
          <w:lang w:eastAsia="en-NZ"/>
        </w:rPr>
        <w:t>K</w:t>
      </w:r>
      <w:r w:rsidRPr="00963A2D">
        <w:rPr>
          <w:rFonts w:cs="Arial Mäori"/>
          <w:i/>
          <w:color w:val="000000"/>
          <w:szCs w:val="22"/>
          <w:lang w:eastAsia="en-NZ"/>
        </w:rPr>
        <w:t xml:space="preserve">ey </w:t>
      </w:r>
      <w:r>
        <w:rPr>
          <w:rFonts w:cs="Arial Mäori"/>
          <w:i/>
          <w:color w:val="000000"/>
          <w:szCs w:val="22"/>
          <w:lang w:eastAsia="en-NZ"/>
        </w:rPr>
        <w:t>Results 2015/16</w:t>
      </w:r>
      <w:r w:rsidRPr="00E42182">
        <w:rPr>
          <w:rFonts w:cs="Arial Mäori"/>
          <w:color w:val="000000"/>
          <w:szCs w:val="22"/>
          <w:lang w:eastAsia="en-NZ"/>
        </w:rPr>
        <w:t>,</w:t>
      </w:r>
      <w:r w:rsidRPr="009007E6">
        <w:t xml:space="preserve"> </w:t>
      </w:r>
      <w:r>
        <w:t xml:space="preserve">shows results comparing the current NZHS with the NZHS survey conducted in 2006/07. </w:t>
      </w:r>
      <w:r w:rsidRPr="00CC7E24">
        <w:t xml:space="preserve">This </w:t>
      </w:r>
      <w:r>
        <w:t>appendix</w:t>
      </w:r>
      <w:r w:rsidRPr="00CC7E24">
        <w:t xml:space="preserve"> </w:t>
      </w:r>
      <w:r>
        <w:t>gives a brief description of that 2006/07 survey</w:t>
      </w:r>
      <w:r w:rsidRPr="00CC7E24">
        <w:t>.</w:t>
      </w:r>
    </w:p>
    <w:p w:rsidR="00DC0A66" w:rsidRDefault="00DC0A66" w:rsidP="00003291"/>
    <w:p w:rsidR="00DC0A66" w:rsidRPr="00CC7E24" w:rsidRDefault="00DC0A66" w:rsidP="00003291">
      <w:pPr>
        <w:pStyle w:val="Heading2"/>
      </w:pPr>
      <w:bookmarkStart w:id="329" w:name="_Toc339270052"/>
      <w:bookmarkStart w:id="330" w:name="_Toc467515166"/>
      <w:r w:rsidRPr="00CC7E24">
        <w:t>2006/07 New Zealand Health Survey</w:t>
      </w:r>
      <w:bookmarkEnd w:id="329"/>
      <w:bookmarkEnd w:id="330"/>
    </w:p>
    <w:p w:rsidR="00DC0A66" w:rsidRPr="00CC7E24" w:rsidRDefault="00DC0A66" w:rsidP="00003291">
      <w:r w:rsidRPr="00CC7E24">
        <w:t>The target population for the 2006/07 NZHS was the usually resident civilian population of all ages living in permanent private dwellings in New Zealand.</w:t>
      </w:r>
      <w:r>
        <w:t xml:space="preserve"> </w:t>
      </w:r>
      <w:r w:rsidRPr="00CC7E24">
        <w:t xml:space="preserve">An area-based frame of Statistics New Zealand </w:t>
      </w:r>
      <w:proofErr w:type="spellStart"/>
      <w:r w:rsidRPr="00CC7E24">
        <w:t>meshblocks</w:t>
      </w:r>
      <w:proofErr w:type="spellEnd"/>
      <w:r w:rsidRPr="00CC7E24">
        <w:t xml:space="preserve"> was used as the sample frame. Māori, Pacific and Asian people</w:t>
      </w:r>
      <w:r>
        <w:t>s</w:t>
      </w:r>
      <w:r w:rsidRPr="00CC7E24">
        <w:t xml:space="preserve"> were oversampled.</w:t>
      </w:r>
    </w:p>
    <w:p w:rsidR="00DC0A66" w:rsidRPr="00CC7E24" w:rsidRDefault="00DC0A66" w:rsidP="00003291"/>
    <w:p w:rsidR="00DC0A66" w:rsidRPr="00CC7E24" w:rsidRDefault="00DC0A66" w:rsidP="00003291">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4921</w:t>
      </w:r>
      <w:r>
        <w:t> </w:t>
      </w:r>
      <w:r w:rsidRPr="00CC7E24">
        <w:t>children took part in the survey. The survey included 11,632 European/Other people</w:t>
      </w:r>
      <w:r>
        <w:t>s</w:t>
      </w:r>
      <w:r w:rsidRPr="00CC7E24">
        <w:t>, 514</w:t>
      </w:r>
      <w:r>
        <w:t>3</w:t>
      </w:r>
      <w:r w:rsidRPr="00CC7E24">
        <w:t xml:space="preserve"> Māori, 1831 Pacific people</w:t>
      </w:r>
      <w:r>
        <w:t>s</w:t>
      </w:r>
      <w:r w:rsidRPr="00CC7E24">
        <w:t xml:space="preserve"> and 2255 Asian people</w:t>
      </w:r>
      <w:r>
        <w:t>s</w:t>
      </w:r>
      <w:r w:rsidRPr="00CC7E24">
        <w:t xml:space="preserve"> of all ages.</w:t>
      </w:r>
    </w:p>
    <w:p w:rsidR="00DC0A66" w:rsidRPr="00CC7E24" w:rsidRDefault="00DC0A66" w:rsidP="00003291"/>
    <w:p w:rsidR="00DC0A66" w:rsidRPr="00CC7E24" w:rsidRDefault="00DC0A66" w:rsidP="00003291">
      <w:r w:rsidRPr="00CC7E24">
        <w:t>F</w:t>
      </w:r>
      <w:r>
        <w:t>or f</w:t>
      </w:r>
      <w:r w:rsidRPr="00CC7E24">
        <w:t>ull details on the methodology of the 2006/07 NZHS</w:t>
      </w:r>
      <w:r>
        <w:t>, see</w:t>
      </w:r>
      <w:r w:rsidRPr="00CC7E24">
        <w:t xml:space="preserve"> </w:t>
      </w:r>
      <w:r w:rsidRPr="00CC7E24">
        <w:rPr>
          <w:i/>
        </w:rPr>
        <w:t>A Portrait of Health: Key results of the 2006/07 New Zealand Health Survey</w:t>
      </w:r>
      <w:r>
        <w:t xml:space="preserve"> (Ministry of Health 2008)</w:t>
      </w:r>
      <w:r w:rsidRPr="00CC7E24">
        <w:t>.</w:t>
      </w:r>
    </w:p>
    <w:p w:rsidR="00032C0A" w:rsidRPr="00032C0A" w:rsidRDefault="00032C0A" w:rsidP="00003291"/>
    <w:sectPr w:rsidR="00032C0A" w:rsidRPr="00032C0A" w:rsidSect="009D5125">
      <w:headerReference w:type="default" r:id="rId38"/>
      <w:footerReference w:type="default" r:id="rId39"/>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6BE" w:rsidRDefault="003B76BE">
      <w:pPr>
        <w:spacing w:line="240" w:lineRule="auto"/>
      </w:pPr>
      <w:r>
        <w:separator/>
      </w:r>
    </w:p>
    <w:p w:rsidR="003B76BE" w:rsidRDefault="003B76BE"/>
  </w:endnote>
  <w:endnote w:type="continuationSeparator" w:id="0">
    <w:p w:rsidR="003B76BE" w:rsidRDefault="003B76BE">
      <w:pPr>
        <w:spacing w:line="240" w:lineRule="auto"/>
      </w:pPr>
      <w:r>
        <w:continuationSeparator/>
      </w:r>
    </w:p>
    <w:p w:rsidR="003B76BE" w:rsidRDefault="003B76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9567A8">
    <w:pPr>
      <w:spacing w:after="360"/>
    </w:pPr>
    <w:r>
      <w:rPr>
        <w:noProof/>
        <w:lang w:eastAsia="en-NZ"/>
      </w:rPr>
      <w:drawing>
        <wp:inline distT="0" distB="0" distL="0" distR="0" wp14:anchorId="28B207CB" wp14:editId="50E1BBFB">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3B76BE" w:rsidRPr="00581136" w:rsidRDefault="003B76BE"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Pr="00275D08" w:rsidRDefault="003B76BE"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E025A">
      <w:rPr>
        <w:rStyle w:val="PageNumber"/>
        <w:noProof/>
      </w:rPr>
      <w:t>16</w:t>
    </w:r>
    <w:r w:rsidRPr="00FC46E7">
      <w:rPr>
        <w:rStyle w:val="PageNumber"/>
      </w:rPr>
      <w:fldChar w:fldCharType="end"/>
    </w:r>
    <w:r>
      <w:tab/>
      <w:t>Methodology Report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533B90">
    <w:pPr>
      <w:pStyle w:val="RectoFooter"/>
    </w:pPr>
    <w:r>
      <w:tab/>
      <w:t>Methodology Report 2015/16: New Zealand Health Survey</w:t>
    </w:r>
    <w:r>
      <w:tab/>
    </w:r>
    <w:r>
      <w:rPr>
        <w:rStyle w:val="PageNumber"/>
      </w:rPr>
      <w:fldChar w:fldCharType="begin"/>
    </w:r>
    <w:r>
      <w:rPr>
        <w:rStyle w:val="PageNumber"/>
      </w:rPr>
      <w:instrText xml:space="preserve"> PAGE </w:instrText>
    </w:r>
    <w:r>
      <w:rPr>
        <w:rStyle w:val="PageNumber"/>
      </w:rPr>
      <w:fldChar w:fldCharType="separate"/>
    </w:r>
    <w:r w:rsidR="006E025A">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9E3C8C">
    <w:pPr>
      <w:pStyle w:val="RectoFooter"/>
    </w:pPr>
    <w:r>
      <w:tab/>
      <w:t>Methodology Report 2015/16: New Zealand Health Survey</w:t>
    </w:r>
    <w:r>
      <w:tab/>
    </w:r>
    <w:r>
      <w:rPr>
        <w:rStyle w:val="PageNumber"/>
      </w:rPr>
      <w:fldChar w:fldCharType="begin"/>
    </w:r>
    <w:r>
      <w:rPr>
        <w:rStyle w:val="PageNumber"/>
      </w:rPr>
      <w:instrText xml:space="preserve"> PAGE </w:instrText>
    </w:r>
    <w:r>
      <w:rPr>
        <w:rStyle w:val="PageNumber"/>
      </w:rPr>
      <w:fldChar w:fldCharType="separate"/>
    </w:r>
    <w:r w:rsidR="006E025A">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6BE" w:rsidRPr="00A26E6B" w:rsidRDefault="003B76BE" w:rsidP="00A26E6B"/>
  </w:footnote>
  <w:footnote w:type="continuationSeparator" w:id="0">
    <w:p w:rsidR="003B76BE" w:rsidRDefault="003B76BE">
      <w:pPr>
        <w:spacing w:line="240" w:lineRule="auto"/>
      </w:pPr>
      <w:r>
        <w:continuationSeparator/>
      </w:r>
    </w:p>
    <w:p w:rsidR="003B76BE" w:rsidRDefault="003B76BE"/>
  </w:footnote>
  <w:footnote w:id="1">
    <w:p w:rsidR="003B76BE" w:rsidRDefault="003B76BE" w:rsidP="00897B78">
      <w:pPr>
        <w:pStyle w:val="FootnoteText"/>
      </w:pPr>
      <w:r w:rsidRPr="00897B78">
        <w:rPr>
          <w:rStyle w:val="FootnoteReference"/>
        </w:rPr>
        <w:footnoteRef/>
      </w:r>
      <w:r>
        <w:tab/>
        <w:t xml:space="preserve">See </w:t>
      </w:r>
      <w:r w:rsidRPr="002201DB">
        <w:t>www.health.govt.nz/nz-health-statistics/national-collections-and-surveys/surveys/current-recent-surveys/new-zealand-health-survey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9216CC">
    <w:pPr>
      <w:pStyle w:val="Header"/>
      <w:ind w:left="-1559"/>
    </w:pPr>
    <w:r>
      <w:rPr>
        <w:noProof/>
        <w:lang w:eastAsia="en-NZ"/>
      </w:rPr>
      <w:drawing>
        <wp:inline distT="0" distB="0" distL="0" distR="0" wp14:anchorId="103B02DA" wp14:editId="42E91081">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BE" w:rsidRDefault="003B76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3291"/>
    <w:rsid w:val="00016F90"/>
    <w:rsid w:val="00030B26"/>
    <w:rsid w:val="00032C0A"/>
    <w:rsid w:val="00035257"/>
    <w:rsid w:val="00041F8F"/>
    <w:rsid w:val="0006228D"/>
    <w:rsid w:val="00072BD6"/>
    <w:rsid w:val="00075B78"/>
    <w:rsid w:val="00082CD6"/>
    <w:rsid w:val="00085AFE"/>
    <w:rsid w:val="000B0730"/>
    <w:rsid w:val="000B2625"/>
    <w:rsid w:val="000F2AE2"/>
    <w:rsid w:val="000F6953"/>
    <w:rsid w:val="00102063"/>
    <w:rsid w:val="0010541C"/>
    <w:rsid w:val="00106F93"/>
    <w:rsid w:val="00111D50"/>
    <w:rsid w:val="00113B8E"/>
    <w:rsid w:val="001342C7"/>
    <w:rsid w:val="0013585C"/>
    <w:rsid w:val="00142954"/>
    <w:rsid w:val="001460E0"/>
    <w:rsid w:val="00147F71"/>
    <w:rsid w:val="00150A6E"/>
    <w:rsid w:val="0016468A"/>
    <w:rsid w:val="00195766"/>
    <w:rsid w:val="001A21B4"/>
    <w:rsid w:val="001A5CF5"/>
    <w:rsid w:val="001B39D2"/>
    <w:rsid w:val="001B4BF8"/>
    <w:rsid w:val="001C4326"/>
    <w:rsid w:val="001D3541"/>
    <w:rsid w:val="001F45A7"/>
    <w:rsid w:val="00201A01"/>
    <w:rsid w:val="002104D3"/>
    <w:rsid w:val="00213A33"/>
    <w:rsid w:val="0021763B"/>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19F7"/>
    <w:rsid w:val="003325AB"/>
    <w:rsid w:val="003332D1"/>
    <w:rsid w:val="0033412B"/>
    <w:rsid w:val="00343365"/>
    <w:rsid w:val="00353501"/>
    <w:rsid w:val="003606F8"/>
    <w:rsid w:val="003648EF"/>
    <w:rsid w:val="003673E6"/>
    <w:rsid w:val="00377264"/>
    <w:rsid w:val="003A26A5"/>
    <w:rsid w:val="003A3761"/>
    <w:rsid w:val="003A5FEA"/>
    <w:rsid w:val="003B1D10"/>
    <w:rsid w:val="003B76BE"/>
    <w:rsid w:val="003C76D4"/>
    <w:rsid w:val="003D2CC5"/>
    <w:rsid w:val="003E7C46"/>
    <w:rsid w:val="003F26E4"/>
    <w:rsid w:val="003F52A7"/>
    <w:rsid w:val="0040240C"/>
    <w:rsid w:val="004025DE"/>
    <w:rsid w:val="00402831"/>
    <w:rsid w:val="00413021"/>
    <w:rsid w:val="00440BE0"/>
    <w:rsid w:val="00442C1C"/>
    <w:rsid w:val="0044584B"/>
    <w:rsid w:val="00447CB7"/>
    <w:rsid w:val="00455CC9"/>
    <w:rsid w:val="00460826"/>
    <w:rsid w:val="00460EA7"/>
    <w:rsid w:val="0046195B"/>
    <w:rsid w:val="0046596D"/>
    <w:rsid w:val="0048336D"/>
    <w:rsid w:val="00487C04"/>
    <w:rsid w:val="004907E1"/>
    <w:rsid w:val="004A035B"/>
    <w:rsid w:val="004A38D7"/>
    <w:rsid w:val="004A778C"/>
    <w:rsid w:val="004C2E6A"/>
    <w:rsid w:val="004C64B8"/>
    <w:rsid w:val="004D2A2D"/>
    <w:rsid w:val="004D5365"/>
    <w:rsid w:val="004D6689"/>
    <w:rsid w:val="004E1D1D"/>
    <w:rsid w:val="004E7AC8"/>
    <w:rsid w:val="004F0C94"/>
    <w:rsid w:val="005019AE"/>
    <w:rsid w:val="00503749"/>
    <w:rsid w:val="00504CF4"/>
    <w:rsid w:val="0050635B"/>
    <w:rsid w:val="0051040E"/>
    <w:rsid w:val="005151C2"/>
    <w:rsid w:val="0053199F"/>
    <w:rsid w:val="00533B90"/>
    <w:rsid w:val="005410F8"/>
    <w:rsid w:val="005448EC"/>
    <w:rsid w:val="00545963"/>
    <w:rsid w:val="00550256"/>
    <w:rsid w:val="00553958"/>
    <w:rsid w:val="0055763D"/>
    <w:rsid w:val="005621F2"/>
    <w:rsid w:val="00567B58"/>
    <w:rsid w:val="005763E0"/>
    <w:rsid w:val="0058027F"/>
    <w:rsid w:val="00581136"/>
    <w:rsid w:val="005A27CA"/>
    <w:rsid w:val="005A43BD"/>
    <w:rsid w:val="005D41F1"/>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3EDC"/>
    <w:rsid w:val="0067080F"/>
    <w:rsid w:val="00671078"/>
    <w:rsid w:val="00672DBE"/>
    <w:rsid w:val="006758CA"/>
    <w:rsid w:val="00680A04"/>
    <w:rsid w:val="00686D80"/>
    <w:rsid w:val="00694895"/>
    <w:rsid w:val="00697E2E"/>
    <w:rsid w:val="006A25A2"/>
    <w:rsid w:val="006B0E73"/>
    <w:rsid w:val="006B4A4D"/>
    <w:rsid w:val="006B5695"/>
    <w:rsid w:val="006C78EB"/>
    <w:rsid w:val="006D1660"/>
    <w:rsid w:val="006E025A"/>
    <w:rsid w:val="006F1B67"/>
    <w:rsid w:val="006F2CD5"/>
    <w:rsid w:val="0070091D"/>
    <w:rsid w:val="007013D0"/>
    <w:rsid w:val="00702854"/>
    <w:rsid w:val="0071741C"/>
    <w:rsid w:val="00742B90"/>
    <w:rsid w:val="0074434D"/>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1ACA"/>
    <w:rsid w:val="008052E1"/>
    <w:rsid w:val="00822F2C"/>
    <w:rsid w:val="008305E8"/>
    <w:rsid w:val="00860826"/>
    <w:rsid w:val="00860E21"/>
    <w:rsid w:val="00863117"/>
    <w:rsid w:val="0086388B"/>
    <w:rsid w:val="008642E5"/>
    <w:rsid w:val="00872D93"/>
    <w:rsid w:val="00880470"/>
    <w:rsid w:val="00880D94"/>
    <w:rsid w:val="008924DE"/>
    <w:rsid w:val="00897B78"/>
    <w:rsid w:val="008A3755"/>
    <w:rsid w:val="008B07B9"/>
    <w:rsid w:val="008B264F"/>
    <w:rsid w:val="008B6F83"/>
    <w:rsid w:val="008B7FD8"/>
    <w:rsid w:val="008C2973"/>
    <w:rsid w:val="008C6324"/>
    <w:rsid w:val="008C64C4"/>
    <w:rsid w:val="008D74D5"/>
    <w:rsid w:val="008F29BE"/>
    <w:rsid w:val="008F4AE5"/>
    <w:rsid w:val="008F51EB"/>
    <w:rsid w:val="00900197"/>
    <w:rsid w:val="00902F55"/>
    <w:rsid w:val="009047FD"/>
    <w:rsid w:val="0090582B"/>
    <w:rsid w:val="009060C0"/>
    <w:rsid w:val="009133F5"/>
    <w:rsid w:val="00920A27"/>
    <w:rsid w:val="00921216"/>
    <w:rsid w:val="009216CC"/>
    <w:rsid w:val="00930D08"/>
    <w:rsid w:val="00932D69"/>
    <w:rsid w:val="00944647"/>
    <w:rsid w:val="009567A8"/>
    <w:rsid w:val="00977B8A"/>
    <w:rsid w:val="00981544"/>
    <w:rsid w:val="00982971"/>
    <w:rsid w:val="009845AD"/>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9169D"/>
    <w:rsid w:val="00AA240C"/>
    <w:rsid w:val="00AC101C"/>
    <w:rsid w:val="00AD4CF1"/>
    <w:rsid w:val="00AD5988"/>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6AB1"/>
    <w:rsid w:val="00B940BE"/>
    <w:rsid w:val="00BB2CBB"/>
    <w:rsid w:val="00BC59F1"/>
    <w:rsid w:val="00BF3DE1"/>
    <w:rsid w:val="00BF4843"/>
    <w:rsid w:val="00BF5205"/>
    <w:rsid w:val="00C12508"/>
    <w:rsid w:val="00C45AA2"/>
    <w:rsid w:val="00C53CD9"/>
    <w:rsid w:val="00C55BEF"/>
    <w:rsid w:val="00C66296"/>
    <w:rsid w:val="00C77282"/>
    <w:rsid w:val="00C84DE5"/>
    <w:rsid w:val="00C86248"/>
    <w:rsid w:val="00C942D3"/>
    <w:rsid w:val="00CA4C33"/>
    <w:rsid w:val="00CA6F4A"/>
    <w:rsid w:val="00CD2119"/>
    <w:rsid w:val="00CD237A"/>
    <w:rsid w:val="00CD36AC"/>
    <w:rsid w:val="00CE13A3"/>
    <w:rsid w:val="00CF1747"/>
    <w:rsid w:val="00D23323"/>
    <w:rsid w:val="00D2392A"/>
    <w:rsid w:val="00D25FFE"/>
    <w:rsid w:val="00D4476F"/>
    <w:rsid w:val="00D54D50"/>
    <w:rsid w:val="00D66797"/>
    <w:rsid w:val="00D7087C"/>
    <w:rsid w:val="00D70C3C"/>
    <w:rsid w:val="00D72BE5"/>
    <w:rsid w:val="00D82F26"/>
    <w:rsid w:val="00D863D0"/>
    <w:rsid w:val="00D87C87"/>
    <w:rsid w:val="00D90E07"/>
    <w:rsid w:val="00DB39CF"/>
    <w:rsid w:val="00DC0A66"/>
    <w:rsid w:val="00DD0BCD"/>
    <w:rsid w:val="00DD447A"/>
    <w:rsid w:val="00DE3B20"/>
    <w:rsid w:val="00DE6C94"/>
    <w:rsid w:val="00DE6FD7"/>
    <w:rsid w:val="00E23271"/>
    <w:rsid w:val="00E24F80"/>
    <w:rsid w:val="00E259F3"/>
    <w:rsid w:val="00E31A31"/>
    <w:rsid w:val="00E33238"/>
    <w:rsid w:val="00E4486C"/>
    <w:rsid w:val="00E460B6"/>
    <w:rsid w:val="00E511D5"/>
    <w:rsid w:val="00E60249"/>
    <w:rsid w:val="00E65269"/>
    <w:rsid w:val="00E76D66"/>
    <w:rsid w:val="00EA796A"/>
    <w:rsid w:val="00EB1856"/>
    <w:rsid w:val="00EC50CE"/>
    <w:rsid w:val="00EC5B34"/>
    <w:rsid w:val="00EE2D5C"/>
    <w:rsid w:val="00EE4ADE"/>
    <w:rsid w:val="00EE5CB7"/>
    <w:rsid w:val="00F024FE"/>
    <w:rsid w:val="00F05AD4"/>
    <w:rsid w:val="00F25970"/>
    <w:rsid w:val="00F5180D"/>
    <w:rsid w:val="00F63781"/>
    <w:rsid w:val="00F67496"/>
    <w:rsid w:val="00F801BA"/>
    <w:rsid w:val="00F9366A"/>
    <w:rsid w:val="00F946C9"/>
    <w:rsid w:val="00FA74EE"/>
    <w:rsid w:val="00FC3711"/>
    <w:rsid w:val="00FC46E7"/>
    <w:rsid w:val="00FC5D25"/>
    <w:rsid w:val="00FD0D7E"/>
    <w:rsid w:val="00FD1143"/>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B583334-1B5D-4C7D-908F-5CA22828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7013D0"/>
    <w:pPr>
      <w:tabs>
        <w:tab w:val="left" w:pos="284"/>
        <w:tab w:val="right" w:pos="9356"/>
      </w:tabs>
      <w:spacing w:before="5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rsid w:val="00DC0A66"/>
    <w:rPr>
      <w:rFonts w:ascii="Georgia" w:hAnsi="Georgia"/>
      <w:b/>
      <w:sz w:val="8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w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hyperlink" Target="http://www.statisphere.govt.nz/tier1-statistics/principles-protocols.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http://www.health.govt.nz/publication/new-zealand-health-survey-sample-design-years-1-3-2011-2013" TargetMode="External"/><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hyperlink" Target="http://www.pophealthmetrics.com/content/11/1/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5869B-667A-4EB9-9A35-7C930D21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48</TotalTime>
  <Pages>47</Pages>
  <Words>13027</Words>
  <Characters>73572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2015/16 New Zealand Health Survey</dc:title>
  <dc:creator>Ministry of Health</dc:creator>
  <cp:lastModifiedBy>Jane Adam</cp:lastModifiedBy>
  <cp:revision>3</cp:revision>
  <cp:lastPrinted>2016-12-07T02:53:00Z</cp:lastPrinted>
  <dcterms:created xsi:type="dcterms:W3CDTF">2016-12-07T02:09:00Z</dcterms:created>
  <dcterms:modified xsi:type="dcterms:W3CDTF">2016-12-07T02:57:00Z</dcterms:modified>
</cp:coreProperties>
</file>