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E5B3" w14:textId="77777777" w:rsidR="00C5206E" w:rsidRDefault="00C5206E" w:rsidP="00561B72">
      <w:pPr>
        <w:pStyle w:val="Heading1"/>
      </w:pPr>
      <w:bookmarkStart w:id="0" w:name="_Toc474395257"/>
      <w:bookmarkStart w:id="1" w:name="_Toc477870919"/>
      <w:r>
        <w:t xml:space="preserve">Medical </w:t>
      </w:r>
      <w:r w:rsidR="00CD35E9">
        <w:t>m</w:t>
      </w:r>
      <w:r>
        <w:t>anag</w:t>
      </w:r>
      <w:r w:rsidR="001E6185">
        <w:t>e</w:t>
      </w:r>
      <w:r>
        <w:t xml:space="preserve">ment </w:t>
      </w:r>
      <w:r w:rsidR="00CD35E9">
        <w:t>p</w:t>
      </w:r>
      <w:r>
        <w:t xml:space="preserve">lanning – </w:t>
      </w:r>
      <w:r w:rsidR="00CD35E9">
        <w:t>g</w:t>
      </w:r>
      <w:r>
        <w:t xml:space="preserve">eneral </w:t>
      </w:r>
      <w:r w:rsidR="00CD35E9">
        <w:t>p</w:t>
      </w:r>
      <w:r>
        <w:t>rinciples</w:t>
      </w:r>
      <w:bookmarkStart w:id="2" w:name="_GoBack"/>
      <w:bookmarkEnd w:id="0"/>
      <w:bookmarkEnd w:id="1"/>
      <w:bookmarkEnd w:id="2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36"/>
        <w:gridCol w:w="8411"/>
      </w:tblGrid>
      <w:tr w:rsidR="001E6185" w14:paraId="733D0AF9" w14:textId="77777777" w:rsidTr="009F1F1C">
        <w:trPr>
          <w:cantSplit/>
          <w:trHeight w:val="1134"/>
        </w:trPr>
        <w:tc>
          <w:tcPr>
            <w:tcW w:w="85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  <w:textDirection w:val="btLr"/>
            <w:vAlign w:val="center"/>
          </w:tcPr>
          <w:p w14:paraId="1020D1CE" w14:textId="77777777" w:rsidR="001E6185" w:rsidRPr="001E6185" w:rsidRDefault="001E6185" w:rsidP="00840D6D">
            <w:pPr>
              <w:pStyle w:val="TableText"/>
              <w:spacing w:before="70" w:after="70"/>
              <w:jc w:val="center"/>
              <w:rPr>
                <w:b/>
                <w:sz w:val="28"/>
                <w:szCs w:val="28"/>
              </w:rPr>
            </w:pPr>
            <w:r w:rsidRPr="001E6185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236" w:type="dxa"/>
            <w:tcBorders>
              <w:top w:val="nil"/>
              <w:left w:val="single" w:sz="12" w:space="0" w:color="F79646" w:themeColor="accent6"/>
              <w:bottom w:val="nil"/>
              <w:right w:val="single" w:sz="12" w:space="0" w:color="F79646" w:themeColor="accent6"/>
            </w:tcBorders>
          </w:tcPr>
          <w:p w14:paraId="561D9424" w14:textId="77777777" w:rsidR="001E6185" w:rsidRDefault="001E6185" w:rsidP="00840D6D">
            <w:pPr>
              <w:pStyle w:val="TableText"/>
              <w:spacing w:before="70" w:after="70"/>
            </w:pPr>
          </w:p>
        </w:tc>
        <w:tc>
          <w:tcPr>
            <w:tcW w:w="841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14:paraId="47C90DC8" w14:textId="77777777" w:rsidR="001E6185" w:rsidRPr="00840D6D" w:rsidRDefault="001E6185" w:rsidP="00840D6D">
            <w:pPr>
              <w:pStyle w:val="TableText"/>
              <w:spacing w:before="70" w:after="70"/>
              <w:rPr>
                <w:b/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It is essential that:</w:t>
            </w:r>
          </w:p>
          <w:p w14:paraId="0722904B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dying</w:t>
            </w:r>
            <w:r w:rsidRPr="00840D6D">
              <w:rPr>
                <w:sz w:val="19"/>
                <w:szCs w:val="19"/>
              </w:rPr>
              <w:t xml:space="preserve"> is identified and </w:t>
            </w:r>
            <w:r w:rsidRPr="00840D6D">
              <w:rPr>
                <w:b/>
                <w:sz w:val="19"/>
                <w:szCs w:val="19"/>
              </w:rPr>
              <w:t>recognised</w:t>
            </w:r>
            <w:r w:rsidRPr="00840D6D">
              <w:rPr>
                <w:sz w:val="19"/>
                <w:szCs w:val="19"/>
              </w:rPr>
              <w:t xml:space="preserve"> as early as possible, although this can be difficult as signs and symptoms suggesting dying can be subtle (see </w:t>
            </w:r>
            <w:r w:rsidRPr="00C8018E">
              <w:rPr>
                <w:i/>
                <w:sz w:val="19"/>
                <w:szCs w:val="19"/>
              </w:rPr>
              <w:t>Recognising the Dying Person Flow Chart</w:t>
            </w:r>
            <w:r w:rsidRPr="00840D6D">
              <w:rPr>
                <w:sz w:val="19"/>
                <w:szCs w:val="19"/>
              </w:rPr>
              <w:t>)</w:t>
            </w:r>
          </w:p>
          <w:p w14:paraId="54065088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 xml:space="preserve">all members of the multidisciplinary team (MDT) understand the </w:t>
            </w:r>
            <w:r w:rsidRPr="00840D6D">
              <w:rPr>
                <w:b/>
                <w:sz w:val="19"/>
                <w:szCs w:val="19"/>
              </w:rPr>
              <w:t>priorities of care</w:t>
            </w:r>
          </w:p>
          <w:p w14:paraId="114C4F98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 xml:space="preserve">the person is assessed and </w:t>
            </w:r>
            <w:r w:rsidRPr="00840D6D">
              <w:rPr>
                <w:b/>
                <w:sz w:val="19"/>
                <w:szCs w:val="19"/>
              </w:rPr>
              <w:t>communication</w:t>
            </w:r>
            <w:r w:rsidRPr="00840D6D">
              <w:rPr>
                <w:sz w:val="19"/>
                <w:szCs w:val="19"/>
              </w:rPr>
              <w:t xml:space="preserve"> is unhurried, compassionate and valued for all people involved (the person (if able), family/</w:t>
            </w:r>
            <w:proofErr w:type="spellStart"/>
            <w:r w:rsidRPr="00840D6D">
              <w:rPr>
                <w:sz w:val="19"/>
                <w:szCs w:val="19"/>
              </w:rPr>
              <w:t>whānau</w:t>
            </w:r>
            <w:proofErr w:type="spellEnd"/>
            <w:r w:rsidRPr="00840D6D">
              <w:rPr>
                <w:sz w:val="19"/>
                <w:szCs w:val="19"/>
              </w:rPr>
              <w:t xml:space="preserve"> and staff)</w:t>
            </w:r>
          </w:p>
          <w:p w14:paraId="37963A0F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 xml:space="preserve">the person has an </w:t>
            </w:r>
            <w:r w:rsidRPr="00840D6D">
              <w:rPr>
                <w:b/>
                <w:sz w:val="19"/>
                <w:szCs w:val="19"/>
              </w:rPr>
              <w:t>individualised plan of care</w:t>
            </w:r>
            <w:r w:rsidRPr="00840D6D">
              <w:rPr>
                <w:sz w:val="19"/>
                <w:szCs w:val="19"/>
              </w:rPr>
              <w:t xml:space="preserve"> that aligns with their stated preferences and needs (if able) and those of their family/</w:t>
            </w:r>
            <w:proofErr w:type="spellStart"/>
            <w:r w:rsidRPr="00840D6D">
              <w:rPr>
                <w:sz w:val="19"/>
                <w:szCs w:val="19"/>
              </w:rPr>
              <w:t>whānau</w:t>
            </w:r>
            <w:proofErr w:type="spellEnd"/>
          </w:p>
          <w:p w14:paraId="193E2200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dignity, respect and privacy</w:t>
            </w:r>
            <w:r w:rsidRPr="00840D6D">
              <w:rPr>
                <w:sz w:val="19"/>
                <w:szCs w:val="19"/>
              </w:rPr>
              <w:t xml:space="preserve"> are provided and maintained</w:t>
            </w:r>
          </w:p>
          <w:p w14:paraId="7FAB1796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 xml:space="preserve">every effort is made to </w:t>
            </w:r>
            <w:r w:rsidRPr="00840D6D">
              <w:rPr>
                <w:b/>
                <w:sz w:val="19"/>
                <w:szCs w:val="19"/>
              </w:rPr>
              <w:t>optimise symptom management</w:t>
            </w:r>
          </w:p>
          <w:p w14:paraId="61B4E188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proofErr w:type="gramStart"/>
            <w:r w:rsidRPr="00840D6D">
              <w:rPr>
                <w:sz w:val="19"/>
                <w:szCs w:val="19"/>
              </w:rPr>
              <w:t>staff</w:t>
            </w:r>
            <w:proofErr w:type="gramEnd"/>
            <w:r w:rsidRPr="00840D6D">
              <w:rPr>
                <w:sz w:val="19"/>
                <w:szCs w:val="19"/>
              </w:rPr>
              <w:t xml:space="preserve"> are enabled and supported to deliver the </w:t>
            </w:r>
            <w:r w:rsidRPr="00840D6D">
              <w:rPr>
                <w:b/>
                <w:sz w:val="19"/>
                <w:szCs w:val="19"/>
              </w:rPr>
              <w:t>highest standard</w:t>
            </w:r>
            <w:r w:rsidRPr="00840D6D">
              <w:rPr>
                <w:sz w:val="19"/>
                <w:szCs w:val="19"/>
              </w:rPr>
              <w:t xml:space="preserve"> of last days of life care.</w:t>
            </w:r>
          </w:p>
        </w:tc>
      </w:tr>
      <w:tr w:rsidR="001E6185" w14:paraId="456EA588" w14:textId="77777777" w:rsidTr="009F1F1C">
        <w:trPr>
          <w:cantSplit/>
        </w:trPr>
        <w:tc>
          <w:tcPr>
            <w:tcW w:w="851" w:type="dxa"/>
            <w:tcBorders>
              <w:top w:val="single" w:sz="12" w:space="0" w:color="F79646" w:themeColor="accent6"/>
              <w:left w:val="nil"/>
              <w:bottom w:val="single" w:sz="12" w:space="0" w:color="4F81BD" w:themeColor="accent1"/>
              <w:right w:val="nil"/>
            </w:tcBorders>
            <w:vAlign w:val="center"/>
          </w:tcPr>
          <w:p w14:paraId="07DAFA3B" w14:textId="77777777" w:rsidR="001E6185" w:rsidRDefault="001E6185" w:rsidP="00840D6D">
            <w:pPr>
              <w:pStyle w:val="TableText"/>
              <w:spacing w:before="70" w:after="7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BE6200" w14:textId="77777777" w:rsidR="001E6185" w:rsidRDefault="001E6185" w:rsidP="00840D6D">
            <w:pPr>
              <w:pStyle w:val="TableText"/>
              <w:spacing w:before="70" w:after="70"/>
            </w:pPr>
          </w:p>
        </w:tc>
        <w:tc>
          <w:tcPr>
            <w:tcW w:w="8411" w:type="dxa"/>
            <w:tcBorders>
              <w:top w:val="single" w:sz="12" w:space="0" w:color="F79646" w:themeColor="accent6"/>
              <w:left w:val="nil"/>
              <w:bottom w:val="single" w:sz="12" w:space="0" w:color="4F81BD" w:themeColor="accent1"/>
              <w:right w:val="nil"/>
            </w:tcBorders>
          </w:tcPr>
          <w:p w14:paraId="00C29F87" w14:textId="77777777" w:rsidR="001E6185" w:rsidRPr="00840D6D" w:rsidRDefault="001E6185" w:rsidP="00840D6D">
            <w:pPr>
              <w:pStyle w:val="TableText"/>
              <w:spacing w:before="70" w:after="70"/>
              <w:rPr>
                <w:sz w:val="19"/>
                <w:szCs w:val="19"/>
              </w:rPr>
            </w:pPr>
          </w:p>
        </w:tc>
      </w:tr>
      <w:tr w:rsidR="001E6185" w14:paraId="24EB6C8D" w14:textId="77777777" w:rsidTr="009F1F1C">
        <w:trPr>
          <w:cantSplit/>
          <w:trHeight w:val="1134"/>
        </w:trPr>
        <w:tc>
          <w:tcPr>
            <w:tcW w:w="85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B8CCE4" w:themeFill="accent1" w:themeFillTint="66"/>
            <w:textDirection w:val="btLr"/>
            <w:vAlign w:val="center"/>
          </w:tcPr>
          <w:p w14:paraId="40D121AF" w14:textId="77777777" w:rsidR="001E6185" w:rsidRPr="001E6185" w:rsidRDefault="001E6185" w:rsidP="00840D6D">
            <w:pPr>
              <w:pStyle w:val="TableText"/>
              <w:spacing w:before="70" w:after="70"/>
              <w:jc w:val="center"/>
              <w:rPr>
                <w:b/>
                <w:sz w:val="28"/>
                <w:szCs w:val="28"/>
              </w:rPr>
            </w:pPr>
            <w:r w:rsidRPr="001E6185">
              <w:rPr>
                <w:b/>
                <w:sz w:val="28"/>
                <w:szCs w:val="28"/>
              </w:rPr>
              <w:t>Principles</w:t>
            </w:r>
          </w:p>
        </w:tc>
        <w:tc>
          <w:tcPr>
            <w:tcW w:w="236" w:type="dxa"/>
            <w:tcBorders>
              <w:top w:val="nil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</w:tcPr>
          <w:p w14:paraId="3205FC42" w14:textId="77777777" w:rsidR="001E6185" w:rsidRDefault="001E6185" w:rsidP="00840D6D">
            <w:pPr>
              <w:pStyle w:val="TableText"/>
              <w:spacing w:before="70" w:after="70"/>
            </w:pPr>
          </w:p>
        </w:tc>
        <w:tc>
          <w:tcPr>
            <w:tcW w:w="8411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AAB46F8" w14:textId="77777777" w:rsidR="001E6185" w:rsidRPr="00840D6D" w:rsidRDefault="001E6185" w:rsidP="00840D6D">
            <w:pPr>
              <w:pStyle w:val="TableText"/>
              <w:spacing w:before="70" w:after="70"/>
              <w:rPr>
                <w:b/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The principles of good care at the end of life include:</w:t>
            </w:r>
          </w:p>
          <w:p w14:paraId="07CE6D84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attending</w:t>
            </w:r>
            <w:r w:rsidRPr="00840D6D">
              <w:rPr>
                <w:sz w:val="19"/>
                <w:szCs w:val="19"/>
              </w:rPr>
              <w:t xml:space="preserve"> to culture, with clear communications and explanations</w:t>
            </w:r>
          </w:p>
          <w:p w14:paraId="154C1721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continuing</w:t>
            </w:r>
            <w:r w:rsidRPr="00840D6D">
              <w:rPr>
                <w:sz w:val="19"/>
                <w:szCs w:val="19"/>
              </w:rPr>
              <w:t xml:space="preserve"> any regular medications if withdrawal could cause adverse effects (this may include anti</w:t>
            </w:r>
            <w:r w:rsidRPr="00840D6D">
              <w:rPr>
                <w:sz w:val="19"/>
                <w:szCs w:val="19"/>
              </w:rPr>
              <w:noBreakHyphen/>
            </w:r>
            <w:proofErr w:type="spellStart"/>
            <w:r w:rsidRPr="00840D6D">
              <w:rPr>
                <w:sz w:val="19"/>
                <w:szCs w:val="19"/>
              </w:rPr>
              <w:t>anginals</w:t>
            </w:r>
            <w:proofErr w:type="spellEnd"/>
            <w:r w:rsidRPr="00840D6D">
              <w:rPr>
                <w:sz w:val="19"/>
                <w:szCs w:val="19"/>
              </w:rPr>
              <w:t>, heart failure medications, steroids and benzodiazepines, if dependent)</w:t>
            </w:r>
          </w:p>
          <w:p w14:paraId="23200CFB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stopping</w:t>
            </w:r>
            <w:r w:rsidRPr="00840D6D">
              <w:rPr>
                <w:sz w:val="19"/>
                <w:szCs w:val="19"/>
              </w:rPr>
              <w:t xml:space="preserve"> all non-essential medications (this may include anti-</w:t>
            </w:r>
            <w:proofErr w:type="spellStart"/>
            <w:r w:rsidRPr="00840D6D">
              <w:rPr>
                <w:sz w:val="19"/>
                <w:szCs w:val="19"/>
              </w:rPr>
              <w:t>hypertensives</w:t>
            </w:r>
            <w:proofErr w:type="spellEnd"/>
            <w:r w:rsidRPr="00840D6D">
              <w:rPr>
                <w:sz w:val="19"/>
                <w:szCs w:val="19"/>
              </w:rPr>
              <w:t xml:space="preserve">, oral </w:t>
            </w:r>
            <w:proofErr w:type="spellStart"/>
            <w:r w:rsidRPr="00840D6D">
              <w:rPr>
                <w:sz w:val="19"/>
                <w:szCs w:val="19"/>
              </w:rPr>
              <w:t>hypoglycaemics</w:t>
            </w:r>
            <w:proofErr w:type="spellEnd"/>
            <w:r w:rsidRPr="00840D6D">
              <w:rPr>
                <w:sz w:val="19"/>
                <w:szCs w:val="19"/>
              </w:rPr>
              <w:t xml:space="preserve">, diuretics, antibiotics, </w:t>
            </w:r>
            <w:proofErr w:type="spellStart"/>
            <w:r w:rsidRPr="00840D6D">
              <w:rPr>
                <w:sz w:val="19"/>
                <w:szCs w:val="19"/>
              </w:rPr>
              <w:t>etc</w:t>
            </w:r>
            <w:proofErr w:type="spellEnd"/>
            <w:r w:rsidRPr="00840D6D">
              <w:rPr>
                <w:sz w:val="19"/>
                <w:szCs w:val="19"/>
              </w:rPr>
              <w:t>)</w:t>
            </w:r>
          </w:p>
          <w:p w14:paraId="1F9EB14F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starting</w:t>
            </w:r>
            <w:r w:rsidRPr="00840D6D">
              <w:rPr>
                <w:sz w:val="19"/>
                <w:szCs w:val="19"/>
              </w:rPr>
              <w:t xml:space="preserve"> appropriate medications for existing symptoms as needed (PRN), subcutaneous and oral (if still able to swallow) and, if necessary, via continuous subcutaneous infusion (CSCI)</w:t>
            </w:r>
          </w:p>
          <w:p w14:paraId="2604D90D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anticipating</w:t>
            </w:r>
            <w:r w:rsidRPr="00840D6D">
              <w:rPr>
                <w:sz w:val="19"/>
                <w:szCs w:val="19"/>
              </w:rPr>
              <w:t xml:space="preserve"> symptoms that may occur and prescribing PRN medications (see Anticipatory and Symptomatic Prescribing below) (chart orally if still able to swallow AND as subcutaneous boluses)</w:t>
            </w:r>
          </w:p>
          <w:p w14:paraId="230787CA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reviewing</w:t>
            </w:r>
            <w:r w:rsidRPr="00840D6D">
              <w:rPr>
                <w:sz w:val="19"/>
                <w:szCs w:val="19"/>
              </w:rPr>
              <w:t xml:space="preserve"> medications at least daily</w:t>
            </w:r>
          </w:p>
          <w:p w14:paraId="72F10F78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proofErr w:type="gramStart"/>
            <w:r w:rsidRPr="00840D6D">
              <w:rPr>
                <w:b/>
                <w:sz w:val="19"/>
                <w:szCs w:val="19"/>
              </w:rPr>
              <w:t>considering</w:t>
            </w:r>
            <w:proofErr w:type="gramEnd"/>
            <w:r w:rsidRPr="00840D6D">
              <w:rPr>
                <w:sz w:val="19"/>
                <w:szCs w:val="19"/>
              </w:rPr>
              <w:t xml:space="preserve"> the risks and benefits of administering hydration by parenteral route before commencing or stopping intravenous or subcutaneous fluids.</w:t>
            </w:r>
          </w:p>
        </w:tc>
      </w:tr>
      <w:tr w:rsidR="001E6185" w14:paraId="1A10EA61" w14:textId="77777777" w:rsidTr="009F1F1C">
        <w:trPr>
          <w:cantSplit/>
        </w:trPr>
        <w:tc>
          <w:tcPr>
            <w:tcW w:w="851" w:type="dxa"/>
            <w:tcBorders>
              <w:top w:val="single" w:sz="12" w:space="0" w:color="4F81BD" w:themeColor="accent1"/>
              <w:left w:val="nil"/>
              <w:bottom w:val="single" w:sz="12" w:space="0" w:color="8064A2" w:themeColor="accent4"/>
              <w:right w:val="nil"/>
            </w:tcBorders>
            <w:vAlign w:val="center"/>
          </w:tcPr>
          <w:p w14:paraId="76B01DBC" w14:textId="77777777" w:rsidR="001E6185" w:rsidRDefault="001E6185" w:rsidP="00840D6D">
            <w:pPr>
              <w:pStyle w:val="TableText"/>
              <w:spacing w:before="70" w:after="7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719E32" w14:textId="77777777" w:rsidR="001E6185" w:rsidRDefault="001E6185" w:rsidP="00840D6D">
            <w:pPr>
              <w:pStyle w:val="TableText"/>
              <w:spacing w:before="70" w:after="70"/>
            </w:pPr>
          </w:p>
        </w:tc>
        <w:tc>
          <w:tcPr>
            <w:tcW w:w="8411" w:type="dxa"/>
            <w:tcBorders>
              <w:top w:val="single" w:sz="12" w:space="0" w:color="4F81BD" w:themeColor="accent1"/>
              <w:left w:val="nil"/>
              <w:bottom w:val="single" w:sz="12" w:space="0" w:color="8064A2" w:themeColor="accent4"/>
              <w:right w:val="nil"/>
            </w:tcBorders>
          </w:tcPr>
          <w:p w14:paraId="6ACEC964" w14:textId="77777777" w:rsidR="001E6185" w:rsidRPr="00840D6D" w:rsidRDefault="001E6185" w:rsidP="00840D6D">
            <w:pPr>
              <w:pStyle w:val="TableText"/>
              <w:spacing w:before="70" w:after="70"/>
              <w:rPr>
                <w:sz w:val="19"/>
                <w:szCs w:val="19"/>
              </w:rPr>
            </w:pPr>
          </w:p>
        </w:tc>
      </w:tr>
      <w:tr w:rsidR="001E6185" w14:paraId="00B5AB42" w14:textId="77777777" w:rsidTr="009F1F1C">
        <w:trPr>
          <w:cantSplit/>
          <w:trHeight w:val="1134"/>
        </w:trPr>
        <w:tc>
          <w:tcPr>
            <w:tcW w:w="85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CCC0D9" w:themeFill="accent4" w:themeFillTint="66"/>
            <w:textDirection w:val="btLr"/>
            <w:vAlign w:val="center"/>
          </w:tcPr>
          <w:p w14:paraId="15FC5831" w14:textId="77777777" w:rsidR="001E6185" w:rsidRPr="001E6185" w:rsidRDefault="001E6185" w:rsidP="00840D6D">
            <w:pPr>
              <w:pStyle w:val="TableText"/>
              <w:spacing w:before="70" w:after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Anticipatory and symptomatic prescribing</w:t>
            </w:r>
          </w:p>
        </w:tc>
        <w:tc>
          <w:tcPr>
            <w:tcW w:w="236" w:type="dxa"/>
            <w:tcBorders>
              <w:top w:val="nil"/>
              <w:left w:val="single" w:sz="12" w:space="0" w:color="8064A2" w:themeColor="accent4"/>
              <w:bottom w:val="nil"/>
              <w:right w:val="single" w:sz="12" w:space="0" w:color="8064A2" w:themeColor="accent4"/>
            </w:tcBorders>
          </w:tcPr>
          <w:p w14:paraId="0CD0182F" w14:textId="77777777" w:rsidR="001E6185" w:rsidRDefault="001E6185" w:rsidP="00840D6D">
            <w:pPr>
              <w:pStyle w:val="TableText"/>
              <w:spacing w:before="70" w:after="70"/>
            </w:pPr>
          </w:p>
        </w:tc>
        <w:tc>
          <w:tcPr>
            <w:tcW w:w="8411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263C8863" w14:textId="77777777" w:rsidR="001E6185" w:rsidRPr="00840D6D" w:rsidRDefault="001E6185" w:rsidP="00840D6D">
            <w:pPr>
              <w:pStyle w:val="TableText"/>
              <w:spacing w:before="70" w:after="70"/>
              <w:rPr>
                <w:b/>
                <w:sz w:val="19"/>
                <w:szCs w:val="19"/>
              </w:rPr>
            </w:pPr>
            <w:r w:rsidRPr="00840D6D">
              <w:rPr>
                <w:b/>
                <w:sz w:val="19"/>
                <w:szCs w:val="19"/>
              </w:rPr>
              <w:t>Reviewing prescribed medications</w:t>
            </w:r>
          </w:p>
          <w:p w14:paraId="7B48F21D" w14:textId="77777777" w:rsidR="001E6185" w:rsidRPr="00840D6D" w:rsidRDefault="001E6185" w:rsidP="00840D6D">
            <w:pPr>
              <w:pStyle w:val="TableTex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There are five main symptoms that must be anticipated so that care is optimised. Not every dying person experiences these, but some may experience all five. The symptoms are:</w:t>
            </w:r>
          </w:p>
          <w:p w14:paraId="387D2C8F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pain</w:t>
            </w:r>
          </w:p>
          <w:p w14:paraId="352344B0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nausea and vomiting</w:t>
            </w:r>
          </w:p>
          <w:p w14:paraId="250EEC81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respiratory tract secretions</w:t>
            </w:r>
          </w:p>
          <w:p w14:paraId="4893DF2A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delirium, restlessness, agitation</w:t>
            </w:r>
          </w:p>
          <w:p w14:paraId="6BE520FA" w14:textId="77777777" w:rsidR="001E6185" w:rsidRPr="00840D6D" w:rsidRDefault="001E6185" w:rsidP="00840D6D">
            <w:pPr>
              <w:pStyle w:val="TableBullet"/>
              <w:spacing w:before="70" w:after="70"/>
              <w:rPr>
                <w:sz w:val="19"/>
                <w:szCs w:val="19"/>
              </w:rPr>
            </w:pPr>
            <w:proofErr w:type="gramStart"/>
            <w:r w:rsidRPr="00840D6D">
              <w:rPr>
                <w:sz w:val="19"/>
                <w:szCs w:val="19"/>
              </w:rPr>
              <w:t>breathlessness/</w:t>
            </w:r>
            <w:proofErr w:type="spellStart"/>
            <w:r w:rsidRPr="00840D6D">
              <w:rPr>
                <w:sz w:val="19"/>
                <w:szCs w:val="19"/>
              </w:rPr>
              <w:t>dyspnea</w:t>
            </w:r>
            <w:proofErr w:type="spellEnd"/>
            <w:proofErr w:type="gramEnd"/>
            <w:r w:rsidRPr="00840D6D">
              <w:rPr>
                <w:sz w:val="19"/>
                <w:szCs w:val="19"/>
              </w:rPr>
              <w:t>.</w:t>
            </w:r>
          </w:p>
          <w:p w14:paraId="502F050A" w14:textId="77777777" w:rsidR="001E6185" w:rsidRPr="00840D6D" w:rsidRDefault="001E6185" w:rsidP="00840D6D">
            <w:pPr>
              <w:pStyle w:val="TableTex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It is important to anticipate potential symptoms and prescribe accordingly.</w:t>
            </w:r>
          </w:p>
          <w:p w14:paraId="36E131F7" w14:textId="77777777" w:rsidR="001E6185" w:rsidRPr="00840D6D" w:rsidRDefault="001E6185" w:rsidP="00840D6D">
            <w:pPr>
              <w:pStyle w:val="TableTex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Anticipatory prescribing enables health professionals to respond quickly should a symptom arise or when swallowing becomes difficult.</w:t>
            </w:r>
          </w:p>
          <w:p w14:paraId="7846A8B1" w14:textId="77777777" w:rsidR="001E6185" w:rsidRPr="00840D6D" w:rsidRDefault="001E6185" w:rsidP="00840D6D">
            <w:pPr>
              <w:pStyle w:val="TableTex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Explain to the person (if able) and their family/</w:t>
            </w:r>
            <w:proofErr w:type="spellStart"/>
            <w:r w:rsidRPr="00840D6D">
              <w:rPr>
                <w:sz w:val="19"/>
                <w:szCs w:val="19"/>
              </w:rPr>
              <w:t>whānau</w:t>
            </w:r>
            <w:proofErr w:type="spellEnd"/>
            <w:r w:rsidRPr="00840D6D">
              <w:rPr>
                <w:sz w:val="19"/>
                <w:szCs w:val="19"/>
              </w:rPr>
              <w:t xml:space="preserve"> the rationale for anticipatory prescribing.</w:t>
            </w:r>
          </w:p>
          <w:p w14:paraId="49C297F2" w14:textId="77777777" w:rsidR="001E6185" w:rsidRPr="00840D6D" w:rsidRDefault="001E6185" w:rsidP="00840D6D">
            <w:pPr>
              <w:pStyle w:val="TableText"/>
              <w:spacing w:before="70" w:after="70"/>
              <w:rPr>
                <w:sz w:val="19"/>
                <w:szCs w:val="19"/>
              </w:rPr>
            </w:pPr>
            <w:r w:rsidRPr="00840D6D">
              <w:rPr>
                <w:sz w:val="19"/>
                <w:szCs w:val="19"/>
              </w:rPr>
              <w:t>If more than three doses of any prescribed drug are required within the minimum administration period (</w:t>
            </w:r>
            <w:proofErr w:type="spellStart"/>
            <w:r w:rsidRPr="00840D6D">
              <w:rPr>
                <w:sz w:val="19"/>
                <w:szCs w:val="19"/>
              </w:rPr>
              <w:t>eg</w:t>
            </w:r>
            <w:proofErr w:type="spellEnd"/>
            <w:r w:rsidRPr="00840D6D">
              <w:rPr>
                <w:sz w:val="19"/>
                <w:szCs w:val="19"/>
              </w:rPr>
              <w:t>, if prescribed Q1H PRN and three doses are required in three hours), review and consider whether a continuous subcutaneous infusion (CSCI) would be preferable.</w:t>
            </w:r>
          </w:p>
          <w:p w14:paraId="494BEC51" w14:textId="77777777" w:rsidR="001E6185" w:rsidRPr="00840D6D" w:rsidRDefault="001E6185" w:rsidP="00840D6D">
            <w:pPr>
              <w:pStyle w:val="TableText"/>
              <w:spacing w:before="70" w:after="70"/>
              <w:jc w:val="center"/>
              <w:rPr>
                <w:b/>
                <w:color w:val="404040" w:themeColor="text1" w:themeTint="BF"/>
                <w:sz w:val="19"/>
                <w:szCs w:val="19"/>
              </w:rPr>
            </w:pPr>
            <w:r w:rsidRPr="00840D6D">
              <w:rPr>
                <w:b/>
                <w:sz w:val="22"/>
                <w:szCs w:val="19"/>
              </w:rPr>
              <w:t>Refer to symptom management flow charts.</w:t>
            </w:r>
          </w:p>
        </w:tc>
      </w:tr>
    </w:tbl>
    <w:p w14:paraId="0DAFCE3A" w14:textId="154581B8" w:rsidR="006303EE" w:rsidRPr="008C2D3F" w:rsidRDefault="006303EE" w:rsidP="00EA0561"/>
    <w:sectPr w:rsidR="006303EE" w:rsidRPr="008C2D3F" w:rsidSect="00EA0561">
      <w:footerReference w:type="even" r:id="rId8"/>
      <w:footerReference w:type="default" r:id="rId9"/>
      <w:pgSz w:w="11907" w:h="16840" w:code="9"/>
      <w:pgMar w:top="851" w:right="992" w:bottom="1134" w:left="1134" w:header="284" w:footer="567" w:gutter="28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CB0C5" w14:textId="77777777" w:rsidR="004F336F" w:rsidRDefault="004F336F">
      <w:r>
        <w:separator/>
      </w:r>
    </w:p>
    <w:p w14:paraId="55266FEC" w14:textId="77777777" w:rsidR="004F336F" w:rsidRDefault="004F336F"/>
  </w:endnote>
  <w:endnote w:type="continuationSeparator" w:id="0">
    <w:p w14:paraId="338311F3" w14:textId="77777777" w:rsidR="004F336F" w:rsidRDefault="004F336F">
      <w:r>
        <w:continuationSeparator/>
      </w:r>
    </w:p>
    <w:p w14:paraId="46546A86" w14:textId="77777777" w:rsidR="004F336F" w:rsidRDefault="004F3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77777777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EA0561">
      <w:rPr>
        <w:rStyle w:val="PageNumber"/>
        <w:noProof/>
      </w:rPr>
      <w:t>28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Dying at home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7752D0E4" w:rsidR="00773B0A" w:rsidRDefault="00773B0A" w:rsidP="00FC04B3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EA0561">
      <w:t>Medical management planning – general principles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3C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77FC" w14:textId="77777777" w:rsidR="004F336F" w:rsidRPr="00A26E6B" w:rsidRDefault="004F336F" w:rsidP="00A26E6B"/>
  </w:footnote>
  <w:footnote w:type="continuationSeparator" w:id="0">
    <w:p w14:paraId="7964A583" w14:textId="77777777" w:rsidR="004F336F" w:rsidRDefault="004F336F">
      <w:r>
        <w:continuationSeparator/>
      </w:r>
    </w:p>
    <w:p w14:paraId="252E8C46" w14:textId="77777777" w:rsidR="004F336F" w:rsidRDefault="004F33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124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4F336F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573CB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C5F"/>
    <w:rsid w:val="00E93DE0"/>
    <w:rsid w:val="00EA0561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04B3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6B85A03C-9DB0-42F2-966E-189AA98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1EC0-7041-4D62-8633-F519E1E1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2017-04-02T21:26:00Z</dcterms:created>
  <dcterms:modified xsi:type="dcterms:W3CDTF">2017-04-02T21:26:00Z</dcterms:modified>
</cp:coreProperties>
</file>