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4F" w:rsidRPr="00C63898" w:rsidRDefault="00317961" w:rsidP="004A0C3C">
      <w:pPr>
        <w:pStyle w:val="APageHeading"/>
      </w:pPr>
      <w:bookmarkStart w:id="0" w:name="_Toc342988046"/>
      <w:bookmarkStart w:id="1" w:name="_Toc343072991"/>
      <w:bookmarkStart w:id="2" w:name="_Toc395694124"/>
      <w:bookmarkStart w:id="3" w:name="_Toc410029397"/>
      <w:bookmarkStart w:id="4" w:name="_Toc410136454"/>
      <w:bookmarkStart w:id="5" w:name="_Toc410201526"/>
      <w:bookmarkStart w:id="6" w:name="_Toc410226419"/>
      <w:bookmarkStart w:id="7" w:name="_Toc410230125"/>
      <w:bookmarkStart w:id="8" w:name="_Toc412729761"/>
      <w:bookmarkStart w:id="9" w:name="_GoBack"/>
      <w:bookmarkEnd w:id="9"/>
      <w:r w:rsidRPr="00C63898">
        <w:rPr>
          <w:noProof/>
        </w:rPr>
        <w:drawing>
          <wp:anchor distT="0" distB="0" distL="114300" distR="114300" simplePos="0" relativeHeight="251651584" behindDoc="0" locked="1" layoutInCell="1" allowOverlap="0">
            <wp:simplePos x="0" y="0"/>
            <wp:positionH relativeFrom="page">
              <wp:posOffset>540385</wp:posOffset>
            </wp:positionH>
            <wp:positionV relativeFrom="page">
              <wp:posOffset>540385</wp:posOffset>
            </wp:positionV>
            <wp:extent cx="1871980" cy="350520"/>
            <wp:effectExtent l="19050" t="0" r="0" b="0"/>
            <wp:wrapNone/>
            <wp:docPr id="15" name="Picture 227" descr="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loitte logo"/>
                    <pic:cNvPicPr>
                      <a:picLocks noChangeAspect="1" noChangeArrowheads="1"/>
                    </pic:cNvPicPr>
                  </pic:nvPicPr>
                  <pic:blipFill>
                    <a:blip r:embed="rId9" cstate="print"/>
                    <a:srcRect/>
                    <a:stretch>
                      <a:fillRect/>
                    </a:stretch>
                  </pic:blipFill>
                  <pic:spPr bwMode="auto">
                    <a:xfrm>
                      <a:off x="0" y="0"/>
                      <a:ext cx="1871980" cy="350520"/>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p>
    <w:p w:rsidR="004B02FA" w:rsidRPr="004B02FA" w:rsidRDefault="00EE657F" w:rsidP="006F5E02">
      <w:pPr>
        <w:pStyle w:val="Title"/>
        <w:rPr>
          <w:color w:val="002776"/>
          <w:sz w:val="68"/>
          <w:szCs w:val="68"/>
          <w:lang w:eastAsia="en-NZ"/>
        </w:rPr>
      </w:pPr>
      <w:r>
        <w:rPr>
          <w:noProof/>
          <w:color w:val="002776"/>
          <w:sz w:val="68"/>
          <w:szCs w:val="68"/>
          <w:lang w:eastAsia="en-NZ"/>
        </w:rPr>
        <mc:AlternateContent>
          <mc:Choice Requires="wps">
            <w:drawing>
              <wp:anchor distT="0" distB="0" distL="114300" distR="114300" simplePos="0" relativeHeight="251662848" behindDoc="0" locked="0" layoutInCell="1" allowOverlap="1">
                <wp:simplePos x="0" y="0"/>
                <wp:positionH relativeFrom="page">
                  <wp:posOffset>546735</wp:posOffset>
                </wp:positionH>
                <wp:positionV relativeFrom="page">
                  <wp:posOffset>9686925</wp:posOffset>
                </wp:positionV>
                <wp:extent cx="2809240" cy="4572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8DC" w:rsidRPr="00EF38B4" w:rsidRDefault="002118DC" w:rsidP="003C3C08">
                            <w:pPr>
                              <w:pStyle w:val="Bodycopy"/>
                              <w:rPr>
                                <w:sz w:val="24"/>
                                <w:szCs w:val="24"/>
                              </w:rPr>
                            </w:pPr>
                            <w:r>
                              <w:t>February 2015</w:t>
                            </w:r>
                          </w:p>
                          <w:p w:rsidR="002118DC" w:rsidRDefault="002118DC" w:rsidP="003C3C08"/>
                          <w:p w:rsidR="002118DC" w:rsidRPr="00EF38B4" w:rsidRDefault="002118DC" w:rsidP="003C3C08">
                            <w:pPr>
                              <w:pStyle w:val="Bodycopy"/>
                              <w:rPr>
                                <w:sz w:val="24"/>
                                <w:szCs w:val="24"/>
                              </w:rPr>
                            </w:pPr>
                            <w:r w:rsidRPr="00EF38B4">
                              <w:t>Cover head</w:t>
                            </w:r>
                            <w:r w:rsidRPr="00EF38B4">
                              <w:br/>
                              <w:t>Second line lorem ipsum</w:t>
                            </w:r>
                            <w:r>
                              <w:t xml:space="preserve"> – Arial 10pt Bold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05pt;margin-top:762.75pt;width:221.2pt;height: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f9qgIAAKk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PTnb5TCTjddeCmB9g2nqZS1d2K4ptCXGxqwvf0RkrR15SUkJ1vbroXV0cc&#10;ZUB2/UdRQhhy0MICDZVsDSA0AwE6sPRwZsakUsBmEHlxEMJRAWfhfAnU2xAkmW53Uun3VLTIGCmW&#10;wLxFJ8dbpU02JJlcTDAuctY0lv2GP9sAx3EHYsNVc2aysGQ+xl68jbZR6ITBYuuEXpY5N/kmdBa5&#10;v5xn77LNJvN/mrh+mNSsLCk3YSZh+eGfEXeS+CiJs7SUaFhp4ExKSu53m0aiIwFh5/Y7NeTCzX2e&#10;hm0C1PKiJB8auw5iJ19ESyfMw7kTL73I8fx4HS+8MA6z/HlJt4zTfy8J9SmO58F8FNNva/Ps97o2&#10;krRMw+hoWJvi6OxEEiPBLS8ttZqwZrQvWmHSf2oF0D0RbQVrNDqqVQ+7AVCMineifADpSgHKAhHC&#10;vAOjFvIHRj3MjhSr7wciKUbNBw7yN4NmMuRk7CaD8AKuplhjNJobPQ6kQyfZvgbk8YFxcQNPpGJW&#10;vU9ZnB4WzANbxGl2mYFz+W+9nibs6hcAAAD//wMAUEsDBBQABgAIAAAAIQBk41np4AAAAAwBAAAP&#10;AAAAZHJzL2Rvd25yZXYueG1sTI/BTsMwEETvSPyDtUjcqNNIDmmIU1UITkiINBw4OrGbWI3XIXbb&#10;8PdsT3DbnRnNvi23ixvZ2czBepSwXiXADHZeW+wlfDavDzmwEBVqNXo0En5MgG11e1OqQvsL1ua8&#10;jz2jEgyFkjDEOBWch24wToWVnwySd/CzU5HWued6VhcqdyNPkyTjTlmkC4OazPNguuP+5CTsvrB+&#10;sd/v7Ud9qG3TbBJ8y45S3t8tuydg0SzxLwxXfEKHiphaf0Id2Cghz9aUJF2kQgCjhEhzGtqrtHkU&#10;wKuS/3+i+gUAAP//AwBQSwECLQAUAAYACAAAACEAtoM4kv4AAADhAQAAEwAAAAAAAAAAAAAAAAAA&#10;AAAAW0NvbnRlbnRfVHlwZXNdLnhtbFBLAQItABQABgAIAAAAIQA4/SH/1gAAAJQBAAALAAAAAAAA&#10;AAAAAAAAAC8BAABfcmVscy8ucmVsc1BLAQItABQABgAIAAAAIQAZ1Of9qgIAAKkFAAAOAAAAAAAA&#10;AAAAAAAAAC4CAABkcnMvZTJvRG9jLnhtbFBLAQItABQABgAIAAAAIQBk41np4AAAAAwBAAAPAAAA&#10;AAAAAAAAAAAAAAQFAABkcnMvZG93bnJldi54bWxQSwUGAAAAAAQABADzAAAAEQYAAAAA&#10;" filled="f" stroked="f">
                <v:textbox inset="0,0,0,0">
                  <w:txbxContent>
                    <w:p w:rsidR="002118DC" w:rsidRPr="00EF38B4" w:rsidRDefault="002118DC" w:rsidP="003C3C08">
                      <w:pPr>
                        <w:pStyle w:val="Bodycopy"/>
                        <w:rPr>
                          <w:sz w:val="24"/>
                          <w:szCs w:val="24"/>
                        </w:rPr>
                      </w:pPr>
                      <w:r>
                        <w:t>February 2015</w:t>
                      </w:r>
                    </w:p>
                    <w:p w:rsidR="002118DC" w:rsidRDefault="002118DC" w:rsidP="003C3C08"/>
                    <w:p w:rsidR="002118DC" w:rsidRPr="00EF38B4" w:rsidRDefault="002118DC" w:rsidP="003C3C08">
                      <w:pPr>
                        <w:pStyle w:val="Bodycopy"/>
                        <w:rPr>
                          <w:sz w:val="24"/>
                          <w:szCs w:val="24"/>
                        </w:rPr>
                      </w:pPr>
                      <w:r w:rsidRPr="00EF38B4">
                        <w:t>Cover head</w:t>
                      </w:r>
                      <w:r w:rsidRPr="00EF38B4">
                        <w:br/>
                        <w:t>Second line lorem ipsum</w:t>
                      </w:r>
                      <w:r>
                        <w:t xml:space="preserve"> – Arial 10pt Bold</w:t>
                      </w:r>
                    </w:p>
                  </w:txbxContent>
                </v:textbox>
                <w10:wrap anchorx="page" anchory="page"/>
              </v:shape>
            </w:pict>
          </mc:Fallback>
        </mc:AlternateContent>
      </w:r>
      <w:r w:rsidR="003353EB">
        <w:rPr>
          <w:color w:val="002776"/>
          <w:sz w:val="68"/>
          <w:szCs w:val="68"/>
          <w:lang w:eastAsia="en-NZ"/>
        </w:rPr>
        <w:t>Level 2</w:t>
      </w:r>
      <w:r w:rsidR="00AC081C">
        <w:rPr>
          <w:color w:val="002776"/>
          <w:sz w:val="68"/>
          <w:szCs w:val="68"/>
          <w:lang w:eastAsia="en-NZ"/>
        </w:rPr>
        <w:t xml:space="preserve"> Advance Care Planning Practitioner Training </w:t>
      </w:r>
      <w:r w:rsidR="004B02FA" w:rsidRPr="004B02FA">
        <w:rPr>
          <w:color w:val="002776"/>
          <w:sz w:val="68"/>
          <w:szCs w:val="68"/>
          <w:lang w:eastAsia="en-NZ"/>
        </w:rPr>
        <w:t>Review</w:t>
      </w:r>
    </w:p>
    <w:p w:rsidR="006B786A" w:rsidRDefault="006B786A" w:rsidP="00182541">
      <w:pPr>
        <w:rPr>
          <w:rStyle w:val="Coverheadline-insight-taglineChar"/>
          <w:sz w:val="56"/>
          <w:szCs w:val="56"/>
        </w:rPr>
      </w:pPr>
    </w:p>
    <w:p w:rsidR="00837B97" w:rsidRPr="004B02FA" w:rsidRDefault="008C348E" w:rsidP="00182541">
      <w:pPr>
        <w:rPr>
          <w:rStyle w:val="Coverheadline-insight-taglineChar"/>
          <w:sz w:val="56"/>
          <w:szCs w:val="56"/>
        </w:rPr>
      </w:pPr>
      <w:r>
        <w:rPr>
          <w:rStyle w:val="Coverheadline-insight-taglineChar"/>
          <w:sz w:val="56"/>
          <w:szCs w:val="56"/>
        </w:rPr>
        <w:t>Health Work</w:t>
      </w:r>
      <w:r w:rsidR="00733EC7">
        <w:rPr>
          <w:rStyle w:val="Coverheadline-insight-taglineChar"/>
          <w:sz w:val="56"/>
          <w:szCs w:val="56"/>
        </w:rPr>
        <w:t>f</w:t>
      </w:r>
      <w:r>
        <w:rPr>
          <w:rStyle w:val="Coverheadline-insight-taglineChar"/>
          <w:sz w:val="56"/>
          <w:szCs w:val="56"/>
        </w:rPr>
        <w:t>orce New Zealand</w:t>
      </w:r>
      <w:r w:rsidR="00AC081C">
        <w:rPr>
          <w:rStyle w:val="Coverheadline-insight-taglineChar"/>
          <w:sz w:val="56"/>
          <w:szCs w:val="56"/>
        </w:rPr>
        <w:t xml:space="preserve"> </w:t>
      </w:r>
    </w:p>
    <w:p w:rsidR="00B41BCC" w:rsidRPr="00C63898" w:rsidRDefault="00B41BCC" w:rsidP="00B41BCC">
      <w:pPr>
        <w:spacing w:after="0" w:line="240" w:lineRule="auto"/>
        <w:rPr>
          <w:b/>
          <w:sz w:val="24"/>
        </w:rPr>
      </w:pPr>
    </w:p>
    <w:p w:rsidR="00853B6E" w:rsidRPr="00C63898" w:rsidRDefault="00853B6E">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pPr>
    </w:p>
    <w:p w:rsidR="00FC60E2" w:rsidRPr="00C63898" w:rsidRDefault="00FC60E2">
      <w:pPr>
        <w:spacing w:after="0" w:line="240" w:lineRule="auto"/>
        <w:rPr>
          <w:b/>
          <w:sz w:val="24"/>
        </w:rPr>
        <w:sectPr w:rsidR="00FC60E2" w:rsidRPr="00C63898" w:rsidSect="00DF263C">
          <w:headerReference w:type="even" r:id="rId10"/>
          <w:headerReference w:type="default" r:id="rId11"/>
          <w:footerReference w:type="even" r:id="rId12"/>
          <w:footerReference w:type="default" r:id="rId13"/>
          <w:headerReference w:type="first" r:id="rId14"/>
          <w:type w:val="evenPage"/>
          <w:pgSz w:w="11899" w:h="16838" w:code="9"/>
          <w:pgMar w:top="1440" w:right="1440" w:bottom="851" w:left="1440" w:header="709" w:footer="709" w:gutter="0"/>
          <w:pgNumType w:start="1"/>
          <w:cols w:space="708"/>
          <w:docGrid w:linePitch="272"/>
        </w:sectPr>
      </w:pPr>
    </w:p>
    <w:p w:rsidR="001B5EA6" w:rsidRPr="00C63898" w:rsidRDefault="001B5EA6" w:rsidP="00004292">
      <w:pPr>
        <w:spacing w:after="1200" w:line="240" w:lineRule="auto"/>
        <w:ind w:left="2127"/>
        <w:rPr>
          <w:rFonts w:ascii="Times New Roman" w:hAnsi="Times New Roman"/>
          <w:color w:val="002776"/>
          <w:sz w:val="60"/>
          <w:szCs w:val="60"/>
        </w:rPr>
      </w:pPr>
      <w:r w:rsidRPr="00C63898">
        <w:rPr>
          <w:rFonts w:ascii="Times New Roman" w:hAnsi="Times New Roman"/>
          <w:color w:val="002776"/>
          <w:sz w:val="60"/>
          <w:szCs w:val="60"/>
        </w:rPr>
        <w:lastRenderedPageBreak/>
        <w:t>Con</w:t>
      </w:r>
      <w:r w:rsidR="000B4516">
        <w:rPr>
          <w:rFonts w:ascii="Times New Roman" w:hAnsi="Times New Roman"/>
          <w:color w:val="002776"/>
          <w:sz w:val="60"/>
          <w:szCs w:val="60"/>
        </w:rPr>
        <w:t>te</w:t>
      </w:r>
      <w:r w:rsidRPr="00C63898">
        <w:rPr>
          <w:rFonts w:ascii="Times New Roman" w:hAnsi="Times New Roman"/>
          <w:color w:val="002776"/>
          <w:sz w:val="60"/>
          <w:szCs w:val="60"/>
        </w:rPr>
        <w:t>nts</w:t>
      </w:r>
      <w:r w:rsidRPr="00C63898">
        <w:rPr>
          <w:rFonts w:ascii="Times New Roman" w:hAnsi="Times New Roman"/>
          <w:color w:val="002776"/>
          <w:sz w:val="60"/>
          <w:szCs w:val="60"/>
        </w:rPr>
        <w:tab/>
      </w:r>
      <w:bookmarkStart w:id="10" w:name="OLE_LINK1"/>
    </w:p>
    <w:p w:rsidR="00DF263C" w:rsidRPr="00C63898" w:rsidRDefault="00DF263C" w:rsidP="00B41BCC">
      <w:pPr>
        <w:spacing w:after="0" w:line="240" w:lineRule="auto"/>
        <w:rPr>
          <w:b/>
        </w:rPr>
      </w:pPr>
    </w:p>
    <w:p w:rsidR="00004292" w:rsidRDefault="00A23209" w:rsidP="00004292">
      <w:pPr>
        <w:pStyle w:val="TOC1"/>
        <w:rPr>
          <w:rFonts w:asciiTheme="minorHAnsi" w:eastAsiaTheme="minorEastAsia" w:hAnsiTheme="minorHAnsi" w:cstheme="minorBidi"/>
          <w:noProof/>
          <w:color w:val="auto"/>
          <w:sz w:val="22"/>
          <w:szCs w:val="22"/>
          <w:lang w:eastAsia="en-NZ" w:bidi="ar-SA"/>
        </w:rPr>
      </w:pPr>
      <w:r>
        <w:fldChar w:fldCharType="begin"/>
      </w:r>
      <w:r w:rsidR="00D30919">
        <w:instrText xml:space="preserve"> TOC \h \z \t "Heading 1,1,A Page Heading,1,A Page heading - numbered,1" </w:instrText>
      </w:r>
      <w:r>
        <w:fldChar w:fldCharType="separate"/>
      </w:r>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2" w:history="1">
        <w:r w:rsidR="00004292" w:rsidRPr="00661BAC">
          <w:rPr>
            <w:rStyle w:val="Hyperlink"/>
            <w:noProof/>
            <w:lang w:eastAsia="en-NZ"/>
          </w:rPr>
          <w:t>1.</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Disclaimer</w:t>
        </w:r>
        <w:r w:rsidR="00004292">
          <w:rPr>
            <w:noProof/>
            <w:webHidden/>
          </w:rPr>
          <w:tab/>
        </w:r>
        <w:r w:rsidR="00004292">
          <w:rPr>
            <w:noProof/>
            <w:webHidden/>
          </w:rPr>
          <w:tab/>
        </w:r>
        <w:r w:rsidR="00004292">
          <w:rPr>
            <w:noProof/>
            <w:webHidden/>
          </w:rPr>
          <w:fldChar w:fldCharType="begin"/>
        </w:r>
        <w:r w:rsidR="00004292">
          <w:rPr>
            <w:noProof/>
            <w:webHidden/>
          </w:rPr>
          <w:instrText xml:space="preserve"> PAGEREF _Toc412729762 \h </w:instrText>
        </w:r>
        <w:r w:rsidR="00004292">
          <w:rPr>
            <w:noProof/>
            <w:webHidden/>
          </w:rPr>
        </w:r>
        <w:r w:rsidR="00004292">
          <w:rPr>
            <w:noProof/>
            <w:webHidden/>
          </w:rPr>
          <w:fldChar w:fldCharType="separate"/>
        </w:r>
        <w:r w:rsidR="0076495B">
          <w:rPr>
            <w:noProof/>
            <w:webHidden/>
          </w:rPr>
          <w:t>1</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3" w:history="1">
        <w:r w:rsidR="00004292" w:rsidRPr="00661BAC">
          <w:rPr>
            <w:rStyle w:val="Hyperlink"/>
            <w:noProof/>
            <w:lang w:eastAsia="en-NZ"/>
          </w:rPr>
          <w:t>2.</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Abbreviations</w:t>
        </w:r>
        <w:r w:rsidR="00004292">
          <w:rPr>
            <w:noProof/>
            <w:webHidden/>
          </w:rPr>
          <w:tab/>
        </w:r>
        <w:r w:rsidR="00004292">
          <w:rPr>
            <w:noProof/>
            <w:webHidden/>
          </w:rPr>
          <w:fldChar w:fldCharType="begin"/>
        </w:r>
        <w:r w:rsidR="00004292">
          <w:rPr>
            <w:noProof/>
            <w:webHidden/>
          </w:rPr>
          <w:instrText xml:space="preserve"> PAGEREF _Toc412729763 \h </w:instrText>
        </w:r>
        <w:r w:rsidR="00004292">
          <w:rPr>
            <w:noProof/>
            <w:webHidden/>
          </w:rPr>
        </w:r>
        <w:r w:rsidR="00004292">
          <w:rPr>
            <w:noProof/>
            <w:webHidden/>
          </w:rPr>
          <w:fldChar w:fldCharType="separate"/>
        </w:r>
        <w:r w:rsidR="0076495B">
          <w:rPr>
            <w:noProof/>
            <w:webHidden/>
          </w:rPr>
          <w:t>2</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4" w:history="1">
        <w:r w:rsidR="00004292" w:rsidRPr="00661BAC">
          <w:rPr>
            <w:rStyle w:val="Hyperlink"/>
            <w:noProof/>
            <w:lang w:eastAsia="en-NZ"/>
          </w:rPr>
          <w:t>3.</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Executive Summary</w:t>
        </w:r>
        <w:r w:rsidR="00004292">
          <w:rPr>
            <w:noProof/>
            <w:webHidden/>
          </w:rPr>
          <w:tab/>
        </w:r>
        <w:r w:rsidR="00004292">
          <w:rPr>
            <w:noProof/>
            <w:webHidden/>
          </w:rPr>
          <w:fldChar w:fldCharType="begin"/>
        </w:r>
        <w:r w:rsidR="00004292">
          <w:rPr>
            <w:noProof/>
            <w:webHidden/>
          </w:rPr>
          <w:instrText xml:space="preserve"> PAGEREF _Toc412729764 \h </w:instrText>
        </w:r>
        <w:r w:rsidR="00004292">
          <w:rPr>
            <w:noProof/>
            <w:webHidden/>
          </w:rPr>
        </w:r>
        <w:r w:rsidR="00004292">
          <w:rPr>
            <w:noProof/>
            <w:webHidden/>
          </w:rPr>
          <w:fldChar w:fldCharType="separate"/>
        </w:r>
        <w:r w:rsidR="0076495B">
          <w:rPr>
            <w:noProof/>
            <w:webHidden/>
          </w:rPr>
          <w:t>3</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5" w:history="1">
        <w:r w:rsidR="00004292" w:rsidRPr="00661BAC">
          <w:rPr>
            <w:rStyle w:val="Hyperlink"/>
            <w:noProof/>
            <w:lang w:eastAsia="en-NZ"/>
          </w:rPr>
          <w:t>4.</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Introduction</w:t>
        </w:r>
        <w:r w:rsidR="00004292">
          <w:rPr>
            <w:rStyle w:val="Hyperlink"/>
            <w:noProof/>
            <w:lang w:eastAsia="en-NZ"/>
          </w:rPr>
          <w:tab/>
        </w:r>
        <w:r w:rsidR="00004292">
          <w:rPr>
            <w:noProof/>
            <w:webHidden/>
          </w:rPr>
          <w:tab/>
        </w:r>
        <w:r w:rsidR="00004292">
          <w:rPr>
            <w:noProof/>
            <w:webHidden/>
          </w:rPr>
          <w:fldChar w:fldCharType="begin"/>
        </w:r>
        <w:r w:rsidR="00004292">
          <w:rPr>
            <w:noProof/>
            <w:webHidden/>
          </w:rPr>
          <w:instrText xml:space="preserve"> PAGEREF _Toc412729765 \h </w:instrText>
        </w:r>
        <w:r w:rsidR="00004292">
          <w:rPr>
            <w:noProof/>
            <w:webHidden/>
          </w:rPr>
        </w:r>
        <w:r w:rsidR="00004292">
          <w:rPr>
            <w:noProof/>
            <w:webHidden/>
          </w:rPr>
          <w:fldChar w:fldCharType="separate"/>
        </w:r>
        <w:r w:rsidR="0076495B">
          <w:rPr>
            <w:noProof/>
            <w:webHidden/>
          </w:rPr>
          <w:t>7</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6" w:history="1">
        <w:r w:rsidR="00004292" w:rsidRPr="00661BAC">
          <w:rPr>
            <w:rStyle w:val="Hyperlink"/>
            <w:noProof/>
            <w:lang w:eastAsia="en-NZ"/>
          </w:rPr>
          <w:t>5.</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Methodology</w:t>
        </w:r>
        <w:r w:rsidR="00004292">
          <w:rPr>
            <w:noProof/>
            <w:webHidden/>
          </w:rPr>
          <w:tab/>
        </w:r>
        <w:r w:rsidR="00004292">
          <w:rPr>
            <w:noProof/>
            <w:webHidden/>
          </w:rPr>
          <w:fldChar w:fldCharType="begin"/>
        </w:r>
        <w:r w:rsidR="00004292">
          <w:rPr>
            <w:noProof/>
            <w:webHidden/>
          </w:rPr>
          <w:instrText xml:space="preserve"> PAGEREF _Toc412729766 \h </w:instrText>
        </w:r>
        <w:r w:rsidR="00004292">
          <w:rPr>
            <w:noProof/>
            <w:webHidden/>
          </w:rPr>
        </w:r>
        <w:r w:rsidR="00004292">
          <w:rPr>
            <w:noProof/>
            <w:webHidden/>
          </w:rPr>
          <w:fldChar w:fldCharType="separate"/>
        </w:r>
        <w:r w:rsidR="0076495B">
          <w:rPr>
            <w:noProof/>
            <w:webHidden/>
          </w:rPr>
          <w:t>8</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7" w:history="1">
        <w:r w:rsidR="00004292" w:rsidRPr="00661BAC">
          <w:rPr>
            <w:rStyle w:val="Hyperlink"/>
            <w:noProof/>
            <w:lang w:eastAsia="en-NZ"/>
          </w:rPr>
          <w:t>6.</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Review Findings</w:t>
        </w:r>
        <w:r w:rsidR="00004292">
          <w:rPr>
            <w:noProof/>
            <w:webHidden/>
          </w:rPr>
          <w:tab/>
        </w:r>
        <w:r w:rsidR="00004292">
          <w:rPr>
            <w:noProof/>
            <w:webHidden/>
          </w:rPr>
          <w:fldChar w:fldCharType="begin"/>
        </w:r>
        <w:r w:rsidR="00004292">
          <w:rPr>
            <w:noProof/>
            <w:webHidden/>
          </w:rPr>
          <w:instrText xml:space="preserve"> PAGEREF _Toc412729767 \h </w:instrText>
        </w:r>
        <w:r w:rsidR="00004292">
          <w:rPr>
            <w:noProof/>
            <w:webHidden/>
          </w:rPr>
        </w:r>
        <w:r w:rsidR="00004292">
          <w:rPr>
            <w:noProof/>
            <w:webHidden/>
          </w:rPr>
          <w:fldChar w:fldCharType="separate"/>
        </w:r>
        <w:r w:rsidR="0076495B">
          <w:rPr>
            <w:noProof/>
            <w:webHidden/>
          </w:rPr>
          <w:t>10</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8" w:history="1">
        <w:r w:rsidR="00004292" w:rsidRPr="00661BAC">
          <w:rPr>
            <w:rStyle w:val="Hyperlink"/>
            <w:noProof/>
          </w:rPr>
          <w:t>7.</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Recommendations</w:t>
        </w:r>
        <w:r w:rsidR="00004292">
          <w:rPr>
            <w:noProof/>
            <w:webHidden/>
          </w:rPr>
          <w:tab/>
        </w:r>
        <w:r w:rsidR="00004292">
          <w:rPr>
            <w:noProof/>
            <w:webHidden/>
          </w:rPr>
          <w:fldChar w:fldCharType="begin"/>
        </w:r>
        <w:r w:rsidR="00004292">
          <w:rPr>
            <w:noProof/>
            <w:webHidden/>
          </w:rPr>
          <w:instrText xml:space="preserve"> PAGEREF _Toc412729768 \h </w:instrText>
        </w:r>
        <w:r w:rsidR="00004292">
          <w:rPr>
            <w:noProof/>
            <w:webHidden/>
          </w:rPr>
        </w:r>
        <w:r w:rsidR="00004292">
          <w:rPr>
            <w:noProof/>
            <w:webHidden/>
          </w:rPr>
          <w:fldChar w:fldCharType="separate"/>
        </w:r>
        <w:r w:rsidR="0076495B">
          <w:rPr>
            <w:noProof/>
            <w:webHidden/>
          </w:rPr>
          <w:t>25</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69" w:history="1">
        <w:r w:rsidR="00004292" w:rsidRPr="00661BAC">
          <w:rPr>
            <w:rStyle w:val="Hyperlink"/>
            <w:noProof/>
          </w:rPr>
          <w:t>8.</w:t>
        </w:r>
        <w:r w:rsidR="00004292">
          <w:rPr>
            <w:rFonts w:asciiTheme="minorHAnsi" w:eastAsiaTheme="minorEastAsia" w:hAnsiTheme="minorHAnsi" w:cstheme="minorBidi"/>
            <w:noProof/>
            <w:color w:val="auto"/>
            <w:sz w:val="22"/>
            <w:szCs w:val="22"/>
            <w:lang w:eastAsia="en-NZ" w:bidi="ar-SA"/>
          </w:rPr>
          <w:tab/>
        </w:r>
        <w:r w:rsidR="00004292" w:rsidRPr="00661BAC">
          <w:rPr>
            <w:rStyle w:val="Hyperlink"/>
            <w:noProof/>
            <w:lang w:eastAsia="en-NZ"/>
          </w:rPr>
          <w:t>Conclusion</w:t>
        </w:r>
        <w:r w:rsidR="00004292">
          <w:rPr>
            <w:noProof/>
            <w:webHidden/>
          </w:rPr>
          <w:tab/>
        </w:r>
        <w:r w:rsidR="00004292">
          <w:rPr>
            <w:noProof/>
            <w:webHidden/>
          </w:rPr>
          <w:tab/>
        </w:r>
        <w:r w:rsidR="00004292">
          <w:rPr>
            <w:noProof/>
            <w:webHidden/>
          </w:rPr>
          <w:fldChar w:fldCharType="begin"/>
        </w:r>
        <w:r w:rsidR="00004292">
          <w:rPr>
            <w:noProof/>
            <w:webHidden/>
          </w:rPr>
          <w:instrText xml:space="preserve"> PAGEREF _Toc412729769 \h </w:instrText>
        </w:r>
        <w:r w:rsidR="00004292">
          <w:rPr>
            <w:noProof/>
            <w:webHidden/>
          </w:rPr>
        </w:r>
        <w:r w:rsidR="00004292">
          <w:rPr>
            <w:noProof/>
            <w:webHidden/>
          </w:rPr>
          <w:fldChar w:fldCharType="separate"/>
        </w:r>
        <w:r w:rsidR="0076495B">
          <w:rPr>
            <w:noProof/>
            <w:webHidden/>
          </w:rPr>
          <w:t>27</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70" w:history="1">
        <w:r w:rsidR="00004292" w:rsidRPr="00661BAC">
          <w:rPr>
            <w:rStyle w:val="Hyperlink"/>
            <w:noProof/>
            <w:lang w:eastAsia="en-NZ"/>
          </w:rPr>
          <w:t>Appendix A- Interviews Held</w:t>
        </w:r>
        <w:r w:rsidR="00004292">
          <w:rPr>
            <w:noProof/>
            <w:webHidden/>
          </w:rPr>
          <w:tab/>
        </w:r>
        <w:r w:rsidR="00004292">
          <w:rPr>
            <w:noProof/>
            <w:webHidden/>
          </w:rPr>
          <w:fldChar w:fldCharType="begin"/>
        </w:r>
        <w:r w:rsidR="00004292">
          <w:rPr>
            <w:noProof/>
            <w:webHidden/>
          </w:rPr>
          <w:instrText xml:space="preserve"> PAGEREF _Toc412729770 \h </w:instrText>
        </w:r>
        <w:r w:rsidR="00004292">
          <w:rPr>
            <w:noProof/>
            <w:webHidden/>
          </w:rPr>
        </w:r>
        <w:r w:rsidR="00004292">
          <w:rPr>
            <w:noProof/>
            <w:webHidden/>
          </w:rPr>
          <w:fldChar w:fldCharType="separate"/>
        </w:r>
        <w:r w:rsidR="0076495B">
          <w:rPr>
            <w:noProof/>
            <w:webHidden/>
          </w:rPr>
          <w:t>28</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71" w:history="1">
        <w:r w:rsidR="00004292" w:rsidRPr="00661BAC">
          <w:rPr>
            <w:rStyle w:val="Hyperlink"/>
            <w:noProof/>
          </w:rPr>
          <w:t xml:space="preserve">Appendix B- Effective Business Case for “top slice” funding </w:t>
        </w:r>
        <w:r w:rsidR="00004292">
          <w:rPr>
            <w:noProof/>
            <w:webHidden/>
          </w:rPr>
          <w:tab/>
        </w:r>
        <w:r w:rsidR="00004292">
          <w:rPr>
            <w:noProof/>
            <w:webHidden/>
          </w:rPr>
          <w:fldChar w:fldCharType="begin"/>
        </w:r>
        <w:r w:rsidR="00004292">
          <w:rPr>
            <w:noProof/>
            <w:webHidden/>
          </w:rPr>
          <w:instrText xml:space="preserve"> PAGEREF _Toc412729771 \h </w:instrText>
        </w:r>
        <w:r w:rsidR="00004292">
          <w:rPr>
            <w:noProof/>
            <w:webHidden/>
          </w:rPr>
        </w:r>
        <w:r w:rsidR="00004292">
          <w:rPr>
            <w:noProof/>
            <w:webHidden/>
          </w:rPr>
          <w:fldChar w:fldCharType="separate"/>
        </w:r>
        <w:r w:rsidR="0076495B">
          <w:rPr>
            <w:noProof/>
            <w:webHidden/>
          </w:rPr>
          <w:t>29</w:t>
        </w:r>
        <w:r w:rsidR="00004292">
          <w:rPr>
            <w:noProof/>
            <w:webHidden/>
          </w:rPr>
          <w:fldChar w:fldCharType="end"/>
        </w:r>
      </w:hyperlink>
    </w:p>
    <w:p w:rsidR="00004292" w:rsidRDefault="003A6D21" w:rsidP="00004292">
      <w:pPr>
        <w:pStyle w:val="TOC1"/>
        <w:rPr>
          <w:rFonts w:asciiTheme="minorHAnsi" w:eastAsiaTheme="minorEastAsia" w:hAnsiTheme="minorHAnsi" w:cstheme="minorBidi"/>
          <w:noProof/>
          <w:color w:val="auto"/>
          <w:sz w:val="22"/>
          <w:szCs w:val="22"/>
          <w:lang w:eastAsia="en-NZ" w:bidi="ar-SA"/>
        </w:rPr>
      </w:pPr>
      <w:hyperlink w:anchor="_Toc412729774" w:history="1">
        <w:r w:rsidR="00004292" w:rsidRPr="00661BAC">
          <w:rPr>
            <w:rStyle w:val="Hyperlink"/>
            <w:noProof/>
          </w:rPr>
          <w:t>About Deloitte</w:t>
        </w:r>
        <w:r w:rsidR="00004292">
          <w:rPr>
            <w:noProof/>
            <w:webHidden/>
          </w:rPr>
          <w:tab/>
        </w:r>
        <w:r w:rsidR="00004292">
          <w:rPr>
            <w:noProof/>
            <w:webHidden/>
          </w:rPr>
          <w:tab/>
        </w:r>
        <w:r w:rsidR="00004292">
          <w:rPr>
            <w:noProof/>
            <w:webHidden/>
          </w:rPr>
          <w:fldChar w:fldCharType="begin"/>
        </w:r>
        <w:r w:rsidR="00004292">
          <w:rPr>
            <w:noProof/>
            <w:webHidden/>
          </w:rPr>
          <w:instrText xml:space="preserve"> PAGEREF _Toc412729774 \h </w:instrText>
        </w:r>
        <w:r w:rsidR="00004292">
          <w:rPr>
            <w:noProof/>
            <w:webHidden/>
          </w:rPr>
        </w:r>
        <w:r w:rsidR="00004292">
          <w:rPr>
            <w:noProof/>
            <w:webHidden/>
          </w:rPr>
          <w:fldChar w:fldCharType="separate"/>
        </w:r>
        <w:r w:rsidR="0076495B">
          <w:rPr>
            <w:noProof/>
            <w:webHidden/>
          </w:rPr>
          <w:t>32</w:t>
        </w:r>
        <w:r w:rsidR="00004292">
          <w:rPr>
            <w:noProof/>
            <w:webHidden/>
          </w:rPr>
          <w:fldChar w:fldCharType="end"/>
        </w:r>
      </w:hyperlink>
    </w:p>
    <w:p w:rsidR="00853B6E" w:rsidRPr="00C63898" w:rsidRDefault="00A23209" w:rsidP="00004292">
      <w:pPr>
        <w:pStyle w:val="TOC1"/>
        <w:sectPr w:rsidR="00853B6E" w:rsidRPr="00C63898" w:rsidSect="00853B6E">
          <w:pgSz w:w="11899" w:h="16838" w:code="9"/>
          <w:pgMar w:top="1440" w:right="1440" w:bottom="851" w:left="1440" w:header="709" w:footer="709" w:gutter="0"/>
          <w:pgNumType w:start="1"/>
          <w:cols w:space="708"/>
          <w:docGrid w:linePitch="272"/>
        </w:sectPr>
      </w:pPr>
      <w:r>
        <w:fldChar w:fldCharType="end"/>
      </w:r>
    </w:p>
    <w:p w:rsidR="004B02FA" w:rsidRDefault="004B02FA" w:rsidP="004B02FA">
      <w:pPr>
        <w:pStyle w:val="APageheading-numbered"/>
        <w:spacing w:after="800"/>
        <w:rPr>
          <w:lang w:eastAsia="en-NZ"/>
        </w:rPr>
      </w:pPr>
      <w:bookmarkStart w:id="11" w:name="_Toc412729762"/>
      <w:bookmarkStart w:id="12" w:name="_Toc238444174"/>
      <w:r>
        <w:rPr>
          <w:lang w:eastAsia="en-NZ"/>
        </w:rPr>
        <w:lastRenderedPageBreak/>
        <w:t>Disclaimer</w:t>
      </w:r>
      <w:bookmarkEnd w:id="11"/>
    </w:p>
    <w:p w:rsidR="00B505CD" w:rsidRPr="003B65C0" w:rsidRDefault="00B505CD" w:rsidP="00B505CD">
      <w:pPr>
        <w:pStyle w:val="BnumberedSubheadingL2-DeloitteBlue"/>
      </w:pPr>
      <w:bookmarkStart w:id="13" w:name="_Toc290966030"/>
      <w:bookmarkStart w:id="14" w:name="_Toc307397699"/>
      <w:r w:rsidRPr="003B65C0">
        <w:t>Reliance on Information</w:t>
      </w:r>
      <w:bookmarkEnd w:id="13"/>
      <w:bookmarkEnd w:id="14"/>
    </w:p>
    <w:p w:rsidR="00B505CD" w:rsidRPr="00F533DB" w:rsidRDefault="00B505CD" w:rsidP="00B505CD">
      <w:pPr>
        <w:tabs>
          <w:tab w:val="left" w:pos="720"/>
        </w:tabs>
      </w:pPr>
      <w:r w:rsidRPr="00F533DB">
        <w:t>In preparing this report with information as provided by</w:t>
      </w:r>
      <w:r>
        <w:t xml:space="preserve"> </w:t>
      </w:r>
      <w:r w:rsidR="002A1B71">
        <w:t>Health Workforce New Zealand (HWNZ)</w:t>
      </w:r>
      <w:r>
        <w:t xml:space="preserve"> and the </w:t>
      </w:r>
      <w:r w:rsidR="00AC081C">
        <w:t xml:space="preserve">Northern Regional Alliance </w:t>
      </w:r>
      <w:r>
        <w:t>(</w:t>
      </w:r>
      <w:r w:rsidR="00AC081C">
        <w:t>NRA</w:t>
      </w:r>
      <w:r>
        <w:t>) included in the review</w:t>
      </w:r>
      <w:r w:rsidRPr="00F533DB">
        <w:t xml:space="preserve">, we have relied upon and assumed, without independent verification, the accuracy and completeness of all information as furnished to us by </w:t>
      </w:r>
      <w:r>
        <w:t xml:space="preserve">the MOH and the </w:t>
      </w:r>
      <w:r w:rsidR="00AC081C">
        <w:t>NRA</w:t>
      </w:r>
      <w:r w:rsidRPr="00F533DB">
        <w:t xml:space="preserve">.  We have evaluated this information through analysis, enquiry and examination for the purposes of providing our report. However, we have not verified the accuracy or completeness of any such information.  We have not carried out any form of due diligence on the accounting or other information provided to us for this review.  We do not warrant that our enquiries will identify or reveal any matter which </w:t>
      </w:r>
      <w:proofErr w:type="gramStart"/>
      <w:r w:rsidRPr="00F533DB">
        <w:t>a due diligence review</w:t>
      </w:r>
      <w:proofErr w:type="gramEnd"/>
      <w:r w:rsidRPr="00F533DB">
        <w:t xml:space="preserve"> or extensive examination might disclose.</w:t>
      </w:r>
    </w:p>
    <w:p w:rsidR="00B505CD" w:rsidRPr="003B65C0" w:rsidRDefault="00B505CD" w:rsidP="00B505CD">
      <w:pPr>
        <w:pStyle w:val="BnumberedSubheadingL2-DeloitteBlue"/>
      </w:pPr>
      <w:bookmarkStart w:id="15" w:name="_Toc290966031"/>
      <w:bookmarkStart w:id="16" w:name="_Toc307397700"/>
      <w:r w:rsidRPr="003B65C0">
        <w:t>Limited Audience</w:t>
      </w:r>
      <w:bookmarkEnd w:id="15"/>
      <w:bookmarkEnd w:id="16"/>
    </w:p>
    <w:p w:rsidR="00B505CD" w:rsidRDefault="00B505CD" w:rsidP="00B505CD">
      <w:pPr>
        <w:tabs>
          <w:tab w:val="left" w:pos="720"/>
        </w:tabs>
      </w:pPr>
      <w:r w:rsidRPr="003C71D6">
        <w:t xml:space="preserve">This report has been prepared solely for the use of </w:t>
      </w:r>
      <w:r w:rsidR="002A1B71">
        <w:t xml:space="preserve">HWNZ </w:t>
      </w:r>
      <w:r w:rsidRPr="003C71D6">
        <w:t xml:space="preserve">and </w:t>
      </w:r>
      <w:r>
        <w:t xml:space="preserve">the </w:t>
      </w:r>
      <w:r w:rsidR="00AC081C">
        <w:t xml:space="preserve">NRA </w:t>
      </w:r>
      <w:r w:rsidRPr="003C71D6">
        <w:t xml:space="preserve">for the purposes of reviewing the </w:t>
      </w:r>
      <w:r w:rsidR="003353EB">
        <w:t>Level 2</w:t>
      </w:r>
      <w:r w:rsidR="00AC081C">
        <w:t xml:space="preserve"> Advance Care Planning Practitioner Training </w:t>
      </w:r>
      <w:r w:rsidRPr="003C71D6">
        <w:t xml:space="preserve">effectiveness, sustainability and value for money. It may be relied on solely by </w:t>
      </w:r>
      <w:r w:rsidR="002A1B71">
        <w:t xml:space="preserve">HWNZ and the NRA </w:t>
      </w:r>
      <w:r w:rsidRPr="003C71D6">
        <w:t xml:space="preserve">for that purpose only.  This Report may not, in whole or in part, be disclosed to any other person without the prior written consent of Deloitte and we do not accept or assume any responsibility to any person other than </w:t>
      </w:r>
      <w:r w:rsidR="002A1B71">
        <w:t xml:space="preserve">HWNZ </w:t>
      </w:r>
      <w:r w:rsidRPr="003C71D6">
        <w:t>relation to the statements, opinions or views expressed or implied in this report.</w:t>
      </w:r>
    </w:p>
    <w:p w:rsidR="00CC3B4E" w:rsidRDefault="00CC3B4E" w:rsidP="00CC3B4E">
      <w:pPr>
        <w:tabs>
          <w:tab w:val="left" w:pos="720"/>
        </w:tabs>
      </w:pPr>
      <w:r w:rsidRPr="002D1D06">
        <w:t>Deloitte acknowledges t</w:t>
      </w:r>
      <w:r>
        <w:t xml:space="preserve">hat any information held by the </w:t>
      </w:r>
      <w:r w:rsidR="002A1B71">
        <w:t xml:space="preserve">HWNZ </w:t>
      </w:r>
      <w:r w:rsidRPr="002D1D06">
        <w:t>is subject to the Official Information Act 198</w:t>
      </w:r>
      <w:r>
        <w:t>2</w:t>
      </w:r>
      <w:r w:rsidRPr="002D1D06">
        <w:t xml:space="preserve"> (O</w:t>
      </w:r>
      <w:r>
        <w:t>I</w:t>
      </w:r>
      <w:r w:rsidRPr="002D1D06">
        <w:t xml:space="preserve">A). If </w:t>
      </w:r>
      <w:r w:rsidR="002A1B71">
        <w:t xml:space="preserve">HWNZ </w:t>
      </w:r>
      <w:r w:rsidRPr="002D1D06">
        <w:t xml:space="preserve">receives a request from a third party under </w:t>
      </w:r>
      <w:r>
        <w:t>OIA</w:t>
      </w:r>
      <w:r w:rsidRPr="002D1D06">
        <w:t xml:space="preserve"> relating to the Report(s), </w:t>
      </w:r>
      <w:r w:rsidR="002A1B71">
        <w:t xml:space="preserve">HWNZ </w:t>
      </w:r>
      <w:r w:rsidRPr="002D1D06">
        <w:t xml:space="preserve">shall give Deloitte reasonable opportunity to comment on whether or not there are good or conclusive reasons under </w:t>
      </w:r>
      <w:r>
        <w:t>OIA</w:t>
      </w:r>
      <w:r w:rsidRPr="002D1D06">
        <w:t xml:space="preserve"> for withholding the Report(s), but </w:t>
      </w:r>
      <w:r w:rsidR="002A1B71">
        <w:t xml:space="preserve">HWNZ </w:t>
      </w:r>
      <w:r w:rsidRPr="002D1D06">
        <w:t xml:space="preserve">has the final decision on whether or not to release the Report(s) in their entirety, pursuant to </w:t>
      </w:r>
      <w:r>
        <w:t>OIA</w:t>
      </w:r>
      <w:r w:rsidRPr="002D1D06">
        <w:t>.</w:t>
      </w:r>
    </w:p>
    <w:p w:rsidR="00B505CD" w:rsidRPr="003B65C0" w:rsidRDefault="00B505CD" w:rsidP="00B505CD">
      <w:pPr>
        <w:pStyle w:val="BnumberedSubheadingL2-DeloitteBlue"/>
      </w:pPr>
      <w:bookmarkStart w:id="17" w:name="_Toc290966032"/>
      <w:bookmarkStart w:id="18" w:name="_Toc307397701"/>
      <w:r w:rsidRPr="003B65C0">
        <w:t>Disclaimer of Liability</w:t>
      </w:r>
      <w:bookmarkEnd w:id="17"/>
      <w:bookmarkEnd w:id="18"/>
    </w:p>
    <w:p w:rsidR="00B505CD" w:rsidRDefault="00B505CD" w:rsidP="00B505CD">
      <w:pPr>
        <w:tabs>
          <w:tab w:val="left" w:pos="720"/>
        </w:tabs>
      </w:pPr>
      <w:r>
        <w:t xml:space="preserve">Our report has been prepared with due care and diligence and the statements and conclusions in our report have been given in good faith and in the belief, on reasonable grounds, that such statements and conclusions are not false or misleading.   </w:t>
      </w:r>
    </w:p>
    <w:p w:rsidR="004B02FA" w:rsidRPr="004B02FA" w:rsidRDefault="00B505CD" w:rsidP="00CC3B4E">
      <w:pPr>
        <w:tabs>
          <w:tab w:val="left" w:pos="720"/>
        </w:tabs>
        <w:rPr>
          <w:lang w:eastAsia="en-NZ" w:bidi="en-US"/>
        </w:rPr>
      </w:pPr>
      <w:r>
        <w:t>We will assume no responsibility arising in any way whatsoever for errors or omissions (including responsibility to any person for negligence) for the preparation of our report to the extent that such errors or omissions result from our reasonable reliance on information provided by others or assumptions disclosed in our report or assumptions reasonably taken as implicit.</w:t>
      </w:r>
    </w:p>
    <w:p w:rsidR="004B02FA" w:rsidRDefault="004B02FA" w:rsidP="004B02FA">
      <w:pPr>
        <w:pStyle w:val="APageheading-numbered"/>
        <w:spacing w:after="800"/>
        <w:rPr>
          <w:lang w:eastAsia="en-NZ"/>
        </w:rPr>
      </w:pPr>
      <w:bookmarkStart w:id="19" w:name="_Toc412729763"/>
      <w:r>
        <w:rPr>
          <w:lang w:eastAsia="en-NZ"/>
        </w:rPr>
        <w:lastRenderedPageBreak/>
        <w:t>Abbreviations</w:t>
      </w:r>
      <w:bookmarkEnd w:id="19"/>
    </w:p>
    <w:p w:rsidR="004B02FA" w:rsidRPr="005D5FD2" w:rsidRDefault="007C70D5" w:rsidP="004B02FA">
      <w:pPr>
        <w:rPr>
          <w:lang w:eastAsia="en-NZ" w:bidi="en-US"/>
        </w:rPr>
      </w:pPr>
      <w:r w:rsidRPr="005D5FD2">
        <w:rPr>
          <w:lang w:eastAsia="en-NZ" w:bidi="en-US"/>
        </w:rPr>
        <w:t>Abbreviations used in this report include the following:</w:t>
      </w:r>
    </w:p>
    <w:p w:rsidR="007C70D5" w:rsidRPr="008C348E" w:rsidRDefault="007C70D5" w:rsidP="004B02FA">
      <w:pPr>
        <w:rPr>
          <w:highlight w:val="yellow"/>
          <w:lang w:eastAsia="en-NZ" w:bidi="en-US"/>
        </w:rPr>
      </w:pPr>
    </w:p>
    <w:tbl>
      <w:tblPr>
        <w:tblStyle w:val="MediumList1-Accent3"/>
        <w:tblW w:w="0" w:type="auto"/>
        <w:tblLook w:val="04A0" w:firstRow="1" w:lastRow="0" w:firstColumn="1" w:lastColumn="0" w:noHBand="0" w:noVBand="1"/>
      </w:tblPr>
      <w:tblGrid>
        <w:gridCol w:w="3085"/>
        <w:gridCol w:w="5387"/>
      </w:tblGrid>
      <w:tr w:rsidR="00733EC7" w:rsidRPr="005D5FD2" w:rsidTr="00D62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33EC7" w:rsidRPr="005D5FD2" w:rsidRDefault="00733EC7" w:rsidP="00D62B0E">
            <w:pPr>
              <w:pStyle w:val="ListParagraph"/>
              <w:ind w:left="0"/>
              <w:rPr>
                <w:sz w:val="16"/>
                <w:szCs w:val="16"/>
                <w:lang w:bidi="en-US"/>
              </w:rPr>
            </w:pPr>
            <w:r w:rsidRPr="005D5FD2">
              <w:rPr>
                <w:sz w:val="16"/>
                <w:szCs w:val="16"/>
                <w:lang w:bidi="en-US"/>
              </w:rPr>
              <w:t>ACP</w:t>
            </w:r>
          </w:p>
        </w:tc>
        <w:tc>
          <w:tcPr>
            <w:tcW w:w="5387" w:type="dxa"/>
          </w:tcPr>
          <w:p w:rsidR="00733EC7" w:rsidRPr="005D5FD2" w:rsidRDefault="00733EC7" w:rsidP="00D62B0E">
            <w:pPr>
              <w:pStyle w:val="ListParagraph"/>
              <w:ind w:left="0"/>
              <w:cnfStyle w:val="100000000000" w:firstRow="1" w:lastRow="0" w:firstColumn="0" w:lastColumn="0" w:oddVBand="0" w:evenVBand="0" w:oddHBand="0" w:evenHBand="0" w:firstRowFirstColumn="0" w:firstRowLastColumn="0" w:lastRowFirstColumn="0" w:lastRowLastColumn="0"/>
              <w:rPr>
                <w:b/>
                <w:sz w:val="16"/>
                <w:szCs w:val="16"/>
                <w:lang w:bidi="en-US"/>
              </w:rPr>
            </w:pPr>
            <w:r w:rsidRPr="005D5FD2">
              <w:rPr>
                <w:b/>
                <w:sz w:val="16"/>
                <w:szCs w:val="16"/>
                <w:lang w:bidi="en-US"/>
              </w:rPr>
              <w:t>Advance Care Plan</w:t>
            </w:r>
          </w:p>
        </w:tc>
      </w:tr>
      <w:tr w:rsidR="00733EC7" w:rsidRPr="0036405F" w:rsidTr="00EA0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33EC7" w:rsidRPr="0056168F" w:rsidRDefault="00733EC7" w:rsidP="00EA0D9D">
            <w:pPr>
              <w:pStyle w:val="ListParagraph"/>
              <w:ind w:left="0"/>
              <w:rPr>
                <w:sz w:val="16"/>
                <w:szCs w:val="16"/>
                <w:lang w:bidi="en-US"/>
              </w:rPr>
            </w:pPr>
            <w:r w:rsidRPr="0056168F">
              <w:rPr>
                <w:sz w:val="16"/>
                <w:szCs w:val="16"/>
                <w:lang w:bidi="en-US"/>
              </w:rPr>
              <w:t>ADHB</w:t>
            </w:r>
          </w:p>
        </w:tc>
        <w:tc>
          <w:tcPr>
            <w:tcW w:w="5387" w:type="dxa"/>
          </w:tcPr>
          <w:p w:rsidR="00733EC7" w:rsidRPr="0056168F" w:rsidRDefault="00733EC7" w:rsidP="00EA0D9D">
            <w:pPr>
              <w:pStyle w:val="ListParagraph"/>
              <w:ind w:left="0"/>
              <w:cnfStyle w:val="000000100000" w:firstRow="0" w:lastRow="0" w:firstColumn="0" w:lastColumn="0" w:oddVBand="0" w:evenVBand="0" w:oddHBand="1" w:evenHBand="0" w:firstRowFirstColumn="0" w:firstRowLastColumn="0" w:lastRowFirstColumn="0" w:lastRowLastColumn="0"/>
              <w:rPr>
                <w:b/>
                <w:sz w:val="16"/>
                <w:szCs w:val="16"/>
                <w:lang w:bidi="en-US"/>
              </w:rPr>
            </w:pPr>
            <w:r w:rsidRPr="0056168F">
              <w:rPr>
                <w:b/>
                <w:sz w:val="16"/>
                <w:szCs w:val="16"/>
                <w:lang w:bidi="en-US"/>
              </w:rPr>
              <w:t>Auckland District Health Board</w:t>
            </w:r>
          </w:p>
        </w:tc>
      </w:tr>
      <w:tr w:rsidR="00733EC7" w:rsidRPr="0036405F" w:rsidTr="00EA0D9D">
        <w:tc>
          <w:tcPr>
            <w:cnfStyle w:val="001000000000" w:firstRow="0" w:lastRow="0" w:firstColumn="1" w:lastColumn="0" w:oddVBand="0" w:evenVBand="0" w:oddHBand="0" w:evenHBand="0" w:firstRowFirstColumn="0" w:firstRowLastColumn="0" w:lastRowFirstColumn="0" w:lastRowLastColumn="0"/>
            <w:tcW w:w="3085" w:type="dxa"/>
          </w:tcPr>
          <w:p w:rsidR="00733EC7" w:rsidRPr="0056168F" w:rsidRDefault="00733EC7" w:rsidP="00EA0D9D">
            <w:pPr>
              <w:pStyle w:val="ListParagraph"/>
              <w:ind w:left="0"/>
              <w:rPr>
                <w:sz w:val="16"/>
                <w:szCs w:val="16"/>
                <w:lang w:bidi="en-US"/>
              </w:rPr>
            </w:pPr>
            <w:r w:rsidRPr="0056168F">
              <w:rPr>
                <w:sz w:val="16"/>
                <w:szCs w:val="16"/>
                <w:lang w:bidi="en-US"/>
              </w:rPr>
              <w:t>CEO</w:t>
            </w:r>
          </w:p>
        </w:tc>
        <w:tc>
          <w:tcPr>
            <w:tcW w:w="5387" w:type="dxa"/>
          </w:tcPr>
          <w:p w:rsidR="00733EC7" w:rsidRPr="0056168F" w:rsidRDefault="00733EC7" w:rsidP="00EA0D9D">
            <w:pPr>
              <w:pStyle w:val="ListParagraph"/>
              <w:ind w:left="0"/>
              <w:cnfStyle w:val="000000000000" w:firstRow="0" w:lastRow="0" w:firstColumn="0" w:lastColumn="0" w:oddVBand="0" w:evenVBand="0" w:oddHBand="0" w:evenHBand="0" w:firstRowFirstColumn="0" w:firstRowLastColumn="0" w:lastRowFirstColumn="0" w:lastRowLastColumn="0"/>
              <w:rPr>
                <w:b/>
                <w:sz w:val="16"/>
                <w:szCs w:val="16"/>
                <w:lang w:bidi="en-US"/>
              </w:rPr>
            </w:pPr>
            <w:r w:rsidRPr="0056168F">
              <w:rPr>
                <w:b/>
                <w:sz w:val="16"/>
                <w:szCs w:val="16"/>
                <w:lang w:bidi="en-US"/>
              </w:rPr>
              <w:t>Chief Executive Officer</w:t>
            </w:r>
          </w:p>
        </w:tc>
      </w:tr>
      <w:tr w:rsidR="00755CE1" w:rsidRPr="0036405F" w:rsidTr="00EA0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55CE1" w:rsidRDefault="00755CE1" w:rsidP="00EA0D9D">
            <w:pPr>
              <w:pStyle w:val="ListParagraph"/>
              <w:ind w:left="0"/>
              <w:rPr>
                <w:sz w:val="16"/>
                <w:szCs w:val="16"/>
                <w:lang w:bidi="en-US"/>
              </w:rPr>
            </w:pPr>
            <w:r>
              <w:rPr>
                <w:sz w:val="16"/>
                <w:szCs w:val="16"/>
                <w:lang w:bidi="en-US"/>
              </w:rPr>
              <w:t>CME</w:t>
            </w:r>
          </w:p>
        </w:tc>
        <w:tc>
          <w:tcPr>
            <w:tcW w:w="5387" w:type="dxa"/>
          </w:tcPr>
          <w:p w:rsidR="00755CE1" w:rsidRDefault="00755CE1" w:rsidP="00EA0D9D">
            <w:pPr>
              <w:pStyle w:val="ListParagraph"/>
              <w:ind w:left="0"/>
              <w:cnfStyle w:val="000000100000" w:firstRow="0" w:lastRow="0" w:firstColumn="0" w:lastColumn="0" w:oddVBand="0" w:evenVBand="0" w:oddHBand="1" w:evenHBand="0" w:firstRowFirstColumn="0" w:firstRowLastColumn="0" w:lastRowFirstColumn="0" w:lastRowLastColumn="0"/>
              <w:rPr>
                <w:b/>
                <w:sz w:val="16"/>
                <w:szCs w:val="16"/>
                <w:lang w:bidi="en-US"/>
              </w:rPr>
            </w:pPr>
            <w:r>
              <w:rPr>
                <w:b/>
                <w:sz w:val="16"/>
                <w:szCs w:val="16"/>
                <w:lang w:bidi="en-US"/>
              </w:rPr>
              <w:t xml:space="preserve">Continued Medical Education </w:t>
            </w:r>
          </w:p>
        </w:tc>
      </w:tr>
      <w:tr w:rsidR="002A1B71" w:rsidRPr="0036405F" w:rsidTr="00EA0D9D">
        <w:tc>
          <w:tcPr>
            <w:cnfStyle w:val="001000000000" w:firstRow="0" w:lastRow="0" w:firstColumn="1" w:lastColumn="0" w:oddVBand="0" w:evenVBand="0" w:oddHBand="0" w:evenHBand="0" w:firstRowFirstColumn="0" w:firstRowLastColumn="0" w:lastRowFirstColumn="0" w:lastRowLastColumn="0"/>
            <w:tcW w:w="3085" w:type="dxa"/>
          </w:tcPr>
          <w:p w:rsidR="002A1B71" w:rsidRPr="0056168F" w:rsidRDefault="002A1B71" w:rsidP="00EA0D9D">
            <w:pPr>
              <w:pStyle w:val="ListParagraph"/>
              <w:ind w:left="0"/>
              <w:rPr>
                <w:sz w:val="16"/>
                <w:szCs w:val="16"/>
                <w:lang w:bidi="en-US"/>
              </w:rPr>
            </w:pPr>
            <w:r>
              <w:rPr>
                <w:sz w:val="16"/>
                <w:szCs w:val="16"/>
                <w:lang w:bidi="en-US"/>
              </w:rPr>
              <w:t xml:space="preserve">The Cooperative </w:t>
            </w:r>
          </w:p>
        </w:tc>
        <w:tc>
          <w:tcPr>
            <w:tcW w:w="5387" w:type="dxa"/>
          </w:tcPr>
          <w:p w:rsidR="002A1B71" w:rsidRPr="0056168F" w:rsidRDefault="002A1B71" w:rsidP="00003A4D">
            <w:pPr>
              <w:pStyle w:val="ListParagraph"/>
              <w:ind w:left="0"/>
              <w:cnfStyle w:val="000000000000" w:firstRow="0" w:lastRow="0" w:firstColumn="0" w:lastColumn="0" w:oddVBand="0" w:evenVBand="0" w:oddHBand="0" w:evenHBand="0" w:firstRowFirstColumn="0" w:firstRowLastColumn="0" w:lastRowFirstColumn="0" w:lastRowLastColumn="0"/>
              <w:rPr>
                <w:b/>
                <w:sz w:val="16"/>
                <w:szCs w:val="16"/>
                <w:lang w:bidi="en-US"/>
              </w:rPr>
            </w:pPr>
            <w:r>
              <w:rPr>
                <w:b/>
                <w:sz w:val="16"/>
                <w:szCs w:val="16"/>
                <w:lang w:bidi="en-US"/>
              </w:rPr>
              <w:t>The N</w:t>
            </w:r>
            <w:r w:rsidR="00003A4D">
              <w:rPr>
                <w:b/>
                <w:sz w:val="16"/>
                <w:szCs w:val="16"/>
                <w:lang w:bidi="en-US"/>
              </w:rPr>
              <w:t xml:space="preserve">ew Zealand </w:t>
            </w:r>
            <w:r>
              <w:rPr>
                <w:b/>
                <w:sz w:val="16"/>
                <w:szCs w:val="16"/>
                <w:lang w:bidi="en-US"/>
              </w:rPr>
              <w:t xml:space="preserve">ACP Cooperative </w:t>
            </w:r>
          </w:p>
        </w:tc>
      </w:tr>
      <w:tr w:rsidR="00733EC7" w:rsidRPr="0036405F" w:rsidTr="00EA0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33EC7" w:rsidRPr="0056168F" w:rsidRDefault="00733EC7" w:rsidP="00EA0D9D">
            <w:pPr>
              <w:pStyle w:val="ListParagraph"/>
              <w:ind w:left="0"/>
              <w:rPr>
                <w:sz w:val="16"/>
                <w:szCs w:val="16"/>
                <w:lang w:bidi="en-US"/>
              </w:rPr>
            </w:pPr>
            <w:r w:rsidRPr="0056168F">
              <w:rPr>
                <w:sz w:val="16"/>
                <w:szCs w:val="16"/>
                <w:lang w:bidi="en-US"/>
              </w:rPr>
              <w:t>DHB</w:t>
            </w:r>
          </w:p>
        </w:tc>
        <w:tc>
          <w:tcPr>
            <w:tcW w:w="5387" w:type="dxa"/>
          </w:tcPr>
          <w:p w:rsidR="00733EC7" w:rsidRPr="0056168F" w:rsidRDefault="00733EC7" w:rsidP="00EA0D9D">
            <w:pPr>
              <w:pStyle w:val="ListParagraph"/>
              <w:ind w:left="0"/>
              <w:cnfStyle w:val="000000100000" w:firstRow="0" w:lastRow="0" w:firstColumn="0" w:lastColumn="0" w:oddVBand="0" w:evenVBand="0" w:oddHBand="1" w:evenHBand="0" w:firstRowFirstColumn="0" w:firstRowLastColumn="0" w:lastRowFirstColumn="0" w:lastRowLastColumn="0"/>
              <w:rPr>
                <w:b/>
                <w:sz w:val="16"/>
                <w:szCs w:val="16"/>
                <w:lang w:bidi="en-US"/>
              </w:rPr>
            </w:pPr>
            <w:r w:rsidRPr="0056168F">
              <w:rPr>
                <w:b/>
                <w:sz w:val="16"/>
                <w:szCs w:val="16"/>
                <w:lang w:bidi="en-US"/>
              </w:rPr>
              <w:t>District Health Board</w:t>
            </w:r>
          </w:p>
        </w:tc>
      </w:tr>
      <w:tr w:rsidR="00733EC7" w:rsidRPr="005D5FD2" w:rsidTr="00D62B0E">
        <w:tc>
          <w:tcPr>
            <w:cnfStyle w:val="001000000000" w:firstRow="0" w:lastRow="0" w:firstColumn="1" w:lastColumn="0" w:oddVBand="0" w:evenVBand="0" w:oddHBand="0" w:evenHBand="0" w:firstRowFirstColumn="0" w:firstRowLastColumn="0" w:lastRowFirstColumn="0" w:lastRowLastColumn="0"/>
            <w:tcW w:w="3085" w:type="dxa"/>
          </w:tcPr>
          <w:p w:rsidR="00733EC7" w:rsidRPr="00733EC7" w:rsidRDefault="00733EC7" w:rsidP="00733EC7">
            <w:pPr>
              <w:pStyle w:val="ListParagraph"/>
              <w:ind w:left="0"/>
              <w:rPr>
                <w:sz w:val="16"/>
                <w:szCs w:val="16"/>
                <w:lang w:bidi="en-US"/>
              </w:rPr>
            </w:pPr>
            <w:r w:rsidRPr="0056168F">
              <w:rPr>
                <w:sz w:val="16"/>
                <w:szCs w:val="16"/>
                <w:lang w:bidi="en-US"/>
              </w:rPr>
              <w:t>FTE</w:t>
            </w:r>
          </w:p>
        </w:tc>
        <w:tc>
          <w:tcPr>
            <w:tcW w:w="5387" w:type="dxa"/>
          </w:tcPr>
          <w:p w:rsidR="00733EC7" w:rsidRPr="00733EC7" w:rsidRDefault="00733EC7" w:rsidP="00D62B0E">
            <w:pPr>
              <w:pStyle w:val="ListParagraph"/>
              <w:ind w:left="0"/>
              <w:cnfStyle w:val="000000000000" w:firstRow="0" w:lastRow="0" w:firstColumn="0" w:lastColumn="0" w:oddVBand="0" w:evenVBand="0" w:oddHBand="0" w:evenHBand="0" w:firstRowFirstColumn="0" w:firstRowLastColumn="0" w:lastRowFirstColumn="0" w:lastRowLastColumn="0"/>
              <w:rPr>
                <w:b/>
                <w:sz w:val="16"/>
                <w:szCs w:val="16"/>
                <w:lang w:bidi="en-US"/>
              </w:rPr>
            </w:pPr>
            <w:r w:rsidRPr="0056168F">
              <w:rPr>
                <w:b/>
                <w:sz w:val="16"/>
                <w:szCs w:val="16"/>
                <w:lang w:bidi="en-US"/>
              </w:rPr>
              <w:t>Full Time Equivalent employee</w:t>
            </w:r>
          </w:p>
        </w:tc>
      </w:tr>
      <w:tr w:rsidR="00007B7D" w:rsidRPr="005D5FD2" w:rsidTr="00D62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07B7D" w:rsidRPr="005D5FD2" w:rsidRDefault="00007B7D" w:rsidP="00733EC7">
            <w:pPr>
              <w:pStyle w:val="ListParagraph"/>
              <w:ind w:left="0"/>
              <w:rPr>
                <w:sz w:val="16"/>
                <w:szCs w:val="16"/>
                <w:lang w:bidi="en-US"/>
              </w:rPr>
            </w:pPr>
            <w:r>
              <w:rPr>
                <w:sz w:val="16"/>
                <w:szCs w:val="16"/>
                <w:lang w:bidi="en-US"/>
              </w:rPr>
              <w:t>GP</w:t>
            </w:r>
          </w:p>
        </w:tc>
        <w:tc>
          <w:tcPr>
            <w:tcW w:w="5387" w:type="dxa"/>
          </w:tcPr>
          <w:p w:rsidR="00007B7D" w:rsidRPr="005D5FD2" w:rsidRDefault="00007B7D" w:rsidP="00D62B0E">
            <w:pPr>
              <w:pStyle w:val="ListParagraph"/>
              <w:ind w:left="0"/>
              <w:cnfStyle w:val="000000100000" w:firstRow="0" w:lastRow="0" w:firstColumn="0" w:lastColumn="0" w:oddVBand="0" w:evenVBand="0" w:oddHBand="1" w:evenHBand="0" w:firstRowFirstColumn="0" w:firstRowLastColumn="0" w:lastRowFirstColumn="0" w:lastRowLastColumn="0"/>
              <w:rPr>
                <w:b/>
                <w:sz w:val="16"/>
                <w:szCs w:val="16"/>
                <w:lang w:bidi="en-US"/>
              </w:rPr>
            </w:pPr>
            <w:r>
              <w:rPr>
                <w:b/>
                <w:sz w:val="16"/>
                <w:szCs w:val="16"/>
                <w:lang w:bidi="en-US"/>
              </w:rPr>
              <w:t>General Practitioner</w:t>
            </w:r>
          </w:p>
        </w:tc>
      </w:tr>
      <w:tr w:rsidR="00733EC7" w:rsidRPr="005D5FD2" w:rsidTr="00D62B0E">
        <w:tc>
          <w:tcPr>
            <w:cnfStyle w:val="001000000000" w:firstRow="0" w:lastRow="0" w:firstColumn="1" w:lastColumn="0" w:oddVBand="0" w:evenVBand="0" w:oddHBand="0" w:evenHBand="0" w:firstRowFirstColumn="0" w:firstRowLastColumn="0" w:lastRowFirstColumn="0" w:lastRowLastColumn="0"/>
            <w:tcW w:w="3085" w:type="dxa"/>
          </w:tcPr>
          <w:p w:rsidR="00733EC7" w:rsidRPr="005D5FD2" w:rsidRDefault="00733EC7" w:rsidP="00733EC7">
            <w:pPr>
              <w:pStyle w:val="ListParagraph"/>
              <w:ind w:left="0"/>
              <w:rPr>
                <w:sz w:val="16"/>
                <w:szCs w:val="16"/>
                <w:lang w:bidi="en-US"/>
              </w:rPr>
            </w:pPr>
            <w:r w:rsidRPr="005D5FD2">
              <w:rPr>
                <w:sz w:val="16"/>
                <w:szCs w:val="16"/>
                <w:lang w:bidi="en-US"/>
              </w:rPr>
              <w:t>HWNZ</w:t>
            </w:r>
          </w:p>
        </w:tc>
        <w:tc>
          <w:tcPr>
            <w:tcW w:w="5387" w:type="dxa"/>
          </w:tcPr>
          <w:p w:rsidR="00733EC7" w:rsidRPr="005D5FD2" w:rsidRDefault="00733EC7" w:rsidP="00D62B0E">
            <w:pPr>
              <w:pStyle w:val="ListParagraph"/>
              <w:ind w:left="0"/>
              <w:cnfStyle w:val="000000000000" w:firstRow="0" w:lastRow="0" w:firstColumn="0" w:lastColumn="0" w:oddVBand="0" w:evenVBand="0" w:oddHBand="0" w:evenHBand="0" w:firstRowFirstColumn="0" w:firstRowLastColumn="0" w:lastRowFirstColumn="0" w:lastRowLastColumn="0"/>
              <w:rPr>
                <w:b/>
                <w:sz w:val="16"/>
                <w:szCs w:val="16"/>
                <w:lang w:bidi="en-US"/>
              </w:rPr>
            </w:pPr>
            <w:r w:rsidRPr="005D5FD2">
              <w:rPr>
                <w:b/>
                <w:sz w:val="16"/>
                <w:szCs w:val="16"/>
                <w:lang w:bidi="en-US"/>
              </w:rPr>
              <w:t>Health Workforce New Zealand</w:t>
            </w:r>
          </w:p>
        </w:tc>
      </w:tr>
      <w:tr w:rsidR="00733EC7" w:rsidRPr="005D5FD2" w:rsidTr="00D62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33EC7" w:rsidRPr="005D5FD2" w:rsidRDefault="00733EC7" w:rsidP="00D62B0E">
            <w:pPr>
              <w:pStyle w:val="ListParagraph"/>
              <w:ind w:left="0"/>
              <w:rPr>
                <w:sz w:val="16"/>
                <w:szCs w:val="16"/>
                <w:lang w:bidi="en-US"/>
              </w:rPr>
            </w:pPr>
            <w:r w:rsidRPr="005D5FD2">
              <w:rPr>
                <w:sz w:val="16"/>
                <w:szCs w:val="16"/>
                <w:lang w:bidi="en-US"/>
              </w:rPr>
              <w:t>NRA</w:t>
            </w:r>
          </w:p>
        </w:tc>
        <w:tc>
          <w:tcPr>
            <w:tcW w:w="5387" w:type="dxa"/>
          </w:tcPr>
          <w:p w:rsidR="00733EC7" w:rsidRPr="005D5FD2" w:rsidRDefault="00733EC7" w:rsidP="00D62B0E">
            <w:pPr>
              <w:pStyle w:val="ListParagraph"/>
              <w:ind w:left="0"/>
              <w:cnfStyle w:val="000000100000" w:firstRow="0" w:lastRow="0" w:firstColumn="0" w:lastColumn="0" w:oddVBand="0" w:evenVBand="0" w:oddHBand="1" w:evenHBand="0" w:firstRowFirstColumn="0" w:firstRowLastColumn="0" w:lastRowFirstColumn="0" w:lastRowLastColumn="0"/>
              <w:rPr>
                <w:b/>
                <w:sz w:val="16"/>
                <w:szCs w:val="16"/>
                <w:lang w:bidi="en-US"/>
              </w:rPr>
            </w:pPr>
            <w:r w:rsidRPr="005D5FD2">
              <w:rPr>
                <w:b/>
                <w:sz w:val="16"/>
                <w:szCs w:val="16"/>
                <w:lang w:bidi="en-US"/>
              </w:rPr>
              <w:t>Northern Regional Alliance</w:t>
            </w:r>
          </w:p>
        </w:tc>
      </w:tr>
      <w:tr w:rsidR="002A1B71" w:rsidRPr="0056168F" w:rsidTr="00EA0D9D">
        <w:tc>
          <w:tcPr>
            <w:cnfStyle w:val="001000000000" w:firstRow="0" w:lastRow="0" w:firstColumn="1" w:lastColumn="0" w:oddVBand="0" w:evenVBand="0" w:oddHBand="0" w:evenHBand="0" w:firstRowFirstColumn="0" w:firstRowLastColumn="0" w:lastRowFirstColumn="0" w:lastRowLastColumn="0"/>
            <w:tcW w:w="3085" w:type="dxa"/>
          </w:tcPr>
          <w:p w:rsidR="002A1B71" w:rsidRPr="0056168F" w:rsidRDefault="002A1B71" w:rsidP="00EA0D9D">
            <w:pPr>
              <w:pStyle w:val="ListParagraph"/>
              <w:ind w:left="0"/>
              <w:rPr>
                <w:sz w:val="16"/>
                <w:szCs w:val="16"/>
                <w:lang w:bidi="en-US"/>
              </w:rPr>
            </w:pPr>
            <w:r>
              <w:rPr>
                <w:sz w:val="16"/>
                <w:szCs w:val="16"/>
                <w:lang w:bidi="en-US"/>
              </w:rPr>
              <w:t>OIA</w:t>
            </w:r>
          </w:p>
        </w:tc>
        <w:tc>
          <w:tcPr>
            <w:tcW w:w="5387" w:type="dxa"/>
          </w:tcPr>
          <w:p w:rsidR="002A1B71" w:rsidRPr="0056168F" w:rsidRDefault="002A1B71" w:rsidP="00EA0D9D">
            <w:pPr>
              <w:pStyle w:val="ListParagraph"/>
              <w:ind w:left="0"/>
              <w:cnfStyle w:val="000000000000" w:firstRow="0" w:lastRow="0" w:firstColumn="0" w:lastColumn="0" w:oddVBand="0" w:evenVBand="0" w:oddHBand="0" w:evenHBand="0" w:firstRowFirstColumn="0" w:firstRowLastColumn="0" w:lastRowFirstColumn="0" w:lastRowLastColumn="0"/>
              <w:rPr>
                <w:b/>
                <w:sz w:val="16"/>
                <w:szCs w:val="16"/>
                <w:lang w:bidi="en-US"/>
              </w:rPr>
            </w:pPr>
            <w:r>
              <w:rPr>
                <w:b/>
                <w:sz w:val="16"/>
                <w:szCs w:val="16"/>
                <w:lang w:bidi="en-US"/>
              </w:rPr>
              <w:t>Official Information Act</w:t>
            </w:r>
          </w:p>
        </w:tc>
      </w:tr>
    </w:tbl>
    <w:p w:rsidR="007C70D5" w:rsidRPr="004B02FA" w:rsidRDefault="007C70D5" w:rsidP="004B02FA">
      <w:pPr>
        <w:rPr>
          <w:lang w:eastAsia="en-NZ" w:bidi="en-US"/>
        </w:rPr>
      </w:pPr>
    </w:p>
    <w:p w:rsidR="00313146" w:rsidRDefault="004B02FA" w:rsidP="004B02FA">
      <w:pPr>
        <w:pStyle w:val="APageheading-numbered"/>
        <w:spacing w:after="800"/>
        <w:rPr>
          <w:lang w:eastAsia="en-NZ"/>
        </w:rPr>
      </w:pPr>
      <w:bookmarkStart w:id="20" w:name="_Toc412729764"/>
      <w:r>
        <w:rPr>
          <w:lang w:eastAsia="en-NZ"/>
        </w:rPr>
        <w:lastRenderedPageBreak/>
        <w:t>Executive Summary</w:t>
      </w:r>
      <w:bookmarkEnd w:id="20"/>
    </w:p>
    <w:p w:rsidR="00837B97" w:rsidRPr="008C348E" w:rsidRDefault="00240CA4" w:rsidP="00313146">
      <w:pPr>
        <w:rPr>
          <w:lang w:eastAsia="en-NZ" w:bidi="en-US"/>
        </w:rPr>
      </w:pPr>
      <w:r w:rsidRPr="00773225">
        <w:rPr>
          <w:lang w:eastAsia="en-NZ" w:bidi="en-US"/>
        </w:rPr>
        <w:t>An</w:t>
      </w:r>
      <w:r w:rsidR="00313146" w:rsidRPr="008C348E">
        <w:rPr>
          <w:lang w:eastAsia="en-NZ" w:bidi="en-US"/>
        </w:rPr>
        <w:t xml:space="preserve"> independent external review of the </w:t>
      </w:r>
      <w:r w:rsidR="003353EB">
        <w:rPr>
          <w:lang w:eastAsia="en-NZ" w:bidi="en-US"/>
        </w:rPr>
        <w:t>Level 2</w:t>
      </w:r>
      <w:r w:rsidR="006741DE" w:rsidRPr="008C348E">
        <w:rPr>
          <w:lang w:eastAsia="en-NZ" w:bidi="en-US"/>
        </w:rPr>
        <w:t xml:space="preserve"> ACP training programme </w:t>
      </w:r>
      <w:r w:rsidR="00313146" w:rsidRPr="008C348E">
        <w:rPr>
          <w:lang w:eastAsia="en-NZ" w:bidi="en-US"/>
        </w:rPr>
        <w:t xml:space="preserve">was carried out to establish </w:t>
      </w:r>
      <w:r w:rsidR="006741DE" w:rsidRPr="008C348E">
        <w:rPr>
          <w:lang w:eastAsia="en-NZ" w:bidi="en-US"/>
        </w:rPr>
        <w:t xml:space="preserve">the </w:t>
      </w:r>
      <w:r w:rsidR="00733EC7" w:rsidRPr="008C348E">
        <w:rPr>
          <w:lang w:eastAsia="en-NZ" w:bidi="en-US"/>
        </w:rPr>
        <w:t>effectiveness</w:t>
      </w:r>
      <w:r w:rsidR="006741DE" w:rsidRPr="008C348E">
        <w:rPr>
          <w:lang w:eastAsia="en-NZ" w:bidi="en-US"/>
        </w:rPr>
        <w:t xml:space="preserve"> of </w:t>
      </w:r>
      <w:r w:rsidR="00755CE1">
        <w:rPr>
          <w:lang w:eastAsia="en-NZ" w:bidi="en-US"/>
        </w:rPr>
        <w:t xml:space="preserve">the </w:t>
      </w:r>
      <w:r w:rsidR="006741DE" w:rsidRPr="008C348E">
        <w:rPr>
          <w:lang w:eastAsia="en-NZ" w:bidi="en-US"/>
        </w:rPr>
        <w:t xml:space="preserve">current programme and the </w:t>
      </w:r>
      <w:r w:rsidR="00755CE1">
        <w:rPr>
          <w:lang w:eastAsia="en-NZ" w:bidi="en-US"/>
        </w:rPr>
        <w:t xml:space="preserve">financial </w:t>
      </w:r>
      <w:r w:rsidR="00313146" w:rsidRPr="008C348E">
        <w:rPr>
          <w:lang w:eastAsia="en-NZ" w:bidi="en-US"/>
        </w:rPr>
        <w:t xml:space="preserve">sustainability </w:t>
      </w:r>
      <w:r w:rsidR="006741DE" w:rsidRPr="008C348E">
        <w:rPr>
          <w:lang w:eastAsia="en-NZ" w:bidi="en-US"/>
        </w:rPr>
        <w:t>of the programme</w:t>
      </w:r>
      <w:r w:rsidR="00313146" w:rsidRPr="008C348E">
        <w:rPr>
          <w:lang w:eastAsia="en-NZ" w:bidi="en-US"/>
        </w:rPr>
        <w:t xml:space="preserve">. </w:t>
      </w:r>
      <w:r w:rsidR="00733EC7">
        <w:rPr>
          <w:lang w:eastAsia="en-NZ" w:bidi="en-US"/>
        </w:rPr>
        <w:t>HWNZ</w:t>
      </w:r>
      <w:r w:rsidR="006741DE" w:rsidRPr="008C348E">
        <w:rPr>
          <w:lang w:eastAsia="en-NZ" w:bidi="en-US"/>
        </w:rPr>
        <w:t xml:space="preserve"> </w:t>
      </w:r>
      <w:r w:rsidR="00313146" w:rsidRPr="008C348E">
        <w:rPr>
          <w:lang w:eastAsia="en-NZ" w:bidi="en-US"/>
        </w:rPr>
        <w:t>provided $</w:t>
      </w:r>
      <w:r w:rsidR="006741DE" w:rsidRPr="008C348E">
        <w:rPr>
          <w:lang w:eastAsia="en-NZ" w:bidi="en-US"/>
        </w:rPr>
        <w:t>350,</w:t>
      </w:r>
      <w:r w:rsidR="00837B97" w:rsidRPr="008C348E">
        <w:rPr>
          <w:lang w:eastAsia="en-NZ" w:bidi="en-US"/>
        </w:rPr>
        <w:t xml:space="preserve">000 </w:t>
      </w:r>
      <w:r w:rsidR="00AD2DEE" w:rsidRPr="008C348E">
        <w:rPr>
          <w:lang w:eastAsia="en-NZ" w:bidi="en-US"/>
        </w:rPr>
        <w:t xml:space="preserve">of </w:t>
      </w:r>
      <w:r w:rsidR="00313146" w:rsidRPr="008C348E">
        <w:rPr>
          <w:lang w:eastAsia="en-NZ" w:bidi="en-US"/>
        </w:rPr>
        <w:t xml:space="preserve">funding towards the </w:t>
      </w:r>
      <w:r w:rsidR="006741DE" w:rsidRPr="008C348E">
        <w:rPr>
          <w:lang w:eastAsia="en-NZ" w:bidi="en-US"/>
        </w:rPr>
        <w:t>programme</w:t>
      </w:r>
      <w:r w:rsidR="00755CE1">
        <w:rPr>
          <w:lang w:eastAsia="en-NZ" w:bidi="en-US"/>
        </w:rPr>
        <w:t xml:space="preserve"> over the 2014 calendar year</w:t>
      </w:r>
      <w:r w:rsidR="00313146" w:rsidRPr="008C348E">
        <w:rPr>
          <w:lang w:eastAsia="en-NZ" w:bidi="en-US"/>
        </w:rPr>
        <w:t>.</w:t>
      </w:r>
      <w:r w:rsidR="0054171D">
        <w:rPr>
          <w:lang w:eastAsia="en-NZ" w:bidi="en-US"/>
        </w:rPr>
        <w:t xml:space="preserve"> </w:t>
      </w:r>
    </w:p>
    <w:p w:rsidR="00AE5CFC" w:rsidRDefault="00AE5CFC" w:rsidP="00313146">
      <w:pPr>
        <w:rPr>
          <w:lang w:eastAsia="en-NZ" w:bidi="en-US"/>
        </w:rPr>
      </w:pPr>
      <w:r>
        <w:rPr>
          <w:rFonts w:cs="Arial"/>
        </w:rPr>
        <w:t xml:space="preserve">The current ACP training programme comprises of a suite of training options from basic training to advanced training. The current training suite </w:t>
      </w:r>
      <w:r w:rsidR="00004292">
        <w:rPr>
          <w:rFonts w:cs="Arial"/>
        </w:rPr>
        <w:t>comprises 4</w:t>
      </w:r>
      <w:r>
        <w:rPr>
          <w:rFonts w:cs="Arial"/>
        </w:rPr>
        <w:t xml:space="preserve"> levels of training with 11 modules in total. </w:t>
      </w:r>
      <w:r w:rsidRPr="00973580">
        <w:rPr>
          <w:lang w:eastAsia="en-NZ" w:bidi="en-US"/>
        </w:rPr>
        <w:t>This external independent review was to gain insights</w:t>
      </w:r>
      <w:r>
        <w:rPr>
          <w:lang w:eastAsia="en-NZ" w:bidi="en-US"/>
        </w:rPr>
        <w:t xml:space="preserve"> into the Level 2 ACP practitioner training programme (modules 6 – 8). The primary objective of the review was to </w:t>
      </w:r>
      <w:r w:rsidR="00EE335D">
        <w:rPr>
          <w:lang w:eastAsia="en-NZ" w:bidi="en-US"/>
        </w:rPr>
        <w:t>consider</w:t>
      </w:r>
      <w:r>
        <w:rPr>
          <w:lang w:eastAsia="en-NZ" w:bidi="en-US"/>
        </w:rPr>
        <w:t xml:space="preserve"> the financial sustainability of the Level 2 ACP programme and the value for money</w:t>
      </w:r>
      <w:r w:rsidR="00EE335D">
        <w:rPr>
          <w:lang w:eastAsia="en-NZ" w:bidi="en-US"/>
        </w:rPr>
        <w:t xml:space="preserve"> that was received for </w:t>
      </w:r>
      <w:r w:rsidR="00687B0F">
        <w:rPr>
          <w:lang w:eastAsia="en-NZ" w:bidi="en-US"/>
        </w:rPr>
        <w:t>the funding</w:t>
      </w:r>
      <w:r>
        <w:rPr>
          <w:lang w:eastAsia="en-NZ" w:bidi="en-US"/>
        </w:rPr>
        <w:t xml:space="preserve"> provided by HWNZ. Our secondary </w:t>
      </w:r>
      <w:r w:rsidR="008701C4">
        <w:rPr>
          <w:lang w:eastAsia="en-NZ" w:bidi="en-US"/>
        </w:rPr>
        <w:t>objective was</w:t>
      </w:r>
      <w:r>
        <w:rPr>
          <w:lang w:eastAsia="en-NZ" w:bidi="en-US"/>
        </w:rPr>
        <w:t xml:space="preserve"> to </w:t>
      </w:r>
      <w:r w:rsidR="008701C4">
        <w:rPr>
          <w:lang w:eastAsia="en-NZ" w:bidi="en-US"/>
        </w:rPr>
        <w:t>assess:</w:t>
      </w:r>
    </w:p>
    <w:p w:rsidR="008701C4" w:rsidRDefault="008701C4" w:rsidP="00004292">
      <w:pPr>
        <w:pStyle w:val="Bodycopy"/>
        <w:numPr>
          <w:ilvl w:val="0"/>
          <w:numId w:val="16"/>
        </w:numPr>
        <w:rPr>
          <w:lang w:eastAsia="en-NZ" w:bidi="en-US"/>
        </w:rPr>
      </w:pPr>
      <w:r>
        <w:rPr>
          <w:lang w:eastAsia="en-NZ" w:bidi="en-US"/>
        </w:rPr>
        <w:t>The effectiveness of the Level 2 AC</w:t>
      </w:r>
      <w:r w:rsidR="008D48AC">
        <w:rPr>
          <w:lang w:eastAsia="en-NZ" w:bidi="en-US"/>
        </w:rPr>
        <w:t>P</w:t>
      </w:r>
      <w:r>
        <w:rPr>
          <w:lang w:eastAsia="en-NZ" w:bidi="en-US"/>
        </w:rPr>
        <w:t xml:space="preserve"> training programme;</w:t>
      </w:r>
    </w:p>
    <w:p w:rsidR="008701C4" w:rsidRDefault="008701C4" w:rsidP="00004292">
      <w:pPr>
        <w:pStyle w:val="Bodycopy"/>
        <w:numPr>
          <w:ilvl w:val="0"/>
          <w:numId w:val="16"/>
        </w:numPr>
        <w:rPr>
          <w:lang w:eastAsia="en-NZ" w:bidi="en-US"/>
        </w:rPr>
      </w:pPr>
      <w:r>
        <w:rPr>
          <w:lang w:eastAsia="en-NZ" w:bidi="en-US"/>
        </w:rPr>
        <w:t>Assess practitioner confidence levels pre and post training; and</w:t>
      </w:r>
    </w:p>
    <w:p w:rsidR="008701C4" w:rsidRDefault="008701C4" w:rsidP="00004292">
      <w:pPr>
        <w:pStyle w:val="Bodycopy"/>
        <w:numPr>
          <w:ilvl w:val="0"/>
          <w:numId w:val="16"/>
        </w:numPr>
        <w:rPr>
          <w:lang w:eastAsia="en-NZ" w:bidi="en-US"/>
        </w:rPr>
      </w:pPr>
      <w:r>
        <w:rPr>
          <w:lang w:eastAsia="en-NZ" w:bidi="en-US"/>
        </w:rPr>
        <w:t xml:space="preserve">Identifying and assessing </w:t>
      </w:r>
      <w:r w:rsidR="00EE335D">
        <w:rPr>
          <w:lang w:eastAsia="en-NZ" w:bidi="en-US"/>
        </w:rPr>
        <w:t xml:space="preserve">the </w:t>
      </w:r>
      <w:r>
        <w:rPr>
          <w:lang w:eastAsia="en-NZ" w:bidi="en-US"/>
        </w:rPr>
        <w:t xml:space="preserve">on-going changed behaviours in practitioners who have received Level 2 ACP training. </w:t>
      </w:r>
    </w:p>
    <w:p w:rsidR="006741DE" w:rsidRPr="008C348E" w:rsidRDefault="006741DE" w:rsidP="00313146">
      <w:pPr>
        <w:rPr>
          <w:lang w:eastAsia="en-NZ" w:bidi="en-US"/>
        </w:rPr>
      </w:pPr>
      <w:r w:rsidRPr="008C348E">
        <w:rPr>
          <w:lang w:eastAsia="en-NZ" w:bidi="en-US"/>
        </w:rPr>
        <w:t xml:space="preserve">The current delivery mechanism of the </w:t>
      </w:r>
      <w:r w:rsidR="003353EB">
        <w:rPr>
          <w:lang w:eastAsia="en-NZ" w:bidi="en-US"/>
        </w:rPr>
        <w:t>Level 2</w:t>
      </w:r>
      <w:r w:rsidRPr="008C348E">
        <w:rPr>
          <w:lang w:eastAsia="en-NZ" w:bidi="en-US"/>
        </w:rPr>
        <w:t xml:space="preserve"> ACP programme is very effective in ensuring practitioners who attend the 2.5 day course and workshop have increased confidence in practising ACP, and also in changing long term clinical practices to facilitate ACP. </w:t>
      </w:r>
      <w:r w:rsidR="002A1B71" w:rsidRPr="008C348E">
        <w:rPr>
          <w:lang w:eastAsia="en-NZ" w:bidi="en-US"/>
        </w:rPr>
        <w:t xml:space="preserve">The overall results </w:t>
      </w:r>
      <w:r w:rsidR="002A1B71">
        <w:rPr>
          <w:lang w:eastAsia="en-NZ" w:bidi="en-US"/>
        </w:rPr>
        <w:t xml:space="preserve">from our survey of attendees of the Level 2 ACP </w:t>
      </w:r>
      <w:r w:rsidR="002A1B71" w:rsidRPr="008C348E">
        <w:rPr>
          <w:lang w:eastAsia="en-NZ" w:bidi="en-US"/>
        </w:rPr>
        <w:t>course attendees have indicated a high level of satisfaction with the course and also a high level of learned skills.</w:t>
      </w:r>
      <w:r w:rsidR="002A1B71">
        <w:rPr>
          <w:lang w:eastAsia="en-NZ" w:bidi="en-US"/>
        </w:rPr>
        <w:t xml:space="preserve"> </w:t>
      </w:r>
      <w:r w:rsidR="00680751" w:rsidRPr="008C348E">
        <w:rPr>
          <w:lang w:eastAsia="en-NZ" w:bidi="en-US"/>
        </w:rPr>
        <w:t xml:space="preserve">However the current barriers to attending the </w:t>
      </w:r>
      <w:r w:rsidR="003353EB">
        <w:rPr>
          <w:lang w:eastAsia="en-NZ" w:bidi="en-US"/>
        </w:rPr>
        <w:t>Level 2</w:t>
      </w:r>
      <w:r w:rsidR="00680751" w:rsidRPr="008C348E">
        <w:rPr>
          <w:lang w:eastAsia="en-NZ" w:bidi="en-US"/>
        </w:rPr>
        <w:t xml:space="preserve"> training have resulted in diverse uptake levels across the </w:t>
      </w:r>
      <w:r w:rsidR="00CC7B51">
        <w:rPr>
          <w:lang w:eastAsia="en-NZ" w:bidi="en-US"/>
        </w:rPr>
        <w:t xml:space="preserve">Northern, Midlands, Central and Southern </w:t>
      </w:r>
      <w:r w:rsidR="00680751" w:rsidRPr="008C348E">
        <w:rPr>
          <w:lang w:eastAsia="en-NZ" w:bidi="en-US"/>
        </w:rPr>
        <w:t xml:space="preserve">geographic regions. </w:t>
      </w:r>
    </w:p>
    <w:p w:rsidR="00680751" w:rsidRDefault="00680751" w:rsidP="00680751">
      <w:pPr>
        <w:rPr>
          <w:lang w:eastAsia="en-NZ" w:bidi="en-US"/>
        </w:rPr>
      </w:pPr>
      <w:r w:rsidRPr="008C348E">
        <w:rPr>
          <w:lang w:eastAsia="en-NZ" w:bidi="en-US"/>
        </w:rPr>
        <w:t xml:space="preserve">Key barriers to attending the training and practising ACP include the current course length being too long, the cost of the training is too high, and inflexibility in course </w:t>
      </w:r>
      <w:r w:rsidR="002A1B71">
        <w:rPr>
          <w:lang w:eastAsia="en-NZ" w:bidi="en-US"/>
        </w:rPr>
        <w:t xml:space="preserve">minimum and maximum </w:t>
      </w:r>
      <w:r w:rsidRPr="008C348E">
        <w:rPr>
          <w:lang w:eastAsia="en-NZ" w:bidi="en-US"/>
        </w:rPr>
        <w:t>numbers</w:t>
      </w:r>
      <w:r w:rsidR="002A1B71">
        <w:rPr>
          <w:lang w:eastAsia="en-NZ" w:bidi="en-US"/>
        </w:rPr>
        <w:t xml:space="preserve">. </w:t>
      </w:r>
      <w:r w:rsidR="008C348E" w:rsidRPr="008C348E">
        <w:rPr>
          <w:lang w:eastAsia="en-NZ" w:bidi="en-US"/>
        </w:rPr>
        <w:t>Our findings indicate that the current training programme</w:t>
      </w:r>
      <w:r w:rsidR="002709EA">
        <w:rPr>
          <w:lang w:eastAsia="en-NZ" w:bidi="en-US"/>
        </w:rPr>
        <w:t>,</w:t>
      </w:r>
      <w:r w:rsidR="008C348E" w:rsidRPr="008C348E">
        <w:rPr>
          <w:lang w:eastAsia="en-NZ" w:bidi="en-US"/>
        </w:rPr>
        <w:t xml:space="preserve"> while being highly effective</w:t>
      </w:r>
      <w:r w:rsidR="002709EA">
        <w:rPr>
          <w:lang w:eastAsia="en-NZ" w:bidi="en-US"/>
        </w:rPr>
        <w:t>,</w:t>
      </w:r>
      <w:r w:rsidR="008C348E" w:rsidRPr="008C348E">
        <w:rPr>
          <w:lang w:eastAsia="en-NZ" w:bidi="en-US"/>
        </w:rPr>
        <w:t xml:space="preserve"> does not currently cater to enough health practitioners to ensure ACP will be adopted on a widespread basis within the health sector. </w:t>
      </w:r>
    </w:p>
    <w:p w:rsidR="00E852F6" w:rsidRDefault="00E852F6" w:rsidP="00680751">
      <w:pPr>
        <w:rPr>
          <w:lang w:eastAsia="en-NZ" w:bidi="en-US"/>
        </w:rPr>
      </w:pPr>
    </w:p>
    <w:p w:rsidR="00E852F6" w:rsidRDefault="00E852F6" w:rsidP="00680751">
      <w:pPr>
        <w:rPr>
          <w:lang w:eastAsia="en-NZ" w:bidi="en-US"/>
        </w:rPr>
      </w:pPr>
    </w:p>
    <w:p w:rsidR="00E852F6" w:rsidRPr="008C348E" w:rsidRDefault="00E852F6" w:rsidP="00680751">
      <w:pPr>
        <w:rPr>
          <w:lang w:eastAsia="en-NZ" w:bidi="en-US"/>
        </w:rPr>
      </w:pPr>
    </w:p>
    <w:p w:rsidR="0020473E" w:rsidRDefault="008C348E" w:rsidP="00313146">
      <w:pPr>
        <w:rPr>
          <w:lang w:eastAsia="en-NZ" w:bidi="en-US"/>
        </w:rPr>
      </w:pPr>
      <w:r>
        <w:rPr>
          <w:lang w:eastAsia="en-NZ" w:bidi="en-US"/>
        </w:rPr>
        <w:lastRenderedPageBreak/>
        <w:t xml:space="preserve">Based on the financial figures presented to us, and the maximum number of health workers who have been able to attend the </w:t>
      </w:r>
      <w:r w:rsidR="003353EB">
        <w:rPr>
          <w:lang w:eastAsia="en-NZ" w:bidi="en-US"/>
        </w:rPr>
        <w:t>Level 2</w:t>
      </w:r>
      <w:r>
        <w:rPr>
          <w:lang w:eastAsia="en-NZ" w:bidi="en-US"/>
        </w:rPr>
        <w:t xml:space="preserve"> training, we believe that the current delivery </w:t>
      </w:r>
      <w:r w:rsidR="007D3E94">
        <w:rPr>
          <w:lang w:eastAsia="en-NZ" w:bidi="en-US"/>
        </w:rPr>
        <w:t xml:space="preserve">could be more sustainably configured. </w:t>
      </w:r>
      <w:r>
        <w:rPr>
          <w:lang w:eastAsia="en-NZ" w:bidi="en-US"/>
        </w:rPr>
        <w:t xml:space="preserve">The </w:t>
      </w:r>
      <w:r w:rsidR="008701C4">
        <w:rPr>
          <w:lang w:eastAsia="en-NZ" w:bidi="en-US"/>
        </w:rPr>
        <w:t>current uptake of the Level 2 ACP training programme i</w:t>
      </w:r>
      <w:r w:rsidR="0020473E">
        <w:rPr>
          <w:lang w:eastAsia="en-NZ" w:bidi="en-US"/>
        </w:rPr>
        <w:t>n terms of the primary and secondary healthcare is:</w:t>
      </w:r>
    </w:p>
    <w:p w:rsidR="0020473E" w:rsidRDefault="0020473E" w:rsidP="00004292">
      <w:pPr>
        <w:pStyle w:val="Bodycopy"/>
        <w:numPr>
          <w:ilvl w:val="0"/>
          <w:numId w:val="16"/>
        </w:numPr>
        <w:rPr>
          <w:lang w:eastAsia="en-NZ" w:bidi="en-US"/>
        </w:rPr>
      </w:pPr>
      <w:r>
        <w:rPr>
          <w:lang w:eastAsia="en-NZ" w:bidi="en-US"/>
        </w:rPr>
        <w:t>44% of attendees work in the secondary health care level;</w:t>
      </w:r>
    </w:p>
    <w:p w:rsidR="0020473E" w:rsidRDefault="0020473E" w:rsidP="00004292">
      <w:pPr>
        <w:pStyle w:val="Bodycopy"/>
        <w:numPr>
          <w:ilvl w:val="0"/>
          <w:numId w:val="16"/>
        </w:numPr>
        <w:rPr>
          <w:lang w:eastAsia="en-NZ" w:bidi="en-US"/>
        </w:rPr>
      </w:pPr>
      <w:r>
        <w:rPr>
          <w:lang w:eastAsia="en-NZ" w:bidi="en-US"/>
        </w:rPr>
        <w:t>34%  of attendees work in the primary health care level;</w:t>
      </w:r>
    </w:p>
    <w:p w:rsidR="0020473E" w:rsidRDefault="0020473E" w:rsidP="00004292">
      <w:pPr>
        <w:pStyle w:val="Bodycopy"/>
        <w:numPr>
          <w:ilvl w:val="0"/>
          <w:numId w:val="16"/>
        </w:numPr>
        <w:rPr>
          <w:lang w:eastAsia="en-NZ" w:bidi="en-US"/>
        </w:rPr>
      </w:pPr>
      <w:r>
        <w:rPr>
          <w:lang w:eastAsia="en-NZ" w:bidi="en-US"/>
        </w:rPr>
        <w:t>10% of attendees work in both the primary and secondary health care levels; and</w:t>
      </w:r>
    </w:p>
    <w:p w:rsidR="0020473E" w:rsidRDefault="0020473E" w:rsidP="00004292">
      <w:pPr>
        <w:pStyle w:val="Bodycopy"/>
        <w:numPr>
          <w:ilvl w:val="0"/>
          <w:numId w:val="16"/>
        </w:numPr>
        <w:rPr>
          <w:lang w:eastAsia="en-NZ" w:bidi="en-US"/>
        </w:rPr>
      </w:pPr>
      <w:r>
        <w:rPr>
          <w:lang w:eastAsia="en-NZ" w:bidi="en-US"/>
        </w:rPr>
        <w:t xml:space="preserve">12% of attendees were unable to be classified due to their work background being either incomplete within the application form, or working in an educational role. </w:t>
      </w:r>
    </w:p>
    <w:p w:rsidR="0020473E" w:rsidRDefault="0020473E" w:rsidP="00313146">
      <w:pPr>
        <w:rPr>
          <w:lang w:eastAsia="en-NZ" w:bidi="en-US"/>
        </w:rPr>
      </w:pPr>
      <w:r>
        <w:rPr>
          <w:lang w:eastAsia="en-NZ" w:bidi="en-US"/>
        </w:rPr>
        <w:t xml:space="preserve">Our understanding is that the </w:t>
      </w:r>
      <w:r w:rsidR="008C348E">
        <w:rPr>
          <w:lang w:eastAsia="en-NZ" w:bidi="en-US"/>
        </w:rPr>
        <w:t xml:space="preserve">course is currently primarily targeted at the secondary health level; the maximum number of attendees that could </w:t>
      </w:r>
      <w:r w:rsidR="0054171D">
        <w:rPr>
          <w:lang w:eastAsia="en-NZ" w:bidi="en-US"/>
        </w:rPr>
        <w:t xml:space="preserve">have been </w:t>
      </w:r>
      <w:r w:rsidR="008C348E">
        <w:rPr>
          <w:lang w:eastAsia="en-NZ" w:bidi="en-US"/>
        </w:rPr>
        <w:t xml:space="preserve">trained during the </w:t>
      </w:r>
      <w:r w:rsidR="0054171D">
        <w:rPr>
          <w:lang w:eastAsia="en-NZ" w:bidi="en-US"/>
        </w:rPr>
        <w:t xml:space="preserve">2014 calendar </w:t>
      </w:r>
      <w:r w:rsidR="008C348E">
        <w:rPr>
          <w:lang w:eastAsia="en-NZ" w:bidi="en-US"/>
        </w:rPr>
        <w:t xml:space="preserve">year of 300 </w:t>
      </w:r>
      <w:r w:rsidR="0054171D">
        <w:rPr>
          <w:lang w:eastAsia="en-NZ" w:bidi="en-US"/>
        </w:rPr>
        <w:t xml:space="preserve">(please note actual numbers were slightly lower due to last minute cancellations </w:t>
      </w:r>
      <w:r>
        <w:rPr>
          <w:lang w:eastAsia="en-NZ" w:bidi="en-US"/>
        </w:rPr>
        <w:t>on the</w:t>
      </w:r>
      <w:r w:rsidR="0054171D">
        <w:rPr>
          <w:lang w:eastAsia="en-NZ" w:bidi="en-US"/>
        </w:rPr>
        <w:t xml:space="preserve"> part of some attendees) </w:t>
      </w:r>
      <w:r w:rsidR="008C348E">
        <w:rPr>
          <w:lang w:eastAsia="en-NZ" w:bidi="en-US"/>
        </w:rPr>
        <w:t>does not take into account staff turnover rates within the secondary health sector.</w:t>
      </w:r>
      <w:r>
        <w:rPr>
          <w:lang w:eastAsia="en-NZ" w:bidi="en-US"/>
        </w:rPr>
        <w:t xml:space="preserve"> While 34% of attendees work in the primary health care level, we believe that </w:t>
      </w:r>
      <w:r w:rsidR="009626F3">
        <w:rPr>
          <w:lang w:eastAsia="en-NZ" w:bidi="en-US"/>
        </w:rPr>
        <w:t xml:space="preserve">going forward there should be an increased focus of ACP marketing at the primary health care level to further increase the uptake levels of ACP within the primary health care sector. In our view the primary health care level is where ACP will have the most impact within the health sector as a whole.  </w:t>
      </w:r>
    </w:p>
    <w:p w:rsidR="007D3E94" w:rsidRDefault="009B595C" w:rsidP="008C348E">
      <w:pPr>
        <w:rPr>
          <w:lang w:eastAsia="en-NZ" w:bidi="en-US"/>
        </w:rPr>
      </w:pPr>
      <w:r>
        <w:rPr>
          <w:lang w:eastAsia="en-NZ" w:bidi="en-US"/>
        </w:rPr>
        <w:t>The feedback from attendees of the level 2 programme is very positive</w:t>
      </w:r>
      <w:r w:rsidR="007D3E94">
        <w:rPr>
          <w:lang w:eastAsia="en-NZ" w:bidi="en-US"/>
        </w:rPr>
        <w:t xml:space="preserve"> and </w:t>
      </w:r>
      <w:r>
        <w:rPr>
          <w:lang w:eastAsia="en-NZ" w:bidi="en-US"/>
        </w:rPr>
        <w:t xml:space="preserve">we recommend that the current Level 2 ACP training programme is maintained. </w:t>
      </w:r>
      <w:r w:rsidR="003D533A">
        <w:rPr>
          <w:lang w:eastAsia="en-NZ" w:bidi="en-US"/>
        </w:rPr>
        <w:t xml:space="preserve">The programme is in essence an advanced communication course, with communication skills being the key to holding effective ACP conversations. Going forward the marketing </w:t>
      </w:r>
      <w:r w:rsidR="002709EA">
        <w:rPr>
          <w:lang w:eastAsia="en-NZ" w:bidi="en-US"/>
        </w:rPr>
        <w:t xml:space="preserve">of </w:t>
      </w:r>
      <w:r w:rsidR="003D533A">
        <w:rPr>
          <w:lang w:eastAsia="en-NZ" w:bidi="en-US"/>
        </w:rPr>
        <w:t xml:space="preserve">the level 2 ACP training programme needs to clearly reflect that the programme is </w:t>
      </w:r>
      <w:r>
        <w:rPr>
          <w:lang w:eastAsia="en-NZ" w:bidi="en-US"/>
        </w:rPr>
        <w:t>an advanced communication course</w:t>
      </w:r>
      <w:r w:rsidR="003D533A">
        <w:rPr>
          <w:lang w:eastAsia="en-NZ" w:bidi="en-US"/>
        </w:rPr>
        <w:t xml:space="preserve"> which helps facilitate holding ACP conversations, and that the level 2 programme is ideal for health practitioners who </w:t>
      </w:r>
      <w:r>
        <w:rPr>
          <w:lang w:eastAsia="en-NZ" w:bidi="en-US"/>
        </w:rPr>
        <w:t xml:space="preserve">are planning to be advanced ACP practitioners. </w:t>
      </w:r>
    </w:p>
    <w:p w:rsidR="00A92574" w:rsidRDefault="00FC0620" w:rsidP="008C348E">
      <w:pPr>
        <w:rPr>
          <w:lang w:eastAsia="en-NZ" w:bidi="en-US"/>
        </w:rPr>
      </w:pPr>
      <w:r>
        <w:rPr>
          <w:lang w:eastAsia="en-NZ" w:bidi="en-US"/>
        </w:rPr>
        <w:t>Whilst</w:t>
      </w:r>
      <w:r w:rsidR="009B595C">
        <w:rPr>
          <w:lang w:eastAsia="en-NZ" w:bidi="en-US"/>
        </w:rPr>
        <w:t xml:space="preserve"> the </w:t>
      </w:r>
      <w:r w:rsidR="007D3E94">
        <w:rPr>
          <w:lang w:eastAsia="en-NZ" w:bidi="en-US"/>
        </w:rPr>
        <w:t>Level 2 training</w:t>
      </w:r>
      <w:r w:rsidR="009B595C">
        <w:rPr>
          <w:lang w:eastAsia="en-NZ" w:bidi="en-US"/>
        </w:rPr>
        <w:t xml:space="preserve"> is very effective </w:t>
      </w:r>
      <w:r w:rsidR="00240CA4">
        <w:rPr>
          <w:lang w:eastAsia="en-NZ" w:bidi="en-US"/>
        </w:rPr>
        <w:t xml:space="preserve">based on feedback received, </w:t>
      </w:r>
      <w:r w:rsidR="007D3E94">
        <w:rPr>
          <w:lang w:eastAsia="en-NZ" w:bidi="en-US"/>
        </w:rPr>
        <w:t>our review identified t</w:t>
      </w:r>
      <w:r w:rsidR="009B595C">
        <w:rPr>
          <w:lang w:eastAsia="en-NZ" w:bidi="en-US"/>
        </w:rPr>
        <w:t>hat t</w:t>
      </w:r>
      <w:r w:rsidR="008C348E">
        <w:rPr>
          <w:lang w:eastAsia="en-NZ" w:bidi="en-US"/>
        </w:rPr>
        <w:t>o further improve the uptake of ACP nationally</w:t>
      </w:r>
      <w:r w:rsidR="009B595C">
        <w:rPr>
          <w:lang w:eastAsia="en-NZ" w:bidi="en-US"/>
        </w:rPr>
        <w:t xml:space="preserve"> a shorter course needs to be developed in the form of an </w:t>
      </w:r>
      <w:r w:rsidR="00F9516D">
        <w:rPr>
          <w:lang w:eastAsia="en-NZ" w:bidi="en-US"/>
        </w:rPr>
        <w:t>introductory course with a length of</w:t>
      </w:r>
      <w:r w:rsidR="007D3E94">
        <w:rPr>
          <w:lang w:eastAsia="en-NZ" w:bidi="en-US"/>
        </w:rPr>
        <w:t xml:space="preserve">, say, </w:t>
      </w:r>
      <w:r w:rsidR="008C348E">
        <w:rPr>
          <w:lang w:eastAsia="en-NZ" w:bidi="en-US"/>
        </w:rPr>
        <w:t>1 day at the maximum</w:t>
      </w:r>
      <w:r>
        <w:rPr>
          <w:lang w:eastAsia="en-NZ" w:bidi="en-US"/>
        </w:rPr>
        <w:t xml:space="preserve">. </w:t>
      </w:r>
      <w:r w:rsidR="00606E55">
        <w:rPr>
          <w:lang w:eastAsia="en-NZ" w:bidi="en-US"/>
        </w:rPr>
        <w:t>Feedback received from medical practitioners that have not attended th</w:t>
      </w:r>
      <w:r w:rsidR="00240CA4">
        <w:rPr>
          <w:lang w:eastAsia="en-NZ" w:bidi="en-US"/>
        </w:rPr>
        <w:t>e</w:t>
      </w:r>
      <w:r w:rsidR="00606E55">
        <w:rPr>
          <w:lang w:eastAsia="en-NZ" w:bidi="en-US"/>
        </w:rPr>
        <w:t xml:space="preserve"> training is that there is an appetite for a shorter ACP course.</w:t>
      </w:r>
    </w:p>
    <w:p w:rsidR="008C348E" w:rsidRDefault="00CC7B51" w:rsidP="008C348E">
      <w:pPr>
        <w:rPr>
          <w:lang w:eastAsia="en-NZ" w:bidi="en-US"/>
        </w:rPr>
      </w:pPr>
      <w:r>
        <w:rPr>
          <w:lang w:eastAsia="en-NZ" w:bidi="en-US"/>
        </w:rPr>
        <w:t xml:space="preserve">The level 2 ACP programme is CME accredited, however due to constraints on the marketing </w:t>
      </w:r>
      <w:proofErr w:type="gramStart"/>
      <w:r>
        <w:rPr>
          <w:lang w:eastAsia="en-NZ" w:bidi="en-US"/>
        </w:rPr>
        <w:t>budget,</w:t>
      </w:r>
      <w:proofErr w:type="gramEnd"/>
      <w:r>
        <w:rPr>
          <w:lang w:eastAsia="en-NZ" w:bidi="en-US"/>
        </w:rPr>
        <w:t xml:space="preserve"> there has been limited promotion of the level 2 ACP programme for CME purposes. </w:t>
      </w:r>
      <w:r w:rsidR="00773225">
        <w:rPr>
          <w:lang w:eastAsia="en-NZ" w:bidi="en-US"/>
        </w:rPr>
        <w:t>Wider u</w:t>
      </w:r>
      <w:r w:rsidR="00FC0620">
        <w:rPr>
          <w:lang w:eastAsia="en-NZ" w:bidi="en-US"/>
        </w:rPr>
        <w:t xml:space="preserve">ptake of ACP as a concept and ACP training could be </w:t>
      </w:r>
      <w:r w:rsidR="00773225">
        <w:rPr>
          <w:lang w:eastAsia="en-NZ" w:bidi="en-US"/>
        </w:rPr>
        <w:t xml:space="preserve">achieved </w:t>
      </w:r>
      <w:r w:rsidR="00FC0620">
        <w:rPr>
          <w:lang w:eastAsia="en-NZ" w:bidi="en-US"/>
        </w:rPr>
        <w:t xml:space="preserve">through </w:t>
      </w:r>
      <w:r w:rsidR="008C348E">
        <w:rPr>
          <w:lang w:eastAsia="en-NZ" w:bidi="en-US"/>
        </w:rPr>
        <w:t>increas</w:t>
      </w:r>
      <w:r w:rsidR="00FC0620">
        <w:rPr>
          <w:lang w:eastAsia="en-NZ" w:bidi="en-US"/>
        </w:rPr>
        <w:t xml:space="preserve">ed </w:t>
      </w:r>
      <w:r w:rsidR="008C348E">
        <w:rPr>
          <w:lang w:eastAsia="en-NZ" w:bidi="en-US"/>
        </w:rPr>
        <w:t xml:space="preserve">promotion of ACP at the CME level for </w:t>
      </w:r>
      <w:r w:rsidR="00773225">
        <w:rPr>
          <w:lang w:eastAsia="en-NZ" w:bidi="en-US"/>
        </w:rPr>
        <w:t>h</w:t>
      </w:r>
      <w:r w:rsidR="00733EC7">
        <w:rPr>
          <w:lang w:eastAsia="en-NZ" w:bidi="en-US"/>
        </w:rPr>
        <w:t>ealth workers</w:t>
      </w:r>
      <w:r w:rsidR="00A92574">
        <w:rPr>
          <w:lang w:eastAsia="en-NZ" w:bidi="en-US"/>
        </w:rPr>
        <w:t xml:space="preserve">. Additionally the current ACP training programme is primarily directed at the secondary healthcare sector. In our view, ACP would be more beneficial to health workers within the primary health sector. </w:t>
      </w:r>
      <w:r w:rsidR="00773225">
        <w:rPr>
          <w:lang w:eastAsia="en-NZ" w:bidi="en-US"/>
        </w:rPr>
        <w:t>I</w:t>
      </w:r>
      <w:r w:rsidR="00A92574">
        <w:rPr>
          <w:lang w:eastAsia="en-NZ" w:bidi="en-US"/>
        </w:rPr>
        <w:t xml:space="preserve">ncreased promotion coupled with a shorter introductory training course </w:t>
      </w:r>
      <w:r w:rsidR="00773225">
        <w:rPr>
          <w:lang w:eastAsia="en-NZ" w:bidi="en-US"/>
        </w:rPr>
        <w:t xml:space="preserve">should result in a wider </w:t>
      </w:r>
      <w:r w:rsidR="00A92574">
        <w:rPr>
          <w:lang w:eastAsia="en-NZ" w:bidi="en-US"/>
        </w:rPr>
        <w:t xml:space="preserve">uptake of ACP within the health sector. </w:t>
      </w:r>
    </w:p>
    <w:p w:rsidR="006B0CF9" w:rsidRDefault="00606E55" w:rsidP="0046598C">
      <w:pPr>
        <w:rPr>
          <w:lang w:eastAsia="en-NZ" w:bidi="en-US"/>
        </w:rPr>
      </w:pPr>
      <w:r>
        <w:rPr>
          <w:lang w:eastAsia="en-NZ" w:bidi="en-US"/>
        </w:rPr>
        <w:lastRenderedPageBreak/>
        <w:t xml:space="preserve">Future funding should reflect the development of an introductory ACP course or workshop. </w:t>
      </w:r>
      <w:r w:rsidR="00773225">
        <w:rPr>
          <w:lang w:eastAsia="en-NZ" w:bidi="en-US"/>
        </w:rPr>
        <w:t>Regardless of whether an introductory course is established, f</w:t>
      </w:r>
      <w:r>
        <w:rPr>
          <w:lang w:eastAsia="en-NZ" w:bidi="en-US"/>
        </w:rPr>
        <w:t xml:space="preserve">unding for the subsidisation of the level 2 ACP training programme as it stands </w:t>
      </w:r>
      <w:r w:rsidR="00773225">
        <w:rPr>
          <w:lang w:eastAsia="en-NZ" w:bidi="en-US"/>
        </w:rPr>
        <w:t xml:space="preserve">may need to be reviewed </w:t>
      </w:r>
      <w:r>
        <w:rPr>
          <w:lang w:eastAsia="en-NZ" w:bidi="en-US"/>
        </w:rPr>
        <w:t xml:space="preserve">given the financial viability of course and workshop delivery. </w:t>
      </w:r>
    </w:p>
    <w:p w:rsidR="00F30265" w:rsidRPr="005B476C" w:rsidRDefault="007D3E94" w:rsidP="001A272B">
      <w:pPr>
        <w:rPr>
          <w:lang w:eastAsia="en-NZ" w:bidi="en-US"/>
        </w:rPr>
      </w:pPr>
      <w:r w:rsidRPr="005B476C">
        <w:rPr>
          <w:lang w:eastAsia="en-NZ" w:bidi="en-US"/>
        </w:rPr>
        <w:t>We have reviewed the financial results of the Level 2 ACP</w:t>
      </w:r>
      <w:r w:rsidR="00F30265" w:rsidRPr="005B476C">
        <w:rPr>
          <w:lang w:eastAsia="en-NZ" w:bidi="en-US"/>
        </w:rPr>
        <w:t xml:space="preserve"> programme. Our expectation for the revenue recorded for the </w:t>
      </w:r>
      <w:r w:rsidRPr="005B476C">
        <w:rPr>
          <w:lang w:eastAsia="en-NZ" w:bidi="en-US"/>
        </w:rPr>
        <w:t xml:space="preserve">course and workshop delivery results </w:t>
      </w:r>
      <w:r w:rsidR="00773225" w:rsidRPr="005B476C">
        <w:rPr>
          <w:lang w:eastAsia="en-NZ" w:bidi="en-US"/>
        </w:rPr>
        <w:t xml:space="preserve">is </w:t>
      </w:r>
      <w:r w:rsidR="00F30265" w:rsidRPr="005B476C">
        <w:rPr>
          <w:lang w:eastAsia="en-NZ" w:bidi="en-US"/>
        </w:rPr>
        <w:t>$600K</w:t>
      </w:r>
      <w:r w:rsidR="00773225" w:rsidRPr="005B476C">
        <w:rPr>
          <w:lang w:eastAsia="en-NZ" w:bidi="en-US"/>
        </w:rPr>
        <w:t xml:space="preserve"> and in line with this the actual delivery of the Level 2 ACP course and workshops should result in a small profit.</w:t>
      </w:r>
      <w:r w:rsidR="00F30265" w:rsidRPr="005B476C">
        <w:rPr>
          <w:lang w:eastAsia="en-NZ" w:bidi="en-US"/>
        </w:rPr>
        <w:t xml:space="preserve"> Actual revenue recorded for course and workshop delivery </w:t>
      </w:r>
      <w:r w:rsidR="002729CF" w:rsidRPr="005B476C">
        <w:rPr>
          <w:lang w:eastAsia="en-NZ" w:bidi="en-US"/>
        </w:rPr>
        <w:t>was $315K. We have been advised by the NRA that the difference of $285K is due to the following:</w:t>
      </w:r>
    </w:p>
    <w:p w:rsidR="002729CF" w:rsidRPr="005B476C" w:rsidRDefault="002729CF" w:rsidP="00004292">
      <w:pPr>
        <w:pStyle w:val="Bodycopy"/>
        <w:numPr>
          <w:ilvl w:val="0"/>
          <w:numId w:val="16"/>
        </w:numPr>
        <w:rPr>
          <w:lang w:eastAsia="en-NZ" w:bidi="en-US"/>
        </w:rPr>
      </w:pPr>
      <w:r w:rsidRPr="005B476C">
        <w:rPr>
          <w:lang w:eastAsia="en-NZ" w:bidi="en-US"/>
        </w:rPr>
        <w:t>$1</w:t>
      </w:r>
      <w:r w:rsidR="008320B1" w:rsidRPr="005B476C">
        <w:rPr>
          <w:lang w:eastAsia="en-NZ" w:bidi="en-US"/>
        </w:rPr>
        <w:t>32</w:t>
      </w:r>
      <w:r w:rsidRPr="005B476C">
        <w:rPr>
          <w:lang w:eastAsia="en-NZ" w:bidi="en-US"/>
        </w:rPr>
        <w:t xml:space="preserve">K of funding from the NRA for </w:t>
      </w:r>
      <w:r w:rsidR="006B0CF9">
        <w:rPr>
          <w:lang w:eastAsia="en-NZ" w:bidi="en-US"/>
        </w:rPr>
        <w:t xml:space="preserve">Northern Region DHB </w:t>
      </w:r>
      <w:r w:rsidRPr="005B476C">
        <w:rPr>
          <w:lang w:eastAsia="en-NZ" w:bidi="en-US"/>
        </w:rPr>
        <w:t xml:space="preserve">staff who have received Level 2 ACP training, which has not been reflected within the </w:t>
      </w:r>
      <w:r w:rsidR="00773225" w:rsidRPr="005B476C">
        <w:rPr>
          <w:lang w:eastAsia="en-NZ" w:bidi="en-US"/>
        </w:rPr>
        <w:t xml:space="preserve">numbers </w:t>
      </w:r>
      <w:r w:rsidRPr="005B476C">
        <w:rPr>
          <w:lang w:eastAsia="en-NZ" w:bidi="en-US"/>
        </w:rPr>
        <w:t xml:space="preserve">presented to us; and </w:t>
      </w:r>
    </w:p>
    <w:p w:rsidR="002729CF" w:rsidRPr="005B476C" w:rsidRDefault="008320B1" w:rsidP="00004292">
      <w:pPr>
        <w:pStyle w:val="Bodycopy"/>
        <w:numPr>
          <w:ilvl w:val="0"/>
          <w:numId w:val="16"/>
        </w:numPr>
        <w:rPr>
          <w:lang w:eastAsia="en-NZ" w:bidi="en-US"/>
        </w:rPr>
      </w:pPr>
      <w:r w:rsidRPr="005B476C">
        <w:rPr>
          <w:lang w:eastAsia="en-NZ" w:bidi="en-US"/>
        </w:rPr>
        <w:t>$153</w:t>
      </w:r>
      <w:r w:rsidR="002729CF" w:rsidRPr="005B476C">
        <w:rPr>
          <w:lang w:eastAsia="en-NZ" w:bidi="en-US"/>
        </w:rPr>
        <w:t>K due to no differentiation in pricing between subsidised and non-subsidised pricing to attendees of the Level 2 ACP training programme (or 150 attendees at $1,0</w:t>
      </w:r>
      <w:r w:rsidRPr="005B476C">
        <w:rPr>
          <w:lang w:eastAsia="en-NZ" w:bidi="en-US"/>
        </w:rPr>
        <w:t>2</w:t>
      </w:r>
      <w:r w:rsidR="002729CF" w:rsidRPr="005B476C">
        <w:rPr>
          <w:lang w:eastAsia="en-NZ" w:bidi="en-US"/>
        </w:rPr>
        <w:t xml:space="preserve">0 per attendee). </w:t>
      </w:r>
    </w:p>
    <w:p w:rsidR="007D3E94" w:rsidRDefault="001A272B" w:rsidP="00773225">
      <w:pPr>
        <w:rPr>
          <w:lang w:eastAsia="en-NZ" w:bidi="en-US"/>
        </w:rPr>
      </w:pPr>
      <w:r w:rsidRPr="005B476C">
        <w:rPr>
          <w:lang w:eastAsia="en-NZ" w:bidi="en-US"/>
        </w:rPr>
        <w:t xml:space="preserve">We have not ascertained or verified the eligibility of attendees that received subsidy, as in our view funding for course and workshop delivery has actually subsidised the training cost of all attendees of the Level 2 ACP training programme in the 2014 calendar year due to no differentiation in pricing. </w:t>
      </w:r>
      <w:r w:rsidR="006B0CF9">
        <w:rPr>
          <w:lang w:eastAsia="en-NZ" w:bidi="en-US"/>
        </w:rPr>
        <w:t xml:space="preserve">We have discussed the application of funding subsidies with HWNZ, and note that a greater spread of the subsidy has been achieved (i.e. a higher number of attendees have been subsidised), </w:t>
      </w:r>
      <w:r w:rsidR="005A5CCB">
        <w:rPr>
          <w:lang w:eastAsia="en-NZ" w:bidi="en-US"/>
        </w:rPr>
        <w:t xml:space="preserve">and as such the </w:t>
      </w:r>
      <w:r w:rsidR="006B0CF9">
        <w:rPr>
          <w:lang w:eastAsia="en-NZ" w:bidi="en-US"/>
        </w:rPr>
        <w:t xml:space="preserve">individual </w:t>
      </w:r>
      <w:r w:rsidR="005A5CCB">
        <w:rPr>
          <w:lang w:eastAsia="en-NZ" w:bidi="en-US"/>
        </w:rPr>
        <w:t>attendee subsidies are a lot lower than the contract</w:t>
      </w:r>
      <w:r w:rsidR="00EE335D">
        <w:rPr>
          <w:lang w:eastAsia="en-NZ" w:bidi="en-US"/>
        </w:rPr>
        <w:t xml:space="preserve">ed </w:t>
      </w:r>
      <w:r w:rsidR="005A5CCB">
        <w:rPr>
          <w:lang w:eastAsia="en-NZ" w:bidi="en-US"/>
        </w:rPr>
        <w:t>subsidy of $1,020 per attendee. The difference between the contract</w:t>
      </w:r>
      <w:r w:rsidR="00EE335D">
        <w:rPr>
          <w:lang w:eastAsia="en-NZ" w:bidi="en-US"/>
        </w:rPr>
        <w:t>ed</w:t>
      </w:r>
      <w:r w:rsidR="005A5CCB">
        <w:rPr>
          <w:lang w:eastAsia="en-NZ" w:bidi="en-US"/>
        </w:rPr>
        <w:t xml:space="preserve"> subsidy per attendee and the actual subsidy per attendee indicate that the costings of the level 2 programme need to be reviewed. </w:t>
      </w:r>
      <w:r w:rsidR="00773225" w:rsidRPr="005B476C">
        <w:rPr>
          <w:lang w:eastAsia="en-NZ" w:bidi="en-US"/>
        </w:rPr>
        <w:t>W</w:t>
      </w:r>
      <w:r w:rsidR="007D3E94" w:rsidRPr="005B476C">
        <w:rPr>
          <w:lang w:eastAsia="en-NZ" w:bidi="en-US"/>
        </w:rPr>
        <w:t xml:space="preserve">e recommend that HWNZ should </w:t>
      </w:r>
      <w:r w:rsidRPr="005B476C">
        <w:rPr>
          <w:lang w:eastAsia="en-NZ" w:bidi="en-US"/>
        </w:rPr>
        <w:t>discuss</w:t>
      </w:r>
      <w:r w:rsidR="00B574B4" w:rsidRPr="005B476C">
        <w:rPr>
          <w:lang w:eastAsia="en-NZ" w:bidi="en-US"/>
        </w:rPr>
        <w:t xml:space="preserve"> with the NRA</w:t>
      </w:r>
      <w:r w:rsidR="00773225" w:rsidRPr="005B476C">
        <w:rPr>
          <w:lang w:eastAsia="en-NZ" w:bidi="en-US"/>
        </w:rPr>
        <w:t xml:space="preserve"> their process in assessing subsidy eligibility and how this was applied in practice. </w:t>
      </w:r>
      <w:r w:rsidR="007D3E94">
        <w:rPr>
          <w:lang w:eastAsia="en-NZ" w:bidi="en-US"/>
        </w:rPr>
        <w:t xml:space="preserve">  </w:t>
      </w:r>
    </w:p>
    <w:p w:rsidR="00606E55" w:rsidRDefault="005A5CCB" w:rsidP="008C348E">
      <w:pPr>
        <w:rPr>
          <w:lang w:eastAsia="en-NZ" w:bidi="en-US"/>
        </w:rPr>
      </w:pPr>
      <w:r>
        <w:rPr>
          <w:lang w:eastAsia="en-NZ" w:bidi="en-US"/>
        </w:rPr>
        <w:t xml:space="preserve">We have assessed annual planning documents from </w:t>
      </w:r>
      <w:r w:rsidR="00EE335D">
        <w:rPr>
          <w:lang w:eastAsia="en-NZ" w:bidi="en-US"/>
        </w:rPr>
        <w:t xml:space="preserve">the </w:t>
      </w:r>
      <w:r>
        <w:rPr>
          <w:lang w:eastAsia="en-NZ" w:bidi="en-US"/>
        </w:rPr>
        <w:t xml:space="preserve">5 </w:t>
      </w:r>
      <w:r w:rsidR="00EE335D">
        <w:rPr>
          <w:lang w:eastAsia="en-NZ" w:bidi="en-US"/>
        </w:rPr>
        <w:t>M</w:t>
      </w:r>
      <w:r>
        <w:rPr>
          <w:lang w:eastAsia="en-NZ" w:bidi="en-US"/>
        </w:rPr>
        <w:t>idland region DHB’s, and have identified that ACP is only either mentioned in one page of the entire planning document or not at all. We believe that a</w:t>
      </w:r>
      <w:r w:rsidR="008C348E">
        <w:rPr>
          <w:lang w:eastAsia="en-NZ" w:bidi="en-US"/>
        </w:rPr>
        <w:t xml:space="preserve"> higher focus on ACP within the regional </w:t>
      </w:r>
      <w:r>
        <w:rPr>
          <w:lang w:eastAsia="en-NZ" w:bidi="en-US"/>
        </w:rPr>
        <w:t xml:space="preserve">annual </w:t>
      </w:r>
      <w:r w:rsidR="008C348E">
        <w:rPr>
          <w:lang w:eastAsia="en-NZ" w:bidi="en-US"/>
        </w:rPr>
        <w:t xml:space="preserve">plans </w:t>
      </w:r>
      <w:r w:rsidR="00773225">
        <w:rPr>
          <w:lang w:eastAsia="en-NZ" w:bidi="en-US"/>
        </w:rPr>
        <w:t xml:space="preserve">of DHB’s </w:t>
      </w:r>
      <w:r w:rsidR="008C348E">
        <w:rPr>
          <w:lang w:eastAsia="en-NZ" w:bidi="en-US"/>
        </w:rPr>
        <w:t xml:space="preserve">coupled with appropriate non-financial reporting measures for ACP </w:t>
      </w:r>
      <w:r w:rsidR="00773225">
        <w:rPr>
          <w:lang w:eastAsia="en-NZ" w:bidi="en-US"/>
        </w:rPr>
        <w:t xml:space="preserve">should </w:t>
      </w:r>
      <w:r w:rsidR="008C348E">
        <w:rPr>
          <w:lang w:eastAsia="en-NZ" w:bidi="en-US"/>
        </w:rPr>
        <w:t xml:space="preserve">help improve the ability </w:t>
      </w:r>
      <w:r w:rsidR="00773225">
        <w:rPr>
          <w:lang w:eastAsia="en-NZ" w:bidi="en-US"/>
        </w:rPr>
        <w:t xml:space="preserve">of </w:t>
      </w:r>
      <w:r w:rsidR="0054171D">
        <w:rPr>
          <w:lang w:eastAsia="en-NZ" w:bidi="en-US"/>
        </w:rPr>
        <w:t>regi</w:t>
      </w:r>
      <w:r w:rsidR="00EE335D">
        <w:rPr>
          <w:lang w:eastAsia="en-NZ" w:bidi="en-US"/>
        </w:rPr>
        <w:t>onal training coordinators and R</w:t>
      </w:r>
      <w:r w:rsidR="0054171D">
        <w:rPr>
          <w:lang w:eastAsia="en-NZ" w:bidi="en-US"/>
        </w:rPr>
        <w:t xml:space="preserve">egional Health Alliances </w:t>
      </w:r>
      <w:r w:rsidR="008C348E">
        <w:rPr>
          <w:lang w:eastAsia="en-NZ" w:bidi="en-US"/>
        </w:rPr>
        <w:t xml:space="preserve">to </w:t>
      </w:r>
      <w:r w:rsidR="0054171D">
        <w:rPr>
          <w:lang w:eastAsia="en-NZ" w:bidi="en-US"/>
        </w:rPr>
        <w:t xml:space="preserve">apply for </w:t>
      </w:r>
      <w:r w:rsidR="008C348E">
        <w:rPr>
          <w:lang w:eastAsia="en-NZ" w:bidi="en-US"/>
        </w:rPr>
        <w:t xml:space="preserve">additional funding to facilitate ACP training. </w:t>
      </w:r>
    </w:p>
    <w:p w:rsidR="00E852F6" w:rsidRDefault="00E852F6" w:rsidP="008C348E">
      <w:pPr>
        <w:rPr>
          <w:lang w:eastAsia="en-NZ" w:bidi="en-US"/>
        </w:rPr>
      </w:pPr>
    </w:p>
    <w:p w:rsidR="00E852F6" w:rsidRDefault="00E852F6" w:rsidP="008C348E">
      <w:pPr>
        <w:rPr>
          <w:lang w:eastAsia="en-NZ" w:bidi="en-US"/>
        </w:rPr>
      </w:pPr>
    </w:p>
    <w:p w:rsidR="00E852F6" w:rsidRDefault="00E852F6" w:rsidP="008C348E">
      <w:pPr>
        <w:rPr>
          <w:lang w:eastAsia="en-NZ" w:bidi="en-US"/>
        </w:rPr>
      </w:pPr>
    </w:p>
    <w:p w:rsidR="00E852F6" w:rsidRDefault="00E852F6" w:rsidP="008C348E">
      <w:pPr>
        <w:rPr>
          <w:lang w:eastAsia="en-NZ" w:bidi="en-US"/>
        </w:rPr>
      </w:pPr>
    </w:p>
    <w:p w:rsidR="0046598C" w:rsidRDefault="0046598C" w:rsidP="008C348E">
      <w:pPr>
        <w:rPr>
          <w:lang w:eastAsia="en-NZ" w:bidi="en-US"/>
        </w:rPr>
      </w:pPr>
      <w:r>
        <w:rPr>
          <w:lang w:eastAsia="en-NZ" w:bidi="en-US"/>
        </w:rPr>
        <w:lastRenderedPageBreak/>
        <w:t>Should HWNZ continue to subsidise ACP course and workshop delivery, funding should be only be released from HWNZ as and when actual courses are delivered, and when contractual reporting obligations have been met by the training provider. Commercially this will ensure that all funds are appropriately spent on approved ACP activities, and will also ensure that all expenditure incurred by the supplier is captured on a timely basis. Additionally as part of any future ACP training funding</w:t>
      </w:r>
      <w:r w:rsidR="00004292">
        <w:rPr>
          <w:lang w:eastAsia="en-NZ" w:bidi="en-US"/>
        </w:rPr>
        <w:t>,</w:t>
      </w:r>
      <w:r>
        <w:rPr>
          <w:lang w:eastAsia="en-NZ" w:bidi="en-US"/>
        </w:rPr>
        <w:t xml:space="preserve"> we recommend that funding should be on the basis of the training provider being able to:</w:t>
      </w:r>
    </w:p>
    <w:p w:rsidR="0046598C" w:rsidRDefault="0046598C" w:rsidP="00004292">
      <w:pPr>
        <w:pStyle w:val="Bodycopy"/>
        <w:numPr>
          <w:ilvl w:val="0"/>
          <w:numId w:val="16"/>
        </w:numPr>
        <w:rPr>
          <w:lang w:eastAsia="en-NZ" w:bidi="en-US"/>
        </w:rPr>
      </w:pPr>
      <w:r>
        <w:rPr>
          <w:lang w:eastAsia="en-NZ" w:bidi="en-US"/>
        </w:rPr>
        <w:t>Develop an introductory one day workshop or course</w:t>
      </w:r>
      <w:r w:rsidR="00262504">
        <w:rPr>
          <w:lang w:eastAsia="en-NZ" w:bidi="en-US"/>
        </w:rPr>
        <w:t xml:space="preserve"> in addition to the existing modules</w:t>
      </w:r>
      <w:r w:rsidR="00004292">
        <w:rPr>
          <w:lang w:eastAsia="en-NZ" w:bidi="en-US"/>
        </w:rPr>
        <w:t>;</w:t>
      </w:r>
    </w:p>
    <w:p w:rsidR="0046598C" w:rsidRDefault="0046598C" w:rsidP="00004292">
      <w:pPr>
        <w:pStyle w:val="Bodycopy"/>
        <w:numPr>
          <w:ilvl w:val="0"/>
          <w:numId w:val="16"/>
        </w:numPr>
        <w:rPr>
          <w:lang w:eastAsia="en-NZ" w:bidi="en-US"/>
        </w:rPr>
      </w:pPr>
      <w:r>
        <w:rPr>
          <w:lang w:eastAsia="en-NZ" w:bidi="en-US"/>
        </w:rPr>
        <w:t>Engage an independent expert to assess the use of professional actors against simulation based trainers within the level 2 training programme from a pedagogy perspective;</w:t>
      </w:r>
    </w:p>
    <w:p w:rsidR="0046598C" w:rsidRDefault="0046598C" w:rsidP="00004292">
      <w:pPr>
        <w:pStyle w:val="Bodycopy"/>
        <w:numPr>
          <w:ilvl w:val="0"/>
          <w:numId w:val="16"/>
        </w:numPr>
        <w:rPr>
          <w:lang w:eastAsia="en-NZ" w:bidi="en-US"/>
        </w:rPr>
      </w:pPr>
      <w:r>
        <w:rPr>
          <w:lang w:eastAsia="en-NZ" w:bidi="en-US"/>
        </w:rPr>
        <w:t xml:space="preserve">Develop an achievable marketing and advertising plan; and </w:t>
      </w:r>
    </w:p>
    <w:p w:rsidR="0046598C" w:rsidRDefault="0046598C" w:rsidP="00004292">
      <w:pPr>
        <w:pStyle w:val="Bodycopy"/>
        <w:numPr>
          <w:ilvl w:val="0"/>
          <w:numId w:val="16"/>
        </w:numPr>
        <w:rPr>
          <w:lang w:eastAsia="en-NZ" w:bidi="en-US"/>
        </w:rPr>
      </w:pPr>
      <w:r>
        <w:rPr>
          <w:lang w:eastAsia="en-NZ" w:bidi="en-US"/>
        </w:rPr>
        <w:t xml:space="preserve">Develop a financially sustainable business plan. </w:t>
      </w:r>
    </w:p>
    <w:p w:rsidR="008C776C" w:rsidRDefault="008C776C" w:rsidP="00004292">
      <w:pPr>
        <w:rPr>
          <w:lang w:eastAsia="en-NZ" w:bidi="en-US"/>
        </w:rPr>
      </w:pPr>
      <w:r>
        <w:rPr>
          <w:lang w:eastAsia="en-NZ" w:bidi="en-US"/>
        </w:rPr>
        <w:t xml:space="preserve">The primary function of ACP is to ensure that the patient’s voice is heard. However given the aging population of New Zealand and the current financial constraints within the health sector, any reduction in medical intervention to terminally ill patients, and the facilitation of end of life care outside of the hospital setting should help avoid costs associated with end of life care. The ACP methodology should also help health providers in better managing terminally ill patients. </w:t>
      </w:r>
      <w:r w:rsidRPr="008C348E" w:rsidDel="008C348E">
        <w:rPr>
          <w:lang w:eastAsia="en-NZ" w:bidi="en-US"/>
        </w:rPr>
        <w:t xml:space="preserve"> </w:t>
      </w:r>
    </w:p>
    <w:p w:rsidR="008C776C" w:rsidRPr="00313146" w:rsidRDefault="008C776C" w:rsidP="008C776C">
      <w:pPr>
        <w:rPr>
          <w:lang w:eastAsia="en-NZ" w:bidi="en-US"/>
        </w:rPr>
      </w:pPr>
    </w:p>
    <w:p w:rsidR="006D299C" w:rsidRDefault="004B02FA" w:rsidP="004B02FA">
      <w:pPr>
        <w:pStyle w:val="APageheading-numbered"/>
        <w:spacing w:after="800"/>
        <w:rPr>
          <w:lang w:eastAsia="en-NZ"/>
        </w:rPr>
      </w:pPr>
      <w:bookmarkStart w:id="21" w:name="_Toc412729765"/>
      <w:r>
        <w:rPr>
          <w:lang w:eastAsia="en-NZ"/>
        </w:rPr>
        <w:lastRenderedPageBreak/>
        <w:t>Introduction</w:t>
      </w:r>
      <w:bookmarkEnd w:id="21"/>
    </w:p>
    <w:p w:rsidR="000C1125" w:rsidRDefault="006D299C" w:rsidP="006D299C">
      <w:pPr>
        <w:rPr>
          <w:lang w:eastAsia="en-NZ" w:bidi="en-US"/>
        </w:rPr>
      </w:pPr>
      <w:r w:rsidRPr="00973580">
        <w:rPr>
          <w:lang w:eastAsia="en-NZ" w:bidi="en-US"/>
        </w:rPr>
        <w:t xml:space="preserve">This report describes the findings of an independent review of the </w:t>
      </w:r>
      <w:r w:rsidR="003353EB">
        <w:rPr>
          <w:lang w:eastAsia="en-NZ" w:bidi="en-US"/>
        </w:rPr>
        <w:t>Level 2</w:t>
      </w:r>
      <w:r w:rsidR="0012730A">
        <w:rPr>
          <w:lang w:eastAsia="en-NZ" w:bidi="en-US"/>
        </w:rPr>
        <w:t xml:space="preserve"> ACP Practitioner Training Programme</w:t>
      </w:r>
      <w:r w:rsidR="005A5936">
        <w:rPr>
          <w:lang w:eastAsia="en-NZ" w:bidi="en-US"/>
        </w:rPr>
        <w:t xml:space="preserve">. </w:t>
      </w:r>
    </w:p>
    <w:p w:rsidR="00747BE5" w:rsidRPr="008C348E" w:rsidRDefault="00555288" w:rsidP="003F2550">
      <w:pPr>
        <w:rPr>
          <w:rFonts w:cs="Arial"/>
        </w:rPr>
      </w:pPr>
      <w:r w:rsidRPr="006741DE">
        <w:rPr>
          <w:rFonts w:cs="Arial"/>
        </w:rPr>
        <w:t>The ACP methodology has been developed globally over the past decade and has gained wide recognition as a valuable tool in the care of patients facing significantly dec</w:t>
      </w:r>
      <w:r w:rsidR="00747BE5" w:rsidRPr="008C348E">
        <w:rPr>
          <w:rFonts w:cs="Arial"/>
        </w:rPr>
        <w:t xml:space="preserve">lining capacity or end-of-life. ACP is not only limited to end of life care, but is applicable to all adults in all stages of life. </w:t>
      </w:r>
    </w:p>
    <w:p w:rsidR="00555288" w:rsidRDefault="00555288" w:rsidP="00555288">
      <w:pPr>
        <w:overflowPunct w:val="0"/>
        <w:autoSpaceDE w:val="0"/>
        <w:autoSpaceDN w:val="0"/>
        <w:adjustRightInd w:val="0"/>
        <w:jc w:val="both"/>
        <w:rPr>
          <w:rFonts w:cs="Arial"/>
        </w:rPr>
      </w:pPr>
      <w:r w:rsidRPr="006741DE">
        <w:rPr>
          <w:rFonts w:cs="Arial"/>
        </w:rPr>
        <w:t xml:space="preserve">The New Zealand ACP training programme was commenced in 2010 by the </w:t>
      </w:r>
      <w:r w:rsidR="00F21242">
        <w:rPr>
          <w:rFonts w:cs="Arial"/>
        </w:rPr>
        <w:t xml:space="preserve">New Zealand ACP </w:t>
      </w:r>
      <w:r w:rsidRPr="006741DE">
        <w:rPr>
          <w:rFonts w:cs="Arial"/>
        </w:rPr>
        <w:t>Cooperative</w:t>
      </w:r>
      <w:r w:rsidR="00F21242">
        <w:rPr>
          <w:rFonts w:cs="Arial"/>
        </w:rPr>
        <w:t xml:space="preserve"> (the Cooperative)</w:t>
      </w:r>
      <w:r w:rsidRPr="006741DE">
        <w:rPr>
          <w:rFonts w:cs="Arial"/>
        </w:rPr>
        <w:t>. The Cooperative is a grass roots collective of interested clinicians and others who wanted to have a coll</w:t>
      </w:r>
      <w:r w:rsidRPr="008C348E">
        <w:rPr>
          <w:rFonts w:cs="Arial"/>
        </w:rPr>
        <w:t xml:space="preserve">aborative approach to ACP for the country.  Membership of the cooperative is voluntary.  Cooperative </w:t>
      </w:r>
      <w:r w:rsidR="00755CE1">
        <w:rPr>
          <w:rFonts w:cs="Arial"/>
        </w:rPr>
        <w:t>founders</w:t>
      </w:r>
      <w:r w:rsidRPr="008C348E">
        <w:rPr>
          <w:rFonts w:cs="Arial"/>
        </w:rPr>
        <w:t xml:space="preserve"> undertook a literature search and international benchmarking and recognised that up skilling the healthcare workforce in what ACP </w:t>
      </w:r>
      <w:proofErr w:type="gramStart"/>
      <w:r w:rsidRPr="008C348E">
        <w:rPr>
          <w:rFonts w:cs="Arial"/>
        </w:rPr>
        <w:t>is,</w:t>
      </w:r>
      <w:proofErr w:type="gramEnd"/>
      <w:r w:rsidRPr="008C348E">
        <w:rPr>
          <w:rFonts w:cs="Arial"/>
        </w:rPr>
        <w:t xml:space="preserve"> the benefits of it as well as increasing their ability to initiate, participate and facilitate ACP conversations was critical.  To address these learning needs an ACP and communication training programme was developed for New Zealand.  In 2011 this was work was further developed by the NRA (a shared services entity owned by the Northern Region District Health Boards) in the Northern Region Health Plan’s Informed Patient work stream. </w:t>
      </w:r>
    </w:p>
    <w:p w:rsidR="000C1125" w:rsidRDefault="00555288" w:rsidP="008C348E">
      <w:pPr>
        <w:overflowPunct w:val="0"/>
        <w:autoSpaceDE w:val="0"/>
        <w:autoSpaceDN w:val="0"/>
        <w:adjustRightInd w:val="0"/>
        <w:jc w:val="both"/>
        <w:rPr>
          <w:lang w:eastAsia="en-NZ" w:bidi="en-US"/>
        </w:rPr>
      </w:pPr>
      <w:r w:rsidRPr="008C348E">
        <w:rPr>
          <w:rFonts w:cs="Arial"/>
        </w:rPr>
        <w:t>Since 2012 HWNZ have funded the NRA to co-ordinate the delivery of ACP training nationally.  The training programme consists of five levels and utilises</w:t>
      </w:r>
      <w:r w:rsidR="00747BE5" w:rsidRPr="008C348E">
        <w:rPr>
          <w:rFonts w:cs="Arial"/>
        </w:rPr>
        <w:t xml:space="preserve"> a ‘train-the-trainer’ approach. </w:t>
      </w:r>
      <w:r w:rsidR="00733EC7">
        <w:rPr>
          <w:rFonts w:cs="Arial"/>
        </w:rPr>
        <w:t>HWNZ</w:t>
      </w:r>
      <w:r w:rsidR="00747BE5">
        <w:rPr>
          <w:rFonts w:cs="Arial"/>
        </w:rPr>
        <w:t xml:space="preserve"> </w:t>
      </w:r>
      <w:r w:rsidR="000C1125">
        <w:rPr>
          <w:lang w:eastAsia="en-NZ" w:bidi="en-US"/>
        </w:rPr>
        <w:t xml:space="preserve">has provided funding of $350,000 to help support ACP training nationally. The funding is split between funding for further development of ACP training resources and infrastructure ($185,000) and funding for course workshop delivery ($165,000). </w:t>
      </w:r>
    </w:p>
    <w:p w:rsidR="00B505CD" w:rsidRPr="00973580" w:rsidRDefault="00AE5CFC" w:rsidP="00004292">
      <w:pPr>
        <w:overflowPunct w:val="0"/>
        <w:autoSpaceDE w:val="0"/>
        <w:autoSpaceDN w:val="0"/>
        <w:adjustRightInd w:val="0"/>
        <w:jc w:val="both"/>
        <w:rPr>
          <w:lang w:eastAsia="en-NZ" w:bidi="en-US"/>
        </w:rPr>
      </w:pPr>
      <w:r>
        <w:rPr>
          <w:rFonts w:cs="Arial"/>
        </w:rPr>
        <w:t>The current ACP training programme comprises of a suite of training options from basic training to advanced training. The current training suite comprises of 4 levels of training with 11 modules in total</w:t>
      </w:r>
      <w:r w:rsidR="00D56969">
        <w:rPr>
          <w:rFonts w:cs="Arial"/>
        </w:rPr>
        <w:t>, with modules 1</w:t>
      </w:r>
      <w:r w:rsidR="00004292">
        <w:rPr>
          <w:rFonts w:cs="Arial"/>
        </w:rPr>
        <w:t xml:space="preserve"> to </w:t>
      </w:r>
      <w:r w:rsidR="00D56969">
        <w:rPr>
          <w:rFonts w:cs="Arial"/>
        </w:rPr>
        <w:t>5 being online eLearning based modules</w:t>
      </w:r>
      <w:r>
        <w:rPr>
          <w:rFonts w:cs="Arial"/>
        </w:rPr>
        <w:t xml:space="preserve">. </w:t>
      </w:r>
      <w:r w:rsidR="00B505CD" w:rsidRPr="00973580">
        <w:rPr>
          <w:lang w:eastAsia="en-NZ" w:bidi="en-US"/>
        </w:rPr>
        <w:t>This external independent review was to gain insights</w:t>
      </w:r>
      <w:r w:rsidR="00747BE5">
        <w:rPr>
          <w:lang w:eastAsia="en-NZ" w:bidi="en-US"/>
        </w:rPr>
        <w:t xml:space="preserve"> into the </w:t>
      </w:r>
      <w:r w:rsidR="003353EB">
        <w:rPr>
          <w:lang w:eastAsia="en-NZ" w:bidi="en-US"/>
        </w:rPr>
        <w:t>Level 2</w:t>
      </w:r>
      <w:r w:rsidR="00747BE5">
        <w:rPr>
          <w:lang w:eastAsia="en-NZ" w:bidi="en-US"/>
        </w:rPr>
        <w:t xml:space="preserve"> ACP practitioner training programme </w:t>
      </w:r>
      <w:r>
        <w:rPr>
          <w:lang w:eastAsia="en-NZ" w:bidi="en-US"/>
        </w:rPr>
        <w:t xml:space="preserve">(modules 6 – 8) </w:t>
      </w:r>
      <w:r w:rsidR="00B505CD" w:rsidRPr="00973580">
        <w:rPr>
          <w:lang w:eastAsia="en-NZ" w:bidi="en-US"/>
        </w:rPr>
        <w:t>to assess:</w:t>
      </w:r>
    </w:p>
    <w:p w:rsidR="00747BE5" w:rsidRDefault="00747BE5" w:rsidP="00004292">
      <w:pPr>
        <w:pStyle w:val="Bodycopy"/>
        <w:numPr>
          <w:ilvl w:val="0"/>
          <w:numId w:val="16"/>
        </w:numPr>
        <w:rPr>
          <w:lang w:eastAsia="en-NZ" w:bidi="en-US"/>
        </w:rPr>
      </w:pPr>
      <w:r>
        <w:rPr>
          <w:lang w:eastAsia="en-NZ" w:bidi="en-US"/>
        </w:rPr>
        <w:t xml:space="preserve">Effectiveness of the </w:t>
      </w:r>
      <w:r w:rsidR="003353EB">
        <w:rPr>
          <w:lang w:eastAsia="en-NZ" w:bidi="en-US"/>
        </w:rPr>
        <w:t>Level 2</w:t>
      </w:r>
      <w:r>
        <w:rPr>
          <w:lang w:eastAsia="en-NZ" w:bidi="en-US"/>
        </w:rPr>
        <w:t xml:space="preserve"> practitioner training including any barriers to participation;</w:t>
      </w:r>
    </w:p>
    <w:p w:rsidR="00747BE5" w:rsidRDefault="00747BE5" w:rsidP="00004292">
      <w:pPr>
        <w:pStyle w:val="Bodycopy"/>
        <w:numPr>
          <w:ilvl w:val="0"/>
          <w:numId w:val="16"/>
        </w:numPr>
        <w:rPr>
          <w:lang w:eastAsia="en-NZ" w:bidi="en-US"/>
        </w:rPr>
      </w:pPr>
      <w:r>
        <w:rPr>
          <w:lang w:eastAsia="en-NZ" w:bidi="en-US"/>
        </w:rPr>
        <w:t>Practitioner confidence levels pre and post training; and</w:t>
      </w:r>
    </w:p>
    <w:p w:rsidR="00747BE5" w:rsidRDefault="00747BE5" w:rsidP="00004292">
      <w:pPr>
        <w:pStyle w:val="Bodycopy"/>
        <w:numPr>
          <w:ilvl w:val="0"/>
          <w:numId w:val="16"/>
        </w:numPr>
        <w:rPr>
          <w:lang w:eastAsia="en-NZ" w:bidi="en-US"/>
        </w:rPr>
      </w:pPr>
      <w:r>
        <w:rPr>
          <w:lang w:eastAsia="en-NZ" w:bidi="en-US"/>
        </w:rPr>
        <w:t>On-going changed behaviours in delegates who have attended the training;</w:t>
      </w:r>
    </w:p>
    <w:p w:rsidR="00BC1116" w:rsidRPr="006D299C" w:rsidRDefault="00755CE1" w:rsidP="00BC1116">
      <w:pPr>
        <w:rPr>
          <w:lang w:eastAsia="en-NZ" w:bidi="en-US"/>
        </w:rPr>
      </w:pPr>
      <w:r>
        <w:rPr>
          <w:lang w:eastAsia="en-NZ" w:bidi="en-US"/>
        </w:rPr>
        <w:t xml:space="preserve">In doing so </w:t>
      </w:r>
      <w:r w:rsidR="00B505CD" w:rsidRPr="00973580">
        <w:rPr>
          <w:lang w:eastAsia="en-NZ" w:bidi="en-US"/>
        </w:rPr>
        <w:t>we sought to assess the effectiveness, sustainability and value for money</w:t>
      </w:r>
      <w:r w:rsidR="00747BE5">
        <w:rPr>
          <w:lang w:eastAsia="en-NZ" w:bidi="en-US"/>
        </w:rPr>
        <w:t xml:space="preserve"> for any future funding</w:t>
      </w:r>
      <w:r w:rsidR="00B505CD" w:rsidRPr="00973580">
        <w:rPr>
          <w:lang w:eastAsia="en-NZ" w:bidi="en-US"/>
        </w:rPr>
        <w:t>.</w:t>
      </w:r>
    </w:p>
    <w:p w:rsidR="00BC1116" w:rsidRDefault="004B02FA" w:rsidP="004B02FA">
      <w:pPr>
        <w:pStyle w:val="APageheading-numbered"/>
        <w:spacing w:after="800"/>
        <w:rPr>
          <w:lang w:eastAsia="en-NZ"/>
        </w:rPr>
      </w:pPr>
      <w:bookmarkStart w:id="22" w:name="_Toc412729766"/>
      <w:r>
        <w:rPr>
          <w:lang w:eastAsia="en-NZ"/>
        </w:rPr>
        <w:lastRenderedPageBreak/>
        <w:t>Methodology</w:t>
      </w:r>
      <w:bookmarkEnd w:id="22"/>
    </w:p>
    <w:p w:rsidR="001B378F" w:rsidRDefault="001B378F" w:rsidP="008C348E">
      <w:pPr>
        <w:tabs>
          <w:tab w:val="left" w:pos="720"/>
        </w:tabs>
        <w:rPr>
          <w:lang w:eastAsia="en-NZ" w:bidi="en-US"/>
        </w:rPr>
      </w:pPr>
      <w:r w:rsidRPr="00F56474">
        <w:t xml:space="preserve">The key steps that were undertaken in our review of the </w:t>
      </w:r>
      <w:r w:rsidR="003353EB">
        <w:t>Level 2</w:t>
      </w:r>
      <w:r>
        <w:t xml:space="preserve"> ACP practitioner training programme </w:t>
      </w:r>
      <w:r w:rsidRPr="00F56474">
        <w:t>are:</w:t>
      </w:r>
    </w:p>
    <w:p w:rsidR="001B378F" w:rsidRPr="008A6153" w:rsidRDefault="001B378F" w:rsidP="008C348E">
      <w:pPr>
        <w:pStyle w:val="BnumberedSubheadingL2-DeloitteBlue"/>
        <w:spacing w:line="280" w:lineRule="atLeast"/>
        <w:rPr>
          <w:lang w:eastAsia="en-NZ" w:bidi="en-US"/>
        </w:rPr>
      </w:pPr>
      <w:r>
        <w:rPr>
          <w:lang w:eastAsia="en-NZ" w:bidi="en-US"/>
        </w:rPr>
        <w:t xml:space="preserve">Effectiveness of </w:t>
      </w:r>
      <w:r w:rsidR="003353EB">
        <w:rPr>
          <w:lang w:eastAsia="en-NZ" w:bidi="en-US"/>
        </w:rPr>
        <w:t>Level 2</w:t>
      </w:r>
      <w:r>
        <w:rPr>
          <w:lang w:eastAsia="en-NZ" w:bidi="en-US"/>
        </w:rPr>
        <w:t xml:space="preserve"> </w:t>
      </w:r>
      <w:r w:rsidR="005636F2">
        <w:rPr>
          <w:lang w:eastAsia="en-NZ" w:bidi="en-US"/>
        </w:rPr>
        <w:t>practitioner</w:t>
      </w:r>
      <w:r>
        <w:rPr>
          <w:lang w:eastAsia="en-NZ" w:bidi="en-US"/>
        </w:rPr>
        <w:t xml:space="preserve"> training</w:t>
      </w:r>
    </w:p>
    <w:p w:rsidR="001B378F" w:rsidRDefault="001B378F" w:rsidP="005636F2">
      <w:pPr>
        <w:pStyle w:val="Bodycopy"/>
        <w:rPr>
          <w:lang w:eastAsia="en-NZ" w:bidi="en-US"/>
        </w:rPr>
      </w:pPr>
      <w:r>
        <w:rPr>
          <w:lang w:eastAsia="en-NZ" w:bidi="en-US"/>
        </w:rPr>
        <w:t xml:space="preserve">We assessed effectiveness of the </w:t>
      </w:r>
      <w:r w:rsidR="003353EB">
        <w:rPr>
          <w:lang w:eastAsia="en-NZ" w:bidi="en-US"/>
        </w:rPr>
        <w:t>Level 2</w:t>
      </w:r>
      <w:r>
        <w:rPr>
          <w:lang w:eastAsia="en-NZ" w:bidi="en-US"/>
        </w:rPr>
        <w:t xml:space="preserve"> training programme through:</w:t>
      </w:r>
    </w:p>
    <w:p w:rsidR="001B378F" w:rsidRDefault="001B378F" w:rsidP="00004292">
      <w:pPr>
        <w:pStyle w:val="Bodycopy"/>
        <w:numPr>
          <w:ilvl w:val="0"/>
          <w:numId w:val="16"/>
        </w:numPr>
        <w:rPr>
          <w:lang w:eastAsia="en-NZ" w:bidi="en-US"/>
        </w:rPr>
      </w:pPr>
      <w:r>
        <w:rPr>
          <w:lang w:eastAsia="en-NZ" w:bidi="en-US"/>
        </w:rPr>
        <w:t xml:space="preserve">Review of 2014 quarterly ACP reporting to identify uptake levels of </w:t>
      </w:r>
      <w:r w:rsidR="003353EB">
        <w:rPr>
          <w:lang w:eastAsia="en-NZ" w:bidi="en-US"/>
        </w:rPr>
        <w:t>Level 2</w:t>
      </w:r>
      <w:r>
        <w:rPr>
          <w:lang w:eastAsia="en-NZ" w:bidi="en-US"/>
        </w:rPr>
        <w:t xml:space="preserve"> ACP training nationally between the </w:t>
      </w:r>
      <w:r w:rsidR="00E852F6">
        <w:rPr>
          <w:lang w:eastAsia="en-NZ" w:bidi="en-US"/>
        </w:rPr>
        <w:t xml:space="preserve">Northern, Midland, Central  and Southern </w:t>
      </w:r>
      <w:r>
        <w:rPr>
          <w:lang w:eastAsia="en-NZ" w:bidi="en-US"/>
        </w:rPr>
        <w:t>geographic regions;</w:t>
      </w:r>
    </w:p>
    <w:p w:rsidR="001B378F" w:rsidRDefault="001B378F" w:rsidP="00004292">
      <w:pPr>
        <w:pStyle w:val="Bodycopy"/>
        <w:numPr>
          <w:ilvl w:val="0"/>
          <w:numId w:val="16"/>
        </w:numPr>
        <w:rPr>
          <w:lang w:eastAsia="en-NZ" w:bidi="en-US"/>
        </w:rPr>
      </w:pPr>
      <w:r>
        <w:rPr>
          <w:lang w:eastAsia="en-NZ" w:bidi="en-US"/>
        </w:rPr>
        <w:t xml:space="preserve">Interviewed regional ACP training coordinators </w:t>
      </w:r>
      <w:r w:rsidR="005636F2">
        <w:rPr>
          <w:lang w:eastAsia="en-NZ" w:bidi="en-US"/>
        </w:rPr>
        <w:t xml:space="preserve">and other stakeholders </w:t>
      </w:r>
      <w:r>
        <w:rPr>
          <w:lang w:eastAsia="en-NZ" w:bidi="en-US"/>
        </w:rPr>
        <w:t xml:space="preserve">to identify differences in training uptake levels to identify any barriers to training; </w:t>
      </w:r>
      <w:r w:rsidR="005636F2">
        <w:rPr>
          <w:lang w:eastAsia="en-NZ" w:bidi="en-US"/>
        </w:rPr>
        <w:t>and</w:t>
      </w:r>
    </w:p>
    <w:p w:rsidR="001B378F" w:rsidRDefault="005636F2" w:rsidP="00004292">
      <w:pPr>
        <w:pStyle w:val="Bodycopy"/>
        <w:numPr>
          <w:ilvl w:val="0"/>
          <w:numId w:val="16"/>
        </w:numPr>
        <w:rPr>
          <w:lang w:eastAsia="en-NZ" w:bidi="en-US"/>
        </w:rPr>
      </w:pPr>
      <w:r>
        <w:rPr>
          <w:lang w:eastAsia="en-NZ" w:bidi="en-US"/>
        </w:rPr>
        <w:t xml:space="preserve">Performed a survey of ACP practitioners who have received </w:t>
      </w:r>
      <w:r w:rsidR="003353EB">
        <w:rPr>
          <w:lang w:eastAsia="en-NZ" w:bidi="en-US"/>
        </w:rPr>
        <w:t>Level 2</w:t>
      </w:r>
      <w:r>
        <w:rPr>
          <w:lang w:eastAsia="en-NZ" w:bidi="en-US"/>
        </w:rPr>
        <w:t xml:space="preserve"> training</w:t>
      </w:r>
      <w:r w:rsidR="00965CFC">
        <w:rPr>
          <w:lang w:eastAsia="en-NZ" w:bidi="en-US"/>
        </w:rPr>
        <w:t xml:space="preserve"> to further identify effectiveness of training from a practitioner perspective</w:t>
      </w:r>
      <w:r>
        <w:rPr>
          <w:lang w:eastAsia="en-NZ" w:bidi="en-US"/>
        </w:rPr>
        <w:t xml:space="preserve">. </w:t>
      </w:r>
    </w:p>
    <w:p w:rsidR="005636F2" w:rsidRPr="008A6153" w:rsidRDefault="005636F2" w:rsidP="008C348E">
      <w:pPr>
        <w:pStyle w:val="BnumberedSubheadingL2-DeloitteBlue"/>
        <w:spacing w:line="280" w:lineRule="atLeast"/>
        <w:rPr>
          <w:lang w:eastAsia="en-NZ" w:bidi="en-US"/>
        </w:rPr>
      </w:pPr>
      <w:r>
        <w:rPr>
          <w:lang w:eastAsia="en-NZ" w:bidi="en-US"/>
        </w:rPr>
        <w:t xml:space="preserve">Practitioner confidence levels pre and post training </w:t>
      </w:r>
    </w:p>
    <w:p w:rsidR="005636F2" w:rsidRDefault="005636F2" w:rsidP="005636F2">
      <w:pPr>
        <w:pStyle w:val="Bodycopy"/>
        <w:rPr>
          <w:lang w:eastAsia="en-NZ" w:bidi="en-US"/>
        </w:rPr>
      </w:pPr>
      <w:r>
        <w:rPr>
          <w:lang w:eastAsia="en-NZ" w:bidi="en-US"/>
        </w:rPr>
        <w:t>Practitioner confidence levels pre and post training has been assessed through:</w:t>
      </w:r>
    </w:p>
    <w:p w:rsidR="005636F2" w:rsidRDefault="005636F2" w:rsidP="00004292">
      <w:pPr>
        <w:pStyle w:val="Bodycopy"/>
        <w:numPr>
          <w:ilvl w:val="0"/>
          <w:numId w:val="16"/>
        </w:numPr>
        <w:rPr>
          <w:lang w:eastAsia="en-NZ" w:bidi="en-US"/>
        </w:rPr>
      </w:pPr>
      <w:r>
        <w:rPr>
          <w:lang w:eastAsia="en-NZ" w:bidi="en-US"/>
        </w:rPr>
        <w:t>Surveying ACP practitioners who have received training between November 2013 and September 2014; and</w:t>
      </w:r>
    </w:p>
    <w:p w:rsidR="005636F2" w:rsidRDefault="005636F2" w:rsidP="00004292">
      <w:pPr>
        <w:pStyle w:val="Bodycopy"/>
        <w:numPr>
          <w:ilvl w:val="0"/>
          <w:numId w:val="16"/>
        </w:numPr>
        <w:rPr>
          <w:lang w:eastAsia="en-NZ" w:bidi="en-US"/>
        </w:rPr>
      </w:pPr>
      <w:r>
        <w:rPr>
          <w:lang w:eastAsia="en-NZ" w:bidi="en-US"/>
        </w:rPr>
        <w:t xml:space="preserve"> Assessing confidence data held with NRA</w:t>
      </w:r>
      <w:r w:rsidR="00965CFC">
        <w:rPr>
          <w:lang w:eastAsia="en-NZ" w:bidi="en-US"/>
        </w:rPr>
        <w:t xml:space="preserve"> pre and post </w:t>
      </w:r>
      <w:r w:rsidR="003353EB">
        <w:rPr>
          <w:lang w:eastAsia="en-NZ" w:bidi="en-US"/>
        </w:rPr>
        <w:t>Level 2</w:t>
      </w:r>
      <w:r w:rsidR="00965CFC">
        <w:rPr>
          <w:lang w:eastAsia="en-NZ" w:bidi="en-US"/>
        </w:rPr>
        <w:t xml:space="preserve"> training</w:t>
      </w:r>
      <w:r>
        <w:rPr>
          <w:lang w:eastAsia="en-NZ" w:bidi="en-US"/>
        </w:rPr>
        <w:t>.</w:t>
      </w:r>
    </w:p>
    <w:p w:rsidR="005636F2" w:rsidRPr="008A6153" w:rsidRDefault="005636F2" w:rsidP="008C348E">
      <w:pPr>
        <w:pStyle w:val="BnumberedSubheadingL2-DeloitteBlue"/>
        <w:spacing w:line="280" w:lineRule="atLeast"/>
        <w:rPr>
          <w:lang w:eastAsia="en-NZ" w:bidi="en-US"/>
        </w:rPr>
      </w:pPr>
      <w:r>
        <w:rPr>
          <w:lang w:eastAsia="en-NZ" w:bidi="en-US"/>
        </w:rPr>
        <w:t xml:space="preserve">On-going changed behaviours in ACP </w:t>
      </w:r>
      <w:r w:rsidR="00733EC7">
        <w:rPr>
          <w:lang w:eastAsia="en-NZ" w:bidi="en-US"/>
        </w:rPr>
        <w:t>practitioners</w:t>
      </w:r>
      <w:r>
        <w:rPr>
          <w:lang w:eastAsia="en-NZ" w:bidi="en-US"/>
        </w:rPr>
        <w:t xml:space="preserve"> who have received </w:t>
      </w:r>
      <w:r w:rsidR="003353EB">
        <w:rPr>
          <w:lang w:eastAsia="en-NZ" w:bidi="en-US"/>
        </w:rPr>
        <w:t>Level 2</w:t>
      </w:r>
      <w:r>
        <w:rPr>
          <w:lang w:eastAsia="en-NZ" w:bidi="en-US"/>
        </w:rPr>
        <w:t xml:space="preserve"> training </w:t>
      </w:r>
    </w:p>
    <w:p w:rsidR="005636F2" w:rsidRDefault="005636F2" w:rsidP="005636F2">
      <w:pPr>
        <w:pStyle w:val="Bodycopy"/>
        <w:rPr>
          <w:lang w:eastAsia="en-NZ" w:bidi="en-US"/>
        </w:rPr>
      </w:pPr>
      <w:r>
        <w:rPr>
          <w:lang w:eastAsia="en-NZ" w:bidi="en-US"/>
        </w:rPr>
        <w:t xml:space="preserve">On-going changed behaviours </w:t>
      </w:r>
      <w:r w:rsidR="00DD39FB">
        <w:rPr>
          <w:lang w:eastAsia="en-NZ" w:bidi="en-US"/>
        </w:rPr>
        <w:t>have</w:t>
      </w:r>
      <w:r>
        <w:rPr>
          <w:lang w:eastAsia="en-NZ" w:bidi="en-US"/>
        </w:rPr>
        <w:t xml:space="preserve"> been assessed through:</w:t>
      </w:r>
    </w:p>
    <w:p w:rsidR="005636F2" w:rsidRDefault="005636F2" w:rsidP="00004292">
      <w:pPr>
        <w:pStyle w:val="Bodycopy"/>
        <w:numPr>
          <w:ilvl w:val="0"/>
          <w:numId w:val="16"/>
        </w:numPr>
        <w:rPr>
          <w:lang w:eastAsia="en-NZ" w:bidi="en-US"/>
        </w:rPr>
      </w:pPr>
      <w:r>
        <w:rPr>
          <w:lang w:eastAsia="en-NZ" w:bidi="en-US"/>
        </w:rPr>
        <w:t xml:space="preserve">Surveying ACP practitioners who have received training between November 2013 and September 2014 to identify changed </w:t>
      </w:r>
      <w:r w:rsidR="00733EC7">
        <w:rPr>
          <w:lang w:eastAsia="en-NZ" w:bidi="en-US"/>
        </w:rPr>
        <w:t>behaviours</w:t>
      </w:r>
      <w:r>
        <w:rPr>
          <w:lang w:eastAsia="en-NZ" w:bidi="en-US"/>
        </w:rPr>
        <w:t>;</w:t>
      </w:r>
      <w:r w:rsidR="00751E1C">
        <w:rPr>
          <w:lang w:eastAsia="en-NZ" w:bidi="en-US"/>
        </w:rPr>
        <w:t xml:space="preserve"> and</w:t>
      </w:r>
    </w:p>
    <w:p w:rsidR="005636F2" w:rsidRDefault="005636F2" w:rsidP="00004292">
      <w:pPr>
        <w:pStyle w:val="Bodycopy"/>
        <w:numPr>
          <w:ilvl w:val="0"/>
          <w:numId w:val="16"/>
        </w:numPr>
        <w:rPr>
          <w:lang w:eastAsia="en-NZ" w:bidi="en-US"/>
        </w:rPr>
      </w:pPr>
      <w:r>
        <w:rPr>
          <w:lang w:eastAsia="en-NZ" w:bidi="en-US"/>
        </w:rPr>
        <w:t xml:space="preserve">Identifying </w:t>
      </w:r>
      <w:r w:rsidR="00751E1C">
        <w:rPr>
          <w:lang w:eastAsia="en-NZ" w:bidi="en-US"/>
        </w:rPr>
        <w:t>any barriers to practicing ACP</w:t>
      </w:r>
      <w:r w:rsidR="003353EB">
        <w:rPr>
          <w:lang w:eastAsia="en-NZ" w:bidi="en-US"/>
        </w:rPr>
        <w:t xml:space="preserve">. </w:t>
      </w:r>
      <w:r>
        <w:rPr>
          <w:lang w:eastAsia="en-NZ" w:bidi="en-US"/>
        </w:rPr>
        <w:t xml:space="preserve"> </w:t>
      </w:r>
    </w:p>
    <w:p w:rsidR="005636F2" w:rsidRPr="008A6153" w:rsidRDefault="006C2874" w:rsidP="008C348E">
      <w:pPr>
        <w:pStyle w:val="BnumberedSubheadingL2-DeloitteBlue"/>
        <w:spacing w:line="280" w:lineRule="atLeast"/>
        <w:rPr>
          <w:lang w:eastAsia="en-NZ" w:bidi="en-US"/>
        </w:rPr>
      </w:pPr>
      <w:r>
        <w:rPr>
          <w:lang w:eastAsia="en-NZ" w:bidi="en-US"/>
        </w:rPr>
        <w:lastRenderedPageBreak/>
        <w:t>Sustainability, and val</w:t>
      </w:r>
      <w:r w:rsidR="005636F2">
        <w:rPr>
          <w:lang w:eastAsia="en-NZ" w:bidi="en-US"/>
        </w:rPr>
        <w:t xml:space="preserve">ue for money of funding </w:t>
      </w:r>
      <w:r w:rsidR="00965CFC">
        <w:rPr>
          <w:lang w:eastAsia="en-NZ" w:bidi="en-US"/>
        </w:rPr>
        <w:t>received</w:t>
      </w:r>
      <w:r w:rsidR="005636F2">
        <w:rPr>
          <w:lang w:eastAsia="en-NZ" w:bidi="en-US"/>
        </w:rPr>
        <w:t xml:space="preserve"> </w:t>
      </w:r>
    </w:p>
    <w:p w:rsidR="00DD39FB" w:rsidRDefault="00AE5CFC" w:rsidP="005636F2">
      <w:pPr>
        <w:pStyle w:val="Bodycopy"/>
        <w:rPr>
          <w:lang w:eastAsia="en-NZ" w:bidi="en-US"/>
        </w:rPr>
      </w:pPr>
      <w:r>
        <w:rPr>
          <w:lang w:eastAsia="en-NZ" w:bidi="en-US"/>
        </w:rPr>
        <w:t xml:space="preserve">Our primary objective of the Level 2 ACP programme review was to assess the financial sustainability of the programme, and the value for money that HWNZ received for funding that has been provided for the Level 2 ACP programme.  </w:t>
      </w:r>
      <w:r w:rsidR="005636F2">
        <w:rPr>
          <w:lang w:eastAsia="en-NZ" w:bidi="en-US"/>
        </w:rPr>
        <w:t xml:space="preserve">From the findings of </w:t>
      </w:r>
      <w:r w:rsidR="006C2874">
        <w:rPr>
          <w:lang w:eastAsia="en-NZ" w:bidi="en-US"/>
        </w:rPr>
        <w:t xml:space="preserve">assessing the effectiveness of </w:t>
      </w:r>
      <w:r w:rsidR="003353EB">
        <w:rPr>
          <w:lang w:eastAsia="en-NZ" w:bidi="en-US"/>
        </w:rPr>
        <w:t>Level 2</w:t>
      </w:r>
      <w:r w:rsidR="006C2874">
        <w:rPr>
          <w:lang w:eastAsia="en-NZ" w:bidi="en-US"/>
        </w:rPr>
        <w:t xml:space="preserve"> training, ACP practitioner confidence levels, and on-going changed behaviours in practitioners who have received training </w:t>
      </w:r>
      <w:r w:rsidR="00DD39FB">
        <w:rPr>
          <w:lang w:eastAsia="en-NZ" w:bidi="en-US"/>
        </w:rPr>
        <w:t xml:space="preserve">we reviewed the financial results of the ACP training programme against the </w:t>
      </w:r>
      <w:r w:rsidR="00733EC7">
        <w:rPr>
          <w:lang w:eastAsia="en-NZ" w:bidi="en-US"/>
        </w:rPr>
        <w:t>HWNZ</w:t>
      </w:r>
      <w:r w:rsidR="00DD39FB">
        <w:rPr>
          <w:lang w:eastAsia="en-NZ" w:bidi="en-US"/>
        </w:rPr>
        <w:t xml:space="preserve"> contractual requirements. We also assessed the underlying costs for training taking into </w:t>
      </w:r>
      <w:r w:rsidR="00755CE1">
        <w:rPr>
          <w:lang w:eastAsia="en-NZ" w:bidi="en-US"/>
        </w:rPr>
        <w:t xml:space="preserve">account </w:t>
      </w:r>
      <w:r w:rsidR="00DD39FB">
        <w:rPr>
          <w:lang w:eastAsia="en-NZ" w:bidi="en-US"/>
        </w:rPr>
        <w:t>the financial constraints faced by the public health sector</w:t>
      </w:r>
      <w:r w:rsidR="00EA0D9D">
        <w:rPr>
          <w:lang w:eastAsia="en-NZ" w:bidi="en-US"/>
        </w:rPr>
        <w:t xml:space="preserve"> to form a view on the overall sustainability and value for money on funding received. </w:t>
      </w:r>
    </w:p>
    <w:p w:rsidR="004B02FA" w:rsidRPr="00BA365F" w:rsidRDefault="00AF454D" w:rsidP="00DD39FB">
      <w:pPr>
        <w:rPr>
          <w:lang w:eastAsia="en-NZ" w:bidi="en-US"/>
        </w:rPr>
      </w:pPr>
      <w:r>
        <w:rPr>
          <w:lang w:eastAsia="en-NZ" w:bidi="en-US"/>
        </w:rPr>
        <w:t xml:space="preserve"> </w:t>
      </w:r>
    </w:p>
    <w:p w:rsidR="006D299C" w:rsidRPr="008A6153" w:rsidRDefault="004B02FA" w:rsidP="004B02FA">
      <w:pPr>
        <w:pStyle w:val="APageheading-numbered"/>
        <w:spacing w:after="800"/>
        <w:rPr>
          <w:lang w:eastAsia="en-NZ"/>
        </w:rPr>
      </w:pPr>
      <w:bookmarkStart w:id="23" w:name="_Toc412729767"/>
      <w:r>
        <w:rPr>
          <w:lang w:eastAsia="en-NZ"/>
        </w:rPr>
        <w:lastRenderedPageBreak/>
        <w:t>Review Find</w:t>
      </w:r>
      <w:r w:rsidRPr="008A6153">
        <w:rPr>
          <w:lang w:eastAsia="en-NZ"/>
        </w:rPr>
        <w:t>ings</w:t>
      </w:r>
      <w:bookmarkEnd w:id="23"/>
    </w:p>
    <w:p w:rsidR="004B02FA" w:rsidRPr="008A6153" w:rsidRDefault="00544D1B" w:rsidP="006D299C">
      <w:pPr>
        <w:pStyle w:val="BnumberedSubheadingL2-DeloitteBlue"/>
        <w:rPr>
          <w:lang w:eastAsia="en-NZ" w:bidi="en-US"/>
        </w:rPr>
      </w:pPr>
      <w:r>
        <w:rPr>
          <w:lang w:eastAsia="en-NZ" w:bidi="en-US"/>
        </w:rPr>
        <w:t xml:space="preserve">Effectiveness of </w:t>
      </w:r>
      <w:r w:rsidR="003353EB">
        <w:rPr>
          <w:lang w:eastAsia="en-NZ" w:bidi="en-US"/>
        </w:rPr>
        <w:t>Level 2</w:t>
      </w:r>
      <w:r>
        <w:rPr>
          <w:lang w:eastAsia="en-NZ" w:bidi="en-US"/>
        </w:rPr>
        <w:t xml:space="preserve"> ACP training programme</w:t>
      </w:r>
    </w:p>
    <w:p w:rsidR="00544D1B" w:rsidRDefault="00544D1B" w:rsidP="00EA2D42">
      <w:pPr>
        <w:pStyle w:val="Bodycopy"/>
        <w:rPr>
          <w:lang w:eastAsia="en-NZ" w:bidi="en-US"/>
        </w:rPr>
      </w:pPr>
      <w:r>
        <w:rPr>
          <w:lang w:eastAsia="en-NZ" w:bidi="en-US"/>
        </w:rPr>
        <w:t xml:space="preserve">The current </w:t>
      </w:r>
      <w:r w:rsidR="003353EB">
        <w:rPr>
          <w:lang w:eastAsia="en-NZ" w:bidi="en-US"/>
        </w:rPr>
        <w:t>Level 2</w:t>
      </w:r>
      <w:r>
        <w:rPr>
          <w:lang w:eastAsia="en-NZ" w:bidi="en-US"/>
        </w:rPr>
        <w:t xml:space="preserve"> ACP practitioner trai</w:t>
      </w:r>
      <w:r w:rsidR="00573D60">
        <w:rPr>
          <w:lang w:eastAsia="en-NZ" w:bidi="en-US"/>
        </w:rPr>
        <w:t>ning is delivered over 2.5 days with the training delivery being primarily through the use of professional actors in role playing scenarios. The course minimum and maximum numbers is 10 participants per course due to each training group being split into 2 smaller groups to facilitate role pla</w:t>
      </w:r>
      <w:r w:rsidR="00755CE1">
        <w:rPr>
          <w:lang w:eastAsia="en-NZ" w:bidi="en-US"/>
        </w:rPr>
        <w:t>y</w:t>
      </w:r>
      <w:r w:rsidR="00573D60">
        <w:rPr>
          <w:lang w:eastAsia="en-NZ" w:bidi="en-US"/>
        </w:rPr>
        <w:t xml:space="preserve">ing scenarios. The </w:t>
      </w:r>
      <w:r w:rsidR="00733EC7">
        <w:rPr>
          <w:lang w:eastAsia="en-NZ" w:bidi="en-US"/>
        </w:rPr>
        <w:t>HWNZ</w:t>
      </w:r>
      <w:r w:rsidR="00573D60">
        <w:rPr>
          <w:lang w:eastAsia="en-NZ" w:bidi="en-US"/>
        </w:rPr>
        <w:t xml:space="preserve"> course subsidy amounts to $1,100 per attendee, with an additional cost to the attendee (or their employer) of $900. The unsubsidised cost per attendee is $2,000. </w:t>
      </w:r>
    </w:p>
    <w:p w:rsidR="00A7469B" w:rsidRDefault="00A7469B" w:rsidP="00EA2D42">
      <w:pPr>
        <w:pStyle w:val="Bodycopy"/>
        <w:rPr>
          <w:lang w:eastAsia="en-NZ" w:bidi="en-US"/>
        </w:rPr>
      </w:pPr>
      <w:r>
        <w:rPr>
          <w:lang w:eastAsia="en-NZ" w:bidi="en-US"/>
        </w:rPr>
        <w:t xml:space="preserve">Nationally the uptake levels of the </w:t>
      </w:r>
      <w:r w:rsidR="003353EB">
        <w:rPr>
          <w:lang w:eastAsia="en-NZ" w:bidi="en-US"/>
        </w:rPr>
        <w:t>Level 2</w:t>
      </w:r>
      <w:r>
        <w:rPr>
          <w:lang w:eastAsia="en-NZ" w:bidi="en-US"/>
        </w:rPr>
        <w:t xml:space="preserve"> training course </w:t>
      </w:r>
      <w:r w:rsidR="00755CE1">
        <w:rPr>
          <w:lang w:eastAsia="en-NZ" w:bidi="en-US"/>
        </w:rPr>
        <w:t xml:space="preserve">varies </w:t>
      </w:r>
      <w:r>
        <w:rPr>
          <w:lang w:eastAsia="en-NZ" w:bidi="en-US"/>
        </w:rPr>
        <w:t xml:space="preserve">across the </w:t>
      </w:r>
      <w:r w:rsidR="00E852F6">
        <w:rPr>
          <w:lang w:eastAsia="en-NZ" w:bidi="en-US"/>
        </w:rPr>
        <w:t xml:space="preserve">Northern, Midland, </w:t>
      </w:r>
      <w:proofErr w:type="gramStart"/>
      <w:r w:rsidR="00E852F6">
        <w:rPr>
          <w:lang w:eastAsia="en-NZ" w:bidi="en-US"/>
        </w:rPr>
        <w:t>Central  and</w:t>
      </w:r>
      <w:proofErr w:type="gramEnd"/>
      <w:r w:rsidR="00E852F6">
        <w:rPr>
          <w:lang w:eastAsia="en-NZ" w:bidi="en-US"/>
        </w:rPr>
        <w:t xml:space="preserve"> Southern </w:t>
      </w:r>
      <w:r>
        <w:rPr>
          <w:lang w:eastAsia="en-NZ" w:bidi="en-US"/>
        </w:rPr>
        <w:t xml:space="preserve">geographic regions. </w:t>
      </w:r>
      <w:r w:rsidR="00201396">
        <w:rPr>
          <w:lang w:eastAsia="en-NZ" w:bidi="en-US"/>
        </w:rPr>
        <w:t xml:space="preserve">The table below shows the number of delegates who have attended the </w:t>
      </w:r>
      <w:r w:rsidR="003353EB">
        <w:rPr>
          <w:lang w:eastAsia="en-NZ" w:bidi="en-US"/>
        </w:rPr>
        <w:t>Level 2</w:t>
      </w:r>
      <w:r w:rsidR="00201396">
        <w:rPr>
          <w:lang w:eastAsia="en-NZ" w:bidi="en-US"/>
        </w:rPr>
        <w:t xml:space="preserve"> ACP training programme between November 2013 and August 2014:</w:t>
      </w:r>
    </w:p>
    <w:tbl>
      <w:tblPr>
        <w:tblStyle w:val="DeloitteTable-Blue"/>
        <w:tblW w:w="0" w:type="auto"/>
        <w:tblLook w:val="04A0" w:firstRow="1" w:lastRow="0" w:firstColumn="1" w:lastColumn="0" w:noHBand="0" w:noVBand="1"/>
      </w:tblPr>
      <w:tblGrid>
        <w:gridCol w:w="1847"/>
        <w:gridCol w:w="1847"/>
        <w:gridCol w:w="1847"/>
        <w:gridCol w:w="1847"/>
        <w:gridCol w:w="1847"/>
      </w:tblGrid>
      <w:tr w:rsidR="003353EB" w:rsidRPr="005D5FD2" w:rsidTr="008C348E">
        <w:trPr>
          <w:cnfStyle w:val="100000000000" w:firstRow="1" w:lastRow="0" w:firstColumn="0" w:lastColumn="0" w:oddVBand="0" w:evenVBand="0" w:oddHBand="0" w:evenHBand="0" w:firstRowFirstColumn="0" w:firstRowLastColumn="0" w:lastRowFirstColumn="0" w:lastRowLastColumn="0"/>
        </w:trPr>
        <w:tc>
          <w:tcPr>
            <w:tcW w:w="1847" w:type="dxa"/>
          </w:tcPr>
          <w:p w:rsidR="00201396" w:rsidRPr="005D5FD2" w:rsidRDefault="00201396" w:rsidP="00EA2D42">
            <w:pPr>
              <w:pStyle w:val="Bodycopy"/>
              <w:rPr>
                <w:color w:val="FFFFFF" w:themeColor="background1"/>
                <w:lang w:eastAsia="en-NZ" w:bidi="en-US"/>
              </w:rPr>
            </w:pPr>
          </w:p>
        </w:tc>
        <w:tc>
          <w:tcPr>
            <w:tcW w:w="1847" w:type="dxa"/>
          </w:tcPr>
          <w:p w:rsidR="00201396" w:rsidRPr="005D5FD2" w:rsidRDefault="0058590C" w:rsidP="008C348E">
            <w:pPr>
              <w:pStyle w:val="Bodycopy"/>
              <w:jc w:val="right"/>
              <w:rPr>
                <w:color w:val="FFFFFF" w:themeColor="background1"/>
                <w:lang w:eastAsia="en-NZ" w:bidi="en-US"/>
              </w:rPr>
            </w:pPr>
            <w:r w:rsidRPr="005D5FD2">
              <w:rPr>
                <w:color w:val="FFFFFF" w:themeColor="background1"/>
                <w:lang w:eastAsia="en-NZ" w:bidi="en-US"/>
              </w:rPr>
              <w:t>Northern</w:t>
            </w:r>
          </w:p>
        </w:tc>
        <w:tc>
          <w:tcPr>
            <w:tcW w:w="1847" w:type="dxa"/>
          </w:tcPr>
          <w:p w:rsidR="00201396" w:rsidRPr="005D5FD2" w:rsidRDefault="0058590C" w:rsidP="008C348E">
            <w:pPr>
              <w:pStyle w:val="Bodycopy"/>
              <w:jc w:val="right"/>
              <w:rPr>
                <w:color w:val="FFFFFF" w:themeColor="background1"/>
                <w:lang w:eastAsia="en-NZ" w:bidi="en-US"/>
              </w:rPr>
            </w:pPr>
            <w:r w:rsidRPr="005D5FD2">
              <w:rPr>
                <w:color w:val="FFFFFF" w:themeColor="background1"/>
                <w:lang w:eastAsia="en-NZ" w:bidi="en-US"/>
              </w:rPr>
              <w:t>South</w:t>
            </w:r>
          </w:p>
        </w:tc>
        <w:tc>
          <w:tcPr>
            <w:tcW w:w="1847" w:type="dxa"/>
          </w:tcPr>
          <w:p w:rsidR="00201396" w:rsidRPr="005D5FD2" w:rsidRDefault="0058590C" w:rsidP="008C348E">
            <w:pPr>
              <w:pStyle w:val="Bodycopy"/>
              <w:jc w:val="right"/>
              <w:rPr>
                <w:color w:val="FFFFFF" w:themeColor="background1"/>
                <w:lang w:eastAsia="en-NZ" w:bidi="en-US"/>
              </w:rPr>
            </w:pPr>
            <w:r w:rsidRPr="005D5FD2">
              <w:rPr>
                <w:color w:val="FFFFFF" w:themeColor="background1"/>
                <w:lang w:eastAsia="en-NZ" w:bidi="en-US"/>
              </w:rPr>
              <w:t>Central</w:t>
            </w:r>
          </w:p>
        </w:tc>
        <w:tc>
          <w:tcPr>
            <w:tcW w:w="1847" w:type="dxa"/>
          </w:tcPr>
          <w:p w:rsidR="00201396" w:rsidRPr="005D5FD2" w:rsidRDefault="0058590C" w:rsidP="008C348E">
            <w:pPr>
              <w:pStyle w:val="Bodycopy"/>
              <w:jc w:val="right"/>
              <w:rPr>
                <w:color w:val="FFFFFF" w:themeColor="background1"/>
                <w:lang w:eastAsia="en-NZ" w:bidi="en-US"/>
              </w:rPr>
            </w:pPr>
            <w:r w:rsidRPr="005D5FD2">
              <w:rPr>
                <w:color w:val="FFFFFF" w:themeColor="background1"/>
                <w:lang w:eastAsia="en-NZ" w:bidi="en-US"/>
              </w:rPr>
              <w:t>Midland</w:t>
            </w:r>
          </w:p>
        </w:tc>
      </w:tr>
      <w:tr w:rsidR="00201396" w:rsidTr="008C348E">
        <w:tc>
          <w:tcPr>
            <w:tcW w:w="1847" w:type="dxa"/>
          </w:tcPr>
          <w:p w:rsidR="00201396" w:rsidRDefault="0058590C" w:rsidP="00EA2D42">
            <w:pPr>
              <w:pStyle w:val="Bodycopy"/>
              <w:rPr>
                <w:lang w:eastAsia="en-NZ" w:bidi="en-US"/>
              </w:rPr>
            </w:pPr>
            <w:r>
              <w:rPr>
                <w:lang w:eastAsia="en-NZ" w:bidi="en-US"/>
              </w:rPr>
              <w:t xml:space="preserve"># of Delegates </w:t>
            </w:r>
          </w:p>
        </w:tc>
        <w:tc>
          <w:tcPr>
            <w:tcW w:w="1847" w:type="dxa"/>
          </w:tcPr>
          <w:p w:rsidR="00201396" w:rsidRDefault="0058590C" w:rsidP="008C348E">
            <w:pPr>
              <w:pStyle w:val="Bodycopy"/>
              <w:jc w:val="right"/>
              <w:rPr>
                <w:lang w:eastAsia="en-NZ" w:bidi="en-US"/>
              </w:rPr>
            </w:pPr>
            <w:r>
              <w:rPr>
                <w:lang w:eastAsia="en-NZ" w:bidi="en-US"/>
              </w:rPr>
              <w:t>107</w:t>
            </w:r>
          </w:p>
        </w:tc>
        <w:tc>
          <w:tcPr>
            <w:tcW w:w="1847" w:type="dxa"/>
          </w:tcPr>
          <w:p w:rsidR="00201396" w:rsidRDefault="0058590C" w:rsidP="008C348E">
            <w:pPr>
              <w:pStyle w:val="Bodycopy"/>
              <w:jc w:val="right"/>
              <w:rPr>
                <w:lang w:eastAsia="en-NZ" w:bidi="en-US"/>
              </w:rPr>
            </w:pPr>
            <w:r>
              <w:rPr>
                <w:lang w:eastAsia="en-NZ" w:bidi="en-US"/>
              </w:rPr>
              <w:t>58</w:t>
            </w:r>
          </w:p>
        </w:tc>
        <w:tc>
          <w:tcPr>
            <w:tcW w:w="1847" w:type="dxa"/>
          </w:tcPr>
          <w:p w:rsidR="00201396" w:rsidRDefault="0058590C" w:rsidP="008C348E">
            <w:pPr>
              <w:pStyle w:val="Bodycopy"/>
              <w:jc w:val="right"/>
              <w:rPr>
                <w:lang w:eastAsia="en-NZ" w:bidi="en-US"/>
              </w:rPr>
            </w:pPr>
            <w:r>
              <w:rPr>
                <w:lang w:eastAsia="en-NZ" w:bidi="en-US"/>
              </w:rPr>
              <w:t>49</w:t>
            </w:r>
          </w:p>
        </w:tc>
        <w:tc>
          <w:tcPr>
            <w:tcW w:w="1847" w:type="dxa"/>
          </w:tcPr>
          <w:p w:rsidR="00201396" w:rsidRDefault="0058590C" w:rsidP="008C348E">
            <w:pPr>
              <w:pStyle w:val="Bodycopy"/>
              <w:jc w:val="right"/>
              <w:rPr>
                <w:lang w:eastAsia="en-NZ" w:bidi="en-US"/>
              </w:rPr>
            </w:pPr>
            <w:r>
              <w:rPr>
                <w:lang w:eastAsia="en-NZ" w:bidi="en-US"/>
              </w:rPr>
              <w:t>20</w:t>
            </w:r>
          </w:p>
        </w:tc>
      </w:tr>
      <w:tr w:rsidR="00201396" w:rsidTr="008C348E">
        <w:tc>
          <w:tcPr>
            <w:tcW w:w="1847" w:type="dxa"/>
          </w:tcPr>
          <w:p w:rsidR="00201396" w:rsidRDefault="0058590C" w:rsidP="00EA2D42">
            <w:pPr>
              <w:pStyle w:val="Bodycopy"/>
              <w:rPr>
                <w:lang w:eastAsia="en-NZ" w:bidi="en-US"/>
              </w:rPr>
            </w:pPr>
            <w:r>
              <w:rPr>
                <w:lang w:eastAsia="en-NZ" w:bidi="en-US"/>
              </w:rPr>
              <w:t xml:space="preserve">% </w:t>
            </w:r>
          </w:p>
        </w:tc>
        <w:tc>
          <w:tcPr>
            <w:tcW w:w="1847" w:type="dxa"/>
          </w:tcPr>
          <w:p w:rsidR="00201396" w:rsidRDefault="0058590C" w:rsidP="008C348E">
            <w:pPr>
              <w:pStyle w:val="Bodycopy"/>
              <w:jc w:val="right"/>
              <w:rPr>
                <w:lang w:eastAsia="en-NZ" w:bidi="en-US"/>
              </w:rPr>
            </w:pPr>
            <w:r>
              <w:rPr>
                <w:lang w:eastAsia="en-NZ" w:bidi="en-US"/>
              </w:rPr>
              <w:t>46%</w:t>
            </w:r>
          </w:p>
        </w:tc>
        <w:tc>
          <w:tcPr>
            <w:tcW w:w="1847" w:type="dxa"/>
          </w:tcPr>
          <w:p w:rsidR="00201396" w:rsidRDefault="0058590C" w:rsidP="008C348E">
            <w:pPr>
              <w:pStyle w:val="Bodycopy"/>
              <w:jc w:val="right"/>
              <w:rPr>
                <w:lang w:eastAsia="en-NZ" w:bidi="en-US"/>
              </w:rPr>
            </w:pPr>
            <w:r>
              <w:rPr>
                <w:lang w:eastAsia="en-NZ" w:bidi="en-US"/>
              </w:rPr>
              <w:t>25%</w:t>
            </w:r>
          </w:p>
        </w:tc>
        <w:tc>
          <w:tcPr>
            <w:tcW w:w="1847" w:type="dxa"/>
          </w:tcPr>
          <w:p w:rsidR="00201396" w:rsidRDefault="0058590C" w:rsidP="008C348E">
            <w:pPr>
              <w:pStyle w:val="Bodycopy"/>
              <w:jc w:val="right"/>
              <w:rPr>
                <w:lang w:eastAsia="en-NZ" w:bidi="en-US"/>
              </w:rPr>
            </w:pPr>
            <w:r>
              <w:rPr>
                <w:lang w:eastAsia="en-NZ" w:bidi="en-US"/>
              </w:rPr>
              <w:t>21%</w:t>
            </w:r>
          </w:p>
        </w:tc>
        <w:tc>
          <w:tcPr>
            <w:tcW w:w="1847" w:type="dxa"/>
          </w:tcPr>
          <w:p w:rsidR="00201396" w:rsidRDefault="0058590C" w:rsidP="008C348E">
            <w:pPr>
              <w:pStyle w:val="Bodycopy"/>
              <w:jc w:val="right"/>
              <w:rPr>
                <w:lang w:eastAsia="en-NZ" w:bidi="en-US"/>
              </w:rPr>
            </w:pPr>
            <w:r>
              <w:rPr>
                <w:lang w:eastAsia="en-NZ" w:bidi="en-US"/>
              </w:rPr>
              <w:t>8%</w:t>
            </w:r>
          </w:p>
        </w:tc>
      </w:tr>
      <w:tr w:rsidR="00F9516D" w:rsidTr="008C348E">
        <w:tc>
          <w:tcPr>
            <w:tcW w:w="1847" w:type="dxa"/>
          </w:tcPr>
          <w:p w:rsidR="00F9516D" w:rsidRDefault="000806A6" w:rsidP="00EA2D42">
            <w:pPr>
              <w:pStyle w:val="Bodycopy"/>
              <w:rPr>
                <w:lang w:eastAsia="en-NZ" w:bidi="en-US"/>
              </w:rPr>
            </w:pPr>
            <w:r>
              <w:rPr>
                <w:lang w:eastAsia="en-NZ" w:bidi="en-US"/>
              </w:rPr>
              <w:t xml:space="preserve">Underlying population base as a % of total NZ population** </w:t>
            </w:r>
          </w:p>
        </w:tc>
        <w:tc>
          <w:tcPr>
            <w:tcW w:w="1847" w:type="dxa"/>
          </w:tcPr>
          <w:p w:rsidR="00F9516D" w:rsidRDefault="000806A6" w:rsidP="008C348E">
            <w:pPr>
              <w:pStyle w:val="Bodycopy"/>
              <w:jc w:val="right"/>
              <w:rPr>
                <w:lang w:eastAsia="en-NZ" w:bidi="en-US"/>
              </w:rPr>
            </w:pPr>
            <w:r>
              <w:rPr>
                <w:lang w:eastAsia="en-NZ" w:bidi="en-US"/>
              </w:rPr>
              <w:t>37.5%</w:t>
            </w:r>
          </w:p>
        </w:tc>
        <w:tc>
          <w:tcPr>
            <w:tcW w:w="1847" w:type="dxa"/>
          </w:tcPr>
          <w:p w:rsidR="00F9516D" w:rsidRDefault="000806A6" w:rsidP="008C348E">
            <w:pPr>
              <w:pStyle w:val="Bodycopy"/>
              <w:jc w:val="right"/>
              <w:rPr>
                <w:lang w:eastAsia="en-NZ" w:bidi="en-US"/>
              </w:rPr>
            </w:pPr>
            <w:r>
              <w:rPr>
                <w:lang w:eastAsia="en-NZ" w:bidi="en-US"/>
              </w:rPr>
              <w:t>21.3%</w:t>
            </w:r>
          </w:p>
        </w:tc>
        <w:tc>
          <w:tcPr>
            <w:tcW w:w="1847" w:type="dxa"/>
          </w:tcPr>
          <w:p w:rsidR="00F9516D" w:rsidRDefault="000806A6" w:rsidP="008C348E">
            <w:pPr>
              <w:pStyle w:val="Bodycopy"/>
              <w:jc w:val="right"/>
              <w:rPr>
                <w:lang w:eastAsia="en-NZ" w:bidi="en-US"/>
              </w:rPr>
            </w:pPr>
            <w:r>
              <w:rPr>
                <w:lang w:eastAsia="en-NZ" w:bidi="en-US"/>
              </w:rPr>
              <w:t>18.2%</w:t>
            </w:r>
          </w:p>
        </w:tc>
        <w:tc>
          <w:tcPr>
            <w:tcW w:w="1847" w:type="dxa"/>
          </w:tcPr>
          <w:p w:rsidR="00F9516D" w:rsidRDefault="000806A6" w:rsidP="008C348E">
            <w:pPr>
              <w:pStyle w:val="Bodycopy"/>
              <w:jc w:val="right"/>
              <w:rPr>
                <w:lang w:eastAsia="en-NZ" w:bidi="en-US"/>
              </w:rPr>
            </w:pPr>
            <w:r>
              <w:rPr>
                <w:lang w:eastAsia="en-NZ" w:bidi="en-US"/>
              </w:rPr>
              <w:t>22.9%</w:t>
            </w:r>
          </w:p>
        </w:tc>
      </w:tr>
    </w:tbl>
    <w:p w:rsidR="00201396" w:rsidRDefault="004E2B6D" w:rsidP="003F2550">
      <w:pPr>
        <w:pStyle w:val="Bodycopy"/>
        <w:spacing w:after="0" w:line="0" w:lineRule="atLeast"/>
        <w:rPr>
          <w:sz w:val="14"/>
          <w:lang w:eastAsia="en-NZ" w:bidi="en-US"/>
        </w:rPr>
      </w:pPr>
      <w:r w:rsidRPr="008C348E">
        <w:rPr>
          <w:sz w:val="14"/>
          <w:lang w:eastAsia="en-NZ" w:bidi="en-US"/>
        </w:rPr>
        <w:t>* Source- 24 10 06 Master Evaluation Spreadsheet</w:t>
      </w:r>
    </w:p>
    <w:p w:rsidR="000806A6" w:rsidRPr="008C348E" w:rsidRDefault="000806A6" w:rsidP="003F2550">
      <w:pPr>
        <w:pStyle w:val="Bodycopy"/>
        <w:spacing w:after="0" w:line="0" w:lineRule="atLeast"/>
        <w:rPr>
          <w:sz w:val="14"/>
          <w:lang w:eastAsia="en-NZ" w:bidi="en-US"/>
        </w:rPr>
      </w:pPr>
      <w:r>
        <w:rPr>
          <w:sz w:val="14"/>
          <w:lang w:eastAsia="en-NZ" w:bidi="en-US"/>
        </w:rPr>
        <w:t>** Source- Statistics New Zealand Subnational population estimate 30 June 2014</w:t>
      </w:r>
    </w:p>
    <w:p w:rsidR="000806A6" w:rsidRDefault="000806A6" w:rsidP="00EA2D42">
      <w:pPr>
        <w:pStyle w:val="Bodycopy"/>
        <w:rPr>
          <w:lang w:eastAsia="en-NZ" w:bidi="en-US"/>
        </w:rPr>
      </w:pPr>
    </w:p>
    <w:p w:rsidR="0024400E" w:rsidRDefault="0024400E" w:rsidP="00EA2D42">
      <w:pPr>
        <w:pStyle w:val="Bodycopy"/>
        <w:rPr>
          <w:lang w:eastAsia="en-NZ" w:bidi="en-US"/>
        </w:rPr>
      </w:pPr>
      <w:r>
        <w:rPr>
          <w:lang w:eastAsia="en-NZ" w:bidi="en-US"/>
        </w:rPr>
        <w:t xml:space="preserve">Whilst we would expect the </w:t>
      </w:r>
      <w:r w:rsidR="00EA0D9D">
        <w:rPr>
          <w:lang w:eastAsia="en-NZ" w:bidi="en-US"/>
        </w:rPr>
        <w:t>N</w:t>
      </w:r>
      <w:r>
        <w:rPr>
          <w:lang w:eastAsia="en-NZ" w:bidi="en-US"/>
        </w:rPr>
        <w:t xml:space="preserve">orthern region to have a higher number of delegates attending </w:t>
      </w:r>
      <w:r w:rsidR="003353EB">
        <w:rPr>
          <w:lang w:eastAsia="en-NZ" w:bidi="en-US"/>
        </w:rPr>
        <w:t>Level 2</w:t>
      </w:r>
      <w:r>
        <w:rPr>
          <w:lang w:eastAsia="en-NZ" w:bidi="en-US"/>
        </w:rPr>
        <w:t xml:space="preserve"> ACP training given the population base and number of medical </w:t>
      </w:r>
      <w:r w:rsidR="004E2B6D">
        <w:rPr>
          <w:lang w:eastAsia="en-NZ" w:bidi="en-US"/>
        </w:rPr>
        <w:t>practitioners</w:t>
      </w:r>
      <w:r>
        <w:rPr>
          <w:lang w:eastAsia="en-NZ" w:bidi="en-US"/>
        </w:rPr>
        <w:t xml:space="preserve"> within each region, the </w:t>
      </w:r>
      <w:r w:rsidR="00EA0D9D">
        <w:rPr>
          <w:lang w:eastAsia="en-NZ" w:bidi="en-US"/>
        </w:rPr>
        <w:t>C</w:t>
      </w:r>
      <w:r>
        <w:rPr>
          <w:lang w:eastAsia="en-NZ" w:bidi="en-US"/>
        </w:rPr>
        <w:t xml:space="preserve">entral and </w:t>
      </w:r>
      <w:r w:rsidR="00EA0D9D">
        <w:rPr>
          <w:lang w:eastAsia="en-NZ" w:bidi="en-US"/>
        </w:rPr>
        <w:t>M</w:t>
      </w:r>
      <w:r>
        <w:rPr>
          <w:lang w:eastAsia="en-NZ" w:bidi="en-US"/>
        </w:rPr>
        <w:t xml:space="preserve">idland region numbers are </w:t>
      </w:r>
      <w:r w:rsidR="004E2B6D">
        <w:rPr>
          <w:lang w:eastAsia="en-NZ" w:bidi="en-US"/>
        </w:rPr>
        <w:t xml:space="preserve">proportionately </w:t>
      </w:r>
      <w:r>
        <w:rPr>
          <w:lang w:eastAsia="en-NZ" w:bidi="en-US"/>
        </w:rPr>
        <w:t xml:space="preserve">lower than the </w:t>
      </w:r>
      <w:r w:rsidR="00EA0D9D">
        <w:rPr>
          <w:lang w:eastAsia="en-NZ" w:bidi="en-US"/>
        </w:rPr>
        <w:t>S</w:t>
      </w:r>
      <w:r>
        <w:rPr>
          <w:lang w:eastAsia="en-NZ" w:bidi="en-US"/>
        </w:rPr>
        <w:t xml:space="preserve">outhern </w:t>
      </w:r>
      <w:r w:rsidR="000806A6">
        <w:rPr>
          <w:lang w:eastAsia="en-NZ" w:bidi="en-US"/>
        </w:rPr>
        <w:t xml:space="preserve">and Northern </w:t>
      </w:r>
      <w:r>
        <w:rPr>
          <w:lang w:eastAsia="en-NZ" w:bidi="en-US"/>
        </w:rPr>
        <w:t>region</w:t>
      </w:r>
      <w:r w:rsidR="000806A6">
        <w:rPr>
          <w:lang w:eastAsia="en-NZ" w:bidi="en-US"/>
        </w:rPr>
        <w:t>s</w:t>
      </w:r>
      <w:r>
        <w:rPr>
          <w:lang w:eastAsia="en-NZ" w:bidi="en-US"/>
        </w:rPr>
        <w:t xml:space="preserve"> taking into account the </w:t>
      </w:r>
      <w:r w:rsidR="004E2B6D">
        <w:rPr>
          <w:lang w:eastAsia="en-NZ" w:bidi="en-US"/>
        </w:rPr>
        <w:t xml:space="preserve">population base and number of medical practitioners. </w:t>
      </w:r>
    </w:p>
    <w:p w:rsidR="008D48AC" w:rsidRDefault="008D48AC" w:rsidP="00EA2D42">
      <w:pPr>
        <w:pStyle w:val="Bodycopy"/>
        <w:rPr>
          <w:lang w:eastAsia="en-NZ" w:bidi="en-US"/>
        </w:rPr>
      </w:pPr>
    </w:p>
    <w:p w:rsidR="008D48AC" w:rsidRDefault="008D48AC" w:rsidP="00EA2D42">
      <w:pPr>
        <w:pStyle w:val="Bodycopy"/>
        <w:rPr>
          <w:lang w:eastAsia="en-NZ" w:bidi="en-US"/>
        </w:rPr>
      </w:pPr>
    </w:p>
    <w:p w:rsidR="00544D1B" w:rsidRDefault="001707E0" w:rsidP="00EA2D42">
      <w:pPr>
        <w:pStyle w:val="Bodycopy"/>
        <w:rPr>
          <w:lang w:eastAsia="en-NZ" w:bidi="en-US"/>
        </w:rPr>
      </w:pPr>
      <w:r>
        <w:rPr>
          <w:lang w:eastAsia="en-NZ" w:bidi="en-US"/>
        </w:rPr>
        <w:lastRenderedPageBreak/>
        <w:t>From interviews held, the key findings with regard to possible reasons for the lower training uptake levels for the Central and Midland regions were very similar. The following key barriers to training in the Midland and Central region have been identified</w:t>
      </w:r>
      <w:r w:rsidR="00B72D84">
        <w:rPr>
          <w:lang w:eastAsia="en-NZ" w:bidi="en-US"/>
        </w:rPr>
        <w:t xml:space="preserve"> at the secondary care level</w:t>
      </w:r>
      <w:r>
        <w:rPr>
          <w:lang w:eastAsia="en-NZ" w:bidi="en-US"/>
        </w:rPr>
        <w:t>:</w:t>
      </w:r>
    </w:p>
    <w:p w:rsidR="00FD3E0C" w:rsidRDefault="00FD3E0C" w:rsidP="00F21242">
      <w:pPr>
        <w:pStyle w:val="Bodycopy"/>
        <w:numPr>
          <w:ilvl w:val="0"/>
          <w:numId w:val="16"/>
        </w:numPr>
        <w:rPr>
          <w:lang w:eastAsia="en-NZ" w:bidi="en-US"/>
        </w:rPr>
      </w:pPr>
      <w:r>
        <w:rPr>
          <w:lang w:eastAsia="en-NZ" w:bidi="en-US"/>
        </w:rPr>
        <w:t>Backfill for staff in the more rural and remote areas</w:t>
      </w:r>
      <w:r w:rsidR="00EA0D9D">
        <w:rPr>
          <w:lang w:eastAsia="en-NZ" w:bidi="en-US"/>
        </w:rPr>
        <w:t xml:space="preserve"> is difficult</w:t>
      </w:r>
      <w:r>
        <w:rPr>
          <w:lang w:eastAsia="en-NZ" w:bidi="en-US"/>
        </w:rPr>
        <w:t>;</w:t>
      </w:r>
    </w:p>
    <w:p w:rsidR="00FD3E0C" w:rsidRDefault="00BD287F" w:rsidP="008C348E">
      <w:pPr>
        <w:pStyle w:val="Bodycopy"/>
        <w:numPr>
          <w:ilvl w:val="0"/>
          <w:numId w:val="16"/>
        </w:numPr>
        <w:rPr>
          <w:lang w:eastAsia="en-NZ" w:bidi="en-US"/>
        </w:rPr>
      </w:pPr>
      <w:r>
        <w:rPr>
          <w:lang w:eastAsia="en-NZ" w:bidi="en-US"/>
        </w:rPr>
        <w:t xml:space="preserve">ACP </w:t>
      </w:r>
      <w:r w:rsidR="00EA0D9D">
        <w:rPr>
          <w:lang w:eastAsia="en-NZ" w:bidi="en-US"/>
        </w:rPr>
        <w:t>t</w:t>
      </w:r>
      <w:r w:rsidR="00FD3E0C">
        <w:rPr>
          <w:lang w:eastAsia="en-NZ" w:bidi="en-US"/>
        </w:rPr>
        <w:t xml:space="preserve">raining is viewed </w:t>
      </w:r>
      <w:r>
        <w:rPr>
          <w:lang w:eastAsia="en-NZ" w:bidi="en-US"/>
        </w:rPr>
        <w:t>as a soft skill and has a lower priority than other compulsory training for medical practitioners;</w:t>
      </w:r>
    </w:p>
    <w:p w:rsidR="00BD287F" w:rsidRDefault="00BD287F" w:rsidP="008C348E">
      <w:pPr>
        <w:pStyle w:val="Bodycopy"/>
        <w:numPr>
          <w:ilvl w:val="0"/>
          <w:numId w:val="16"/>
        </w:numPr>
        <w:rPr>
          <w:lang w:eastAsia="en-NZ" w:bidi="en-US"/>
        </w:rPr>
      </w:pPr>
      <w:r>
        <w:rPr>
          <w:lang w:eastAsia="en-NZ" w:bidi="en-US"/>
        </w:rPr>
        <w:t>2.5 day course length, especially the 0.5 day;</w:t>
      </w:r>
    </w:p>
    <w:p w:rsidR="00BD287F" w:rsidRDefault="00BD287F" w:rsidP="008C348E">
      <w:pPr>
        <w:pStyle w:val="Bodycopy"/>
        <w:numPr>
          <w:ilvl w:val="0"/>
          <w:numId w:val="16"/>
        </w:numPr>
        <w:rPr>
          <w:lang w:eastAsia="en-NZ" w:bidi="en-US"/>
        </w:rPr>
      </w:pPr>
      <w:r>
        <w:rPr>
          <w:lang w:eastAsia="en-NZ" w:bidi="en-US"/>
        </w:rPr>
        <w:t>Inflexibility regarding minimum and maximum attendees;</w:t>
      </w:r>
    </w:p>
    <w:p w:rsidR="00BD287F" w:rsidRDefault="00BD287F" w:rsidP="008C348E">
      <w:pPr>
        <w:pStyle w:val="Bodycopy"/>
        <w:numPr>
          <w:ilvl w:val="0"/>
          <w:numId w:val="16"/>
        </w:numPr>
        <w:rPr>
          <w:lang w:eastAsia="en-NZ" w:bidi="en-US"/>
        </w:rPr>
      </w:pPr>
      <w:r>
        <w:rPr>
          <w:lang w:eastAsia="en-NZ" w:bidi="en-US"/>
        </w:rPr>
        <w:t>DHB budget managers view the course as expens</w:t>
      </w:r>
      <w:r w:rsidR="00EA0D9D">
        <w:rPr>
          <w:lang w:eastAsia="en-NZ" w:bidi="en-US"/>
        </w:rPr>
        <w:t xml:space="preserve">ive </w:t>
      </w:r>
      <w:r>
        <w:rPr>
          <w:lang w:eastAsia="en-NZ" w:bidi="en-US"/>
        </w:rPr>
        <w:t>(i.e. 10 staff members from one department for the smaller DHB’s can be a significant amount of the</w:t>
      </w:r>
      <w:r w:rsidR="00755CE1">
        <w:rPr>
          <w:lang w:eastAsia="en-NZ" w:bidi="en-US"/>
        </w:rPr>
        <w:t>ir</w:t>
      </w:r>
      <w:r>
        <w:rPr>
          <w:lang w:eastAsia="en-NZ" w:bidi="en-US"/>
        </w:rPr>
        <w:t xml:space="preserve"> annual training budget);</w:t>
      </w:r>
    </w:p>
    <w:p w:rsidR="00BD287F" w:rsidRDefault="00BD287F" w:rsidP="008C348E">
      <w:pPr>
        <w:pStyle w:val="Bodycopy"/>
        <w:numPr>
          <w:ilvl w:val="0"/>
          <w:numId w:val="16"/>
        </w:numPr>
        <w:rPr>
          <w:lang w:eastAsia="en-NZ" w:bidi="en-US"/>
        </w:rPr>
      </w:pPr>
      <w:r>
        <w:rPr>
          <w:lang w:eastAsia="en-NZ" w:bidi="en-US"/>
        </w:rPr>
        <w:t>ACP training viewed as more beneficial to the primary care sector;</w:t>
      </w:r>
    </w:p>
    <w:p w:rsidR="00BD287F" w:rsidRDefault="003824CA" w:rsidP="008C348E">
      <w:pPr>
        <w:pStyle w:val="Bodycopy"/>
        <w:numPr>
          <w:ilvl w:val="0"/>
          <w:numId w:val="16"/>
        </w:numPr>
        <w:rPr>
          <w:lang w:eastAsia="en-NZ" w:bidi="en-US"/>
        </w:rPr>
      </w:pPr>
      <w:r>
        <w:rPr>
          <w:lang w:eastAsia="en-NZ" w:bidi="en-US"/>
        </w:rPr>
        <w:t>CEO and Executive level buy in to additional funding is not at the same level as in the Northern and Southern regions; and</w:t>
      </w:r>
    </w:p>
    <w:p w:rsidR="003824CA" w:rsidRDefault="003824CA" w:rsidP="008C348E">
      <w:pPr>
        <w:pStyle w:val="Bodycopy"/>
        <w:numPr>
          <w:ilvl w:val="0"/>
          <w:numId w:val="16"/>
        </w:numPr>
        <w:rPr>
          <w:lang w:eastAsia="en-NZ" w:bidi="en-US"/>
        </w:rPr>
      </w:pPr>
      <w:r>
        <w:rPr>
          <w:lang w:eastAsia="en-NZ" w:bidi="en-US"/>
        </w:rPr>
        <w:t xml:space="preserve">Promotion of the </w:t>
      </w:r>
      <w:r w:rsidR="003353EB">
        <w:rPr>
          <w:lang w:eastAsia="en-NZ" w:bidi="en-US"/>
        </w:rPr>
        <w:t>Level 2</w:t>
      </w:r>
      <w:r>
        <w:rPr>
          <w:lang w:eastAsia="en-NZ" w:bidi="en-US"/>
        </w:rPr>
        <w:t xml:space="preserve"> ACP training programme within the Midland and </w:t>
      </w:r>
      <w:r w:rsidR="00F21242">
        <w:rPr>
          <w:lang w:eastAsia="en-NZ" w:bidi="en-US"/>
        </w:rPr>
        <w:t xml:space="preserve">Central Tasman </w:t>
      </w:r>
      <w:r w:rsidR="00AF1D3B">
        <w:rPr>
          <w:lang w:eastAsia="en-NZ" w:bidi="en-US"/>
        </w:rPr>
        <w:t>regions</w:t>
      </w:r>
      <w:r>
        <w:rPr>
          <w:lang w:eastAsia="en-NZ" w:bidi="en-US"/>
        </w:rPr>
        <w:t xml:space="preserve"> is to</w:t>
      </w:r>
      <w:r w:rsidR="000806A6">
        <w:rPr>
          <w:lang w:eastAsia="en-NZ" w:bidi="en-US"/>
        </w:rPr>
        <w:t>o</w:t>
      </w:r>
      <w:r>
        <w:rPr>
          <w:lang w:eastAsia="en-NZ" w:bidi="en-US"/>
        </w:rPr>
        <w:t xml:space="preserve"> far removed from clinical leadership. </w:t>
      </w:r>
    </w:p>
    <w:p w:rsidR="00BD2234" w:rsidRDefault="00BD2234" w:rsidP="00BD2234">
      <w:pPr>
        <w:rPr>
          <w:lang w:eastAsia="en-NZ" w:bidi="en-US"/>
        </w:rPr>
      </w:pPr>
      <w:r>
        <w:rPr>
          <w:lang w:eastAsia="en-NZ" w:bidi="en-US"/>
        </w:rPr>
        <w:t>The current uptake of the Level 2 ACP training programme in terms of the primary and secondary healthcare is:</w:t>
      </w:r>
    </w:p>
    <w:p w:rsidR="00BD2234" w:rsidRDefault="00BD2234" w:rsidP="00004292">
      <w:pPr>
        <w:pStyle w:val="Bodycopy"/>
        <w:numPr>
          <w:ilvl w:val="0"/>
          <w:numId w:val="16"/>
        </w:numPr>
        <w:rPr>
          <w:lang w:eastAsia="en-NZ" w:bidi="en-US"/>
        </w:rPr>
      </w:pPr>
      <w:r>
        <w:rPr>
          <w:lang w:eastAsia="en-NZ" w:bidi="en-US"/>
        </w:rPr>
        <w:t>44% of attendees work in the secondary health care level;</w:t>
      </w:r>
    </w:p>
    <w:p w:rsidR="00BD2234" w:rsidRDefault="00BD2234" w:rsidP="00004292">
      <w:pPr>
        <w:pStyle w:val="Bodycopy"/>
        <w:numPr>
          <w:ilvl w:val="0"/>
          <w:numId w:val="16"/>
        </w:numPr>
        <w:rPr>
          <w:lang w:eastAsia="en-NZ" w:bidi="en-US"/>
        </w:rPr>
      </w:pPr>
      <w:r>
        <w:rPr>
          <w:lang w:eastAsia="en-NZ" w:bidi="en-US"/>
        </w:rPr>
        <w:t>34%  of attendees work in the primary health care level;</w:t>
      </w:r>
    </w:p>
    <w:p w:rsidR="00BD2234" w:rsidRDefault="00BD2234" w:rsidP="00004292">
      <w:pPr>
        <w:pStyle w:val="Bodycopy"/>
        <w:numPr>
          <w:ilvl w:val="0"/>
          <w:numId w:val="16"/>
        </w:numPr>
        <w:rPr>
          <w:lang w:eastAsia="en-NZ" w:bidi="en-US"/>
        </w:rPr>
      </w:pPr>
      <w:r>
        <w:rPr>
          <w:lang w:eastAsia="en-NZ" w:bidi="en-US"/>
        </w:rPr>
        <w:t>10% of attendees work in both the primary and secondary health care levels; and</w:t>
      </w:r>
    </w:p>
    <w:p w:rsidR="00BD2234" w:rsidRDefault="00BD2234" w:rsidP="00004292">
      <w:pPr>
        <w:pStyle w:val="Bodycopy"/>
        <w:numPr>
          <w:ilvl w:val="0"/>
          <w:numId w:val="16"/>
        </w:numPr>
        <w:rPr>
          <w:lang w:eastAsia="en-NZ" w:bidi="en-US"/>
        </w:rPr>
      </w:pPr>
      <w:r>
        <w:rPr>
          <w:lang w:eastAsia="en-NZ" w:bidi="en-US"/>
        </w:rPr>
        <w:t xml:space="preserve">12% of attendees were unable to be classified due to their work background being either incomplete within the application form, or working in an educational role. </w:t>
      </w:r>
    </w:p>
    <w:p w:rsidR="003824CA" w:rsidRDefault="00BD2234" w:rsidP="003824CA">
      <w:pPr>
        <w:pStyle w:val="Bodycopy"/>
        <w:rPr>
          <w:lang w:eastAsia="en-NZ" w:bidi="en-US"/>
        </w:rPr>
      </w:pPr>
      <w:r>
        <w:rPr>
          <w:lang w:eastAsia="en-NZ" w:bidi="en-US"/>
        </w:rPr>
        <w:t xml:space="preserve">In our opinion, ACP </w:t>
      </w:r>
      <w:r w:rsidR="00E852F6">
        <w:rPr>
          <w:lang w:eastAsia="en-NZ" w:bidi="en-US"/>
        </w:rPr>
        <w:t xml:space="preserve">training </w:t>
      </w:r>
      <w:r>
        <w:rPr>
          <w:lang w:eastAsia="en-NZ" w:bidi="en-US"/>
        </w:rPr>
        <w:t>would be more beneficial to the</w:t>
      </w:r>
      <w:r w:rsidR="00E852F6">
        <w:rPr>
          <w:lang w:eastAsia="en-NZ" w:bidi="en-US"/>
        </w:rPr>
        <w:t xml:space="preserve"> primary care health sector, and would result in a wider uptake of ACP as a concept if the programme had a higher marketing focus </w:t>
      </w:r>
      <w:r w:rsidR="00262504">
        <w:rPr>
          <w:lang w:eastAsia="en-NZ" w:bidi="en-US"/>
        </w:rPr>
        <w:t>toward</w:t>
      </w:r>
      <w:r w:rsidR="00E852F6">
        <w:rPr>
          <w:lang w:eastAsia="en-NZ" w:bidi="en-US"/>
        </w:rPr>
        <w:t xml:space="preserve"> primary care health professionals. </w:t>
      </w:r>
      <w:r w:rsidR="00AF1D3B">
        <w:rPr>
          <w:lang w:eastAsia="en-NZ" w:bidi="en-US"/>
        </w:rPr>
        <w:t>Key barriers to training identified at the primary health level include:</w:t>
      </w:r>
    </w:p>
    <w:p w:rsidR="00AF1D3B" w:rsidRDefault="00AF1D3B" w:rsidP="008C348E">
      <w:pPr>
        <w:pStyle w:val="Bodycopy"/>
        <w:numPr>
          <w:ilvl w:val="0"/>
          <w:numId w:val="17"/>
        </w:numPr>
        <w:rPr>
          <w:lang w:eastAsia="en-NZ" w:bidi="en-US"/>
        </w:rPr>
      </w:pPr>
      <w:r>
        <w:rPr>
          <w:lang w:eastAsia="en-NZ" w:bidi="en-US"/>
        </w:rPr>
        <w:t xml:space="preserve">Cost of </w:t>
      </w:r>
      <w:r w:rsidR="003353EB">
        <w:rPr>
          <w:lang w:eastAsia="en-NZ" w:bidi="en-US"/>
        </w:rPr>
        <w:t>Level 2</w:t>
      </w:r>
      <w:r>
        <w:rPr>
          <w:lang w:eastAsia="en-NZ" w:bidi="en-US"/>
        </w:rPr>
        <w:t xml:space="preserve"> training programme;</w:t>
      </w:r>
    </w:p>
    <w:p w:rsidR="00AF1D3B" w:rsidRDefault="00AF1D3B" w:rsidP="008C348E">
      <w:pPr>
        <w:pStyle w:val="Bodycopy"/>
        <w:numPr>
          <w:ilvl w:val="0"/>
          <w:numId w:val="17"/>
        </w:numPr>
        <w:rPr>
          <w:lang w:eastAsia="en-NZ" w:bidi="en-US"/>
        </w:rPr>
      </w:pPr>
      <w:r>
        <w:rPr>
          <w:lang w:eastAsia="en-NZ" w:bidi="en-US"/>
        </w:rPr>
        <w:t xml:space="preserve">Course length </w:t>
      </w:r>
      <w:r w:rsidR="00AF1C9C">
        <w:rPr>
          <w:lang w:eastAsia="en-NZ" w:bidi="en-US"/>
        </w:rPr>
        <w:t>of 2.5 days</w:t>
      </w:r>
      <w:r w:rsidR="00755CE1">
        <w:rPr>
          <w:lang w:eastAsia="en-NZ" w:bidi="en-US"/>
        </w:rPr>
        <w:t xml:space="preserve"> can</w:t>
      </w:r>
      <w:r w:rsidR="00AF1C9C">
        <w:rPr>
          <w:lang w:eastAsia="en-NZ" w:bidi="en-US"/>
        </w:rPr>
        <w:t xml:space="preserve"> result in lost earnings;</w:t>
      </w:r>
    </w:p>
    <w:p w:rsidR="00AF1C9C" w:rsidRDefault="00AF1C9C" w:rsidP="008C348E">
      <w:pPr>
        <w:pStyle w:val="Bodycopy"/>
        <w:numPr>
          <w:ilvl w:val="0"/>
          <w:numId w:val="17"/>
        </w:numPr>
        <w:rPr>
          <w:lang w:eastAsia="en-NZ" w:bidi="en-US"/>
        </w:rPr>
      </w:pPr>
      <w:r>
        <w:rPr>
          <w:lang w:eastAsia="en-NZ" w:bidi="en-US"/>
        </w:rPr>
        <w:lastRenderedPageBreak/>
        <w:t>Locums and backfill is easier to cover full days</w:t>
      </w:r>
      <w:r w:rsidR="00755CE1">
        <w:rPr>
          <w:lang w:eastAsia="en-NZ" w:bidi="en-US"/>
        </w:rPr>
        <w:t xml:space="preserve"> but more difficult to cover for partial days</w:t>
      </w:r>
      <w:r>
        <w:rPr>
          <w:lang w:eastAsia="en-NZ" w:bidi="en-US"/>
        </w:rPr>
        <w:t xml:space="preserve">, </w:t>
      </w:r>
      <w:r w:rsidR="00755CE1">
        <w:rPr>
          <w:lang w:eastAsia="en-NZ" w:bidi="en-US"/>
        </w:rPr>
        <w:t xml:space="preserve">therefore </w:t>
      </w:r>
      <w:r>
        <w:rPr>
          <w:lang w:eastAsia="en-NZ" w:bidi="en-US"/>
        </w:rPr>
        <w:t>actual backfill results in 3 days cover;</w:t>
      </w:r>
    </w:p>
    <w:p w:rsidR="00AF1C9C" w:rsidRDefault="00AF1C9C" w:rsidP="008C348E">
      <w:pPr>
        <w:pStyle w:val="Bodycopy"/>
        <w:numPr>
          <w:ilvl w:val="0"/>
          <w:numId w:val="17"/>
        </w:numPr>
        <w:rPr>
          <w:lang w:eastAsia="en-NZ" w:bidi="en-US"/>
        </w:rPr>
      </w:pPr>
      <w:r>
        <w:rPr>
          <w:lang w:eastAsia="en-NZ" w:bidi="en-US"/>
        </w:rPr>
        <w:t xml:space="preserve">Programmes are only delivered in main regional centres </w:t>
      </w:r>
      <w:r w:rsidR="000806A6">
        <w:rPr>
          <w:lang w:eastAsia="en-NZ" w:bidi="en-US"/>
        </w:rPr>
        <w:t>(except the Southern region)</w:t>
      </w:r>
      <w:r>
        <w:rPr>
          <w:lang w:eastAsia="en-NZ" w:bidi="en-US"/>
        </w:rPr>
        <w:t xml:space="preserve">, which results in additional accommodation </w:t>
      </w:r>
      <w:r w:rsidR="00426FA7">
        <w:rPr>
          <w:lang w:eastAsia="en-NZ" w:bidi="en-US"/>
        </w:rPr>
        <w:t xml:space="preserve">costs over and above </w:t>
      </w:r>
      <w:r w:rsidR="00755CE1">
        <w:rPr>
          <w:lang w:eastAsia="en-NZ" w:bidi="en-US"/>
        </w:rPr>
        <w:t xml:space="preserve">the </w:t>
      </w:r>
      <w:r w:rsidR="00426FA7">
        <w:rPr>
          <w:lang w:eastAsia="en-NZ" w:bidi="en-US"/>
        </w:rPr>
        <w:t>course</w:t>
      </w:r>
      <w:r w:rsidR="00755CE1">
        <w:rPr>
          <w:lang w:eastAsia="en-NZ" w:bidi="en-US"/>
        </w:rPr>
        <w:t xml:space="preserve"> itself</w:t>
      </w:r>
      <w:r w:rsidR="00F21242">
        <w:rPr>
          <w:lang w:eastAsia="en-NZ" w:bidi="en-US"/>
        </w:rPr>
        <w:t xml:space="preserve"> for primary care health practitioners who do not have access to the same level </w:t>
      </w:r>
      <w:r w:rsidR="00262504">
        <w:rPr>
          <w:lang w:eastAsia="en-NZ" w:bidi="en-US"/>
        </w:rPr>
        <w:t xml:space="preserve">of </w:t>
      </w:r>
      <w:r w:rsidR="00F21242">
        <w:rPr>
          <w:lang w:eastAsia="en-NZ" w:bidi="en-US"/>
        </w:rPr>
        <w:t>employer training funding as secondary care health practitioners</w:t>
      </w:r>
      <w:r w:rsidR="00426FA7">
        <w:rPr>
          <w:lang w:eastAsia="en-NZ" w:bidi="en-US"/>
        </w:rPr>
        <w:t xml:space="preserve">; and </w:t>
      </w:r>
    </w:p>
    <w:p w:rsidR="00426FA7" w:rsidRDefault="00426FA7" w:rsidP="008C348E">
      <w:pPr>
        <w:pStyle w:val="Bodycopy"/>
        <w:numPr>
          <w:ilvl w:val="0"/>
          <w:numId w:val="17"/>
        </w:numPr>
        <w:rPr>
          <w:lang w:eastAsia="en-NZ" w:bidi="en-US"/>
        </w:rPr>
      </w:pPr>
      <w:r>
        <w:rPr>
          <w:lang w:eastAsia="en-NZ" w:bidi="en-US"/>
        </w:rPr>
        <w:t xml:space="preserve">Limited advertising of ACP within primary care which results in ACP not being seen in a positive light by some healthcare professionals. </w:t>
      </w:r>
    </w:p>
    <w:p w:rsidR="003F4D05" w:rsidRDefault="003F4D05" w:rsidP="00DF6FB5">
      <w:pPr>
        <w:pStyle w:val="Bodycopy"/>
        <w:rPr>
          <w:lang w:eastAsia="en-NZ" w:bidi="en-US"/>
        </w:rPr>
      </w:pPr>
      <w:r>
        <w:rPr>
          <w:lang w:eastAsia="en-NZ" w:bidi="en-US"/>
        </w:rPr>
        <w:t xml:space="preserve">We have identified the following key differences in the manner in which the </w:t>
      </w:r>
      <w:r w:rsidR="003353EB">
        <w:rPr>
          <w:lang w:eastAsia="en-NZ" w:bidi="en-US"/>
        </w:rPr>
        <w:t>Level 2</w:t>
      </w:r>
      <w:r>
        <w:rPr>
          <w:lang w:eastAsia="en-NZ" w:bidi="en-US"/>
        </w:rPr>
        <w:t xml:space="preserve"> ACP training is </w:t>
      </w:r>
      <w:r w:rsidR="00755CE1">
        <w:rPr>
          <w:lang w:eastAsia="en-NZ" w:bidi="en-US"/>
        </w:rPr>
        <w:t xml:space="preserve">provided in </w:t>
      </w:r>
      <w:r>
        <w:rPr>
          <w:lang w:eastAsia="en-NZ" w:bidi="en-US"/>
        </w:rPr>
        <w:t xml:space="preserve">the Northern and Southern regions </w:t>
      </w:r>
      <w:r w:rsidR="00755CE1">
        <w:rPr>
          <w:lang w:eastAsia="en-NZ" w:bidi="en-US"/>
        </w:rPr>
        <w:t xml:space="preserve">in terms of </w:t>
      </w:r>
      <w:r>
        <w:rPr>
          <w:lang w:eastAsia="en-NZ" w:bidi="en-US"/>
        </w:rPr>
        <w:t>advertis</w:t>
      </w:r>
      <w:r w:rsidR="00755CE1">
        <w:rPr>
          <w:lang w:eastAsia="en-NZ" w:bidi="en-US"/>
        </w:rPr>
        <w:t>ing</w:t>
      </w:r>
      <w:r>
        <w:rPr>
          <w:lang w:eastAsia="en-NZ" w:bidi="en-US"/>
        </w:rPr>
        <w:t xml:space="preserve"> and fund</w:t>
      </w:r>
      <w:r w:rsidR="00755CE1">
        <w:rPr>
          <w:lang w:eastAsia="en-NZ" w:bidi="en-US"/>
        </w:rPr>
        <w:t>ing</w:t>
      </w:r>
      <w:r>
        <w:rPr>
          <w:lang w:eastAsia="en-NZ" w:bidi="en-US"/>
        </w:rPr>
        <w:t>:</w:t>
      </w:r>
    </w:p>
    <w:p w:rsidR="00DF6FB5" w:rsidRDefault="003F4D05" w:rsidP="008C348E">
      <w:pPr>
        <w:pStyle w:val="Bodycopy"/>
        <w:numPr>
          <w:ilvl w:val="0"/>
          <w:numId w:val="18"/>
        </w:numPr>
        <w:rPr>
          <w:lang w:eastAsia="en-NZ" w:bidi="en-US"/>
        </w:rPr>
      </w:pPr>
      <w:r>
        <w:rPr>
          <w:lang w:eastAsia="en-NZ" w:bidi="en-US"/>
        </w:rPr>
        <w:t>Higher focus on end of life care within regional health plans</w:t>
      </w:r>
      <w:r w:rsidR="00EA0D9D">
        <w:rPr>
          <w:lang w:eastAsia="en-NZ" w:bidi="en-US"/>
        </w:rPr>
        <w:t xml:space="preserve"> for the Southern Region</w:t>
      </w:r>
      <w:r>
        <w:rPr>
          <w:lang w:eastAsia="en-NZ" w:bidi="en-US"/>
        </w:rPr>
        <w:t>;</w:t>
      </w:r>
    </w:p>
    <w:p w:rsidR="003F4D05" w:rsidRDefault="003F4D05" w:rsidP="008C348E">
      <w:pPr>
        <w:pStyle w:val="Bodycopy"/>
        <w:numPr>
          <w:ilvl w:val="0"/>
          <w:numId w:val="18"/>
        </w:numPr>
        <w:rPr>
          <w:lang w:eastAsia="en-NZ" w:bidi="en-US"/>
        </w:rPr>
      </w:pPr>
      <w:r>
        <w:rPr>
          <w:lang w:eastAsia="en-NZ" w:bidi="en-US"/>
        </w:rPr>
        <w:t xml:space="preserve">Approved “top slice” funding from Northern and Southern DHB’s to further subsidise the cost of </w:t>
      </w:r>
      <w:r w:rsidR="003353EB">
        <w:rPr>
          <w:lang w:eastAsia="en-NZ" w:bidi="en-US"/>
        </w:rPr>
        <w:t>Level 2</w:t>
      </w:r>
      <w:r>
        <w:rPr>
          <w:lang w:eastAsia="en-NZ" w:bidi="en-US"/>
        </w:rPr>
        <w:t xml:space="preserve"> ACP training programme;</w:t>
      </w:r>
    </w:p>
    <w:p w:rsidR="003F4D05" w:rsidRDefault="003F4D05" w:rsidP="008C348E">
      <w:pPr>
        <w:pStyle w:val="Bodycopy"/>
        <w:numPr>
          <w:ilvl w:val="0"/>
          <w:numId w:val="18"/>
        </w:numPr>
        <w:rPr>
          <w:lang w:eastAsia="en-NZ" w:bidi="en-US"/>
        </w:rPr>
      </w:pPr>
      <w:r>
        <w:rPr>
          <w:lang w:eastAsia="en-NZ" w:bidi="en-US"/>
        </w:rPr>
        <w:t xml:space="preserve">Better infrastructure in the </w:t>
      </w:r>
      <w:r w:rsidR="00F21242">
        <w:rPr>
          <w:lang w:eastAsia="en-NZ" w:bidi="en-US"/>
        </w:rPr>
        <w:t xml:space="preserve">Northern and </w:t>
      </w:r>
      <w:r>
        <w:rPr>
          <w:lang w:eastAsia="en-NZ" w:bidi="en-US"/>
        </w:rPr>
        <w:t xml:space="preserve">Southern </w:t>
      </w:r>
      <w:r w:rsidR="00F21242">
        <w:rPr>
          <w:lang w:eastAsia="en-NZ" w:bidi="en-US"/>
        </w:rPr>
        <w:t>r</w:t>
      </w:r>
      <w:r>
        <w:rPr>
          <w:lang w:eastAsia="en-NZ" w:bidi="en-US"/>
        </w:rPr>
        <w:t>egion</w:t>
      </w:r>
      <w:r w:rsidR="00F21242">
        <w:rPr>
          <w:lang w:eastAsia="en-NZ" w:bidi="en-US"/>
        </w:rPr>
        <w:t>s</w:t>
      </w:r>
      <w:r>
        <w:rPr>
          <w:lang w:eastAsia="en-NZ" w:bidi="en-US"/>
        </w:rPr>
        <w:t xml:space="preserve"> to support ACP (I</w:t>
      </w:r>
      <w:r w:rsidR="00733EC7">
        <w:rPr>
          <w:lang w:eastAsia="en-NZ" w:bidi="en-US"/>
        </w:rPr>
        <w:t>.</w:t>
      </w:r>
      <w:r>
        <w:rPr>
          <w:lang w:eastAsia="en-NZ" w:bidi="en-US"/>
        </w:rPr>
        <w:t>e</w:t>
      </w:r>
      <w:r w:rsidR="00733EC7">
        <w:rPr>
          <w:lang w:eastAsia="en-NZ" w:bidi="en-US"/>
        </w:rPr>
        <w:t>.</w:t>
      </w:r>
      <w:r>
        <w:rPr>
          <w:lang w:eastAsia="en-NZ" w:bidi="en-US"/>
        </w:rPr>
        <w:t xml:space="preserve"> Christchurch where at the time of interviews </w:t>
      </w:r>
      <w:r w:rsidR="000F5ADF">
        <w:rPr>
          <w:lang w:eastAsia="en-NZ" w:bidi="en-US"/>
        </w:rPr>
        <w:t xml:space="preserve">held </w:t>
      </w:r>
      <w:r>
        <w:rPr>
          <w:lang w:eastAsia="en-NZ" w:bidi="en-US"/>
        </w:rPr>
        <w:t xml:space="preserve">105 ACP plans had been lodged with </w:t>
      </w:r>
      <w:r w:rsidR="000F5ADF">
        <w:rPr>
          <w:lang w:eastAsia="en-NZ" w:bidi="en-US"/>
        </w:rPr>
        <w:t>the Christchurch Hospital; and</w:t>
      </w:r>
    </w:p>
    <w:p w:rsidR="000F5ADF" w:rsidRDefault="000F5ADF" w:rsidP="008C348E">
      <w:pPr>
        <w:pStyle w:val="Bodycopy"/>
        <w:numPr>
          <w:ilvl w:val="0"/>
          <w:numId w:val="18"/>
        </w:numPr>
        <w:rPr>
          <w:lang w:eastAsia="en-NZ" w:bidi="en-US"/>
        </w:rPr>
      </w:pPr>
      <w:r>
        <w:rPr>
          <w:lang w:eastAsia="en-NZ" w:bidi="en-US"/>
        </w:rPr>
        <w:t xml:space="preserve">Higher level of promotion of the </w:t>
      </w:r>
      <w:r w:rsidR="003353EB">
        <w:rPr>
          <w:lang w:eastAsia="en-NZ" w:bidi="en-US"/>
        </w:rPr>
        <w:t>Level 2</w:t>
      </w:r>
      <w:r>
        <w:rPr>
          <w:lang w:eastAsia="en-NZ" w:bidi="en-US"/>
        </w:rPr>
        <w:t xml:space="preserve"> ACP training course at CME meetings by regional training coordinators;</w:t>
      </w:r>
    </w:p>
    <w:p w:rsidR="000F5ADF" w:rsidRDefault="00A066E5" w:rsidP="008C348E">
      <w:pPr>
        <w:pStyle w:val="Bodycopy"/>
        <w:numPr>
          <w:ilvl w:val="0"/>
          <w:numId w:val="18"/>
        </w:numPr>
        <w:rPr>
          <w:lang w:eastAsia="en-NZ" w:bidi="en-US"/>
        </w:rPr>
      </w:pPr>
      <w:r>
        <w:rPr>
          <w:lang w:eastAsia="en-NZ" w:bidi="en-US"/>
        </w:rPr>
        <w:t xml:space="preserve">Proactive </w:t>
      </w:r>
      <w:r w:rsidR="00EA0D9D">
        <w:rPr>
          <w:lang w:eastAsia="en-NZ" w:bidi="en-US"/>
        </w:rPr>
        <w:t xml:space="preserve">targeted </w:t>
      </w:r>
      <w:r>
        <w:rPr>
          <w:lang w:eastAsia="en-NZ" w:bidi="en-US"/>
        </w:rPr>
        <w:t xml:space="preserve">promotion of the ACP </w:t>
      </w:r>
      <w:r w:rsidR="003353EB">
        <w:rPr>
          <w:lang w:eastAsia="en-NZ" w:bidi="en-US"/>
        </w:rPr>
        <w:t>Level 2</w:t>
      </w:r>
      <w:r>
        <w:rPr>
          <w:lang w:eastAsia="en-NZ" w:bidi="en-US"/>
        </w:rPr>
        <w:t xml:space="preserve"> training programme within the Southern region for areas identified with low training uptake;</w:t>
      </w:r>
    </w:p>
    <w:p w:rsidR="00A066E5" w:rsidRDefault="00A066E5" w:rsidP="008C348E">
      <w:pPr>
        <w:pStyle w:val="Bodycopy"/>
        <w:numPr>
          <w:ilvl w:val="0"/>
          <w:numId w:val="18"/>
        </w:numPr>
        <w:rPr>
          <w:lang w:eastAsia="en-NZ" w:bidi="en-US"/>
        </w:rPr>
      </w:pPr>
      <w:r>
        <w:rPr>
          <w:lang w:eastAsia="en-NZ" w:bidi="en-US"/>
        </w:rPr>
        <w:t>Easier access to backfill staff within the Northern region; and</w:t>
      </w:r>
    </w:p>
    <w:p w:rsidR="00A066E5" w:rsidRDefault="00A066E5" w:rsidP="008C348E">
      <w:pPr>
        <w:pStyle w:val="Bodycopy"/>
        <w:numPr>
          <w:ilvl w:val="0"/>
          <w:numId w:val="18"/>
        </w:numPr>
        <w:rPr>
          <w:lang w:eastAsia="en-NZ" w:bidi="en-US"/>
        </w:rPr>
      </w:pPr>
      <w:r>
        <w:rPr>
          <w:lang w:eastAsia="en-NZ" w:bidi="en-US"/>
        </w:rPr>
        <w:t xml:space="preserve">Lower traveling distances to travel and thus avoiding additional accommodation costs for Northern region practitioners that attend the ACP level training. </w:t>
      </w:r>
    </w:p>
    <w:p w:rsidR="008D48AC" w:rsidRDefault="00427CC3" w:rsidP="00A066E5">
      <w:pPr>
        <w:pStyle w:val="Bodycopy"/>
        <w:rPr>
          <w:lang w:eastAsia="en-NZ" w:bidi="en-US"/>
        </w:rPr>
      </w:pPr>
      <w:r>
        <w:rPr>
          <w:lang w:eastAsia="en-NZ" w:bidi="en-US"/>
        </w:rPr>
        <w:t xml:space="preserve">In terms of effectiveness of the course from the perspective of attendees, an online survey was sent to participants who had attended the </w:t>
      </w:r>
      <w:r w:rsidR="003353EB">
        <w:rPr>
          <w:lang w:eastAsia="en-NZ" w:bidi="en-US"/>
        </w:rPr>
        <w:t>Level 2</w:t>
      </w:r>
      <w:r>
        <w:rPr>
          <w:lang w:eastAsia="en-NZ" w:bidi="en-US"/>
        </w:rPr>
        <w:t xml:space="preserve"> training between the 4 November 2013 and 3 September 2014. The online survey was sent to 244 recipients, with 133 recipients completing the survey and 111 recipients who did not respond to the online survey. The overall response rate to the online survey was 55%. In our view the response rate is sufficient enough to draw conclusions regarding the ACP </w:t>
      </w:r>
      <w:r w:rsidR="003353EB">
        <w:rPr>
          <w:lang w:eastAsia="en-NZ" w:bidi="en-US"/>
        </w:rPr>
        <w:t>Level 2</w:t>
      </w:r>
      <w:r>
        <w:rPr>
          <w:lang w:eastAsia="en-NZ" w:bidi="en-US"/>
        </w:rPr>
        <w:t xml:space="preserve"> training programme.  </w:t>
      </w:r>
    </w:p>
    <w:p w:rsidR="00A066E5" w:rsidRDefault="00427CC3" w:rsidP="00A066E5">
      <w:pPr>
        <w:pStyle w:val="Bodycopy"/>
        <w:rPr>
          <w:lang w:eastAsia="en-NZ" w:bidi="en-US"/>
        </w:rPr>
      </w:pPr>
      <w:r>
        <w:rPr>
          <w:lang w:eastAsia="en-NZ" w:bidi="en-US"/>
        </w:rPr>
        <w:t xml:space="preserve"> </w:t>
      </w:r>
    </w:p>
    <w:p w:rsidR="00427CC3" w:rsidRDefault="00427CC3" w:rsidP="00A066E5">
      <w:pPr>
        <w:pStyle w:val="Bodycopy"/>
        <w:rPr>
          <w:lang w:eastAsia="en-NZ" w:bidi="en-US"/>
        </w:rPr>
      </w:pPr>
      <w:r>
        <w:rPr>
          <w:lang w:eastAsia="en-NZ" w:bidi="en-US"/>
        </w:rPr>
        <w:lastRenderedPageBreak/>
        <w:t xml:space="preserve">Key </w:t>
      </w:r>
      <w:r w:rsidR="00A838FF">
        <w:rPr>
          <w:lang w:eastAsia="en-NZ" w:bidi="en-US"/>
        </w:rPr>
        <w:t xml:space="preserve">qualitative </w:t>
      </w:r>
      <w:r>
        <w:rPr>
          <w:lang w:eastAsia="en-NZ" w:bidi="en-US"/>
        </w:rPr>
        <w:t xml:space="preserve">questions asked to survey </w:t>
      </w:r>
      <w:r w:rsidR="00FF0922">
        <w:rPr>
          <w:lang w:eastAsia="en-NZ" w:bidi="en-US"/>
        </w:rPr>
        <w:t>recipients</w:t>
      </w:r>
      <w:r>
        <w:rPr>
          <w:lang w:eastAsia="en-NZ" w:bidi="en-US"/>
        </w:rPr>
        <w:t xml:space="preserve"> to assess effectiveness and also any barriers to participation included the following questions:</w:t>
      </w:r>
    </w:p>
    <w:p w:rsidR="003706E9" w:rsidRDefault="003706E9" w:rsidP="008C348E">
      <w:pPr>
        <w:pStyle w:val="Bodycopy"/>
        <w:numPr>
          <w:ilvl w:val="0"/>
          <w:numId w:val="19"/>
        </w:numPr>
        <w:rPr>
          <w:lang w:eastAsia="en-NZ" w:bidi="en-US"/>
        </w:rPr>
      </w:pPr>
      <w:r>
        <w:rPr>
          <w:lang w:eastAsia="en-NZ" w:bidi="en-US"/>
        </w:rPr>
        <w:t>Would you recommend the course to others?</w:t>
      </w:r>
      <w:r w:rsidR="007A7BCF">
        <w:rPr>
          <w:lang w:eastAsia="en-NZ" w:bidi="en-US"/>
        </w:rPr>
        <w:t xml:space="preserve"> (Yes</w:t>
      </w:r>
      <w:r w:rsidR="00EA0D9D">
        <w:rPr>
          <w:lang w:eastAsia="en-NZ" w:bidi="en-US"/>
        </w:rPr>
        <w:t>/</w:t>
      </w:r>
      <w:r w:rsidR="007A7BCF">
        <w:rPr>
          <w:lang w:eastAsia="en-NZ" w:bidi="en-US"/>
        </w:rPr>
        <w:t xml:space="preserve"> No question supplemented with qualitative responses)</w:t>
      </w:r>
      <w:r>
        <w:rPr>
          <w:lang w:eastAsia="en-NZ" w:bidi="en-US"/>
        </w:rPr>
        <w:t xml:space="preserve"> </w:t>
      </w:r>
    </w:p>
    <w:p w:rsidR="003706E9" w:rsidRDefault="003706E9" w:rsidP="008C348E">
      <w:pPr>
        <w:pStyle w:val="Bodycopy"/>
        <w:numPr>
          <w:ilvl w:val="0"/>
          <w:numId w:val="19"/>
        </w:numPr>
        <w:rPr>
          <w:lang w:eastAsia="en-NZ" w:bidi="en-US"/>
        </w:rPr>
      </w:pPr>
      <w:r>
        <w:rPr>
          <w:lang w:eastAsia="en-NZ" w:bidi="en-US"/>
        </w:rPr>
        <w:t>With regard to the course content, are there any areas/items which could be removed?</w:t>
      </w:r>
      <w:r w:rsidR="00EA0D9D">
        <w:rPr>
          <w:lang w:eastAsia="en-NZ" w:bidi="en-US"/>
        </w:rPr>
        <w:t xml:space="preserve"> (Qualitative question)</w:t>
      </w:r>
    </w:p>
    <w:p w:rsidR="003706E9" w:rsidRDefault="003706E9" w:rsidP="008C348E">
      <w:pPr>
        <w:pStyle w:val="Bodycopy"/>
        <w:numPr>
          <w:ilvl w:val="0"/>
          <w:numId w:val="19"/>
        </w:numPr>
        <w:rPr>
          <w:lang w:eastAsia="en-NZ" w:bidi="en-US"/>
        </w:rPr>
      </w:pPr>
      <w:r>
        <w:rPr>
          <w:lang w:eastAsia="en-NZ" w:bidi="en-US"/>
        </w:rPr>
        <w:t>Are there any other areas which are needed to be covered in greater depth?</w:t>
      </w:r>
      <w:r w:rsidR="00EA0D9D">
        <w:rPr>
          <w:lang w:eastAsia="en-NZ" w:bidi="en-US"/>
        </w:rPr>
        <w:t xml:space="preserve"> (Qualitative question)</w:t>
      </w:r>
    </w:p>
    <w:p w:rsidR="003706E9" w:rsidRDefault="003706E9" w:rsidP="008C348E">
      <w:pPr>
        <w:pStyle w:val="Bodycopy"/>
        <w:numPr>
          <w:ilvl w:val="0"/>
          <w:numId w:val="19"/>
        </w:numPr>
        <w:rPr>
          <w:lang w:eastAsia="en-NZ" w:bidi="en-US"/>
        </w:rPr>
      </w:pPr>
      <w:r>
        <w:rPr>
          <w:lang w:eastAsia="en-NZ" w:bidi="en-US"/>
        </w:rPr>
        <w:t>Is there any other feedback to take into account in future courses?</w:t>
      </w:r>
      <w:r w:rsidR="00EA0D9D">
        <w:rPr>
          <w:lang w:eastAsia="en-NZ" w:bidi="en-US"/>
        </w:rPr>
        <w:t xml:space="preserve"> (Qualitative question)</w:t>
      </w:r>
    </w:p>
    <w:p w:rsidR="00956C06" w:rsidRDefault="00A838FF" w:rsidP="00956C06">
      <w:pPr>
        <w:pStyle w:val="Bodycopy"/>
        <w:rPr>
          <w:lang w:eastAsia="en-NZ" w:bidi="en-US"/>
        </w:rPr>
      </w:pPr>
      <w:r>
        <w:rPr>
          <w:lang w:eastAsia="en-NZ" w:bidi="en-US"/>
        </w:rPr>
        <w:t xml:space="preserve">90% of survey participants would recommend the course to others, 5% of </w:t>
      </w:r>
      <w:r w:rsidR="001C611E">
        <w:rPr>
          <w:lang w:eastAsia="en-NZ" w:bidi="en-US"/>
        </w:rPr>
        <w:t xml:space="preserve">survey participants </w:t>
      </w:r>
      <w:r>
        <w:rPr>
          <w:lang w:eastAsia="en-NZ" w:bidi="en-US"/>
        </w:rPr>
        <w:t>would not</w:t>
      </w:r>
      <w:r w:rsidR="001C611E">
        <w:rPr>
          <w:lang w:eastAsia="en-NZ" w:bidi="en-US"/>
        </w:rPr>
        <w:t xml:space="preserve"> recommend the course to others</w:t>
      </w:r>
      <w:r>
        <w:rPr>
          <w:lang w:eastAsia="en-NZ" w:bidi="en-US"/>
        </w:rPr>
        <w:t xml:space="preserve">, and 5% </w:t>
      </w:r>
      <w:r w:rsidR="001C611E">
        <w:rPr>
          <w:lang w:eastAsia="en-NZ" w:bidi="en-US"/>
        </w:rPr>
        <w:t>of survey participants did not answer the question</w:t>
      </w:r>
      <w:r w:rsidR="00EA0D9D">
        <w:rPr>
          <w:lang w:eastAsia="en-NZ" w:bidi="en-US"/>
        </w:rPr>
        <w:t xml:space="preserve"> in relation to recommending the course to others</w:t>
      </w:r>
      <w:r w:rsidR="001C611E">
        <w:rPr>
          <w:lang w:eastAsia="en-NZ" w:bidi="en-US"/>
        </w:rPr>
        <w:t xml:space="preserve">. </w:t>
      </w:r>
      <w:r w:rsidR="00956C06">
        <w:rPr>
          <w:lang w:eastAsia="en-NZ" w:bidi="en-US"/>
        </w:rPr>
        <w:t>Positive feedback received included:</w:t>
      </w:r>
    </w:p>
    <w:p w:rsidR="00956C06" w:rsidRPr="00BC20CA" w:rsidRDefault="00956C06" w:rsidP="00956C06">
      <w:pPr>
        <w:pStyle w:val="Bodycopy"/>
        <w:numPr>
          <w:ilvl w:val="0"/>
          <w:numId w:val="36"/>
        </w:numPr>
        <w:rPr>
          <w:i/>
          <w:lang w:eastAsia="en-NZ" w:bidi="en-US"/>
        </w:rPr>
      </w:pPr>
      <w:r w:rsidRPr="00BC20CA">
        <w:rPr>
          <w:i/>
          <w:lang w:eastAsia="en-NZ" w:bidi="en-US"/>
        </w:rPr>
        <w:t xml:space="preserve">“Absolutely, best course I have ever done; </w:t>
      </w:r>
    </w:p>
    <w:p w:rsidR="00956C06" w:rsidRPr="00BC20CA" w:rsidRDefault="00956C06" w:rsidP="00956C06">
      <w:pPr>
        <w:pStyle w:val="Bodycopy"/>
        <w:numPr>
          <w:ilvl w:val="0"/>
          <w:numId w:val="36"/>
        </w:numPr>
        <w:rPr>
          <w:i/>
          <w:lang w:eastAsia="en-NZ" w:bidi="en-US"/>
        </w:rPr>
      </w:pPr>
      <w:r w:rsidRPr="00BC20CA">
        <w:rPr>
          <w:i/>
          <w:lang w:eastAsia="en-NZ" w:bidi="en-US"/>
        </w:rPr>
        <w:t>I am systematically making sure that every social worker attend this course;</w:t>
      </w:r>
    </w:p>
    <w:p w:rsidR="00956C06" w:rsidRPr="00BC20CA" w:rsidRDefault="00956C06" w:rsidP="00956C06">
      <w:pPr>
        <w:pStyle w:val="Bodycopy"/>
        <w:numPr>
          <w:ilvl w:val="0"/>
          <w:numId w:val="36"/>
        </w:numPr>
        <w:rPr>
          <w:i/>
          <w:lang w:eastAsia="en-NZ" w:bidi="en-US"/>
        </w:rPr>
      </w:pPr>
      <w:r w:rsidRPr="00BC20CA">
        <w:rPr>
          <w:i/>
          <w:lang w:eastAsia="en-NZ" w:bidi="en-US"/>
        </w:rPr>
        <w:t xml:space="preserve">This was a fantastic course; </w:t>
      </w:r>
    </w:p>
    <w:p w:rsidR="00956C06" w:rsidRPr="00BC20CA" w:rsidRDefault="00956C06" w:rsidP="00956C06">
      <w:pPr>
        <w:pStyle w:val="Bodycopy"/>
        <w:numPr>
          <w:ilvl w:val="0"/>
          <w:numId w:val="36"/>
        </w:numPr>
        <w:rPr>
          <w:i/>
          <w:lang w:eastAsia="en-NZ" w:bidi="en-US"/>
        </w:rPr>
      </w:pPr>
      <w:r w:rsidRPr="00BC20CA">
        <w:rPr>
          <w:i/>
          <w:lang w:eastAsia="en-NZ" w:bidi="en-US"/>
        </w:rPr>
        <w:t xml:space="preserve">For an older Doc the course exposed me to learning in communication and testing new skills….. always valuable and hence should benefit all participants; </w:t>
      </w:r>
    </w:p>
    <w:p w:rsidR="00956C06" w:rsidRPr="00BC20CA" w:rsidRDefault="00956C06" w:rsidP="00956C06">
      <w:pPr>
        <w:pStyle w:val="Bodycopy"/>
        <w:numPr>
          <w:ilvl w:val="0"/>
          <w:numId w:val="36"/>
        </w:numPr>
        <w:rPr>
          <w:i/>
          <w:lang w:eastAsia="en-NZ" w:bidi="en-US"/>
        </w:rPr>
      </w:pPr>
      <w:r w:rsidRPr="00BC20CA">
        <w:rPr>
          <w:i/>
          <w:lang w:eastAsia="en-NZ" w:bidi="en-US"/>
        </w:rPr>
        <w:t>It was not at all what I was expecting but it was better than I was expecting.  It was simply excellent.</w:t>
      </w:r>
    </w:p>
    <w:p w:rsidR="00956C06" w:rsidRPr="00BC20CA" w:rsidRDefault="00956C06" w:rsidP="00956C06">
      <w:pPr>
        <w:pStyle w:val="Bodycopy"/>
        <w:numPr>
          <w:ilvl w:val="0"/>
          <w:numId w:val="36"/>
        </w:numPr>
        <w:rPr>
          <w:i/>
          <w:lang w:eastAsia="en-NZ" w:bidi="en-US"/>
        </w:rPr>
      </w:pPr>
      <w:r w:rsidRPr="00BC20CA">
        <w:rPr>
          <w:i/>
          <w:lang w:eastAsia="en-NZ" w:bidi="en-US"/>
        </w:rPr>
        <w:t>Everyone should do this course – it has re energised my practice and amazing outcomes since attending (and I thought I had it pretty sussed before); and</w:t>
      </w:r>
    </w:p>
    <w:p w:rsidR="00956C06" w:rsidRDefault="00956C06" w:rsidP="00956C06">
      <w:pPr>
        <w:pStyle w:val="Bodycopy"/>
        <w:numPr>
          <w:ilvl w:val="0"/>
          <w:numId w:val="36"/>
        </w:numPr>
        <w:rPr>
          <w:i/>
          <w:lang w:eastAsia="en-NZ" w:bidi="en-US"/>
        </w:rPr>
      </w:pPr>
      <w:r w:rsidRPr="00BC20CA">
        <w:rPr>
          <w:i/>
          <w:lang w:eastAsia="en-NZ" w:bidi="en-US"/>
        </w:rPr>
        <w:t>Absolutely! I would like to see this type of education made compulsory for doctors and nurses.”</w:t>
      </w:r>
    </w:p>
    <w:p w:rsidR="008D48AC" w:rsidRDefault="008D48AC" w:rsidP="00004292">
      <w:pPr>
        <w:pStyle w:val="Bodycopy"/>
        <w:rPr>
          <w:i/>
          <w:lang w:eastAsia="en-NZ" w:bidi="en-US"/>
        </w:rPr>
      </w:pPr>
    </w:p>
    <w:p w:rsidR="008D48AC" w:rsidRDefault="008D48AC" w:rsidP="00004292">
      <w:pPr>
        <w:pStyle w:val="Bodycopy"/>
        <w:rPr>
          <w:i/>
          <w:lang w:eastAsia="en-NZ" w:bidi="en-US"/>
        </w:rPr>
      </w:pPr>
    </w:p>
    <w:p w:rsidR="008D48AC" w:rsidRDefault="008D48AC" w:rsidP="00004292">
      <w:pPr>
        <w:pStyle w:val="Bodycopy"/>
        <w:rPr>
          <w:i/>
          <w:lang w:eastAsia="en-NZ" w:bidi="en-US"/>
        </w:rPr>
      </w:pPr>
    </w:p>
    <w:p w:rsidR="008D48AC" w:rsidRPr="00BC20CA" w:rsidRDefault="008D48AC" w:rsidP="00004292">
      <w:pPr>
        <w:pStyle w:val="Bodycopy"/>
        <w:rPr>
          <w:i/>
          <w:lang w:eastAsia="en-NZ" w:bidi="en-US"/>
        </w:rPr>
      </w:pPr>
    </w:p>
    <w:p w:rsidR="003706E9" w:rsidRDefault="00956C06" w:rsidP="003706E9">
      <w:pPr>
        <w:pStyle w:val="Bodycopy"/>
        <w:rPr>
          <w:lang w:eastAsia="en-NZ" w:bidi="en-US"/>
        </w:rPr>
      </w:pPr>
      <w:r>
        <w:rPr>
          <w:lang w:eastAsia="en-NZ" w:bidi="en-US"/>
        </w:rPr>
        <w:lastRenderedPageBreak/>
        <w:t xml:space="preserve">Negative feedback received (which in our view is the key points to take on board in future ACP training courses) included the following </w:t>
      </w:r>
      <w:r w:rsidR="007B2900">
        <w:rPr>
          <w:lang w:eastAsia="en-NZ" w:bidi="en-US"/>
        </w:rPr>
        <w:t>general comments:</w:t>
      </w:r>
    </w:p>
    <w:p w:rsidR="007B2900" w:rsidRPr="008C348E" w:rsidRDefault="007B2900" w:rsidP="008C348E">
      <w:pPr>
        <w:pStyle w:val="Bodycopy"/>
        <w:numPr>
          <w:ilvl w:val="0"/>
          <w:numId w:val="20"/>
        </w:numPr>
        <w:rPr>
          <w:i/>
          <w:lang w:eastAsia="en-NZ" w:bidi="en-US"/>
        </w:rPr>
      </w:pPr>
      <w:r>
        <w:rPr>
          <w:i/>
          <w:lang w:eastAsia="en-NZ" w:bidi="en-US"/>
        </w:rPr>
        <w:t xml:space="preserve">“ </w:t>
      </w:r>
      <w:r w:rsidRPr="008C348E">
        <w:rPr>
          <w:i/>
          <w:lang w:eastAsia="en-NZ" w:bidi="en-US"/>
        </w:rPr>
        <w:t>Level 1 training was more beneficial from a practical learning point;</w:t>
      </w:r>
    </w:p>
    <w:p w:rsidR="007B2900" w:rsidRPr="008C348E" w:rsidRDefault="007B2900" w:rsidP="008C348E">
      <w:pPr>
        <w:pStyle w:val="Bodycopy"/>
        <w:numPr>
          <w:ilvl w:val="0"/>
          <w:numId w:val="20"/>
        </w:numPr>
        <w:rPr>
          <w:i/>
          <w:lang w:eastAsia="en-NZ" w:bidi="en-US"/>
        </w:rPr>
      </w:pPr>
      <w:r w:rsidRPr="008C348E">
        <w:rPr>
          <w:i/>
          <w:lang w:eastAsia="en-NZ" w:bidi="en-US"/>
        </w:rPr>
        <w:t>The course was overly long for the skills imparted;</w:t>
      </w:r>
    </w:p>
    <w:p w:rsidR="007B2900" w:rsidRPr="008C348E" w:rsidRDefault="007B2900" w:rsidP="008C348E">
      <w:pPr>
        <w:pStyle w:val="Bodycopy"/>
        <w:numPr>
          <w:ilvl w:val="0"/>
          <w:numId w:val="20"/>
        </w:numPr>
        <w:rPr>
          <w:i/>
          <w:lang w:eastAsia="en-NZ" w:bidi="en-US"/>
        </w:rPr>
      </w:pPr>
      <w:r w:rsidRPr="008C348E">
        <w:rPr>
          <w:i/>
          <w:lang w:eastAsia="en-NZ" w:bidi="en-US"/>
        </w:rPr>
        <w:t>The course may be useful for undergraduates and new grads to be taught how to talk to clients but experienced staff do not need to spend 2 days learning how to talk to clients;</w:t>
      </w:r>
    </w:p>
    <w:p w:rsidR="007B2900" w:rsidRPr="008C348E" w:rsidRDefault="007B2900" w:rsidP="008C348E">
      <w:pPr>
        <w:pStyle w:val="Bodycopy"/>
        <w:numPr>
          <w:ilvl w:val="0"/>
          <w:numId w:val="20"/>
        </w:numPr>
        <w:rPr>
          <w:i/>
          <w:lang w:eastAsia="en-NZ" w:bidi="en-US"/>
        </w:rPr>
      </w:pPr>
      <w:r>
        <w:rPr>
          <w:i/>
          <w:lang w:eastAsia="en-NZ" w:bidi="en-US"/>
        </w:rPr>
        <w:t>T</w:t>
      </w:r>
      <w:r w:rsidRPr="008C348E">
        <w:rPr>
          <w:i/>
          <w:lang w:eastAsia="en-NZ" w:bidi="en-US"/>
        </w:rPr>
        <w:t>here would be resistance to paying course and time away from work</w:t>
      </w:r>
      <w:r>
        <w:rPr>
          <w:i/>
          <w:lang w:eastAsia="en-NZ" w:bidi="en-US"/>
        </w:rPr>
        <w:t xml:space="preserve"> for some workplace, I </w:t>
      </w:r>
      <w:r w:rsidRPr="008C348E">
        <w:rPr>
          <w:i/>
          <w:lang w:eastAsia="en-NZ" w:bidi="en-US"/>
        </w:rPr>
        <w:t xml:space="preserve"> self-funded myself for course</w:t>
      </w:r>
      <w:r w:rsidR="00EA0D9D">
        <w:rPr>
          <w:i/>
          <w:lang w:eastAsia="en-NZ" w:bidi="en-US"/>
        </w:rPr>
        <w:t xml:space="preserve"> costs</w:t>
      </w:r>
      <w:r w:rsidRPr="008C348E">
        <w:rPr>
          <w:i/>
          <w:lang w:eastAsia="en-NZ" w:bidi="en-US"/>
        </w:rPr>
        <w:t>, accommodation, travel and unpaid leave</w:t>
      </w:r>
      <w:r w:rsidR="00EA0D9D">
        <w:rPr>
          <w:i/>
          <w:lang w:eastAsia="en-NZ" w:bidi="en-US"/>
        </w:rPr>
        <w:t>;</w:t>
      </w:r>
    </w:p>
    <w:p w:rsidR="007B2900" w:rsidRPr="008C348E" w:rsidRDefault="007B2900" w:rsidP="008C348E">
      <w:pPr>
        <w:pStyle w:val="Bodycopy"/>
        <w:numPr>
          <w:ilvl w:val="0"/>
          <w:numId w:val="20"/>
        </w:numPr>
        <w:rPr>
          <w:i/>
          <w:lang w:eastAsia="en-NZ" w:bidi="en-US"/>
        </w:rPr>
      </w:pPr>
      <w:r w:rsidRPr="008C348E">
        <w:rPr>
          <w:i/>
          <w:lang w:eastAsia="en-NZ" w:bidi="en-US"/>
        </w:rPr>
        <w:t>The length of the course puts GPs off as it is hard to make time to attend</w:t>
      </w:r>
      <w:r w:rsidR="00EA0D9D">
        <w:rPr>
          <w:i/>
          <w:lang w:eastAsia="en-NZ" w:bidi="en-US"/>
        </w:rPr>
        <w:t>;</w:t>
      </w:r>
    </w:p>
    <w:p w:rsidR="007B2900" w:rsidRPr="008C348E" w:rsidRDefault="007B2900" w:rsidP="008C348E">
      <w:pPr>
        <w:pStyle w:val="Bodycopy"/>
        <w:numPr>
          <w:ilvl w:val="0"/>
          <w:numId w:val="20"/>
        </w:numPr>
        <w:rPr>
          <w:i/>
          <w:lang w:eastAsia="en-NZ" w:bidi="en-US"/>
        </w:rPr>
      </w:pPr>
      <w:r w:rsidRPr="008C348E">
        <w:rPr>
          <w:i/>
          <w:lang w:eastAsia="en-NZ" w:bidi="en-US"/>
        </w:rPr>
        <w:t>More a communication course rather than ACP; and</w:t>
      </w:r>
    </w:p>
    <w:p w:rsidR="007B2900" w:rsidRDefault="007B2900" w:rsidP="008C348E">
      <w:pPr>
        <w:pStyle w:val="Bodycopy"/>
        <w:numPr>
          <w:ilvl w:val="0"/>
          <w:numId w:val="20"/>
        </w:numPr>
        <w:rPr>
          <w:i/>
          <w:lang w:eastAsia="en-NZ" w:bidi="en-US"/>
        </w:rPr>
      </w:pPr>
      <w:r w:rsidRPr="008C348E">
        <w:rPr>
          <w:i/>
          <w:lang w:eastAsia="en-NZ" w:bidi="en-US"/>
        </w:rPr>
        <w:t>The course was not advertised as an advanced communication course and is expensive for a</w:t>
      </w:r>
      <w:r w:rsidRPr="007B2900">
        <w:rPr>
          <w:i/>
          <w:lang w:eastAsia="en-NZ" w:bidi="en-US"/>
        </w:rPr>
        <w:t>n advanced communication course</w:t>
      </w:r>
      <w:r>
        <w:rPr>
          <w:i/>
          <w:lang w:eastAsia="en-NZ" w:bidi="en-US"/>
        </w:rPr>
        <w:t>.”</w:t>
      </w:r>
    </w:p>
    <w:p w:rsidR="00956C06" w:rsidRDefault="007A7BCF" w:rsidP="007B2900">
      <w:pPr>
        <w:pStyle w:val="Bodycopy"/>
        <w:rPr>
          <w:lang w:eastAsia="en-NZ" w:bidi="en-US"/>
        </w:rPr>
      </w:pPr>
      <w:r>
        <w:rPr>
          <w:lang w:eastAsia="en-NZ" w:bidi="en-US"/>
        </w:rPr>
        <w:t xml:space="preserve">59% of survey participants responded to </w:t>
      </w:r>
      <w:r w:rsidR="00EA0D9D">
        <w:rPr>
          <w:lang w:eastAsia="en-NZ" w:bidi="en-US"/>
        </w:rPr>
        <w:t>the question “are there any areas/items which could be removed?” O</w:t>
      </w:r>
      <w:r w:rsidR="004C0929">
        <w:rPr>
          <w:lang w:eastAsia="en-NZ" w:bidi="en-US"/>
        </w:rPr>
        <w:t xml:space="preserve">nly </w:t>
      </w:r>
      <w:r>
        <w:rPr>
          <w:lang w:eastAsia="en-NZ" w:bidi="en-US"/>
        </w:rPr>
        <w:t xml:space="preserve">15% of </w:t>
      </w:r>
      <w:r w:rsidR="004C0929">
        <w:rPr>
          <w:lang w:eastAsia="en-NZ" w:bidi="en-US"/>
        </w:rPr>
        <w:t xml:space="preserve">respondents </w:t>
      </w:r>
      <w:r w:rsidR="00D75A60">
        <w:rPr>
          <w:lang w:eastAsia="en-NZ" w:bidi="en-US"/>
        </w:rPr>
        <w:t xml:space="preserve">who </w:t>
      </w:r>
      <w:r w:rsidR="004C0929">
        <w:rPr>
          <w:lang w:eastAsia="en-NZ" w:bidi="en-US"/>
        </w:rPr>
        <w:t>provided a qualitative response, with regard to areas of the course that could potentially be improved (85% of respondents provided positive responses)</w:t>
      </w:r>
      <w:r w:rsidR="00956C06">
        <w:rPr>
          <w:lang w:eastAsia="en-NZ" w:bidi="en-US"/>
        </w:rPr>
        <w:t>. The positive responses (85% of survey participants that answered the question) identified the following:</w:t>
      </w:r>
    </w:p>
    <w:p w:rsidR="00956C06" w:rsidRPr="00004292" w:rsidRDefault="00956C06" w:rsidP="00004292">
      <w:pPr>
        <w:pStyle w:val="Bodycopy"/>
        <w:numPr>
          <w:ilvl w:val="0"/>
          <w:numId w:val="20"/>
        </w:numPr>
        <w:rPr>
          <w:i/>
          <w:lang w:eastAsia="en-NZ" w:bidi="en-US"/>
        </w:rPr>
      </w:pPr>
      <w:r w:rsidRPr="00004292">
        <w:rPr>
          <w:i/>
          <w:lang w:eastAsia="en-NZ" w:bidi="en-US"/>
        </w:rPr>
        <w:tab/>
        <w:t>I found all areas/items useful</w:t>
      </w:r>
      <w:r>
        <w:rPr>
          <w:i/>
          <w:lang w:eastAsia="en-NZ" w:bidi="en-US"/>
        </w:rPr>
        <w:t>;</w:t>
      </w:r>
    </w:p>
    <w:p w:rsidR="00956C06" w:rsidRPr="00004292" w:rsidRDefault="00956C06" w:rsidP="00004292">
      <w:pPr>
        <w:pStyle w:val="Bodycopy"/>
        <w:numPr>
          <w:ilvl w:val="0"/>
          <w:numId w:val="20"/>
        </w:numPr>
        <w:rPr>
          <w:i/>
          <w:lang w:eastAsia="en-NZ" w:bidi="en-US"/>
        </w:rPr>
      </w:pPr>
      <w:r w:rsidRPr="00004292">
        <w:rPr>
          <w:i/>
          <w:lang w:eastAsia="en-NZ" w:bidi="en-US"/>
        </w:rPr>
        <w:tab/>
        <w:t>I feel it was all very relevant</w:t>
      </w:r>
      <w:r>
        <w:rPr>
          <w:i/>
          <w:lang w:eastAsia="en-NZ" w:bidi="en-US"/>
        </w:rPr>
        <w:t>;</w:t>
      </w:r>
    </w:p>
    <w:p w:rsidR="00956C06" w:rsidRPr="00004292" w:rsidRDefault="00956C06" w:rsidP="00004292">
      <w:pPr>
        <w:pStyle w:val="Bodycopy"/>
        <w:numPr>
          <w:ilvl w:val="0"/>
          <w:numId w:val="20"/>
        </w:numPr>
        <w:rPr>
          <w:i/>
          <w:lang w:eastAsia="en-NZ" w:bidi="en-US"/>
        </w:rPr>
      </w:pPr>
      <w:r w:rsidRPr="00004292">
        <w:rPr>
          <w:i/>
          <w:lang w:eastAsia="en-NZ" w:bidi="en-US"/>
        </w:rPr>
        <w:tab/>
        <w:t>No, as the course progressed it tied together well</w:t>
      </w:r>
      <w:r>
        <w:rPr>
          <w:i/>
          <w:lang w:eastAsia="en-NZ" w:bidi="en-US"/>
        </w:rPr>
        <w:t>; and</w:t>
      </w:r>
    </w:p>
    <w:p w:rsidR="00956C06" w:rsidRPr="00004292" w:rsidRDefault="00956C06" w:rsidP="00004292">
      <w:pPr>
        <w:pStyle w:val="Bodycopy"/>
        <w:numPr>
          <w:ilvl w:val="0"/>
          <w:numId w:val="20"/>
        </w:numPr>
        <w:rPr>
          <w:i/>
          <w:lang w:eastAsia="en-NZ" w:bidi="en-US"/>
        </w:rPr>
      </w:pPr>
      <w:r w:rsidRPr="00004292">
        <w:rPr>
          <w:i/>
          <w:lang w:eastAsia="en-NZ" w:bidi="en-US"/>
        </w:rPr>
        <w:tab/>
        <w:t>I don’t believe any</w:t>
      </w:r>
      <w:r>
        <w:rPr>
          <w:i/>
          <w:lang w:eastAsia="en-NZ" w:bidi="en-US"/>
        </w:rPr>
        <w:t>thing</w:t>
      </w:r>
      <w:r w:rsidRPr="00004292">
        <w:rPr>
          <w:i/>
          <w:lang w:eastAsia="en-NZ" w:bidi="en-US"/>
        </w:rPr>
        <w:t xml:space="preserve"> should be removed</w:t>
      </w:r>
      <w:r>
        <w:rPr>
          <w:i/>
          <w:lang w:eastAsia="en-NZ" w:bidi="en-US"/>
        </w:rPr>
        <w:t>.</w:t>
      </w:r>
    </w:p>
    <w:p w:rsidR="00956C06" w:rsidRPr="00BC20CA" w:rsidRDefault="00956C06" w:rsidP="00956C06">
      <w:pPr>
        <w:pStyle w:val="Bodycopy"/>
        <w:rPr>
          <w:lang w:eastAsia="en-NZ" w:bidi="en-US"/>
        </w:rPr>
      </w:pPr>
      <w:r>
        <w:rPr>
          <w:lang w:eastAsia="en-NZ" w:bidi="en-US"/>
        </w:rPr>
        <w:t xml:space="preserve">15% of survey participants provided comments for areas/items which could be improved, and in our view the negative responses received with regard to areas/items of the training programme which could be improved should be taken on board by the current training provider to further improve the level 2 ACP training programme. </w:t>
      </w:r>
      <w:r w:rsidR="002335C0">
        <w:rPr>
          <w:lang w:eastAsia="en-NZ" w:bidi="en-US"/>
        </w:rPr>
        <w:t>The general comments for areas which could be improved include:</w:t>
      </w:r>
    </w:p>
    <w:p w:rsidR="007B2900" w:rsidRPr="008C348E" w:rsidRDefault="004C0929" w:rsidP="00004292">
      <w:pPr>
        <w:pStyle w:val="Bodycopy"/>
        <w:rPr>
          <w:i/>
          <w:lang w:eastAsia="en-NZ" w:bidi="en-US"/>
        </w:rPr>
      </w:pPr>
      <w:r w:rsidRPr="008C348E">
        <w:rPr>
          <w:i/>
          <w:lang w:eastAsia="en-NZ" w:bidi="en-US"/>
        </w:rPr>
        <w:t xml:space="preserve">“The course was too </w:t>
      </w:r>
      <w:proofErr w:type="gramStart"/>
      <w:r w:rsidRPr="008C348E">
        <w:rPr>
          <w:i/>
          <w:lang w:eastAsia="en-NZ" w:bidi="en-US"/>
        </w:rPr>
        <w:t>long,</w:t>
      </w:r>
      <w:proofErr w:type="gramEnd"/>
      <w:r w:rsidRPr="008C348E">
        <w:rPr>
          <w:i/>
          <w:lang w:eastAsia="en-NZ" w:bidi="en-US"/>
        </w:rPr>
        <w:t xml:space="preserve"> and repetitive in areas;</w:t>
      </w:r>
    </w:p>
    <w:p w:rsidR="004C0929" w:rsidRPr="008C348E" w:rsidRDefault="004C0929" w:rsidP="008C348E">
      <w:pPr>
        <w:pStyle w:val="Bodycopy"/>
        <w:numPr>
          <w:ilvl w:val="0"/>
          <w:numId w:val="21"/>
        </w:numPr>
        <w:rPr>
          <w:i/>
          <w:lang w:eastAsia="en-NZ" w:bidi="en-US"/>
        </w:rPr>
      </w:pPr>
      <w:r w:rsidRPr="008C348E">
        <w:rPr>
          <w:i/>
          <w:lang w:eastAsia="en-NZ" w:bidi="en-US"/>
        </w:rPr>
        <w:t>Length of time spent on role plays was to</w:t>
      </w:r>
      <w:r w:rsidR="002709EA">
        <w:rPr>
          <w:i/>
          <w:lang w:eastAsia="en-NZ" w:bidi="en-US"/>
        </w:rPr>
        <w:t>o</w:t>
      </w:r>
      <w:r w:rsidRPr="008C348E">
        <w:rPr>
          <w:i/>
          <w:lang w:eastAsia="en-NZ" w:bidi="en-US"/>
        </w:rPr>
        <w:t xml:space="preserve"> long;</w:t>
      </w:r>
    </w:p>
    <w:p w:rsidR="004C0929" w:rsidRPr="008C348E" w:rsidRDefault="004C0929" w:rsidP="008C348E">
      <w:pPr>
        <w:pStyle w:val="Bodycopy"/>
        <w:numPr>
          <w:ilvl w:val="0"/>
          <w:numId w:val="21"/>
        </w:numPr>
        <w:rPr>
          <w:i/>
          <w:lang w:eastAsia="en-NZ" w:bidi="en-US"/>
        </w:rPr>
      </w:pPr>
      <w:r w:rsidRPr="008C348E">
        <w:rPr>
          <w:i/>
          <w:lang w:eastAsia="en-NZ" w:bidi="en-US"/>
        </w:rPr>
        <w:t>2 days of communication training is too long;</w:t>
      </w:r>
    </w:p>
    <w:p w:rsidR="004C0929" w:rsidRPr="008C348E" w:rsidRDefault="004C0929" w:rsidP="008C348E">
      <w:pPr>
        <w:pStyle w:val="Bodycopy"/>
        <w:numPr>
          <w:ilvl w:val="0"/>
          <w:numId w:val="21"/>
        </w:numPr>
        <w:rPr>
          <w:i/>
          <w:lang w:eastAsia="en-NZ" w:bidi="en-US"/>
        </w:rPr>
      </w:pPr>
      <w:r w:rsidRPr="008C348E">
        <w:rPr>
          <w:i/>
          <w:lang w:eastAsia="en-NZ" w:bidi="en-US"/>
        </w:rPr>
        <w:lastRenderedPageBreak/>
        <w:t>Too much emphasis on communication; and</w:t>
      </w:r>
    </w:p>
    <w:p w:rsidR="004C0929" w:rsidRDefault="004C0929" w:rsidP="008C348E">
      <w:pPr>
        <w:pStyle w:val="Bodycopy"/>
        <w:numPr>
          <w:ilvl w:val="0"/>
          <w:numId w:val="21"/>
        </w:numPr>
        <w:rPr>
          <w:i/>
          <w:lang w:eastAsia="en-NZ" w:bidi="en-US"/>
        </w:rPr>
      </w:pPr>
      <w:r w:rsidRPr="008C348E">
        <w:rPr>
          <w:i/>
          <w:lang w:eastAsia="en-NZ" w:bidi="en-US"/>
        </w:rPr>
        <w:t>Clinical situations were presented within the role plays, but not related to doing actual ACP.”</w:t>
      </w:r>
    </w:p>
    <w:p w:rsidR="003706E9" w:rsidRDefault="00AA5262" w:rsidP="003706E9">
      <w:pPr>
        <w:pStyle w:val="Bodycopy"/>
        <w:rPr>
          <w:lang w:eastAsia="en-NZ" w:bidi="en-US"/>
        </w:rPr>
      </w:pPr>
      <w:r>
        <w:rPr>
          <w:lang w:eastAsia="en-NZ" w:bidi="en-US"/>
        </w:rPr>
        <w:t xml:space="preserve">70% of survey participants provided responses to areas that needed to </w:t>
      </w:r>
      <w:r w:rsidR="00B20B8A">
        <w:rPr>
          <w:lang w:eastAsia="en-NZ" w:bidi="en-US"/>
        </w:rPr>
        <w:t xml:space="preserve">be </w:t>
      </w:r>
      <w:r>
        <w:rPr>
          <w:lang w:eastAsia="en-NZ" w:bidi="en-US"/>
        </w:rPr>
        <w:t xml:space="preserve">covered in greater depth, with 73% of respondents providing positive feedback. The </w:t>
      </w:r>
      <w:r w:rsidR="00D75A60">
        <w:rPr>
          <w:lang w:eastAsia="en-NZ" w:bidi="en-US"/>
        </w:rPr>
        <w:t xml:space="preserve">main themes </w:t>
      </w:r>
      <w:r>
        <w:rPr>
          <w:lang w:eastAsia="en-NZ" w:bidi="en-US"/>
        </w:rPr>
        <w:t>identified</w:t>
      </w:r>
      <w:r w:rsidR="00EA0D9D">
        <w:rPr>
          <w:lang w:eastAsia="en-NZ" w:bidi="en-US"/>
        </w:rPr>
        <w:t xml:space="preserve"> as needing to be covered in </w:t>
      </w:r>
      <w:r w:rsidR="00B20B8A">
        <w:rPr>
          <w:lang w:eastAsia="en-NZ" w:bidi="en-US"/>
        </w:rPr>
        <w:t>greater</w:t>
      </w:r>
      <w:r w:rsidR="00EA0D9D">
        <w:rPr>
          <w:lang w:eastAsia="en-NZ" w:bidi="en-US"/>
        </w:rPr>
        <w:t xml:space="preserve"> depth</w:t>
      </w:r>
      <w:r w:rsidR="00D75A60">
        <w:rPr>
          <w:lang w:eastAsia="en-NZ" w:bidi="en-US"/>
        </w:rPr>
        <w:t xml:space="preserve"> by the residual 27% of survey respondents were</w:t>
      </w:r>
      <w:r>
        <w:rPr>
          <w:lang w:eastAsia="en-NZ" w:bidi="en-US"/>
        </w:rPr>
        <w:t>:</w:t>
      </w:r>
    </w:p>
    <w:p w:rsidR="00AA5262" w:rsidRPr="008C348E" w:rsidRDefault="00AA5262" w:rsidP="008C348E">
      <w:pPr>
        <w:pStyle w:val="Bodycopy"/>
        <w:numPr>
          <w:ilvl w:val="0"/>
          <w:numId w:val="22"/>
        </w:numPr>
        <w:rPr>
          <w:i/>
          <w:lang w:eastAsia="en-NZ" w:bidi="en-US"/>
        </w:rPr>
      </w:pPr>
      <w:r w:rsidRPr="008C348E">
        <w:rPr>
          <w:i/>
          <w:lang w:eastAsia="en-NZ" w:bidi="en-US"/>
        </w:rPr>
        <w:t>“The legalities of ACP and the level of documentation required needs to be clearer;</w:t>
      </w:r>
    </w:p>
    <w:p w:rsidR="00AA5262" w:rsidRPr="008C348E" w:rsidRDefault="00AA5262" w:rsidP="008C348E">
      <w:pPr>
        <w:pStyle w:val="Bodycopy"/>
        <w:numPr>
          <w:ilvl w:val="0"/>
          <w:numId w:val="22"/>
        </w:numPr>
        <w:rPr>
          <w:i/>
          <w:lang w:eastAsia="en-NZ" w:bidi="en-US"/>
        </w:rPr>
      </w:pPr>
      <w:r w:rsidRPr="008C348E">
        <w:rPr>
          <w:i/>
          <w:lang w:eastAsia="en-NZ" w:bidi="en-US"/>
        </w:rPr>
        <w:t>How to write an ACP and the items which should be considered;</w:t>
      </w:r>
    </w:p>
    <w:p w:rsidR="00AA5262" w:rsidRPr="008C348E" w:rsidRDefault="00AA5262" w:rsidP="008C348E">
      <w:pPr>
        <w:pStyle w:val="Bodycopy"/>
        <w:numPr>
          <w:ilvl w:val="0"/>
          <w:numId w:val="22"/>
        </w:numPr>
        <w:rPr>
          <w:i/>
          <w:lang w:eastAsia="en-NZ" w:bidi="en-US"/>
        </w:rPr>
      </w:pPr>
      <w:r w:rsidRPr="008C348E">
        <w:rPr>
          <w:i/>
          <w:lang w:eastAsia="en-NZ" w:bidi="en-US"/>
        </w:rPr>
        <w:t>Additional coverage of how to introduce ACP in a professional manner?</w:t>
      </w:r>
    </w:p>
    <w:p w:rsidR="00AA5262" w:rsidRPr="008C348E" w:rsidRDefault="00AA5262" w:rsidP="008C348E">
      <w:pPr>
        <w:pStyle w:val="Bodycopy"/>
        <w:numPr>
          <w:ilvl w:val="0"/>
          <w:numId w:val="22"/>
        </w:numPr>
        <w:rPr>
          <w:i/>
          <w:lang w:eastAsia="en-NZ" w:bidi="en-US"/>
        </w:rPr>
      </w:pPr>
      <w:r w:rsidRPr="008C348E">
        <w:rPr>
          <w:i/>
          <w:lang w:eastAsia="en-NZ" w:bidi="en-US"/>
        </w:rPr>
        <w:t>Additional coverage on ethical considerations; and</w:t>
      </w:r>
    </w:p>
    <w:p w:rsidR="00AA5262" w:rsidRPr="008C348E" w:rsidRDefault="00AA5262" w:rsidP="008C348E">
      <w:pPr>
        <w:pStyle w:val="Bodycopy"/>
        <w:numPr>
          <w:ilvl w:val="0"/>
          <w:numId w:val="22"/>
        </w:numPr>
        <w:rPr>
          <w:i/>
          <w:lang w:eastAsia="en-NZ" w:bidi="en-US"/>
        </w:rPr>
      </w:pPr>
      <w:r w:rsidRPr="008C348E">
        <w:rPr>
          <w:i/>
          <w:lang w:eastAsia="en-NZ" w:bidi="en-US"/>
        </w:rPr>
        <w:t>Different cultural considerations.”</w:t>
      </w:r>
    </w:p>
    <w:p w:rsidR="00427CC3" w:rsidRDefault="00DF2989" w:rsidP="00A066E5">
      <w:pPr>
        <w:pStyle w:val="Bodycopy"/>
        <w:rPr>
          <w:lang w:eastAsia="en-NZ" w:bidi="en-US"/>
        </w:rPr>
      </w:pPr>
      <w:r>
        <w:rPr>
          <w:lang w:eastAsia="en-NZ" w:bidi="en-US"/>
        </w:rPr>
        <w:t xml:space="preserve">50% of survey participants provided feedback to amend future courses, with 83% of respondents providing positive feedback. The feedback provided was along the general themes identified earlier within this report. </w:t>
      </w:r>
    </w:p>
    <w:p w:rsidR="00BD0764" w:rsidRDefault="00DF2989" w:rsidP="00A066E5">
      <w:pPr>
        <w:pStyle w:val="Bodycopy"/>
        <w:rPr>
          <w:lang w:eastAsia="en-NZ" w:bidi="en-US"/>
        </w:rPr>
      </w:pPr>
      <w:r>
        <w:rPr>
          <w:lang w:eastAsia="en-NZ" w:bidi="en-US"/>
        </w:rPr>
        <w:t>In terms of overall effectiveness of the course, based on feedback provided fr</w:t>
      </w:r>
      <w:r w:rsidR="002709EA">
        <w:rPr>
          <w:lang w:eastAsia="en-NZ" w:bidi="en-US"/>
        </w:rPr>
        <w:t>o</w:t>
      </w:r>
      <w:r>
        <w:rPr>
          <w:lang w:eastAsia="en-NZ" w:bidi="en-US"/>
        </w:rPr>
        <w:t xml:space="preserve">m healthcare professionals that have attended </w:t>
      </w:r>
      <w:r w:rsidR="003353EB">
        <w:rPr>
          <w:lang w:eastAsia="en-NZ" w:bidi="en-US"/>
        </w:rPr>
        <w:t>Level 2</w:t>
      </w:r>
      <w:r>
        <w:rPr>
          <w:lang w:eastAsia="en-NZ" w:bidi="en-US"/>
        </w:rPr>
        <w:t xml:space="preserve"> training, the current training is very effective. Based on interviews held and the results from surveying course attendees, the actual </w:t>
      </w:r>
      <w:r w:rsidR="003353EB">
        <w:rPr>
          <w:lang w:eastAsia="en-NZ" w:bidi="en-US"/>
        </w:rPr>
        <w:t>Level 2</w:t>
      </w:r>
      <w:r>
        <w:rPr>
          <w:lang w:eastAsia="en-NZ" w:bidi="en-US"/>
        </w:rPr>
        <w:t xml:space="preserve"> training is an advanced communication course and not solely related to ACP, and is due to communication being such an integral part of </w:t>
      </w:r>
      <w:r w:rsidR="00BD0764">
        <w:rPr>
          <w:lang w:eastAsia="en-NZ" w:bidi="en-US"/>
        </w:rPr>
        <w:t xml:space="preserve">applying </w:t>
      </w:r>
      <w:r>
        <w:rPr>
          <w:lang w:eastAsia="en-NZ" w:bidi="en-US"/>
        </w:rPr>
        <w:t>ACP</w:t>
      </w:r>
      <w:r w:rsidR="00BD0764">
        <w:rPr>
          <w:lang w:eastAsia="en-NZ" w:bidi="en-US"/>
        </w:rPr>
        <w:t xml:space="preserve"> methodologies</w:t>
      </w:r>
      <w:r>
        <w:rPr>
          <w:lang w:eastAsia="en-NZ" w:bidi="en-US"/>
        </w:rPr>
        <w:t xml:space="preserve">. </w:t>
      </w:r>
    </w:p>
    <w:p w:rsidR="00DF2989" w:rsidRDefault="00BD0764" w:rsidP="00A066E5">
      <w:pPr>
        <w:pStyle w:val="Bodycopy"/>
        <w:rPr>
          <w:lang w:eastAsia="en-NZ" w:bidi="en-US"/>
        </w:rPr>
      </w:pPr>
      <w:r>
        <w:rPr>
          <w:lang w:eastAsia="en-NZ" w:bidi="en-US"/>
        </w:rPr>
        <w:t xml:space="preserve">While the training is highly effective, a key issue for the programme </w:t>
      </w:r>
      <w:r w:rsidR="00DF2989">
        <w:rPr>
          <w:lang w:eastAsia="en-NZ" w:bidi="en-US"/>
        </w:rPr>
        <w:t xml:space="preserve">is increasing the number of healthcare professionals which attend the </w:t>
      </w:r>
      <w:r w:rsidR="003353EB">
        <w:rPr>
          <w:lang w:eastAsia="en-NZ" w:bidi="en-US"/>
        </w:rPr>
        <w:t>Level 2</w:t>
      </w:r>
      <w:r w:rsidR="00DF2989">
        <w:rPr>
          <w:lang w:eastAsia="en-NZ" w:bidi="en-US"/>
        </w:rPr>
        <w:t xml:space="preserve"> ACP training programme, with several barriers to attending the </w:t>
      </w:r>
      <w:r w:rsidR="003353EB">
        <w:rPr>
          <w:lang w:eastAsia="en-NZ" w:bidi="en-US"/>
        </w:rPr>
        <w:t>Level 2</w:t>
      </w:r>
      <w:r w:rsidR="00DF2989">
        <w:rPr>
          <w:lang w:eastAsia="en-NZ" w:bidi="en-US"/>
        </w:rPr>
        <w:t xml:space="preserve"> Training being identified. Please refer to section </w:t>
      </w:r>
      <w:r w:rsidR="00135E9A">
        <w:rPr>
          <w:lang w:eastAsia="en-NZ" w:bidi="en-US"/>
        </w:rPr>
        <w:t>7</w:t>
      </w:r>
      <w:r w:rsidR="00DF2989">
        <w:rPr>
          <w:lang w:eastAsia="en-NZ" w:bidi="en-US"/>
        </w:rPr>
        <w:t xml:space="preserve"> </w:t>
      </w:r>
      <w:r w:rsidR="00135E9A">
        <w:rPr>
          <w:lang w:eastAsia="en-NZ" w:bidi="en-US"/>
        </w:rPr>
        <w:t xml:space="preserve">of this report </w:t>
      </w:r>
      <w:r w:rsidR="00DF2989">
        <w:rPr>
          <w:lang w:eastAsia="en-NZ" w:bidi="en-US"/>
        </w:rPr>
        <w:t xml:space="preserve">for proposed recommendations to further improve the uptake level of the training programme. </w:t>
      </w:r>
    </w:p>
    <w:p w:rsidR="00DF2989" w:rsidRDefault="00DF2989" w:rsidP="00A066E5">
      <w:pPr>
        <w:pStyle w:val="Bodycopy"/>
        <w:rPr>
          <w:lang w:eastAsia="en-NZ" w:bidi="en-US"/>
        </w:rPr>
      </w:pPr>
    </w:p>
    <w:p w:rsidR="00062B26" w:rsidRPr="008A6153" w:rsidRDefault="003353EB" w:rsidP="00062B26">
      <w:pPr>
        <w:pStyle w:val="BnumberedSubheadingL2-DeloitteBlue"/>
        <w:rPr>
          <w:lang w:eastAsia="en-NZ" w:bidi="en-US"/>
        </w:rPr>
      </w:pPr>
      <w:r>
        <w:rPr>
          <w:lang w:eastAsia="en-NZ" w:bidi="en-US"/>
        </w:rPr>
        <w:t>Practitioner</w:t>
      </w:r>
      <w:r w:rsidR="00062B26">
        <w:rPr>
          <w:lang w:eastAsia="en-NZ" w:bidi="en-US"/>
        </w:rPr>
        <w:t xml:space="preserve"> </w:t>
      </w:r>
      <w:r>
        <w:rPr>
          <w:lang w:eastAsia="en-NZ" w:bidi="en-US"/>
        </w:rPr>
        <w:t>confidence</w:t>
      </w:r>
      <w:r w:rsidR="00062B26">
        <w:rPr>
          <w:lang w:eastAsia="en-NZ" w:bidi="en-US"/>
        </w:rPr>
        <w:t xml:space="preserve"> levels pre and post training</w:t>
      </w:r>
    </w:p>
    <w:p w:rsidR="00062B26" w:rsidRDefault="00062B26" w:rsidP="00062B26">
      <w:pPr>
        <w:pStyle w:val="Bodycopy"/>
        <w:rPr>
          <w:lang w:eastAsia="en-NZ" w:bidi="en-US"/>
        </w:rPr>
      </w:pPr>
      <w:r>
        <w:rPr>
          <w:lang w:eastAsia="en-NZ" w:bidi="en-US"/>
        </w:rPr>
        <w:t xml:space="preserve">Attendees of the </w:t>
      </w:r>
      <w:r w:rsidR="003353EB">
        <w:rPr>
          <w:lang w:eastAsia="en-NZ" w:bidi="en-US"/>
        </w:rPr>
        <w:t>Level 2</w:t>
      </w:r>
      <w:r>
        <w:rPr>
          <w:lang w:eastAsia="en-NZ" w:bidi="en-US"/>
        </w:rPr>
        <w:t xml:space="preserve"> training programme complete a survey before an</w:t>
      </w:r>
      <w:r w:rsidR="00980CDE">
        <w:rPr>
          <w:lang w:eastAsia="en-NZ" w:bidi="en-US"/>
        </w:rPr>
        <w:t xml:space="preserve">d after attending the training, with a standardised set of questions being asked which assesses attendees overall confidence </w:t>
      </w:r>
      <w:r w:rsidR="00BD0764">
        <w:rPr>
          <w:lang w:eastAsia="en-NZ" w:bidi="en-US"/>
        </w:rPr>
        <w:t>with</w:t>
      </w:r>
      <w:r w:rsidR="00980CDE">
        <w:rPr>
          <w:lang w:eastAsia="en-NZ" w:bidi="en-US"/>
        </w:rPr>
        <w:t xml:space="preserve"> practising ACP. Each question i</w:t>
      </w:r>
      <w:r w:rsidR="00BD0764">
        <w:rPr>
          <w:lang w:eastAsia="en-NZ" w:bidi="en-US"/>
        </w:rPr>
        <w:t>s</w:t>
      </w:r>
      <w:r w:rsidR="00980CDE">
        <w:rPr>
          <w:lang w:eastAsia="en-NZ" w:bidi="en-US"/>
        </w:rPr>
        <w:t xml:space="preserve"> rated on a scale of 1 to 10, with 1 being not very confident and 10 being very confident. We have assessed </w:t>
      </w:r>
      <w:r w:rsidR="00BD0764">
        <w:rPr>
          <w:lang w:eastAsia="en-NZ" w:bidi="en-US"/>
        </w:rPr>
        <w:t xml:space="preserve">the </w:t>
      </w:r>
      <w:r w:rsidR="00980CDE">
        <w:rPr>
          <w:lang w:eastAsia="en-NZ" w:bidi="en-US"/>
        </w:rPr>
        <w:t xml:space="preserve">confidence of </w:t>
      </w:r>
      <w:r w:rsidR="00BD0764">
        <w:rPr>
          <w:lang w:eastAsia="en-NZ" w:bidi="en-US"/>
        </w:rPr>
        <w:t xml:space="preserve">course </w:t>
      </w:r>
      <w:r w:rsidR="00980CDE">
        <w:rPr>
          <w:lang w:eastAsia="en-NZ" w:bidi="en-US"/>
        </w:rPr>
        <w:t xml:space="preserve">attendees </w:t>
      </w:r>
      <w:r w:rsidR="00BD0764">
        <w:rPr>
          <w:lang w:eastAsia="en-NZ" w:bidi="en-US"/>
        </w:rPr>
        <w:t xml:space="preserve">in working with ACP </w:t>
      </w:r>
      <w:r w:rsidR="00980CDE">
        <w:rPr>
          <w:lang w:eastAsia="en-NZ" w:bidi="en-US"/>
        </w:rPr>
        <w:t>from data held with the NRA for courses delivered between 4 November 2013 and 3 September 2014</w:t>
      </w:r>
      <w:r w:rsidR="00D75A60">
        <w:rPr>
          <w:lang w:eastAsia="en-NZ" w:bidi="en-US"/>
        </w:rPr>
        <w:t>. P</w:t>
      </w:r>
      <w:r w:rsidR="00BD0764">
        <w:rPr>
          <w:lang w:eastAsia="en-NZ" w:bidi="en-US"/>
        </w:rPr>
        <w:t xml:space="preserve">lease note that this timeframe is based on data originally provided by the NRA at </w:t>
      </w:r>
      <w:r w:rsidR="00BD0764">
        <w:rPr>
          <w:lang w:eastAsia="en-NZ" w:bidi="en-US"/>
        </w:rPr>
        <w:lastRenderedPageBreak/>
        <w:t>the commencement of this review. We acknowledge that there have been level 2 courses which have been delivered subsequent to the commencement of our review, which have not been captured in the online survey</w:t>
      </w:r>
      <w:r w:rsidR="00980CDE">
        <w:rPr>
          <w:lang w:eastAsia="en-NZ" w:bidi="en-US"/>
        </w:rPr>
        <w:t>.</w:t>
      </w:r>
      <w:r w:rsidR="00BD0764">
        <w:rPr>
          <w:lang w:eastAsia="en-NZ" w:bidi="en-US"/>
        </w:rPr>
        <w:t xml:space="preserve"> </w:t>
      </w:r>
      <w:r w:rsidR="00995584">
        <w:rPr>
          <w:lang w:eastAsia="en-NZ" w:bidi="en-US"/>
        </w:rPr>
        <w:t xml:space="preserve"> We performed tests on the underlying data worksheet against physical completed surveys. No material differences were identified within the worksheet, and we have been able to assess the pre course confidence data as accurate</w:t>
      </w:r>
      <w:r w:rsidR="00BD0764">
        <w:rPr>
          <w:lang w:eastAsia="en-NZ" w:bidi="en-US"/>
        </w:rPr>
        <w:t xml:space="preserve"> and therefore we </w:t>
      </w:r>
      <w:r w:rsidR="003E1054">
        <w:rPr>
          <w:lang w:eastAsia="en-NZ" w:bidi="en-US"/>
        </w:rPr>
        <w:t xml:space="preserve">were able to rely on the data for the purpose of this review. </w:t>
      </w:r>
    </w:p>
    <w:p w:rsidR="00D62B0E" w:rsidRDefault="00980CDE" w:rsidP="00062B26">
      <w:pPr>
        <w:pStyle w:val="Bodycopy"/>
        <w:rPr>
          <w:lang w:eastAsia="en-NZ" w:bidi="en-US"/>
        </w:rPr>
      </w:pPr>
      <w:r>
        <w:rPr>
          <w:lang w:eastAsia="en-NZ" w:bidi="en-US"/>
        </w:rPr>
        <w:t>Course attendees are requi</w:t>
      </w:r>
      <w:r w:rsidR="00995584">
        <w:rPr>
          <w:lang w:eastAsia="en-NZ" w:bidi="en-US"/>
        </w:rPr>
        <w:t xml:space="preserve">red to also complete the confidence survey directly after </w:t>
      </w:r>
      <w:r w:rsidR="00D62B0E">
        <w:rPr>
          <w:lang w:eastAsia="en-NZ" w:bidi="en-US"/>
        </w:rPr>
        <w:t xml:space="preserve">the course. </w:t>
      </w:r>
      <w:r w:rsidR="003E1054">
        <w:rPr>
          <w:lang w:eastAsia="en-NZ" w:bidi="en-US"/>
        </w:rPr>
        <w:t>We were interested in ACP confidence levels of Level 2 ACP course attendees greater than 4 weeks after attending the Level 2 ACP training.  W</w:t>
      </w:r>
      <w:r w:rsidR="00D62B0E">
        <w:rPr>
          <w:lang w:eastAsia="en-NZ" w:bidi="en-US"/>
        </w:rPr>
        <w:t xml:space="preserve">e surveyed </w:t>
      </w:r>
      <w:r w:rsidR="003353EB">
        <w:rPr>
          <w:lang w:eastAsia="en-NZ" w:bidi="en-US"/>
        </w:rPr>
        <w:t>Level 2</w:t>
      </w:r>
      <w:r w:rsidR="00D62B0E">
        <w:rPr>
          <w:lang w:eastAsia="en-NZ" w:bidi="en-US"/>
        </w:rPr>
        <w:t xml:space="preserve"> ACP course attendees who attended the course between 4 November 2013 and 3 September 2014 to assess confidence levels after practising ACP in the workplace. The questions asked to survey participants are exactly the same questions asked pre and post the </w:t>
      </w:r>
      <w:r w:rsidR="003353EB">
        <w:rPr>
          <w:lang w:eastAsia="en-NZ" w:bidi="en-US"/>
        </w:rPr>
        <w:t>Level 2</w:t>
      </w:r>
      <w:r w:rsidR="00D62B0E">
        <w:rPr>
          <w:lang w:eastAsia="en-NZ" w:bidi="en-US"/>
        </w:rPr>
        <w:t xml:space="preserve"> </w:t>
      </w:r>
      <w:r w:rsidR="003E1054">
        <w:rPr>
          <w:lang w:eastAsia="en-NZ" w:bidi="en-US"/>
        </w:rPr>
        <w:t xml:space="preserve">ACP </w:t>
      </w:r>
      <w:r w:rsidR="00D62B0E">
        <w:rPr>
          <w:lang w:eastAsia="en-NZ" w:bidi="en-US"/>
        </w:rPr>
        <w:t xml:space="preserve">training programme. </w:t>
      </w:r>
    </w:p>
    <w:p w:rsidR="00D62B0E" w:rsidRDefault="00D62B0E" w:rsidP="00062B26">
      <w:pPr>
        <w:pStyle w:val="Bodycopy"/>
        <w:rPr>
          <w:lang w:eastAsia="en-NZ" w:bidi="en-US"/>
        </w:rPr>
      </w:pPr>
      <w:r>
        <w:rPr>
          <w:lang w:eastAsia="en-NZ" w:bidi="en-US"/>
        </w:rPr>
        <w:t xml:space="preserve">The table below summarises the average confidence scores for course attendees before completing the </w:t>
      </w:r>
      <w:r w:rsidR="003353EB">
        <w:rPr>
          <w:lang w:eastAsia="en-NZ" w:bidi="en-US"/>
        </w:rPr>
        <w:t>Level 2</w:t>
      </w:r>
      <w:r>
        <w:rPr>
          <w:lang w:eastAsia="en-NZ" w:bidi="en-US"/>
        </w:rPr>
        <w:t xml:space="preserve"> </w:t>
      </w:r>
      <w:r w:rsidR="003E1054">
        <w:rPr>
          <w:lang w:eastAsia="en-NZ" w:bidi="en-US"/>
        </w:rPr>
        <w:t>t</w:t>
      </w:r>
      <w:r>
        <w:rPr>
          <w:lang w:eastAsia="en-NZ" w:bidi="en-US"/>
        </w:rPr>
        <w:t>raining programme, the average confidence level directly after attending the training programme, and the confidence level of attendees between 4 weeks and 1 year after attending the training programme.</w:t>
      </w:r>
    </w:p>
    <w:tbl>
      <w:tblPr>
        <w:tblStyle w:val="DeloitteTable-Blue"/>
        <w:tblW w:w="0" w:type="auto"/>
        <w:tblLook w:val="04A0" w:firstRow="1" w:lastRow="0" w:firstColumn="1" w:lastColumn="0" w:noHBand="0" w:noVBand="1"/>
      </w:tblPr>
      <w:tblGrid>
        <w:gridCol w:w="2308"/>
        <w:gridCol w:w="2309"/>
        <w:gridCol w:w="2309"/>
        <w:gridCol w:w="2309"/>
      </w:tblGrid>
      <w:tr w:rsidR="00733EC7" w:rsidRPr="005D5FD2" w:rsidTr="008C348E">
        <w:trPr>
          <w:cnfStyle w:val="100000000000" w:firstRow="1" w:lastRow="0" w:firstColumn="0" w:lastColumn="0" w:oddVBand="0" w:evenVBand="0" w:oddHBand="0" w:evenHBand="0" w:firstRowFirstColumn="0" w:firstRowLastColumn="0" w:lastRowFirstColumn="0" w:lastRowLastColumn="0"/>
        </w:trPr>
        <w:tc>
          <w:tcPr>
            <w:tcW w:w="2308" w:type="dxa"/>
          </w:tcPr>
          <w:p w:rsidR="00D62B0E" w:rsidRPr="005D5FD2" w:rsidRDefault="00D62B0E" w:rsidP="00062B26">
            <w:pPr>
              <w:pStyle w:val="Bodycopy"/>
              <w:rPr>
                <w:color w:val="FFFFFF" w:themeColor="background1"/>
                <w:lang w:eastAsia="en-NZ" w:bidi="en-US"/>
              </w:rPr>
            </w:pPr>
          </w:p>
        </w:tc>
        <w:tc>
          <w:tcPr>
            <w:tcW w:w="2309" w:type="dxa"/>
          </w:tcPr>
          <w:p w:rsidR="00D62B0E" w:rsidRPr="005D5FD2" w:rsidRDefault="00D62B0E" w:rsidP="00503682">
            <w:pPr>
              <w:pStyle w:val="Bodycopy"/>
              <w:rPr>
                <w:color w:val="FFFFFF" w:themeColor="background1"/>
                <w:lang w:eastAsia="en-NZ" w:bidi="en-US"/>
              </w:rPr>
            </w:pPr>
            <w:r w:rsidRPr="005D5FD2">
              <w:rPr>
                <w:color w:val="FFFFFF" w:themeColor="background1"/>
                <w:lang w:eastAsia="en-NZ" w:bidi="en-US"/>
              </w:rPr>
              <w:t xml:space="preserve">Pre </w:t>
            </w:r>
            <w:r w:rsidR="003353EB">
              <w:rPr>
                <w:color w:val="FFFFFF" w:themeColor="background1"/>
                <w:lang w:eastAsia="en-NZ" w:bidi="en-US"/>
              </w:rPr>
              <w:t>Level 2</w:t>
            </w:r>
            <w:r w:rsidRPr="005D5FD2">
              <w:rPr>
                <w:color w:val="FFFFFF" w:themeColor="background1"/>
                <w:lang w:eastAsia="en-NZ" w:bidi="en-US"/>
              </w:rPr>
              <w:t xml:space="preserve"> ACP training </w:t>
            </w:r>
          </w:p>
        </w:tc>
        <w:tc>
          <w:tcPr>
            <w:tcW w:w="2309" w:type="dxa"/>
          </w:tcPr>
          <w:p w:rsidR="00D62B0E" w:rsidRPr="005D5FD2" w:rsidRDefault="00503682" w:rsidP="00503682">
            <w:pPr>
              <w:pStyle w:val="Bodycopy"/>
              <w:rPr>
                <w:color w:val="FFFFFF" w:themeColor="background1"/>
                <w:lang w:eastAsia="en-NZ" w:bidi="en-US"/>
              </w:rPr>
            </w:pPr>
            <w:r w:rsidRPr="005D5FD2">
              <w:rPr>
                <w:color w:val="FFFFFF" w:themeColor="background1"/>
                <w:lang w:eastAsia="en-NZ" w:bidi="en-US"/>
              </w:rPr>
              <w:t xml:space="preserve">Confidence score directly after training </w:t>
            </w:r>
          </w:p>
        </w:tc>
        <w:tc>
          <w:tcPr>
            <w:tcW w:w="2309" w:type="dxa"/>
          </w:tcPr>
          <w:p w:rsidR="00D62B0E" w:rsidRPr="005D5FD2" w:rsidRDefault="00503682" w:rsidP="008F7A28">
            <w:pPr>
              <w:pStyle w:val="Bodycopy"/>
              <w:rPr>
                <w:color w:val="FFFFFF" w:themeColor="background1"/>
                <w:lang w:eastAsia="en-NZ" w:bidi="en-US"/>
              </w:rPr>
            </w:pPr>
            <w:r w:rsidRPr="005D5FD2">
              <w:rPr>
                <w:color w:val="FFFFFF" w:themeColor="background1"/>
                <w:lang w:eastAsia="en-NZ" w:bidi="en-US"/>
              </w:rPr>
              <w:t xml:space="preserve">Confidence score </w:t>
            </w:r>
            <w:r w:rsidR="008F7A28" w:rsidRPr="005D5FD2">
              <w:rPr>
                <w:color w:val="FFFFFF" w:themeColor="background1"/>
                <w:u w:val="single"/>
                <w:lang w:eastAsia="en-NZ" w:bidi="en-US"/>
              </w:rPr>
              <w:t xml:space="preserve">up to </w:t>
            </w:r>
            <w:r w:rsidRPr="005D5FD2">
              <w:rPr>
                <w:color w:val="FFFFFF" w:themeColor="background1"/>
                <w:lang w:eastAsia="en-NZ" w:bidi="en-US"/>
              </w:rPr>
              <w:t>52 weeks after training</w:t>
            </w:r>
            <w:r w:rsidR="002335C0">
              <w:rPr>
                <w:color w:val="FFFFFF" w:themeColor="background1"/>
                <w:lang w:eastAsia="en-NZ" w:bidi="en-US"/>
              </w:rPr>
              <w:t>**</w:t>
            </w:r>
            <w:r w:rsidRPr="005D5FD2">
              <w:rPr>
                <w:color w:val="FFFFFF" w:themeColor="background1"/>
                <w:lang w:eastAsia="en-NZ" w:bidi="en-US"/>
              </w:rPr>
              <w:t xml:space="preserve">  </w:t>
            </w:r>
          </w:p>
        </w:tc>
      </w:tr>
      <w:tr w:rsidR="00D62B0E" w:rsidTr="008C348E">
        <w:tc>
          <w:tcPr>
            <w:tcW w:w="2308" w:type="dxa"/>
          </w:tcPr>
          <w:p w:rsidR="00D62B0E" w:rsidRDefault="00503682" w:rsidP="00062B26">
            <w:pPr>
              <w:pStyle w:val="Bodycopy"/>
              <w:rPr>
                <w:lang w:eastAsia="en-NZ" w:bidi="en-US"/>
              </w:rPr>
            </w:pPr>
            <w:r>
              <w:rPr>
                <w:lang w:eastAsia="en-NZ" w:bidi="en-US"/>
              </w:rPr>
              <w:t>Average confidence score</w:t>
            </w:r>
            <w:r w:rsidR="003E1054">
              <w:rPr>
                <w:lang w:eastAsia="en-NZ" w:bidi="en-US"/>
              </w:rPr>
              <w:t>*</w:t>
            </w:r>
            <w:r>
              <w:rPr>
                <w:lang w:eastAsia="en-NZ" w:bidi="en-US"/>
              </w:rPr>
              <w:t xml:space="preserve"> </w:t>
            </w:r>
          </w:p>
        </w:tc>
        <w:tc>
          <w:tcPr>
            <w:tcW w:w="2309" w:type="dxa"/>
          </w:tcPr>
          <w:p w:rsidR="00D62B0E" w:rsidRDefault="00503682" w:rsidP="008C348E">
            <w:pPr>
              <w:pStyle w:val="Bodycopy"/>
              <w:jc w:val="right"/>
              <w:rPr>
                <w:lang w:eastAsia="en-NZ" w:bidi="en-US"/>
              </w:rPr>
            </w:pPr>
            <w:r>
              <w:rPr>
                <w:lang w:eastAsia="en-NZ" w:bidi="en-US"/>
              </w:rPr>
              <w:t>5.88</w:t>
            </w:r>
          </w:p>
        </w:tc>
        <w:tc>
          <w:tcPr>
            <w:tcW w:w="2309" w:type="dxa"/>
          </w:tcPr>
          <w:p w:rsidR="00D62B0E" w:rsidRDefault="00503682" w:rsidP="008C348E">
            <w:pPr>
              <w:pStyle w:val="Bodycopy"/>
              <w:jc w:val="right"/>
              <w:rPr>
                <w:lang w:eastAsia="en-NZ" w:bidi="en-US"/>
              </w:rPr>
            </w:pPr>
            <w:r>
              <w:rPr>
                <w:lang w:eastAsia="en-NZ" w:bidi="en-US"/>
              </w:rPr>
              <w:t>8.25</w:t>
            </w:r>
          </w:p>
        </w:tc>
        <w:tc>
          <w:tcPr>
            <w:tcW w:w="2309" w:type="dxa"/>
          </w:tcPr>
          <w:p w:rsidR="00D62B0E" w:rsidRDefault="00503682" w:rsidP="008C348E">
            <w:pPr>
              <w:pStyle w:val="Bodycopy"/>
              <w:jc w:val="right"/>
              <w:rPr>
                <w:lang w:eastAsia="en-NZ" w:bidi="en-US"/>
              </w:rPr>
            </w:pPr>
            <w:r>
              <w:rPr>
                <w:lang w:eastAsia="en-NZ" w:bidi="en-US"/>
              </w:rPr>
              <w:t>8.11</w:t>
            </w:r>
          </w:p>
        </w:tc>
      </w:tr>
    </w:tbl>
    <w:p w:rsidR="002335C0" w:rsidRDefault="00D62B0E" w:rsidP="00062B26">
      <w:pPr>
        <w:pStyle w:val="Bodycopy"/>
        <w:rPr>
          <w:sz w:val="14"/>
          <w:lang w:eastAsia="en-NZ" w:bidi="en-US"/>
        </w:rPr>
      </w:pPr>
      <w:r w:rsidRPr="003F2550">
        <w:rPr>
          <w:sz w:val="14"/>
          <w:lang w:eastAsia="en-NZ" w:bidi="en-US"/>
        </w:rPr>
        <w:t xml:space="preserve"> </w:t>
      </w:r>
      <w:r w:rsidR="003E1054" w:rsidRPr="003F2550">
        <w:rPr>
          <w:sz w:val="14"/>
          <w:lang w:eastAsia="en-NZ" w:bidi="en-US"/>
        </w:rPr>
        <w:t xml:space="preserve">* Confidence scores are based on 1 being “Not very confident” and 10 being “Very confident. </w:t>
      </w:r>
      <w:r w:rsidR="002335C0">
        <w:rPr>
          <w:sz w:val="14"/>
          <w:lang w:eastAsia="en-NZ" w:bidi="en-US"/>
        </w:rPr>
        <w:t xml:space="preserve"> </w:t>
      </w:r>
    </w:p>
    <w:p w:rsidR="002335C0" w:rsidRPr="00004292" w:rsidRDefault="002335C0" w:rsidP="00062B26">
      <w:pPr>
        <w:pStyle w:val="Bodycopy"/>
        <w:rPr>
          <w:sz w:val="14"/>
          <w:lang w:eastAsia="en-NZ" w:bidi="en-US"/>
        </w:rPr>
      </w:pPr>
      <w:r>
        <w:rPr>
          <w:sz w:val="14"/>
          <w:lang w:eastAsia="en-NZ" w:bidi="en-US"/>
        </w:rPr>
        <w:t xml:space="preserve">** Based on 133 survey respondents. </w:t>
      </w:r>
    </w:p>
    <w:p w:rsidR="00980CDE" w:rsidRDefault="00503682" w:rsidP="00062B26">
      <w:pPr>
        <w:pStyle w:val="Bodycopy"/>
        <w:rPr>
          <w:lang w:eastAsia="en-NZ" w:bidi="en-US"/>
        </w:rPr>
      </w:pPr>
      <w:r>
        <w:rPr>
          <w:lang w:eastAsia="en-NZ" w:bidi="en-US"/>
        </w:rPr>
        <w:t xml:space="preserve">Based on the results of training </w:t>
      </w:r>
      <w:r w:rsidR="008F7A28">
        <w:rPr>
          <w:lang w:eastAsia="en-NZ" w:bidi="en-US"/>
        </w:rPr>
        <w:t>delegate’s</w:t>
      </w:r>
      <w:r>
        <w:rPr>
          <w:lang w:eastAsia="en-NZ" w:bidi="en-US"/>
        </w:rPr>
        <w:t xml:space="preserve"> confidence scores </w:t>
      </w:r>
      <w:r w:rsidR="00D75A60">
        <w:rPr>
          <w:lang w:eastAsia="en-NZ" w:bidi="en-US"/>
        </w:rPr>
        <w:t xml:space="preserve">directly </w:t>
      </w:r>
      <w:r>
        <w:rPr>
          <w:lang w:eastAsia="en-NZ" w:bidi="en-US"/>
        </w:rPr>
        <w:t>before and af</w:t>
      </w:r>
      <w:r w:rsidR="008F7A28">
        <w:rPr>
          <w:lang w:eastAsia="en-NZ" w:bidi="en-US"/>
        </w:rPr>
        <w:t xml:space="preserve">ter the training, </w:t>
      </w:r>
      <w:r w:rsidR="00D75A60">
        <w:rPr>
          <w:lang w:eastAsia="en-NZ" w:bidi="en-US"/>
        </w:rPr>
        <w:t xml:space="preserve">and </w:t>
      </w:r>
      <w:r w:rsidR="008F7A28">
        <w:rPr>
          <w:lang w:eastAsia="en-NZ" w:bidi="en-US"/>
        </w:rPr>
        <w:t xml:space="preserve">up to 52 weeks post training, there is material improvement in delegate confidence with practising ACP.  </w:t>
      </w:r>
    </w:p>
    <w:p w:rsidR="008F7A28" w:rsidRDefault="008F7A28" w:rsidP="00062B26">
      <w:pPr>
        <w:pStyle w:val="Bodycopy"/>
        <w:rPr>
          <w:lang w:eastAsia="en-NZ" w:bidi="en-US"/>
        </w:rPr>
      </w:pPr>
    </w:p>
    <w:p w:rsidR="003F2550" w:rsidRDefault="003F2550" w:rsidP="00062B26">
      <w:pPr>
        <w:pStyle w:val="Bodycopy"/>
        <w:rPr>
          <w:lang w:eastAsia="en-NZ" w:bidi="en-US"/>
        </w:rPr>
      </w:pPr>
    </w:p>
    <w:p w:rsidR="008D48AC" w:rsidRDefault="008D48AC" w:rsidP="00062B26">
      <w:pPr>
        <w:pStyle w:val="Bodycopy"/>
        <w:rPr>
          <w:lang w:eastAsia="en-NZ" w:bidi="en-US"/>
        </w:rPr>
      </w:pPr>
    </w:p>
    <w:p w:rsidR="008F7A28" w:rsidRPr="008A6153" w:rsidRDefault="008F7A28" w:rsidP="008F7A28">
      <w:pPr>
        <w:pStyle w:val="BnumberedSubheadingL2-DeloitteBlue"/>
        <w:rPr>
          <w:lang w:eastAsia="en-NZ" w:bidi="en-US"/>
        </w:rPr>
      </w:pPr>
      <w:r>
        <w:rPr>
          <w:lang w:eastAsia="en-NZ" w:bidi="en-US"/>
        </w:rPr>
        <w:lastRenderedPageBreak/>
        <w:t xml:space="preserve">On-going changed </w:t>
      </w:r>
      <w:r w:rsidR="003353EB">
        <w:rPr>
          <w:lang w:eastAsia="en-NZ" w:bidi="en-US"/>
        </w:rPr>
        <w:t>behaviours</w:t>
      </w:r>
      <w:r>
        <w:rPr>
          <w:lang w:eastAsia="en-NZ" w:bidi="en-US"/>
        </w:rPr>
        <w:t xml:space="preserve"> in </w:t>
      </w:r>
      <w:r w:rsidR="003353EB">
        <w:rPr>
          <w:lang w:eastAsia="en-NZ" w:bidi="en-US"/>
        </w:rPr>
        <w:t>practitioners</w:t>
      </w:r>
      <w:r>
        <w:rPr>
          <w:lang w:eastAsia="en-NZ" w:bidi="en-US"/>
        </w:rPr>
        <w:t xml:space="preserve"> who have received </w:t>
      </w:r>
      <w:r w:rsidR="003353EB">
        <w:rPr>
          <w:lang w:eastAsia="en-NZ" w:bidi="en-US"/>
        </w:rPr>
        <w:t>Level 2</w:t>
      </w:r>
      <w:r>
        <w:rPr>
          <w:lang w:eastAsia="en-NZ" w:bidi="en-US"/>
        </w:rPr>
        <w:t xml:space="preserve"> training </w:t>
      </w:r>
    </w:p>
    <w:p w:rsidR="008F7A28" w:rsidRDefault="00901ADF" w:rsidP="008C348E">
      <w:pPr>
        <w:pStyle w:val="Bodycopy"/>
        <w:rPr>
          <w:lang w:eastAsia="en-NZ" w:bidi="en-US"/>
        </w:rPr>
      </w:pPr>
      <w:r>
        <w:rPr>
          <w:lang w:eastAsia="en-NZ" w:bidi="en-US"/>
        </w:rPr>
        <w:t>We have</w:t>
      </w:r>
      <w:r w:rsidR="00751E1C">
        <w:rPr>
          <w:lang w:eastAsia="en-NZ" w:bidi="en-US"/>
        </w:rPr>
        <w:t xml:space="preserve"> </w:t>
      </w:r>
      <w:r>
        <w:rPr>
          <w:lang w:eastAsia="en-NZ" w:bidi="en-US"/>
        </w:rPr>
        <w:t xml:space="preserve">attempted to ascertain on-going changed behaviours in practitioners </w:t>
      </w:r>
      <w:r w:rsidR="00751E1C">
        <w:rPr>
          <w:lang w:eastAsia="en-NZ" w:bidi="en-US"/>
        </w:rPr>
        <w:t>through s</w:t>
      </w:r>
      <w:r w:rsidR="008F7A28">
        <w:rPr>
          <w:lang w:eastAsia="en-NZ" w:bidi="en-US"/>
        </w:rPr>
        <w:t xml:space="preserve">urveying ACP practitioners who have received training between November 2013 and September 2014 to identify changed </w:t>
      </w:r>
      <w:r>
        <w:rPr>
          <w:lang w:eastAsia="en-NZ" w:bidi="en-US"/>
        </w:rPr>
        <w:t>behaviours</w:t>
      </w:r>
      <w:r w:rsidR="00751E1C">
        <w:rPr>
          <w:lang w:eastAsia="en-NZ" w:bidi="en-US"/>
        </w:rPr>
        <w:t xml:space="preserve">, and to also identify </w:t>
      </w:r>
      <w:r w:rsidR="008F7A28">
        <w:rPr>
          <w:lang w:eastAsia="en-NZ" w:bidi="en-US"/>
        </w:rPr>
        <w:t>any barriers to practicing ACP</w:t>
      </w:r>
      <w:r w:rsidR="00751E1C">
        <w:rPr>
          <w:lang w:eastAsia="en-NZ" w:bidi="en-US"/>
        </w:rPr>
        <w:t>. Key questions asked to survey participants included the following questions:</w:t>
      </w:r>
    </w:p>
    <w:p w:rsidR="00751E1C" w:rsidRDefault="00751E1C" w:rsidP="008C348E">
      <w:pPr>
        <w:pStyle w:val="Bodycopy"/>
        <w:numPr>
          <w:ilvl w:val="0"/>
          <w:numId w:val="23"/>
        </w:numPr>
        <w:rPr>
          <w:lang w:eastAsia="en-NZ" w:bidi="en-US"/>
        </w:rPr>
      </w:pPr>
      <w:r w:rsidRPr="00751E1C">
        <w:rPr>
          <w:lang w:eastAsia="en-NZ" w:bidi="en-US"/>
        </w:rPr>
        <w:t xml:space="preserve">Has the ACP </w:t>
      </w:r>
      <w:r w:rsidR="003353EB">
        <w:rPr>
          <w:lang w:eastAsia="en-NZ" w:bidi="en-US"/>
        </w:rPr>
        <w:t>Level 2</w:t>
      </w:r>
      <w:r w:rsidRPr="00751E1C">
        <w:rPr>
          <w:lang w:eastAsia="en-NZ" w:bidi="en-US"/>
        </w:rPr>
        <w:t xml:space="preserve"> Practitioner training changed your clinical practice, if yes, please provide at least one example?</w:t>
      </w:r>
    </w:p>
    <w:p w:rsidR="00751E1C" w:rsidRDefault="00751E1C" w:rsidP="008C348E">
      <w:pPr>
        <w:pStyle w:val="Bodycopy"/>
        <w:numPr>
          <w:ilvl w:val="0"/>
          <w:numId w:val="23"/>
        </w:numPr>
        <w:rPr>
          <w:lang w:eastAsia="en-NZ" w:bidi="en-US"/>
        </w:rPr>
      </w:pPr>
      <w:r w:rsidRPr="00751E1C">
        <w:rPr>
          <w:lang w:eastAsia="en-NZ" w:bidi="en-US"/>
        </w:rPr>
        <w:t xml:space="preserve">Are there any barriers to implementing ACP in </w:t>
      </w:r>
      <w:r w:rsidR="003353EB" w:rsidRPr="00751E1C">
        <w:rPr>
          <w:lang w:eastAsia="en-NZ" w:bidi="en-US"/>
        </w:rPr>
        <w:t>your workplace</w:t>
      </w:r>
      <w:r w:rsidRPr="00751E1C">
        <w:rPr>
          <w:lang w:eastAsia="en-NZ" w:bidi="en-US"/>
        </w:rPr>
        <w:t>? (If yes please describe)</w:t>
      </w:r>
    </w:p>
    <w:p w:rsidR="00751E1C" w:rsidRDefault="00751E1C" w:rsidP="008C348E">
      <w:pPr>
        <w:pStyle w:val="Bodycopy"/>
        <w:numPr>
          <w:ilvl w:val="0"/>
          <w:numId w:val="23"/>
        </w:numPr>
        <w:rPr>
          <w:lang w:eastAsia="en-NZ" w:bidi="en-US"/>
        </w:rPr>
      </w:pPr>
      <w:r w:rsidRPr="00751E1C">
        <w:rPr>
          <w:lang w:eastAsia="en-NZ" w:bidi="en-US"/>
        </w:rPr>
        <w:t>What are you doing differently as a consequence of attending the course (professionally and personally)?</w:t>
      </w:r>
    </w:p>
    <w:p w:rsidR="00751E1C" w:rsidRDefault="00751E1C" w:rsidP="008C348E">
      <w:pPr>
        <w:pStyle w:val="Bodycopy"/>
        <w:rPr>
          <w:lang w:eastAsia="en-NZ" w:bidi="en-US"/>
        </w:rPr>
      </w:pPr>
      <w:r>
        <w:rPr>
          <w:lang w:eastAsia="en-NZ" w:bidi="en-US"/>
        </w:rPr>
        <w:t xml:space="preserve">82% of survey respondents identified that the </w:t>
      </w:r>
      <w:r w:rsidR="003353EB">
        <w:rPr>
          <w:lang w:eastAsia="en-NZ" w:bidi="en-US"/>
        </w:rPr>
        <w:t>Level 2</w:t>
      </w:r>
      <w:r>
        <w:rPr>
          <w:lang w:eastAsia="en-NZ" w:bidi="en-US"/>
        </w:rPr>
        <w:t xml:space="preserve"> ACP </w:t>
      </w:r>
      <w:r w:rsidR="00545421">
        <w:rPr>
          <w:lang w:eastAsia="en-NZ" w:bidi="en-US"/>
        </w:rPr>
        <w:t>practitioner</w:t>
      </w:r>
      <w:r>
        <w:rPr>
          <w:lang w:eastAsia="en-NZ" w:bidi="en-US"/>
        </w:rPr>
        <w:t xml:space="preserve"> training has changed their clinical practice</w:t>
      </w:r>
      <w:r w:rsidR="003E1054">
        <w:rPr>
          <w:lang w:eastAsia="en-NZ" w:bidi="en-US"/>
        </w:rPr>
        <w:t xml:space="preserve">. </w:t>
      </w:r>
      <w:r>
        <w:rPr>
          <w:lang w:eastAsia="en-NZ" w:bidi="en-US"/>
        </w:rPr>
        <w:t xml:space="preserve">18% of respondents </w:t>
      </w:r>
      <w:r w:rsidR="00545421">
        <w:rPr>
          <w:lang w:eastAsia="en-NZ" w:bidi="en-US"/>
        </w:rPr>
        <w:t xml:space="preserve">identified that there has been no change in their clinical practice since attending the </w:t>
      </w:r>
      <w:r w:rsidR="003353EB">
        <w:rPr>
          <w:lang w:eastAsia="en-NZ" w:bidi="en-US"/>
        </w:rPr>
        <w:t>Level 2</w:t>
      </w:r>
      <w:r w:rsidR="00545421">
        <w:rPr>
          <w:lang w:eastAsia="en-NZ" w:bidi="en-US"/>
        </w:rPr>
        <w:t xml:space="preserve"> ACP training. A summary of the qualitative responses provided with regard to examples of how clinical practice has changed include:</w:t>
      </w:r>
    </w:p>
    <w:p w:rsidR="00545421" w:rsidRDefault="00545421" w:rsidP="008C348E">
      <w:pPr>
        <w:pStyle w:val="Bodycopy"/>
        <w:numPr>
          <w:ilvl w:val="0"/>
          <w:numId w:val="24"/>
        </w:numPr>
        <w:rPr>
          <w:lang w:eastAsia="en-NZ" w:bidi="en-US"/>
        </w:rPr>
      </w:pPr>
      <w:r>
        <w:rPr>
          <w:lang w:eastAsia="en-NZ" w:bidi="en-US"/>
        </w:rPr>
        <w:t>Improved communication of ACP with patients;</w:t>
      </w:r>
    </w:p>
    <w:p w:rsidR="00545421" w:rsidRDefault="00545421" w:rsidP="008C348E">
      <w:pPr>
        <w:pStyle w:val="Bodycopy"/>
        <w:numPr>
          <w:ilvl w:val="0"/>
          <w:numId w:val="24"/>
        </w:numPr>
        <w:rPr>
          <w:lang w:eastAsia="en-NZ" w:bidi="en-US"/>
        </w:rPr>
      </w:pPr>
      <w:r>
        <w:rPr>
          <w:lang w:eastAsia="en-NZ" w:bidi="en-US"/>
        </w:rPr>
        <w:t>Better listening to patients wishes instead of discussing standard clinical options;</w:t>
      </w:r>
    </w:p>
    <w:p w:rsidR="00545421" w:rsidRDefault="00545421" w:rsidP="008C348E">
      <w:pPr>
        <w:pStyle w:val="Bodycopy"/>
        <w:numPr>
          <w:ilvl w:val="0"/>
          <w:numId w:val="24"/>
        </w:numPr>
        <w:rPr>
          <w:lang w:eastAsia="en-NZ" w:bidi="en-US"/>
        </w:rPr>
      </w:pPr>
      <w:r>
        <w:rPr>
          <w:lang w:eastAsia="en-NZ" w:bidi="en-US"/>
        </w:rPr>
        <w:t>Increased introduction of ACP with patients; and</w:t>
      </w:r>
    </w:p>
    <w:p w:rsidR="00545421" w:rsidRDefault="00545421" w:rsidP="008C348E">
      <w:pPr>
        <w:pStyle w:val="Bodycopy"/>
        <w:numPr>
          <w:ilvl w:val="0"/>
          <w:numId w:val="24"/>
        </w:numPr>
        <w:rPr>
          <w:lang w:eastAsia="en-NZ" w:bidi="en-US"/>
        </w:rPr>
      </w:pPr>
      <w:r>
        <w:rPr>
          <w:lang w:eastAsia="en-NZ" w:bidi="en-US"/>
        </w:rPr>
        <w:t xml:space="preserve">Easier to initiate ACP conversations with patients.  </w:t>
      </w:r>
    </w:p>
    <w:p w:rsidR="00F079BA" w:rsidRDefault="00F079BA" w:rsidP="00F079BA">
      <w:pPr>
        <w:pStyle w:val="Bodycopy"/>
        <w:rPr>
          <w:lang w:eastAsia="en-NZ" w:bidi="en-US"/>
        </w:rPr>
      </w:pPr>
      <w:r>
        <w:rPr>
          <w:lang w:eastAsia="en-NZ" w:bidi="en-US"/>
        </w:rPr>
        <w:t xml:space="preserve">Additionally 81% of survey respondents have identified things that they do differently subsequent to attending the </w:t>
      </w:r>
      <w:r w:rsidR="003353EB">
        <w:rPr>
          <w:lang w:eastAsia="en-NZ" w:bidi="en-US"/>
        </w:rPr>
        <w:t>Level 2</w:t>
      </w:r>
      <w:r>
        <w:rPr>
          <w:lang w:eastAsia="en-NZ" w:bidi="en-US"/>
        </w:rPr>
        <w:t xml:space="preserve"> ACP </w:t>
      </w:r>
      <w:r w:rsidR="003353EB">
        <w:rPr>
          <w:lang w:eastAsia="en-NZ" w:bidi="en-US"/>
        </w:rPr>
        <w:t>Practitioner</w:t>
      </w:r>
      <w:r>
        <w:rPr>
          <w:lang w:eastAsia="en-NZ" w:bidi="en-US"/>
        </w:rPr>
        <w:t xml:space="preserve"> training. Key examples include:</w:t>
      </w:r>
    </w:p>
    <w:p w:rsidR="00F079BA" w:rsidRDefault="00F079BA" w:rsidP="00F079BA">
      <w:pPr>
        <w:pStyle w:val="Bodycopy"/>
        <w:numPr>
          <w:ilvl w:val="0"/>
          <w:numId w:val="26"/>
        </w:numPr>
        <w:rPr>
          <w:lang w:eastAsia="en-NZ" w:bidi="en-US"/>
        </w:rPr>
      </w:pPr>
      <w:r>
        <w:rPr>
          <w:lang w:eastAsia="en-NZ" w:bidi="en-US"/>
        </w:rPr>
        <w:t>Better at listening to patients;</w:t>
      </w:r>
    </w:p>
    <w:p w:rsidR="00F079BA" w:rsidRDefault="00F079BA" w:rsidP="00F079BA">
      <w:pPr>
        <w:pStyle w:val="Bodycopy"/>
        <w:numPr>
          <w:ilvl w:val="0"/>
          <w:numId w:val="26"/>
        </w:numPr>
        <w:rPr>
          <w:lang w:eastAsia="en-NZ" w:bidi="en-US"/>
        </w:rPr>
      </w:pPr>
      <w:r>
        <w:rPr>
          <w:lang w:eastAsia="en-NZ" w:bidi="en-US"/>
        </w:rPr>
        <w:t>More aware of legal requirements; and</w:t>
      </w:r>
    </w:p>
    <w:p w:rsidR="00F079BA" w:rsidRDefault="00F079BA" w:rsidP="00F079BA">
      <w:pPr>
        <w:pStyle w:val="Bodycopy"/>
        <w:numPr>
          <w:ilvl w:val="0"/>
          <w:numId w:val="26"/>
        </w:numPr>
        <w:rPr>
          <w:lang w:eastAsia="en-NZ" w:bidi="en-US"/>
        </w:rPr>
      </w:pPr>
      <w:r>
        <w:rPr>
          <w:lang w:eastAsia="en-NZ" w:bidi="en-US"/>
        </w:rPr>
        <w:t xml:space="preserve">More open to holding ACP discussions with patients, and colleagues. </w:t>
      </w:r>
    </w:p>
    <w:p w:rsidR="008D48AC" w:rsidRDefault="008D48AC" w:rsidP="00F079BA">
      <w:pPr>
        <w:pStyle w:val="Bodycopy"/>
        <w:rPr>
          <w:lang w:eastAsia="en-NZ" w:bidi="en-US"/>
        </w:rPr>
      </w:pPr>
    </w:p>
    <w:p w:rsidR="008D48AC" w:rsidRDefault="008D48AC" w:rsidP="00F079BA">
      <w:pPr>
        <w:pStyle w:val="Bodycopy"/>
        <w:rPr>
          <w:lang w:eastAsia="en-NZ" w:bidi="en-US"/>
        </w:rPr>
      </w:pPr>
    </w:p>
    <w:p w:rsidR="008F7A28" w:rsidRDefault="00545421" w:rsidP="008F7A28">
      <w:pPr>
        <w:pStyle w:val="Bodycopy"/>
        <w:rPr>
          <w:lang w:eastAsia="en-NZ" w:bidi="en-US"/>
        </w:rPr>
      </w:pPr>
      <w:r>
        <w:rPr>
          <w:lang w:eastAsia="en-NZ" w:bidi="en-US"/>
        </w:rPr>
        <w:lastRenderedPageBreak/>
        <w:t xml:space="preserve">89% of survey participants provided a response </w:t>
      </w:r>
      <w:r w:rsidR="003E09FF">
        <w:rPr>
          <w:lang w:eastAsia="en-NZ" w:bidi="en-US"/>
        </w:rPr>
        <w:t>with regard to the identification of barriers to practising ACP. 28% of participants that answered the question did not find any barriers to practicing ACP. The key barriers to practicing ACP as identified by 72% of respondents include:</w:t>
      </w:r>
    </w:p>
    <w:p w:rsidR="003E09FF" w:rsidRDefault="003E09FF" w:rsidP="008C348E">
      <w:pPr>
        <w:pStyle w:val="Bodycopy"/>
        <w:numPr>
          <w:ilvl w:val="0"/>
          <w:numId w:val="25"/>
        </w:numPr>
        <w:rPr>
          <w:lang w:eastAsia="en-NZ" w:bidi="en-US"/>
        </w:rPr>
      </w:pPr>
      <w:r>
        <w:rPr>
          <w:lang w:eastAsia="en-NZ" w:bidi="en-US"/>
        </w:rPr>
        <w:t>Lack of time to hold ACP conversations;</w:t>
      </w:r>
    </w:p>
    <w:p w:rsidR="003E09FF" w:rsidRDefault="003E09FF" w:rsidP="008C348E">
      <w:pPr>
        <w:pStyle w:val="Bodycopy"/>
        <w:numPr>
          <w:ilvl w:val="0"/>
          <w:numId w:val="25"/>
        </w:numPr>
        <w:rPr>
          <w:lang w:eastAsia="en-NZ" w:bidi="en-US"/>
        </w:rPr>
      </w:pPr>
      <w:r>
        <w:rPr>
          <w:lang w:eastAsia="en-NZ" w:bidi="en-US"/>
        </w:rPr>
        <w:t>Limited understanding of ACP by colleagues;</w:t>
      </w:r>
    </w:p>
    <w:p w:rsidR="003E09FF" w:rsidRDefault="003E09FF" w:rsidP="008C348E">
      <w:pPr>
        <w:pStyle w:val="Bodycopy"/>
        <w:numPr>
          <w:ilvl w:val="0"/>
          <w:numId w:val="25"/>
        </w:numPr>
        <w:rPr>
          <w:lang w:eastAsia="en-NZ" w:bidi="en-US"/>
        </w:rPr>
      </w:pPr>
      <w:r>
        <w:rPr>
          <w:lang w:eastAsia="en-NZ" w:bidi="en-US"/>
        </w:rPr>
        <w:t>Lack of privacy in open wards;</w:t>
      </w:r>
    </w:p>
    <w:p w:rsidR="003E09FF" w:rsidRDefault="003E09FF" w:rsidP="008C348E">
      <w:pPr>
        <w:pStyle w:val="Bodycopy"/>
        <w:numPr>
          <w:ilvl w:val="0"/>
          <w:numId w:val="25"/>
        </w:numPr>
        <w:rPr>
          <w:lang w:eastAsia="en-NZ" w:bidi="en-US"/>
        </w:rPr>
      </w:pPr>
      <w:r>
        <w:rPr>
          <w:lang w:eastAsia="en-NZ" w:bidi="en-US"/>
        </w:rPr>
        <w:t>No formal guidance within the workplace to documenting ACP;</w:t>
      </w:r>
    </w:p>
    <w:p w:rsidR="003E09FF" w:rsidRDefault="003E09FF" w:rsidP="008C348E">
      <w:pPr>
        <w:pStyle w:val="Bodycopy"/>
        <w:numPr>
          <w:ilvl w:val="0"/>
          <w:numId w:val="25"/>
        </w:numPr>
        <w:rPr>
          <w:lang w:eastAsia="en-NZ" w:bidi="en-US"/>
        </w:rPr>
      </w:pPr>
      <w:r>
        <w:rPr>
          <w:lang w:eastAsia="en-NZ" w:bidi="en-US"/>
        </w:rPr>
        <w:t>Lack of infrastructure to store ACP;</w:t>
      </w:r>
    </w:p>
    <w:p w:rsidR="003E09FF" w:rsidRDefault="003E09FF" w:rsidP="008C348E">
      <w:pPr>
        <w:pStyle w:val="Bodycopy"/>
        <w:numPr>
          <w:ilvl w:val="0"/>
          <w:numId w:val="25"/>
        </w:numPr>
        <w:rPr>
          <w:lang w:eastAsia="en-NZ" w:bidi="en-US"/>
        </w:rPr>
      </w:pPr>
      <w:r>
        <w:rPr>
          <w:lang w:eastAsia="en-NZ" w:bidi="en-US"/>
        </w:rPr>
        <w:t>Patients being seen are in an acute setting; and</w:t>
      </w:r>
    </w:p>
    <w:p w:rsidR="003E09FF" w:rsidRDefault="003E09FF" w:rsidP="008C348E">
      <w:pPr>
        <w:pStyle w:val="Bodycopy"/>
        <w:numPr>
          <w:ilvl w:val="0"/>
          <w:numId w:val="25"/>
        </w:numPr>
        <w:rPr>
          <w:lang w:eastAsia="en-NZ" w:bidi="en-US"/>
        </w:rPr>
      </w:pPr>
      <w:r>
        <w:rPr>
          <w:lang w:eastAsia="en-NZ" w:bidi="en-US"/>
        </w:rPr>
        <w:t xml:space="preserve">Do not see patients on a regular enough basis.  </w:t>
      </w:r>
    </w:p>
    <w:p w:rsidR="00062B26" w:rsidRDefault="00F079BA" w:rsidP="00062B26">
      <w:pPr>
        <w:pStyle w:val="Bodycopy"/>
        <w:rPr>
          <w:lang w:eastAsia="en-NZ" w:bidi="en-US"/>
        </w:rPr>
      </w:pPr>
      <w:r>
        <w:rPr>
          <w:lang w:eastAsia="en-NZ" w:bidi="en-US"/>
        </w:rPr>
        <w:t xml:space="preserve">Based on the results of the survey, over 80% of course attendees have changed clinical practice up to 1 year after attending the </w:t>
      </w:r>
      <w:r w:rsidR="003353EB">
        <w:rPr>
          <w:lang w:eastAsia="en-NZ" w:bidi="en-US"/>
        </w:rPr>
        <w:t>Level 2</w:t>
      </w:r>
      <w:r>
        <w:rPr>
          <w:lang w:eastAsia="en-NZ" w:bidi="en-US"/>
        </w:rPr>
        <w:t xml:space="preserve"> ACP Practitioner programme. However some of the responses from survey participants with regard to barriers to practicing ACP indicate that the training is being </w:t>
      </w:r>
      <w:r w:rsidR="003E1054">
        <w:rPr>
          <w:lang w:eastAsia="en-NZ" w:bidi="en-US"/>
        </w:rPr>
        <w:t xml:space="preserve">primarily </w:t>
      </w:r>
      <w:r>
        <w:rPr>
          <w:lang w:eastAsia="en-NZ" w:bidi="en-US"/>
        </w:rPr>
        <w:t xml:space="preserve">directed at the secondary care level rather than a higher focus on the primary care sector. </w:t>
      </w:r>
      <w:r w:rsidR="00494AB9">
        <w:rPr>
          <w:lang w:eastAsia="en-NZ" w:bidi="en-US"/>
        </w:rPr>
        <w:t xml:space="preserve">Key barriers to practising ACP also include a lack of understanding by fellow healthcare workers, limited infrastructure to support ACP, and formal guidance and systems not being present to support on-going ACP practices. </w:t>
      </w:r>
    </w:p>
    <w:p w:rsidR="003F2550" w:rsidRDefault="003F2550" w:rsidP="00062B26">
      <w:pPr>
        <w:pStyle w:val="Bodycopy"/>
        <w:rPr>
          <w:lang w:eastAsia="en-NZ" w:bidi="en-US"/>
        </w:rPr>
      </w:pPr>
    </w:p>
    <w:p w:rsidR="00494AB9" w:rsidRPr="008A6153" w:rsidRDefault="00494AB9" w:rsidP="00494AB9">
      <w:pPr>
        <w:pStyle w:val="BnumberedSubheadingL2-DeloitteBlue"/>
        <w:rPr>
          <w:lang w:eastAsia="en-NZ" w:bidi="en-US"/>
        </w:rPr>
      </w:pPr>
      <w:r>
        <w:rPr>
          <w:lang w:eastAsia="en-NZ" w:bidi="en-US"/>
        </w:rPr>
        <w:t>Sustainability and value for money of funding received</w:t>
      </w:r>
    </w:p>
    <w:p w:rsidR="00494AB9" w:rsidRDefault="00494AB9" w:rsidP="00494AB9">
      <w:pPr>
        <w:pStyle w:val="Bodycopy"/>
        <w:rPr>
          <w:lang w:eastAsia="en-NZ" w:bidi="en-US"/>
        </w:rPr>
      </w:pPr>
      <w:r>
        <w:rPr>
          <w:lang w:eastAsia="en-NZ" w:bidi="en-US"/>
        </w:rPr>
        <w:t xml:space="preserve">From the findings of assessing the effectiveness of </w:t>
      </w:r>
      <w:r w:rsidR="003353EB">
        <w:rPr>
          <w:lang w:eastAsia="en-NZ" w:bidi="en-US"/>
        </w:rPr>
        <w:t>Level 2</w:t>
      </w:r>
      <w:r>
        <w:rPr>
          <w:lang w:eastAsia="en-NZ" w:bidi="en-US"/>
        </w:rPr>
        <w:t xml:space="preserve"> training, ACP practitioner confidence levels, and on-going changed behaviours in practitioners who have received training</w:t>
      </w:r>
      <w:r w:rsidR="00D75A60">
        <w:rPr>
          <w:lang w:eastAsia="en-NZ" w:bidi="en-US"/>
        </w:rPr>
        <w:t>,</w:t>
      </w:r>
      <w:r>
        <w:rPr>
          <w:lang w:eastAsia="en-NZ" w:bidi="en-US"/>
        </w:rPr>
        <w:t xml:space="preserve"> we </w:t>
      </w:r>
      <w:r w:rsidR="00D75A60">
        <w:rPr>
          <w:lang w:eastAsia="en-NZ" w:bidi="en-US"/>
        </w:rPr>
        <w:t xml:space="preserve">then </w:t>
      </w:r>
      <w:r>
        <w:rPr>
          <w:lang w:eastAsia="en-NZ" w:bidi="en-US"/>
        </w:rPr>
        <w:t xml:space="preserve">reviewed the financial results of the ACP training programme against the </w:t>
      </w:r>
      <w:r w:rsidR="00733EC7">
        <w:rPr>
          <w:lang w:eastAsia="en-NZ" w:bidi="en-US"/>
        </w:rPr>
        <w:t>HWNZ</w:t>
      </w:r>
      <w:r>
        <w:rPr>
          <w:lang w:eastAsia="en-NZ" w:bidi="en-US"/>
        </w:rPr>
        <w:t xml:space="preserve"> contractual requirements. We also assessed the underlying costs for training taking into the financial constraints faced by the public health sector.</w:t>
      </w:r>
    </w:p>
    <w:p w:rsidR="00494AB9" w:rsidRDefault="00733EC7" w:rsidP="008C348E">
      <w:pPr>
        <w:overflowPunct w:val="0"/>
        <w:autoSpaceDE w:val="0"/>
        <w:autoSpaceDN w:val="0"/>
        <w:adjustRightInd w:val="0"/>
        <w:jc w:val="both"/>
        <w:rPr>
          <w:lang w:eastAsia="en-NZ" w:bidi="en-US"/>
        </w:rPr>
      </w:pPr>
      <w:r>
        <w:rPr>
          <w:rFonts w:cs="Arial"/>
        </w:rPr>
        <w:t>HWNZ</w:t>
      </w:r>
      <w:r w:rsidR="00AA1D5D">
        <w:rPr>
          <w:rFonts w:cs="Arial"/>
        </w:rPr>
        <w:t xml:space="preserve"> </w:t>
      </w:r>
      <w:r w:rsidR="00AA1D5D">
        <w:rPr>
          <w:lang w:eastAsia="en-NZ" w:bidi="en-US"/>
        </w:rPr>
        <w:t xml:space="preserve">has provided funding of $350,000 </w:t>
      </w:r>
      <w:r w:rsidR="00D75A60">
        <w:rPr>
          <w:lang w:eastAsia="en-NZ" w:bidi="en-US"/>
        </w:rPr>
        <w:t xml:space="preserve">in the 2014 calendar year </w:t>
      </w:r>
      <w:r w:rsidR="00AA1D5D">
        <w:rPr>
          <w:lang w:eastAsia="en-NZ" w:bidi="en-US"/>
        </w:rPr>
        <w:t xml:space="preserve">to help support ACP training nationally. The funding is split between funding for further development of ACP training resources and infrastructure ($185,000) and funding for course workshop delivery ($165,000). </w:t>
      </w:r>
      <w:r w:rsidR="004F545E">
        <w:rPr>
          <w:lang w:eastAsia="en-NZ" w:bidi="en-US"/>
        </w:rPr>
        <w:t xml:space="preserve">The funding for ACP training resources and infrastructure costs also takes into account work performed by the NRA in the 2013 </w:t>
      </w:r>
      <w:r w:rsidR="005229A0">
        <w:rPr>
          <w:lang w:eastAsia="en-NZ" w:bidi="en-US"/>
        </w:rPr>
        <w:t>calendar</w:t>
      </w:r>
      <w:r w:rsidR="004F545E">
        <w:rPr>
          <w:lang w:eastAsia="en-NZ" w:bidi="en-US"/>
        </w:rPr>
        <w:t xml:space="preserve"> year for the development of ACP training materials which was funded directly by the NRA. </w:t>
      </w:r>
      <w:r w:rsidR="00494AB9">
        <w:rPr>
          <w:lang w:eastAsia="en-NZ" w:bidi="en-US"/>
        </w:rPr>
        <w:t xml:space="preserve"> The 2014 financial results for the ACP training programme </w:t>
      </w:r>
      <w:r w:rsidR="00AA1D5D">
        <w:rPr>
          <w:lang w:eastAsia="en-NZ" w:bidi="en-US"/>
        </w:rPr>
        <w:t xml:space="preserve">split between development and infrastructure costs and course and workshop delivery </w:t>
      </w:r>
      <w:r w:rsidR="00494AB9">
        <w:rPr>
          <w:lang w:eastAsia="en-NZ" w:bidi="en-US"/>
        </w:rPr>
        <w:t xml:space="preserve">are summarised </w:t>
      </w:r>
      <w:r w:rsidR="004F545E">
        <w:rPr>
          <w:lang w:eastAsia="en-NZ" w:bidi="en-US"/>
        </w:rPr>
        <w:t>on the next page</w:t>
      </w:r>
      <w:r w:rsidR="00494AB9">
        <w:rPr>
          <w:lang w:eastAsia="en-NZ" w:bidi="en-US"/>
        </w:rPr>
        <w:t>:</w:t>
      </w:r>
    </w:p>
    <w:p w:rsidR="00494AB9" w:rsidRDefault="002C659A" w:rsidP="00494AB9">
      <w:pPr>
        <w:pStyle w:val="Bodycopy"/>
        <w:rPr>
          <w:lang w:eastAsia="en-NZ" w:bidi="en-US"/>
        </w:rPr>
      </w:pPr>
      <w:r>
        <w:rPr>
          <w:lang w:eastAsia="en-NZ" w:bidi="en-US"/>
        </w:rPr>
        <w:object w:dxaOrig="11114" w:dyaOrig="8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1pt;height:319.9pt" o:ole="">
            <v:imagedata r:id="rId15" o:title=""/>
          </v:shape>
          <o:OLEObject Type="Embed" ProgID="Excel.Sheet.12" ShapeID="_x0000_i1025" DrawAspect="Content" ObjectID="_1497089863" r:id="rId16"/>
        </w:object>
      </w:r>
    </w:p>
    <w:p w:rsidR="00062B26" w:rsidRDefault="00DA0B7A" w:rsidP="00A066E5">
      <w:pPr>
        <w:pStyle w:val="Bodycopy"/>
        <w:rPr>
          <w:lang w:eastAsia="en-NZ" w:bidi="en-US"/>
        </w:rPr>
      </w:pPr>
      <w:r>
        <w:rPr>
          <w:lang w:eastAsia="en-NZ" w:bidi="en-US"/>
        </w:rPr>
        <w:t xml:space="preserve">Please note that the above accounts do not include the NRA funding for courses delivered within the Northern region. Funding is allocated for the Northern Region courses based on the net deficit of course and workshop delivery. For the 2014 Calendar </w:t>
      </w:r>
      <w:r w:rsidR="004A674B">
        <w:rPr>
          <w:lang w:eastAsia="en-NZ" w:bidi="en-US"/>
        </w:rPr>
        <w:t xml:space="preserve">year </w:t>
      </w:r>
      <w:r>
        <w:rPr>
          <w:lang w:eastAsia="en-NZ" w:bidi="en-US"/>
        </w:rPr>
        <w:t xml:space="preserve">the NRA has </w:t>
      </w:r>
      <w:r w:rsidR="002729CF">
        <w:rPr>
          <w:lang w:eastAsia="en-NZ" w:bidi="en-US"/>
        </w:rPr>
        <w:t>also provided $1</w:t>
      </w:r>
      <w:r w:rsidR="008320B1">
        <w:rPr>
          <w:lang w:eastAsia="en-NZ" w:bidi="en-US"/>
        </w:rPr>
        <w:t>32</w:t>
      </w:r>
      <w:r w:rsidR="002729CF">
        <w:rPr>
          <w:lang w:eastAsia="en-NZ" w:bidi="en-US"/>
        </w:rPr>
        <w:t xml:space="preserve">K in funding which has not been included within the accounts presented above. </w:t>
      </w:r>
      <w:r w:rsidR="008320B1">
        <w:rPr>
          <w:lang w:eastAsia="en-NZ" w:bidi="en-US"/>
        </w:rPr>
        <w:t xml:space="preserve">This was confirmed with a member of the NRA finance team. </w:t>
      </w:r>
      <w:r>
        <w:rPr>
          <w:lang w:eastAsia="en-NZ" w:bidi="en-US"/>
        </w:rPr>
        <w:t xml:space="preserve"> </w:t>
      </w:r>
    </w:p>
    <w:p w:rsidR="003E1054" w:rsidRDefault="003E1054" w:rsidP="00DA0B7A">
      <w:pPr>
        <w:pStyle w:val="Bodycopy"/>
        <w:rPr>
          <w:lang w:eastAsia="en-NZ" w:bidi="en-US"/>
        </w:rPr>
      </w:pPr>
      <w:r>
        <w:rPr>
          <w:lang w:eastAsia="en-NZ" w:bidi="en-US"/>
        </w:rPr>
        <w:t xml:space="preserve">The net financial result for the funding received was a net deficit of $258K. </w:t>
      </w:r>
      <w:r w:rsidR="00DA0B7A">
        <w:rPr>
          <w:lang w:eastAsia="en-NZ" w:bidi="en-US"/>
        </w:rPr>
        <w:t>Taking into account the $1</w:t>
      </w:r>
      <w:r w:rsidR="008320B1">
        <w:rPr>
          <w:lang w:eastAsia="en-NZ" w:bidi="en-US"/>
        </w:rPr>
        <w:t>32</w:t>
      </w:r>
      <w:r w:rsidR="00DA0B7A">
        <w:rPr>
          <w:lang w:eastAsia="en-NZ" w:bidi="en-US"/>
        </w:rPr>
        <w:t>K in additional funding from the NRA for Northern region courses</w:t>
      </w:r>
      <w:r>
        <w:rPr>
          <w:lang w:eastAsia="en-NZ" w:bidi="en-US"/>
        </w:rPr>
        <w:t xml:space="preserve"> which has not been included in the accounts provided</w:t>
      </w:r>
      <w:r w:rsidR="00DA0B7A">
        <w:rPr>
          <w:lang w:eastAsia="en-NZ" w:bidi="en-US"/>
        </w:rPr>
        <w:t>, the net result for the ACP programme in the 2014 calendar year decreases to a deficit of $1</w:t>
      </w:r>
      <w:r w:rsidR="008320B1">
        <w:rPr>
          <w:lang w:eastAsia="en-NZ" w:bidi="en-US"/>
        </w:rPr>
        <w:t>26</w:t>
      </w:r>
      <w:r w:rsidR="00DA0B7A">
        <w:rPr>
          <w:lang w:eastAsia="en-NZ" w:bidi="en-US"/>
        </w:rPr>
        <w:t xml:space="preserve">K. </w:t>
      </w:r>
    </w:p>
    <w:p w:rsidR="008D48AC" w:rsidRDefault="008D48AC" w:rsidP="00DA0B7A">
      <w:pPr>
        <w:pStyle w:val="Bodycopy"/>
        <w:rPr>
          <w:lang w:eastAsia="en-NZ" w:bidi="en-US"/>
        </w:rPr>
      </w:pPr>
    </w:p>
    <w:p w:rsidR="008D48AC" w:rsidRDefault="008D48AC" w:rsidP="00DA0B7A">
      <w:pPr>
        <w:pStyle w:val="Bodycopy"/>
        <w:rPr>
          <w:lang w:eastAsia="en-NZ" w:bidi="en-US"/>
        </w:rPr>
      </w:pPr>
    </w:p>
    <w:p w:rsidR="008D48AC" w:rsidRDefault="008D48AC" w:rsidP="00DA0B7A">
      <w:pPr>
        <w:pStyle w:val="Bodycopy"/>
        <w:rPr>
          <w:lang w:eastAsia="en-NZ" w:bidi="en-US"/>
        </w:rPr>
      </w:pPr>
    </w:p>
    <w:p w:rsidR="003E1054" w:rsidRDefault="003E1054" w:rsidP="00DA0B7A">
      <w:pPr>
        <w:pStyle w:val="Bodycopy"/>
        <w:rPr>
          <w:lang w:eastAsia="en-NZ" w:bidi="en-US"/>
        </w:rPr>
      </w:pPr>
    </w:p>
    <w:p w:rsidR="00DA0B7A" w:rsidRDefault="00DA0B7A" w:rsidP="00DA0B7A">
      <w:pPr>
        <w:pStyle w:val="Bodycopy"/>
        <w:rPr>
          <w:lang w:eastAsia="en-NZ" w:bidi="en-US"/>
        </w:rPr>
      </w:pPr>
      <w:r>
        <w:rPr>
          <w:lang w:eastAsia="en-NZ" w:bidi="en-US"/>
        </w:rPr>
        <w:lastRenderedPageBreak/>
        <w:t>The table below represents expenses which we have identified which could be minimised in the future to make the ACP programme more financially sustainable:</w:t>
      </w:r>
    </w:p>
    <w:tbl>
      <w:tblPr>
        <w:tblStyle w:val="DeloitteTable-Blue"/>
        <w:tblW w:w="0" w:type="auto"/>
        <w:tblLook w:val="04A0" w:firstRow="1" w:lastRow="0" w:firstColumn="1" w:lastColumn="0" w:noHBand="0" w:noVBand="1"/>
      </w:tblPr>
      <w:tblGrid>
        <w:gridCol w:w="3078"/>
        <w:gridCol w:w="2133"/>
        <w:gridCol w:w="4024"/>
      </w:tblGrid>
      <w:tr w:rsidR="00733EC7" w:rsidRPr="005D5FD2" w:rsidTr="003F2550">
        <w:trPr>
          <w:cnfStyle w:val="100000000000" w:firstRow="1" w:lastRow="0" w:firstColumn="0" w:lastColumn="0" w:oddVBand="0" w:evenVBand="0" w:oddHBand="0" w:evenHBand="0" w:firstRowFirstColumn="0" w:firstRowLastColumn="0" w:lastRowFirstColumn="0" w:lastRowLastColumn="0"/>
        </w:trPr>
        <w:tc>
          <w:tcPr>
            <w:tcW w:w="3078" w:type="dxa"/>
          </w:tcPr>
          <w:p w:rsidR="00DA0B7A" w:rsidRPr="005D5FD2" w:rsidRDefault="00DA0B7A" w:rsidP="00DA0B7A">
            <w:pPr>
              <w:pStyle w:val="Bodycopy"/>
              <w:rPr>
                <w:color w:val="FFFFFF" w:themeColor="background1"/>
                <w:lang w:eastAsia="en-NZ" w:bidi="en-US"/>
              </w:rPr>
            </w:pPr>
            <w:r w:rsidRPr="005D5FD2">
              <w:rPr>
                <w:color w:val="FFFFFF" w:themeColor="background1"/>
                <w:lang w:eastAsia="en-NZ" w:bidi="en-US"/>
              </w:rPr>
              <w:t>Expense Item</w:t>
            </w:r>
          </w:p>
        </w:tc>
        <w:tc>
          <w:tcPr>
            <w:tcW w:w="2133" w:type="dxa"/>
          </w:tcPr>
          <w:p w:rsidR="00DA0B7A" w:rsidRPr="005D5FD2" w:rsidRDefault="00DA0B7A" w:rsidP="003F2550">
            <w:pPr>
              <w:pStyle w:val="Bodycopy"/>
              <w:jc w:val="right"/>
              <w:rPr>
                <w:color w:val="FFFFFF" w:themeColor="background1"/>
                <w:lang w:eastAsia="en-NZ" w:bidi="en-US"/>
              </w:rPr>
            </w:pPr>
            <w:r w:rsidRPr="005D5FD2">
              <w:rPr>
                <w:color w:val="FFFFFF" w:themeColor="background1"/>
                <w:lang w:eastAsia="en-NZ" w:bidi="en-US"/>
              </w:rPr>
              <w:t>Amount $000</w:t>
            </w:r>
          </w:p>
        </w:tc>
        <w:tc>
          <w:tcPr>
            <w:tcW w:w="4024" w:type="dxa"/>
          </w:tcPr>
          <w:p w:rsidR="00DA0B7A" w:rsidRPr="005D5FD2" w:rsidRDefault="00DA0B7A" w:rsidP="00DA0B7A">
            <w:pPr>
              <w:pStyle w:val="Bodycopy"/>
              <w:rPr>
                <w:color w:val="FFFFFF" w:themeColor="background1"/>
                <w:lang w:eastAsia="en-NZ" w:bidi="en-US"/>
              </w:rPr>
            </w:pPr>
            <w:r w:rsidRPr="005D5FD2">
              <w:rPr>
                <w:color w:val="FFFFFF" w:themeColor="background1"/>
                <w:lang w:eastAsia="en-NZ" w:bidi="en-US"/>
              </w:rPr>
              <w:t>Deloitte Comment</w:t>
            </w:r>
          </w:p>
        </w:tc>
      </w:tr>
      <w:tr w:rsidR="00DA0B7A" w:rsidTr="003F2550">
        <w:tc>
          <w:tcPr>
            <w:tcW w:w="3078" w:type="dxa"/>
          </w:tcPr>
          <w:p w:rsidR="00DA0B7A" w:rsidRDefault="00DA0B7A" w:rsidP="00DA0B7A">
            <w:pPr>
              <w:pStyle w:val="Bodycopy"/>
              <w:rPr>
                <w:lang w:eastAsia="en-NZ" w:bidi="en-US"/>
              </w:rPr>
            </w:pPr>
            <w:r>
              <w:rPr>
                <w:lang w:eastAsia="en-NZ" w:bidi="en-US"/>
              </w:rPr>
              <w:t>Outsourced administration staff</w:t>
            </w:r>
          </w:p>
        </w:tc>
        <w:tc>
          <w:tcPr>
            <w:tcW w:w="2133" w:type="dxa"/>
          </w:tcPr>
          <w:p w:rsidR="00DA0B7A" w:rsidRDefault="00DA0B7A" w:rsidP="003F2550">
            <w:pPr>
              <w:pStyle w:val="Bodycopy"/>
              <w:jc w:val="right"/>
              <w:rPr>
                <w:lang w:eastAsia="en-NZ" w:bidi="en-US"/>
              </w:rPr>
            </w:pPr>
            <w:r>
              <w:rPr>
                <w:lang w:eastAsia="en-NZ" w:bidi="en-US"/>
              </w:rPr>
              <w:t>275</w:t>
            </w:r>
          </w:p>
        </w:tc>
        <w:tc>
          <w:tcPr>
            <w:tcW w:w="4024" w:type="dxa"/>
          </w:tcPr>
          <w:p w:rsidR="00DA0B7A" w:rsidRDefault="00DA0B7A" w:rsidP="00DA0B7A">
            <w:pPr>
              <w:pStyle w:val="Bodycopy"/>
              <w:rPr>
                <w:lang w:eastAsia="en-NZ" w:bidi="en-US"/>
              </w:rPr>
            </w:pPr>
            <w:r>
              <w:rPr>
                <w:lang w:eastAsia="en-NZ" w:bidi="en-US"/>
              </w:rPr>
              <w:t xml:space="preserve">Expense relates to the staff outsourced from the NRA and ADHB to help facilitate administrative </w:t>
            </w:r>
            <w:r w:rsidR="004A674B">
              <w:rPr>
                <w:lang w:eastAsia="en-NZ" w:bidi="en-US"/>
              </w:rPr>
              <w:t>tasks associated with the ACP programme. The FTE numbers relating to this expense item amount to 2.4 FTE, being 0.4 for the ACP programme manager, 1.0 for the ACP Project Manager, and 1.0 for the ACP Administrator, and a small amount of finance time. The average cost per FTE equates to $115K per FTE. In our view this expense is relatively high for administrative</w:t>
            </w:r>
            <w:r w:rsidR="009A7B64">
              <w:rPr>
                <w:lang w:eastAsia="en-NZ" w:bidi="en-US"/>
              </w:rPr>
              <w:t xml:space="preserve"> and project management</w:t>
            </w:r>
            <w:r w:rsidR="004A674B">
              <w:rPr>
                <w:lang w:eastAsia="en-NZ" w:bidi="en-US"/>
              </w:rPr>
              <w:t xml:space="preserve"> related activities, and could be further reduced. </w:t>
            </w:r>
          </w:p>
        </w:tc>
      </w:tr>
      <w:tr w:rsidR="00DA0B7A" w:rsidTr="003F2550">
        <w:tc>
          <w:tcPr>
            <w:tcW w:w="3078" w:type="dxa"/>
          </w:tcPr>
          <w:p w:rsidR="00DA0B7A" w:rsidRDefault="004A674B" w:rsidP="00DA0B7A">
            <w:pPr>
              <w:pStyle w:val="Bodycopy"/>
              <w:rPr>
                <w:lang w:eastAsia="en-NZ" w:bidi="en-US"/>
              </w:rPr>
            </w:pPr>
            <w:r>
              <w:rPr>
                <w:lang w:eastAsia="en-NZ" w:bidi="en-US"/>
              </w:rPr>
              <w:t>Consultant Actors Training Camps</w:t>
            </w:r>
          </w:p>
        </w:tc>
        <w:tc>
          <w:tcPr>
            <w:tcW w:w="2133" w:type="dxa"/>
          </w:tcPr>
          <w:p w:rsidR="00DA0B7A" w:rsidRDefault="004A674B" w:rsidP="003F2550">
            <w:pPr>
              <w:pStyle w:val="Bodycopy"/>
              <w:jc w:val="right"/>
              <w:rPr>
                <w:lang w:eastAsia="en-NZ" w:bidi="en-US"/>
              </w:rPr>
            </w:pPr>
            <w:r>
              <w:rPr>
                <w:lang w:eastAsia="en-NZ" w:bidi="en-US"/>
              </w:rPr>
              <w:t>216</w:t>
            </w:r>
          </w:p>
        </w:tc>
        <w:tc>
          <w:tcPr>
            <w:tcW w:w="4024" w:type="dxa"/>
          </w:tcPr>
          <w:p w:rsidR="00DA0B7A" w:rsidRDefault="004A674B" w:rsidP="004A674B">
            <w:pPr>
              <w:pStyle w:val="Bodycopy"/>
              <w:rPr>
                <w:lang w:eastAsia="en-NZ" w:bidi="en-US"/>
              </w:rPr>
            </w:pPr>
            <w:r>
              <w:rPr>
                <w:lang w:eastAsia="en-NZ" w:bidi="en-US"/>
              </w:rPr>
              <w:t xml:space="preserve">This expense relates to principally to actors used in the delivery of the </w:t>
            </w:r>
            <w:r w:rsidR="003353EB">
              <w:rPr>
                <w:lang w:eastAsia="en-NZ" w:bidi="en-US"/>
              </w:rPr>
              <w:t>Level 2</w:t>
            </w:r>
            <w:r>
              <w:rPr>
                <w:lang w:eastAsia="en-NZ" w:bidi="en-US"/>
              </w:rPr>
              <w:t xml:space="preserve"> ACP course and workshop. </w:t>
            </w:r>
          </w:p>
        </w:tc>
      </w:tr>
      <w:tr w:rsidR="00DA0B7A" w:rsidTr="003F2550">
        <w:tc>
          <w:tcPr>
            <w:tcW w:w="3078" w:type="dxa"/>
          </w:tcPr>
          <w:p w:rsidR="00DA0B7A" w:rsidRDefault="004A674B" w:rsidP="00DA0B7A">
            <w:pPr>
              <w:pStyle w:val="Bodycopy"/>
              <w:rPr>
                <w:lang w:eastAsia="en-NZ" w:bidi="en-US"/>
              </w:rPr>
            </w:pPr>
            <w:r>
              <w:rPr>
                <w:lang w:eastAsia="en-NZ" w:bidi="en-US"/>
              </w:rPr>
              <w:t>Consultants- Christie (UK)</w:t>
            </w:r>
          </w:p>
        </w:tc>
        <w:tc>
          <w:tcPr>
            <w:tcW w:w="2133" w:type="dxa"/>
          </w:tcPr>
          <w:p w:rsidR="00DA0B7A" w:rsidRDefault="004A674B" w:rsidP="003F2550">
            <w:pPr>
              <w:pStyle w:val="Bodycopy"/>
              <w:jc w:val="right"/>
              <w:rPr>
                <w:lang w:eastAsia="en-NZ" w:bidi="en-US"/>
              </w:rPr>
            </w:pPr>
            <w:r>
              <w:rPr>
                <w:lang w:eastAsia="en-NZ" w:bidi="en-US"/>
              </w:rPr>
              <w:t>27</w:t>
            </w:r>
          </w:p>
        </w:tc>
        <w:tc>
          <w:tcPr>
            <w:tcW w:w="4024" w:type="dxa"/>
          </w:tcPr>
          <w:p w:rsidR="00DA0B7A" w:rsidRDefault="004A674B" w:rsidP="004A674B">
            <w:pPr>
              <w:pStyle w:val="Bodycopy"/>
              <w:rPr>
                <w:lang w:eastAsia="en-NZ" w:bidi="en-US"/>
              </w:rPr>
            </w:pPr>
            <w:r w:rsidRPr="004A674B">
              <w:rPr>
                <w:lang w:eastAsia="en-NZ" w:bidi="en-US"/>
              </w:rPr>
              <w:t>This is the payment made to Christie School of Oncology in April 2014.  In essence this relates to the cost of staff coming to NZ to cover courses in the first quarter of 2014</w:t>
            </w:r>
            <w:r w:rsidR="009A7B64">
              <w:rPr>
                <w:lang w:eastAsia="en-NZ" w:bidi="en-US"/>
              </w:rPr>
              <w:t>. This cost was part of the establishment of the programme.</w:t>
            </w:r>
          </w:p>
        </w:tc>
      </w:tr>
      <w:tr w:rsidR="00DA0B7A" w:rsidTr="003F2550">
        <w:tc>
          <w:tcPr>
            <w:tcW w:w="3078" w:type="dxa"/>
          </w:tcPr>
          <w:p w:rsidR="00DA0B7A" w:rsidRDefault="004A674B" w:rsidP="00DA0B7A">
            <w:pPr>
              <w:pStyle w:val="Bodycopy"/>
              <w:rPr>
                <w:lang w:eastAsia="en-NZ" w:bidi="en-US"/>
              </w:rPr>
            </w:pPr>
            <w:r>
              <w:rPr>
                <w:lang w:eastAsia="en-NZ" w:bidi="en-US"/>
              </w:rPr>
              <w:t xml:space="preserve">Travel International </w:t>
            </w:r>
          </w:p>
        </w:tc>
        <w:tc>
          <w:tcPr>
            <w:tcW w:w="2133" w:type="dxa"/>
          </w:tcPr>
          <w:p w:rsidR="00DA0B7A" w:rsidRDefault="004A674B" w:rsidP="003F2550">
            <w:pPr>
              <w:pStyle w:val="Bodycopy"/>
              <w:jc w:val="right"/>
              <w:rPr>
                <w:lang w:eastAsia="en-NZ" w:bidi="en-US"/>
              </w:rPr>
            </w:pPr>
            <w:r>
              <w:rPr>
                <w:lang w:eastAsia="en-NZ" w:bidi="en-US"/>
              </w:rPr>
              <w:t>9</w:t>
            </w:r>
          </w:p>
        </w:tc>
        <w:tc>
          <w:tcPr>
            <w:tcW w:w="4024" w:type="dxa"/>
          </w:tcPr>
          <w:p w:rsidR="00DA0B7A" w:rsidRDefault="006A23E0" w:rsidP="006A23E0">
            <w:pPr>
              <w:pStyle w:val="Bodycopy"/>
              <w:rPr>
                <w:lang w:eastAsia="en-NZ" w:bidi="en-US"/>
              </w:rPr>
            </w:pPr>
            <w:r w:rsidRPr="006A23E0">
              <w:rPr>
                <w:lang w:eastAsia="en-NZ" w:bidi="en-US"/>
              </w:rPr>
              <w:t xml:space="preserve">This is the actual costs of travel for trainers from the Christie School of Oncology for their visit in the first half of </w:t>
            </w:r>
            <w:r>
              <w:rPr>
                <w:lang w:eastAsia="en-NZ" w:bidi="en-US"/>
              </w:rPr>
              <w:t>the 2014 calendar year</w:t>
            </w:r>
            <w:r w:rsidRPr="006A23E0">
              <w:rPr>
                <w:lang w:eastAsia="en-NZ" w:bidi="en-US"/>
              </w:rPr>
              <w:t>.</w:t>
            </w:r>
          </w:p>
        </w:tc>
      </w:tr>
    </w:tbl>
    <w:p w:rsidR="002729CF" w:rsidRDefault="002729CF" w:rsidP="00DA0B7A">
      <w:pPr>
        <w:pStyle w:val="Bodycopy"/>
        <w:rPr>
          <w:lang w:eastAsia="en-NZ" w:bidi="en-US"/>
        </w:rPr>
      </w:pPr>
    </w:p>
    <w:p w:rsidR="002729CF" w:rsidRDefault="0011478D" w:rsidP="00A066E5">
      <w:pPr>
        <w:pStyle w:val="Bodycopy"/>
        <w:rPr>
          <w:lang w:eastAsia="en-NZ" w:bidi="en-US"/>
        </w:rPr>
      </w:pPr>
      <w:r>
        <w:rPr>
          <w:lang w:eastAsia="en-NZ" w:bidi="en-US"/>
        </w:rPr>
        <w:t>Within the HWNZ contract with the NRA, the HWNZ funding for course and workshop delivery of $165,000 is capped to a maximum of 150 people that can receive subsidised training. T</w:t>
      </w:r>
      <w:r w:rsidR="00864DAC">
        <w:rPr>
          <w:lang w:eastAsia="en-NZ" w:bidi="en-US"/>
        </w:rPr>
        <w:t xml:space="preserve">he subsidy per eligible attendee is $1,100 per attendee, with a maximum cost to </w:t>
      </w:r>
      <w:r w:rsidR="00D75A60">
        <w:rPr>
          <w:lang w:eastAsia="en-NZ" w:bidi="en-US"/>
        </w:rPr>
        <w:t xml:space="preserve">an </w:t>
      </w:r>
      <w:r w:rsidR="00864DAC">
        <w:rPr>
          <w:lang w:eastAsia="en-NZ" w:bidi="en-US"/>
        </w:rPr>
        <w:t xml:space="preserve">eligible attendee not to </w:t>
      </w:r>
      <w:r w:rsidR="00864DAC">
        <w:rPr>
          <w:lang w:eastAsia="en-NZ" w:bidi="en-US"/>
        </w:rPr>
        <w:lastRenderedPageBreak/>
        <w:t xml:space="preserve">exceed $900. This indicates that the </w:t>
      </w:r>
      <w:r w:rsidR="003A106A">
        <w:rPr>
          <w:lang w:eastAsia="en-NZ" w:bidi="en-US"/>
        </w:rPr>
        <w:t xml:space="preserve">gross </w:t>
      </w:r>
      <w:r w:rsidR="00864DAC">
        <w:rPr>
          <w:lang w:eastAsia="en-NZ" w:bidi="en-US"/>
        </w:rPr>
        <w:t>cost to course attendees amounts to $2,000. Taking into account that 30 courses have been delivered during the year, the total revenue presented within the accounts does not appear to be complete</w:t>
      </w:r>
      <w:r w:rsidR="001E0B85">
        <w:rPr>
          <w:lang w:eastAsia="en-NZ" w:bidi="en-US"/>
        </w:rPr>
        <w:t xml:space="preserve"> (based on 300 course attendees during the year)</w:t>
      </w:r>
      <w:r w:rsidR="00864DAC">
        <w:rPr>
          <w:lang w:eastAsia="en-NZ" w:bidi="en-US"/>
        </w:rPr>
        <w:t xml:space="preserve">. </w:t>
      </w:r>
      <w:r w:rsidR="00362E99">
        <w:rPr>
          <w:lang w:eastAsia="en-NZ" w:bidi="en-US"/>
        </w:rPr>
        <w:t xml:space="preserve">We have discussed this with NRA finance staff, who have identified that the difference is due to no differentiation in the amount charged for the Level 2 ACP training programme for subsidised and unsubsidised attendees. </w:t>
      </w:r>
    </w:p>
    <w:p w:rsidR="00864DAC" w:rsidRDefault="00362E99" w:rsidP="00A066E5">
      <w:pPr>
        <w:pStyle w:val="Bodycopy"/>
        <w:rPr>
          <w:lang w:eastAsia="en-NZ" w:bidi="en-US"/>
        </w:rPr>
      </w:pPr>
      <w:r>
        <w:rPr>
          <w:lang w:eastAsia="en-NZ" w:bidi="en-US"/>
        </w:rPr>
        <w:t xml:space="preserve">Please refer </w:t>
      </w:r>
      <w:r w:rsidR="002729CF">
        <w:rPr>
          <w:lang w:eastAsia="en-NZ" w:bidi="en-US"/>
        </w:rPr>
        <w:t xml:space="preserve">below </w:t>
      </w:r>
      <w:r>
        <w:rPr>
          <w:lang w:eastAsia="en-NZ" w:bidi="en-US"/>
        </w:rPr>
        <w:t>for our calculation</w:t>
      </w:r>
      <w:r w:rsidR="009A7B64">
        <w:rPr>
          <w:lang w:eastAsia="en-NZ" w:bidi="en-US"/>
        </w:rPr>
        <w:t xml:space="preserve">, where we have calculated an alternative scenario </w:t>
      </w:r>
      <w:r w:rsidR="003649D6">
        <w:rPr>
          <w:lang w:eastAsia="en-NZ" w:bidi="en-US"/>
        </w:rPr>
        <w:t xml:space="preserve">based on revenue we would have expected to be received </w:t>
      </w:r>
      <w:r>
        <w:rPr>
          <w:lang w:eastAsia="en-NZ" w:bidi="en-US"/>
        </w:rPr>
        <w:t xml:space="preserve">from the delivery of the Level 2 ACP training programme and the ACP programme for which funding has been received from HWNZ as a whole. </w:t>
      </w:r>
      <w:r w:rsidR="004F545E">
        <w:rPr>
          <w:lang w:eastAsia="en-NZ" w:bidi="en-US"/>
        </w:rPr>
        <w:t xml:space="preserve"> </w:t>
      </w:r>
    </w:p>
    <w:tbl>
      <w:tblPr>
        <w:tblStyle w:val="DeloitteTable-Blue"/>
        <w:tblW w:w="0" w:type="auto"/>
        <w:tblLook w:val="04A0" w:firstRow="1" w:lastRow="0" w:firstColumn="1" w:lastColumn="0" w:noHBand="0" w:noVBand="1"/>
      </w:tblPr>
      <w:tblGrid>
        <w:gridCol w:w="5920"/>
        <w:gridCol w:w="2977"/>
      </w:tblGrid>
      <w:tr w:rsidR="001E0B85" w:rsidRPr="004F545E" w:rsidTr="008C348E">
        <w:trPr>
          <w:cnfStyle w:val="100000000000" w:firstRow="1" w:lastRow="0" w:firstColumn="0" w:lastColumn="0" w:oddVBand="0" w:evenVBand="0" w:oddHBand="0" w:evenHBand="0" w:firstRowFirstColumn="0" w:firstRowLastColumn="0" w:lastRowFirstColumn="0" w:lastRowLastColumn="0"/>
        </w:trPr>
        <w:tc>
          <w:tcPr>
            <w:tcW w:w="5920" w:type="dxa"/>
          </w:tcPr>
          <w:p w:rsidR="001E0B85" w:rsidRPr="003F2550" w:rsidRDefault="0011478D" w:rsidP="00A066E5">
            <w:pPr>
              <w:pStyle w:val="Bodycopy"/>
              <w:rPr>
                <w:color w:val="FFFFFF" w:themeColor="background1"/>
                <w:lang w:eastAsia="en-NZ" w:bidi="en-US"/>
              </w:rPr>
            </w:pPr>
            <w:r>
              <w:rPr>
                <w:color w:val="FFFFFF" w:themeColor="background1"/>
                <w:lang w:eastAsia="en-NZ" w:bidi="en-US"/>
              </w:rPr>
              <w:t xml:space="preserve">Expected revenue from subsidised training </w:t>
            </w:r>
          </w:p>
        </w:tc>
        <w:tc>
          <w:tcPr>
            <w:tcW w:w="2977" w:type="dxa"/>
          </w:tcPr>
          <w:p w:rsidR="001E0B85" w:rsidRPr="003F2550" w:rsidRDefault="001E0B85" w:rsidP="008C348E">
            <w:pPr>
              <w:pStyle w:val="Bodycopy"/>
              <w:jc w:val="right"/>
              <w:rPr>
                <w:color w:val="FFFFFF" w:themeColor="background1"/>
                <w:lang w:eastAsia="en-NZ" w:bidi="en-US"/>
              </w:rPr>
            </w:pPr>
            <w:r w:rsidRPr="003F2550">
              <w:rPr>
                <w:color w:val="FFFFFF" w:themeColor="background1"/>
                <w:lang w:eastAsia="en-NZ" w:bidi="en-US"/>
              </w:rPr>
              <w:t>$ and numbers</w:t>
            </w:r>
          </w:p>
        </w:tc>
      </w:tr>
      <w:tr w:rsidR="001E0B85" w:rsidTr="008C348E">
        <w:tc>
          <w:tcPr>
            <w:tcW w:w="5920" w:type="dxa"/>
          </w:tcPr>
          <w:p w:rsidR="001E0B85" w:rsidRDefault="0011478D" w:rsidP="0011478D">
            <w:pPr>
              <w:pStyle w:val="Bodycopy"/>
              <w:rPr>
                <w:lang w:eastAsia="en-NZ" w:bidi="en-US"/>
              </w:rPr>
            </w:pPr>
            <w:r>
              <w:rPr>
                <w:lang w:eastAsia="en-NZ" w:bidi="en-US"/>
              </w:rPr>
              <w:t>Maximum n</w:t>
            </w:r>
            <w:r w:rsidR="001E0B85">
              <w:rPr>
                <w:lang w:eastAsia="en-NZ" w:bidi="en-US"/>
              </w:rPr>
              <w:t>umber of subsidised attendees</w:t>
            </w:r>
          </w:p>
        </w:tc>
        <w:tc>
          <w:tcPr>
            <w:tcW w:w="2977" w:type="dxa"/>
          </w:tcPr>
          <w:p w:rsidR="001E0B85" w:rsidRDefault="001E0B85" w:rsidP="008C348E">
            <w:pPr>
              <w:pStyle w:val="Bodycopy"/>
              <w:jc w:val="right"/>
              <w:rPr>
                <w:lang w:eastAsia="en-NZ" w:bidi="en-US"/>
              </w:rPr>
            </w:pPr>
            <w:r>
              <w:rPr>
                <w:lang w:eastAsia="en-NZ" w:bidi="en-US"/>
              </w:rPr>
              <w:t>150</w:t>
            </w:r>
          </w:p>
        </w:tc>
      </w:tr>
      <w:tr w:rsidR="001E0B85" w:rsidTr="008C348E">
        <w:tc>
          <w:tcPr>
            <w:tcW w:w="5920" w:type="dxa"/>
          </w:tcPr>
          <w:p w:rsidR="001E0B85" w:rsidRDefault="001E0B85" w:rsidP="00A066E5">
            <w:pPr>
              <w:pStyle w:val="Bodycopy"/>
              <w:rPr>
                <w:lang w:eastAsia="en-NZ" w:bidi="en-US"/>
              </w:rPr>
            </w:pPr>
            <w:r>
              <w:rPr>
                <w:lang w:eastAsia="en-NZ" w:bidi="en-US"/>
              </w:rPr>
              <w:t>Subsidy per attendee</w:t>
            </w:r>
          </w:p>
        </w:tc>
        <w:tc>
          <w:tcPr>
            <w:tcW w:w="2977" w:type="dxa"/>
          </w:tcPr>
          <w:p w:rsidR="001E0B85" w:rsidRDefault="001E0B85" w:rsidP="008C348E">
            <w:pPr>
              <w:pStyle w:val="Bodycopy"/>
              <w:jc w:val="right"/>
              <w:rPr>
                <w:lang w:eastAsia="en-NZ" w:bidi="en-US"/>
              </w:rPr>
            </w:pPr>
            <w:r>
              <w:rPr>
                <w:lang w:eastAsia="en-NZ" w:bidi="en-US"/>
              </w:rPr>
              <w:t>$1,100</w:t>
            </w:r>
          </w:p>
        </w:tc>
      </w:tr>
      <w:tr w:rsidR="001E0B85" w:rsidRPr="004F545E" w:rsidTr="008C348E">
        <w:tc>
          <w:tcPr>
            <w:tcW w:w="5920" w:type="dxa"/>
          </w:tcPr>
          <w:p w:rsidR="001E0B85" w:rsidRPr="003F2550" w:rsidRDefault="001E0B85" w:rsidP="00A066E5">
            <w:pPr>
              <w:pStyle w:val="Bodycopy"/>
              <w:rPr>
                <w:b/>
                <w:lang w:eastAsia="en-NZ" w:bidi="en-US"/>
              </w:rPr>
            </w:pPr>
            <w:r w:rsidRPr="003F2550">
              <w:rPr>
                <w:b/>
                <w:lang w:eastAsia="en-NZ" w:bidi="en-US"/>
              </w:rPr>
              <w:t xml:space="preserve">Total </w:t>
            </w:r>
            <w:r w:rsidR="00733EC7" w:rsidRPr="003F2550">
              <w:rPr>
                <w:b/>
                <w:lang w:eastAsia="en-NZ" w:bidi="en-US"/>
              </w:rPr>
              <w:t>HWNZ</w:t>
            </w:r>
            <w:r w:rsidRPr="003F2550">
              <w:rPr>
                <w:b/>
                <w:lang w:eastAsia="en-NZ" w:bidi="en-US"/>
              </w:rPr>
              <w:t xml:space="preserve"> Subsidy </w:t>
            </w:r>
          </w:p>
        </w:tc>
        <w:tc>
          <w:tcPr>
            <w:tcW w:w="2977" w:type="dxa"/>
          </w:tcPr>
          <w:p w:rsidR="001E0B85" w:rsidRPr="003F2550" w:rsidRDefault="001E0B85" w:rsidP="008C348E">
            <w:pPr>
              <w:pStyle w:val="Bodycopy"/>
              <w:jc w:val="right"/>
              <w:rPr>
                <w:b/>
                <w:lang w:eastAsia="en-NZ" w:bidi="en-US"/>
              </w:rPr>
            </w:pPr>
            <w:r w:rsidRPr="003F2550">
              <w:rPr>
                <w:b/>
                <w:lang w:eastAsia="en-NZ" w:bidi="en-US"/>
              </w:rPr>
              <w:t>$165,000</w:t>
            </w:r>
          </w:p>
        </w:tc>
      </w:tr>
      <w:tr w:rsidR="001E0B85" w:rsidTr="008C348E">
        <w:tc>
          <w:tcPr>
            <w:tcW w:w="5920" w:type="dxa"/>
          </w:tcPr>
          <w:p w:rsidR="001E0B85" w:rsidRDefault="001E0B85" w:rsidP="00A066E5">
            <w:pPr>
              <w:pStyle w:val="Bodycopy"/>
              <w:rPr>
                <w:lang w:eastAsia="en-NZ" w:bidi="en-US"/>
              </w:rPr>
            </w:pPr>
            <w:r>
              <w:rPr>
                <w:lang w:eastAsia="en-NZ" w:bidi="en-US"/>
              </w:rPr>
              <w:t>Costs to be borne by employer or attendee</w:t>
            </w:r>
          </w:p>
        </w:tc>
        <w:tc>
          <w:tcPr>
            <w:tcW w:w="2977" w:type="dxa"/>
          </w:tcPr>
          <w:p w:rsidR="001E0B85" w:rsidRDefault="001E0B85" w:rsidP="008C348E">
            <w:pPr>
              <w:pStyle w:val="Bodycopy"/>
              <w:jc w:val="right"/>
              <w:rPr>
                <w:lang w:eastAsia="en-NZ" w:bidi="en-US"/>
              </w:rPr>
            </w:pPr>
            <w:r>
              <w:rPr>
                <w:lang w:eastAsia="en-NZ" w:bidi="en-US"/>
              </w:rPr>
              <w:t>$900</w:t>
            </w:r>
          </w:p>
        </w:tc>
      </w:tr>
      <w:tr w:rsidR="001E0B85" w:rsidRPr="004F545E" w:rsidTr="008C348E">
        <w:tc>
          <w:tcPr>
            <w:tcW w:w="5920" w:type="dxa"/>
          </w:tcPr>
          <w:p w:rsidR="001E0B85" w:rsidRPr="003F2550" w:rsidRDefault="001E0B85" w:rsidP="00864DAC">
            <w:pPr>
              <w:pStyle w:val="Bodycopy"/>
              <w:rPr>
                <w:b/>
                <w:lang w:eastAsia="en-NZ" w:bidi="en-US"/>
              </w:rPr>
            </w:pPr>
            <w:r w:rsidRPr="003F2550">
              <w:rPr>
                <w:b/>
                <w:lang w:eastAsia="en-NZ" w:bidi="en-US"/>
              </w:rPr>
              <w:t>Total amount to be paid by DHB’s or subsidised attendees</w:t>
            </w:r>
          </w:p>
        </w:tc>
        <w:tc>
          <w:tcPr>
            <w:tcW w:w="2977" w:type="dxa"/>
          </w:tcPr>
          <w:p w:rsidR="001E0B85" w:rsidRPr="003F2550" w:rsidRDefault="001E0B85" w:rsidP="008C348E">
            <w:pPr>
              <w:pStyle w:val="Bodycopy"/>
              <w:jc w:val="right"/>
              <w:rPr>
                <w:b/>
                <w:lang w:eastAsia="en-NZ" w:bidi="en-US"/>
              </w:rPr>
            </w:pPr>
            <w:r w:rsidRPr="003F2550">
              <w:rPr>
                <w:b/>
                <w:lang w:eastAsia="en-NZ" w:bidi="en-US"/>
              </w:rPr>
              <w:t>$135,000</w:t>
            </w:r>
          </w:p>
        </w:tc>
      </w:tr>
      <w:tr w:rsidR="0011478D" w:rsidTr="008C348E">
        <w:tc>
          <w:tcPr>
            <w:tcW w:w="5920" w:type="dxa"/>
          </w:tcPr>
          <w:p w:rsidR="0011478D" w:rsidRPr="003F2550" w:rsidRDefault="0011478D" w:rsidP="00A066E5">
            <w:pPr>
              <w:pStyle w:val="Bodycopy"/>
              <w:rPr>
                <w:b/>
                <w:lang w:eastAsia="en-NZ" w:bidi="en-US"/>
              </w:rPr>
            </w:pPr>
            <w:r>
              <w:rPr>
                <w:b/>
                <w:lang w:eastAsia="en-NZ" w:bidi="en-US"/>
              </w:rPr>
              <w:t xml:space="preserve">Total expected revenue from subsidised training </w:t>
            </w:r>
          </w:p>
        </w:tc>
        <w:tc>
          <w:tcPr>
            <w:tcW w:w="2977" w:type="dxa"/>
          </w:tcPr>
          <w:p w:rsidR="0011478D" w:rsidRPr="003F2550" w:rsidRDefault="0011478D" w:rsidP="008C348E">
            <w:pPr>
              <w:pStyle w:val="Bodycopy"/>
              <w:jc w:val="right"/>
              <w:rPr>
                <w:b/>
                <w:lang w:eastAsia="en-NZ" w:bidi="en-US"/>
              </w:rPr>
            </w:pPr>
            <w:r w:rsidRPr="003F2550">
              <w:rPr>
                <w:b/>
                <w:lang w:eastAsia="en-NZ" w:bidi="en-US"/>
              </w:rPr>
              <w:t>$300,000</w:t>
            </w:r>
          </w:p>
        </w:tc>
      </w:tr>
    </w:tbl>
    <w:p w:rsidR="001E0B85" w:rsidRDefault="001E0B85" w:rsidP="00A066E5">
      <w:pPr>
        <w:pStyle w:val="Bodycopy"/>
        <w:rPr>
          <w:lang w:eastAsia="en-NZ" w:bidi="en-US"/>
        </w:rPr>
      </w:pPr>
    </w:p>
    <w:tbl>
      <w:tblPr>
        <w:tblStyle w:val="DeloitteTable-Blue"/>
        <w:tblW w:w="0" w:type="auto"/>
        <w:tblLook w:val="04A0" w:firstRow="1" w:lastRow="0" w:firstColumn="1" w:lastColumn="0" w:noHBand="0" w:noVBand="1"/>
      </w:tblPr>
      <w:tblGrid>
        <w:gridCol w:w="5920"/>
        <w:gridCol w:w="2977"/>
      </w:tblGrid>
      <w:tr w:rsidR="0011478D" w:rsidRPr="004F545E" w:rsidTr="009B595C">
        <w:trPr>
          <w:cnfStyle w:val="100000000000" w:firstRow="1" w:lastRow="0" w:firstColumn="0" w:lastColumn="0" w:oddVBand="0" w:evenVBand="0" w:oddHBand="0" w:evenHBand="0" w:firstRowFirstColumn="0" w:firstRowLastColumn="0" w:lastRowFirstColumn="0" w:lastRowLastColumn="0"/>
        </w:trPr>
        <w:tc>
          <w:tcPr>
            <w:tcW w:w="5920" w:type="dxa"/>
          </w:tcPr>
          <w:p w:rsidR="0011478D" w:rsidRPr="00C43993" w:rsidRDefault="0011478D" w:rsidP="00362E99">
            <w:pPr>
              <w:pStyle w:val="Bodycopy"/>
              <w:rPr>
                <w:color w:val="FFFFFF" w:themeColor="background1"/>
                <w:lang w:eastAsia="en-NZ" w:bidi="en-US"/>
              </w:rPr>
            </w:pPr>
            <w:r>
              <w:rPr>
                <w:color w:val="FFFFFF" w:themeColor="background1"/>
                <w:lang w:eastAsia="en-NZ" w:bidi="en-US"/>
              </w:rPr>
              <w:t xml:space="preserve">Expected revenue from attendees </w:t>
            </w:r>
            <w:r w:rsidR="00362E99">
              <w:rPr>
                <w:color w:val="FFFFFF" w:themeColor="background1"/>
                <w:lang w:eastAsia="en-NZ" w:bidi="en-US"/>
              </w:rPr>
              <w:t xml:space="preserve">who did </w:t>
            </w:r>
            <w:r>
              <w:rPr>
                <w:color w:val="FFFFFF" w:themeColor="background1"/>
                <w:lang w:eastAsia="en-NZ" w:bidi="en-US"/>
              </w:rPr>
              <w:t xml:space="preserve">not </w:t>
            </w:r>
            <w:r w:rsidR="00362E99">
              <w:rPr>
                <w:color w:val="FFFFFF" w:themeColor="background1"/>
                <w:lang w:eastAsia="en-NZ" w:bidi="en-US"/>
              </w:rPr>
              <w:t xml:space="preserve">receive </w:t>
            </w:r>
            <w:r>
              <w:rPr>
                <w:color w:val="FFFFFF" w:themeColor="background1"/>
                <w:lang w:eastAsia="en-NZ" w:bidi="en-US"/>
              </w:rPr>
              <w:t xml:space="preserve">subsidy </w:t>
            </w:r>
          </w:p>
        </w:tc>
        <w:tc>
          <w:tcPr>
            <w:tcW w:w="2977" w:type="dxa"/>
          </w:tcPr>
          <w:p w:rsidR="0011478D" w:rsidRPr="00C43993" w:rsidRDefault="0011478D" w:rsidP="009B595C">
            <w:pPr>
              <w:pStyle w:val="Bodycopy"/>
              <w:jc w:val="right"/>
              <w:rPr>
                <w:color w:val="FFFFFF" w:themeColor="background1"/>
                <w:lang w:eastAsia="en-NZ" w:bidi="en-US"/>
              </w:rPr>
            </w:pPr>
            <w:r w:rsidRPr="00C43993">
              <w:rPr>
                <w:color w:val="FFFFFF" w:themeColor="background1"/>
                <w:lang w:eastAsia="en-NZ" w:bidi="en-US"/>
              </w:rPr>
              <w:t>$ and numbers</w:t>
            </w:r>
          </w:p>
        </w:tc>
      </w:tr>
      <w:tr w:rsidR="0011478D" w:rsidTr="009B595C">
        <w:tc>
          <w:tcPr>
            <w:tcW w:w="5920" w:type="dxa"/>
          </w:tcPr>
          <w:p w:rsidR="0011478D" w:rsidRDefault="0011478D" w:rsidP="00362E99">
            <w:pPr>
              <w:pStyle w:val="Bodycopy"/>
              <w:rPr>
                <w:lang w:eastAsia="en-NZ" w:bidi="en-US"/>
              </w:rPr>
            </w:pPr>
            <w:r>
              <w:rPr>
                <w:lang w:eastAsia="en-NZ" w:bidi="en-US"/>
              </w:rPr>
              <w:t xml:space="preserve">Number of attendees </w:t>
            </w:r>
            <w:r w:rsidR="00362E99">
              <w:rPr>
                <w:lang w:eastAsia="en-NZ" w:bidi="en-US"/>
              </w:rPr>
              <w:t xml:space="preserve">that were </w:t>
            </w:r>
            <w:r>
              <w:rPr>
                <w:lang w:eastAsia="en-NZ" w:bidi="en-US"/>
              </w:rPr>
              <w:t xml:space="preserve">not </w:t>
            </w:r>
            <w:r w:rsidR="00362E99">
              <w:rPr>
                <w:lang w:eastAsia="en-NZ" w:bidi="en-US"/>
              </w:rPr>
              <w:t>subsidised</w:t>
            </w:r>
            <w:r>
              <w:rPr>
                <w:lang w:eastAsia="en-NZ" w:bidi="en-US"/>
              </w:rPr>
              <w:t xml:space="preserve"> </w:t>
            </w:r>
          </w:p>
        </w:tc>
        <w:tc>
          <w:tcPr>
            <w:tcW w:w="2977" w:type="dxa"/>
          </w:tcPr>
          <w:p w:rsidR="0011478D" w:rsidRDefault="0011478D" w:rsidP="009B595C">
            <w:pPr>
              <w:pStyle w:val="Bodycopy"/>
              <w:jc w:val="right"/>
              <w:rPr>
                <w:lang w:eastAsia="en-NZ" w:bidi="en-US"/>
              </w:rPr>
            </w:pPr>
            <w:r>
              <w:rPr>
                <w:lang w:eastAsia="en-NZ" w:bidi="en-US"/>
              </w:rPr>
              <w:t>150</w:t>
            </w:r>
          </w:p>
        </w:tc>
      </w:tr>
      <w:tr w:rsidR="0011478D" w:rsidTr="009B595C">
        <w:tc>
          <w:tcPr>
            <w:tcW w:w="5920" w:type="dxa"/>
          </w:tcPr>
          <w:p w:rsidR="0011478D" w:rsidRDefault="0011478D" w:rsidP="009B595C">
            <w:pPr>
              <w:pStyle w:val="Bodycopy"/>
              <w:rPr>
                <w:lang w:eastAsia="en-NZ" w:bidi="en-US"/>
              </w:rPr>
            </w:pPr>
            <w:r>
              <w:rPr>
                <w:lang w:eastAsia="en-NZ" w:bidi="en-US"/>
              </w:rPr>
              <w:t>Maximum amount to be charged (based on subsidised workings)</w:t>
            </w:r>
          </w:p>
        </w:tc>
        <w:tc>
          <w:tcPr>
            <w:tcW w:w="2977" w:type="dxa"/>
          </w:tcPr>
          <w:p w:rsidR="0011478D" w:rsidRDefault="0011478D" w:rsidP="009B595C">
            <w:pPr>
              <w:pStyle w:val="Bodycopy"/>
              <w:jc w:val="right"/>
              <w:rPr>
                <w:lang w:eastAsia="en-NZ" w:bidi="en-US"/>
              </w:rPr>
            </w:pPr>
            <w:r>
              <w:rPr>
                <w:lang w:eastAsia="en-NZ" w:bidi="en-US"/>
              </w:rPr>
              <w:t>$2,000</w:t>
            </w:r>
          </w:p>
        </w:tc>
      </w:tr>
      <w:tr w:rsidR="0011478D" w:rsidRPr="004F545E" w:rsidTr="009B595C">
        <w:tc>
          <w:tcPr>
            <w:tcW w:w="5920" w:type="dxa"/>
          </w:tcPr>
          <w:p w:rsidR="0011478D" w:rsidRPr="00C43993" w:rsidRDefault="0011478D" w:rsidP="009B595C">
            <w:pPr>
              <w:pStyle w:val="Bodycopy"/>
              <w:rPr>
                <w:b/>
                <w:lang w:eastAsia="en-NZ" w:bidi="en-US"/>
              </w:rPr>
            </w:pPr>
            <w:r w:rsidRPr="00C43993">
              <w:rPr>
                <w:b/>
                <w:lang w:eastAsia="en-NZ" w:bidi="en-US"/>
              </w:rPr>
              <w:t>Total course fees to be received from unsubsidised attendees</w:t>
            </w:r>
          </w:p>
        </w:tc>
        <w:tc>
          <w:tcPr>
            <w:tcW w:w="2977" w:type="dxa"/>
          </w:tcPr>
          <w:p w:rsidR="0011478D" w:rsidRPr="00C43993" w:rsidRDefault="0011478D" w:rsidP="009B595C">
            <w:pPr>
              <w:pStyle w:val="Bodycopy"/>
              <w:jc w:val="right"/>
              <w:rPr>
                <w:b/>
                <w:lang w:eastAsia="en-NZ" w:bidi="en-US"/>
              </w:rPr>
            </w:pPr>
            <w:r w:rsidRPr="00C43993">
              <w:rPr>
                <w:b/>
                <w:lang w:eastAsia="en-NZ" w:bidi="en-US"/>
              </w:rPr>
              <w:t>$300,000</w:t>
            </w:r>
          </w:p>
        </w:tc>
      </w:tr>
      <w:tr w:rsidR="0011478D" w:rsidRPr="004F545E" w:rsidTr="009B595C">
        <w:tc>
          <w:tcPr>
            <w:tcW w:w="5920" w:type="dxa"/>
          </w:tcPr>
          <w:p w:rsidR="0011478D" w:rsidRPr="00C43993" w:rsidRDefault="0011478D" w:rsidP="009B595C">
            <w:pPr>
              <w:pStyle w:val="Bodycopy"/>
              <w:rPr>
                <w:b/>
                <w:lang w:eastAsia="en-NZ" w:bidi="en-US"/>
              </w:rPr>
            </w:pPr>
            <w:r w:rsidRPr="00C43993">
              <w:rPr>
                <w:b/>
                <w:lang w:eastAsia="en-NZ" w:bidi="en-US"/>
              </w:rPr>
              <w:t>Total expected revenues</w:t>
            </w:r>
          </w:p>
        </w:tc>
        <w:tc>
          <w:tcPr>
            <w:tcW w:w="2977" w:type="dxa"/>
          </w:tcPr>
          <w:p w:rsidR="0011478D" w:rsidRPr="00C43993" w:rsidRDefault="0011478D" w:rsidP="009B595C">
            <w:pPr>
              <w:pStyle w:val="Bodycopy"/>
              <w:jc w:val="right"/>
              <w:rPr>
                <w:b/>
                <w:lang w:eastAsia="en-NZ" w:bidi="en-US"/>
              </w:rPr>
            </w:pPr>
            <w:r w:rsidRPr="00C43993">
              <w:rPr>
                <w:b/>
                <w:lang w:eastAsia="en-NZ" w:bidi="en-US"/>
              </w:rPr>
              <w:t>$600,000</w:t>
            </w:r>
          </w:p>
        </w:tc>
      </w:tr>
    </w:tbl>
    <w:p w:rsidR="0011478D" w:rsidRDefault="0011478D" w:rsidP="00A066E5">
      <w:pPr>
        <w:pStyle w:val="Bodycopy"/>
        <w:rPr>
          <w:lang w:eastAsia="en-NZ" w:bidi="en-US"/>
        </w:rPr>
      </w:pPr>
    </w:p>
    <w:p w:rsidR="003649D6" w:rsidRDefault="003649D6" w:rsidP="00A066E5">
      <w:pPr>
        <w:pStyle w:val="Bodycopy"/>
        <w:rPr>
          <w:lang w:eastAsia="en-NZ" w:bidi="en-US"/>
        </w:rPr>
      </w:pPr>
    </w:p>
    <w:tbl>
      <w:tblPr>
        <w:tblStyle w:val="DeloitteTable-Blue"/>
        <w:tblW w:w="0" w:type="auto"/>
        <w:tblLook w:val="04A0" w:firstRow="1" w:lastRow="0" w:firstColumn="1" w:lastColumn="0" w:noHBand="0" w:noVBand="1"/>
      </w:tblPr>
      <w:tblGrid>
        <w:gridCol w:w="5920"/>
        <w:gridCol w:w="2977"/>
      </w:tblGrid>
      <w:tr w:rsidR="0011478D" w:rsidRPr="004F545E" w:rsidTr="009B595C">
        <w:trPr>
          <w:cnfStyle w:val="100000000000" w:firstRow="1" w:lastRow="0" w:firstColumn="0" w:lastColumn="0" w:oddVBand="0" w:evenVBand="0" w:oddHBand="0" w:evenHBand="0" w:firstRowFirstColumn="0" w:firstRowLastColumn="0" w:lastRowFirstColumn="0" w:lastRowLastColumn="0"/>
        </w:trPr>
        <w:tc>
          <w:tcPr>
            <w:tcW w:w="5920" w:type="dxa"/>
          </w:tcPr>
          <w:p w:rsidR="0011478D" w:rsidRPr="00C43993" w:rsidRDefault="0011478D" w:rsidP="0011478D">
            <w:pPr>
              <w:pStyle w:val="Bodycopy"/>
              <w:rPr>
                <w:color w:val="FFFFFF" w:themeColor="background1"/>
                <w:lang w:eastAsia="en-NZ" w:bidi="en-US"/>
              </w:rPr>
            </w:pPr>
            <w:r>
              <w:rPr>
                <w:color w:val="FFFFFF" w:themeColor="background1"/>
                <w:lang w:eastAsia="en-NZ" w:bidi="en-US"/>
              </w:rPr>
              <w:lastRenderedPageBreak/>
              <w:t xml:space="preserve">Total Expected revenue  </w:t>
            </w:r>
          </w:p>
        </w:tc>
        <w:tc>
          <w:tcPr>
            <w:tcW w:w="2977" w:type="dxa"/>
          </w:tcPr>
          <w:p w:rsidR="0011478D" w:rsidRPr="00C43993" w:rsidRDefault="0011478D" w:rsidP="0011478D">
            <w:pPr>
              <w:pStyle w:val="Bodycopy"/>
              <w:jc w:val="right"/>
              <w:rPr>
                <w:color w:val="FFFFFF" w:themeColor="background1"/>
                <w:lang w:eastAsia="en-NZ" w:bidi="en-US"/>
              </w:rPr>
            </w:pPr>
            <w:r w:rsidRPr="00C43993">
              <w:rPr>
                <w:color w:val="FFFFFF" w:themeColor="background1"/>
                <w:lang w:eastAsia="en-NZ" w:bidi="en-US"/>
              </w:rPr>
              <w:t>$</w:t>
            </w:r>
          </w:p>
        </w:tc>
      </w:tr>
      <w:tr w:rsidR="0011478D" w:rsidTr="009B595C">
        <w:tc>
          <w:tcPr>
            <w:tcW w:w="5920" w:type="dxa"/>
          </w:tcPr>
          <w:p w:rsidR="0011478D" w:rsidRDefault="0011478D" w:rsidP="0011478D">
            <w:pPr>
              <w:pStyle w:val="Bodycopy"/>
              <w:rPr>
                <w:lang w:eastAsia="en-NZ" w:bidi="en-US"/>
              </w:rPr>
            </w:pPr>
            <w:r>
              <w:rPr>
                <w:lang w:eastAsia="en-NZ" w:bidi="en-US"/>
              </w:rPr>
              <w:t xml:space="preserve">Total revenue from subsidised training  </w:t>
            </w:r>
          </w:p>
        </w:tc>
        <w:tc>
          <w:tcPr>
            <w:tcW w:w="2977" w:type="dxa"/>
          </w:tcPr>
          <w:p w:rsidR="0011478D" w:rsidRDefault="0011478D" w:rsidP="009B595C">
            <w:pPr>
              <w:pStyle w:val="Bodycopy"/>
              <w:jc w:val="right"/>
              <w:rPr>
                <w:lang w:eastAsia="en-NZ" w:bidi="en-US"/>
              </w:rPr>
            </w:pPr>
            <w:r>
              <w:rPr>
                <w:lang w:eastAsia="en-NZ" w:bidi="en-US"/>
              </w:rPr>
              <w:t>$300,000</w:t>
            </w:r>
          </w:p>
        </w:tc>
      </w:tr>
      <w:tr w:rsidR="0011478D" w:rsidTr="009B595C">
        <w:tc>
          <w:tcPr>
            <w:tcW w:w="5920" w:type="dxa"/>
          </w:tcPr>
          <w:p w:rsidR="0011478D" w:rsidRDefault="0011478D" w:rsidP="00773225">
            <w:pPr>
              <w:pStyle w:val="Bodycopy"/>
              <w:rPr>
                <w:lang w:eastAsia="en-NZ" w:bidi="en-US"/>
              </w:rPr>
            </w:pPr>
            <w:r>
              <w:rPr>
                <w:lang w:eastAsia="en-NZ" w:bidi="en-US"/>
              </w:rPr>
              <w:t xml:space="preserve">Total revenue from attendees </w:t>
            </w:r>
            <w:r w:rsidR="008320B1">
              <w:rPr>
                <w:lang w:eastAsia="en-NZ" w:bidi="en-US"/>
              </w:rPr>
              <w:t xml:space="preserve">that did not receive </w:t>
            </w:r>
            <w:r>
              <w:rPr>
                <w:lang w:eastAsia="en-NZ" w:bidi="en-US"/>
              </w:rPr>
              <w:t>subsidy</w:t>
            </w:r>
          </w:p>
        </w:tc>
        <w:tc>
          <w:tcPr>
            <w:tcW w:w="2977" w:type="dxa"/>
          </w:tcPr>
          <w:p w:rsidR="0011478D" w:rsidRDefault="0011478D" w:rsidP="0011478D">
            <w:pPr>
              <w:pStyle w:val="Bodycopy"/>
              <w:jc w:val="right"/>
              <w:rPr>
                <w:lang w:eastAsia="en-NZ" w:bidi="en-US"/>
              </w:rPr>
            </w:pPr>
            <w:r>
              <w:rPr>
                <w:lang w:eastAsia="en-NZ" w:bidi="en-US"/>
              </w:rPr>
              <w:t>$300,000</w:t>
            </w:r>
          </w:p>
        </w:tc>
      </w:tr>
      <w:tr w:rsidR="0011478D" w:rsidRPr="004F545E" w:rsidTr="009B595C">
        <w:tc>
          <w:tcPr>
            <w:tcW w:w="5920" w:type="dxa"/>
          </w:tcPr>
          <w:p w:rsidR="0011478D" w:rsidRPr="00C43993" w:rsidRDefault="0011478D" w:rsidP="009B595C">
            <w:pPr>
              <w:pStyle w:val="Bodycopy"/>
              <w:rPr>
                <w:b/>
                <w:lang w:eastAsia="en-NZ" w:bidi="en-US"/>
              </w:rPr>
            </w:pPr>
            <w:r w:rsidRPr="00C43993">
              <w:rPr>
                <w:b/>
                <w:lang w:eastAsia="en-NZ" w:bidi="en-US"/>
              </w:rPr>
              <w:t>Total expected revenues</w:t>
            </w:r>
          </w:p>
        </w:tc>
        <w:tc>
          <w:tcPr>
            <w:tcW w:w="2977" w:type="dxa"/>
          </w:tcPr>
          <w:p w:rsidR="0011478D" w:rsidRPr="00C43993" w:rsidRDefault="0011478D" w:rsidP="009B595C">
            <w:pPr>
              <w:pStyle w:val="Bodycopy"/>
              <w:jc w:val="right"/>
              <w:rPr>
                <w:b/>
                <w:lang w:eastAsia="en-NZ" w:bidi="en-US"/>
              </w:rPr>
            </w:pPr>
            <w:r w:rsidRPr="00C43993">
              <w:rPr>
                <w:b/>
                <w:lang w:eastAsia="en-NZ" w:bidi="en-US"/>
              </w:rPr>
              <w:t>$600,000</w:t>
            </w:r>
          </w:p>
        </w:tc>
      </w:tr>
    </w:tbl>
    <w:p w:rsidR="0011478D" w:rsidRDefault="0011478D" w:rsidP="00A066E5">
      <w:pPr>
        <w:pStyle w:val="Bodycopy"/>
        <w:rPr>
          <w:lang w:eastAsia="en-NZ" w:bidi="en-US"/>
        </w:rPr>
      </w:pPr>
    </w:p>
    <w:tbl>
      <w:tblPr>
        <w:tblStyle w:val="DeloitteTable-Blue"/>
        <w:tblW w:w="0" w:type="auto"/>
        <w:tblLook w:val="04A0" w:firstRow="1" w:lastRow="0" w:firstColumn="1" w:lastColumn="0" w:noHBand="0" w:noVBand="1"/>
      </w:tblPr>
      <w:tblGrid>
        <w:gridCol w:w="7054"/>
        <w:gridCol w:w="1843"/>
      </w:tblGrid>
      <w:tr w:rsidR="0011478D" w:rsidRPr="004F545E" w:rsidTr="003F2550">
        <w:trPr>
          <w:cnfStyle w:val="100000000000" w:firstRow="1" w:lastRow="0" w:firstColumn="0" w:lastColumn="0" w:oddVBand="0" w:evenVBand="0" w:oddHBand="0" w:evenHBand="0" w:firstRowFirstColumn="0" w:firstRowLastColumn="0" w:lastRowFirstColumn="0" w:lastRowLastColumn="0"/>
        </w:trPr>
        <w:tc>
          <w:tcPr>
            <w:tcW w:w="7054" w:type="dxa"/>
          </w:tcPr>
          <w:p w:rsidR="0011478D" w:rsidRPr="00C43993" w:rsidRDefault="0011478D" w:rsidP="009B595C">
            <w:pPr>
              <w:pStyle w:val="Bodycopy"/>
              <w:rPr>
                <w:color w:val="FFFFFF" w:themeColor="background1"/>
                <w:lang w:eastAsia="en-NZ" w:bidi="en-US"/>
              </w:rPr>
            </w:pPr>
            <w:r>
              <w:rPr>
                <w:color w:val="FFFFFF" w:themeColor="background1"/>
                <w:lang w:eastAsia="en-NZ" w:bidi="en-US"/>
              </w:rPr>
              <w:t xml:space="preserve">Reconciliation of revenue presented in accounts   </w:t>
            </w:r>
          </w:p>
        </w:tc>
        <w:tc>
          <w:tcPr>
            <w:tcW w:w="1843" w:type="dxa"/>
          </w:tcPr>
          <w:p w:rsidR="0011478D" w:rsidRPr="00C43993" w:rsidRDefault="0011478D" w:rsidP="009B595C">
            <w:pPr>
              <w:pStyle w:val="Bodycopy"/>
              <w:jc w:val="right"/>
              <w:rPr>
                <w:color w:val="FFFFFF" w:themeColor="background1"/>
                <w:lang w:eastAsia="en-NZ" w:bidi="en-US"/>
              </w:rPr>
            </w:pPr>
            <w:r w:rsidRPr="00C43993">
              <w:rPr>
                <w:color w:val="FFFFFF" w:themeColor="background1"/>
                <w:lang w:eastAsia="en-NZ" w:bidi="en-US"/>
              </w:rPr>
              <w:t>$</w:t>
            </w:r>
          </w:p>
        </w:tc>
      </w:tr>
      <w:tr w:rsidR="0011478D" w:rsidTr="003F2550">
        <w:tc>
          <w:tcPr>
            <w:tcW w:w="7054" w:type="dxa"/>
          </w:tcPr>
          <w:p w:rsidR="0011478D" w:rsidRDefault="0011478D" w:rsidP="0011478D">
            <w:pPr>
              <w:pStyle w:val="Bodycopy"/>
              <w:rPr>
                <w:lang w:eastAsia="en-NZ" w:bidi="en-US"/>
              </w:rPr>
            </w:pPr>
            <w:r>
              <w:rPr>
                <w:lang w:eastAsia="en-NZ" w:bidi="en-US"/>
              </w:rPr>
              <w:t>Total revenue presented within accounts for course and workshop delivery</w:t>
            </w:r>
          </w:p>
        </w:tc>
        <w:tc>
          <w:tcPr>
            <w:tcW w:w="1843" w:type="dxa"/>
          </w:tcPr>
          <w:p w:rsidR="0011478D" w:rsidRDefault="0011478D" w:rsidP="0011478D">
            <w:pPr>
              <w:pStyle w:val="Bodycopy"/>
              <w:jc w:val="right"/>
              <w:rPr>
                <w:lang w:eastAsia="en-NZ" w:bidi="en-US"/>
              </w:rPr>
            </w:pPr>
            <w:r>
              <w:rPr>
                <w:lang w:eastAsia="en-NZ" w:bidi="en-US"/>
              </w:rPr>
              <w:t>$315,121</w:t>
            </w:r>
          </w:p>
        </w:tc>
      </w:tr>
      <w:tr w:rsidR="0011478D" w:rsidRPr="003F2550" w:rsidTr="0011478D">
        <w:tc>
          <w:tcPr>
            <w:tcW w:w="7054" w:type="dxa"/>
          </w:tcPr>
          <w:p w:rsidR="0011478D" w:rsidRPr="003F2550" w:rsidRDefault="0011478D" w:rsidP="009B595C">
            <w:pPr>
              <w:pStyle w:val="Bodycopy"/>
              <w:rPr>
                <w:lang w:eastAsia="en-NZ" w:bidi="en-US"/>
              </w:rPr>
            </w:pPr>
            <w:r w:rsidRPr="003F2550">
              <w:rPr>
                <w:lang w:eastAsia="en-NZ" w:bidi="en-US"/>
              </w:rPr>
              <w:t>NRA Funding not reflected as revenue</w:t>
            </w:r>
          </w:p>
        </w:tc>
        <w:tc>
          <w:tcPr>
            <w:tcW w:w="1843" w:type="dxa"/>
          </w:tcPr>
          <w:p w:rsidR="0011478D" w:rsidRPr="003F2550" w:rsidRDefault="0011478D" w:rsidP="008320B1">
            <w:pPr>
              <w:pStyle w:val="Bodycopy"/>
              <w:jc w:val="right"/>
              <w:rPr>
                <w:lang w:eastAsia="en-NZ" w:bidi="en-US"/>
              </w:rPr>
            </w:pPr>
            <w:r w:rsidRPr="003F2550">
              <w:rPr>
                <w:lang w:eastAsia="en-NZ" w:bidi="en-US"/>
              </w:rPr>
              <w:t>$1</w:t>
            </w:r>
            <w:r w:rsidR="008320B1">
              <w:rPr>
                <w:lang w:eastAsia="en-NZ" w:bidi="en-US"/>
              </w:rPr>
              <w:t>32</w:t>
            </w:r>
            <w:r w:rsidRPr="003F2550">
              <w:rPr>
                <w:lang w:eastAsia="en-NZ" w:bidi="en-US"/>
              </w:rPr>
              <w:t>,</w:t>
            </w:r>
            <w:r w:rsidR="008320B1">
              <w:rPr>
                <w:lang w:eastAsia="en-NZ" w:bidi="en-US"/>
              </w:rPr>
              <w:t>000</w:t>
            </w:r>
          </w:p>
        </w:tc>
      </w:tr>
      <w:tr w:rsidR="0011478D" w:rsidRPr="004F545E" w:rsidTr="003F2550">
        <w:tc>
          <w:tcPr>
            <w:tcW w:w="7054" w:type="dxa"/>
          </w:tcPr>
          <w:p w:rsidR="0011478D" w:rsidRPr="00C43993" w:rsidRDefault="0011478D" w:rsidP="0011478D">
            <w:pPr>
              <w:pStyle w:val="Bodycopy"/>
              <w:rPr>
                <w:b/>
                <w:lang w:eastAsia="en-NZ" w:bidi="en-US"/>
              </w:rPr>
            </w:pPr>
            <w:r w:rsidRPr="00C43993">
              <w:rPr>
                <w:b/>
                <w:lang w:eastAsia="en-NZ" w:bidi="en-US"/>
              </w:rPr>
              <w:t>Total revenue</w:t>
            </w:r>
            <w:r>
              <w:rPr>
                <w:b/>
                <w:lang w:eastAsia="en-NZ" w:bidi="en-US"/>
              </w:rPr>
              <w:t xml:space="preserve"> accounted for </w:t>
            </w:r>
          </w:p>
        </w:tc>
        <w:tc>
          <w:tcPr>
            <w:tcW w:w="1843" w:type="dxa"/>
          </w:tcPr>
          <w:p w:rsidR="0011478D" w:rsidRPr="00C43993" w:rsidRDefault="0011478D" w:rsidP="008320B1">
            <w:pPr>
              <w:pStyle w:val="Bodycopy"/>
              <w:jc w:val="right"/>
              <w:rPr>
                <w:b/>
                <w:lang w:eastAsia="en-NZ" w:bidi="en-US"/>
              </w:rPr>
            </w:pPr>
            <w:r>
              <w:rPr>
                <w:b/>
                <w:lang w:eastAsia="en-NZ" w:bidi="en-US"/>
              </w:rPr>
              <w:t>$4</w:t>
            </w:r>
            <w:r w:rsidR="008320B1">
              <w:rPr>
                <w:b/>
                <w:lang w:eastAsia="en-NZ" w:bidi="en-US"/>
              </w:rPr>
              <w:t>47</w:t>
            </w:r>
            <w:r>
              <w:rPr>
                <w:b/>
                <w:lang w:eastAsia="en-NZ" w:bidi="en-US"/>
              </w:rPr>
              <w:t>,1</w:t>
            </w:r>
            <w:r w:rsidR="008320B1">
              <w:rPr>
                <w:b/>
                <w:lang w:eastAsia="en-NZ" w:bidi="en-US"/>
              </w:rPr>
              <w:t>21</w:t>
            </w:r>
          </w:p>
        </w:tc>
      </w:tr>
      <w:tr w:rsidR="0011478D" w:rsidRPr="004F545E" w:rsidTr="0011478D">
        <w:tc>
          <w:tcPr>
            <w:tcW w:w="7054" w:type="dxa"/>
          </w:tcPr>
          <w:p w:rsidR="0011478D" w:rsidRPr="00C43993" w:rsidRDefault="0011478D" w:rsidP="0011478D">
            <w:pPr>
              <w:pStyle w:val="Bodycopy"/>
              <w:rPr>
                <w:b/>
                <w:lang w:eastAsia="en-NZ" w:bidi="en-US"/>
              </w:rPr>
            </w:pPr>
          </w:p>
        </w:tc>
        <w:tc>
          <w:tcPr>
            <w:tcW w:w="1843" w:type="dxa"/>
          </w:tcPr>
          <w:p w:rsidR="0011478D" w:rsidRDefault="0011478D" w:rsidP="009B595C">
            <w:pPr>
              <w:pStyle w:val="Bodycopy"/>
              <w:jc w:val="right"/>
              <w:rPr>
                <w:b/>
                <w:lang w:eastAsia="en-NZ" w:bidi="en-US"/>
              </w:rPr>
            </w:pPr>
          </w:p>
        </w:tc>
      </w:tr>
      <w:tr w:rsidR="0011478D" w:rsidRPr="004F545E" w:rsidTr="0011478D">
        <w:tc>
          <w:tcPr>
            <w:tcW w:w="7054" w:type="dxa"/>
          </w:tcPr>
          <w:p w:rsidR="0011478D" w:rsidRPr="003F2550" w:rsidRDefault="0011478D" w:rsidP="0011478D">
            <w:pPr>
              <w:pStyle w:val="Bodycopy"/>
              <w:rPr>
                <w:lang w:eastAsia="en-NZ" w:bidi="en-US"/>
              </w:rPr>
            </w:pPr>
            <w:r w:rsidRPr="0011478D">
              <w:rPr>
                <w:lang w:eastAsia="en-NZ" w:bidi="en-US"/>
              </w:rPr>
              <w:t xml:space="preserve">Total </w:t>
            </w:r>
            <w:r>
              <w:rPr>
                <w:lang w:eastAsia="en-NZ" w:bidi="en-US"/>
              </w:rPr>
              <w:t>e</w:t>
            </w:r>
            <w:r w:rsidRPr="003F2550">
              <w:rPr>
                <w:lang w:eastAsia="en-NZ" w:bidi="en-US"/>
              </w:rPr>
              <w:t xml:space="preserve">xpected revenue </w:t>
            </w:r>
          </w:p>
        </w:tc>
        <w:tc>
          <w:tcPr>
            <w:tcW w:w="1843" w:type="dxa"/>
          </w:tcPr>
          <w:p w:rsidR="0011478D" w:rsidRPr="003F2550" w:rsidRDefault="0011478D" w:rsidP="009B595C">
            <w:pPr>
              <w:pStyle w:val="Bodycopy"/>
              <w:jc w:val="right"/>
              <w:rPr>
                <w:lang w:eastAsia="en-NZ" w:bidi="en-US"/>
              </w:rPr>
            </w:pPr>
            <w:r w:rsidRPr="003F2550">
              <w:rPr>
                <w:lang w:eastAsia="en-NZ" w:bidi="en-US"/>
              </w:rPr>
              <w:t>$600,000</w:t>
            </w:r>
          </w:p>
        </w:tc>
      </w:tr>
      <w:tr w:rsidR="0011478D" w:rsidRPr="004F545E" w:rsidTr="0011478D">
        <w:tc>
          <w:tcPr>
            <w:tcW w:w="7054" w:type="dxa"/>
          </w:tcPr>
          <w:p w:rsidR="0011478D" w:rsidRPr="00C43993" w:rsidRDefault="0011478D" w:rsidP="0011478D">
            <w:pPr>
              <w:pStyle w:val="Bodycopy"/>
              <w:rPr>
                <w:b/>
                <w:lang w:eastAsia="en-NZ" w:bidi="en-US"/>
              </w:rPr>
            </w:pPr>
            <w:r>
              <w:rPr>
                <w:b/>
                <w:lang w:eastAsia="en-NZ" w:bidi="en-US"/>
              </w:rPr>
              <w:t xml:space="preserve">Difference </w:t>
            </w:r>
          </w:p>
        </w:tc>
        <w:tc>
          <w:tcPr>
            <w:tcW w:w="1843" w:type="dxa"/>
          </w:tcPr>
          <w:p w:rsidR="0011478D" w:rsidRDefault="0020789D" w:rsidP="008320B1">
            <w:pPr>
              <w:pStyle w:val="Bodycopy"/>
              <w:jc w:val="right"/>
              <w:rPr>
                <w:b/>
                <w:lang w:eastAsia="en-NZ" w:bidi="en-US"/>
              </w:rPr>
            </w:pPr>
            <w:r>
              <w:rPr>
                <w:b/>
                <w:lang w:eastAsia="en-NZ" w:bidi="en-US"/>
              </w:rPr>
              <w:t>$(1</w:t>
            </w:r>
            <w:r w:rsidR="008320B1">
              <w:rPr>
                <w:b/>
                <w:lang w:eastAsia="en-NZ" w:bidi="en-US"/>
              </w:rPr>
              <w:t>52</w:t>
            </w:r>
            <w:r>
              <w:rPr>
                <w:b/>
                <w:lang w:eastAsia="en-NZ" w:bidi="en-US"/>
              </w:rPr>
              <w:t>,</w:t>
            </w:r>
            <w:r w:rsidR="008320B1">
              <w:rPr>
                <w:b/>
                <w:lang w:eastAsia="en-NZ" w:bidi="en-US"/>
              </w:rPr>
              <w:t>879</w:t>
            </w:r>
            <w:r>
              <w:rPr>
                <w:b/>
                <w:lang w:eastAsia="en-NZ" w:bidi="en-US"/>
              </w:rPr>
              <w:t>)</w:t>
            </w:r>
          </w:p>
        </w:tc>
      </w:tr>
    </w:tbl>
    <w:p w:rsidR="0011478D" w:rsidRDefault="0011478D" w:rsidP="00A066E5">
      <w:pPr>
        <w:pStyle w:val="Bodycopy"/>
        <w:rPr>
          <w:lang w:eastAsia="en-NZ" w:bidi="en-US"/>
        </w:rPr>
      </w:pPr>
    </w:p>
    <w:p w:rsidR="00362E99" w:rsidRDefault="001E0B85" w:rsidP="00A066E5">
      <w:pPr>
        <w:pStyle w:val="Bodycopy"/>
        <w:rPr>
          <w:lang w:eastAsia="en-NZ" w:bidi="en-US"/>
        </w:rPr>
      </w:pPr>
      <w:r>
        <w:rPr>
          <w:lang w:eastAsia="en-NZ" w:bidi="en-US"/>
        </w:rPr>
        <w:t>Based on the financial figures presented, the difference in revenue recorded of $</w:t>
      </w:r>
      <w:r w:rsidR="00362E99">
        <w:rPr>
          <w:lang w:eastAsia="en-NZ" w:bidi="en-US"/>
        </w:rPr>
        <w:t>1</w:t>
      </w:r>
      <w:r w:rsidR="008320B1">
        <w:rPr>
          <w:lang w:eastAsia="en-NZ" w:bidi="en-US"/>
        </w:rPr>
        <w:t>53</w:t>
      </w:r>
      <w:r>
        <w:rPr>
          <w:lang w:eastAsia="en-NZ" w:bidi="en-US"/>
        </w:rPr>
        <w:t>K indicates that</w:t>
      </w:r>
      <w:r w:rsidR="00362E99">
        <w:rPr>
          <w:lang w:eastAsia="en-NZ" w:bidi="en-US"/>
        </w:rPr>
        <w:t xml:space="preserve"> the net amount that has not been charged to unsubsidised attendees is $1,</w:t>
      </w:r>
      <w:r w:rsidR="008320B1">
        <w:rPr>
          <w:lang w:eastAsia="en-NZ" w:bidi="en-US"/>
        </w:rPr>
        <w:t>020</w:t>
      </w:r>
      <w:r w:rsidR="00362E99">
        <w:rPr>
          <w:lang w:eastAsia="en-NZ" w:bidi="en-US"/>
        </w:rPr>
        <w:t xml:space="preserve"> per attendee. </w:t>
      </w:r>
    </w:p>
    <w:p w:rsidR="008D48AC" w:rsidRDefault="008D48AC" w:rsidP="00A066E5">
      <w:pPr>
        <w:pStyle w:val="Bodycopy"/>
        <w:rPr>
          <w:lang w:eastAsia="en-NZ" w:bidi="en-US"/>
        </w:rPr>
      </w:pPr>
    </w:p>
    <w:p w:rsidR="008D48AC" w:rsidRDefault="008D48AC" w:rsidP="00A066E5">
      <w:pPr>
        <w:pStyle w:val="Bodycopy"/>
        <w:rPr>
          <w:lang w:eastAsia="en-NZ" w:bidi="en-US"/>
        </w:rPr>
      </w:pPr>
    </w:p>
    <w:p w:rsidR="008D48AC" w:rsidRDefault="008D48AC" w:rsidP="00A066E5">
      <w:pPr>
        <w:pStyle w:val="Bodycopy"/>
        <w:rPr>
          <w:lang w:eastAsia="en-NZ" w:bidi="en-US"/>
        </w:rPr>
      </w:pPr>
    </w:p>
    <w:p w:rsidR="008D48AC" w:rsidRDefault="008D48AC" w:rsidP="00A066E5">
      <w:pPr>
        <w:pStyle w:val="Bodycopy"/>
        <w:rPr>
          <w:lang w:eastAsia="en-NZ" w:bidi="en-US"/>
        </w:rPr>
      </w:pPr>
    </w:p>
    <w:p w:rsidR="008D48AC" w:rsidRDefault="008D48AC" w:rsidP="00A066E5">
      <w:pPr>
        <w:pStyle w:val="Bodycopy"/>
        <w:rPr>
          <w:lang w:eastAsia="en-NZ" w:bidi="en-US"/>
        </w:rPr>
      </w:pPr>
    </w:p>
    <w:p w:rsidR="008D48AC" w:rsidRDefault="008D48AC" w:rsidP="00A066E5">
      <w:pPr>
        <w:pStyle w:val="Bodycopy"/>
        <w:rPr>
          <w:lang w:eastAsia="en-NZ" w:bidi="en-US"/>
        </w:rPr>
      </w:pPr>
    </w:p>
    <w:p w:rsidR="008D48AC" w:rsidRDefault="008D48AC" w:rsidP="00A066E5">
      <w:pPr>
        <w:pStyle w:val="Bodycopy"/>
        <w:rPr>
          <w:lang w:eastAsia="en-NZ" w:bidi="en-US"/>
        </w:rPr>
      </w:pPr>
    </w:p>
    <w:p w:rsidR="0020789D" w:rsidRDefault="00362E99" w:rsidP="00A066E5">
      <w:pPr>
        <w:pStyle w:val="Bodycopy"/>
        <w:rPr>
          <w:lang w:eastAsia="en-NZ" w:bidi="en-US"/>
        </w:rPr>
      </w:pPr>
      <w:r>
        <w:rPr>
          <w:lang w:eastAsia="en-NZ" w:bidi="en-US"/>
        </w:rPr>
        <w:lastRenderedPageBreak/>
        <w:t xml:space="preserve">Taking into account the amount of revenue that has not been reflected within the accounts, </w:t>
      </w:r>
      <w:r w:rsidR="0020789D">
        <w:rPr>
          <w:lang w:eastAsia="en-NZ" w:bidi="en-US"/>
        </w:rPr>
        <w:t xml:space="preserve">it would appear that the ACP training programme is profitable, with the net result for all activities being a surplus of $27K. Please see below for the details of our calculations.   </w:t>
      </w:r>
    </w:p>
    <w:tbl>
      <w:tblPr>
        <w:tblStyle w:val="DeloitteTable-Blue"/>
        <w:tblW w:w="0" w:type="auto"/>
        <w:tblLook w:val="04A0" w:firstRow="1" w:lastRow="0" w:firstColumn="1" w:lastColumn="0" w:noHBand="0" w:noVBand="1"/>
      </w:tblPr>
      <w:tblGrid>
        <w:gridCol w:w="6345"/>
        <w:gridCol w:w="2890"/>
      </w:tblGrid>
      <w:tr w:rsidR="003F2550" w:rsidRPr="00812834" w:rsidTr="009B595C">
        <w:trPr>
          <w:cnfStyle w:val="100000000000" w:firstRow="1" w:lastRow="0" w:firstColumn="0" w:lastColumn="0" w:oddVBand="0" w:evenVBand="0" w:oddHBand="0" w:evenHBand="0" w:firstRowFirstColumn="0" w:firstRowLastColumn="0" w:lastRowFirstColumn="0" w:lastRowLastColumn="0"/>
        </w:trPr>
        <w:tc>
          <w:tcPr>
            <w:tcW w:w="6345" w:type="dxa"/>
          </w:tcPr>
          <w:p w:rsidR="0020789D" w:rsidRPr="00812834" w:rsidRDefault="0020789D" w:rsidP="009B595C">
            <w:pPr>
              <w:pStyle w:val="Bodycopy"/>
              <w:rPr>
                <w:color w:val="FFFFFF" w:themeColor="background1"/>
                <w:lang w:eastAsia="en-NZ" w:bidi="en-US"/>
              </w:rPr>
            </w:pPr>
            <w:r w:rsidRPr="00812834">
              <w:rPr>
                <w:color w:val="FFFFFF" w:themeColor="background1"/>
                <w:lang w:eastAsia="en-NZ" w:bidi="en-US"/>
              </w:rPr>
              <w:t>Reconciliation of net result</w:t>
            </w:r>
          </w:p>
        </w:tc>
        <w:tc>
          <w:tcPr>
            <w:tcW w:w="2890" w:type="dxa"/>
          </w:tcPr>
          <w:p w:rsidR="0020789D" w:rsidRPr="00812834" w:rsidRDefault="0020789D" w:rsidP="00812834">
            <w:pPr>
              <w:pStyle w:val="Bodycopy"/>
              <w:jc w:val="right"/>
              <w:rPr>
                <w:color w:val="FFFFFF" w:themeColor="background1"/>
                <w:lang w:eastAsia="en-NZ" w:bidi="en-US"/>
              </w:rPr>
            </w:pPr>
            <w:r w:rsidRPr="00812834">
              <w:rPr>
                <w:color w:val="FFFFFF" w:themeColor="background1"/>
                <w:lang w:eastAsia="en-NZ" w:bidi="en-US"/>
              </w:rPr>
              <w:t>Amount $(000)</w:t>
            </w:r>
          </w:p>
        </w:tc>
      </w:tr>
      <w:tr w:rsidR="0020789D" w:rsidTr="009B595C">
        <w:tc>
          <w:tcPr>
            <w:tcW w:w="6345" w:type="dxa"/>
          </w:tcPr>
          <w:p w:rsidR="0020789D" w:rsidRDefault="0020789D" w:rsidP="009B595C">
            <w:pPr>
              <w:pStyle w:val="Bodycopy"/>
              <w:rPr>
                <w:lang w:eastAsia="en-NZ" w:bidi="en-US"/>
              </w:rPr>
            </w:pPr>
            <w:r>
              <w:rPr>
                <w:lang w:eastAsia="en-NZ" w:bidi="en-US"/>
              </w:rPr>
              <w:t>Net result presented within the accounts for course and workshop delivery</w:t>
            </w:r>
          </w:p>
        </w:tc>
        <w:tc>
          <w:tcPr>
            <w:tcW w:w="2890" w:type="dxa"/>
          </w:tcPr>
          <w:p w:rsidR="0020789D" w:rsidRDefault="0020789D" w:rsidP="0020789D">
            <w:pPr>
              <w:pStyle w:val="Bodycopy"/>
              <w:jc w:val="right"/>
              <w:rPr>
                <w:lang w:eastAsia="en-NZ" w:bidi="en-US"/>
              </w:rPr>
            </w:pPr>
            <w:r>
              <w:rPr>
                <w:lang w:eastAsia="en-NZ" w:bidi="en-US"/>
              </w:rPr>
              <w:t>($117,280)</w:t>
            </w:r>
          </w:p>
        </w:tc>
      </w:tr>
      <w:tr w:rsidR="0020789D" w:rsidTr="009B595C">
        <w:tc>
          <w:tcPr>
            <w:tcW w:w="6345" w:type="dxa"/>
          </w:tcPr>
          <w:p w:rsidR="0020789D" w:rsidRDefault="0020789D" w:rsidP="009B595C">
            <w:pPr>
              <w:pStyle w:val="Bodycopy"/>
              <w:rPr>
                <w:lang w:eastAsia="en-NZ" w:bidi="en-US"/>
              </w:rPr>
            </w:pPr>
            <w:r>
              <w:rPr>
                <w:lang w:eastAsia="en-NZ" w:bidi="en-US"/>
              </w:rPr>
              <w:t>Plus NRA funding not included in accounts</w:t>
            </w:r>
          </w:p>
        </w:tc>
        <w:tc>
          <w:tcPr>
            <w:tcW w:w="2890" w:type="dxa"/>
          </w:tcPr>
          <w:p w:rsidR="0020789D" w:rsidRDefault="0020789D" w:rsidP="008320B1">
            <w:pPr>
              <w:pStyle w:val="Bodycopy"/>
              <w:jc w:val="right"/>
              <w:rPr>
                <w:lang w:eastAsia="en-NZ" w:bidi="en-US"/>
              </w:rPr>
            </w:pPr>
            <w:r>
              <w:rPr>
                <w:lang w:eastAsia="en-NZ" w:bidi="en-US"/>
              </w:rPr>
              <w:t>$</w:t>
            </w:r>
            <w:r w:rsidR="008320B1">
              <w:rPr>
                <w:lang w:eastAsia="en-NZ" w:bidi="en-US"/>
              </w:rPr>
              <w:t>132,000</w:t>
            </w:r>
          </w:p>
        </w:tc>
      </w:tr>
      <w:tr w:rsidR="0020789D" w:rsidTr="009B595C">
        <w:tc>
          <w:tcPr>
            <w:tcW w:w="6345" w:type="dxa"/>
          </w:tcPr>
          <w:p w:rsidR="0020789D" w:rsidRDefault="0020789D" w:rsidP="002118DC">
            <w:pPr>
              <w:pStyle w:val="Bodycopy"/>
              <w:rPr>
                <w:lang w:eastAsia="en-NZ" w:bidi="en-US"/>
              </w:rPr>
            </w:pPr>
            <w:r>
              <w:rPr>
                <w:lang w:eastAsia="en-NZ" w:bidi="en-US"/>
              </w:rPr>
              <w:t xml:space="preserve">Plus difference in revenue between Deloitte </w:t>
            </w:r>
            <w:r w:rsidR="002118DC">
              <w:rPr>
                <w:lang w:eastAsia="en-NZ" w:bidi="en-US"/>
              </w:rPr>
              <w:t>e</w:t>
            </w:r>
            <w:r>
              <w:rPr>
                <w:lang w:eastAsia="en-NZ" w:bidi="en-US"/>
              </w:rPr>
              <w:t>xpectation and amounts presented</w:t>
            </w:r>
          </w:p>
        </w:tc>
        <w:tc>
          <w:tcPr>
            <w:tcW w:w="2890" w:type="dxa"/>
          </w:tcPr>
          <w:p w:rsidR="0020789D" w:rsidRDefault="0020789D" w:rsidP="008320B1">
            <w:pPr>
              <w:pStyle w:val="Bodycopy"/>
              <w:jc w:val="right"/>
              <w:rPr>
                <w:lang w:eastAsia="en-NZ" w:bidi="en-US"/>
              </w:rPr>
            </w:pPr>
            <w:r>
              <w:rPr>
                <w:lang w:eastAsia="en-NZ" w:bidi="en-US"/>
              </w:rPr>
              <w:t>$1</w:t>
            </w:r>
            <w:r w:rsidR="008320B1">
              <w:rPr>
                <w:lang w:eastAsia="en-NZ" w:bidi="en-US"/>
              </w:rPr>
              <w:t>52,879</w:t>
            </w:r>
          </w:p>
        </w:tc>
      </w:tr>
      <w:tr w:rsidR="0020789D" w:rsidRPr="003A106A" w:rsidTr="009B595C">
        <w:tc>
          <w:tcPr>
            <w:tcW w:w="6345" w:type="dxa"/>
          </w:tcPr>
          <w:p w:rsidR="0020789D" w:rsidRPr="00C43993" w:rsidRDefault="0020789D" w:rsidP="009B595C">
            <w:pPr>
              <w:pStyle w:val="Bodycopy"/>
              <w:rPr>
                <w:b/>
                <w:lang w:eastAsia="en-NZ" w:bidi="en-US"/>
              </w:rPr>
            </w:pPr>
            <w:r>
              <w:rPr>
                <w:b/>
                <w:lang w:eastAsia="en-NZ" w:bidi="en-US"/>
              </w:rPr>
              <w:t xml:space="preserve">Amended workshop and course delivery result  </w:t>
            </w:r>
            <w:r w:rsidRPr="00C43993">
              <w:rPr>
                <w:b/>
                <w:lang w:eastAsia="en-NZ" w:bidi="en-US"/>
              </w:rPr>
              <w:t xml:space="preserve"> </w:t>
            </w:r>
          </w:p>
        </w:tc>
        <w:tc>
          <w:tcPr>
            <w:tcW w:w="2890" w:type="dxa"/>
          </w:tcPr>
          <w:p w:rsidR="0020789D" w:rsidRPr="00C43993" w:rsidRDefault="0020789D" w:rsidP="0020789D">
            <w:pPr>
              <w:pStyle w:val="Bodycopy"/>
              <w:jc w:val="right"/>
              <w:rPr>
                <w:b/>
                <w:lang w:eastAsia="en-NZ" w:bidi="en-US"/>
              </w:rPr>
            </w:pPr>
            <w:r>
              <w:rPr>
                <w:b/>
                <w:lang w:eastAsia="en-NZ" w:bidi="en-US"/>
              </w:rPr>
              <w:t>$167,599</w:t>
            </w:r>
          </w:p>
        </w:tc>
      </w:tr>
      <w:tr w:rsidR="002C659A" w:rsidRPr="003A106A" w:rsidTr="009B595C">
        <w:tc>
          <w:tcPr>
            <w:tcW w:w="6345" w:type="dxa"/>
          </w:tcPr>
          <w:p w:rsidR="002C659A" w:rsidRPr="002C659A" w:rsidRDefault="002C659A" w:rsidP="009B595C">
            <w:pPr>
              <w:pStyle w:val="Bodycopy"/>
              <w:rPr>
                <w:lang w:eastAsia="en-NZ" w:bidi="en-US"/>
              </w:rPr>
            </w:pPr>
          </w:p>
        </w:tc>
        <w:tc>
          <w:tcPr>
            <w:tcW w:w="2890" w:type="dxa"/>
          </w:tcPr>
          <w:p w:rsidR="002C659A" w:rsidRPr="00D64815" w:rsidRDefault="002C659A" w:rsidP="0020789D">
            <w:pPr>
              <w:pStyle w:val="Bodycopy"/>
              <w:jc w:val="right"/>
              <w:rPr>
                <w:lang w:eastAsia="en-NZ" w:bidi="en-US"/>
              </w:rPr>
            </w:pPr>
          </w:p>
        </w:tc>
      </w:tr>
      <w:tr w:rsidR="0020789D" w:rsidRPr="003A106A" w:rsidTr="009B595C">
        <w:tc>
          <w:tcPr>
            <w:tcW w:w="6345" w:type="dxa"/>
          </w:tcPr>
          <w:p w:rsidR="0020789D" w:rsidRPr="003F2550" w:rsidRDefault="0020789D" w:rsidP="009B595C">
            <w:pPr>
              <w:pStyle w:val="Bodycopy"/>
              <w:rPr>
                <w:lang w:eastAsia="en-NZ" w:bidi="en-US"/>
              </w:rPr>
            </w:pPr>
            <w:r w:rsidRPr="003F2550">
              <w:rPr>
                <w:lang w:eastAsia="en-NZ" w:bidi="en-US"/>
              </w:rPr>
              <w:t xml:space="preserve">Development and infrastructure net result </w:t>
            </w:r>
          </w:p>
        </w:tc>
        <w:tc>
          <w:tcPr>
            <w:tcW w:w="2890" w:type="dxa"/>
          </w:tcPr>
          <w:p w:rsidR="0020789D" w:rsidRPr="003F2550" w:rsidRDefault="0020789D" w:rsidP="0020789D">
            <w:pPr>
              <w:pStyle w:val="Bodycopy"/>
              <w:jc w:val="right"/>
              <w:rPr>
                <w:lang w:eastAsia="en-NZ" w:bidi="en-US"/>
              </w:rPr>
            </w:pPr>
            <w:r w:rsidRPr="003F2550">
              <w:rPr>
                <w:lang w:eastAsia="en-NZ" w:bidi="en-US"/>
              </w:rPr>
              <w:t>($140,702)</w:t>
            </w:r>
          </w:p>
        </w:tc>
      </w:tr>
      <w:tr w:rsidR="0020789D" w:rsidRPr="003A106A" w:rsidTr="009B595C">
        <w:tc>
          <w:tcPr>
            <w:tcW w:w="6345" w:type="dxa"/>
          </w:tcPr>
          <w:p w:rsidR="0020789D" w:rsidRDefault="0020789D" w:rsidP="00773225">
            <w:pPr>
              <w:pStyle w:val="Bodycopy"/>
              <w:rPr>
                <w:b/>
                <w:lang w:eastAsia="en-NZ" w:bidi="en-US"/>
              </w:rPr>
            </w:pPr>
            <w:r>
              <w:rPr>
                <w:b/>
                <w:lang w:eastAsia="en-NZ" w:bidi="en-US"/>
              </w:rPr>
              <w:t xml:space="preserve">Amended net result </w:t>
            </w:r>
            <w:r w:rsidR="00773225">
              <w:rPr>
                <w:b/>
                <w:lang w:eastAsia="en-NZ" w:bidi="en-US"/>
              </w:rPr>
              <w:t>(surplus)</w:t>
            </w:r>
            <w:r>
              <w:rPr>
                <w:b/>
                <w:lang w:eastAsia="en-NZ" w:bidi="en-US"/>
              </w:rPr>
              <w:t xml:space="preserve"> </w:t>
            </w:r>
          </w:p>
        </w:tc>
        <w:tc>
          <w:tcPr>
            <w:tcW w:w="2890" w:type="dxa"/>
          </w:tcPr>
          <w:p w:rsidR="0020789D" w:rsidRDefault="0020789D" w:rsidP="0020789D">
            <w:pPr>
              <w:pStyle w:val="Bodycopy"/>
              <w:jc w:val="right"/>
              <w:rPr>
                <w:b/>
                <w:lang w:eastAsia="en-NZ" w:bidi="en-US"/>
              </w:rPr>
            </w:pPr>
            <w:r>
              <w:rPr>
                <w:b/>
                <w:lang w:eastAsia="en-NZ" w:bidi="en-US"/>
              </w:rPr>
              <w:t>$26,897</w:t>
            </w:r>
          </w:p>
        </w:tc>
      </w:tr>
    </w:tbl>
    <w:p w:rsidR="0020789D" w:rsidRDefault="0020789D" w:rsidP="00A066E5">
      <w:pPr>
        <w:pStyle w:val="Bodycopy"/>
        <w:rPr>
          <w:lang w:eastAsia="en-NZ" w:bidi="en-US"/>
        </w:rPr>
      </w:pPr>
    </w:p>
    <w:p w:rsidR="00773225" w:rsidRDefault="002D563C" w:rsidP="00773225">
      <w:pPr>
        <w:pStyle w:val="Bodycopy"/>
        <w:rPr>
          <w:lang w:eastAsia="en-NZ" w:bidi="en-US"/>
        </w:rPr>
      </w:pPr>
      <w:r>
        <w:rPr>
          <w:lang w:eastAsia="en-NZ" w:bidi="en-US"/>
        </w:rPr>
        <w:t>Please note that we have not verified the accuracy of the figures presented to us,</w:t>
      </w:r>
      <w:r w:rsidR="00F30265">
        <w:rPr>
          <w:lang w:eastAsia="en-NZ" w:bidi="en-US"/>
        </w:rPr>
        <w:t xml:space="preserve"> or verified if the actual amounts that have been charged to attendees of the Level 2 ACP training programme </w:t>
      </w:r>
      <w:r>
        <w:rPr>
          <w:lang w:eastAsia="en-NZ" w:bidi="en-US"/>
        </w:rPr>
        <w:t xml:space="preserve"> nor have we performed an audit of the underlying financial records due to being outside the scope of this review. </w:t>
      </w:r>
      <w:r w:rsidR="00BD2234">
        <w:rPr>
          <w:lang w:eastAsia="en-NZ" w:bidi="en-US"/>
        </w:rPr>
        <w:t xml:space="preserve">We have reviewed several </w:t>
      </w:r>
      <w:r>
        <w:rPr>
          <w:lang w:eastAsia="en-NZ" w:bidi="en-US"/>
        </w:rPr>
        <w:t xml:space="preserve">different versions of financial results for the ACP programme and </w:t>
      </w:r>
      <w:r w:rsidR="00BD2234">
        <w:rPr>
          <w:lang w:eastAsia="en-NZ" w:bidi="en-US"/>
        </w:rPr>
        <w:t xml:space="preserve">based on </w:t>
      </w:r>
      <w:r>
        <w:rPr>
          <w:lang w:eastAsia="en-NZ" w:bidi="en-US"/>
        </w:rPr>
        <w:t>initial questions posed regarding the financial results, it would appear that financial oversight over the ACP programme is not satisfactory given the level of funding receive</w:t>
      </w:r>
      <w:r w:rsidRPr="00773225">
        <w:rPr>
          <w:lang w:eastAsia="en-NZ" w:bidi="en-US"/>
        </w:rPr>
        <w:t xml:space="preserve">d. </w:t>
      </w:r>
      <w:r w:rsidR="00773225" w:rsidRPr="00773225">
        <w:rPr>
          <w:lang w:eastAsia="en-NZ" w:bidi="en-US"/>
        </w:rPr>
        <w:t xml:space="preserve">We recommend that HWNZ should discuss with the NRA their process in assessing subsidy eligibility and how this was applied in practice. </w:t>
      </w:r>
    </w:p>
    <w:p w:rsidR="001E0B85" w:rsidRDefault="004F545E" w:rsidP="00A066E5">
      <w:pPr>
        <w:pStyle w:val="Bodycopy"/>
        <w:rPr>
          <w:lang w:eastAsia="en-NZ" w:bidi="en-US"/>
        </w:rPr>
      </w:pPr>
      <w:r>
        <w:rPr>
          <w:lang w:eastAsia="en-NZ" w:bidi="en-US"/>
        </w:rPr>
        <w:t>T</w:t>
      </w:r>
      <w:r w:rsidR="004C69C8">
        <w:rPr>
          <w:lang w:eastAsia="en-NZ" w:bidi="en-US"/>
        </w:rPr>
        <w:t>h</w:t>
      </w:r>
      <w:r w:rsidR="001E0B85">
        <w:rPr>
          <w:lang w:eastAsia="en-NZ" w:bidi="en-US"/>
        </w:rPr>
        <w:t xml:space="preserve">e current </w:t>
      </w:r>
      <w:r w:rsidR="003353EB">
        <w:rPr>
          <w:lang w:eastAsia="en-NZ" w:bidi="en-US"/>
        </w:rPr>
        <w:t>Level 2</w:t>
      </w:r>
      <w:r w:rsidR="001E0B85">
        <w:rPr>
          <w:lang w:eastAsia="en-NZ" w:bidi="en-US"/>
        </w:rPr>
        <w:t xml:space="preserve"> ACP training programme is effective in increasing attendees confidence in practising ACP and also effective in changing course attendee behaviour</w:t>
      </w:r>
      <w:r>
        <w:rPr>
          <w:lang w:eastAsia="en-NZ" w:bidi="en-US"/>
        </w:rPr>
        <w:t>.</w:t>
      </w:r>
      <w:r w:rsidR="004C69C8">
        <w:rPr>
          <w:lang w:eastAsia="en-NZ" w:bidi="en-US"/>
        </w:rPr>
        <w:t xml:space="preserve"> In addition taking into account the barriers to attending the course</w:t>
      </w:r>
      <w:r w:rsidR="002118DC">
        <w:rPr>
          <w:lang w:eastAsia="en-NZ" w:bidi="en-US"/>
        </w:rPr>
        <w:t>;</w:t>
      </w:r>
      <w:r w:rsidR="004C69C8">
        <w:rPr>
          <w:lang w:eastAsia="en-NZ" w:bidi="en-US"/>
        </w:rPr>
        <w:t xml:space="preserve"> the fact that the course is an advanced communication course</w:t>
      </w:r>
      <w:r w:rsidR="002118DC">
        <w:rPr>
          <w:lang w:eastAsia="en-NZ" w:bidi="en-US"/>
        </w:rPr>
        <w:t>;</w:t>
      </w:r>
      <w:r w:rsidR="004C69C8">
        <w:rPr>
          <w:lang w:eastAsia="en-NZ" w:bidi="en-US"/>
        </w:rPr>
        <w:t xml:space="preserve"> the barriers to practising ACP</w:t>
      </w:r>
      <w:r w:rsidR="002118DC">
        <w:rPr>
          <w:lang w:eastAsia="en-NZ" w:bidi="en-US"/>
        </w:rPr>
        <w:t>;</w:t>
      </w:r>
      <w:r w:rsidR="004C69C8">
        <w:rPr>
          <w:lang w:eastAsia="en-NZ" w:bidi="en-US"/>
        </w:rPr>
        <w:t xml:space="preserve"> and only 300 attendees at the most being able to attend the </w:t>
      </w:r>
      <w:r w:rsidR="003353EB">
        <w:rPr>
          <w:lang w:eastAsia="en-NZ" w:bidi="en-US"/>
        </w:rPr>
        <w:t>Level 2</w:t>
      </w:r>
      <w:r w:rsidR="004C69C8">
        <w:rPr>
          <w:lang w:eastAsia="en-NZ" w:bidi="en-US"/>
        </w:rPr>
        <w:t xml:space="preserve"> ACP training programme, we do not believe that the manner in which the course is currently delivered represents value for money in terms of funding received. </w:t>
      </w:r>
      <w:r w:rsidR="003649D6">
        <w:rPr>
          <w:lang w:eastAsia="en-NZ" w:bidi="en-US"/>
        </w:rPr>
        <w:t xml:space="preserve">The basis for this conclusion is that we cannot identify a return on funds invested or a payback period on the funds invested by HWNZ. The value for money of funding received is further put into question in light of alternative funding options </w:t>
      </w:r>
      <w:r w:rsidR="006E68DC">
        <w:rPr>
          <w:lang w:eastAsia="en-NZ" w:bidi="en-US"/>
        </w:rPr>
        <w:t xml:space="preserve">that HWNZ could potentially invest in, with the potential for a wider training outcome.  </w:t>
      </w:r>
    </w:p>
    <w:p w:rsidR="004C69C8" w:rsidRDefault="004C69C8" w:rsidP="00A066E5">
      <w:pPr>
        <w:pStyle w:val="Bodycopy"/>
        <w:rPr>
          <w:lang w:eastAsia="en-NZ" w:bidi="en-US"/>
        </w:rPr>
      </w:pPr>
      <w:r>
        <w:rPr>
          <w:lang w:eastAsia="en-NZ" w:bidi="en-US"/>
        </w:rPr>
        <w:lastRenderedPageBreak/>
        <w:t xml:space="preserve">Based on the financial figures presented to us, and also the maximum number of health workers who have been able to attend the </w:t>
      </w:r>
      <w:r w:rsidR="003353EB">
        <w:rPr>
          <w:lang w:eastAsia="en-NZ" w:bidi="en-US"/>
        </w:rPr>
        <w:t>Level 2</w:t>
      </w:r>
      <w:r>
        <w:rPr>
          <w:lang w:eastAsia="en-NZ" w:bidi="en-US"/>
        </w:rPr>
        <w:t xml:space="preserve"> training, we believe that the current delivery configuration is also unsustainable. The course is currently primarily targeted at the secondary health level; the maximum number of attendees that could potentially be trained during the year of 300 does not take into account staff turnover rates within the secondary health sector. </w:t>
      </w:r>
      <w:r w:rsidR="004F545E">
        <w:rPr>
          <w:lang w:eastAsia="en-NZ" w:bidi="en-US"/>
        </w:rPr>
        <w:t>As such</w:t>
      </w:r>
      <w:r w:rsidR="002118DC">
        <w:rPr>
          <w:lang w:eastAsia="en-NZ" w:bidi="en-US"/>
        </w:rPr>
        <w:t>,</w:t>
      </w:r>
      <w:r w:rsidR="004F545E">
        <w:rPr>
          <w:lang w:eastAsia="en-NZ" w:bidi="en-US"/>
        </w:rPr>
        <w:t xml:space="preserve"> widespread knowledge and adoption of ACP will not occur within the Health Sector given the level of staff turnover within the New Zealand public health sector. </w:t>
      </w:r>
      <w:r>
        <w:rPr>
          <w:lang w:eastAsia="en-NZ" w:bidi="en-US"/>
        </w:rPr>
        <w:t xml:space="preserve">Please refer to section 7 of this report for recommendations to improve the sustainability and value for money of </w:t>
      </w:r>
      <w:r w:rsidR="00733EC7">
        <w:rPr>
          <w:lang w:eastAsia="en-NZ" w:bidi="en-US"/>
        </w:rPr>
        <w:t>HWNZ</w:t>
      </w:r>
      <w:r>
        <w:rPr>
          <w:lang w:eastAsia="en-NZ" w:bidi="en-US"/>
        </w:rPr>
        <w:t xml:space="preserve"> funding going forward. </w:t>
      </w:r>
    </w:p>
    <w:p w:rsidR="00891359" w:rsidRDefault="004B02FA" w:rsidP="004B02FA">
      <w:pPr>
        <w:pStyle w:val="APageheading-numbered"/>
        <w:spacing w:after="800"/>
      </w:pPr>
      <w:bookmarkStart w:id="24" w:name="_Toc412729768"/>
      <w:r>
        <w:rPr>
          <w:lang w:eastAsia="en-NZ"/>
        </w:rPr>
        <w:lastRenderedPageBreak/>
        <w:t>Recommendations</w:t>
      </w:r>
      <w:bookmarkEnd w:id="10"/>
      <w:bookmarkEnd w:id="12"/>
      <w:bookmarkEnd w:id="24"/>
    </w:p>
    <w:p w:rsidR="00135E9A" w:rsidRDefault="006844B8" w:rsidP="00AB2AF3">
      <w:pPr>
        <w:rPr>
          <w:lang w:eastAsia="en-NZ" w:bidi="en-US"/>
        </w:rPr>
      </w:pPr>
      <w:r w:rsidRPr="006844B8">
        <w:rPr>
          <w:lang w:eastAsia="en-NZ" w:bidi="en-US"/>
        </w:rPr>
        <w:t>We understand that the current level 2 ACP programme delivery is supported through the results of international research in terms of the effectiveness of didactic training</w:t>
      </w:r>
      <w:r>
        <w:rPr>
          <w:lang w:eastAsia="en-NZ" w:bidi="en-US"/>
        </w:rPr>
        <w:t>. H</w:t>
      </w:r>
      <w:r w:rsidRPr="006844B8">
        <w:rPr>
          <w:lang w:eastAsia="en-NZ" w:bidi="en-US"/>
        </w:rPr>
        <w:t>owever</w:t>
      </w:r>
      <w:r w:rsidR="00A373DF">
        <w:rPr>
          <w:lang w:eastAsia="en-NZ" w:bidi="en-US"/>
        </w:rPr>
        <w:t>,</w:t>
      </w:r>
      <w:r w:rsidRPr="006844B8">
        <w:rPr>
          <w:lang w:eastAsia="en-NZ" w:bidi="en-US"/>
        </w:rPr>
        <w:t xml:space="preserve"> due to the level 2 ACP programme </w:t>
      </w:r>
      <w:r>
        <w:rPr>
          <w:lang w:eastAsia="en-NZ" w:bidi="en-US"/>
        </w:rPr>
        <w:t xml:space="preserve">being </w:t>
      </w:r>
      <w:r w:rsidRPr="006844B8">
        <w:rPr>
          <w:lang w:eastAsia="en-NZ" w:bidi="en-US"/>
        </w:rPr>
        <w:t>funded through HWNZ</w:t>
      </w:r>
      <w:r>
        <w:rPr>
          <w:lang w:eastAsia="en-NZ" w:bidi="en-US"/>
        </w:rPr>
        <w:t>, the programme can be seen to be funded through public monies. As such</w:t>
      </w:r>
      <w:r w:rsidR="002118DC">
        <w:rPr>
          <w:lang w:eastAsia="en-NZ" w:bidi="en-US"/>
        </w:rPr>
        <w:t>,</w:t>
      </w:r>
      <w:r>
        <w:rPr>
          <w:lang w:eastAsia="en-NZ" w:bidi="en-US"/>
        </w:rPr>
        <w:t xml:space="preserve"> </w:t>
      </w:r>
      <w:r w:rsidRPr="006844B8">
        <w:rPr>
          <w:lang w:eastAsia="en-NZ" w:bidi="en-US"/>
        </w:rPr>
        <w:t xml:space="preserve">we recommend that alternative </w:t>
      </w:r>
      <w:r>
        <w:rPr>
          <w:lang w:eastAsia="en-NZ" w:bidi="en-US"/>
        </w:rPr>
        <w:t xml:space="preserve">options are investigated to reduce the cost base of training delivery, whilst also increasing the uptake of ACP training. </w:t>
      </w:r>
      <w:r w:rsidR="00135E9A">
        <w:rPr>
          <w:lang w:eastAsia="en-NZ" w:bidi="en-US"/>
        </w:rPr>
        <w:t xml:space="preserve">To further improve the uptake of ACP nationally, we recommend that the </w:t>
      </w:r>
      <w:r w:rsidR="002D563C">
        <w:rPr>
          <w:lang w:eastAsia="en-NZ" w:bidi="en-US"/>
        </w:rPr>
        <w:t xml:space="preserve">following options are </w:t>
      </w:r>
      <w:r w:rsidR="00135E9A">
        <w:rPr>
          <w:lang w:eastAsia="en-NZ" w:bidi="en-US"/>
        </w:rPr>
        <w:t>investigated in further detail:</w:t>
      </w:r>
    </w:p>
    <w:p w:rsidR="00135E9A" w:rsidRDefault="002D563C" w:rsidP="008C348E">
      <w:pPr>
        <w:pStyle w:val="ListParagraph"/>
        <w:numPr>
          <w:ilvl w:val="0"/>
          <w:numId w:val="28"/>
        </w:numPr>
        <w:rPr>
          <w:lang w:eastAsia="en-NZ" w:bidi="en-US"/>
        </w:rPr>
      </w:pPr>
      <w:r>
        <w:rPr>
          <w:lang w:eastAsia="en-NZ" w:bidi="en-US"/>
        </w:rPr>
        <w:t xml:space="preserve">Introducing an introductory 1 day </w:t>
      </w:r>
      <w:r w:rsidR="00135E9A">
        <w:rPr>
          <w:lang w:eastAsia="en-NZ" w:bidi="en-US"/>
        </w:rPr>
        <w:t>workshop</w:t>
      </w:r>
      <w:r>
        <w:rPr>
          <w:lang w:eastAsia="en-NZ" w:bidi="en-US"/>
        </w:rPr>
        <w:t xml:space="preserve"> to</w:t>
      </w:r>
      <w:r w:rsidR="00135E9A">
        <w:rPr>
          <w:lang w:eastAsia="en-NZ" w:bidi="en-US"/>
        </w:rPr>
        <w:t xml:space="preserve"> improve uptake levels</w:t>
      </w:r>
      <w:r w:rsidR="006E68DC">
        <w:rPr>
          <w:lang w:eastAsia="en-NZ" w:bidi="en-US"/>
        </w:rPr>
        <w:t xml:space="preserve">; </w:t>
      </w:r>
    </w:p>
    <w:p w:rsidR="006E68DC" w:rsidRDefault="006E68DC" w:rsidP="008C348E">
      <w:pPr>
        <w:pStyle w:val="ListParagraph"/>
        <w:numPr>
          <w:ilvl w:val="0"/>
          <w:numId w:val="28"/>
        </w:numPr>
        <w:rPr>
          <w:lang w:eastAsia="en-NZ" w:bidi="en-US"/>
        </w:rPr>
      </w:pPr>
      <w:r>
        <w:rPr>
          <w:lang w:eastAsia="en-NZ" w:bidi="en-US"/>
        </w:rPr>
        <w:t xml:space="preserve">Reviewing the current pricing and marketing of the level 2 ACP training programme to make the programme more financially sustainable; </w:t>
      </w:r>
    </w:p>
    <w:p w:rsidR="00135E9A" w:rsidRDefault="00135E9A" w:rsidP="008C348E">
      <w:pPr>
        <w:pStyle w:val="ListParagraph"/>
        <w:numPr>
          <w:ilvl w:val="0"/>
          <w:numId w:val="28"/>
        </w:numPr>
        <w:rPr>
          <w:lang w:eastAsia="en-NZ" w:bidi="en-US"/>
        </w:rPr>
      </w:pPr>
      <w:r>
        <w:rPr>
          <w:lang w:eastAsia="en-NZ" w:bidi="en-US"/>
        </w:rPr>
        <w:t>Re</w:t>
      </w:r>
      <w:r w:rsidR="004F545E">
        <w:rPr>
          <w:lang w:eastAsia="en-NZ" w:bidi="en-US"/>
        </w:rPr>
        <w:t xml:space="preserve">ducing </w:t>
      </w:r>
      <w:r>
        <w:rPr>
          <w:lang w:eastAsia="en-NZ" w:bidi="en-US"/>
        </w:rPr>
        <w:t>the use of professional actors and replacing with health trainers who specialise in simulation based training;</w:t>
      </w:r>
    </w:p>
    <w:p w:rsidR="00135E9A" w:rsidRDefault="00135E9A" w:rsidP="008C348E">
      <w:pPr>
        <w:pStyle w:val="ListParagraph"/>
        <w:numPr>
          <w:ilvl w:val="0"/>
          <w:numId w:val="28"/>
        </w:numPr>
        <w:rPr>
          <w:lang w:eastAsia="en-NZ" w:bidi="en-US"/>
        </w:rPr>
      </w:pPr>
      <w:r>
        <w:rPr>
          <w:lang w:eastAsia="en-NZ" w:bidi="en-US"/>
        </w:rPr>
        <w:t xml:space="preserve">Increasing the promotion of ACP at the CME level for </w:t>
      </w:r>
      <w:r w:rsidR="003353EB">
        <w:rPr>
          <w:lang w:eastAsia="en-NZ" w:bidi="en-US"/>
        </w:rPr>
        <w:t>health workers</w:t>
      </w:r>
      <w:r>
        <w:rPr>
          <w:lang w:eastAsia="en-NZ" w:bidi="en-US"/>
        </w:rPr>
        <w:t>;</w:t>
      </w:r>
    </w:p>
    <w:p w:rsidR="00323381" w:rsidRDefault="00135E9A" w:rsidP="008C348E">
      <w:pPr>
        <w:pStyle w:val="ListParagraph"/>
        <w:numPr>
          <w:ilvl w:val="0"/>
          <w:numId w:val="28"/>
        </w:numPr>
        <w:rPr>
          <w:lang w:eastAsia="en-NZ" w:bidi="en-US"/>
        </w:rPr>
      </w:pPr>
      <w:r>
        <w:rPr>
          <w:lang w:eastAsia="en-NZ" w:bidi="en-US"/>
        </w:rPr>
        <w:t>Introducing and/or developing a</w:t>
      </w:r>
      <w:r w:rsidR="00323381">
        <w:rPr>
          <w:lang w:eastAsia="en-NZ" w:bidi="en-US"/>
        </w:rPr>
        <w:t>n introductory ACP communication course; and</w:t>
      </w:r>
    </w:p>
    <w:p w:rsidR="00135E9A" w:rsidRDefault="00323381" w:rsidP="008C348E">
      <w:pPr>
        <w:pStyle w:val="ListParagraph"/>
        <w:numPr>
          <w:ilvl w:val="0"/>
          <w:numId w:val="28"/>
        </w:numPr>
        <w:rPr>
          <w:lang w:eastAsia="en-NZ" w:bidi="en-US"/>
        </w:rPr>
      </w:pPr>
      <w:r>
        <w:rPr>
          <w:lang w:eastAsia="en-NZ" w:bidi="en-US"/>
        </w:rPr>
        <w:t>Higher levels of promotion at the primary care sector</w:t>
      </w:r>
      <w:r w:rsidR="00007B7D">
        <w:rPr>
          <w:lang w:eastAsia="en-NZ" w:bidi="en-US"/>
        </w:rPr>
        <w:t xml:space="preserve"> (being GP’s, Practice Nurses, community based care, allied health </w:t>
      </w:r>
      <w:r w:rsidR="008C776C">
        <w:rPr>
          <w:lang w:eastAsia="en-NZ" w:bidi="en-US"/>
        </w:rPr>
        <w:t>etc.</w:t>
      </w:r>
      <w:r w:rsidR="0069745B">
        <w:rPr>
          <w:lang w:eastAsia="en-NZ" w:bidi="en-US"/>
        </w:rPr>
        <w:t>).</w:t>
      </w:r>
      <w:r>
        <w:rPr>
          <w:lang w:eastAsia="en-NZ" w:bidi="en-US"/>
        </w:rPr>
        <w:t xml:space="preserve"> </w:t>
      </w:r>
      <w:r w:rsidR="00135E9A">
        <w:rPr>
          <w:lang w:eastAsia="en-NZ" w:bidi="en-US"/>
        </w:rPr>
        <w:t xml:space="preserve">  </w:t>
      </w:r>
    </w:p>
    <w:p w:rsidR="00323381" w:rsidRDefault="00323381" w:rsidP="00AB2AF3">
      <w:pPr>
        <w:rPr>
          <w:lang w:eastAsia="en-NZ" w:bidi="en-US"/>
        </w:rPr>
      </w:pPr>
      <w:r>
        <w:rPr>
          <w:lang w:eastAsia="en-NZ" w:bidi="en-US"/>
        </w:rPr>
        <w:t xml:space="preserve">We acknowledge that the current </w:t>
      </w:r>
      <w:r w:rsidR="003353EB">
        <w:rPr>
          <w:lang w:eastAsia="en-NZ" w:bidi="en-US"/>
        </w:rPr>
        <w:t>Level 2</w:t>
      </w:r>
      <w:r>
        <w:rPr>
          <w:lang w:eastAsia="en-NZ" w:bidi="en-US"/>
        </w:rPr>
        <w:t xml:space="preserve"> delivery mechanism is effective in increasing practitioners confidence with ACP and also in on-going changed behaviours of practitioners, however given the current barriers to attending the </w:t>
      </w:r>
      <w:r w:rsidR="003353EB">
        <w:rPr>
          <w:lang w:eastAsia="en-NZ" w:bidi="en-US"/>
        </w:rPr>
        <w:t>Level 2</w:t>
      </w:r>
      <w:r>
        <w:rPr>
          <w:lang w:eastAsia="en-NZ" w:bidi="en-US"/>
        </w:rPr>
        <w:t xml:space="preserve"> training programme and to increase awareness of ACP nationally the current delivery </w:t>
      </w:r>
      <w:r w:rsidR="007471BB">
        <w:rPr>
          <w:lang w:eastAsia="en-NZ" w:bidi="en-US"/>
        </w:rPr>
        <w:t>mechanism</w:t>
      </w:r>
      <w:r>
        <w:rPr>
          <w:lang w:eastAsia="en-NZ" w:bidi="en-US"/>
        </w:rPr>
        <w:t xml:space="preserve"> needs to be reassessed. </w:t>
      </w:r>
      <w:r w:rsidR="002D563C">
        <w:rPr>
          <w:lang w:eastAsia="en-NZ" w:bidi="en-US"/>
        </w:rPr>
        <w:t>I</w:t>
      </w:r>
      <w:r>
        <w:rPr>
          <w:lang w:eastAsia="en-NZ" w:bidi="en-US"/>
        </w:rPr>
        <w:t xml:space="preserve">n terms of </w:t>
      </w:r>
      <w:r w:rsidR="008C776C">
        <w:rPr>
          <w:lang w:eastAsia="en-NZ" w:bidi="en-US"/>
        </w:rPr>
        <w:t xml:space="preserve">improving ACP awareness within the health sector </w:t>
      </w:r>
      <w:r>
        <w:rPr>
          <w:lang w:eastAsia="en-NZ" w:bidi="en-US"/>
        </w:rPr>
        <w:t>we recommend the following:</w:t>
      </w:r>
    </w:p>
    <w:p w:rsidR="00323381" w:rsidRDefault="00323381" w:rsidP="008C348E">
      <w:pPr>
        <w:pStyle w:val="ListParagraph"/>
        <w:numPr>
          <w:ilvl w:val="0"/>
          <w:numId w:val="29"/>
        </w:numPr>
        <w:rPr>
          <w:lang w:eastAsia="en-NZ" w:bidi="en-US"/>
        </w:rPr>
      </w:pPr>
      <w:r>
        <w:rPr>
          <w:lang w:eastAsia="en-NZ" w:bidi="en-US"/>
        </w:rPr>
        <w:t>Reducing the cost of the training to reflect a reduced course length;</w:t>
      </w:r>
    </w:p>
    <w:p w:rsidR="00323381" w:rsidRDefault="00323381" w:rsidP="008C348E">
      <w:pPr>
        <w:pStyle w:val="ListParagraph"/>
        <w:numPr>
          <w:ilvl w:val="0"/>
          <w:numId w:val="29"/>
        </w:numPr>
        <w:rPr>
          <w:lang w:eastAsia="en-NZ" w:bidi="en-US"/>
        </w:rPr>
      </w:pPr>
      <w:r>
        <w:rPr>
          <w:lang w:eastAsia="en-NZ" w:bidi="en-US"/>
        </w:rPr>
        <w:t>Higher focus on ACP within the regional health plans to increase the level “top slice” funding for all regions to facilitate ACP training; and</w:t>
      </w:r>
    </w:p>
    <w:p w:rsidR="00323381" w:rsidRDefault="00323381" w:rsidP="008C348E">
      <w:pPr>
        <w:pStyle w:val="ListParagraph"/>
        <w:numPr>
          <w:ilvl w:val="0"/>
          <w:numId w:val="29"/>
        </w:numPr>
        <w:rPr>
          <w:lang w:eastAsia="en-NZ" w:bidi="en-US"/>
        </w:rPr>
      </w:pPr>
      <w:r>
        <w:rPr>
          <w:lang w:eastAsia="en-NZ" w:bidi="en-US"/>
        </w:rPr>
        <w:t xml:space="preserve">Increased development of non-financial reporting measures to hold </w:t>
      </w:r>
      <w:r w:rsidR="007471BB">
        <w:rPr>
          <w:lang w:eastAsia="en-NZ" w:bidi="en-US"/>
        </w:rPr>
        <w:t xml:space="preserve">DHB’s </w:t>
      </w:r>
      <w:r>
        <w:rPr>
          <w:lang w:eastAsia="en-NZ" w:bidi="en-US"/>
        </w:rPr>
        <w:t xml:space="preserve">accountable for increasing awareness and uptake of ACP.  </w:t>
      </w:r>
    </w:p>
    <w:p w:rsidR="006E68DC" w:rsidRDefault="006E68DC" w:rsidP="00004292">
      <w:pPr>
        <w:rPr>
          <w:lang w:eastAsia="en-NZ" w:bidi="en-US"/>
        </w:rPr>
      </w:pPr>
      <w:r>
        <w:rPr>
          <w:lang w:eastAsia="en-NZ" w:bidi="en-US"/>
        </w:rPr>
        <w:t xml:space="preserve">We have included </w:t>
      </w:r>
      <w:r w:rsidR="00BD2234">
        <w:rPr>
          <w:lang w:eastAsia="en-NZ" w:bidi="en-US"/>
        </w:rPr>
        <w:t xml:space="preserve">the business case that has been prepared by the Southern Health Alliance to obtain top slice funding from South Island DHB’s in Appendix B of this report, which we believe is a good example of an effective business case. We recommend that the Midland and Central regional health alliances review this business case and make provision for a similar arrangement. </w:t>
      </w:r>
    </w:p>
    <w:p w:rsidR="00004292" w:rsidRDefault="00004292" w:rsidP="007471BB">
      <w:pPr>
        <w:rPr>
          <w:lang w:eastAsia="en-NZ" w:bidi="en-US"/>
        </w:rPr>
      </w:pPr>
    </w:p>
    <w:p w:rsidR="00004292" w:rsidRDefault="00004292" w:rsidP="007471BB">
      <w:pPr>
        <w:rPr>
          <w:lang w:eastAsia="en-NZ" w:bidi="en-US"/>
        </w:rPr>
      </w:pPr>
    </w:p>
    <w:p w:rsidR="007471BB" w:rsidRDefault="007471BB" w:rsidP="007471BB">
      <w:pPr>
        <w:rPr>
          <w:lang w:eastAsia="en-NZ" w:bidi="en-US"/>
        </w:rPr>
      </w:pPr>
      <w:r>
        <w:rPr>
          <w:lang w:eastAsia="en-NZ" w:bidi="en-US"/>
        </w:rPr>
        <w:lastRenderedPageBreak/>
        <w:t>To remove the barriers to practising ACP, we recommend the following:</w:t>
      </w:r>
    </w:p>
    <w:p w:rsidR="007471BB" w:rsidRDefault="007471BB" w:rsidP="008C348E">
      <w:pPr>
        <w:pStyle w:val="ListParagraph"/>
        <w:numPr>
          <w:ilvl w:val="0"/>
          <w:numId w:val="30"/>
        </w:numPr>
        <w:rPr>
          <w:lang w:eastAsia="en-NZ" w:bidi="en-US"/>
        </w:rPr>
      </w:pPr>
      <w:r>
        <w:rPr>
          <w:lang w:eastAsia="en-NZ" w:bidi="en-US"/>
        </w:rPr>
        <w:t xml:space="preserve">Further development of ACP infrastructure to facilitate the storage and access of completed plans to facilitate </w:t>
      </w:r>
      <w:r w:rsidR="002D563C">
        <w:rPr>
          <w:lang w:eastAsia="en-NZ" w:bidi="en-US"/>
        </w:rPr>
        <w:t xml:space="preserve">the </w:t>
      </w:r>
      <w:r>
        <w:rPr>
          <w:lang w:eastAsia="en-NZ" w:bidi="en-US"/>
        </w:rPr>
        <w:t>smooth transition of information between primary care and secondary care;</w:t>
      </w:r>
    </w:p>
    <w:p w:rsidR="007471BB" w:rsidRDefault="007471BB" w:rsidP="008C348E">
      <w:pPr>
        <w:pStyle w:val="ListParagraph"/>
        <w:numPr>
          <w:ilvl w:val="0"/>
          <w:numId w:val="30"/>
        </w:numPr>
        <w:rPr>
          <w:lang w:eastAsia="en-NZ" w:bidi="en-US"/>
        </w:rPr>
      </w:pPr>
      <w:r>
        <w:rPr>
          <w:lang w:eastAsia="en-NZ" w:bidi="en-US"/>
        </w:rPr>
        <w:t>Increased promotional material to increase awareness of ACP at the primary care level; and</w:t>
      </w:r>
    </w:p>
    <w:p w:rsidR="007471BB" w:rsidRDefault="007471BB" w:rsidP="008C348E">
      <w:pPr>
        <w:pStyle w:val="ListParagraph"/>
        <w:numPr>
          <w:ilvl w:val="0"/>
          <w:numId w:val="30"/>
        </w:numPr>
        <w:rPr>
          <w:lang w:eastAsia="en-NZ" w:bidi="en-US"/>
        </w:rPr>
      </w:pPr>
      <w:r>
        <w:rPr>
          <w:lang w:eastAsia="en-NZ" w:bidi="en-US"/>
        </w:rPr>
        <w:t xml:space="preserve">Use of non-financial measures to remove </w:t>
      </w:r>
      <w:r w:rsidR="008C776C">
        <w:rPr>
          <w:lang w:eastAsia="en-NZ" w:bidi="en-US"/>
        </w:rPr>
        <w:t>the excuse of “</w:t>
      </w:r>
      <w:r>
        <w:rPr>
          <w:lang w:eastAsia="en-NZ" w:bidi="en-US"/>
        </w:rPr>
        <w:t>time pressure barriers</w:t>
      </w:r>
      <w:r w:rsidR="008C776C">
        <w:rPr>
          <w:lang w:eastAsia="en-NZ" w:bidi="en-US"/>
        </w:rPr>
        <w:t xml:space="preserve">” by health practitioners opposed </w:t>
      </w:r>
      <w:r>
        <w:rPr>
          <w:lang w:eastAsia="en-NZ" w:bidi="en-US"/>
        </w:rPr>
        <w:t xml:space="preserve">to practising ACP. </w:t>
      </w:r>
    </w:p>
    <w:p w:rsidR="008C776C" w:rsidRDefault="008C776C" w:rsidP="008C776C">
      <w:pPr>
        <w:rPr>
          <w:lang w:eastAsia="en-NZ" w:bidi="en-US"/>
        </w:rPr>
      </w:pPr>
      <w:r>
        <w:rPr>
          <w:lang w:eastAsia="en-NZ" w:bidi="en-US"/>
        </w:rPr>
        <w:t>Should HWNZ continue to subsidise ACP course and workshop delivery, funding should be only be released from HWNZ as and when actual courses are delivered, and when contractual reporting obligations have been met by the training provider. Commercially this will ensure that all funds are appropriately spent on approved ACP activities, and will also ensure that all expenditure incurred by the supplier is captured on a timely basis. Additionally as part of any future ACP training funding we recommend that funding should be on the basis of the training provider being able to:</w:t>
      </w:r>
    </w:p>
    <w:p w:rsidR="008C776C" w:rsidRDefault="008C776C" w:rsidP="008C776C">
      <w:pPr>
        <w:pStyle w:val="ListParagraph"/>
        <w:numPr>
          <w:ilvl w:val="0"/>
          <w:numId w:val="35"/>
        </w:numPr>
        <w:rPr>
          <w:lang w:eastAsia="en-NZ" w:bidi="en-US"/>
        </w:rPr>
      </w:pPr>
      <w:r>
        <w:rPr>
          <w:lang w:eastAsia="en-NZ" w:bidi="en-US"/>
        </w:rPr>
        <w:t>Develop an introductory one day workshop or course;</w:t>
      </w:r>
    </w:p>
    <w:p w:rsidR="008C776C" w:rsidRDefault="008C776C" w:rsidP="008C776C">
      <w:pPr>
        <w:pStyle w:val="ListParagraph"/>
        <w:numPr>
          <w:ilvl w:val="0"/>
          <w:numId w:val="35"/>
        </w:numPr>
        <w:rPr>
          <w:lang w:eastAsia="en-NZ" w:bidi="en-US"/>
        </w:rPr>
      </w:pPr>
      <w:r>
        <w:rPr>
          <w:lang w:eastAsia="en-NZ" w:bidi="en-US"/>
        </w:rPr>
        <w:t>Engage an independent expert to assess the use of professional actors against simulation based trainers within the level 2 training programme from a pedagogy perspective;</w:t>
      </w:r>
    </w:p>
    <w:p w:rsidR="008C776C" w:rsidRDefault="008C776C" w:rsidP="008C776C">
      <w:pPr>
        <w:pStyle w:val="ListParagraph"/>
        <w:numPr>
          <w:ilvl w:val="0"/>
          <w:numId w:val="35"/>
        </w:numPr>
        <w:rPr>
          <w:lang w:eastAsia="en-NZ" w:bidi="en-US"/>
        </w:rPr>
      </w:pPr>
      <w:r>
        <w:rPr>
          <w:lang w:eastAsia="en-NZ" w:bidi="en-US"/>
        </w:rPr>
        <w:t xml:space="preserve">Develop an achievable marketing and advertising plan; and </w:t>
      </w:r>
    </w:p>
    <w:p w:rsidR="008C776C" w:rsidRPr="00313146" w:rsidRDefault="008C776C" w:rsidP="008C776C">
      <w:pPr>
        <w:pStyle w:val="ListParagraph"/>
        <w:numPr>
          <w:ilvl w:val="0"/>
          <w:numId w:val="35"/>
        </w:numPr>
        <w:rPr>
          <w:lang w:eastAsia="en-NZ" w:bidi="en-US"/>
        </w:rPr>
      </w:pPr>
      <w:r>
        <w:rPr>
          <w:lang w:eastAsia="en-NZ" w:bidi="en-US"/>
        </w:rPr>
        <w:t xml:space="preserve">Develop a financially sustainable business plan. </w:t>
      </w:r>
    </w:p>
    <w:p w:rsidR="008D48AC" w:rsidRDefault="008D48AC" w:rsidP="00AB2AF3">
      <w:pPr>
        <w:rPr>
          <w:lang w:eastAsia="en-NZ" w:bidi="en-US"/>
        </w:rPr>
      </w:pPr>
      <w:r>
        <w:rPr>
          <w:lang w:eastAsia="en-NZ" w:bidi="en-US"/>
        </w:rPr>
        <w:t xml:space="preserve">We </w:t>
      </w:r>
      <w:r w:rsidR="00A373DF">
        <w:rPr>
          <w:lang w:eastAsia="en-NZ" w:bidi="en-US"/>
        </w:rPr>
        <w:t xml:space="preserve">would like to highlight </w:t>
      </w:r>
      <w:r>
        <w:rPr>
          <w:lang w:eastAsia="en-NZ" w:bidi="en-US"/>
        </w:rPr>
        <w:t xml:space="preserve">that we are not recommending to remove the level 2 ACP training programme all together, </w:t>
      </w:r>
      <w:r w:rsidR="00A373DF">
        <w:rPr>
          <w:lang w:eastAsia="en-NZ" w:bidi="en-US"/>
        </w:rPr>
        <w:t xml:space="preserve">merely we have identified that </w:t>
      </w:r>
      <w:r>
        <w:rPr>
          <w:lang w:eastAsia="en-NZ" w:bidi="en-US"/>
        </w:rPr>
        <w:t xml:space="preserve">the current delivery mechanism of the programme needs to be reassessed, with the key items being the 2.5 day length, and the current cost management of the programme and also the pricing of the programme for all attendees. </w:t>
      </w:r>
    </w:p>
    <w:p w:rsidR="007471BB" w:rsidRDefault="007471BB" w:rsidP="00AB2AF3">
      <w:pPr>
        <w:rPr>
          <w:lang w:eastAsia="en-NZ" w:bidi="en-US"/>
        </w:rPr>
      </w:pPr>
      <w:r>
        <w:rPr>
          <w:lang w:eastAsia="en-NZ" w:bidi="en-US"/>
        </w:rPr>
        <w:t xml:space="preserve">The recommendations we have raised above should be considered carefully </w:t>
      </w:r>
      <w:r w:rsidR="002D563C">
        <w:rPr>
          <w:lang w:eastAsia="en-NZ" w:bidi="en-US"/>
        </w:rPr>
        <w:t xml:space="preserve">as to </w:t>
      </w:r>
      <w:r>
        <w:rPr>
          <w:lang w:eastAsia="en-NZ" w:bidi="en-US"/>
        </w:rPr>
        <w:t xml:space="preserve">their full commercial impact. We highly recommend that the current course length needs to be re-assessed. Any changes to the current training programme need to be weighed against a reduction in the current effectiveness of the training programme and an increase in uptake of ACP, to ensure an optimal balance between effectiveness and uptake numbers.  </w:t>
      </w:r>
      <w:r w:rsidR="005229A0">
        <w:rPr>
          <w:lang w:eastAsia="en-NZ" w:bidi="en-US"/>
        </w:rPr>
        <w:t xml:space="preserve">We also recommend that HWNZ perform further investigation into the revenue discrepancies identified within the accounts presented. </w:t>
      </w:r>
    </w:p>
    <w:p w:rsidR="007471BB" w:rsidRDefault="007471BB" w:rsidP="007471BB">
      <w:pPr>
        <w:pStyle w:val="APageheading-numbered"/>
        <w:spacing w:after="800"/>
      </w:pPr>
      <w:bookmarkStart w:id="25" w:name="_Toc412729769"/>
      <w:r>
        <w:rPr>
          <w:lang w:eastAsia="en-NZ"/>
        </w:rPr>
        <w:lastRenderedPageBreak/>
        <w:t>Conclusion</w:t>
      </w:r>
      <w:bookmarkEnd w:id="25"/>
      <w:r>
        <w:rPr>
          <w:lang w:eastAsia="en-NZ"/>
        </w:rPr>
        <w:t xml:space="preserve"> </w:t>
      </w:r>
    </w:p>
    <w:p w:rsidR="00D3342B" w:rsidRDefault="00D3342B" w:rsidP="007471BB">
      <w:pPr>
        <w:rPr>
          <w:lang w:eastAsia="en-NZ" w:bidi="en-US"/>
        </w:rPr>
      </w:pPr>
      <w:r>
        <w:rPr>
          <w:lang w:eastAsia="en-NZ" w:bidi="en-US"/>
        </w:rPr>
        <w:t xml:space="preserve">The current concern with end of life care is focussed on where and when people pass away with limited consideration to a </w:t>
      </w:r>
      <w:r w:rsidR="006741DE">
        <w:rPr>
          <w:lang w:eastAsia="en-NZ" w:bidi="en-US"/>
        </w:rPr>
        <w:t>patient’s</w:t>
      </w:r>
      <w:r>
        <w:rPr>
          <w:lang w:eastAsia="en-NZ" w:bidi="en-US"/>
        </w:rPr>
        <w:t xml:space="preserve"> wishes. Medical intervention may not always be in the patient’s best wishes. The ACP methodology helps facilitate patient communication at end of life care. </w:t>
      </w:r>
      <w:r w:rsidRPr="00D3342B">
        <w:rPr>
          <w:lang w:eastAsia="en-NZ" w:bidi="en-US"/>
        </w:rPr>
        <w:t>ACP is not only limited to end of life care, but is applicable to all adults in all stages of life.</w:t>
      </w:r>
    </w:p>
    <w:p w:rsidR="00D3342B" w:rsidRDefault="00D3342B" w:rsidP="007471BB">
      <w:pPr>
        <w:rPr>
          <w:lang w:eastAsia="en-NZ" w:bidi="en-US"/>
        </w:rPr>
      </w:pPr>
      <w:r>
        <w:rPr>
          <w:lang w:eastAsia="en-NZ" w:bidi="en-US"/>
        </w:rPr>
        <w:t>Given the aging population of New Zealand and the current financial constraints within the health sector, any reduction in medical intervention to terminally ill patient</w:t>
      </w:r>
      <w:r w:rsidR="00A06774">
        <w:rPr>
          <w:lang w:eastAsia="en-NZ" w:bidi="en-US"/>
        </w:rPr>
        <w:t>s</w:t>
      </w:r>
      <w:r>
        <w:rPr>
          <w:lang w:eastAsia="en-NZ" w:bidi="en-US"/>
        </w:rPr>
        <w:t xml:space="preserve">, and the facilitation of end of life care outside of the hospital setting </w:t>
      </w:r>
      <w:r w:rsidR="00773225">
        <w:rPr>
          <w:lang w:eastAsia="en-NZ" w:bidi="en-US"/>
        </w:rPr>
        <w:t xml:space="preserve">should </w:t>
      </w:r>
      <w:r>
        <w:rPr>
          <w:lang w:eastAsia="en-NZ" w:bidi="en-US"/>
        </w:rPr>
        <w:t xml:space="preserve">help reduce the current financial burden placed within the health system. The ACP methodology </w:t>
      </w:r>
      <w:r w:rsidR="00773225">
        <w:rPr>
          <w:lang w:eastAsia="en-NZ" w:bidi="en-US"/>
        </w:rPr>
        <w:t xml:space="preserve">should </w:t>
      </w:r>
      <w:r w:rsidR="006741DE">
        <w:rPr>
          <w:lang w:eastAsia="en-NZ" w:bidi="en-US"/>
        </w:rPr>
        <w:t xml:space="preserve">help health providers in better managing terminally ill patients and also help reduce the current financial pressures within the health sector, through cost avoidance. </w:t>
      </w:r>
    </w:p>
    <w:p w:rsidR="009D43BD" w:rsidRDefault="006741DE" w:rsidP="007471BB">
      <w:pPr>
        <w:rPr>
          <w:lang w:eastAsia="en-NZ" w:bidi="en-US"/>
        </w:rPr>
      </w:pPr>
      <w:r>
        <w:rPr>
          <w:lang w:eastAsia="en-NZ" w:bidi="en-US"/>
        </w:rPr>
        <w:t>We can see the value of the ACP methodology, however our review has identified that the current delivery mechanism does not facilitate widespread uptake of the ACP practices. Further</w:t>
      </w:r>
      <w:r w:rsidR="00A373DF">
        <w:rPr>
          <w:lang w:eastAsia="en-NZ" w:bidi="en-US"/>
        </w:rPr>
        <w:t>,</w:t>
      </w:r>
      <w:r>
        <w:rPr>
          <w:lang w:eastAsia="en-NZ" w:bidi="en-US"/>
        </w:rPr>
        <w:t xml:space="preserve"> the lack of knowledge of ACP by medical practitioners is also a barrier to practicing ACP. Increased knowledge and recognition of ACP practices</w:t>
      </w:r>
      <w:r w:rsidR="00A373DF">
        <w:rPr>
          <w:lang w:eastAsia="en-NZ" w:bidi="en-US"/>
        </w:rPr>
        <w:t xml:space="preserve"> and </w:t>
      </w:r>
      <w:r>
        <w:rPr>
          <w:lang w:eastAsia="en-NZ" w:bidi="en-US"/>
        </w:rPr>
        <w:t xml:space="preserve">a reduction in barriers to attending ACP training will help ensure the long term sustainability of </w:t>
      </w:r>
      <w:r w:rsidR="004F545E">
        <w:rPr>
          <w:lang w:eastAsia="en-NZ" w:bidi="en-US"/>
        </w:rPr>
        <w:t xml:space="preserve">the </w:t>
      </w:r>
      <w:r>
        <w:rPr>
          <w:lang w:eastAsia="en-NZ" w:bidi="en-US"/>
        </w:rPr>
        <w:t>ACP</w:t>
      </w:r>
      <w:r w:rsidR="004F545E">
        <w:rPr>
          <w:lang w:eastAsia="en-NZ" w:bidi="en-US"/>
        </w:rPr>
        <w:t xml:space="preserve"> programme</w:t>
      </w:r>
      <w:r>
        <w:rPr>
          <w:lang w:eastAsia="en-NZ" w:bidi="en-US"/>
        </w:rPr>
        <w:t xml:space="preserve"> nationally. </w:t>
      </w:r>
    </w:p>
    <w:p w:rsidR="009D43BD" w:rsidRDefault="009D43BD" w:rsidP="007471BB">
      <w:pPr>
        <w:rPr>
          <w:lang w:eastAsia="en-NZ" w:bidi="en-US"/>
        </w:rPr>
      </w:pPr>
    </w:p>
    <w:p w:rsidR="009D43BD" w:rsidRDefault="009D43BD" w:rsidP="007471BB">
      <w:pPr>
        <w:rPr>
          <w:lang w:eastAsia="en-NZ" w:bidi="en-US"/>
        </w:rPr>
      </w:pPr>
    </w:p>
    <w:p w:rsidR="009D43BD" w:rsidRDefault="009D43BD" w:rsidP="007471BB">
      <w:pPr>
        <w:rPr>
          <w:lang w:eastAsia="en-NZ" w:bidi="en-US"/>
        </w:rPr>
      </w:pPr>
    </w:p>
    <w:p w:rsidR="009D43BD" w:rsidRDefault="009D43BD" w:rsidP="007471BB">
      <w:pPr>
        <w:rPr>
          <w:lang w:eastAsia="en-NZ" w:bidi="en-US"/>
        </w:rPr>
      </w:pPr>
    </w:p>
    <w:p w:rsidR="009D43BD" w:rsidRDefault="009D43BD" w:rsidP="007471BB">
      <w:pPr>
        <w:rPr>
          <w:lang w:eastAsia="en-NZ" w:bidi="en-US"/>
        </w:rPr>
      </w:pPr>
    </w:p>
    <w:p w:rsidR="009D43BD" w:rsidRDefault="009D43BD" w:rsidP="007471BB">
      <w:pPr>
        <w:rPr>
          <w:lang w:eastAsia="en-NZ" w:bidi="en-US"/>
        </w:rPr>
      </w:pPr>
    </w:p>
    <w:p w:rsidR="009D43BD" w:rsidRDefault="009D43BD" w:rsidP="007471BB">
      <w:pPr>
        <w:rPr>
          <w:lang w:eastAsia="en-NZ" w:bidi="en-US"/>
        </w:rPr>
      </w:pPr>
    </w:p>
    <w:p w:rsidR="009D43BD" w:rsidRDefault="009D43BD" w:rsidP="007471BB">
      <w:pPr>
        <w:rPr>
          <w:lang w:eastAsia="en-NZ" w:bidi="en-US"/>
        </w:rPr>
      </w:pPr>
    </w:p>
    <w:p w:rsidR="009D43BD" w:rsidRDefault="009D43BD" w:rsidP="005D5FD2">
      <w:pPr>
        <w:pStyle w:val="APageheading-numbered"/>
        <w:numPr>
          <w:ilvl w:val="0"/>
          <w:numId w:val="0"/>
        </w:numPr>
        <w:spacing w:after="360"/>
        <w:ind w:left="454" w:hanging="454"/>
      </w:pPr>
      <w:bookmarkStart w:id="26" w:name="_Toc412729770"/>
      <w:r>
        <w:rPr>
          <w:lang w:eastAsia="en-NZ"/>
        </w:rPr>
        <w:lastRenderedPageBreak/>
        <w:t>Appendix A- Interviews Held</w:t>
      </w:r>
      <w:bookmarkEnd w:id="26"/>
      <w:r>
        <w:rPr>
          <w:lang w:eastAsia="en-NZ"/>
        </w:rPr>
        <w:t xml:space="preserve"> </w:t>
      </w:r>
    </w:p>
    <w:tbl>
      <w:tblPr>
        <w:tblStyle w:val="DeloitteTable-Blue"/>
        <w:tblW w:w="0" w:type="auto"/>
        <w:tblLook w:val="04A0" w:firstRow="1" w:lastRow="0" w:firstColumn="1" w:lastColumn="0" w:noHBand="0" w:noVBand="1"/>
      </w:tblPr>
      <w:tblGrid>
        <w:gridCol w:w="4617"/>
        <w:gridCol w:w="4618"/>
      </w:tblGrid>
      <w:tr w:rsidR="009D43BD" w:rsidRPr="004F545E" w:rsidTr="005D5FD2">
        <w:trPr>
          <w:cnfStyle w:val="100000000000" w:firstRow="1" w:lastRow="0" w:firstColumn="0" w:lastColumn="0" w:oddVBand="0" w:evenVBand="0" w:oddHBand="0" w:evenHBand="0" w:firstRowFirstColumn="0" w:firstRowLastColumn="0" w:lastRowFirstColumn="0" w:lastRowLastColumn="0"/>
        </w:trPr>
        <w:tc>
          <w:tcPr>
            <w:tcW w:w="4617" w:type="dxa"/>
          </w:tcPr>
          <w:p w:rsidR="009D43BD" w:rsidRPr="003F2550" w:rsidRDefault="009D43BD" w:rsidP="009D43BD">
            <w:pPr>
              <w:rPr>
                <w:color w:val="FFFFFF" w:themeColor="background1"/>
                <w:lang w:eastAsia="en-NZ" w:bidi="en-US"/>
              </w:rPr>
            </w:pPr>
            <w:r w:rsidRPr="003F2550">
              <w:rPr>
                <w:color w:val="FFFFFF" w:themeColor="background1"/>
                <w:lang w:eastAsia="en-NZ" w:bidi="en-US"/>
              </w:rPr>
              <w:t>Name</w:t>
            </w:r>
          </w:p>
        </w:tc>
        <w:tc>
          <w:tcPr>
            <w:tcW w:w="4618" w:type="dxa"/>
          </w:tcPr>
          <w:p w:rsidR="009D43BD" w:rsidRPr="003F2550" w:rsidRDefault="009D43BD" w:rsidP="009D43BD">
            <w:pPr>
              <w:rPr>
                <w:color w:val="FFFFFF" w:themeColor="background1"/>
                <w:lang w:eastAsia="en-NZ" w:bidi="en-US"/>
              </w:rPr>
            </w:pPr>
            <w:r w:rsidRPr="003F2550">
              <w:rPr>
                <w:color w:val="FFFFFF" w:themeColor="background1"/>
                <w:lang w:eastAsia="en-NZ" w:bidi="en-US"/>
              </w:rPr>
              <w:t>Title</w:t>
            </w:r>
          </w:p>
        </w:tc>
      </w:tr>
      <w:tr w:rsidR="009D43BD" w:rsidTr="005D5FD2">
        <w:tc>
          <w:tcPr>
            <w:tcW w:w="4617" w:type="dxa"/>
          </w:tcPr>
          <w:p w:rsidR="009D43BD" w:rsidRDefault="005D5FD2" w:rsidP="00004292">
            <w:pPr>
              <w:spacing w:after="120"/>
              <w:rPr>
                <w:lang w:eastAsia="en-NZ" w:bidi="en-US"/>
              </w:rPr>
            </w:pPr>
            <w:r>
              <w:rPr>
                <w:lang w:eastAsia="en-NZ" w:bidi="en-US"/>
              </w:rPr>
              <w:t>Andrew Boyd</w:t>
            </w:r>
          </w:p>
        </w:tc>
        <w:tc>
          <w:tcPr>
            <w:tcW w:w="4618" w:type="dxa"/>
          </w:tcPr>
          <w:p w:rsidR="009D43BD" w:rsidRDefault="005D5FD2" w:rsidP="00004292">
            <w:pPr>
              <w:spacing w:after="120"/>
              <w:rPr>
                <w:lang w:eastAsia="en-NZ" w:bidi="en-US"/>
              </w:rPr>
            </w:pPr>
            <w:r>
              <w:rPr>
                <w:lang w:eastAsia="en-NZ" w:bidi="en-US"/>
              </w:rPr>
              <w:t>Chief Executive Officer</w:t>
            </w:r>
            <w:r w:rsidR="00A373DF">
              <w:rPr>
                <w:lang w:eastAsia="en-NZ" w:bidi="en-US"/>
              </w:rPr>
              <w:t>-</w:t>
            </w:r>
            <w:r>
              <w:rPr>
                <w:lang w:eastAsia="en-NZ" w:bidi="en-US"/>
              </w:rPr>
              <w:t xml:space="preserve"> </w:t>
            </w:r>
            <w:proofErr w:type="spellStart"/>
            <w:r>
              <w:rPr>
                <w:lang w:eastAsia="en-NZ" w:bidi="en-US"/>
              </w:rPr>
              <w:t>Healthshare</w:t>
            </w:r>
            <w:proofErr w:type="spellEnd"/>
          </w:p>
        </w:tc>
      </w:tr>
      <w:tr w:rsidR="005D5FD2" w:rsidTr="009D43BD">
        <w:tc>
          <w:tcPr>
            <w:tcW w:w="4617" w:type="dxa"/>
          </w:tcPr>
          <w:p w:rsidR="005D5FD2" w:rsidRDefault="005D5FD2" w:rsidP="00004292">
            <w:pPr>
              <w:spacing w:after="120"/>
              <w:rPr>
                <w:lang w:eastAsia="en-NZ" w:bidi="en-US"/>
              </w:rPr>
            </w:pPr>
            <w:r>
              <w:rPr>
                <w:lang w:eastAsia="en-NZ" w:bidi="en-US"/>
              </w:rPr>
              <w:t xml:space="preserve">Bala Newton </w:t>
            </w:r>
          </w:p>
        </w:tc>
        <w:tc>
          <w:tcPr>
            <w:tcW w:w="4618" w:type="dxa"/>
          </w:tcPr>
          <w:p w:rsidR="005D5FD2" w:rsidRDefault="005D5FD2" w:rsidP="00004292">
            <w:pPr>
              <w:spacing w:after="120"/>
              <w:rPr>
                <w:lang w:eastAsia="en-NZ" w:bidi="en-US"/>
              </w:rPr>
            </w:pPr>
            <w:r>
              <w:rPr>
                <w:lang w:eastAsia="en-NZ" w:bidi="en-US"/>
              </w:rPr>
              <w:t>General Practitioner</w:t>
            </w:r>
            <w:r w:rsidR="00A373DF">
              <w:rPr>
                <w:lang w:eastAsia="en-NZ" w:bidi="en-US"/>
              </w:rPr>
              <w:t>-</w:t>
            </w:r>
            <w:r>
              <w:rPr>
                <w:lang w:eastAsia="en-NZ" w:bidi="en-US"/>
              </w:rPr>
              <w:t xml:space="preserve"> Hamilton East Medical Centre</w:t>
            </w:r>
          </w:p>
        </w:tc>
      </w:tr>
      <w:tr w:rsidR="005D5FD2" w:rsidTr="009D43BD">
        <w:tc>
          <w:tcPr>
            <w:tcW w:w="4617" w:type="dxa"/>
          </w:tcPr>
          <w:p w:rsidR="005D5FD2" w:rsidRDefault="005D5FD2" w:rsidP="00004292">
            <w:pPr>
              <w:spacing w:after="120"/>
              <w:rPr>
                <w:lang w:eastAsia="en-NZ" w:bidi="en-US"/>
              </w:rPr>
            </w:pPr>
            <w:r>
              <w:rPr>
                <w:lang w:eastAsia="en-NZ" w:bidi="en-US"/>
              </w:rPr>
              <w:t xml:space="preserve">Bob Bishop </w:t>
            </w:r>
          </w:p>
        </w:tc>
        <w:tc>
          <w:tcPr>
            <w:tcW w:w="4618" w:type="dxa"/>
          </w:tcPr>
          <w:p w:rsidR="005D5FD2" w:rsidRDefault="005D5FD2" w:rsidP="00004292">
            <w:pPr>
              <w:spacing w:after="120"/>
              <w:rPr>
                <w:lang w:eastAsia="en-NZ" w:bidi="en-US"/>
              </w:rPr>
            </w:pPr>
            <w:r>
              <w:rPr>
                <w:lang w:eastAsia="en-NZ" w:bidi="en-US"/>
              </w:rPr>
              <w:t>Management Accountant</w:t>
            </w:r>
            <w:r w:rsidR="00A373DF">
              <w:rPr>
                <w:lang w:eastAsia="en-NZ" w:bidi="en-US"/>
              </w:rPr>
              <w:t>-</w:t>
            </w:r>
            <w:r>
              <w:rPr>
                <w:lang w:eastAsia="en-NZ" w:bidi="en-US"/>
              </w:rPr>
              <w:t xml:space="preserve"> Auckland District Health Board</w:t>
            </w:r>
          </w:p>
        </w:tc>
      </w:tr>
      <w:tr w:rsidR="005D5FD2" w:rsidTr="009D43BD">
        <w:tc>
          <w:tcPr>
            <w:tcW w:w="4617" w:type="dxa"/>
          </w:tcPr>
          <w:p w:rsidR="005D5FD2" w:rsidRDefault="005D5FD2" w:rsidP="00004292">
            <w:pPr>
              <w:spacing w:after="120"/>
              <w:rPr>
                <w:lang w:eastAsia="en-NZ" w:bidi="en-US"/>
              </w:rPr>
            </w:pPr>
            <w:r>
              <w:rPr>
                <w:lang w:eastAsia="en-NZ" w:bidi="en-US"/>
              </w:rPr>
              <w:t>Gary Lees</w:t>
            </w:r>
          </w:p>
        </w:tc>
        <w:tc>
          <w:tcPr>
            <w:tcW w:w="4618" w:type="dxa"/>
          </w:tcPr>
          <w:p w:rsidR="005D5FD2" w:rsidRDefault="005D5FD2" w:rsidP="00004292">
            <w:pPr>
              <w:spacing w:after="120"/>
              <w:rPr>
                <w:lang w:eastAsia="en-NZ" w:bidi="en-US"/>
              </w:rPr>
            </w:pPr>
            <w:r>
              <w:rPr>
                <w:lang w:eastAsia="en-NZ" w:bidi="en-US"/>
              </w:rPr>
              <w:t>Director of Nursing</w:t>
            </w:r>
            <w:r w:rsidR="00A373DF">
              <w:rPr>
                <w:lang w:eastAsia="en-NZ" w:bidi="en-US"/>
              </w:rPr>
              <w:t>-</w:t>
            </w:r>
            <w:r>
              <w:rPr>
                <w:lang w:eastAsia="en-NZ" w:bidi="en-US"/>
              </w:rPr>
              <w:t xml:space="preserve"> Lakes District Health Board</w:t>
            </w:r>
          </w:p>
        </w:tc>
      </w:tr>
      <w:tr w:rsidR="005D5FD2" w:rsidTr="009D43BD">
        <w:tc>
          <w:tcPr>
            <w:tcW w:w="4617" w:type="dxa"/>
          </w:tcPr>
          <w:p w:rsidR="005D5FD2" w:rsidRDefault="005D5FD2" w:rsidP="00004292">
            <w:pPr>
              <w:spacing w:after="120"/>
              <w:rPr>
                <w:lang w:eastAsia="en-NZ" w:bidi="en-US"/>
              </w:rPr>
            </w:pPr>
            <w:r>
              <w:rPr>
                <w:lang w:eastAsia="en-NZ" w:bidi="en-US"/>
              </w:rPr>
              <w:t>Hannes Schoeman</w:t>
            </w:r>
          </w:p>
        </w:tc>
        <w:tc>
          <w:tcPr>
            <w:tcW w:w="4618" w:type="dxa"/>
          </w:tcPr>
          <w:p w:rsidR="005D5FD2" w:rsidRDefault="005D5FD2" w:rsidP="00004292">
            <w:pPr>
              <w:spacing w:after="120"/>
              <w:rPr>
                <w:lang w:eastAsia="en-NZ" w:bidi="en-US"/>
              </w:rPr>
            </w:pPr>
            <w:r>
              <w:rPr>
                <w:lang w:eastAsia="en-NZ" w:bidi="en-US"/>
              </w:rPr>
              <w:t>Human Resources Manager</w:t>
            </w:r>
            <w:r w:rsidR="00A373DF">
              <w:rPr>
                <w:lang w:eastAsia="en-NZ" w:bidi="en-US"/>
              </w:rPr>
              <w:t>-</w:t>
            </w:r>
            <w:r>
              <w:rPr>
                <w:lang w:eastAsia="en-NZ" w:bidi="en-US"/>
              </w:rPr>
              <w:t xml:space="preserve"> Lakes District Health Board</w:t>
            </w:r>
          </w:p>
        </w:tc>
      </w:tr>
      <w:tr w:rsidR="005D5FD2" w:rsidTr="009D43BD">
        <w:tc>
          <w:tcPr>
            <w:tcW w:w="4617" w:type="dxa"/>
          </w:tcPr>
          <w:p w:rsidR="005D5FD2" w:rsidRDefault="005D5FD2" w:rsidP="00004292">
            <w:pPr>
              <w:spacing w:after="120"/>
              <w:rPr>
                <w:lang w:eastAsia="en-NZ" w:bidi="en-US"/>
              </w:rPr>
            </w:pPr>
            <w:r>
              <w:rPr>
                <w:lang w:eastAsia="en-NZ" w:bidi="en-US"/>
              </w:rPr>
              <w:t xml:space="preserve">Jane Goodwin </w:t>
            </w:r>
          </w:p>
        </w:tc>
        <w:tc>
          <w:tcPr>
            <w:tcW w:w="4618" w:type="dxa"/>
          </w:tcPr>
          <w:p w:rsidR="005D5FD2" w:rsidRDefault="005D5FD2" w:rsidP="00004292">
            <w:pPr>
              <w:spacing w:after="120"/>
              <w:rPr>
                <w:lang w:eastAsia="en-NZ" w:bidi="en-US"/>
              </w:rPr>
            </w:pPr>
            <w:r>
              <w:rPr>
                <w:lang w:eastAsia="en-NZ" w:bidi="en-US"/>
              </w:rPr>
              <w:t>Board Advance Care Plan Coordinator</w:t>
            </w:r>
            <w:r w:rsidR="00A373DF">
              <w:rPr>
                <w:lang w:eastAsia="en-NZ" w:bidi="en-US"/>
              </w:rPr>
              <w:t>- Canterbury District Health</w:t>
            </w:r>
          </w:p>
        </w:tc>
      </w:tr>
      <w:tr w:rsidR="009D43BD" w:rsidTr="009D43BD">
        <w:tc>
          <w:tcPr>
            <w:tcW w:w="4617" w:type="dxa"/>
          </w:tcPr>
          <w:p w:rsidR="009D43BD" w:rsidRDefault="009D43BD" w:rsidP="00004292">
            <w:pPr>
              <w:spacing w:after="120"/>
              <w:rPr>
                <w:lang w:eastAsia="en-NZ" w:bidi="en-US"/>
              </w:rPr>
            </w:pPr>
            <w:r>
              <w:rPr>
                <w:lang w:eastAsia="en-NZ" w:bidi="en-US"/>
              </w:rPr>
              <w:t>Jane Large</w:t>
            </w:r>
          </w:p>
        </w:tc>
        <w:tc>
          <w:tcPr>
            <w:tcW w:w="4618" w:type="dxa"/>
          </w:tcPr>
          <w:p w:rsidR="009D43BD" w:rsidRDefault="005D5FD2" w:rsidP="00A373DF">
            <w:pPr>
              <w:spacing w:after="120"/>
              <w:rPr>
                <w:lang w:eastAsia="en-NZ" w:bidi="en-US"/>
              </w:rPr>
            </w:pPr>
            <w:r>
              <w:rPr>
                <w:lang w:eastAsia="en-NZ" w:bidi="en-US"/>
              </w:rPr>
              <w:t>Facilitator</w:t>
            </w:r>
            <w:r w:rsidR="00A373DF">
              <w:rPr>
                <w:lang w:eastAsia="en-NZ" w:bidi="en-US"/>
              </w:rPr>
              <w:t>,</w:t>
            </w:r>
            <w:r w:rsidR="009D43BD">
              <w:rPr>
                <w:lang w:eastAsia="en-NZ" w:bidi="en-US"/>
              </w:rPr>
              <w:t xml:space="preserve"> Health of Older Persons Service Level- South Island Health Alliance</w:t>
            </w:r>
          </w:p>
        </w:tc>
      </w:tr>
      <w:tr w:rsidR="009D43BD" w:rsidTr="005D5FD2">
        <w:tc>
          <w:tcPr>
            <w:tcW w:w="4617" w:type="dxa"/>
          </w:tcPr>
          <w:p w:rsidR="009D43BD" w:rsidRDefault="009D43BD" w:rsidP="00004292">
            <w:pPr>
              <w:spacing w:after="120"/>
              <w:rPr>
                <w:lang w:eastAsia="en-NZ" w:bidi="en-US"/>
              </w:rPr>
            </w:pPr>
            <w:r>
              <w:rPr>
                <w:lang w:eastAsia="en-NZ" w:bidi="en-US"/>
              </w:rPr>
              <w:t>Kate Grundy</w:t>
            </w:r>
          </w:p>
        </w:tc>
        <w:tc>
          <w:tcPr>
            <w:tcW w:w="4618" w:type="dxa"/>
          </w:tcPr>
          <w:p w:rsidR="009D43BD" w:rsidRDefault="009D43BD" w:rsidP="00004292">
            <w:pPr>
              <w:spacing w:after="120"/>
              <w:rPr>
                <w:lang w:eastAsia="en-NZ" w:bidi="en-US"/>
              </w:rPr>
            </w:pPr>
            <w:r>
              <w:rPr>
                <w:lang w:eastAsia="en-NZ" w:bidi="en-US"/>
              </w:rPr>
              <w:t>Palliative Care Physician</w:t>
            </w:r>
            <w:r w:rsidR="00A373DF">
              <w:rPr>
                <w:lang w:eastAsia="en-NZ" w:bidi="en-US"/>
              </w:rPr>
              <w:t>-</w:t>
            </w:r>
            <w:r>
              <w:rPr>
                <w:lang w:eastAsia="en-NZ" w:bidi="en-US"/>
              </w:rPr>
              <w:t xml:space="preserve"> </w:t>
            </w:r>
            <w:r w:rsidR="005D5FD2">
              <w:rPr>
                <w:lang w:eastAsia="en-NZ" w:bidi="en-US"/>
              </w:rPr>
              <w:t>Canterbury</w:t>
            </w:r>
            <w:r>
              <w:rPr>
                <w:lang w:eastAsia="en-NZ" w:bidi="en-US"/>
              </w:rPr>
              <w:t xml:space="preserve"> District Health Board</w:t>
            </w:r>
          </w:p>
        </w:tc>
      </w:tr>
      <w:tr w:rsidR="009D43BD" w:rsidTr="005D5FD2">
        <w:tc>
          <w:tcPr>
            <w:tcW w:w="4617" w:type="dxa"/>
          </w:tcPr>
          <w:p w:rsidR="009D43BD" w:rsidRDefault="009D43BD" w:rsidP="00004292">
            <w:pPr>
              <w:spacing w:after="120"/>
              <w:rPr>
                <w:lang w:eastAsia="en-NZ" w:bidi="en-US"/>
              </w:rPr>
            </w:pPr>
            <w:r>
              <w:rPr>
                <w:lang w:eastAsia="en-NZ" w:bidi="en-US"/>
              </w:rPr>
              <w:t>Kate Rawlings</w:t>
            </w:r>
          </w:p>
        </w:tc>
        <w:tc>
          <w:tcPr>
            <w:tcW w:w="4618" w:type="dxa"/>
          </w:tcPr>
          <w:p w:rsidR="009D43BD" w:rsidRDefault="009D43BD" w:rsidP="00004292">
            <w:pPr>
              <w:spacing w:after="120"/>
              <w:rPr>
                <w:lang w:eastAsia="en-NZ" w:bidi="en-US"/>
              </w:rPr>
            </w:pPr>
            <w:r>
              <w:rPr>
                <w:lang w:eastAsia="en-NZ" w:bidi="en-US"/>
              </w:rPr>
              <w:t>Programme Director- South Island Health Alliance</w:t>
            </w:r>
          </w:p>
        </w:tc>
      </w:tr>
      <w:tr w:rsidR="005D5FD2" w:rsidTr="009D43BD">
        <w:tc>
          <w:tcPr>
            <w:tcW w:w="4617" w:type="dxa"/>
          </w:tcPr>
          <w:p w:rsidR="005D5FD2" w:rsidRDefault="005D5FD2" w:rsidP="00004292">
            <w:pPr>
              <w:spacing w:after="120"/>
              <w:rPr>
                <w:lang w:eastAsia="en-NZ" w:bidi="en-US"/>
              </w:rPr>
            </w:pPr>
            <w:r>
              <w:rPr>
                <w:lang w:eastAsia="en-NZ" w:bidi="en-US"/>
              </w:rPr>
              <w:t>Leigh Manson</w:t>
            </w:r>
          </w:p>
        </w:tc>
        <w:tc>
          <w:tcPr>
            <w:tcW w:w="4618" w:type="dxa"/>
          </w:tcPr>
          <w:p w:rsidR="005D5FD2" w:rsidRDefault="005D5FD2" w:rsidP="00004292">
            <w:pPr>
              <w:spacing w:after="120"/>
              <w:rPr>
                <w:lang w:eastAsia="en-NZ" w:bidi="en-US"/>
              </w:rPr>
            </w:pPr>
            <w:r>
              <w:rPr>
                <w:lang w:eastAsia="en-NZ" w:bidi="en-US"/>
              </w:rPr>
              <w:t xml:space="preserve">Northern Regional ACP Programme Director </w:t>
            </w:r>
          </w:p>
        </w:tc>
      </w:tr>
      <w:tr w:rsidR="005D5FD2" w:rsidTr="009D43BD">
        <w:tc>
          <w:tcPr>
            <w:tcW w:w="4617" w:type="dxa"/>
          </w:tcPr>
          <w:p w:rsidR="005D5FD2" w:rsidRDefault="005D5FD2" w:rsidP="00004292">
            <w:pPr>
              <w:spacing w:after="120"/>
              <w:rPr>
                <w:lang w:eastAsia="en-NZ" w:bidi="en-US"/>
              </w:rPr>
            </w:pPr>
            <w:r>
              <w:rPr>
                <w:lang w:eastAsia="en-NZ" w:bidi="en-US"/>
              </w:rPr>
              <w:t>Michael Bland</w:t>
            </w:r>
          </w:p>
        </w:tc>
        <w:tc>
          <w:tcPr>
            <w:tcW w:w="4618" w:type="dxa"/>
          </w:tcPr>
          <w:p w:rsidR="005D5FD2" w:rsidRDefault="005D5FD2" w:rsidP="00004292">
            <w:pPr>
              <w:spacing w:after="120"/>
              <w:rPr>
                <w:lang w:eastAsia="en-NZ" w:bidi="en-US"/>
              </w:rPr>
            </w:pPr>
            <w:r>
              <w:rPr>
                <w:lang w:eastAsia="en-NZ" w:bidi="en-US"/>
              </w:rPr>
              <w:t>Midland Regional Training Director</w:t>
            </w:r>
            <w:r w:rsidR="00A373DF">
              <w:rPr>
                <w:lang w:eastAsia="en-NZ" w:bidi="en-US"/>
              </w:rPr>
              <w:t>-</w:t>
            </w:r>
            <w:r>
              <w:rPr>
                <w:lang w:eastAsia="en-NZ" w:bidi="en-US"/>
              </w:rPr>
              <w:t xml:space="preserve"> </w:t>
            </w:r>
            <w:proofErr w:type="spellStart"/>
            <w:r>
              <w:rPr>
                <w:lang w:eastAsia="en-NZ" w:bidi="en-US"/>
              </w:rPr>
              <w:t>Healthshare</w:t>
            </w:r>
            <w:proofErr w:type="spellEnd"/>
          </w:p>
        </w:tc>
      </w:tr>
      <w:tr w:rsidR="009D43BD" w:rsidTr="005D5FD2">
        <w:tc>
          <w:tcPr>
            <w:tcW w:w="4617" w:type="dxa"/>
          </w:tcPr>
          <w:p w:rsidR="009D43BD" w:rsidRDefault="005D5FD2" w:rsidP="00004292">
            <w:pPr>
              <w:spacing w:after="120"/>
              <w:rPr>
                <w:lang w:eastAsia="en-NZ" w:bidi="en-US"/>
              </w:rPr>
            </w:pPr>
            <w:r>
              <w:rPr>
                <w:lang w:eastAsia="en-NZ" w:bidi="en-US"/>
              </w:rPr>
              <w:t xml:space="preserve">Nicola Smith </w:t>
            </w:r>
          </w:p>
        </w:tc>
        <w:tc>
          <w:tcPr>
            <w:tcW w:w="4618" w:type="dxa"/>
          </w:tcPr>
          <w:p w:rsidR="009D43BD" w:rsidRDefault="005D5FD2" w:rsidP="00004292">
            <w:pPr>
              <w:spacing w:after="120"/>
              <w:rPr>
                <w:lang w:eastAsia="en-NZ" w:bidi="en-US"/>
              </w:rPr>
            </w:pPr>
            <w:r>
              <w:rPr>
                <w:lang w:eastAsia="en-NZ" w:bidi="en-US"/>
              </w:rPr>
              <w:t xml:space="preserve">Regional Director Workforce Development Central Tasman </w:t>
            </w:r>
          </w:p>
        </w:tc>
      </w:tr>
      <w:tr w:rsidR="009D43BD" w:rsidTr="005D5FD2">
        <w:tc>
          <w:tcPr>
            <w:tcW w:w="4617" w:type="dxa"/>
          </w:tcPr>
          <w:p w:rsidR="009D43BD" w:rsidRDefault="005D5FD2" w:rsidP="00004292">
            <w:pPr>
              <w:spacing w:after="120"/>
              <w:rPr>
                <w:lang w:eastAsia="en-NZ" w:bidi="en-US"/>
              </w:rPr>
            </w:pPr>
            <w:r>
              <w:rPr>
                <w:lang w:eastAsia="en-NZ" w:bidi="en-US"/>
              </w:rPr>
              <w:t xml:space="preserve">Ron Dunham </w:t>
            </w:r>
          </w:p>
        </w:tc>
        <w:tc>
          <w:tcPr>
            <w:tcW w:w="4618" w:type="dxa"/>
          </w:tcPr>
          <w:p w:rsidR="009D43BD" w:rsidRDefault="005D5FD2" w:rsidP="00004292">
            <w:pPr>
              <w:spacing w:after="120"/>
              <w:rPr>
                <w:lang w:eastAsia="en-NZ" w:bidi="en-US"/>
              </w:rPr>
            </w:pPr>
            <w:r>
              <w:rPr>
                <w:lang w:eastAsia="en-NZ" w:bidi="en-US"/>
              </w:rPr>
              <w:t>Chief Executive Officer</w:t>
            </w:r>
            <w:r w:rsidR="00A373DF">
              <w:rPr>
                <w:lang w:eastAsia="en-NZ" w:bidi="en-US"/>
              </w:rPr>
              <w:t>-</w:t>
            </w:r>
            <w:r>
              <w:rPr>
                <w:lang w:eastAsia="en-NZ" w:bidi="en-US"/>
              </w:rPr>
              <w:t xml:space="preserve"> Lakes District Health Board</w:t>
            </w:r>
          </w:p>
        </w:tc>
      </w:tr>
      <w:tr w:rsidR="005D5FD2" w:rsidTr="009D43BD">
        <w:tc>
          <w:tcPr>
            <w:tcW w:w="4617" w:type="dxa"/>
          </w:tcPr>
          <w:p w:rsidR="005D5FD2" w:rsidRDefault="005D5FD2" w:rsidP="00004292">
            <w:pPr>
              <w:spacing w:after="120"/>
              <w:rPr>
                <w:lang w:eastAsia="en-NZ" w:bidi="en-US"/>
              </w:rPr>
            </w:pPr>
            <w:r>
              <w:rPr>
                <w:lang w:eastAsia="en-NZ" w:bidi="en-US"/>
              </w:rPr>
              <w:t xml:space="preserve">Shona Muir </w:t>
            </w:r>
          </w:p>
        </w:tc>
        <w:tc>
          <w:tcPr>
            <w:tcW w:w="4618" w:type="dxa"/>
          </w:tcPr>
          <w:p w:rsidR="005D5FD2" w:rsidRDefault="005D5FD2" w:rsidP="00004292">
            <w:pPr>
              <w:spacing w:after="120"/>
              <w:rPr>
                <w:lang w:eastAsia="en-NZ" w:bidi="en-US"/>
              </w:rPr>
            </w:pPr>
            <w:r>
              <w:rPr>
                <w:lang w:eastAsia="en-NZ" w:bidi="en-US"/>
              </w:rPr>
              <w:t>National Advance Care Plan Training Programme Manager, Northern Region ACP Project Manager</w:t>
            </w:r>
          </w:p>
        </w:tc>
      </w:tr>
      <w:tr w:rsidR="009D43BD" w:rsidTr="005D5FD2">
        <w:tc>
          <w:tcPr>
            <w:tcW w:w="4617" w:type="dxa"/>
          </w:tcPr>
          <w:p w:rsidR="009D43BD" w:rsidRDefault="005D5FD2" w:rsidP="00004292">
            <w:pPr>
              <w:spacing w:after="120"/>
              <w:rPr>
                <w:lang w:eastAsia="en-NZ" w:bidi="en-US"/>
              </w:rPr>
            </w:pPr>
            <w:r>
              <w:rPr>
                <w:lang w:eastAsia="en-NZ" w:bidi="en-US"/>
              </w:rPr>
              <w:t>Tony Phemister</w:t>
            </w:r>
          </w:p>
        </w:tc>
        <w:tc>
          <w:tcPr>
            <w:tcW w:w="4618" w:type="dxa"/>
          </w:tcPr>
          <w:p w:rsidR="009D43BD" w:rsidRDefault="005D5FD2" w:rsidP="00004292">
            <w:pPr>
              <w:spacing w:after="120"/>
              <w:rPr>
                <w:lang w:eastAsia="en-NZ" w:bidi="en-US"/>
              </w:rPr>
            </w:pPr>
            <w:r>
              <w:rPr>
                <w:lang w:eastAsia="en-NZ" w:bidi="en-US"/>
              </w:rPr>
              <w:t>Portfolio Manager Regional Planning and Service Delivery</w:t>
            </w:r>
            <w:r w:rsidR="00A373DF">
              <w:rPr>
                <w:lang w:eastAsia="en-NZ" w:bidi="en-US"/>
              </w:rPr>
              <w:t>-</w:t>
            </w:r>
            <w:r>
              <w:rPr>
                <w:lang w:eastAsia="en-NZ" w:bidi="en-US"/>
              </w:rPr>
              <w:t xml:space="preserve"> Northern Regional Alliance </w:t>
            </w:r>
          </w:p>
        </w:tc>
      </w:tr>
    </w:tbl>
    <w:p w:rsidR="008D48AC" w:rsidRDefault="008D48AC" w:rsidP="006D299C">
      <w:pPr>
        <w:pStyle w:val="APageheading-numbered"/>
        <w:numPr>
          <w:ilvl w:val="0"/>
          <w:numId w:val="0"/>
        </w:numPr>
        <w:spacing w:after="800"/>
      </w:pPr>
      <w:bookmarkStart w:id="27" w:name="_Toc412729771"/>
      <w:r>
        <w:lastRenderedPageBreak/>
        <w:t xml:space="preserve">Appendix B- Effective Business Case for “top slice” funding </w:t>
      </w:r>
      <w:r>
        <w:rPr>
          <w:noProof/>
          <w:lang w:eastAsia="en-NZ" w:bidi="ar-SA"/>
        </w:rPr>
        <w:drawing>
          <wp:inline distT="0" distB="0" distL="0" distR="0" wp14:anchorId="3E93EEB7" wp14:editId="5EB81EED">
            <wp:extent cx="4390845" cy="6496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91183" cy="6497159"/>
                    </a:xfrm>
                    <a:prstGeom prst="rect">
                      <a:avLst/>
                    </a:prstGeom>
                  </pic:spPr>
                </pic:pic>
              </a:graphicData>
            </a:graphic>
          </wp:inline>
        </w:drawing>
      </w:r>
      <w:bookmarkEnd w:id="27"/>
    </w:p>
    <w:p w:rsidR="008D48AC" w:rsidRDefault="008D48AC" w:rsidP="006D299C">
      <w:pPr>
        <w:pStyle w:val="APageheading-numbered"/>
        <w:numPr>
          <w:ilvl w:val="0"/>
          <w:numId w:val="0"/>
        </w:numPr>
        <w:spacing w:after="800"/>
      </w:pPr>
      <w:bookmarkStart w:id="28" w:name="_Toc412729772"/>
      <w:r>
        <w:rPr>
          <w:noProof/>
          <w:lang w:eastAsia="en-NZ" w:bidi="ar-SA"/>
        </w:rPr>
        <w:lastRenderedPageBreak/>
        <w:drawing>
          <wp:inline distT="0" distB="0" distL="0" distR="0" wp14:anchorId="5134C4BE" wp14:editId="10D4830F">
            <wp:extent cx="4695825" cy="7362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95825" cy="7362825"/>
                    </a:xfrm>
                    <a:prstGeom prst="rect">
                      <a:avLst/>
                    </a:prstGeom>
                  </pic:spPr>
                </pic:pic>
              </a:graphicData>
            </a:graphic>
          </wp:inline>
        </w:drawing>
      </w:r>
      <w:bookmarkEnd w:id="28"/>
    </w:p>
    <w:p w:rsidR="008D48AC" w:rsidRDefault="008D48AC" w:rsidP="006D299C">
      <w:pPr>
        <w:pStyle w:val="APageheading-numbered"/>
        <w:numPr>
          <w:ilvl w:val="0"/>
          <w:numId w:val="0"/>
        </w:numPr>
        <w:spacing w:after="800"/>
      </w:pPr>
      <w:bookmarkStart w:id="29" w:name="_Toc412729773"/>
      <w:r>
        <w:rPr>
          <w:noProof/>
          <w:lang w:eastAsia="en-NZ" w:bidi="ar-SA"/>
        </w:rPr>
        <w:lastRenderedPageBreak/>
        <w:drawing>
          <wp:inline distT="0" distB="0" distL="0" distR="0" wp14:anchorId="3F2B7824" wp14:editId="60B1F08A">
            <wp:extent cx="4619625" cy="6324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19625" cy="6324600"/>
                    </a:xfrm>
                    <a:prstGeom prst="rect">
                      <a:avLst/>
                    </a:prstGeom>
                  </pic:spPr>
                </pic:pic>
              </a:graphicData>
            </a:graphic>
          </wp:inline>
        </w:drawing>
      </w:r>
      <w:bookmarkEnd w:id="29"/>
    </w:p>
    <w:p w:rsidR="005240FD" w:rsidRPr="00C63898" w:rsidRDefault="005240FD" w:rsidP="006D299C">
      <w:pPr>
        <w:pStyle w:val="APageheading-numbered"/>
        <w:numPr>
          <w:ilvl w:val="0"/>
          <w:numId w:val="0"/>
        </w:numPr>
        <w:spacing w:after="800"/>
      </w:pPr>
      <w:bookmarkStart w:id="30" w:name="_Toc412729774"/>
      <w:r w:rsidRPr="00C63898">
        <w:lastRenderedPageBreak/>
        <w:t>About Deloitte</w:t>
      </w:r>
      <w:bookmarkEnd w:id="30"/>
    </w:p>
    <w:p w:rsidR="004B02FA" w:rsidRPr="00004292" w:rsidRDefault="004B02FA" w:rsidP="004B02FA">
      <w:pPr>
        <w:rPr>
          <w:color w:val="002776" w:themeColor="text2"/>
          <w:sz w:val="16"/>
        </w:rPr>
      </w:pPr>
      <w:r w:rsidRPr="00004292">
        <w:rPr>
          <w:color w:val="002776" w:themeColor="text2"/>
          <w:sz w:val="16"/>
        </w:rPr>
        <w:t>Deloitte provides audit, tax, consulting, and financial advisory services to public and private clients spanning multiple industries. With a globally connected network of member firms in 140 countries, Deloitte brings world-class capabilities and deep local expertise to help clients succeed wherever they operate. Deloitte's 170,000 professionals are committed to becoming the standard of excellence.</w:t>
      </w:r>
    </w:p>
    <w:p w:rsidR="004B02FA" w:rsidRPr="00004292" w:rsidRDefault="004B02FA" w:rsidP="004B02FA">
      <w:pPr>
        <w:rPr>
          <w:color w:val="002776" w:themeColor="text2"/>
          <w:sz w:val="16"/>
        </w:rPr>
      </w:pPr>
      <w:r w:rsidRPr="00004292">
        <w:rPr>
          <w:color w:val="002776" w:themeColor="text2"/>
          <w:sz w:val="16"/>
        </w:rPr>
        <w:t>Deloitte's professionals are unified by a collaborative culture that fosters integrity, outstanding value to markets and clients, commitment to each other, and strength from cultural diversity. They enjoy an environment of continuous learning, challenging experiences, and enriching career opportunities. Deloitte's professionals are dedicated to strengthening corporate responsibility, building public trust, and making a positive impact in their communities.</w:t>
      </w:r>
    </w:p>
    <w:p w:rsidR="004B02FA" w:rsidRPr="00004292" w:rsidRDefault="004B02FA" w:rsidP="004B02FA">
      <w:pPr>
        <w:rPr>
          <w:color w:val="002776" w:themeColor="text2"/>
          <w:sz w:val="16"/>
        </w:rPr>
      </w:pPr>
      <w:r w:rsidRPr="00004292">
        <w:rPr>
          <w:color w:val="002776" w:themeColor="text2"/>
          <w:sz w:val="16"/>
        </w:rPr>
        <w:t>Deloitte refers to one or more of Deloitte Touche Tohmatsu Limited, a UK private company limited by guarantee, and its network of member firms, each of which is a legally separate and independent entity. Please see www.deloitte.com/nz/about for a detailed description of the legal structure of Deloitte Touche Tohmatsu Limited and its member firms.</w:t>
      </w:r>
    </w:p>
    <w:p w:rsidR="004B02FA" w:rsidRPr="00004292" w:rsidRDefault="004B02FA" w:rsidP="004B02FA">
      <w:pPr>
        <w:rPr>
          <w:color w:val="002776" w:themeColor="text2"/>
          <w:sz w:val="16"/>
        </w:rPr>
      </w:pPr>
      <w:r w:rsidRPr="00004292">
        <w:rPr>
          <w:color w:val="002776" w:themeColor="text2"/>
          <w:sz w:val="16"/>
        </w:rPr>
        <w:t xml:space="preserve">Deloitte New Zealand brings together more than 900 specialists providing audit, tax, technology and systems, strategy and performance improvement, risk management, corporate finance, business recovery, forensic and accounting services. Our people are based in Auckland, Hamilton, Wellington, Christchurch and Dunedin, serving clients that range from New Zealand's largest companies and public sector organisations to smaller businesses with ambition to grow. </w:t>
      </w:r>
    </w:p>
    <w:p w:rsidR="004B02FA" w:rsidRPr="00004292" w:rsidRDefault="004B02FA" w:rsidP="004B02FA">
      <w:pPr>
        <w:rPr>
          <w:color w:val="002776" w:themeColor="text2"/>
          <w:sz w:val="16"/>
        </w:rPr>
      </w:pPr>
      <w:r w:rsidRPr="00004292">
        <w:rPr>
          <w:color w:val="002776" w:themeColor="text2"/>
          <w:sz w:val="16"/>
        </w:rPr>
        <w:t>Deloitte's local experts draw on best practice and innovative methodologies from around the world as part of Deloitte Touche Tohmatsu Limited, whose 170,000 people globally serve over 80 percent of the world's largest companies. A long track record and a wealth of international research into the needs of growing organisations has made Deloitte the world's leading advisor to emerging businesses. For more information about Deloitte in New Zealand, look to our website www.deloitte.co.nz.</w:t>
      </w:r>
    </w:p>
    <w:p w:rsidR="004B02FA" w:rsidRPr="00004292" w:rsidRDefault="004B02FA" w:rsidP="004B02FA">
      <w:pPr>
        <w:rPr>
          <w:color w:val="002776" w:themeColor="text2"/>
          <w:sz w:val="16"/>
        </w:rPr>
      </w:pPr>
      <w:r w:rsidRPr="00004292">
        <w:rPr>
          <w:color w:val="002776" w:themeColor="text2"/>
          <w:sz w:val="16"/>
        </w:rPr>
        <w:t>This publication contains general information only, and none of Deloitte Touche Tohmatsu Limited, its member firms, or its and their affiliates are,  by means of this publication, rendering accounting, business, financial, investment, legal, tax, or other professional advice or services. This publication is not a substitute for such professional advice or services, nor should it be used as a basis for any decision or action that may affect your finances or your business. Before making any decision or taking any action that may affect your finances or your business, you should consult a qualified professional adviser.</w:t>
      </w:r>
    </w:p>
    <w:p w:rsidR="004B02FA" w:rsidRPr="00004292" w:rsidRDefault="004B02FA" w:rsidP="004B02FA">
      <w:pPr>
        <w:rPr>
          <w:color w:val="002776" w:themeColor="text2"/>
          <w:sz w:val="16"/>
        </w:rPr>
      </w:pPr>
      <w:r w:rsidRPr="00004292">
        <w:rPr>
          <w:color w:val="002776" w:themeColor="text2"/>
          <w:sz w:val="16"/>
        </w:rPr>
        <w:t>None of Deloitte Touche Tohmatsu Limited, its member firms, or its and their respective affiliates shall be responsible for any loss whatsoever sustained by any person who relies on this publication.  If any of the foregoing is not fully enforceable for any reason, the remainder shall nonetheless continue to apply.</w:t>
      </w:r>
    </w:p>
    <w:p w:rsidR="00F9640B" w:rsidRPr="00004292" w:rsidRDefault="00E06183" w:rsidP="004B02FA">
      <w:pPr>
        <w:rPr>
          <w:color w:val="002776" w:themeColor="text2"/>
          <w:sz w:val="16"/>
        </w:rPr>
      </w:pPr>
      <w:r>
        <w:rPr>
          <w:color w:val="002776" w:themeColor="text2"/>
          <w:sz w:val="16"/>
        </w:rPr>
        <w:t xml:space="preserve">© </w:t>
      </w:r>
      <w:r w:rsidR="004B02FA" w:rsidRPr="00E06183">
        <w:rPr>
          <w:color w:val="002776" w:themeColor="text2"/>
          <w:sz w:val="16"/>
        </w:rPr>
        <w:t>201</w:t>
      </w:r>
      <w:r>
        <w:rPr>
          <w:color w:val="002776" w:themeColor="text2"/>
          <w:sz w:val="16"/>
        </w:rPr>
        <w:t>5</w:t>
      </w:r>
      <w:r w:rsidR="004B02FA" w:rsidRPr="00004292">
        <w:rPr>
          <w:color w:val="002776" w:themeColor="text2"/>
          <w:sz w:val="16"/>
        </w:rPr>
        <w:t xml:space="preserve"> Deloitte. A member of Deloitte Touche Tohmatsu Limited.  All rights reserved.</w:t>
      </w:r>
    </w:p>
    <w:sectPr w:rsidR="00F9640B" w:rsidRPr="00004292" w:rsidSect="00853B6E">
      <w:headerReference w:type="even" r:id="rId20"/>
      <w:headerReference w:type="default" r:id="rId21"/>
      <w:footerReference w:type="default" r:id="rId22"/>
      <w:headerReference w:type="first" r:id="rId23"/>
      <w:pgSz w:w="11899" w:h="16838" w:code="9"/>
      <w:pgMar w:top="1440" w:right="1440" w:bottom="851" w:left="1440"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DC" w:rsidRDefault="002118DC" w:rsidP="003C3C08">
      <w:r>
        <w:separator/>
      </w:r>
    </w:p>
    <w:p w:rsidR="002118DC" w:rsidRDefault="002118DC" w:rsidP="003C3C08"/>
    <w:p w:rsidR="002118DC" w:rsidRDefault="002118DC" w:rsidP="003C3C08"/>
    <w:p w:rsidR="002118DC" w:rsidRDefault="002118DC"/>
  </w:endnote>
  <w:endnote w:type="continuationSeparator" w:id="0">
    <w:p w:rsidR="002118DC" w:rsidRDefault="002118DC" w:rsidP="003C3C08">
      <w:r>
        <w:continuationSeparator/>
      </w:r>
    </w:p>
    <w:p w:rsidR="002118DC" w:rsidRDefault="002118DC" w:rsidP="003C3C08"/>
    <w:p w:rsidR="002118DC" w:rsidRDefault="002118DC" w:rsidP="003C3C08"/>
    <w:p w:rsidR="002118DC" w:rsidRDefault="002118DC"/>
  </w:endnote>
  <w:endnote w:type="continuationNotice" w:id="1">
    <w:p w:rsidR="002118DC" w:rsidRDefault="00211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Pr="00626619" w:rsidRDefault="002118DC" w:rsidP="003C3C08">
    <w:pPr>
      <w:pStyle w:val="Legalcopy"/>
      <w:rPr>
        <w:lang w:val="fr-BE"/>
      </w:rPr>
    </w:pPr>
    <w:r w:rsidRPr="009F421F">
      <w:t xml:space="preserve">Caption </w:t>
    </w:r>
    <w:proofErr w:type="spellStart"/>
    <w:r w:rsidRPr="009F421F">
      <w:t>vel</w:t>
    </w:r>
    <w:proofErr w:type="spellEnd"/>
    <w:r w:rsidRPr="009F421F">
      <w:t xml:space="preserve"> </w:t>
    </w:r>
    <w:proofErr w:type="spellStart"/>
    <w:r w:rsidRPr="009F421F">
      <w:t>doloreet</w:t>
    </w:r>
    <w:proofErr w:type="spellEnd"/>
    <w:r w:rsidRPr="009F421F">
      <w:t xml:space="preserve"> </w:t>
    </w:r>
    <w:proofErr w:type="spellStart"/>
    <w:r w:rsidRPr="009F421F">
      <w:t>wisit</w:t>
    </w:r>
    <w:proofErr w:type="spellEnd"/>
    <w:r w:rsidRPr="009F421F">
      <w:t xml:space="preserve"> </w:t>
    </w:r>
    <w:proofErr w:type="spellStart"/>
    <w:r w:rsidRPr="009F421F">
      <w:t>acincil</w:t>
    </w:r>
    <w:proofErr w:type="spellEnd"/>
    <w:r w:rsidRPr="009F421F">
      <w:t xml:space="preserve"> </w:t>
    </w:r>
    <w:proofErr w:type="spellStart"/>
    <w:r w:rsidRPr="009F421F">
      <w:t>iquatem</w:t>
    </w:r>
    <w:proofErr w:type="spellEnd"/>
    <w:r w:rsidRPr="009F421F">
      <w:t xml:space="preserve"> </w:t>
    </w:r>
    <w:proofErr w:type="spellStart"/>
    <w:r w:rsidRPr="009F421F">
      <w:t>dio</w:t>
    </w:r>
    <w:proofErr w:type="spellEnd"/>
    <w:r w:rsidRPr="009F421F">
      <w:t xml:space="preserve"> </w:t>
    </w:r>
    <w:proofErr w:type="spellStart"/>
    <w:r w:rsidRPr="009F421F">
      <w:t>odigna</w:t>
    </w:r>
    <w:proofErr w:type="spellEnd"/>
    <w:r w:rsidRPr="009F421F">
      <w:t xml:space="preserve"> </w:t>
    </w:r>
    <w:proofErr w:type="spellStart"/>
    <w:r w:rsidRPr="009F421F">
      <w:t>feugiamcommy</w:t>
    </w:r>
    <w:proofErr w:type="spellEnd"/>
    <w:r w:rsidRPr="009F421F">
      <w:t xml:space="preserve"> </w:t>
    </w:r>
    <w:proofErr w:type="spellStart"/>
    <w:r w:rsidRPr="009F421F">
      <w:t>nim</w:t>
    </w:r>
    <w:proofErr w:type="spellEnd"/>
    <w:r w:rsidRPr="009F421F">
      <w:t xml:space="preserve"> </w:t>
    </w:r>
    <w:proofErr w:type="spellStart"/>
    <w:r w:rsidRPr="009F421F">
      <w:t>vulput</w:t>
    </w:r>
    <w:proofErr w:type="spellEnd"/>
    <w:r w:rsidRPr="009F421F">
      <w:t xml:space="preserve"> </w:t>
    </w:r>
    <w:proofErr w:type="spellStart"/>
    <w:r w:rsidRPr="009F421F">
      <w:t>adip</w:t>
    </w:r>
    <w:proofErr w:type="spellEnd"/>
    <w:r w:rsidRPr="009F421F">
      <w:t xml:space="preserve"> </w:t>
    </w:r>
    <w:proofErr w:type="spellStart"/>
    <w:r w:rsidRPr="009F421F">
      <w:t>exerosto</w:t>
    </w:r>
    <w:proofErr w:type="spellEnd"/>
    <w:r w:rsidRPr="009F421F">
      <w:t xml:space="preserve"> </w:t>
    </w:r>
    <w:proofErr w:type="spellStart"/>
    <w:r w:rsidRPr="009F421F">
      <w:t>essi</w:t>
    </w:r>
    <w:proofErr w:type="spellEnd"/>
    <w:r w:rsidRPr="009F421F">
      <w:t xml:space="preserve">. </w:t>
    </w:r>
    <w:r w:rsidRPr="00626619">
      <w:rPr>
        <w:lang w:val="fr-BE"/>
      </w:rPr>
      <w:t>Rud min ver sed magna ate tat, vendigna conulputat. Ulput pratie ming et, commy nos et nim il et at. Ut aliquipit amcommy nullaore endrem er incilla conse feu facin venisi. Uscilla commolorper aliquate magna atum do digna consed molore vulla facin ex ent init accum del eriusto od elisl dit aliquatet auguerosto odipit utpatummy nonsecte ex essequam il ulluptatie consequat. Ad dolore modolor percipit dolesed dolorper il estin enis euisi.</w:t>
    </w:r>
  </w:p>
  <w:p w:rsidR="002118DC" w:rsidRPr="00626619" w:rsidRDefault="002118DC" w:rsidP="003C3C08">
    <w:pPr>
      <w:pStyle w:val="Legalcopy"/>
      <w:rPr>
        <w:lang w:val="fr-BE"/>
      </w:rPr>
    </w:pPr>
    <w:r w:rsidRPr="00626619">
      <w:rPr>
        <w:lang w:val="fr-BE"/>
      </w:rPr>
      <w:t>Ut iustionulput endre cor ilis ent accum vullan voluptate feui tat. Tionsed dolor irilis elit dolumsan velent praesse quisci tatet, volessi blan vel eui eniam vullaortisi bla faccum vel utet aut iriure eu faccum adigniat, core te do dionsenisim erciliquatue te ming ea facincillut lan henim dolenisl ing er atum iril dit, quam eugiat wismod min hendre conse el utat. It ad ex erat, consenis alit ut eui bla at la facin henis aute mod euisi. Rud etum nosto con ea facillam, sum dolorem quismod mod er sequi blan utet, qui blam, verostisi. Ud dit nulla core coreet ent lor acil endigni amcore do dui et, susto od etue ver ad te facidunt do ea con et aliquis cillamc onsequisi enim irilis dolor in ulla alit, veliquipit adigna aci enim velenim dolum irit do euiscidui bla commodo enit dolum alit ulpute faccum nismodo odoleniam ipit volendit alisit nonsecte tat lum zzriurem velent aliquat adipit prat vel ipis et, si blam, quisi.</w:t>
    </w:r>
  </w:p>
  <w:p w:rsidR="002118DC" w:rsidRPr="00626619" w:rsidRDefault="002118DC" w:rsidP="003C3C08">
    <w:pPr>
      <w:pStyle w:val="Legalcopy"/>
      <w:rPr>
        <w:lang w:val="fr-BE"/>
      </w:rPr>
    </w:pPr>
    <w:r w:rsidRPr="00626619">
      <w:rPr>
        <w:lang w:val="fr-BE"/>
      </w:rPr>
      <w:t>Sandio eratum et iure vel utpatin henim nos nullut iriure conumsandio ex ex euisl ea consequis dunt non veliqui pismod et lore consed do dui eugait, quat. Ut nismodo lobore facip eu feugait alit lutem irit laortie estrud dolortie mod te mod molorpe riurem quam digna commodolore magnim ing eum quat. Ent lorerci duipit wiscip et, velis auguero con et exer sim vel erostincil ullamet, sit aut prat aliquatum</w:t>
    </w:r>
  </w:p>
  <w:p w:rsidR="002118DC" w:rsidRPr="009F421F" w:rsidRDefault="002118DC" w:rsidP="003C3C08">
    <w:pPr>
      <w:pStyle w:val="Legalcopy"/>
    </w:pPr>
    <w:r w:rsidRPr="009F421F">
      <w:t>© 200</w:t>
    </w:r>
    <w:r>
      <w:t>9</w:t>
    </w:r>
    <w:r w:rsidRPr="009F421F">
      <w:t xml:space="preserve"> [legal entity name]. A member of Deloitte </w:t>
    </w:r>
    <w:proofErr w:type="spellStart"/>
    <w:r w:rsidRPr="009F421F">
      <w:t>Touche</w:t>
    </w:r>
    <w:proofErr w:type="spellEnd"/>
    <w:r w:rsidRPr="009F421F">
      <w:t xml:space="preserve"> Tohmatsu Limited</w:t>
    </w:r>
  </w:p>
  <w:p w:rsidR="002118DC" w:rsidRDefault="002118DC" w:rsidP="003C3C08">
    <w:pPr>
      <w:pStyle w:val="Legalcop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Pr="00DF263C" w:rsidRDefault="002118DC" w:rsidP="00DF263C">
    <w:pPr>
      <w:pStyle w:val="Footer"/>
      <w:tabs>
        <w:tab w:val="clear" w:pos="4320"/>
        <w:tab w:val="right" w:pos="8505"/>
        <w:tab w:val="right" w:pos="9015"/>
      </w:tabs>
      <w:rPr>
        <w:b w:val="0"/>
      </w:rPr>
    </w:pPr>
    <w:r>
      <w:tab/>
    </w:r>
    <w:r>
      <w:rPr>
        <w:b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Pr="00DF263C" w:rsidRDefault="002118DC" w:rsidP="00DF263C">
    <w:pPr>
      <w:pStyle w:val="Footer"/>
      <w:tabs>
        <w:tab w:val="clear" w:pos="4320"/>
        <w:tab w:val="right" w:pos="8505"/>
        <w:tab w:val="right" w:pos="9015"/>
      </w:tabs>
      <w:rPr>
        <w:b w:val="0"/>
      </w:rPr>
    </w:pPr>
    <w:r>
      <w:tab/>
    </w:r>
    <w:r>
      <w:rPr>
        <w:b w:val="0"/>
      </w:rPr>
      <w:t>Level 2 Advance Care Planning Practitioner Training Review</w:t>
    </w:r>
    <w:r w:rsidRPr="00CC3B4E">
      <w:rPr>
        <w:b w:val="0"/>
      </w:rPr>
      <w:tab/>
    </w:r>
    <w:r w:rsidRPr="00CC3B4E">
      <w:rPr>
        <w:b w:val="0"/>
      </w:rPr>
      <w:fldChar w:fldCharType="begin"/>
    </w:r>
    <w:r w:rsidRPr="00CC3B4E">
      <w:rPr>
        <w:b w:val="0"/>
      </w:rPr>
      <w:instrText xml:space="preserve"> PAGE   \* MERGEFORMAT </w:instrText>
    </w:r>
    <w:r w:rsidRPr="00CC3B4E">
      <w:rPr>
        <w:b w:val="0"/>
      </w:rPr>
      <w:fldChar w:fldCharType="separate"/>
    </w:r>
    <w:r w:rsidR="003A6D21">
      <w:rPr>
        <w:b w:val="0"/>
        <w:noProof/>
      </w:rPr>
      <w:t>32</w:t>
    </w:r>
    <w:r w:rsidRPr="00CC3B4E">
      <w:rPr>
        <w:b w:val="0"/>
      </w:rPr>
      <w:fldChar w:fldCharType="end"/>
    </w:r>
  </w:p>
  <w:p w:rsidR="002118DC" w:rsidRDefault="002118DC"/>
  <w:p w:rsidR="002118DC" w:rsidRDefault="002118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DC" w:rsidRDefault="002118DC" w:rsidP="003C3C08">
      <w:r>
        <w:separator/>
      </w:r>
    </w:p>
  </w:footnote>
  <w:footnote w:type="continuationSeparator" w:id="0">
    <w:p w:rsidR="002118DC" w:rsidRDefault="002118DC" w:rsidP="003C3C08">
      <w:r>
        <w:continuationSeparator/>
      </w:r>
    </w:p>
    <w:p w:rsidR="002118DC" w:rsidRDefault="002118DC" w:rsidP="003C3C08"/>
    <w:p w:rsidR="002118DC" w:rsidRDefault="002118DC" w:rsidP="003C3C08"/>
    <w:p w:rsidR="002118DC" w:rsidRDefault="002118DC"/>
  </w:footnote>
  <w:footnote w:type="continuationNotice" w:id="1">
    <w:p w:rsidR="002118DC" w:rsidRDefault="002118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Default="00211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Default="00211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Default="002118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Default="002118DC">
    <w:pPr>
      <w:pStyle w:val="Header"/>
    </w:pPr>
  </w:p>
  <w:p w:rsidR="002118DC" w:rsidRDefault="002118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Pr="008B1D0E" w:rsidRDefault="002118DC" w:rsidP="003C3C08">
    <w:r w:rsidRPr="00C06010">
      <w:tab/>
    </w:r>
    <w:r w:rsidRPr="008B1D0E">
      <w:t xml:space="preserve"> </w:t>
    </w:r>
  </w:p>
  <w:p w:rsidR="002118DC" w:rsidRDefault="002118DC" w:rsidP="003C3C08"/>
  <w:p w:rsidR="002118DC" w:rsidRDefault="002118DC"/>
  <w:p w:rsidR="002118DC" w:rsidRDefault="002118D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DC" w:rsidRDefault="00211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42B"/>
    <w:multiLevelType w:val="hybridMultilevel"/>
    <w:tmpl w:val="80B8B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090D61"/>
    <w:multiLevelType w:val="multilevel"/>
    <w:tmpl w:val="05CA5B4C"/>
    <w:styleLink w:val="Bullets-Level1-3"/>
    <w:lvl w:ilvl="0">
      <w:start w:val="1"/>
      <w:numFmt w:val="bullet"/>
      <w:pStyle w:val="Bulletlevel1"/>
      <w:lvlText w:val=""/>
      <w:lvlJc w:val="left"/>
      <w:pPr>
        <w:ind w:left="567" w:hanging="283"/>
      </w:pPr>
      <w:rPr>
        <w:rFonts w:ascii="Symbol" w:hAnsi="Symbol" w:hint="default"/>
      </w:rPr>
    </w:lvl>
    <w:lvl w:ilvl="1">
      <w:start w:val="1"/>
      <w:numFmt w:val="bullet"/>
      <w:pStyle w:val="Bulletlevel2"/>
      <w:lvlText w:val=""/>
      <w:lvlJc w:val="left"/>
      <w:pPr>
        <w:tabs>
          <w:tab w:val="num" w:pos="1418"/>
        </w:tabs>
        <w:ind w:left="851" w:hanging="284"/>
      </w:pPr>
      <w:rPr>
        <w:rFonts w:ascii="Symbol" w:hAnsi="Symbol" w:hint="default"/>
      </w:rPr>
    </w:lvl>
    <w:lvl w:ilvl="2">
      <w:start w:val="1"/>
      <w:numFmt w:val="bullet"/>
      <w:pStyle w:val="Bulletlevel3"/>
      <w:lvlText w:val=""/>
      <w:lvlJc w:val="left"/>
      <w:pPr>
        <w:ind w:left="1134" w:hanging="283"/>
      </w:pPr>
      <w:rPr>
        <w:rFonts w:ascii="Symbol" w:hAnsi="Symbol" w:hint="default"/>
      </w:rPr>
    </w:lvl>
    <w:lvl w:ilvl="3">
      <w:start w:val="1"/>
      <w:numFmt w:val="decimal"/>
      <w:lvlText w:val="(%4)"/>
      <w:lvlJc w:val="left"/>
      <w:pPr>
        <w:ind w:left="2804" w:hanging="360"/>
      </w:pPr>
      <w:rPr>
        <w:rFonts w:hint="default"/>
      </w:rPr>
    </w:lvl>
    <w:lvl w:ilvl="4">
      <w:start w:val="1"/>
      <w:numFmt w:val="lowerLetter"/>
      <w:lvlText w:val="(%5)"/>
      <w:lvlJc w:val="left"/>
      <w:pPr>
        <w:ind w:left="3164" w:hanging="360"/>
      </w:pPr>
      <w:rPr>
        <w:rFonts w:hint="default"/>
      </w:rPr>
    </w:lvl>
    <w:lvl w:ilvl="5">
      <w:start w:val="1"/>
      <w:numFmt w:val="lowerRoman"/>
      <w:lvlText w:val="(%6)"/>
      <w:lvlJc w:val="left"/>
      <w:pPr>
        <w:ind w:left="3524" w:hanging="360"/>
      </w:pPr>
      <w:rPr>
        <w:rFonts w:hint="default"/>
      </w:rPr>
    </w:lvl>
    <w:lvl w:ilvl="6">
      <w:start w:val="1"/>
      <w:numFmt w:val="decimal"/>
      <w:lvlText w:val="%7."/>
      <w:lvlJc w:val="left"/>
      <w:pPr>
        <w:ind w:left="3884" w:hanging="360"/>
      </w:pPr>
      <w:rPr>
        <w:rFonts w:hint="default"/>
      </w:rPr>
    </w:lvl>
    <w:lvl w:ilvl="7">
      <w:start w:val="1"/>
      <w:numFmt w:val="lowerLetter"/>
      <w:lvlText w:val="%8."/>
      <w:lvlJc w:val="left"/>
      <w:pPr>
        <w:ind w:left="4244" w:hanging="360"/>
      </w:pPr>
      <w:rPr>
        <w:rFonts w:hint="default"/>
      </w:rPr>
    </w:lvl>
    <w:lvl w:ilvl="8">
      <w:start w:val="1"/>
      <w:numFmt w:val="lowerRoman"/>
      <w:lvlText w:val="%9."/>
      <w:lvlJc w:val="left"/>
      <w:pPr>
        <w:ind w:left="4604" w:hanging="360"/>
      </w:pPr>
      <w:rPr>
        <w:rFonts w:hint="default"/>
      </w:rPr>
    </w:lvl>
  </w:abstractNum>
  <w:abstractNum w:abstractNumId="2">
    <w:nsid w:val="113E248D"/>
    <w:multiLevelType w:val="hybridMultilevel"/>
    <w:tmpl w:val="D8F833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071547"/>
    <w:multiLevelType w:val="hybridMultilevel"/>
    <w:tmpl w:val="0B6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683566"/>
    <w:multiLevelType w:val="hybridMultilevel"/>
    <w:tmpl w:val="74DEC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BD0C0E"/>
    <w:multiLevelType w:val="hybridMultilevel"/>
    <w:tmpl w:val="6C9AB9CE"/>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6">
    <w:nsid w:val="21EB7C4B"/>
    <w:multiLevelType w:val="hybridMultilevel"/>
    <w:tmpl w:val="1BCEF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5A730D4"/>
    <w:multiLevelType w:val="hybridMultilevel"/>
    <w:tmpl w:val="BD4CC1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99B505F"/>
    <w:multiLevelType w:val="hybridMultilevel"/>
    <w:tmpl w:val="0110F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454D64"/>
    <w:multiLevelType w:val="hybridMultilevel"/>
    <w:tmpl w:val="2E40D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2330D5"/>
    <w:multiLevelType w:val="hybridMultilevel"/>
    <w:tmpl w:val="0B645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1A692F"/>
    <w:multiLevelType w:val="hybridMultilevel"/>
    <w:tmpl w:val="0A245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3205BA"/>
    <w:multiLevelType w:val="hybridMultilevel"/>
    <w:tmpl w:val="B6EE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6FB5883"/>
    <w:multiLevelType w:val="hybridMultilevel"/>
    <w:tmpl w:val="ED5EF260"/>
    <w:lvl w:ilvl="0" w:tplc="7ADE109E">
      <w:numFmt w:val="bullet"/>
      <w:lvlText w:val="•"/>
      <w:lvlJc w:val="left"/>
      <w:pPr>
        <w:ind w:left="720" w:hanging="360"/>
      </w:pPr>
      <w:rPr>
        <w:rFonts w:ascii="Arial" w:eastAsia="Time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D96278D"/>
    <w:multiLevelType w:val="hybridMultilevel"/>
    <w:tmpl w:val="F9584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D52F4B"/>
    <w:multiLevelType w:val="hybridMultilevel"/>
    <w:tmpl w:val="185CC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7841A7"/>
    <w:multiLevelType w:val="hybridMultilevel"/>
    <w:tmpl w:val="D7B49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2DC0348"/>
    <w:multiLevelType w:val="hybridMultilevel"/>
    <w:tmpl w:val="FC9A5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2E72359"/>
    <w:multiLevelType w:val="hybridMultilevel"/>
    <w:tmpl w:val="833AD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44B0F44"/>
    <w:multiLevelType w:val="hybridMultilevel"/>
    <w:tmpl w:val="C5F4A9E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20">
    <w:nsid w:val="55433103"/>
    <w:multiLevelType w:val="hybridMultilevel"/>
    <w:tmpl w:val="BD4CC1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98E5B7D"/>
    <w:multiLevelType w:val="multilevel"/>
    <w:tmpl w:val="EB3C1BC6"/>
    <w:name w:val="test"/>
    <w:styleLink w:val="ReportNumbering"/>
    <w:lvl w:ilvl="0">
      <w:start w:val="1"/>
      <w:numFmt w:val="decimal"/>
      <w:pStyle w:val="APageheading-numbered"/>
      <w:lvlText w:val="%1."/>
      <w:lvlJc w:val="left"/>
      <w:pPr>
        <w:ind w:left="454" w:hanging="454"/>
      </w:pPr>
      <w:rPr>
        <w:rFonts w:ascii="Times New Roman" w:hAnsi="Times New Roman" w:hint="default"/>
        <w:b w:val="0"/>
        <w:i w:val="0"/>
        <w:color w:val="002776"/>
        <w:sz w:val="60"/>
      </w:rPr>
    </w:lvl>
    <w:lvl w:ilvl="1">
      <w:start w:val="1"/>
      <w:numFmt w:val="decimal"/>
      <w:pStyle w:val="BnumberedSubheadingL2-DeloitteBlue"/>
      <w:lvlText w:val="%1.%2."/>
      <w:lvlJc w:val="left"/>
      <w:pPr>
        <w:ind w:left="851" w:hanging="851"/>
      </w:pPr>
      <w:rPr>
        <w:rFonts w:ascii="Arial" w:hAnsi="Arial" w:hint="default"/>
        <w:b/>
        <w:i w:val="0"/>
        <w:color w:val="002776" w:themeColor="text2"/>
        <w:sz w:val="24"/>
      </w:rPr>
    </w:lvl>
    <w:lvl w:ilvl="2">
      <w:start w:val="1"/>
      <w:numFmt w:val="decimal"/>
      <w:pStyle w:val="BnumberedSubheadingL3-DeloitteBlue"/>
      <w:lvlText w:val="%1.%2.%3."/>
      <w:lvlJc w:val="left"/>
      <w:pPr>
        <w:ind w:left="851" w:hanging="851"/>
      </w:pPr>
      <w:rPr>
        <w:rFonts w:ascii="Arial" w:hAnsi="Arial" w:hint="default"/>
        <w:b/>
        <w:i w:val="0"/>
        <w:color w:val="002776" w:themeColor="text2"/>
        <w:sz w:val="24"/>
      </w:rPr>
    </w:lvl>
    <w:lvl w:ilvl="3">
      <w:start w:val="1"/>
      <w:numFmt w:val="decimal"/>
      <w:pStyle w:val="BnumberedSubheadingL4-DeloitteBlue"/>
      <w:lvlText w:val="%1.%2.%3.%4."/>
      <w:lvlJc w:val="left"/>
      <w:pPr>
        <w:ind w:left="851" w:hanging="851"/>
      </w:pPr>
      <w:rPr>
        <w:rFonts w:ascii="Arial" w:hAnsi="Arial" w:hint="default"/>
        <w:b/>
        <w:color w:val="002776" w:themeColor="text2"/>
        <w:sz w:val="24"/>
      </w:rPr>
    </w:lvl>
    <w:lvl w:ilvl="4">
      <w:start w:val="1"/>
      <w:numFmt w:val="none"/>
      <w:lvlText w:val=""/>
      <w:lvlJc w:val="left"/>
      <w:pPr>
        <w:ind w:left="357" w:hanging="357"/>
      </w:pPr>
      <w:rPr>
        <w:rFonts w:hint="default"/>
      </w:rPr>
    </w:lvl>
    <w:lvl w:ilvl="5">
      <w:start w:val="1"/>
      <w:numFmt w:val="none"/>
      <w:lvlText w:val=""/>
      <w:lvlJc w:val="righ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right"/>
      <w:pPr>
        <w:ind w:left="357" w:hanging="357"/>
      </w:pPr>
      <w:rPr>
        <w:rFonts w:hint="default"/>
      </w:rPr>
    </w:lvl>
  </w:abstractNum>
  <w:abstractNum w:abstractNumId="22">
    <w:nsid w:val="6173435E"/>
    <w:multiLevelType w:val="hybridMultilevel"/>
    <w:tmpl w:val="67B26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32D6F51"/>
    <w:multiLevelType w:val="hybridMultilevel"/>
    <w:tmpl w:val="81262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4C478F5"/>
    <w:multiLevelType w:val="hybridMultilevel"/>
    <w:tmpl w:val="20967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9D31DDC"/>
    <w:multiLevelType w:val="hybridMultilevel"/>
    <w:tmpl w:val="73363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0C6F61"/>
    <w:multiLevelType w:val="hybridMultilevel"/>
    <w:tmpl w:val="6BE25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E557925"/>
    <w:multiLevelType w:val="hybridMultilevel"/>
    <w:tmpl w:val="B5306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0053B62"/>
    <w:multiLevelType w:val="hybridMultilevel"/>
    <w:tmpl w:val="B29C9CF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29">
    <w:nsid w:val="70582E92"/>
    <w:multiLevelType w:val="hybridMultilevel"/>
    <w:tmpl w:val="C356778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0">
    <w:nsid w:val="73E26A04"/>
    <w:multiLevelType w:val="hybridMultilevel"/>
    <w:tmpl w:val="C35C4DB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1">
    <w:nsid w:val="74FF2153"/>
    <w:multiLevelType w:val="hybridMultilevel"/>
    <w:tmpl w:val="2DA09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74863CD"/>
    <w:multiLevelType w:val="hybridMultilevel"/>
    <w:tmpl w:val="D1624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B152950"/>
    <w:multiLevelType w:val="hybridMultilevel"/>
    <w:tmpl w:val="503C7AFC"/>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34">
    <w:nsid w:val="7D033741"/>
    <w:multiLevelType w:val="multilevel"/>
    <w:tmpl w:val="05CA5B4C"/>
    <w:numStyleLink w:val="Bullets-Level1-3"/>
  </w:abstractNum>
  <w:num w:numId="1">
    <w:abstractNumId w:val="21"/>
  </w:num>
  <w:num w:numId="2">
    <w:abstractNumId w:val="1"/>
  </w:num>
  <w:num w:numId="3">
    <w:abstractNumId w:val="34"/>
  </w:num>
  <w:num w:numId="4">
    <w:abstractNumId w:val="33"/>
  </w:num>
  <w:num w:numId="5">
    <w:abstractNumId w:val="9"/>
  </w:num>
  <w:num w:numId="6">
    <w:abstractNumId w:val="15"/>
  </w:num>
  <w:num w:numId="7">
    <w:abstractNumId w:val="17"/>
  </w:num>
  <w:num w:numId="8">
    <w:abstractNumId w:val="13"/>
  </w:num>
  <w:num w:numId="9">
    <w:abstractNumId w:val="21"/>
    <w:lvlOverride w:ilvl="0">
      <w:lvl w:ilvl="0">
        <w:start w:val="1"/>
        <w:numFmt w:val="decimal"/>
        <w:pStyle w:val="APageheading-numbered"/>
        <w:lvlText w:val="%1."/>
        <w:lvlJc w:val="left"/>
        <w:pPr>
          <w:ind w:left="454" w:hanging="454"/>
        </w:pPr>
        <w:rPr>
          <w:rFonts w:ascii="Times New Roman" w:hAnsi="Times New Roman" w:hint="default"/>
          <w:b w:val="0"/>
          <w:i w:val="0"/>
          <w:color w:val="002776"/>
          <w:sz w:val="60"/>
        </w:rPr>
      </w:lvl>
    </w:lvlOverride>
    <w:lvlOverride w:ilvl="1">
      <w:lvl w:ilvl="1">
        <w:start w:val="1"/>
        <w:numFmt w:val="decimal"/>
        <w:pStyle w:val="BnumberedSubheadingL2-DeloitteBlue"/>
        <w:lvlText w:val="%1.%2."/>
        <w:lvlJc w:val="left"/>
        <w:pPr>
          <w:ind w:left="851" w:hanging="851"/>
        </w:pPr>
        <w:rPr>
          <w:rFonts w:ascii="Arial" w:hAnsi="Arial" w:hint="default"/>
          <w:b/>
          <w:i w:val="0"/>
          <w:color w:val="002776" w:themeColor="text2"/>
          <w:sz w:val="24"/>
        </w:rPr>
      </w:lvl>
    </w:lvlOverride>
    <w:lvlOverride w:ilvl="2">
      <w:lvl w:ilvl="2">
        <w:start w:val="1"/>
        <w:numFmt w:val="decimal"/>
        <w:pStyle w:val="BnumberedSubheadingL3-DeloitteBlue"/>
        <w:lvlText w:val="%1.%2.%3."/>
        <w:lvlJc w:val="left"/>
        <w:pPr>
          <w:ind w:left="851" w:hanging="851"/>
        </w:pPr>
        <w:rPr>
          <w:rFonts w:ascii="Arial" w:hAnsi="Arial" w:hint="default"/>
          <w:b/>
          <w:i w:val="0"/>
          <w:color w:val="002776" w:themeColor="text2"/>
          <w:sz w:val="24"/>
        </w:rPr>
      </w:lvl>
    </w:lvlOverride>
    <w:lvlOverride w:ilvl="3">
      <w:lvl w:ilvl="3">
        <w:start w:val="1"/>
        <w:numFmt w:val="decimal"/>
        <w:pStyle w:val="BnumberedSubheadingL4-DeloitteBlue"/>
        <w:lvlText w:val="%1.%2.%3.%4."/>
        <w:lvlJc w:val="left"/>
        <w:pPr>
          <w:ind w:left="851" w:hanging="851"/>
        </w:pPr>
        <w:rPr>
          <w:rFonts w:ascii="Arial" w:hAnsi="Arial" w:hint="default"/>
          <w:b/>
          <w:color w:val="002776" w:themeColor="text2"/>
          <w:sz w:val="24"/>
        </w:rPr>
      </w:lvl>
    </w:lvlOverride>
    <w:lvlOverride w:ilvl="4">
      <w:lvl w:ilvl="4">
        <w:start w:val="1"/>
        <w:numFmt w:val="none"/>
        <w:lvlText w:val=""/>
        <w:lvlJc w:val="left"/>
        <w:pPr>
          <w:ind w:left="357" w:hanging="357"/>
        </w:pPr>
        <w:rPr>
          <w:rFonts w:hint="default"/>
        </w:rPr>
      </w:lvl>
    </w:lvlOverride>
    <w:lvlOverride w:ilvl="5">
      <w:lvl w:ilvl="5">
        <w:start w:val="1"/>
        <w:numFmt w:val="none"/>
        <w:lvlText w:val=""/>
        <w:lvlJc w:val="right"/>
        <w:pPr>
          <w:ind w:left="357" w:hanging="357"/>
        </w:pPr>
        <w:rPr>
          <w:rFonts w:hint="default"/>
        </w:rPr>
      </w:lvl>
    </w:lvlOverride>
    <w:lvlOverride w:ilvl="6">
      <w:lvl w:ilvl="6">
        <w:start w:val="1"/>
        <w:numFmt w:val="none"/>
        <w:lvlText w:val=""/>
        <w:lvlJc w:val="left"/>
        <w:pPr>
          <w:ind w:left="357" w:hanging="357"/>
        </w:pPr>
        <w:rPr>
          <w:rFonts w:hint="default"/>
        </w:rPr>
      </w:lvl>
    </w:lvlOverride>
    <w:lvlOverride w:ilvl="7">
      <w:lvl w:ilvl="7">
        <w:start w:val="1"/>
        <w:numFmt w:val="none"/>
        <w:lvlText w:val=""/>
        <w:lvlJc w:val="left"/>
        <w:pPr>
          <w:ind w:left="357" w:hanging="357"/>
        </w:pPr>
        <w:rPr>
          <w:rFonts w:hint="default"/>
        </w:rPr>
      </w:lvl>
    </w:lvlOverride>
    <w:lvlOverride w:ilvl="8">
      <w:lvl w:ilvl="8">
        <w:start w:val="1"/>
        <w:numFmt w:val="none"/>
        <w:lvlText w:val=""/>
        <w:lvlJc w:val="right"/>
        <w:pPr>
          <w:ind w:left="357" w:hanging="357"/>
        </w:pPr>
        <w:rPr>
          <w:rFonts w:hint="default"/>
        </w:rPr>
      </w:lvl>
    </w:lvlOverride>
  </w:num>
  <w:num w:numId="10">
    <w:abstractNumId w:val="20"/>
  </w:num>
  <w:num w:numId="11">
    <w:abstractNumId w:val="7"/>
  </w:num>
  <w:num w:numId="12">
    <w:abstractNumId w:val="3"/>
  </w:num>
  <w:num w:numId="13">
    <w:abstractNumId w:val="8"/>
  </w:num>
  <w:num w:numId="14">
    <w:abstractNumId w:val="2"/>
  </w:num>
  <w:num w:numId="15">
    <w:abstractNumId w:val="22"/>
  </w:num>
  <w:num w:numId="16">
    <w:abstractNumId w:val="27"/>
  </w:num>
  <w:num w:numId="17">
    <w:abstractNumId w:val="12"/>
  </w:num>
  <w:num w:numId="18">
    <w:abstractNumId w:val="30"/>
  </w:num>
  <w:num w:numId="19">
    <w:abstractNumId w:val="11"/>
  </w:num>
  <w:num w:numId="20">
    <w:abstractNumId w:val="14"/>
  </w:num>
  <w:num w:numId="21">
    <w:abstractNumId w:val="19"/>
  </w:num>
  <w:num w:numId="22">
    <w:abstractNumId w:val="4"/>
  </w:num>
  <w:num w:numId="23">
    <w:abstractNumId w:val="10"/>
  </w:num>
  <w:num w:numId="24">
    <w:abstractNumId w:val="24"/>
  </w:num>
  <w:num w:numId="25">
    <w:abstractNumId w:val="32"/>
  </w:num>
  <w:num w:numId="26">
    <w:abstractNumId w:val="16"/>
  </w:num>
  <w:num w:numId="27">
    <w:abstractNumId w:val="0"/>
  </w:num>
  <w:num w:numId="28">
    <w:abstractNumId w:val="25"/>
  </w:num>
  <w:num w:numId="29">
    <w:abstractNumId w:val="26"/>
  </w:num>
  <w:num w:numId="30">
    <w:abstractNumId w:val="23"/>
  </w:num>
  <w:num w:numId="31">
    <w:abstractNumId w:val="28"/>
  </w:num>
  <w:num w:numId="32">
    <w:abstractNumId w:val="31"/>
  </w:num>
  <w:num w:numId="33">
    <w:abstractNumId w:val="6"/>
  </w:num>
  <w:num w:numId="34">
    <w:abstractNumId w:val="29"/>
  </w:num>
  <w:num w:numId="35">
    <w:abstractNumId w:val="5"/>
  </w:num>
  <w:num w:numId="36">
    <w:abstractNumId w:val="1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Doug (NZ - Hamilton)">
    <w15:presenceInfo w15:providerId="AD" w15:userId="S-1-5-21-776561741-1482476501-682003330-2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 w:dllVersion="2" w:checkStyle="1"/>
  <w:activeWritingStyle w:appName="MSWord" w:lang="en-GB" w:vendorID="6" w:dllVersion="2" w:checkStyle="1"/>
  <w:activeWritingStyle w:appName="MSWord" w:lang="fr-FR" w:vendorID="65" w:dllVersion="514" w:checkStyle="1"/>
  <w:proofState w:spelling="clean" w:grammar="clean"/>
  <w:attachedTemplate r:id="rId1"/>
  <w:stylePaneFormatFilter w:val="1C21" w:allStyles="1" w:customStyles="0" w:latentStyles="0" w:stylesInUse="0" w:headingStyles="1" w:numberingStyles="0" w:tableStyles="0" w:directFormattingOnRuns="0" w:directFormattingOnParagraphs="0" w:directFormattingOnNumbering="1" w:directFormattingOnTables="1" w:clearFormatting="1" w:top3HeadingStyles="0" w:visibleStyles="0" w:alternateStyleNames="0"/>
  <w:trackRevisions/>
  <w:defaultTabStop w:val="0"/>
  <w:drawingGridHorizontalSpacing w:val="100"/>
  <w:displayHorizontalDrawingGridEvery w:val="0"/>
  <w:displayVerticalDrawingGridEvery w:val="0"/>
  <w:noPunctuationKerning/>
  <w:characterSpacingControl w:val="doNotCompress"/>
  <w:hdrShapeDefaults>
    <o:shapedefaults v:ext="edit" spidmax="6145">
      <o:colormru v:ext="edit" colors="#80d0ee,#b8e3f3,#9dc496,#e4ee81,#76ad6d,#d9e74f,#8093ba,#c8e98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FA"/>
    <w:rsid w:val="00002C8C"/>
    <w:rsid w:val="0000390F"/>
    <w:rsid w:val="00003A4D"/>
    <w:rsid w:val="00004292"/>
    <w:rsid w:val="00007A93"/>
    <w:rsid w:val="00007B7D"/>
    <w:rsid w:val="00010896"/>
    <w:rsid w:val="00014774"/>
    <w:rsid w:val="00026314"/>
    <w:rsid w:val="00027A17"/>
    <w:rsid w:val="00030CCC"/>
    <w:rsid w:val="000339C7"/>
    <w:rsid w:val="00037ABC"/>
    <w:rsid w:val="00046795"/>
    <w:rsid w:val="00054F65"/>
    <w:rsid w:val="00055E0E"/>
    <w:rsid w:val="00060821"/>
    <w:rsid w:val="00060861"/>
    <w:rsid w:val="00062B26"/>
    <w:rsid w:val="00064B00"/>
    <w:rsid w:val="00064B39"/>
    <w:rsid w:val="00066DF8"/>
    <w:rsid w:val="0007331E"/>
    <w:rsid w:val="000745D3"/>
    <w:rsid w:val="000769D2"/>
    <w:rsid w:val="000806A6"/>
    <w:rsid w:val="00081C15"/>
    <w:rsid w:val="000949EC"/>
    <w:rsid w:val="00097535"/>
    <w:rsid w:val="000A2A8B"/>
    <w:rsid w:val="000A4667"/>
    <w:rsid w:val="000A5C75"/>
    <w:rsid w:val="000B1D42"/>
    <w:rsid w:val="000B2716"/>
    <w:rsid w:val="000B39AE"/>
    <w:rsid w:val="000B4516"/>
    <w:rsid w:val="000C1125"/>
    <w:rsid w:val="000C1C88"/>
    <w:rsid w:val="000C4656"/>
    <w:rsid w:val="000C4C0F"/>
    <w:rsid w:val="000C6A46"/>
    <w:rsid w:val="000D01A2"/>
    <w:rsid w:val="000D2DC8"/>
    <w:rsid w:val="000D3D4C"/>
    <w:rsid w:val="000F2410"/>
    <w:rsid w:val="000F3444"/>
    <w:rsid w:val="000F55DD"/>
    <w:rsid w:val="000F5ADF"/>
    <w:rsid w:val="000F72CB"/>
    <w:rsid w:val="00101743"/>
    <w:rsid w:val="001030F5"/>
    <w:rsid w:val="00104F69"/>
    <w:rsid w:val="001055B0"/>
    <w:rsid w:val="00111060"/>
    <w:rsid w:val="001126F6"/>
    <w:rsid w:val="00113EBA"/>
    <w:rsid w:val="0011478D"/>
    <w:rsid w:val="00115C2D"/>
    <w:rsid w:val="00124161"/>
    <w:rsid w:val="0012730A"/>
    <w:rsid w:val="001335F5"/>
    <w:rsid w:val="00135E9A"/>
    <w:rsid w:val="001419E7"/>
    <w:rsid w:val="00156D2C"/>
    <w:rsid w:val="001626A8"/>
    <w:rsid w:val="001648F8"/>
    <w:rsid w:val="00167CB5"/>
    <w:rsid w:val="001707E0"/>
    <w:rsid w:val="00170968"/>
    <w:rsid w:val="001729C4"/>
    <w:rsid w:val="0017328A"/>
    <w:rsid w:val="00175CF8"/>
    <w:rsid w:val="00175D28"/>
    <w:rsid w:val="0017601E"/>
    <w:rsid w:val="00182541"/>
    <w:rsid w:val="0018406C"/>
    <w:rsid w:val="0018452C"/>
    <w:rsid w:val="001866A5"/>
    <w:rsid w:val="001A272B"/>
    <w:rsid w:val="001A3E03"/>
    <w:rsid w:val="001B038A"/>
    <w:rsid w:val="001B378F"/>
    <w:rsid w:val="001B4615"/>
    <w:rsid w:val="001B5EA6"/>
    <w:rsid w:val="001B7A65"/>
    <w:rsid w:val="001C1049"/>
    <w:rsid w:val="001C1490"/>
    <w:rsid w:val="001C611E"/>
    <w:rsid w:val="001D0A13"/>
    <w:rsid w:val="001D128A"/>
    <w:rsid w:val="001D208B"/>
    <w:rsid w:val="001D25E2"/>
    <w:rsid w:val="001D2BC9"/>
    <w:rsid w:val="001D3F93"/>
    <w:rsid w:val="001D4DD9"/>
    <w:rsid w:val="001E0B85"/>
    <w:rsid w:val="001E20F6"/>
    <w:rsid w:val="001E4D57"/>
    <w:rsid w:val="001E784A"/>
    <w:rsid w:val="001F031D"/>
    <w:rsid w:val="001F49A0"/>
    <w:rsid w:val="001F557E"/>
    <w:rsid w:val="001F6E0C"/>
    <w:rsid w:val="001F6EEB"/>
    <w:rsid w:val="00200E61"/>
    <w:rsid w:val="00201396"/>
    <w:rsid w:val="0020473E"/>
    <w:rsid w:val="002047FE"/>
    <w:rsid w:val="0020789D"/>
    <w:rsid w:val="002108A6"/>
    <w:rsid w:val="00210B5D"/>
    <w:rsid w:val="002115A3"/>
    <w:rsid w:val="002118DC"/>
    <w:rsid w:val="00221BC0"/>
    <w:rsid w:val="002224F9"/>
    <w:rsid w:val="00222E04"/>
    <w:rsid w:val="002271EF"/>
    <w:rsid w:val="002316A5"/>
    <w:rsid w:val="002335C0"/>
    <w:rsid w:val="00236279"/>
    <w:rsid w:val="0023674D"/>
    <w:rsid w:val="00236B2A"/>
    <w:rsid w:val="00236D4F"/>
    <w:rsid w:val="00240CA4"/>
    <w:rsid w:val="0024400E"/>
    <w:rsid w:val="00247496"/>
    <w:rsid w:val="00251404"/>
    <w:rsid w:val="002529F8"/>
    <w:rsid w:val="00252FAE"/>
    <w:rsid w:val="00254E5B"/>
    <w:rsid w:val="0025520E"/>
    <w:rsid w:val="00260030"/>
    <w:rsid w:val="00260D02"/>
    <w:rsid w:val="00261945"/>
    <w:rsid w:val="00262504"/>
    <w:rsid w:val="002645FA"/>
    <w:rsid w:val="00266B97"/>
    <w:rsid w:val="002709EA"/>
    <w:rsid w:val="002729CF"/>
    <w:rsid w:val="002738F8"/>
    <w:rsid w:val="00276D6D"/>
    <w:rsid w:val="00276FCB"/>
    <w:rsid w:val="00277243"/>
    <w:rsid w:val="002815FC"/>
    <w:rsid w:val="002855F0"/>
    <w:rsid w:val="00286854"/>
    <w:rsid w:val="002878E0"/>
    <w:rsid w:val="00293B18"/>
    <w:rsid w:val="002A12C2"/>
    <w:rsid w:val="002A1B71"/>
    <w:rsid w:val="002A3831"/>
    <w:rsid w:val="002A413A"/>
    <w:rsid w:val="002A6794"/>
    <w:rsid w:val="002B0F8F"/>
    <w:rsid w:val="002B7F60"/>
    <w:rsid w:val="002C3882"/>
    <w:rsid w:val="002C4E84"/>
    <w:rsid w:val="002C5439"/>
    <w:rsid w:val="002C659A"/>
    <w:rsid w:val="002C67F4"/>
    <w:rsid w:val="002C6811"/>
    <w:rsid w:val="002C7A52"/>
    <w:rsid w:val="002D2F6C"/>
    <w:rsid w:val="002D563C"/>
    <w:rsid w:val="002D7260"/>
    <w:rsid w:val="002E0FDC"/>
    <w:rsid w:val="002E1019"/>
    <w:rsid w:val="002E1889"/>
    <w:rsid w:val="002E1AC8"/>
    <w:rsid w:val="002E1BDF"/>
    <w:rsid w:val="002E4CB5"/>
    <w:rsid w:val="002F3562"/>
    <w:rsid w:val="0031083F"/>
    <w:rsid w:val="00313146"/>
    <w:rsid w:val="00314813"/>
    <w:rsid w:val="003149F7"/>
    <w:rsid w:val="00317961"/>
    <w:rsid w:val="00320DE8"/>
    <w:rsid w:val="00322065"/>
    <w:rsid w:val="003223AA"/>
    <w:rsid w:val="00323381"/>
    <w:rsid w:val="00324150"/>
    <w:rsid w:val="00326369"/>
    <w:rsid w:val="003308ED"/>
    <w:rsid w:val="00330E0C"/>
    <w:rsid w:val="003353EB"/>
    <w:rsid w:val="00336AF1"/>
    <w:rsid w:val="00337E2D"/>
    <w:rsid w:val="00341F05"/>
    <w:rsid w:val="00344166"/>
    <w:rsid w:val="00344310"/>
    <w:rsid w:val="003460FD"/>
    <w:rsid w:val="00352E50"/>
    <w:rsid w:val="00356D24"/>
    <w:rsid w:val="003600EE"/>
    <w:rsid w:val="003626D1"/>
    <w:rsid w:val="00362E99"/>
    <w:rsid w:val="0036405F"/>
    <w:rsid w:val="003649D6"/>
    <w:rsid w:val="0036629B"/>
    <w:rsid w:val="00367270"/>
    <w:rsid w:val="003706E9"/>
    <w:rsid w:val="003824CA"/>
    <w:rsid w:val="00383ACC"/>
    <w:rsid w:val="00384605"/>
    <w:rsid w:val="003879E5"/>
    <w:rsid w:val="00396777"/>
    <w:rsid w:val="003A106A"/>
    <w:rsid w:val="003A6D21"/>
    <w:rsid w:val="003B2F80"/>
    <w:rsid w:val="003B3F8A"/>
    <w:rsid w:val="003C3C08"/>
    <w:rsid w:val="003C4F2B"/>
    <w:rsid w:val="003C61EF"/>
    <w:rsid w:val="003C7376"/>
    <w:rsid w:val="003D0B7F"/>
    <w:rsid w:val="003D533A"/>
    <w:rsid w:val="003E06BD"/>
    <w:rsid w:val="003E09FF"/>
    <w:rsid w:val="003E1054"/>
    <w:rsid w:val="003F2550"/>
    <w:rsid w:val="003F4D05"/>
    <w:rsid w:val="00405FA0"/>
    <w:rsid w:val="00406ABF"/>
    <w:rsid w:val="00410B09"/>
    <w:rsid w:val="004112B6"/>
    <w:rsid w:val="00412357"/>
    <w:rsid w:val="00412D2E"/>
    <w:rsid w:val="00412DC5"/>
    <w:rsid w:val="00414D69"/>
    <w:rsid w:val="004254E0"/>
    <w:rsid w:val="00425D2B"/>
    <w:rsid w:val="00426E69"/>
    <w:rsid w:val="00426FA7"/>
    <w:rsid w:val="00427CC3"/>
    <w:rsid w:val="00430FFB"/>
    <w:rsid w:val="0043178E"/>
    <w:rsid w:val="0043455F"/>
    <w:rsid w:val="0043565A"/>
    <w:rsid w:val="00440829"/>
    <w:rsid w:val="00442EDF"/>
    <w:rsid w:val="00443306"/>
    <w:rsid w:val="00445ACD"/>
    <w:rsid w:val="00451544"/>
    <w:rsid w:val="0045274B"/>
    <w:rsid w:val="00452FC3"/>
    <w:rsid w:val="00453760"/>
    <w:rsid w:val="00454A11"/>
    <w:rsid w:val="004625C5"/>
    <w:rsid w:val="00464EB0"/>
    <w:rsid w:val="004651AC"/>
    <w:rsid w:val="0046598C"/>
    <w:rsid w:val="00467BFD"/>
    <w:rsid w:val="00472B82"/>
    <w:rsid w:val="004748A9"/>
    <w:rsid w:val="00481847"/>
    <w:rsid w:val="0048396D"/>
    <w:rsid w:val="00484D2C"/>
    <w:rsid w:val="0048620C"/>
    <w:rsid w:val="00486570"/>
    <w:rsid w:val="00492AD4"/>
    <w:rsid w:val="00494AB9"/>
    <w:rsid w:val="004A0C3C"/>
    <w:rsid w:val="004A470C"/>
    <w:rsid w:val="004A674B"/>
    <w:rsid w:val="004B02FA"/>
    <w:rsid w:val="004B2CDC"/>
    <w:rsid w:val="004B5D2A"/>
    <w:rsid w:val="004C0929"/>
    <w:rsid w:val="004C2CD2"/>
    <w:rsid w:val="004C416D"/>
    <w:rsid w:val="004C69C8"/>
    <w:rsid w:val="004C6F84"/>
    <w:rsid w:val="004C7FCC"/>
    <w:rsid w:val="004D0C68"/>
    <w:rsid w:val="004D1767"/>
    <w:rsid w:val="004D2616"/>
    <w:rsid w:val="004E2A97"/>
    <w:rsid w:val="004E2B6D"/>
    <w:rsid w:val="004E354A"/>
    <w:rsid w:val="004E3957"/>
    <w:rsid w:val="004E5D70"/>
    <w:rsid w:val="004E6FD9"/>
    <w:rsid w:val="004F0A25"/>
    <w:rsid w:val="004F545E"/>
    <w:rsid w:val="004F5E40"/>
    <w:rsid w:val="0050048E"/>
    <w:rsid w:val="005014D5"/>
    <w:rsid w:val="00503682"/>
    <w:rsid w:val="00505C34"/>
    <w:rsid w:val="00511406"/>
    <w:rsid w:val="00511CF9"/>
    <w:rsid w:val="00512F8E"/>
    <w:rsid w:val="00513B7C"/>
    <w:rsid w:val="00515F01"/>
    <w:rsid w:val="00516DBE"/>
    <w:rsid w:val="00516F67"/>
    <w:rsid w:val="00517A39"/>
    <w:rsid w:val="00521338"/>
    <w:rsid w:val="005229A0"/>
    <w:rsid w:val="005240FD"/>
    <w:rsid w:val="00526FAD"/>
    <w:rsid w:val="00532370"/>
    <w:rsid w:val="00532619"/>
    <w:rsid w:val="00532F70"/>
    <w:rsid w:val="0054171D"/>
    <w:rsid w:val="00544D1B"/>
    <w:rsid w:val="00545421"/>
    <w:rsid w:val="005506AF"/>
    <w:rsid w:val="00553365"/>
    <w:rsid w:val="00554C1F"/>
    <w:rsid w:val="005551B5"/>
    <w:rsid w:val="00555288"/>
    <w:rsid w:val="0056196B"/>
    <w:rsid w:val="005636F2"/>
    <w:rsid w:val="00563C61"/>
    <w:rsid w:val="005647A9"/>
    <w:rsid w:val="00565779"/>
    <w:rsid w:val="0056618E"/>
    <w:rsid w:val="00573D60"/>
    <w:rsid w:val="005752D3"/>
    <w:rsid w:val="00581A9B"/>
    <w:rsid w:val="00581FF7"/>
    <w:rsid w:val="00583904"/>
    <w:rsid w:val="0058590C"/>
    <w:rsid w:val="005A2172"/>
    <w:rsid w:val="005A553A"/>
    <w:rsid w:val="005A5936"/>
    <w:rsid w:val="005A5CCB"/>
    <w:rsid w:val="005A6872"/>
    <w:rsid w:val="005B061D"/>
    <w:rsid w:val="005B476C"/>
    <w:rsid w:val="005C39ED"/>
    <w:rsid w:val="005C7E65"/>
    <w:rsid w:val="005D109F"/>
    <w:rsid w:val="005D436A"/>
    <w:rsid w:val="005D54DF"/>
    <w:rsid w:val="005D5FD2"/>
    <w:rsid w:val="005D6206"/>
    <w:rsid w:val="005E0703"/>
    <w:rsid w:val="005E4149"/>
    <w:rsid w:val="005F3829"/>
    <w:rsid w:val="00600BEB"/>
    <w:rsid w:val="00604090"/>
    <w:rsid w:val="00606E55"/>
    <w:rsid w:val="00612693"/>
    <w:rsid w:val="006152B5"/>
    <w:rsid w:val="0061599F"/>
    <w:rsid w:val="00621C95"/>
    <w:rsid w:val="00626619"/>
    <w:rsid w:val="00633B4A"/>
    <w:rsid w:val="00634D49"/>
    <w:rsid w:val="00642A74"/>
    <w:rsid w:val="006434F0"/>
    <w:rsid w:val="00644DDE"/>
    <w:rsid w:val="006523C5"/>
    <w:rsid w:val="00653C7E"/>
    <w:rsid w:val="00655126"/>
    <w:rsid w:val="006571BC"/>
    <w:rsid w:val="00662410"/>
    <w:rsid w:val="00662F03"/>
    <w:rsid w:val="00664B9F"/>
    <w:rsid w:val="006741DE"/>
    <w:rsid w:val="00674505"/>
    <w:rsid w:val="006749D0"/>
    <w:rsid w:val="00680751"/>
    <w:rsid w:val="00681961"/>
    <w:rsid w:val="006827CF"/>
    <w:rsid w:val="00682ECF"/>
    <w:rsid w:val="006844B8"/>
    <w:rsid w:val="00685337"/>
    <w:rsid w:val="00687B0F"/>
    <w:rsid w:val="006919CB"/>
    <w:rsid w:val="00693FC2"/>
    <w:rsid w:val="0069745B"/>
    <w:rsid w:val="006A004B"/>
    <w:rsid w:val="006A23E0"/>
    <w:rsid w:val="006A6BF8"/>
    <w:rsid w:val="006B0CF9"/>
    <w:rsid w:val="006B786A"/>
    <w:rsid w:val="006C1F4C"/>
    <w:rsid w:val="006C2874"/>
    <w:rsid w:val="006C46E9"/>
    <w:rsid w:val="006C50B5"/>
    <w:rsid w:val="006D16AC"/>
    <w:rsid w:val="006D299C"/>
    <w:rsid w:val="006D6F62"/>
    <w:rsid w:val="006E18EA"/>
    <w:rsid w:val="006E337B"/>
    <w:rsid w:val="006E68DC"/>
    <w:rsid w:val="006F5084"/>
    <w:rsid w:val="006F5E02"/>
    <w:rsid w:val="00701FE1"/>
    <w:rsid w:val="00703E78"/>
    <w:rsid w:val="00706EB8"/>
    <w:rsid w:val="0072153F"/>
    <w:rsid w:val="007234DB"/>
    <w:rsid w:val="007246A8"/>
    <w:rsid w:val="00733EC7"/>
    <w:rsid w:val="0073546E"/>
    <w:rsid w:val="007435A7"/>
    <w:rsid w:val="007453F2"/>
    <w:rsid w:val="007471BB"/>
    <w:rsid w:val="00747BE5"/>
    <w:rsid w:val="00751609"/>
    <w:rsid w:val="00751E1C"/>
    <w:rsid w:val="00754957"/>
    <w:rsid w:val="00755CE1"/>
    <w:rsid w:val="0076495B"/>
    <w:rsid w:val="00773225"/>
    <w:rsid w:val="007748B4"/>
    <w:rsid w:val="00774EFD"/>
    <w:rsid w:val="007766E4"/>
    <w:rsid w:val="007800BF"/>
    <w:rsid w:val="00780741"/>
    <w:rsid w:val="007810F2"/>
    <w:rsid w:val="007860D0"/>
    <w:rsid w:val="00787FA2"/>
    <w:rsid w:val="007944D1"/>
    <w:rsid w:val="00797145"/>
    <w:rsid w:val="007A114F"/>
    <w:rsid w:val="007A18C8"/>
    <w:rsid w:val="007A68DD"/>
    <w:rsid w:val="007A79A6"/>
    <w:rsid w:val="007A7BCF"/>
    <w:rsid w:val="007B0F0F"/>
    <w:rsid w:val="007B2806"/>
    <w:rsid w:val="007B2900"/>
    <w:rsid w:val="007B7C50"/>
    <w:rsid w:val="007C10C2"/>
    <w:rsid w:val="007C4FAA"/>
    <w:rsid w:val="007C70D5"/>
    <w:rsid w:val="007C74A7"/>
    <w:rsid w:val="007D0F23"/>
    <w:rsid w:val="007D10C5"/>
    <w:rsid w:val="007D31A8"/>
    <w:rsid w:val="007D3B99"/>
    <w:rsid w:val="007D3CDA"/>
    <w:rsid w:val="007D3E94"/>
    <w:rsid w:val="007D631D"/>
    <w:rsid w:val="007D75C1"/>
    <w:rsid w:val="007D7A96"/>
    <w:rsid w:val="007F4C38"/>
    <w:rsid w:val="007F5C50"/>
    <w:rsid w:val="00803F30"/>
    <w:rsid w:val="00806463"/>
    <w:rsid w:val="00810885"/>
    <w:rsid w:val="00812834"/>
    <w:rsid w:val="00812D1D"/>
    <w:rsid w:val="0081379E"/>
    <w:rsid w:val="008156E6"/>
    <w:rsid w:val="00817353"/>
    <w:rsid w:val="008320B1"/>
    <w:rsid w:val="0083644E"/>
    <w:rsid w:val="00837B97"/>
    <w:rsid w:val="008435E0"/>
    <w:rsid w:val="008469B1"/>
    <w:rsid w:val="00846E93"/>
    <w:rsid w:val="00850809"/>
    <w:rsid w:val="00852DAC"/>
    <w:rsid w:val="00853A85"/>
    <w:rsid w:val="00853B6E"/>
    <w:rsid w:val="008556AE"/>
    <w:rsid w:val="00861D18"/>
    <w:rsid w:val="00864DAC"/>
    <w:rsid w:val="00866C76"/>
    <w:rsid w:val="008701C4"/>
    <w:rsid w:val="00872964"/>
    <w:rsid w:val="00874653"/>
    <w:rsid w:val="00876168"/>
    <w:rsid w:val="00881B49"/>
    <w:rsid w:val="00881F46"/>
    <w:rsid w:val="00883BF1"/>
    <w:rsid w:val="00883D77"/>
    <w:rsid w:val="0088400E"/>
    <w:rsid w:val="00886F01"/>
    <w:rsid w:val="00890256"/>
    <w:rsid w:val="00891359"/>
    <w:rsid w:val="00893F61"/>
    <w:rsid w:val="00895106"/>
    <w:rsid w:val="008965C5"/>
    <w:rsid w:val="00897A85"/>
    <w:rsid w:val="00897C5F"/>
    <w:rsid w:val="008A49C8"/>
    <w:rsid w:val="008A6153"/>
    <w:rsid w:val="008B1D0E"/>
    <w:rsid w:val="008C348E"/>
    <w:rsid w:val="008C776C"/>
    <w:rsid w:val="008D0C90"/>
    <w:rsid w:val="008D17C2"/>
    <w:rsid w:val="008D374E"/>
    <w:rsid w:val="008D48AC"/>
    <w:rsid w:val="008D4E96"/>
    <w:rsid w:val="008E4038"/>
    <w:rsid w:val="008E4246"/>
    <w:rsid w:val="008E74EF"/>
    <w:rsid w:val="008F1628"/>
    <w:rsid w:val="008F5145"/>
    <w:rsid w:val="008F73FF"/>
    <w:rsid w:val="008F7A28"/>
    <w:rsid w:val="00901ABC"/>
    <w:rsid w:val="00901ADF"/>
    <w:rsid w:val="00906421"/>
    <w:rsid w:val="009069FD"/>
    <w:rsid w:val="00907DB5"/>
    <w:rsid w:val="00911BC8"/>
    <w:rsid w:val="00912569"/>
    <w:rsid w:val="00912D5D"/>
    <w:rsid w:val="00914210"/>
    <w:rsid w:val="00922592"/>
    <w:rsid w:val="00925739"/>
    <w:rsid w:val="00932143"/>
    <w:rsid w:val="009373A9"/>
    <w:rsid w:val="00942885"/>
    <w:rsid w:val="009457F0"/>
    <w:rsid w:val="00947AD0"/>
    <w:rsid w:val="00951993"/>
    <w:rsid w:val="00956BD8"/>
    <w:rsid w:val="00956C06"/>
    <w:rsid w:val="009626F3"/>
    <w:rsid w:val="009633CE"/>
    <w:rsid w:val="00964058"/>
    <w:rsid w:val="00965CFC"/>
    <w:rsid w:val="0096624B"/>
    <w:rsid w:val="009670D7"/>
    <w:rsid w:val="00973343"/>
    <w:rsid w:val="00973580"/>
    <w:rsid w:val="00975103"/>
    <w:rsid w:val="00975A18"/>
    <w:rsid w:val="0097754F"/>
    <w:rsid w:val="00980B58"/>
    <w:rsid w:val="00980CDE"/>
    <w:rsid w:val="00982FD4"/>
    <w:rsid w:val="00995584"/>
    <w:rsid w:val="009A2D8D"/>
    <w:rsid w:val="009A3A54"/>
    <w:rsid w:val="009A5637"/>
    <w:rsid w:val="009A5C7A"/>
    <w:rsid w:val="009A7B64"/>
    <w:rsid w:val="009B26CD"/>
    <w:rsid w:val="009B595C"/>
    <w:rsid w:val="009B61FF"/>
    <w:rsid w:val="009B7049"/>
    <w:rsid w:val="009C0947"/>
    <w:rsid w:val="009C17F9"/>
    <w:rsid w:val="009C1DE1"/>
    <w:rsid w:val="009D0839"/>
    <w:rsid w:val="009D43BD"/>
    <w:rsid w:val="009D5FC5"/>
    <w:rsid w:val="009E2324"/>
    <w:rsid w:val="009E542B"/>
    <w:rsid w:val="009F1188"/>
    <w:rsid w:val="009F5534"/>
    <w:rsid w:val="009F5708"/>
    <w:rsid w:val="00A000CD"/>
    <w:rsid w:val="00A01006"/>
    <w:rsid w:val="00A01BA1"/>
    <w:rsid w:val="00A066E5"/>
    <w:rsid w:val="00A06774"/>
    <w:rsid w:val="00A108FE"/>
    <w:rsid w:val="00A12DD4"/>
    <w:rsid w:val="00A15346"/>
    <w:rsid w:val="00A15A61"/>
    <w:rsid w:val="00A178BB"/>
    <w:rsid w:val="00A23209"/>
    <w:rsid w:val="00A23D48"/>
    <w:rsid w:val="00A324DC"/>
    <w:rsid w:val="00A32A2C"/>
    <w:rsid w:val="00A32EC2"/>
    <w:rsid w:val="00A373DF"/>
    <w:rsid w:val="00A430F2"/>
    <w:rsid w:val="00A4384D"/>
    <w:rsid w:val="00A44141"/>
    <w:rsid w:val="00A4659E"/>
    <w:rsid w:val="00A46E39"/>
    <w:rsid w:val="00A52ECF"/>
    <w:rsid w:val="00A537E0"/>
    <w:rsid w:val="00A546A2"/>
    <w:rsid w:val="00A633DB"/>
    <w:rsid w:val="00A63755"/>
    <w:rsid w:val="00A70E9F"/>
    <w:rsid w:val="00A7469B"/>
    <w:rsid w:val="00A75CCC"/>
    <w:rsid w:val="00A77C6E"/>
    <w:rsid w:val="00A80943"/>
    <w:rsid w:val="00A8133E"/>
    <w:rsid w:val="00A81874"/>
    <w:rsid w:val="00A838FF"/>
    <w:rsid w:val="00A84246"/>
    <w:rsid w:val="00A90E57"/>
    <w:rsid w:val="00A92574"/>
    <w:rsid w:val="00A934C7"/>
    <w:rsid w:val="00A93B96"/>
    <w:rsid w:val="00A968E3"/>
    <w:rsid w:val="00A9786F"/>
    <w:rsid w:val="00AA0A4A"/>
    <w:rsid w:val="00AA189A"/>
    <w:rsid w:val="00AA1D5D"/>
    <w:rsid w:val="00AA226F"/>
    <w:rsid w:val="00AA3441"/>
    <w:rsid w:val="00AA42A4"/>
    <w:rsid w:val="00AA5262"/>
    <w:rsid w:val="00AA6C38"/>
    <w:rsid w:val="00AB2AF3"/>
    <w:rsid w:val="00AB44C5"/>
    <w:rsid w:val="00AB6900"/>
    <w:rsid w:val="00AC081C"/>
    <w:rsid w:val="00AC1A65"/>
    <w:rsid w:val="00AD2814"/>
    <w:rsid w:val="00AD2DEE"/>
    <w:rsid w:val="00AD4904"/>
    <w:rsid w:val="00AD49CC"/>
    <w:rsid w:val="00AD67FD"/>
    <w:rsid w:val="00AD6DFB"/>
    <w:rsid w:val="00AE0883"/>
    <w:rsid w:val="00AE4690"/>
    <w:rsid w:val="00AE56B8"/>
    <w:rsid w:val="00AE5CFC"/>
    <w:rsid w:val="00AE7F41"/>
    <w:rsid w:val="00AF1C9C"/>
    <w:rsid w:val="00AF1D3B"/>
    <w:rsid w:val="00AF454D"/>
    <w:rsid w:val="00B05C4E"/>
    <w:rsid w:val="00B0737F"/>
    <w:rsid w:val="00B1180E"/>
    <w:rsid w:val="00B20B8A"/>
    <w:rsid w:val="00B24718"/>
    <w:rsid w:val="00B249CC"/>
    <w:rsid w:val="00B25E89"/>
    <w:rsid w:val="00B26EC2"/>
    <w:rsid w:val="00B40197"/>
    <w:rsid w:val="00B41BCC"/>
    <w:rsid w:val="00B444D3"/>
    <w:rsid w:val="00B47B8D"/>
    <w:rsid w:val="00B47E7D"/>
    <w:rsid w:val="00B505CD"/>
    <w:rsid w:val="00B50FE6"/>
    <w:rsid w:val="00B574B4"/>
    <w:rsid w:val="00B601B2"/>
    <w:rsid w:val="00B60C74"/>
    <w:rsid w:val="00B65901"/>
    <w:rsid w:val="00B71921"/>
    <w:rsid w:val="00B71C0B"/>
    <w:rsid w:val="00B72D84"/>
    <w:rsid w:val="00B72E85"/>
    <w:rsid w:val="00B74794"/>
    <w:rsid w:val="00B74C6C"/>
    <w:rsid w:val="00B74EF2"/>
    <w:rsid w:val="00B80116"/>
    <w:rsid w:val="00B80C4F"/>
    <w:rsid w:val="00B82047"/>
    <w:rsid w:val="00B85A54"/>
    <w:rsid w:val="00B87829"/>
    <w:rsid w:val="00B93E30"/>
    <w:rsid w:val="00B941A8"/>
    <w:rsid w:val="00B96609"/>
    <w:rsid w:val="00B966F2"/>
    <w:rsid w:val="00B97CBD"/>
    <w:rsid w:val="00BA2DD7"/>
    <w:rsid w:val="00BA365F"/>
    <w:rsid w:val="00BA46D9"/>
    <w:rsid w:val="00BB1253"/>
    <w:rsid w:val="00BB353F"/>
    <w:rsid w:val="00BB42ED"/>
    <w:rsid w:val="00BB435E"/>
    <w:rsid w:val="00BB543B"/>
    <w:rsid w:val="00BB6833"/>
    <w:rsid w:val="00BB6A9E"/>
    <w:rsid w:val="00BC1116"/>
    <w:rsid w:val="00BC5D4A"/>
    <w:rsid w:val="00BD0764"/>
    <w:rsid w:val="00BD2234"/>
    <w:rsid w:val="00BD287F"/>
    <w:rsid w:val="00BD2F85"/>
    <w:rsid w:val="00BE01F1"/>
    <w:rsid w:val="00BE4233"/>
    <w:rsid w:val="00BE6713"/>
    <w:rsid w:val="00BE6ABE"/>
    <w:rsid w:val="00BE7676"/>
    <w:rsid w:val="00C00660"/>
    <w:rsid w:val="00C01336"/>
    <w:rsid w:val="00C020C7"/>
    <w:rsid w:val="00C07851"/>
    <w:rsid w:val="00C15DCA"/>
    <w:rsid w:val="00C16C3D"/>
    <w:rsid w:val="00C238C6"/>
    <w:rsid w:val="00C25B77"/>
    <w:rsid w:val="00C31769"/>
    <w:rsid w:val="00C32287"/>
    <w:rsid w:val="00C32897"/>
    <w:rsid w:val="00C50B9D"/>
    <w:rsid w:val="00C54DCF"/>
    <w:rsid w:val="00C56E2D"/>
    <w:rsid w:val="00C60565"/>
    <w:rsid w:val="00C63898"/>
    <w:rsid w:val="00C6698D"/>
    <w:rsid w:val="00C67134"/>
    <w:rsid w:val="00C70121"/>
    <w:rsid w:val="00C70CB0"/>
    <w:rsid w:val="00C7255E"/>
    <w:rsid w:val="00C77859"/>
    <w:rsid w:val="00C80F5B"/>
    <w:rsid w:val="00C957DB"/>
    <w:rsid w:val="00C9783B"/>
    <w:rsid w:val="00C97D7C"/>
    <w:rsid w:val="00CA02D8"/>
    <w:rsid w:val="00CA3BAB"/>
    <w:rsid w:val="00CA44B1"/>
    <w:rsid w:val="00CB2403"/>
    <w:rsid w:val="00CB2E29"/>
    <w:rsid w:val="00CB47F1"/>
    <w:rsid w:val="00CC029C"/>
    <w:rsid w:val="00CC3B4E"/>
    <w:rsid w:val="00CC50E6"/>
    <w:rsid w:val="00CC6ADA"/>
    <w:rsid w:val="00CC7B51"/>
    <w:rsid w:val="00CD183E"/>
    <w:rsid w:val="00CD238E"/>
    <w:rsid w:val="00CD6C7E"/>
    <w:rsid w:val="00CE0D76"/>
    <w:rsid w:val="00CE0DDA"/>
    <w:rsid w:val="00CE17F1"/>
    <w:rsid w:val="00CE4C58"/>
    <w:rsid w:val="00CE5E6C"/>
    <w:rsid w:val="00CF0571"/>
    <w:rsid w:val="00CF0661"/>
    <w:rsid w:val="00CF4EA6"/>
    <w:rsid w:val="00D01597"/>
    <w:rsid w:val="00D06CB8"/>
    <w:rsid w:val="00D1382B"/>
    <w:rsid w:val="00D17573"/>
    <w:rsid w:val="00D224F8"/>
    <w:rsid w:val="00D2713C"/>
    <w:rsid w:val="00D30919"/>
    <w:rsid w:val="00D31C84"/>
    <w:rsid w:val="00D321F2"/>
    <w:rsid w:val="00D3342B"/>
    <w:rsid w:val="00D3525B"/>
    <w:rsid w:val="00D377A4"/>
    <w:rsid w:val="00D46F64"/>
    <w:rsid w:val="00D50E3D"/>
    <w:rsid w:val="00D56969"/>
    <w:rsid w:val="00D6214B"/>
    <w:rsid w:val="00D62A0F"/>
    <w:rsid w:val="00D62B0E"/>
    <w:rsid w:val="00D64815"/>
    <w:rsid w:val="00D65BE4"/>
    <w:rsid w:val="00D715D5"/>
    <w:rsid w:val="00D72C46"/>
    <w:rsid w:val="00D74C14"/>
    <w:rsid w:val="00D75A60"/>
    <w:rsid w:val="00D9095C"/>
    <w:rsid w:val="00D91615"/>
    <w:rsid w:val="00D93F17"/>
    <w:rsid w:val="00D959CF"/>
    <w:rsid w:val="00DA0B7A"/>
    <w:rsid w:val="00DA737B"/>
    <w:rsid w:val="00DB1C5F"/>
    <w:rsid w:val="00DB2763"/>
    <w:rsid w:val="00DB3D21"/>
    <w:rsid w:val="00DC346D"/>
    <w:rsid w:val="00DD39FB"/>
    <w:rsid w:val="00DE2188"/>
    <w:rsid w:val="00DE25F3"/>
    <w:rsid w:val="00DE71C8"/>
    <w:rsid w:val="00DF0CCA"/>
    <w:rsid w:val="00DF263C"/>
    <w:rsid w:val="00DF2914"/>
    <w:rsid w:val="00DF2989"/>
    <w:rsid w:val="00DF3067"/>
    <w:rsid w:val="00DF5C69"/>
    <w:rsid w:val="00DF6FB5"/>
    <w:rsid w:val="00E03D6D"/>
    <w:rsid w:val="00E04E5D"/>
    <w:rsid w:val="00E06183"/>
    <w:rsid w:val="00E12310"/>
    <w:rsid w:val="00E26036"/>
    <w:rsid w:val="00E27298"/>
    <w:rsid w:val="00E2773F"/>
    <w:rsid w:val="00E32CA2"/>
    <w:rsid w:val="00E426D3"/>
    <w:rsid w:val="00E44FCA"/>
    <w:rsid w:val="00E454B4"/>
    <w:rsid w:val="00E45DCF"/>
    <w:rsid w:val="00E46707"/>
    <w:rsid w:val="00E47445"/>
    <w:rsid w:val="00E5061A"/>
    <w:rsid w:val="00E522B1"/>
    <w:rsid w:val="00E56067"/>
    <w:rsid w:val="00E564D2"/>
    <w:rsid w:val="00E60D35"/>
    <w:rsid w:val="00E6101C"/>
    <w:rsid w:val="00E66D39"/>
    <w:rsid w:val="00E674FC"/>
    <w:rsid w:val="00E77023"/>
    <w:rsid w:val="00E7770E"/>
    <w:rsid w:val="00E8030C"/>
    <w:rsid w:val="00E80612"/>
    <w:rsid w:val="00E80716"/>
    <w:rsid w:val="00E80B56"/>
    <w:rsid w:val="00E852F6"/>
    <w:rsid w:val="00E864A2"/>
    <w:rsid w:val="00E876C4"/>
    <w:rsid w:val="00E971B8"/>
    <w:rsid w:val="00E973E5"/>
    <w:rsid w:val="00EA0D9D"/>
    <w:rsid w:val="00EA29DE"/>
    <w:rsid w:val="00EA2B81"/>
    <w:rsid w:val="00EA2D42"/>
    <w:rsid w:val="00EB2419"/>
    <w:rsid w:val="00EB2ADF"/>
    <w:rsid w:val="00EC1EFD"/>
    <w:rsid w:val="00EC5051"/>
    <w:rsid w:val="00EC680F"/>
    <w:rsid w:val="00ED23FD"/>
    <w:rsid w:val="00ED36A8"/>
    <w:rsid w:val="00EE20BC"/>
    <w:rsid w:val="00EE335D"/>
    <w:rsid w:val="00EE46B2"/>
    <w:rsid w:val="00EE4D38"/>
    <w:rsid w:val="00EE5BBB"/>
    <w:rsid w:val="00EE6128"/>
    <w:rsid w:val="00EE657F"/>
    <w:rsid w:val="00EE7CE0"/>
    <w:rsid w:val="00EF26EF"/>
    <w:rsid w:val="00EF38B4"/>
    <w:rsid w:val="00EF3BE8"/>
    <w:rsid w:val="00EF6E65"/>
    <w:rsid w:val="00F002DE"/>
    <w:rsid w:val="00F00A9D"/>
    <w:rsid w:val="00F0398B"/>
    <w:rsid w:val="00F05057"/>
    <w:rsid w:val="00F0545A"/>
    <w:rsid w:val="00F079BA"/>
    <w:rsid w:val="00F11266"/>
    <w:rsid w:val="00F11D9A"/>
    <w:rsid w:val="00F14FF0"/>
    <w:rsid w:val="00F21242"/>
    <w:rsid w:val="00F266D7"/>
    <w:rsid w:val="00F30265"/>
    <w:rsid w:val="00F33DCE"/>
    <w:rsid w:val="00F41AF1"/>
    <w:rsid w:val="00F47F73"/>
    <w:rsid w:val="00F52A09"/>
    <w:rsid w:val="00F53151"/>
    <w:rsid w:val="00F57785"/>
    <w:rsid w:val="00F577B9"/>
    <w:rsid w:val="00F61A10"/>
    <w:rsid w:val="00F62D39"/>
    <w:rsid w:val="00F655CC"/>
    <w:rsid w:val="00F67FC6"/>
    <w:rsid w:val="00F7170D"/>
    <w:rsid w:val="00F720AB"/>
    <w:rsid w:val="00F7510C"/>
    <w:rsid w:val="00F83056"/>
    <w:rsid w:val="00F91369"/>
    <w:rsid w:val="00F93E60"/>
    <w:rsid w:val="00F9516D"/>
    <w:rsid w:val="00F9640B"/>
    <w:rsid w:val="00FA7462"/>
    <w:rsid w:val="00FB20EC"/>
    <w:rsid w:val="00FB212D"/>
    <w:rsid w:val="00FB4938"/>
    <w:rsid w:val="00FC0620"/>
    <w:rsid w:val="00FC1A17"/>
    <w:rsid w:val="00FC373B"/>
    <w:rsid w:val="00FC519B"/>
    <w:rsid w:val="00FC60E2"/>
    <w:rsid w:val="00FC775A"/>
    <w:rsid w:val="00FD0B99"/>
    <w:rsid w:val="00FD308D"/>
    <w:rsid w:val="00FD3E0C"/>
    <w:rsid w:val="00FE298C"/>
    <w:rsid w:val="00FE3A24"/>
    <w:rsid w:val="00FF0564"/>
    <w:rsid w:val="00FF0922"/>
    <w:rsid w:val="00FF65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0d0ee,#b8e3f3,#9dc496,#e4ee81,#76ad6d,#d9e74f,#8093ba,#c8e98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354A"/>
    <w:pPr>
      <w:spacing w:after="240" w:line="280" w:lineRule="atLeast"/>
    </w:pPr>
    <w:rPr>
      <w:rFonts w:ascii="Arial" w:hAnsi="Arial"/>
      <w:color w:val="000000"/>
      <w:lang w:eastAsia="en-US"/>
    </w:rPr>
  </w:style>
  <w:style w:type="paragraph" w:styleId="Heading1">
    <w:name w:val="heading 1"/>
    <w:aliases w:val="Page heading"/>
    <w:next w:val="Normal"/>
    <w:link w:val="Heading1Char"/>
    <w:rsid w:val="00182541"/>
    <w:pPr>
      <w:keepNext/>
      <w:pageBreakBefore/>
      <w:spacing w:after="1600"/>
      <w:outlineLvl w:val="0"/>
    </w:pPr>
    <w:rPr>
      <w:rFonts w:ascii="Times New Roman" w:hAnsi="Times New Roman"/>
      <w:noProof/>
      <w:color w:val="002776"/>
      <w:kern w:val="32"/>
      <w:sz w:val="60"/>
      <w:szCs w:val="60"/>
      <w:lang w:val="en-GB" w:eastAsia="en-US"/>
    </w:rPr>
  </w:style>
  <w:style w:type="paragraph" w:styleId="Heading2">
    <w:name w:val="heading 2"/>
    <w:next w:val="Bodycopy"/>
    <w:link w:val="Heading2Char"/>
    <w:rsid w:val="00F11D9A"/>
    <w:pPr>
      <w:spacing w:before="320" w:after="120"/>
      <w:ind w:left="567" w:hanging="567"/>
      <w:outlineLvl w:val="1"/>
    </w:pPr>
    <w:rPr>
      <w:rFonts w:ascii="Arial" w:hAnsi="Arial"/>
      <w:b/>
      <w:noProof/>
      <w:color w:val="92D400"/>
      <w:sz w:val="24"/>
      <w:szCs w:val="24"/>
      <w:lang w:val="en-GB" w:eastAsia="en-US"/>
    </w:rPr>
  </w:style>
  <w:style w:type="paragraph" w:styleId="Heading3">
    <w:name w:val="heading 3"/>
    <w:aliases w:val="C Subheading - Black"/>
    <w:next w:val="Normal"/>
    <w:rsid w:val="008F73FF"/>
    <w:pPr>
      <w:keepNext/>
      <w:tabs>
        <w:tab w:val="right" w:pos="425"/>
        <w:tab w:val="left" w:pos="567"/>
      </w:tabs>
      <w:spacing w:before="240" w:after="240"/>
      <w:outlineLvl w:val="2"/>
    </w:pPr>
    <w:rPr>
      <w:rFonts w:ascii="Arial" w:hAnsi="Arial"/>
      <w:b/>
      <w:color w:val="000000"/>
      <w:sz w:val="24"/>
      <w:lang w:eastAsia="en-US"/>
    </w:rPr>
  </w:style>
  <w:style w:type="paragraph" w:styleId="Heading4">
    <w:name w:val="heading 4"/>
    <w:aliases w:val="D Subheading - Black"/>
    <w:basedOn w:val="Heading3"/>
    <w:next w:val="Normal"/>
    <w:rsid w:val="00A01006"/>
    <w:pPr>
      <w:outlineLvl w:val="3"/>
    </w:pPr>
    <w:rPr>
      <w:bCs/>
      <w:i/>
      <w:szCs w:val="28"/>
    </w:rPr>
  </w:style>
  <w:style w:type="paragraph" w:styleId="Heading5">
    <w:name w:val="heading 5"/>
    <w:aliases w:val="E Subheading - Black"/>
    <w:basedOn w:val="Heading3"/>
    <w:next w:val="Normal"/>
    <w:rsid w:val="00A01006"/>
    <w:pPr>
      <w:outlineLvl w:val="4"/>
    </w:pPr>
    <w:rPr>
      <w:b w:val="0"/>
      <w:bCs/>
      <w:i/>
      <w:iCs/>
      <w:szCs w:val="26"/>
    </w:rPr>
  </w:style>
  <w:style w:type="paragraph" w:styleId="Heading6">
    <w:name w:val="heading 6"/>
    <w:basedOn w:val="Normal"/>
    <w:next w:val="Normal"/>
    <w:link w:val="Heading6Char"/>
    <w:uiPriority w:val="9"/>
    <w:semiHidden/>
    <w:unhideWhenUsed/>
    <w:rsid w:val="004E354A"/>
    <w:pPr>
      <w:keepNext/>
      <w:keepLines/>
      <w:spacing w:before="200" w:after="0"/>
      <w:outlineLvl w:val="5"/>
    </w:pPr>
    <w:rPr>
      <w:rFonts w:asciiTheme="majorHAnsi" w:eastAsiaTheme="majorEastAsia" w:hAnsiTheme="majorHAnsi" w:cstheme="majorBidi"/>
      <w:i/>
      <w:iCs/>
      <w:color w:val="00133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heading Char"/>
    <w:basedOn w:val="DefaultParagraphFont"/>
    <w:link w:val="Heading1"/>
    <w:rsid w:val="00182541"/>
    <w:rPr>
      <w:rFonts w:ascii="Times New Roman" w:hAnsi="Times New Roman"/>
      <w:noProof/>
      <w:color w:val="002776"/>
      <w:kern w:val="32"/>
      <w:sz w:val="60"/>
      <w:szCs w:val="60"/>
      <w:lang w:val="en-GB" w:eastAsia="en-US"/>
    </w:rPr>
  </w:style>
  <w:style w:type="character" w:customStyle="1" w:styleId="Heading2Char">
    <w:name w:val="Heading 2 Char"/>
    <w:basedOn w:val="DefaultParagraphFont"/>
    <w:link w:val="Heading2"/>
    <w:rsid w:val="00F11D9A"/>
    <w:rPr>
      <w:rFonts w:ascii="Arial" w:hAnsi="Arial"/>
      <w:b/>
      <w:noProof/>
      <w:color w:val="92D400"/>
      <w:sz w:val="24"/>
      <w:szCs w:val="24"/>
      <w:lang w:val="en-GB" w:eastAsia="en-US" w:bidi="ar-SA"/>
    </w:rPr>
  </w:style>
  <w:style w:type="character" w:customStyle="1" w:styleId="CaptionbodyChar">
    <w:name w:val="Caption body Char"/>
    <w:basedOn w:val="DefaultParagraphFont"/>
    <w:link w:val="Captionbody"/>
    <w:rsid w:val="00655126"/>
    <w:rPr>
      <w:rFonts w:ascii="Arial" w:hAnsi="Arial"/>
      <w:color w:val="000000"/>
      <w:sz w:val="18"/>
      <w:lang w:eastAsia="en-US"/>
    </w:rPr>
  </w:style>
  <w:style w:type="paragraph" w:customStyle="1" w:styleId="Captionbody">
    <w:name w:val="Caption body"/>
    <w:link w:val="CaptionbodyChar"/>
    <w:rsid w:val="00655126"/>
    <w:pPr>
      <w:spacing w:after="80" w:line="200" w:lineRule="exact"/>
    </w:pPr>
    <w:rPr>
      <w:rFonts w:ascii="Arial" w:hAnsi="Arial"/>
      <w:color w:val="000000"/>
      <w:sz w:val="18"/>
      <w:lang w:eastAsia="en-US"/>
    </w:rPr>
  </w:style>
  <w:style w:type="table" w:styleId="LightList-Accent2">
    <w:name w:val="Light List Accent 2"/>
    <w:basedOn w:val="TableNormal"/>
    <w:uiPriority w:val="61"/>
    <w:rsid w:val="00BA46D9"/>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tblBorders>
    </w:tblPr>
    <w:tblStylePr w:type="firstRow">
      <w:pPr>
        <w:spacing w:before="0" w:after="0" w:line="240" w:lineRule="auto"/>
      </w:pPr>
      <w:rPr>
        <w:b/>
        <w:bCs/>
        <w:color w:val="FFFFFF" w:themeColor="background1"/>
      </w:rPr>
      <w:tblPr/>
      <w:tcPr>
        <w:shd w:val="clear" w:color="auto" w:fill="92D400" w:themeFill="accent2"/>
      </w:tcPr>
    </w:tblStylePr>
    <w:tblStylePr w:type="lastRow">
      <w:pPr>
        <w:spacing w:before="0" w:after="0" w:line="240" w:lineRule="auto"/>
      </w:pPr>
      <w:rPr>
        <w:b/>
        <w:bCs/>
      </w:rPr>
      <w:tblPr/>
      <w:tcPr>
        <w:tcBorders>
          <w:top w:val="double" w:sz="6" w:space="0" w:color="92D400" w:themeColor="accent2"/>
          <w:left w:val="single" w:sz="8" w:space="0" w:color="92D400" w:themeColor="accent2"/>
          <w:bottom w:val="single" w:sz="8" w:space="0" w:color="92D400" w:themeColor="accent2"/>
          <w:right w:val="single" w:sz="8" w:space="0" w:color="92D400" w:themeColor="accent2"/>
        </w:tcBorders>
      </w:tcPr>
    </w:tblStylePr>
    <w:tblStylePr w:type="firstCol">
      <w:rPr>
        <w:b/>
        <w:bCs/>
      </w:rPr>
    </w:tblStylePr>
    <w:tblStylePr w:type="lastCol">
      <w:rPr>
        <w:b/>
        <w:bCs/>
      </w:rPr>
    </w:tblStylePr>
    <w:tblStylePr w:type="band1Vert">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tblStylePr w:type="band1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style>
  <w:style w:type="paragraph" w:styleId="Footer">
    <w:name w:val="footer"/>
    <w:basedOn w:val="Normal"/>
    <w:link w:val="FooterChar"/>
    <w:uiPriority w:val="99"/>
    <w:rsid w:val="00027A17"/>
    <w:pPr>
      <w:tabs>
        <w:tab w:val="center" w:pos="4320"/>
      </w:tabs>
    </w:pPr>
    <w:rPr>
      <w:b/>
      <w:sz w:val="16"/>
    </w:rPr>
  </w:style>
  <w:style w:type="character" w:customStyle="1" w:styleId="FooterChar">
    <w:name w:val="Footer Char"/>
    <w:basedOn w:val="DefaultParagraphFont"/>
    <w:link w:val="Footer"/>
    <w:uiPriority w:val="99"/>
    <w:rsid w:val="00E454B4"/>
    <w:rPr>
      <w:rFonts w:ascii="Arial" w:hAnsi="Arial"/>
      <w:b/>
      <w:color w:val="000000"/>
      <w:sz w:val="16"/>
      <w:lang w:eastAsia="en-US"/>
    </w:rPr>
  </w:style>
  <w:style w:type="paragraph" w:customStyle="1" w:styleId="ContactsSubheading">
    <w:name w:val="Contacts Subheading"/>
    <w:basedOn w:val="TableGreenheader"/>
    <w:link w:val="ContactsSubheadingChar"/>
    <w:rsid w:val="00A01006"/>
  </w:style>
  <w:style w:type="paragraph" w:customStyle="1" w:styleId="TableGreenheader">
    <w:name w:val="Table Green header"/>
    <w:basedOn w:val="BSubheading-Green"/>
    <w:link w:val="TableGreenheaderChar"/>
    <w:rsid w:val="002855F0"/>
    <w:pPr>
      <w:spacing w:before="200" w:after="80"/>
      <w:outlineLvl w:val="9"/>
    </w:pPr>
    <w:rPr>
      <w:sz w:val="20"/>
    </w:rPr>
  </w:style>
  <w:style w:type="paragraph" w:customStyle="1" w:styleId="BSubheading-Green">
    <w:name w:val="B Subheading - Green"/>
    <w:basedOn w:val="BSubheading-Blue"/>
    <w:next w:val="Bodycopy"/>
    <w:link w:val="BSubheading-GreenChar"/>
    <w:qFormat/>
    <w:rsid w:val="00454A11"/>
    <w:rPr>
      <w:color w:val="92D400"/>
    </w:rPr>
  </w:style>
  <w:style w:type="paragraph" w:customStyle="1" w:styleId="BSubheading-Blue">
    <w:name w:val="B Subheading - Blue"/>
    <w:basedOn w:val="Heading2"/>
    <w:next w:val="Bodycopy"/>
    <w:link w:val="BSubheading-BlueChar"/>
    <w:rsid w:val="00454A11"/>
    <w:pPr>
      <w:keepNext/>
      <w:spacing w:before="240" w:after="240"/>
      <w:ind w:left="0" w:firstLine="0"/>
    </w:pPr>
    <w:rPr>
      <w:noProof w:val="0"/>
      <w:color w:val="00A1DE"/>
      <w:lang w:val="en-NZ"/>
    </w:rPr>
  </w:style>
  <w:style w:type="character" w:customStyle="1" w:styleId="BSubheading-BlueChar">
    <w:name w:val="B Subheading - Blue Char"/>
    <w:basedOn w:val="Heading2Char"/>
    <w:link w:val="BSubheading-Blue"/>
    <w:rsid w:val="00454A11"/>
    <w:rPr>
      <w:rFonts w:ascii="Arial" w:hAnsi="Arial"/>
      <w:b/>
      <w:noProof/>
      <w:color w:val="00A1DE"/>
      <w:sz w:val="24"/>
      <w:szCs w:val="24"/>
      <w:lang w:val="en-GB" w:eastAsia="en-US" w:bidi="ar-SA"/>
    </w:rPr>
  </w:style>
  <w:style w:type="paragraph" w:styleId="Header">
    <w:name w:val="header"/>
    <w:basedOn w:val="Normal"/>
    <w:rsid w:val="00CA3BAB"/>
    <w:pPr>
      <w:tabs>
        <w:tab w:val="center" w:pos="4320"/>
        <w:tab w:val="right" w:pos="8640"/>
      </w:tabs>
    </w:pPr>
  </w:style>
  <w:style w:type="paragraph" w:styleId="ListBullet">
    <w:name w:val="List Bullet"/>
    <w:basedOn w:val="Normal"/>
    <w:link w:val="ListBulletChar"/>
    <w:rsid w:val="004C6F84"/>
    <w:pPr>
      <w:tabs>
        <w:tab w:val="left" w:pos="284"/>
      </w:tabs>
      <w:spacing w:line="220" w:lineRule="exact"/>
    </w:pPr>
    <w:rPr>
      <w:sz w:val="19"/>
    </w:rPr>
  </w:style>
  <w:style w:type="character" w:customStyle="1" w:styleId="ListBulletChar">
    <w:name w:val="List Bullet Char"/>
    <w:basedOn w:val="DefaultParagraphFont"/>
    <w:link w:val="ListBullet"/>
    <w:rsid w:val="004C6F84"/>
    <w:rPr>
      <w:rFonts w:ascii="Arial" w:eastAsia="Times" w:hAnsi="Arial"/>
      <w:color w:val="811788"/>
      <w:sz w:val="19"/>
      <w:lang w:val="en-GB" w:eastAsia="en-US" w:bidi="ar-SA"/>
    </w:rPr>
  </w:style>
  <w:style w:type="paragraph" w:styleId="ListBullet2">
    <w:name w:val="List Bullet 2"/>
    <w:basedOn w:val="Normal"/>
    <w:rsid w:val="00DA29DC"/>
    <w:pPr>
      <w:tabs>
        <w:tab w:val="left" w:pos="567"/>
        <w:tab w:val="left" w:pos="1134"/>
      </w:tabs>
      <w:spacing w:before="80"/>
    </w:pPr>
    <w:rPr>
      <w:sz w:val="18"/>
    </w:rPr>
  </w:style>
  <w:style w:type="paragraph" w:customStyle="1" w:styleId="TableEntry">
    <w:name w:val="Table Entry"/>
    <w:basedOn w:val="Normal"/>
    <w:link w:val="TableEntryChar"/>
    <w:rsid w:val="00C15DCA"/>
    <w:pPr>
      <w:keepNext/>
      <w:spacing w:after="60"/>
    </w:pPr>
    <w:rPr>
      <w:sz w:val="16"/>
      <w:szCs w:val="24"/>
    </w:rPr>
  </w:style>
  <w:style w:type="paragraph" w:customStyle="1" w:styleId="Tablebullet1">
    <w:name w:val="Table bullet 1"/>
    <w:basedOn w:val="Bulletlevel1"/>
    <w:rsid w:val="00F83056"/>
    <w:pPr>
      <w:numPr>
        <w:numId w:val="0"/>
      </w:numPr>
      <w:tabs>
        <w:tab w:val="left" w:pos="284"/>
      </w:tabs>
      <w:spacing w:after="80"/>
      <w:ind w:left="170" w:hanging="170"/>
    </w:pPr>
    <w:rPr>
      <w:sz w:val="16"/>
      <w:lang w:val="fr-FR"/>
    </w:rPr>
  </w:style>
  <w:style w:type="paragraph" w:customStyle="1" w:styleId="Bulletlevel1">
    <w:name w:val="Bullet level 1"/>
    <w:basedOn w:val="ListBullet"/>
    <w:link w:val="Bulletlevel1Char"/>
    <w:qFormat/>
    <w:rsid w:val="009B61FF"/>
    <w:pPr>
      <w:numPr>
        <w:numId w:val="3"/>
      </w:numPr>
      <w:tabs>
        <w:tab w:val="clear" w:pos="284"/>
        <w:tab w:val="left" w:pos="567"/>
      </w:tabs>
      <w:spacing w:before="240" w:line="240" w:lineRule="auto"/>
      <w:ind w:left="568" w:hanging="284"/>
    </w:pPr>
    <w:rPr>
      <w:sz w:val="20"/>
    </w:rPr>
  </w:style>
  <w:style w:type="character" w:customStyle="1" w:styleId="Bulletlevel1Char">
    <w:name w:val="Bullet level 1 Char"/>
    <w:basedOn w:val="ListBulletChar"/>
    <w:link w:val="Bulletlevel1"/>
    <w:rsid w:val="009B61FF"/>
    <w:rPr>
      <w:rFonts w:ascii="Arial" w:eastAsia="Times" w:hAnsi="Arial"/>
      <w:color w:val="000000"/>
      <w:sz w:val="19"/>
      <w:lang w:val="en-GB" w:eastAsia="en-US" w:bidi="ar-SA"/>
    </w:rPr>
  </w:style>
  <w:style w:type="paragraph" w:customStyle="1" w:styleId="Tablebullet2">
    <w:name w:val="Table bullet 2"/>
    <w:basedOn w:val="Bulletlevel2"/>
    <w:rsid w:val="00F83056"/>
    <w:pPr>
      <w:numPr>
        <w:numId w:val="0"/>
      </w:numPr>
      <w:spacing w:after="80"/>
      <w:ind w:left="340" w:hanging="170"/>
    </w:pPr>
    <w:rPr>
      <w:sz w:val="16"/>
    </w:rPr>
  </w:style>
  <w:style w:type="paragraph" w:customStyle="1" w:styleId="Bulletlevel2">
    <w:name w:val="Bullet level 2"/>
    <w:basedOn w:val="Bulletlevel1"/>
    <w:link w:val="Bulletlevel2Char"/>
    <w:qFormat/>
    <w:rsid w:val="000B4516"/>
    <w:pPr>
      <w:numPr>
        <w:ilvl w:val="1"/>
      </w:numPr>
    </w:pPr>
  </w:style>
  <w:style w:type="character" w:customStyle="1" w:styleId="Bulletlevel2Char">
    <w:name w:val="Bullet level 2 Char"/>
    <w:basedOn w:val="Bulletlevel1Char"/>
    <w:link w:val="Bulletlevel2"/>
    <w:rsid w:val="000B4516"/>
    <w:rPr>
      <w:rFonts w:ascii="Arial" w:eastAsia="Times" w:hAnsi="Arial"/>
      <w:color w:val="000000"/>
      <w:sz w:val="19"/>
      <w:lang w:val="en-GB" w:eastAsia="en-US" w:bidi="ar-SA"/>
    </w:rPr>
  </w:style>
  <w:style w:type="paragraph" w:styleId="Title">
    <w:name w:val="Title"/>
    <w:aliases w:val="Cover Heading"/>
    <w:rsid w:val="00054F65"/>
    <w:pPr>
      <w:outlineLvl w:val="0"/>
    </w:pPr>
    <w:rPr>
      <w:rFonts w:ascii="Times New Roman" w:hAnsi="Times New Roman"/>
      <w:color w:val="92D400"/>
      <w:kern w:val="28"/>
      <w:sz w:val="60"/>
      <w:szCs w:val="60"/>
      <w:lang w:eastAsia="en-US"/>
    </w:rPr>
  </w:style>
  <w:style w:type="paragraph" w:customStyle="1" w:styleId="TablePersonInfo">
    <w:name w:val="Table Person Info"/>
    <w:basedOn w:val="Normal"/>
    <w:rsid w:val="002855F0"/>
    <w:pPr>
      <w:tabs>
        <w:tab w:val="left" w:pos="170"/>
      </w:tabs>
      <w:spacing w:after="60"/>
      <w:ind w:left="851" w:hanging="851"/>
    </w:pPr>
    <w:rPr>
      <w:sz w:val="16"/>
      <w:szCs w:val="16"/>
      <w:lang w:val="fr-FR"/>
    </w:rPr>
  </w:style>
  <w:style w:type="paragraph" w:customStyle="1" w:styleId="ContentsPage">
    <w:name w:val="Contents Page"/>
    <w:basedOn w:val="Bodycopy"/>
    <w:rsid w:val="00AE56B8"/>
    <w:pPr>
      <w:tabs>
        <w:tab w:val="right" w:pos="6237"/>
      </w:tabs>
      <w:ind w:left="680" w:hanging="680"/>
    </w:pPr>
    <w:rPr>
      <w:sz w:val="24"/>
    </w:rPr>
  </w:style>
  <w:style w:type="paragraph" w:customStyle="1" w:styleId="Bodycopy">
    <w:name w:val="Body copy"/>
    <w:basedOn w:val="Normal"/>
    <w:link w:val="BodycopyChar"/>
    <w:qFormat/>
    <w:rsid w:val="00454A11"/>
  </w:style>
  <w:style w:type="character" w:customStyle="1" w:styleId="BodycopyChar">
    <w:name w:val="Body copy Char"/>
    <w:basedOn w:val="DefaultParagraphFont"/>
    <w:link w:val="Bodycopy"/>
    <w:rsid w:val="00454A11"/>
    <w:rPr>
      <w:rFonts w:ascii="Arial" w:hAnsi="Arial"/>
      <w:color w:val="000000"/>
      <w:lang w:eastAsia="en-US"/>
    </w:rPr>
  </w:style>
  <w:style w:type="paragraph" w:customStyle="1" w:styleId="CSubheading">
    <w:name w:val="C Subheading"/>
    <w:basedOn w:val="Heading3"/>
    <w:next w:val="Bodycopy"/>
    <w:rsid w:val="002855F0"/>
    <w:pPr>
      <w:tabs>
        <w:tab w:val="clear" w:pos="425"/>
        <w:tab w:val="clear" w:pos="567"/>
      </w:tabs>
    </w:pPr>
    <w:rPr>
      <w:szCs w:val="24"/>
    </w:rPr>
  </w:style>
  <w:style w:type="table" w:styleId="TableGrid">
    <w:name w:val="Table Grid"/>
    <w:basedOn w:val="TableNormal"/>
    <w:rsid w:val="0038683A"/>
    <w:pPr>
      <w:spacing w:before="120" w:line="260" w:lineRule="exact"/>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geHeading">
    <w:name w:val="A Page Heading"/>
    <w:basedOn w:val="Heading1"/>
    <w:link w:val="APageHeadingChar"/>
    <w:qFormat/>
    <w:rsid w:val="00454A11"/>
    <w:rPr>
      <w:noProof w:val="0"/>
      <w:lang w:val="en-NZ" w:eastAsia="en-NZ"/>
    </w:rPr>
  </w:style>
  <w:style w:type="character" w:customStyle="1" w:styleId="APageHeadingChar">
    <w:name w:val="A Page Heading Char"/>
    <w:basedOn w:val="Heading1Char"/>
    <w:link w:val="APageHeading"/>
    <w:rsid w:val="00454A11"/>
    <w:rPr>
      <w:rFonts w:ascii="Times New Roman" w:hAnsi="Times New Roman"/>
      <w:noProof/>
      <w:color w:val="002776"/>
      <w:kern w:val="32"/>
      <w:sz w:val="60"/>
      <w:szCs w:val="60"/>
      <w:lang w:val="en-GB" w:eastAsia="en-US"/>
    </w:rPr>
  </w:style>
  <w:style w:type="paragraph" w:customStyle="1" w:styleId="CaptionSource">
    <w:name w:val="Caption Source"/>
    <w:basedOn w:val="Normal"/>
    <w:next w:val="Bodycopy"/>
    <w:link w:val="CaptionSourceChar"/>
    <w:rsid w:val="00454A11"/>
    <w:pPr>
      <w:spacing w:line="180" w:lineRule="exact"/>
    </w:pPr>
    <w:rPr>
      <w:sz w:val="14"/>
    </w:rPr>
  </w:style>
  <w:style w:type="paragraph" w:customStyle="1" w:styleId="DSubheading">
    <w:name w:val="D Subheading"/>
    <w:basedOn w:val="CSubheading"/>
    <w:next w:val="Bodycopy"/>
    <w:rsid w:val="00A01006"/>
    <w:rPr>
      <w:i/>
    </w:rPr>
  </w:style>
  <w:style w:type="paragraph" w:customStyle="1" w:styleId="ESubheading">
    <w:name w:val="E Subheading"/>
    <w:basedOn w:val="DSubheading"/>
    <w:next w:val="Bodycopy"/>
    <w:rsid w:val="002855F0"/>
    <w:rPr>
      <w:b w:val="0"/>
    </w:rPr>
  </w:style>
  <w:style w:type="paragraph" w:customStyle="1" w:styleId="Captionheading">
    <w:name w:val="Caption heading"/>
    <w:basedOn w:val="Captionbody"/>
    <w:next w:val="Bodycopy"/>
    <w:link w:val="CaptionheadingChar"/>
    <w:rsid w:val="00454A11"/>
    <w:rPr>
      <w:b/>
    </w:rPr>
  </w:style>
  <w:style w:type="paragraph" w:customStyle="1" w:styleId="TableColumnheader">
    <w:name w:val="Table Column header"/>
    <w:basedOn w:val="TableGreenheader"/>
    <w:rsid w:val="00054F65"/>
    <w:pPr>
      <w:spacing w:before="80"/>
    </w:pPr>
    <w:rPr>
      <w:color w:val="FFFFFF"/>
      <w:sz w:val="18"/>
    </w:rPr>
  </w:style>
  <w:style w:type="paragraph" w:styleId="DocumentMap">
    <w:name w:val="Document Map"/>
    <w:basedOn w:val="Normal"/>
    <w:link w:val="DocumentMapChar"/>
    <w:uiPriority w:val="99"/>
    <w:semiHidden/>
    <w:unhideWhenUsed/>
    <w:rsid w:val="004254E0"/>
    <w:rPr>
      <w:rFonts w:ascii="Tahoma" w:hAnsi="Tahoma" w:cs="Tahoma"/>
      <w:sz w:val="16"/>
      <w:szCs w:val="16"/>
    </w:rPr>
  </w:style>
  <w:style w:type="character" w:customStyle="1" w:styleId="DocumentMapChar">
    <w:name w:val="Document Map Char"/>
    <w:basedOn w:val="DefaultParagraphFont"/>
    <w:link w:val="DocumentMap"/>
    <w:uiPriority w:val="99"/>
    <w:semiHidden/>
    <w:rsid w:val="004254E0"/>
    <w:rPr>
      <w:rFonts w:ascii="Tahoma" w:hAnsi="Tahoma" w:cs="Tahoma"/>
      <w:sz w:val="16"/>
      <w:szCs w:val="16"/>
      <w:lang w:eastAsia="en-US"/>
    </w:rPr>
  </w:style>
  <w:style w:type="paragraph" w:customStyle="1" w:styleId="BSubheading-DeloitteBlue">
    <w:name w:val="B Subheading - Deloitte Blue"/>
    <w:basedOn w:val="BSubheading-Blue"/>
    <w:next w:val="Bodycopy"/>
    <w:qFormat/>
    <w:rsid w:val="004A0C3C"/>
    <w:rPr>
      <w:color w:val="002776"/>
    </w:rPr>
  </w:style>
  <w:style w:type="paragraph" w:customStyle="1" w:styleId="BSubheading-DarkGreen">
    <w:name w:val="B Subheading - Dark Green"/>
    <w:basedOn w:val="BSubheading-Blue"/>
    <w:next w:val="Bodycopy"/>
    <w:qFormat/>
    <w:rsid w:val="00454A11"/>
    <w:rPr>
      <w:color w:val="3C8A2E"/>
    </w:rPr>
  </w:style>
  <w:style w:type="paragraph" w:customStyle="1" w:styleId="Legalcopy">
    <w:name w:val="Legal copy"/>
    <w:basedOn w:val="Bodycopy"/>
    <w:rsid w:val="00A01006"/>
    <w:rPr>
      <w:sz w:val="16"/>
      <w:lang w:bidi="en-US"/>
    </w:rPr>
  </w:style>
  <w:style w:type="paragraph" w:styleId="BalloonText">
    <w:name w:val="Balloon Text"/>
    <w:basedOn w:val="Normal"/>
    <w:link w:val="BalloonTextChar"/>
    <w:uiPriority w:val="99"/>
    <w:semiHidden/>
    <w:unhideWhenUsed/>
    <w:rsid w:val="004625C5"/>
    <w:rPr>
      <w:rFonts w:ascii="Tahoma" w:hAnsi="Tahoma" w:cs="Tahoma"/>
      <w:sz w:val="16"/>
      <w:szCs w:val="16"/>
    </w:rPr>
  </w:style>
  <w:style w:type="character" w:customStyle="1" w:styleId="BalloonTextChar">
    <w:name w:val="Balloon Text Char"/>
    <w:basedOn w:val="DefaultParagraphFont"/>
    <w:link w:val="BalloonText"/>
    <w:uiPriority w:val="99"/>
    <w:semiHidden/>
    <w:rsid w:val="004625C5"/>
    <w:rPr>
      <w:rFonts w:ascii="Tahoma" w:hAnsi="Tahoma" w:cs="Tahoma"/>
      <w:sz w:val="16"/>
      <w:szCs w:val="16"/>
      <w:lang w:eastAsia="en-US"/>
    </w:rPr>
  </w:style>
  <w:style w:type="paragraph" w:customStyle="1" w:styleId="Coverheadline">
    <w:name w:val="Cover headline"/>
    <w:link w:val="CoverheadlineChar"/>
    <w:rsid w:val="0018452C"/>
    <w:rPr>
      <w:rFonts w:ascii="Times New Roman" w:hAnsi="Times New Roman"/>
      <w:color w:val="002776"/>
      <w:kern w:val="28"/>
      <w:sz w:val="70"/>
      <w:szCs w:val="70"/>
      <w:lang w:eastAsia="en-US"/>
    </w:rPr>
  </w:style>
  <w:style w:type="character" w:customStyle="1" w:styleId="CoverheadlineChar">
    <w:name w:val="Cover headline Char"/>
    <w:basedOn w:val="DefaultParagraphFont"/>
    <w:link w:val="Coverheadline"/>
    <w:rsid w:val="0018452C"/>
    <w:rPr>
      <w:rFonts w:ascii="Times New Roman" w:hAnsi="Times New Roman"/>
      <w:color w:val="002776"/>
      <w:kern w:val="28"/>
      <w:sz w:val="70"/>
      <w:szCs w:val="70"/>
      <w:lang w:eastAsia="en-US"/>
    </w:rPr>
  </w:style>
  <w:style w:type="paragraph" w:customStyle="1" w:styleId="Coverheadline-insight-tagline">
    <w:name w:val="Cover headline - insight-tagline"/>
    <w:next w:val="Bodycopy"/>
    <w:link w:val="Coverheadline-insight-taglineChar"/>
    <w:rsid w:val="00A01006"/>
    <w:rPr>
      <w:rFonts w:ascii="Times New Roman" w:hAnsi="Times New Roman"/>
      <w:color w:val="92D400"/>
      <w:kern w:val="28"/>
      <w:sz w:val="70"/>
      <w:szCs w:val="70"/>
      <w:lang w:eastAsia="en-US"/>
    </w:rPr>
  </w:style>
  <w:style w:type="character" w:customStyle="1" w:styleId="Coverheadline-insight-taglineChar">
    <w:name w:val="Cover headline - insight-tagline Char"/>
    <w:basedOn w:val="DefaultParagraphFont"/>
    <w:link w:val="Coverheadline-insight-tagline"/>
    <w:rsid w:val="00A01006"/>
    <w:rPr>
      <w:rFonts w:ascii="Times New Roman" w:hAnsi="Times New Roman"/>
      <w:color w:val="92D400"/>
      <w:kern w:val="28"/>
      <w:sz w:val="70"/>
      <w:szCs w:val="70"/>
      <w:lang w:eastAsia="en-US"/>
    </w:rPr>
  </w:style>
  <w:style w:type="paragraph" w:styleId="TOC1">
    <w:name w:val="toc 1"/>
    <w:basedOn w:val="Normal"/>
    <w:next w:val="Normal"/>
    <w:autoRedefine/>
    <w:uiPriority w:val="39"/>
    <w:unhideWhenUsed/>
    <w:rsid w:val="00004292"/>
    <w:pPr>
      <w:tabs>
        <w:tab w:val="left" w:pos="2552"/>
        <w:tab w:val="right" w:pos="9043"/>
      </w:tabs>
      <w:ind w:left="3827" w:hanging="1700"/>
    </w:pPr>
    <w:rPr>
      <w:sz w:val="24"/>
      <w:lang w:bidi="en-US"/>
    </w:rPr>
  </w:style>
  <w:style w:type="paragraph" w:styleId="TOCHeading">
    <w:name w:val="TOC Heading"/>
    <w:basedOn w:val="Heading1"/>
    <w:next w:val="Normal"/>
    <w:uiPriority w:val="39"/>
    <w:semiHidden/>
    <w:unhideWhenUsed/>
    <w:qFormat/>
    <w:rsid w:val="00754957"/>
    <w:pPr>
      <w:keepLines/>
      <w:spacing w:before="480" w:after="0" w:line="276" w:lineRule="auto"/>
      <w:outlineLvl w:val="9"/>
    </w:pPr>
    <w:rPr>
      <w:rFonts w:ascii="Cambria" w:eastAsia="Times New Roman" w:hAnsi="Cambria"/>
      <w:b/>
      <w:bCs/>
      <w:noProof w:val="0"/>
      <w:color w:val="001D58"/>
      <w:kern w:val="0"/>
      <w:sz w:val="28"/>
      <w:szCs w:val="28"/>
      <w:lang w:val="en-US"/>
    </w:rPr>
  </w:style>
  <w:style w:type="paragraph" w:styleId="TOC2">
    <w:name w:val="toc 2"/>
    <w:basedOn w:val="Normal"/>
    <w:next w:val="Normal"/>
    <w:autoRedefine/>
    <w:uiPriority w:val="39"/>
    <w:unhideWhenUsed/>
    <w:rsid w:val="006A004B"/>
    <w:pPr>
      <w:ind w:left="3827" w:hanging="278"/>
    </w:pPr>
  </w:style>
  <w:style w:type="paragraph" w:styleId="TOC3">
    <w:name w:val="toc 3"/>
    <w:basedOn w:val="Normal"/>
    <w:next w:val="Normal"/>
    <w:autoRedefine/>
    <w:uiPriority w:val="39"/>
    <w:unhideWhenUsed/>
    <w:rsid w:val="0018452C"/>
    <w:pPr>
      <w:ind w:left="3827" w:hanging="278"/>
    </w:pPr>
  </w:style>
  <w:style w:type="paragraph" w:customStyle="1" w:styleId="PulloutQuote">
    <w:name w:val="Pullout Quote"/>
    <w:next w:val="Bodycopy"/>
    <w:rsid w:val="00054F65"/>
    <w:pPr>
      <w:pBdr>
        <w:top w:val="single" w:sz="4" w:space="4" w:color="00A1DE"/>
      </w:pBdr>
      <w:suppressAutoHyphens/>
      <w:spacing w:line="400" w:lineRule="exact"/>
      <w:ind w:right="2268"/>
    </w:pPr>
    <w:rPr>
      <w:rFonts w:ascii="Times New Roman" w:hAnsi="Times New Roman"/>
      <w:color w:val="00A1DE"/>
      <w:sz w:val="40"/>
      <w:lang w:eastAsia="en-US"/>
    </w:rPr>
  </w:style>
  <w:style w:type="paragraph" w:customStyle="1" w:styleId="APageheading-numbered">
    <w:name w:val="A Page heading - numbered"/>
    <w:basedOn w:val="Heading1"/>
    <w:qFormat/>
    <w:rsid w:val="006A6BF8"/>
    <w:pPr>
      <w:numPr>
        <w:numId w:val="1"/>
      </w:numPr>
      <w:tabs>
        <w:tab w:val="left" w:pos="567"/>
      </w:tabs>
    </w:pPr>
    <w:rPr>
      <w:noProof w:val="0"/>
      <w:lang w:val="en-NZ" w:bidi="en-US"/>
    </w:rPr>
  </w:style>
  <w:style w:type="numbering" w:customStyle="1" w:styleId="SubheadingNum-Blue">
    <w:name w:val="Subheading Num - Blue"/>
    <w:basedOn w:val="NoList"/>
    <w:uiPriority w:val="99"/>
    <w:rsid w:val="00626619"/>
  </w:style>
  <w:style w:type="paragraph" w:customStyle="1" w:styleId="BnumberedSubheadingL2-DeloitteBlue">
    <w:name w:val="B numbered Subheading L2 - Deloitte Blue"/>
    <w:basedOn w:val="BSubheading-DeloitteBlue"/>
    <w:next w:val="Bodycopy"/>
    <w:qFormat/>
    <w:rsid w:val="006A6BF8"/>
    <w:pPr>
      <w:numPr>
        <w:ilvl w:val="1"/>
        <w:numId w:val="1"/>
      </w:numPr>
    </w:pPr>
  </w:style>
  <w:style w:type="paragraph" w:customStyle="1" w:styleId="BnumberedSubheadingL3-DeloitteBlue">
    <w:name w:val="B numbered Subheading L3 - Deloitte Blue"/>
    <w:basedOn w:val="BSubheading-DeloitteBlue"/>
    <w:next w:val="Bodycopy"/>
    <w:qFormat/>
    <w:rsid w:val="000F72CB"/>
    <w:pPr>
      <w:numPr>
        <w:ilvl w:val="2"/>
        <w:numId w:val="1"/>
      </w:numPr>
      <w:outlineLvl w:val="2"/>
    </w:pPr>
  </w:style>
  <w:style w:type="paragraph" w:customStyle="1" w:styleId="BnumberedSubheadingL4-DeloitteBlue">
    <w:name w:val="B numbered Subheading L4 - Deloitte Blue"/>
    <w:basedOn w:val="BSubheading-DeloitteBlue"/>
    <w:next w:val="Bodycopy"/>
    <w:qFormat/>
    <w:rsid w:val="000F72CB"/>
    <w:pPr>
      <w:numPr>
        <w:ilvl w:val="3"/>
        <w:numId w:val="1"/>
      </w:numPr>
      <w:outlineLvl w:val="3"/>
    </w:pPr>
  </w:style>
  <w:style w:type="character" w:styleId="FollowedHyperlink">
    <w:name w:val="FollowedHyperlink"/>
    <w:basedOn w:val="DefaultParagraphFont"/>
    <w:uiPriority w:val="99"/>
    <w:semiHidden/>
    <w:unhideWhenUsed/>
    <w:rsid w:val="00F41AF1"/>
    <w:rPr>
      <w:color w:val="002776"/>
      <w:u w:val="single"/>
    </w:rPr>
  </w:style>
  <w:style w:type="paragraph" w:styleId="ListParagraph">
    <w:name w:val="List Paragraph"/>
    <w:basedOn w:val="Normal"/>
    <w:uiPriority w:val="34"/>
    <w:qFormat/>
    <w:rsid w:val="00B41BCC"/>
    <w:pPr>
      <w:ind w:left="720"/>
      <w:contextualSpacing/>
    </w:pPr>
  </w:style>
  <w:style w:type="paragraph" w:customStyle="1" w:styleId="BSubheading-LightBlue">
    <w:name w:val="B Subheading - Light Blue"/>
    <w:basedOn w:val="BSubheading-Blue"/>
    <w:next w:val="Bodycopy"/>
    <w:link w:val="BSubheading-LightBlueChar"/>
    <w:qFormat/>
    <w:rsid w:val="00D30919"/>
    <w:rPr>
      <w:color w:val="72C7E7"/>
    </w:rPr>
  </w:style>
  <w:style w:type="character" w:customStyle="1" w:styleId="BSubheading-LightBlueChar">
    <w:name w:val="B Subheading - Light Blue Char"/>
    <w:basedOn w:val="BSubheading-BlueChar"/>
    <w:link w:val="BSubheading-LightBlue"/>
    <w:rsid w:val="00D30919"/>
    <w:rPr>
      <w:rFonts w:ascii="Arial" w:hAnsi="Arial"/>
      <w:b/>
      <w:noProof/>
      <w:color w:val="72C7E7"/>
      <w:sz w:val="24"/>
      <w:szCs w:val="24"/>
      <w:lang w:val="en-GB" w:eastAsia="en-US" w:bidi="ar-SA"/>
    </w:rPr>
  </w:style>
  <w:style w:type="paragraph" w:customStyle="1" w:styleId="Captionsub-heading">
    <w:name w:val="Caption sub-heading"/>
    <w:basedOn w:val="Captionheading"/>
    <w:link w:val="Captionsub-headingChar"/>
    <w:rsid w:val="00454A11"/>
    <w:pPr>
      <w:spacing w:line="200" w:lineRule="atLeast"/>
    </w:pPr>
  </w:style>
  <w:style w:type="paragraph" w:customStyle="1" w:styleId="Quotesourcedescriptor">
    <w:name w:val="Quote source descriptor"/>
    <w:basedOn w:val="CaptionSource"/>
    <w:link w:val="QuotesourcedescriptorChar"/>
    <w:rsid w:val="00097535"/>
  </w:style>
  <w:style w:type="character" w:customStyle="1" w:styleId="CaptionheadingChar">
    <w:name w:val="Caption heading Char"/>
    <w:basedOn w:val="CaptionbodyChar"/>
    <w:link w:val="Captionheading"/>
    <w:rsid w:val="00454A11"/>
    <w:rPr>
      <w:rFonts w:ascii="Arial" w:hAnsi="Arial"/>
      <w:b/>
      <w:color w:val="000000"/>
      <w:sz w:val="18"/>
      <w:lang w:eastAsia="en-US"/>
    </w:rPr>
  </w:style>
  <w:style w:type="character" w:customStyle="1" w:styleId="Captionsub-headingChar">
    <w:name w:val="Caption sub-heading Char"/>
    <w:basedOn w:val="CaptionheadingChar"/>
    <w:link w:val="Captionsub-heading"/>
    <w:rsid w:val="00454A11"/>
    <w:rPr>
      <w:rFonts w:ascii="Arial" w:hAnsi="Arial"/>
      <w:b/>
      <w:color w:val="000000"/>
      <w:sz w:val="18"/>
      <w:lang w:eastAsia="en-US"/>
    </w:rPr>
  </w:style>
  <w:style w:type="paragraph" w:customStyle="1" w:styleId="Contactstext">
    <w:name w:val="Contacts text"/>
    <w:basedOn w:val="TableEntry"/>
    <w:link w:val="ContactstextChar"/>
    <w:rsid w:val="00901ABC"/>
  </w:style>
  <w:style w:type="character" w:customStyle="1" w:styleId="CaptionSourceChar">
    <w:name w:val="Caption Source Char"/>
    <w:basedOn w:val="DefaultParagraphFont"/>
    <w:link w:val="CaptionSource"/>
    <w:rsid w:val="00454A11"/>
    <w:rPr>
      <w:rFonts w:ascii="Arial" w:hAnsi="Arial"/>
      <w:color w:val="000000"/>
      <w:sz w:val="14"/>
      <w:lang w:eastAsia="en-US"/>
    </w:rPr>
  </w:style>
  <w:style w:type="character" w:customStyle="1" w:styleId="QuotesourcedescriptorChar">
    <w:name w:val="Quote source descriptor Char"/>
    <w:basedOn w:val="CaptionSourceChar"/>
    <w:link w:val="Quotesourcedescriptor"/>
    <w:rsid w:val="00097535"/>
    <w:rPr>
      <w:rFonts w:ascii="Arial" w:hAnsi="Arial"/>
      <w:color w:val="000000"/>
      <w:sz w:val="14"/>
      <w:lang w:eastAsia="en-US"/>
    </w:rPr>
  </w:style>
  <w:style w:type="character" w:customStyle="1" w:styleId="BSubheading-GreenChar">
    <w:name w:val="B Subheading - Green Char"/>
    <w:basedOn w:val="BSubheading-BlueChar"/>
    <w:link w:val="BSubheading-Green"/>
    <w:rsid w:val="00454A11"/>
    <w:rPr>
      <w:rFonts w:ascii="Arial" w:hAnsi="Arial"/>
      <w:b/>
      <w:noProof/>
      <w:color w:val="92D400"/>
      <w:sz w:val="24"/>
      <w:szCs w:val="24"/>
      <w:lang w:val="en-GB" w:eastAsia="en-US" w:bidi="ar-SA"/>
    </w:rPr>
  </w:style>
  <w:style w:type="character" w:customStyle="1" w:styleId="TableGreenheaderChar">
    <w:name w:val="Table Green header Char"/>
    <w:basedOn w:val="BSubheading-GreenChar"/>
    <w:link w:val="TableGreenheader"/>
    <w:rsid w:val="00A633DB"/>
    <w:rPr>
      <w:rFonts w:ascii="Arial" w:hAnsi="Arial"/>
      <w:b/>
      <w:noProof/>
      <w:color w:val="92D400"/>
      <w:sz w:val="24"/>
      <w:szCs w:val="24"/>
      <w:lang w:val="en-GB" w:eastAsia="en-US" w:bidi="ar-SA"/>
    </w:rPr>
  </w:style>
  <w:style w:type="character" w:customStyle="1" w:styleId="ContactsSubheadingChar">
    <w:name w:val="Contacts Subheading Char"/>
    <w:basedOn w:val="TableGreenheaderChar"/>
    <w:link w:val="ContactsSubheading"/>
    <w:rsid w:val="00A01006"/>
    <w:rPr>
      <w:rFonts w:ascii="Arial" w:hAnsi="Arial"/>
      <w:b/>
      <w:noProof/>
      <w:color w:val="92D400"/>
      <w:sz w:val="24"/>
      <w:szCs w:val="24"/>
      <w:lang w:val="en-GB" w:eastAsia="en-US" w:bidi="ar-SA"/>
    </w:rPr>
  </w:style>
  <w:style w:type="character" w:customStyle="1" w:styleId="TableEntryChar">
    <w:name w:val="Table Entry Char"/>
    <w:basedOn w:val="DefaultParagraphFont"/>
    <w:link w:val="TableEntry"/>
    <w:rsid w:val="00C15DCA"/>
    <w:rPr>
      <w:rFonts w:ascii="Arial" w:hAnsi="Arial"/>
      <w:color w:val="000000"/>
      <w:sz w:val="16"/>
      <w:szCs w:val="24"/>
      <w:lang w:eastAsia="en-US"/>
    </w:rPr>
  </w:style>
  <w:style w:type="character" w:customStyle="1" w:styleId="ContactstextChar">
    <w:name w:val="Contacts text Char"/>
    <w:basedOn w:val="TableEntryChar"/>
    <w:link w:val="Contactstext"/>
    <w:rsid w:val="00901ABC"/>
    <w:rPr>
      <w:rFonts w:ascii="Arial" w:hAnsi="Arial"/>
      <w:color w:val="000000"/>
      <w:sz w:val="16"/>
      <w:szCs w:val="24"/>
      <w:lang w:eastAsia="en-US"/>
    </w:rPr>
  </w:style>
  <w:style w:type="paragraph" w:customStyle="1" w:styleId="QuoteSource">
    <w:name w:val="Quote Source"/>
    <w:basedOn w:val="Quotesourcedescriptor"/>
    <w:link w:val="QuoteSourceChar"/>
    <w:rsid w:val="00054F65"/>
    <w:pPr>
      <w:spacing w:line="180" w:lineRule="atLeast"/>
    </w:pPr>
  </w:style>
  <w:style w:type="character" w:customStyle="1" w:styleId="QuoteSourceChar">
    <w:name w:val="Quote Source Char"/>
    <w:basedOn w:val="QuotesourcedescriptorChar"/>
    <w:link w:val="QuoteSource"/>
    <w:rsid w:val="00054F65"/>
    <w:rPr>
      <w:rFonts w:ascii="Arial" w:hAnsi="Arial"/>
      <w:color w:val="000000"/>
      <w:sz w:val="14"/>
      <w:lang w:eastAsia="en-US"/>
    </w:rPr>
  </w:style>
  <w:style w:type="numbering" w:customStyle="1" w:styleId="ReportNumbering">
    <w:name w:val="Report Numbering"/>
    <w:basedOn w:val="NoList"/>
    <w:uiPriority w:val="99"/>
    <w:rsid w:val="006A6BF8"/>
    <w:pPr>
      <w:numPr>
        <w:numId w:val="1"/>
      </w:numPr>
    </w:pPr>
  </w:style>
  <w:style w:type="table" w:customStyle="1" w:styleId="DeloitteTable-LightGreen">
    <w:name w:val="Deloitte Table - Light Green"/>
    <w:basedOn w:val="TableNormal"/>
    <w:uiPriority w:val="99"/>
    <w:qFormat/>
    <w:rsid w:val="00B601B2"/>
    <w:rPr>
      <w:rFonts w:ascii="Arial" w:hAnsi="Arial"/>
      <w:sz w:val="18"/>
    </w:rPr>
    <w:tblPr>
      <w:tblStyleRowBandSize w:val="1"/>
      <w:tblBorders>
        <w:bottom w:val="single" w:sz="4" w:space="0" w:color="92D400" w:themeColor="accent2"/>
        <w:insideH w:val="single" w:sz="4" w:space="0" w:color="92D400" w:themeColor="accent2"/>
      </w:tblBorders>
    </w:tblPr>
    <w:tcPr>
      <w:shd w:val="clear" w:color="auto" w:fill="FFFFFF" w:themeFill="background1"/>
    </w:tcPr>
    <w:tblStylePr w:type="firstRow">
      <w:rPr>
        <w:rFonts w:ascii="Arial" w:hAnsi="Arial"/>
        <w:b/>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92D400" w:themeFill="accent2"/>
      </w:tcPr>
    </w:tblStylePr>
  </w:style>
  <w:style w:type="table" w:customStyle="1" w:styleId="DeloitteTable-DarkBlue">
    <w:name w:val="Deloitte Table - Dark Blue"/>
    <w:basedOn w:val="TableNormal"/>
    <w:uiPriority w:val="99"/>
    <w:qFormat/>
    <w:rsid w:val="00901ABC"/>
    <w:rPr>
      <w:rFonts w:ascii="Arial" w:hAnsi="Arial"/>
    </w:rPr>
    <w:tblPr>
      <w:tblBorders>
        <w:bottom w:val="single" w:sz="4" w:space="0" w:color="002776" w:themeColor="text2"/>
        <w:insideH w:val="single" w:sz="4" w:space="0" w:color="002776" w:themeColor="text2"/>
      </w:tblBorders>
    </w:tblPr>
    <w:tblStylePr w:type="firstRow">
      <w:rPr>
        <w:rFonts w:ascii="Arial" w:hAnsi="Arial"/>
        <w:b/>
        <w:sz w:val="20"/>
      </w:rPr>
      <w:tblPr/>
      <w:tcPr>
        <w:shd w:val="clear" w:color="auto" w:fill="002776" w:themeFill="text2"/>
      </w:tcPr>
    </w:tblStylePr>
  </w:style>
  <w:style w:type="table" w:styleId="LightList-Accent3">
    <w:name w:val="Light List Accent 3"/>
    <w:basedOn w:val="TableNormal"/>
    <w:uiPriority w:val="61"/>
    <w:rsid w:val="001A3E03"/>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table" w:styleId="MediumShading1-Accent3">
    <w:name w:val="Medium Shading 1 Accent 3"/>
    <w:aliases w:val="Deloitte Table - Blue Medium Shading"/>
    <w:basedOn w:val="TableNormal"/>
    <w:uiPriority w:val="63"/>
    <w:rsid w:val="00B601B2"/>
    <w:rPr>
      <w:rFonts w:ascii="Arial" w:hAnsi="Arial"/>
    </w:rPr>
    <w:tblPr>
      <w:tblStyleRowBandSize w:val="1"/>
      <w:tblStyleColBandSize w:val="1"/>
    </w:tblPr>
    <w:tblStylePr w:type="firstRow">
      <w:pPr>
        <w:spacing w:before="0" w:after="0" w:line="240" w:lineRule="auto"/>
      </w:pPr>
      <w:rPr>
        <w:rFonts w:ascii="Arial" w:hAnsi="Arial"/>
        <w:b/>
        <w:bCs/>
        <w:color w:val="FFFFFF" w:themeColor="background1"/>
        <w:sz w:val="20"/>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val="0"/>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val="0"/>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table" w:customStyle="1" w:styleId="DeloitteTable-Blue">
    <w:name w:val="Deloitte Table - Blue"/>
    <w:basedOn w:val="TableNormal"/>
    <w:uiPriority w:val="99"/>
    <w:qFormat/>
    <w:rsid w:val="001B7A65"/>
    <w:rPr>
      <w:rFonts w:ascii="Arial" w:hAnsi="Arial"/>
    </w:rPr>
    <w:tblPr>
      <w:tblBorders>
        <w:bottom w:val="single" w:sz="4" w:space="0" w:color="00A1DE" w:themeColor="accent3"/>
        <w:insideH w:val="single" w:sz="4" w:space="0" w:color="00A1DE" w:themeColor="accent3"/>
      </w:tblBorders>
    </w:tblPr>
    <w:tblStylePr w:type="firstRow">
      <w:rPr>
        <w:rFonts w:ascii="Arial" w:hAnsi="Arial"/>
        <w:b/>
        <w:color w:val="FFFFFF" w:themeColor="background1"/>
        <w:sz w:val="20"/>
      </w:rPr>
      <w:tblPr/>
      <w:tcPr>
        <w:shd w:val="clear" w:color="auto" w:fill="00A1DE" w:themeFill="accent3"/>
      </w:tcPr>
    </w:tblStylePr>
  </w:style>
  <w:style w:type="table" w:customStyle="1" w:styleId="DeloitteTable-DarkGreen">
    <w:name w:val="Deloitte Table - Dark Green"/>
    <w:basedOn w:val="TableNormal"/>
    <w:uiPriority w:val="99"/>
    <w:qFormat/>
    <w:rsid w:val="001335F5"/>
    <w:rPr>
      <w:rFonts w:ascii="Arial" w:hAnsi="Arial"/>
      <w:sz w:val="24"/>
    </w:rPr>
    <w:tblPr>
      <w:tblBorders>
        <w:bottom w:val="single" w:sz="4" w:space="0" w:color="3C8A2E" w:themeColor="accent4"/>
        <w:insideH w:val="single" w:sz="4" w:space="0" w:color="3C8A2E" w:themeColor="accent4"/>
      </w:tblBorders>
    </w:tblPr>
    <w:tcPr>
      <w:shd w:val="clear" w:color="auto" w:fill="FFFFFF" w:themeFill="background1"/>
    </w:tcPr>
    <w:tblStylePr w:type="firstRow">
      <w:rPr>
        <w:rFonts w:ascii="Arial" w:hAnsi="Arial"/>
        <w:b/>
        <w:color w:val="FFFFFF" w:themeColor="background1"/>
        <w:sz w:val="20"/>
      </w:rPr>
      <w:tblPr/>
      <w:tcPr>
        <w:shd w:val="clear" w:color="auto" w:fill="3C8A2E" w:themeFill="accent4"/>
      </w:tcPr>
    </w:tblStylePr>
  </w:style>
  <w:style w:type="table" w:customStyle="1" w:styleId="DeloitteTable-DarkGreenMediumShading">
    <w:name w:val="Deloitte Table - Dark Green Medium Shading"/>
    <w:basedOn w:val="TableNormal"/>
    <w:uiPriority w:val="99"/>
    <w:qFormat/>
    <w:rsid w:val="001335F5"/>
    <w:rPr>
      <w:rFonts w:ascii="Arial" w:hAnsi="Arial"/>
    </w:rPr>
    <w:tblPr>
      <w:tblStyleRowBandSize w:val="1"/>
    </w:tblPr>
    <w:tcPr>
      <w:shd w:val="clear" w:color="auto" w:fill="FFFFFF" w:themeFill="background1"/>
    </w:tcPr>
    <w:tblStylePr w:type="firstRow">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3C8A2E" w:themeFill="accent4"/>
      </w:tcPr>
    </w:tblStylePr>
    <w:tblStylePr w:type="band1Horz">
      <w:tblPr/>
      <w:tcPr>
        <w:shd w:val="clear" w:color="auto" w:fill="D2EECE" w:themeFill="accent4" w:themeFillTint="33"/>
      </w:tcPr>
    </w:tblStylePr>
  </w:style>
  <w:style w:type="table" w:customStyle="1" w:styleId="DeloitteTable-LightGreenMediumShading">
    <w:name w:val="Deloitte Table - Light Green Medium Shading"/>
    <w:basedOn w:val="TableNormal"/>
    <w:uiPriority w:val="99"/>
    <w:qFormat/>
    <w:rsid w:val="00C97D7C"/>
    <w:rPr>
      <w:rFonts w:ascii="Arial" w:hAnsi="Arial"/>
    </w:rPr>
    <w:tblPr>
      <w:tblStyleRowBandSize w:val="1"/>
    </w:tblPr>
    <w:tcPr>
      <w:shd w:val="clear" w:color="auto" w:fill="FFFFFF" w:themeFill="background1"/>
    </w:tcPr>
    <w:tblStylePr w:type="firstRow">
      <w:rPr>
        <w:rFonts w:ascii="Arial" w:hAnsi="Arial"/>
        <w:b/>
        <w:color w:val="FFFFFF" w:themeColor="background1"/>
        <w:sz w:val="20"/>
      </w:rPr>
      <w:tblPr/>
      <w:tcPr>
        <w:shd w:val="clear" w:color="auto" w:fill="92D400" w:themeFill="accent2"/>
      </w:tcPr>
    </w:tblStylePr>
    <w:tblStylePr w:type="band1Horz">
      <w:rPr>
        <w:rFonts w:ascii="Arial" w:hAnsi="Arial"/>
        <w:sz w:val="20"/>
      </w:rPr>
      <w:tblPr/>
      <w:tcPr>
        <w:shd w:val="clear" w:color="auto" w:fill="ECFFC3" w:themeFill="accent2" w:themeFillTint="33"/>
      </w:tcPr>
    </w:tblStylePr>
  </w:style>
  <w:style w:type="character" w:styleId="Hyperlink">
    <w:name w:val="Hyperlink"/>
    <w:basedOn w:val="DefaultParagraphFont"/>
    <w:uiPriority w:val="99"/>
    <w:unhideWhenUsed/>
    <w:rsid w:val="006A004B"/>
    <w:rPr>
      <w:color w:val="00A1DE" w:themeColor="hyperlink"/>
      <w:u w:val="single"/>
    </w:rPr>
  </w:style>
  <w:style w:type="character" w:customStyle="1" w:styleId="Heading6Char">
    <w:name w:val="Heading 6 Char"/>
    <w:basedOn w:val="DefaultParagraphFont"/>
    <w:link w:val="Heading6"/>
    <w:uiPriority w:val="9"/>
    <w:semiHidden/>
    <w:rsid w:val="004E354A"/>
    <w:rPr>
      <w:rFonts w:asciiTheme="majorHAnsi" w:eastAsiaTheme="majorEastAsia" w:hAnsiTheme="majorHAnsi" w:cstheme="majorBidi"/>
      <w:i/>
      <w:iCs/>
      <w:color w:val="00133A" w:themeColor="accent1" w:themeShade="7F"/>
      <w:lang w:eastAsia="en-US"/>
    </w:rPr>
  </w:style>
  <w:style w:type="numbering" w:customStyle="1" w:styleId="Bullets-Level1-3">
    <w:name w:val="Bullets - Level 1-3"/>
    <w:uiPriority w:val="99"/>
    <w:rsid w:val="000B4516"/>
    <w:pPr>
      <w:numPr>
        <w:numId w:val="2"/>
      </w:numPr>
    </w:pPr>
  </w:style>
  <w:style w:type="paragraph" w:customStyle="1" w:styleId="Bulletlevel3">
    <w:name w:val="Bullet level 3"/>
    <w:basedOn w:val="Bulletlevel2"/>
    <w:qFormat/>
    <w:rsid w:val="000B4516"/>
    <w:pPr>
      <w:numPr>
        <w:ilvl w:val="2"/>
      </w:numPr>
    </w:pPr>
  </w:style>
  <w:style w:type="table" w:customStyle="1" w:styleId="Deloittetable-LightBlue">
    <w:name w:val="Deloitte table - Light Blue"/>
    <w:basedOn w:val="TableNormal"/>
    <w:uiPriority w:val="99"/>
    <w:qFormat/>
    <w:rsid w:val="00F05057"/>
    <w:rPr>
      <w:rFonts w:ascii="Arial" w:hAnsi="Arial"/>
    </w:rPr>
    <w:tblPr>
      <w:tblBorders>
        <w:bottom w:val="single" w:sz="4" w:space="0" w:color="C5EEFF" w:themeColor="accent3" w:themeTint="33"/>
        <w:insideH w:val="single" w:sz="4" w:space="0" w:color="C5EEFF" w:themeColor="accent3" w:themeTint="33"/>
      </w:tblBorders>
    </w:tblPr>
    <w:tcPr>
      <w:shd w:val="clear" w:color="auto" w:fill="FFFFFF" w:themeFill="background1"/>
    </w:tcPr>
    <w:tblStylePr w:type="firstRow">
      <w:rPr>
        <w:rFonts w:ascii="Arial" w:hAnsi="Arial"/>
        <w:b/>
        <w:color w:val="FFFFFF" w:themeColor="background1"/>
        <w:sz w:val="20"/>
      </w:rPr>
      <w:tblPr/>
      <w:tcPr>
        <w:shd w:val="clear" w:color="auto" w:fill="C6E8F5" w:themeFill="accent5" w:themeFillTint="66"/>
      </w:tcPr>
    </w:tblStylePr>
  </w:style>
  <w:style w:type="table" w:customStyle="1" w:styleId="DeloitteTable-LightBlueLightShading">
    <w:name w:val="Deloitte Table - Light Blue Light Shading"/>
    <w:basedOn w:val="TableNormal"/>
    <w:uiPriority w:val="99"/>
    <w:qFormat/>
    <w:rsid w:val="008F73FF"/>
    <w:rPr>
      <w:rFonts w:ascii="Arial" w:hAnsi="Arial"/>
    </w:rPr>
    <w:tblPr>
      <w:tblStyleRowBandSize w:val="1"/>
    </w:tblPr>
    <w:tblStylePr w:type="firstRow">
      <w:rPr>
        <w:rFonts w:ascii="Arial" w:hAnsi="Arial"/>
        <w:b/>
        <w:color w:val="FFFFFF" w:themeColor="background1"/>
        <w:sz w:val="20"/>
      </w:rPr>
      <w:tblPr/>
      <w:tcPr>
        <w:shd w:val="clear" w:color="auto" w:fill="AADDF0" w:themeFill="accent5" w:themeFillTint="99"/>
      </w:tcPr>
    </w:tblStylePr>
    <w:tblStylePr w:type="band1Horz">
      <w:tblPr/>
      <w:tcPr>
        <w:shd w:val="clear" w:color="auto" w:fill="E2F3FA" w:themeFill="accent5" w:themeFillTint="33"/>
      </w:tcPr>
    </w:tblStylePr>
  </w:style>
  <w:style w:type="table" w:customStyle="1" w:styleId="DeloitteTable-DarkBlueMediumShading">
    <w:name w:val="Deloitte Table - Dark Blue Medium Shading"/>
    <w:basedOn w:val="TableNormal"/>
    <w:uiPriority w:val="99"/>
    <w:qFormat/>
    <w:rsid w:val="008F73FF"/>
    <w:rPr>
      <w:rFonts w:ascii="Arial" w:hAnsi="Arial"/>
    </w:rPr>
    <w:tblPr>
      <w:tblStyleRowBandSize w:val="1"/>
    </w:tblPr>
    <w:tblStylePr w:type="firstRow">
      <w:rPr>
        <w:rFonts w:ascii="Arial" w:hAnsi="Arial"/>
        <w:b/>
        <w:color w:val="FFFFFF" w:themeColor="background1"/>
        <w:sz w:val="20"/>
      </w:rPr>
      <w:tblPr/>
      <w:tcPr>
        <w:shd w:val="clear" w:color="auto" w:fill="002776" w:themeFill="text2"/>
      </w:tcPr>
    </w:tblStylePr>
    <w:tblStylePr w:type="band1Horz">
      <w:rPr>
        <w:rFonts w:ascii="Arial" w:hAnsi="Arial"/>
        <w:sz w:val="20"/>
      </w:rPr>
      <w:tblPr/>
      <w:tcPr>
        <w:shd w:val="clear" w:color="auto" w:fill="B0CAFF" w:themeFill="text2" w:themeFillTint="33"/>
      </w:tcPr>
    </w:tblStylePr>
  </w:style>
  <w:style w:type="paragraph" w:styleId="FootnoteText">
    <w:name w:val="footnote text"/>
    <w:basedOn w:val="Normal"/>
    <w:link w:val="FootnoteTextChar"/>
    <w:uiPriority w:val="99"/>
    <w:semiHidden/>
    <w:unhideWhenUsed/>
    <w:rsid w:val="00D91615"/>
    <w:pPr>
      <w:spacing w:after="0" w:line="240" w:lineRule="auto"/>
    </w:pPr>
  </w:style>
  <w:style w:type="character" w:customStyle="1" w:styleId="FootnoteTextChar">
    <w:name w:val="Footnote Text Char"/>
    <w:basedOn w:val="DefaultParagraphFont"/>
    <w:link w:val="FootnoteText"/>
    <w:uiPriority w:val="99"/>
    <w:semiHidden/>
    <w:rsid w:val="00D91615"/>
    <w:rPr>
      <w:rFonts w:ascii="Arial" w:hAnsi="Arial"/>
      <w:color w:val="000000"/>
      <w:lang w:eastAsia="en-US"/>
    </w:rPr>
  </w:style>
  <w:style w:type="character" w:styleId="FootnoteReference">
    <w:name w:val="footnote reference"/>
    <w:basedOn w:val="DefaultParagraphFont"/>
    <w:uiPriority w:val="99"/>
    <w:semiHidden/>
    <w:unhideWhenUsed/>
    <w:rsid w:val="00D91615"/>
    <w:rPr>
      <w:vertAlign w:val="superscript"/>
    </w:rPr>
  </w:style>
  <w:style w:type="paragraph" w:styleId="NormalWeb">
    <w:name w:val="Normal (Web)"/>
    <w:basedOn w:val="Normal"/>
    <w:uiPriority w:val="99"/>
    <w:unhideWhenUsed/>
    <w:rsid w:val="00D17573"/>
    <w:pPr>
      <w:spacing w:after="0" w:line="217" w:lineRule="atLeast"/>
    </w:pPr>
    <w:rPr>
      <w:rFonts w:ascii="Times New Roman" w:eastAsiaTheme="minorHAnsi" w:hAnsi="Times New Roman"/>
      <w:color w:val="auto"/>
      <w:sz w:val="24"/>
      <w:szCs w:val="24"/>
      <w:lang w:eastAsia="en-NZ"/>
    </w:rPr>
  </w:style>
  <w:style w:type="table" w:styleId="MediumList1-Accent3">
    <w:name w:val="Medium List 1 Accent 3"/>
    <w:basedOn w:val="TableNormal"/>
    <w:uiPriority w:val="65"/>
    <w:rsid w:val="004B02FA"/>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A1DE" w:themeColor="accent3"/>
        <w:bottom w:val="single" w:sz="8" w:space="0" w:color="00A1DE" w:themeColor="accent3"/>
      </w:tblBorders>
    </w:tblPr>
    <w:tblStylePr w:type="firstRow">
      <w:rPr>
        <w:rFonts w:asciiTheme="majorHAnsi" w:eastAsiaTheme="majorEastAsia" w:hAnsiTheme="majorHAnsi" w:cstheme="majorBidi"/>
      </w:rPr>
      <w:tblPr/>
      <w:tcPr>
        <w:tcBorders>
          <w:top w:val="nil"/>
          <w:bottom w:val="single" w:sz="8" w:space="0" w:color="00A1DE" w:themeColor="accent3"/>
        </w:tcBorders>
      </w:tcPr>
    </w:tblStylePr>
    <w:tblStylePr w:type="lastRow">
      <w:rPr>
        <w:b/>
        <w:bCs/>
        <w:color w:val="002776" w:themeColor="text2"/>
      </w:rPr>
      <w:tblPr/>
      <w:tcPr>
        <w:tcBorders>
          <w:top w:val="single" w:sz="8" w:space="0" w:color="00A1DE" w:themeColor="accent3"/>
          <w:bottom w:val="single" w:sz="8" w:space="0" w:color="00A1DE" w:themeColor="accent3"/>
        </w:tcBorders>
      </w:tcPr>
    </w:tblStylePr>
    <w:tblStylePr w:type="firstCol">
      <w:rPr>
        <w:b/>
        <w:bCs/>
      </w:rPr>
    </w:tblStylePr>
    <w:tblStylePr w:type="lastCol">
      <w:rPr>
        <w:b/>
        <w:bCs/>
      </w:rPr>
      <w:tblPr/>
      <w:tcPr>
        <w:tcBorders>
          <w:top w:val="single" w:sz="8" w:space="0" w:color="00A1DE" w:themeColor="accent3"/>
          <w:bottom w:val="single" w:sz="8" w:space="0" w:color="00A1DE" w:themeColor="accent3"/>
        </w:tcBorders>
      </w:tcPr>
    </w:tblStylePr>
    <w:tblStylePr w:type="band1Vert">
      <w:tblPr/>
      <w:tcPr>
        <w:shd w:val="clear" w:color="auto" w:fill="B7EBFF" w:themeFill="accent3" w:themeFillTint="3F"/>
      </w:tcPr>
    </w:tblStylePr>
    <w:tblStylePr w:type="band1Horz">
      <w:tblPr/>
      <w:tcPr>
        <w:shd w:val="clear" w:color="auto" w:fill="B7EBFF" w:themeFill="accent3" w:themeFillTint="3F"/>
      </w:tcPr>
    </w:tblStylePr>
  </w:style>
  <w:style w:type="character" w:styleId="CommentReference">
    <w:name w:val="annotation reference"/>
    <w:basedOn w:val="DefaultParagraphFont"/>
    <w:uiPriority w:val="99"/>
    <w:semiHidden/>
    <w:unhideWhenUsed/>
    <w:rsid w:val="00DF2989"/>
    <w:rPr>
      <w:sz w:val="16"/>
      <w:szCs w:val="16"/>
    </w:rPr>
  </w:style>
  <w:style w:type="paragraph" w:styleId="CommentText">
    <w:name w:val="annotation text"/>
    <w:basedOn w:val="Normal"/>
    <w:link w:val="CommentTextChar"/>
    <w:uiPriority w:val="99"/>
    <w:semiHidden/>
    <w:unhideWhenUsed/>
    <w:rsid w:val="00DF2989"/>
    <w:pPr>
      <w:spacing w:line="240" w:lineRule="auto"/>
    </w:pPr>
  </w:style>
  <w:style w:type="character" w:customStyle="1" w:styleId="CommentTextChar">
    <w:name w:val="Comment Text Char"/>
    <w:basedOn w:val="DefaultParagraphFont"/>
    <w:link w:val="CommentText"/>
    <w:uiPriority w:val="99"/>
    <w:semiHidden/>
    <w:rsid w:val="00DF2989"/>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DF2989"/>
    <w:rPr>
      <w:b/>
      <w:bCs/>
    </w:rPr>
  </w:style>
  <w:style w:type="character" w:customStyle="1" w:styleId="CommentSubjectChar">
    <w:name w:val="Comment Subject Char"/>
    <w:basedOn w:val="CommentTextChar"/>
    <w:link w:val="CommentSubject"/>
    <w:uiPriority w:val="99"/>
    <w:semiHidden/>
    <w:rsid w:val="00DF2989"/>
    <w:rPr>
      <w:rFonts w:ascii="Arial" w:hAnsi="Arial"/>
      <w:b/>
      <w:bCs/>
      <w:color w:val="000000"/>
      <w:lang w:eastAsia="en-US"/>
    </w:rPr>
  </w:style>
  <w:style w:type="paragraph" w:styleId="Revision">
    <w:name w:val="Revision"/>
    <w:hidden/>
    <w:uiPriority w:val="99"/>
    <w:semiHidden/>
    <w:rsid w:val="00D64815"/>
    <w:rPr>
      <w:rFonts w:ascii="Arial" w:hAnsi="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354A"/>
    <w:pPr>
      <w:spacing w:after="240" w:line="280" w:lineRule="atLeast"/>
    </w:pPr>
    <w:rPr>
      <w:rFonts w:ascii="Arial" w:hAnsi="Arial"/>
      <w:color w:val="000000"/>
      <w:lang w:eastAsia="en-US"/>
    </w:rPr>
  </w:style>
  <w:style w:type="paragraph" w:styleId="Heading1">
    <w:name w:val="heading 1"/>
    <w:aliases w:val="Page heading"/>
    <w:next w:val="Normal"/>
    <w:link w:val="Heading1Char"/>
    <w:rsid w:val="00182541"/>
    <w:pPr>
      <w:keepNext/>
      <w:pageBreakBefore/>
      <w:spacing w:after="1600"/>
      <w:outlineLvl w:val="0"/>
    </w:pPr>
    <w:rPr>
      <w:rFonts w:ascii="Times New Roman" w:hAnsi="Times New Roman"/>
      <w:noProof/>
      <w:color w:val="002776"/>
      <w:kern w:val="32"/>
      <w:sz w:val="60"/>
      <w:szCs w:val="60"/>
      <w:lang w:val="en-GB" w:eastAsia="en-US"/>
    </w:rPr>
  </w:style>
  <w:style w:type="paragraph" w:styleId="Heading2">
    <w:name w:val="heading 2"/>
    <w:next w:val="Bodycopy"/>
    <w:link w:val="Heading2Char"/>
    <w:rsid w:val="00F11D9A"/>
    <w:pPr>
      <w:spacing w:before="320" w:after="120"/>
      <w:ind w:left="567" w:hanging="567"/>
      <w:outlineLvl w:val="1"/>
    </w:pPr>
    <w:rPr>
      <w:rFonts w:ascii="Arial" w:hAnsi="Arial"/>
      <w:b/>
      <w:noProof/>
      <w:color w:val="92D400"/>
      <w:sz w:val="24"/>
      <w:szCs w:val="24"/>
      <w:lang w:val="en-GB" w:eastAsia="en-US"/>
    </w:rPr>
  </w:style>
  <w:style w:type="paragraph" w:styleId="Heading3">
    <w:name w:val="heading 3"/>
    <w:aliases w:val="C Subheading - Black"/>
    <w:next w:val="Normal"/>
    <w:rsid w:val="008F73FF"/>
    <w:pPr>
      <w:keepNext/>
      <w:tabs>
        <w:tab w:val="right" w:pos="425"/>
        <w:tab w:val="left" w:pos="567"/>
      </w:tabs>
      <w:spacing w:before="240" w:after="240"/>
      <w:outlineLvl w:val="2"/>
    </w:pPr>
    <w:rPr>
      <w:rFonts w:ascii="Arial" w:hAnsi="Arial"/>
      <w:b/>
      <w:color w:val="000000"/>
      <w:sz w:val="24"/>
      <w:lang w:eastAsia="en-US"/>
    </w:rPr>
  </w:style>
  <w:style w:type="paragraph" w:styleId="Heading4">
    <w:name w:val="heading 4"/>
    <w:aliases w:val="D Subheading - Black"/>
    <w:basedOn w:val="Heading3"/>
    <w:next w:val="Normal"/>
    <w:rsid w:val="00A01006"/>
    <w:pPr>
      <w:outlineLvl w:val="3"/>
    </w:pPr>
    <w:rPr>
      <w:bCs/>
      <w:i/>
      <w:szCs w:val="28"/>
    </w:rPr>
  </w:style>
  <w:style w:type="paragraph" w:styleId="Heading5">
    <w:name w:val="heading 5"/>
    <w:aliases w:val="E Subheading - Black"/>
    <w:basedOn w:val="Heading3"/>
    <w:next w:val="Normal"/>
    <w:rsid w:val="00A01006"/>
    <w:pPr>
      <w:outlineLvl w:val="4"/>
    </w:pPr>
    <w:rPr>
      <w:b w:val="0"/>
      <w:bCs/>
      <w:i/>
      <w:iCs/>
      <w:szCs w:val="26"/>
    </w:rPr>
  </w:style>
  <w:style w:type="paragraph" w:styleId="Heading6">
    <w:name w:val="heading 6"/>
    <w:basedOn w:val="Normal"/>
    <w:next w:val="Normal"/>
    <w:link w:val="Heading6Char"/>
    <w:uiPriority w:val="9"/>
    <w:semiHidden/>
    <w:unhideWhenUsed/>
    <w:rsid w:val="004E354A"/>
    <w:pPr>
      <w:keepNext/>
      <w:keepLines/>
      <w:spacing w:before="200" w:after="0"/>
      <w:outlineLvl w:val="5"/>
    </w:pPr>
    <w:rPr>
      <w:rFonts w:asciiTheme="majorHAnsi" w:eastAsiaTheme="majorEastAsia" w:hAnsiTheme="majorHAnsi" w:cstheme="majorBidi"/>
      <w:i/>
      <w:iCs/>
      <w:color w:val="00133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heading Char"/>
    <w:basedOn w:val="DefaultParagraphFont"/>
    <w:link w:val="Heading1"/>
    <w:rsid w:val="00182541"/>
    <w:rPr>
      <w:rFonts w:ascii="Times New Roman" w:hAnsi="Times New Roman"/>
      <w:noProof/>
      <w:color w:val="002776"/>
      <w:kern w:val="32"/>
      <w:sz w:val="60"/>
      <w:szCs w:val="60"/>
      <w:lang w:val="en-GB" w:eastAsia="en-US"/>
    </w:rPr>
  </w:style>
  <w:style w:type="character" w:customStyle="1" w:styleId="Heading2Char">
    <w:name w:val="Heading 2 Char"/>
    <w:basedOn w:val="DefaultParagraphFont"/>
    <w:link w:val="Heading2"/>
    <w:rsid w:val="00F11D9A"/>
    <w:rPr>
      <w:rFonts w:ascii="Arial" w:hAnsi="Arial"/>
      <w:b/>
      <w:noProof/>
      <w:color w:val="92D400"/>
      <w:sz w:val="24"/>
      <w:szCs w:val="24"/>
      <w:lang w:val="en-GB" w:eastAsia="en-US" w:bidi="ar-SA"/>
    </w:rPr>
  </w:style>
  <w:style w:type="character" w:customStyle="1" w:styleId="CaptionbodyChar">
    <w:name w:val="Caption body Char"/>
    <w:basedOn w:val="DefaultParagraphFont"/>
    <w:link w:val="Captionbody"/>
    <w:rsid w:val="00655126"/>
    <w:rPr>
      <w:rFonts w:ascii="Arial" w:hAnsi="Arial"/>
      <w:color w:val="000000"/>
      <w:sz w:val="18"/>
      <w:lang w:eastAsia="en-US"/>
    </w:rPr>
  </w:style>
  <w:style w:type="paragraph" w:customStyle="1" w:styleId="Captionbody">
    <w:name w:val="Caption body"/>
    <w:link w:val="CaptionbodyChar"/>
    <w:rsid w:val="00655126"/>
    <w:pPr>
      <w:spacing w:after="80" w:line="200" w:lineRule="exact"/>
    </w:pPr>
    <w:rPr>
      <w:rFonts w:ascii="Arial" w:hAnsi="Arial"/>
      <w:color w:val="000000"/>
      <w:sz w:val="18"/>
      <w:lang w:eastAsia="en-US"/>
    </w:rPr>
  </w:style>
  <w:style w:type="table" w:styleId="LightList-Accent2">
    <w:name w:val="Light List Accent 2"/>
    <w:basedOn w:val="TableNormal"/>
    <w:uiPriority w:val="61"/>
    <w:rsid w:val="00BA46D9"/>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tblBorders>
    </w:tblPr>
    <w:tblStylePr w:type="firstRow">
      <w:pPr>
        <w:spacing w:before="0" w:after="0" w:line="240" w:lineRule="auto"/>
      </w:pPr>
      <w:rPr>
        <w:b/>
        <w:bCs/>
        <w:color w:val="FFFFFF" w:themeColor="background1"/>
      </w:rPr>
      <w:tblPr/>
      <w:tcPr>
        <w:shd w:val="clear" w:color="auto" w:fill="92D400" w:themeFill="accent2"/>
      </w:tcPr>
    </w:tblStylePr>
    <w:tblStylePr w:type="lastRow">
      <w:pPr>
        <w:spacing w:before="0" w:after="0" w:line="240" w:lineRule="auto"/>
      </w:pPr>
      <w:rPr>
        <w:b/>
        <w:bCs/>
      </w:rPr>
      <w:tblPr/>
      <w:tcPr>
        <w:tcBorders>
          <w:top w:val="double" w:sz="6" w:space="0" w:color="92D400" w:themeColor="accent2"/>
          <w:left w:val="single" w:sz="8" w:space="0" w:color="92D400" w:themeColor="accent2"/>
          <w:bottom w:val="single" w:sz="8" w:space="0" w:color="92D400" w:themeColor="accent2"/>
          <w:right w:val="single" w:sz="8" w:space="0" w:color="92D400" w:themeColor="accent2"/>
        </w:tcBorders>
      </w:tcPr>
    </w:tblStylePr>
    <w:tblStylePr w:type="firstCol">
      <w:rPr>
        <w:b/>
        <w:bCs/>
      </w:rPr>
    </w:tblStylePr>
    <w:tblStylePr w:type="lastCol">
      <w:rPr>
        <w:b/>
        <w:bCs/>
      </w:rPr>
    </w:tblStylePr>
    <w:tblStylePr w:type="band1Vert">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tblStylePr w:type="band1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style>
  <w:style w:type="paragraph" w:styleId="Footer">
    <w:name w:val="footer"/>
    <w:basedOn w:val="Normal"/>
    <w:link w:val="FooterChar"/>
    <w:uiPriority w:val="99"/>
    <w:rsid w:val="00027A17"/>
    <w:pPr>
      <w:tabs>
        <w:tab w:val="center" w:pos="4320"/>
      </w:tabs>
    </w:pPr>
    <w:rPr>
      <w:b/>
      <w:sz w:val="16"/>
    </w:rPr>
  </w:style>
  <w:style w:type="character" w:customStyle="1" w:styleId="FooterChar">
    <w:name w:val="Footer Char"/>
    <w:basedOn w:val="DefaultParagraphFont"/>
    <w:link w:val="Footer"/>
    <w:uiPriority w:val="99"/>
    <w:rsid w:val="00E454B4"/>
    <w:rPr>
      <w:rFonts w:ascii="Arial" w:hAnsi="Arial"/>
      <w:b/>
      <w:color w:val="000000"/>
      <w:sz w:val="16"/>
      <w:lang w:eastAsia="en-US"/>
    </w:rPr>
  </w:style>
  <w:style w:type="paragraph" w:customStyle="1" w:styleId="ContactsSubheading">
    <w:name w:val="Contacts Subheading"/>
    <w:basedOn w:val="TableGreenheader"/>
    <w:link w:val="ContactsSubheadingChar"/>
    <w:rsid w:val="00A01006"/>
  </w:style>
  <w:style w:type="paragraph" w:customStyle="1" w:styleId="TableGreenheader">
    <w:name w:val="Table Green header"/>
    <w:basedOn w:val="BSubheading-Green"/>
    <w:link w:val="TableGreenheaderChar"/>
    <w:rsid w:val="002855F0"/>
    <w:pPr>
      <w:spacing w:before="200" w:after="80"/>
      <w:outlineLvl w:val="9"/>
    </w:pPr>
    <w:rPr>
      <w:sz w:val="20"/>
    </w:rPr>
  </w:style>
  <w:style w:type="paragraph" w:customStyle="1" w:styleId="BSubheading-Green">
    <w:name w:val="B Subheading - Green"/>
    <w:basedOn w:val="BSubheading-Blue"/>
    <w:next w:val="Bodycopy"/>
    <w:link w:val="BSubheading-GreenChar"/>
    <w:qFormat/>
    <w:rsid w:val="00454A11"/>
    <w:rPr>
      <w:color w:val="92D400"/>
    </w:rPr>
  </w:style>
  <w:style w:type="paragraph" w:customStyle="1" w:styleId="BSubheading-Blue">
    <w:name w:val="B Subheading - Blue"/>
    <w:basedOn w:val="Heading2"/>
    <w:next w:val="Bodycopy"/>
    <w:link w:val="BSubheading-BlueChar"/>
    <w:rsid w:val="00454A11"/>
    <w:pPr>
      <w:keepNext/>
      <w:spacing w:before="240" w:after="240"/>
      <w:ind w:left="0" w:firstLine="0"/>
    </w:pPr>
    <w:rPr>
      <w:noProof w:val="0"/>
      <w:color w:val="00A1DE"/>
      <w:lang w:val="en-NZ"/>
    </w:rPr>
  </w:style>
  <w:style w:type="character" w:customStyle="1" w:styleId="BSubheading-BlueChar">
    <w:name w:val="B Subheading - Blue Char"/>
    <w:basedOn w:val="Heading2Char"/>
    <w:link w:val="BSubheading-Blue"/>
    <w:rsid w:val="00454A11"/>
    <w:rPr>
      <w:rFonts w:ascii="Arial" w:hAnsi="Arial"/>
      <w:b/>
      <w:noProof/>
      <w:color w:val="00A1DE"/>
      <w:sz w:val="24"/>
      <w:szCs w:val="24"/>
      <w:lang w:val="en-GB" w:eastAsia="en-US" w:bidi="ar-SA"/>
    </w:rPr>
  </w:style>
  <w:style w:type="paragraph" w:styleId="Header">
    <w:name w:val="header"/>
    <w:basedOn w:val="Normal"/>
    <w:rsid w:val="00CA3BAB"/>
    <w:pPr>
      <w:tabs>
        <w:tab w:val="center" w:pos="4320"/>
        <w:tab w:val="right" w:pos="8640"/>
      </w:tabs>
    </w:pPr>
  </w:style>
  <w:style w:type="paragraph" w:styleId="ListBullet">
    <w:name w:val="List Bullet"/>
    <w:basedOn w:val="Normal"/>
    <w:link w:val="ListBulletChar"/>
    <w:rsid w:val="004C6F84"/>
    <w:pPr>
      <w:tabs>
        <w:tab w:val="left" w:pos="284"/>
      </w:tabs>
      <w:spacing w:line="220" w:lineRule="exact"/>
    </w:pPr>
    <w:rPr>
      <w:sz w:val="19"/>
    </w:rPr>
  </w:style>
  <w:style w:type="character" w:customStyle="1" w:styleId="ListBulletChar">
    <w:name w:val="List Bullet Char"/>
    <w:basedOn w:val="DefaultParagraphFont"/>
    <w:link w:val="ListBullet"/>
    <w:rsid w:val="004C6F84"/>
    <w:rPr>
      <w:rFonts w:ascii="Arial" w:eastAsia="Times" w:hAnsi="Arial"/>
      <w:color w:val="811788"/>
      <w:sz w:val="19"/>
      <w:lang w:val="en-GB" w:eastAsia="en-US" w:bidi="ar-SA"/>
    </w:rPr>
  </w:style>
  <w:style w:type="paragraph" w:styleId="ListBullet2">
    <w:name w:val="List Bullet 2"/>
    <w:basedOn w:val="Normal"/>
    <w:rsid w:val="00DA29DC"/>
    <w:pPr>
      <w:tabs>
        <w:tab w:val="left" w:pos="567"/>
        <w:tab w:val="left" w:pos="1134"/>
      </w:tabs>
      <w:spacing w:before="80"/>
    </w:pPr>
    <w:rPr>
      <w:sz w:val="18"/>
    </w:rPr>
  </w:style>
  <w:style w:type="paragraph" w:customStyle="1" w:styleId="TableEntry">
    <w:name w:val="Table Entry"/>
    <w:basedOn w:val="Normal"/>
    <w:link w:val="TableEntryChar"/>
    <w:rsid w:val="00C15DCA"/>
    <w:pPr>
      <w:keepNext/>
      <w:spacing w:after="60"/>
    </w:pPr>
    <w:rPr>
      <w:sz w:val="16"/>
      <w:szCs w:val="24"/>
    </w:rPr>
  </w:style>
  <w:style w:type="paragraph" w:customStyle="1" w:styleId="Tablebullet1">
    <w:name w:val="Table bullet 1"/>
    <w:basedOn w:val="Bulletlevel1"/>
    <w:rsid w:val="00F83056"/>
    <w:pPr>
      <w:numPr>
        <w:numId w:val="0"/>
      </w:numPr>
      <w:tabs>
        <w:tab w:val="left" w:pos="284"/>
      </w:tabs>
      <w:spacing w:after="80"/>
      <w:ind w:left="170" w:hanging="170"/>
    </w:pPr>
    <w:rPr>
      <w:sz w:val="16"/>
      <w:lang w:val="fr-FR"/>
    </w:rPr>
  </w:style>
  <w:style w:type="paragraph" w:customStyle="1" w:styleId="Bulletlevel1">
    <w:name w:val="Bullet level 1"/>
    <w:basedOn w:val="ListBullet"/>
    <w:link w:val="Bulletlevel1Char"/>
    <w:qFormat/>
    <w:rsid w:val="009B61FF"/>
    <w:pPr>
      <w:numPr>
        <w:numId w:val="3"/>
      </w:numPr>
      <w:tabs>
        <w:tab w:val="clear" w:pos="284"/>
        <w:tab w:val="left" w:pos="567"/>
      </w:tabs>
      <w:spacing w:before="240" w:line="240" w:lineRule="auto"/>
      <w:ind w:left="568" w:hanging="284"/>
    </w:pPr>
    <w:rPr>
      <w:sz w:val="20"/>
    </w:rPr>
  </w:style>
  <w:style w:type="character" w:customStyle="1" w:styleId="Bulletlevel1Char">
    <w:name w:val="Bullet level 1 Char"/>
    <w:basedOn w:val="ListBulletChar"/>
    <w:link w:val="Bulletlevel1"/>
    <w:rsid w:val="009B61FF"/>
    <w:rPr>
      <w:rFonts w:ascii="Arial" w:eastAsia="Times" w:hAnsi="Arial"/>
      <w:color w:val="000000"/>
      <w:sz w:val="19"/>
      <w:lang w:val="en-GB" w:eastAsia="en-US" w:bidi="ar-SA"/>
    </w:rPr>
  </w:style>
  <w:style w:type="paragraph" w:customStyle="1" w:styleId="Tablebullet2">
    <w:name w:val="Table bullet 2"/>
    <w:basedOn w:val="Bulletlevel2"/>
    <w:rsid w:val="00F83056"/>
    <w:pPr>
      <w:numPr>
        <w:numId w:val="0"/>
      </w:numPr>
      <w:spacing w:after="80"/>
      <w:ind w:left="340" w:hanging="170"/>
    </w:pPr>
    <w:rPr>
      <w:sz w:val="16"/>
    </w:rPr>
  </w:style>
  <w:style w:type="paragraph" w:customStyle="1" w:styleId="Bulletlevel2">
    <w:name w:val="Bullet level 2"/>
    <w:basedOn w:val="Bulletlevel1"/>
    <w:link w:val="Bulletlevel2Char"/>
    <w:qFormat/>
    <w:rsid w:val="000B4516"/>
    <w:pPr>
      <w:numPr>
        <w:ilvl w:val="1"/>
      </w:numPr>
    </w:pPr>
  </w:style>
  <w:style w:type="character" w:customStyle="1" w:styleId="Bulletlevel2Char">
    <w:name w:val="Bullet level 2 Char"/>
    <w:basedOn w:val="Bulletlevel1Char"/>
    <w:link w:val="Bulletlevel2"/>
    <w:rsid w:val="000B4516"/>
    <w:rPr>
      <w:rFonts w:ascii="Arial" w:eastAsia="Times" w:hAnsi="Arial"/>
      <w:color w:val="000000"/>
      <w:sz w:val="19"/>
      <w:lang w:val="en-GB" w:eastAsia="en-US" w:bidi="ar-SA"/>
    </w:rPr>
  </w:style>
  <w:style w:type="paragraph" w:styleId="Title">
    <w:name w:val="Title"/>
    <w:aliases w:val="Cover Heading"/>
    <w:rsid w:val="00054F65"/>
    <w:pPr>
      <w:outlineLvl w:val="0"/>
    </w:pPr>
    <w:rPr>
      <w:rFonts w:ascii="Times New Roman" w:hAnsi="Times New Roman"/>
      <w:color w:val="92D400"/>
      <w:kern w:val="28"/>
      <w:sz w:val="60"/>
      <w:szCs w:val="60"/>
      <w:lang w:eastAsia="en-US"/>
    </w:rPr>
  </w:style>
  <w:style w:type="paragraph" w:customStyle="1" w:styleId="TablePersonInfo">
    <w:name w:val="Table Person Info"/>
    <w:basedOn w:val="Normal"/>
    <w:rsid w:val="002855F0"/>
    <w:pPr>
      <w:tabs>
        <w:tab w:val="left" w:pos="170"/>
      </w:tabs>
      <w:spacing w:after="60"/>
      <w:ind w:left="851" w:hanging="851"/>
    </w:pPr>
    <w:rPr>
      <w:sz w:val="16"/>
      <w:szCs w:val="16"/>
      <w:lang w:val="fr-FR"/>
    </w:rPr>
  </w:style>
  <w:style w:type="paragraph" w:customStyle="1" w:styleId="ContentsPage">
    <w:name w:val="Contents Page"/>
    <w:basedOn w:val="Bodycopy"/>
    <w:rsid w:val="00AE56B8"/>
    <w:pPr>
      <w:tabs>
        <w:tab w:val="right" w:pos="6237"/>
      </w:tabs>
      <w:ind w:left="680" w:hanging="680"/>
    </w:pPr>
    <w:rPr>
      <w:sz w:val="24"/>
    </w:rPr>
  </w:style>
  <w:style w:type="paragraph" w:customStyle="1" w:styleId="Bodycopy">
    <w:name w:val="Body copy"/>
    <w:basedOn w:val="Normal"/>
    <w:link w:val="BodycopyChar"/>
    <w:qFormat/>
    <w:rsid w:val="00454A11"/>
  </w:style>
  <w:style w:type="character" w:customStyle="1" w:styleId="BodycopyChar">
    <w:name w:val="Body copy Char"/>
    <w:basedOn w:val="DefaultParagraphFont"/>
    <w:link w:val="Bodycopy"/>
    <w:rsid w:val="00454A11"/>
    <w:rPr>
      <w:rFonts w:ascii="Arial" w:hAnsi="Arial"/>
      <w:color w:val="000000"/>
      <w:lang w:eastAsia="en-US"/>
    </w:rPr>
  </w:style>
  <w:style w:type="paragraph" w:customStyle="1" w:styleId="CSubheading">
    <w:name w:val="C Subheading"/>
    <w:basedOn w:val="Heading3"/>
    <w:next w:val="Bodycopy"/>
    <w:rsid w:val="002855F0"/>
    <w:pPr>
      <w:tabs>
        <w:tab w:val="clear" w:pos="425"/>
        <w:tab w:val="clear" w:pos="567"/>
      </w:tabs>
    </w:pPr>
    <w:rPr>
      <w:szCs w:val="24"/>
    </w:rPr>
  </w:style>
  <w:style w:type="table" w:styleId="TableGrid">
    <w:name w:val="Table Grid"/>
    <w:basedOn w:val="TableNormal"/>
    <w:rsid w:val="0038683A"/>
    <w:pPr>
      <w:spacing w:before="120" w:line="260" w:lineRule="exact"/>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geHeading">
    <w:name w:val="A Page Heading"/>
    <w:basedOn w:val="Heading1"/>
    <w:link w:val="APageHeadingChar"/>
    <w:qFormat/>
    <w:rsid w:val="00454A11"/>
    <w:rPr>
      <w:noProof w:val="0"/>
      <w:lang w:val="en-NZ" w:eastAsia="en-NZ"/>
    </w:rPr>
  </w:style>
  <w:style w:type="character" w:customStyle="1" w:styleId="APageHeadingChar">
    <w:name w:val="A Page Heading Char"/>
    <w:basedOn w:val="Heading1Char"/>
    <w:link w:val="APageHeading"/>
    <w:rsid w:val="00454A11"/>
    <w:rPr>
      <w:rFonts w:ascii="Times New Roman" w:hAnsi="Times New Roman"/>
      <w:noProof/>
      <w:color w:val="002776"/>
      <w:kern w:val="32"/>
      <w:sz w:val="60"/>
      <w:szCs w:val="60"/>
      <w:lang w:val="en-GB" w:eastAsia="en-US"/>
    </w:rPr>
  </w:style>
  <w:style w:type="paragraph" w:customStyle="1" w:styleId="CaptionSource">
    <w:name w:val="Caption Source"/>
    <w:basedOn w:val="Normal"/>
    <w:next w:val="Bodycopy"/>
    <w:link w:val="CaptionSourceChar"/>
    <w:rsid w:val="00454A11"/>
    <w:pPr>
      <w:spacing w:line="180" w:lineRule="exact"/>
    </w:pPr>
    <w:rPr>
      <w:sz w:val="14"/>
    </w:rPr>
  </w:style>
  <w:style w:type="paragraph" w:customStyle="1" w:styleId="DSubheading">
    <w:name w:val="D Subheading"/>
    <w:basedOn w:val="CSubheading"/>
    <w:next w:val="Bodycopy"/>
    <w:rsid w:val="00A01006"/>
    <w:rPr>
      <w:i/>
    </w:rPr>
  </w:style>
  <w:style w:type="paragraph" w:customStyle="1" w:styleId="ESubheading">
    <w:name w:val="E Subheading"/>
    <w:basedOn w:val="DSubheading"/>
    <w:next w:val="Bodycopy"/>
    <w:rsid w:val="002855F0"/>
    <w:rPr>
      <w:b w:val="0"/>
    </w:rPr>
  </w:style>
  <w:style w:type="paragraph" w:customStyle="1" w:styleId="Captionheading">
    <w:name w:val="Caption heading"/>
    <w:basedOn w:val="Captionbody"/>
    <w:next w:val="Bodycopy"/>
    <w:link w:val="CaptionheadingChar"/>
    <w:rsid w:val="00454A11"/>
    <w:rPr>
      <w:b/>
    </w:rPr>
  </w:style>
  <w:style w:type="paragraph" w:customStyle="1" w:styleId="TableColumnheader">
    <w:name w:val="Table Column header"/>
    <w:basedOn w:val="TableGreenheader"/>
    <w:rsid w:val="00054F65"/>
    <w:pPr>
      <w:spacing w:before="80"/>
    </w:pPr>
    <w:rPr>
      <w:color w:val="FFFFFF"/>
      <w:sz w:val="18"/>
    </w:rPr>
  </w:style>
  <w:style w:type="paragraph" w:styleId="DocumentMap">
    <w:name w:val="Document Map"/>
    <w:basedOn w:val="Normal"/>
    <w:link w:val="DocumentMapChar"/>
    <w:uiPriority w:val="99"/>
    <w:semiHidden/>
    <w:unhideWhenUsed/>
    <w:rsid w:val="004254E0"/>
    <w:rPr>
      <w:rFonts w:ascii="Tahoma" w:hAnsi="Tahoma" w:cs="Tahoma"/>
      <w:sz w:val="16"/>
      <w:szCs w:val="16"/>
    </w:rPr>
  </w:style>
  <w:style w:type="character" w:customStyle="1" w:styleId="DocumentMapChar">
    <w:name w:val="Document Map Char"/>
    <w:basedOn w:val="DefaultParagraphFont"/>
    <w:link w:val="DocumentMap"/>
    <w:uiPriority w:val="99"/>
    <w:semiHidden/>
    <w:rsid w:val="004254E0"/>
    <w:rPr>
      <w:rFonts w:ascii="Tahoma" w:hAnsi="Tahoma" w:cs="Tahoma"/>
      <w:sz w:val="16"/>
      <w:szCs w:val="16"/>
      <w:lang w:eastAsia="en-US"/>
    </w:rPr>
  </w:style>
  <w:style w:type="paragraph" w:customStyle="1" w:styleId="BSubheading-DeloitteBlue">
    <w:name w:val="B Subheading - Deloitte Blue"/>
    <w:basedOn w:val="BSubheading-Blue"/>
    <w:next w:val="Bodycopy"/>
    <w:qFormat/>
    <w:rsid w:val="004A0C3C"/>
    <w:rPr>
      <w:color w:val="002776"/>
    </w:rPr>
  </w:style>
  <w:style w:type="paragraph" w:customStyle="1" w:styleId="BSubheading-DarkGreen">
    <w:name w:val="B Subheading - Dark Green"/>
    <w:basedOn w:val="BSubheading-Blue"/>
    <w:next w:val="Bodycopy"/>
    <w:qFormat/>
    <w:rsid w:val="00454A11"/>
    <w:rPr>
      <w:color w:val="3C8A2E"/>
    </w:rPr>
  </w:style>
  <w:style w:type="paragraph" w:customStyle="1" w:styleId="Legalcopy">
    <w:name w:val="Legal copy"/>
    <w:basedOn w:val="Bodycopy"/>
    <w:rsid w:val="00A01006"/>
    <w:rPr>
      <w:sz w:val="16"/>
      <w:lang w:bidi="en-US"/>
    </w:rPr>
  </w:style>
  <w:style w:type="paragraph" w:styleId="BalloonText">
    <w:name w:val="Balloon Text"/>
    <w:basedOn w:val="Normal"/>
    <w:link w:val="BalloonTextChar"/>
    <w:uiPriority w:val="99"/>
    <w:semiHidden/>
    <w:unhideWhenUsed/>
    <w:rsid w:val="004625C5"/>
    <w:rPr>
      <w:rFonts w:ascii="Tahoma" w:hAnsi="Tahoma" w:cs="Tahoma"/>
      <w:sz w:val="16"/>
      <w:szCs w:val="16"/>
    </w:rPr>
  </w:style>
  <w:style w:type="character" w:customStyle="1" w:styleId="BalloonTextChar">
    <w:name w:val="Balloon Text Char"/>
    <w:basedOn w:val="DefaultParagraphFont"/>
    <w:link w:val="BalloonText"/>
    <w:uiPriority w:val="99"/>
    <w:semiHidden/>
    <w:rsid w:val="004625C5"/>
    <w:rPr>
      <w:rFonts w:ascii="Tahoma" w:hAnsi="Tahoma" w:cs="Tahoma"/>
      <w:sz w:val="16"/>
      <w:szCs w:val="16"/>
      <w:lang w:eastAsia="en-US"/>
    </w:rPr>
  </w:style>
  <w:style w:type="paragraph" w:customStyle="1" w:styleId="Coverheadline">
    <w:name w:val="Cover headline"/>
    <w:link w:val="CoverheadlineChar"/>
    <w:rsid w:val="0018452C"/>
    <w:rPr>
      <w:rFonts w:ascii="Times New Roman" w:hAnsi="Times New Roman"/>
      <w:color w:val="002776"/>
      <w:kern w:val="28"/>
      <w:sz w:val="70"/>
      <w:szCs w:val="70"/>
      <w:lang w:eastAsia="en-US"/>
    </w:rPr>
  </w:style>
  <w:style w:type="character" w:customStyle="1" w:styleId="CoverheadlineChar">
    <w:name w:val="Cover headline Char"/>
    <w:basedOn w:val="DefaultParagraphFont"/>
    <w:link w:val="Coverheadline"/>
    <w:rsid w:val="0018452C"/>
    <w:rPr>
      <w:rFonts w:ascii="Times New Roman" w:hAnsi="Times New Roman"/>
      <w:color w:val="002776"/>
      <w:kern w:val="28"/>
      <w:sz w:val="70"/>
      <w:szCs w:val="70"/>
      <w:lang w:eastAsia="en-US"/>
    </w:rPr>
  </w:style>
  <w:style w:type="paragraph" w:customStyle="1" w:styleId="Coverheadline-insight-tagline">
    <w:name w:val="Cover headline - insight-tagline"/>
    <w:next w:val="Bodycopy"/>
    <w:link w:val="Coverheadline-insight-taglineChar"/>
    <w:rsid w:val="00A01006"/>
    <w:rPr>
      <w:rFonts w:ascii="Times New Roman" w:hAnsi="Times New Roman"/>
      <w:color w:val="92D400"/>
      <w:kern w:val="28"/>
      <w:sz w:val="70"/>
      <w:szCs w:val="70"/>
      <w:lang w:eastAsia="en-US"/>
    </w:rPr>
  </w:style>
  <w:style w:type="character" w:customStyle="1" w:styleId="Coverheadline-insight-taglineChar">
    <w:name w:val="Cover headline - insight-tagline Char"/>
    <w:basedOn w:val="DefaultParagraphFont"/>
    <w:link w:val="Coverheadline-insight-tagline"/>
    <w:rsid w:val="00A01006"/>
    <w:rPr>
      <w:rFonts w:ascii="Times New Roman" w:hAnsi="Times New Roman"/>
      <w:color w:val="92D400"/>
      <w:kern w:val="28"/>
      <w:sz w:val="70"/>
      <w:szCs w:val="70"/>
      <w:lang w:eastAsia="en-US"/>
    </w:rPr>
  </w:style>
  <w:style w:type="paragraph" w:styleId="TOC1">
    <w:name w:val="toc 1"/>
    <w:basedOn w:val="Normal"/>
    <w:next w:val="Normal"/>
    <w:autoRedefine/>
    <w:uiPriority w:val="39"/>
    <w:unhideWhenUsed/>
    <w:rsid w:val="00004292"/>
    <w:pPr>
      <w:tabs>
        <w:tab w:val="left" w:pos="2552"/>
        <w:tab w:val="right" w:pos="9043"/>
      </w:tabs>
      <w:ind w:left="3827" w:hanging="1700"/>
    </w:pPr>
    <w:rPr>
      <w:sz w:val="24"/>
      <w:lang w:bidi="en-US"/>
    </w:rPr>
  </w:style>
  <w:style w:type="paragraph" w:styleId="TOCHeading">
    <w:name w:val="TOC Heading"/>
    <w:basedOn w:val="Heading1"/>
    <w:next w:val="Normal"/>
    <w:uiPriority w:val="39"/>
    <w:semiHidden/>
    <w:unhideWhenUsed/>
    <w:qFormat/>
    <w:rsid w:val="00754957"/>
    <w:pPr>
      <w:keepLines/>
      <w:spacing w:before="480" w:after="0" w:line="276" w:lineRule="auto"/>
      <w:outlineLvl w:val="9"/>
    </w:pPr>
    <w:rPr>
      <w:rFonts w:ascii="Cambria" w:eastAsia="Times New Roman" w:hAnsi="Cambria"/>
      <w:b/>
      <w:bCs/>
      <w:noProof w:val="0"/>
      <w:color w:val="001D58"/>
      <w:kern w:val="0"/>
      <w:sz w:val="28"/>
      <w:szCs w:val="28"/>
      <w:lang w:val="en-US"/>
    </w:rPr>
  </w:style>
  <w:style w:type="paragraph" w:styleId="TOC2">
    <w:name w:val="toc 2"/>
    <w:basedOn w:val="Normal"/>
    <w:next w:val="Normal"/>
    <w:autoRedefine/>
    <w:uiPriority w:val="39"/>
    <w:unhideWhenUsed/>
    <w:rsid w:val="006A004B"/>
    <w:pPr>
      <w:ind w:left="3827" w:hanging="278"/>
    </w:pPr>
  </w:style>
  <w:style w:type="paragraph" w:styleId="TOC3">
    <w:name w:val="toc 3"/>
    <w:basedOn w:val="Normal"/>
    <w:next w:val="Normal"/>
    <w:autoRedefine/>
    <w:uiPriority w:val="39"/>
    <w:unhideWhenUsed/>
    <w:rsid w:val="0018452C"/>
    <w:pPr>
      <w:ind w:left="3827" w:hanging="278"/>
    </w:pPr>
  </w:style>
  <w:style w:type="paragraph" w:customStyle="1" w:styleId="PulloutQuote">
    <w:name w:val="Pullout Quote"/>
    <w:next w:val="Bodycopy"/>
    <w:rsid w:val="00054F65"/>
    <w:pPr>
      <w:pBdr>
        <w:top w:val="single" w:sz="4" w:space="4" w:color="00A1DE"/>
      </w:pBdr>
      <w:suppressAutoHyphens/>
      <w:spacing w:line="400" w:lineRule="exact"/>
      <w:ind w:right="2268"/>
    </w:pPr>
    <w:rPr>
      <w:rFonts w:ascii="Times New Roman" w:hAnsi="Times New Roman"/>
      <w:color w:val="00A1DE"/>
      <w:sz w:val="40"/>
      <w:lang w:eastAsia="en-US"/>
    </w:rPr>
  </w:style>
  <w:style w:type="paragraph" w:customStyle="1" w:styleId="APageheading-numbered">
    <w:name w:val="A Page heading - numbered"/>
    <w:basedOn w:val="Heading1"/>
    <w:qFormat/>
    <w:rsid w:val="006A6BF8"/>
    <w:pPr>
      <w:numPr>
        <w:numId w:val="1"/>
      </w:numPr>
      <w:tabs>
        <w:tab w:val="left" w:pos="567"/>
      </w:tabs>
    </w:pPr>
    <w:rPr>
      <w:noProof w:val="0"/>
      <w:lang w:val="en-NZ" w:bidi="en-US"/>
    </w:rPr>
  </w:style>
  <w:style w:type="numbering" w:customStyle="1" w:styleId="SubheadingNum-Blue">
    <w:name w:val="Subheading Num - Blue"/>
    <w:basedOn w:val="NoList"/>
    <w:uiPriority w:val="99"/>
    <w:rsid w:val="00626619"/>
  </w:style>
  <w:style w:type="paragraph" w:customStyle="1" w:styleId="BnumberedSubheadingL2-DeloitteBlue">
    <w:name w:val="B numbered Subheading L2 - Deloitte Blue"/>
    <w:basedOn w:val="BSubheading-DeloitteBlue"/>
    <w:next w:val="Bodycopy"/>
    <w:qFormat/>
    <w:rsid w:val="006A6BF8"/>
    <w:pPr>
      <w:numPr>
        <w:ilvl w:val="1"/>
        <w:numId w:val="1"/>
      </w:numPr>
    </w:pPr>
  </w:style>
  <w:style w:type="paragraph" w:customStyle="1" w:styleId="BnumberedSubheadingL3-DeloitteBlue">
    <w:name w:val="B numbered Subheading L3 - Deloitte Blue"/>
    <w:basedOn w:val="BSubheading-DeloitteBlue"/>
    <w:next w:val="Bodycopy"/>
    <w:qFormat/>
    <w:rsid w:val="000F72CB"/>
    <w:pPr>
      <w:numPr>
        <w:ilvl w:val="2"/>
        <w:numId w:val="1"/>
      </w:numPr>
      <w:outlineLvl w:val="2"/>
    </w:pPr>
  </w:style>
  <w:style w:type="paragraph" w:customStyle="1" w:styleId="BnumberedSubheadingL4-DeloitteBlue">
    <w:name w:val="B numbered Subheading L4 - Deloitte Blue"/>
    <w:basedOn w:val="BSubheading-DeloitteBlue"/>
    <w:next w:val="Bodycopy"/>
    <w:qFormat/>
    <w:rsid w:val="000F72CB"/>
    <w:pPr>
      <w:numPr>
        <w:ilvl w:val="3"/>
        <w:numId w:val="1"/>
      </w:numPr>
      <w:outlineLvl w:val="3"/>
    </w:pPr>
  </w:style>
  <w:style w:type="character" w:styleId="FollowedHyperlink">
    <w:name w:val="FollowedHyperlink"/>
    <w:basedOn w:val="DefaultParagraphFont"/>
    <w:uiPriority w:val="99"/>
    <w:semiHidden/>
    <w:unhideWhenUsed/>
    <w:rsid w:val="00F41AF1"/>
    <w:rPr>
      <w:color w:val="002776"/>
      <w:u w:val="single"/>
    </w:rPr>
  </w:style>
  <w:style w:type="paragraph" w:styleId="ListParagraph">
    <w:name w:val="List Paragraph"/>
    <w:basedOn w:val="Normal"/>
    <w:uiPriority w:val="34"/>
    <w:qFormat/>
    <w:rsid w:val="00B41BCC"/>
    <w:pPr>
      <w:ind w:left="720"/>
      <w:contextualSpacing/>
    </w:pPr>
  </w:style>
  <w:style w:type="paragraph" w:customStyle="1" w:styleId="BSubheading-LightBlue">
    <w:name w:val="B Subheading - Light Blue"/>
    <w:basedOn w:val="BSubheading-Blue"/>
    <w:next w:val="Bodycopy"/>
    <w:link w:val="BSubheading-LightBlueChar"/>
    <w:qFormat/>
    <w:rsid w:val="00D30919"/>
    <w:rPr>
      <w:color w:val="72C7E7"/>
    </w:rPr>
  </w:style>
  <w:style w:type="character" w:customStyle="1" w:styleId="BSubheading-LightBlueChar">
    <w:name w:val="B Subheading - Light Blue Char"/>
    <w:basedOn w:val="BSubheading-BlueChar"/>
    <w:link w:val="BSubheading-LightBlue"/>
    <w:rsid w:val="00D30919"/>
    <w:rPr>
      <w:rFonts w:ascii="Arial" w:hAnsi="Arial"/>
      <w:b/>
      <w:noProof/>
      <w:color w:val="72C7E7"/>
      <w:sz w:val="24"/>
      <w:szCs w:val="24"/>
      <w:lang w:val="en-GB" w:eastAsia="en-US" w:bidi="ar-SA"/>
    </w:rPr>
  </w:style>
  <w:style w:type="paragraph" w:customStyle="1" w:styleId="Captionsub-heading">
    <w:name w:val="Caption sub-heading"/>
    <w:basedOn w:val="Captionheading"/>
    <w:link w:val="Captionsub-headingChar"/>
    <w:rsid w:val="00454A11"/>
    <w:pPr>
      <w:spacing w:line="200" w:lineRule="atLeast"/>
    </w:pPr>
  </w:style>
  <w:style w:type="paragraph" w:customStyle="1" w:styleId="Quotesourcedescriptor">
    <w:name w:val="Quote source descriptor"/>
    <w:basedOn w:val="CaptionSource"/>
    <w:link w:val="QuotesourcedescriptorChar"/>
    <w:rsid w:val="00097535"/>
  </w:style>
  <w:style w:type="character" w:customStyle="1" w:styleId="CaptionheadingChar">
    <w:name w:val="Caption heading Char"/>
    <w:basedOn w:val="CaptionbodyChar"/>
    <w:link w:val="Captionheading"/>
    <w:rsid w:val="00454A11"/>
    <w:rPr>
      <w:rFonts w:ascii="Arial" w:hAnsi="Arial"/>
      <w:b/>
      <w:color w:val="000000"/>
      <w:sz w:val="18"/>
      <w:lang w:eastAsia="en-US"/>
    </w:rPr>
  </w:style>
  <w:style w:type="character" w:customStyle="1" w:styleId="Captionsub-headingChar">
    <w:name w:val="Caption sub-heading Char"/>
    <w:basedOn w:val="CaptionheadingChar"/>
    <w:link w:val="Captionsub-heading"/>
    <w:rsid w:val="00454A11"/>
    <w:rPr>
      <w:rFonts w:ascii="Arial" w:hAnsi="Arial"/>
      <w:b/>
      <w:color w:val="000000"/>
      <w:sz w:val="18"/>
      <w:lang w:eastAsia="en-US"/>
    </w:rPr>
  </w:style>
  <w:style w:type="paragraph" w:customStyle="1" w:styleId="Contactstext">
    <w:name w:val="Contacts text"/>
    <w:basedOn w:val="TableEntry"/>
    <w:link w:val="ContactstextChar"/>
    <w:rsid w:val="00901ABC"/>
  </w:style>
  <w:style w:type="character" w:customStyle="1" w:styleId="CaptionSourceChar">
    <w:name w:val="Caption Source Char"/>
    <w:basedOn w:val="DefaultParagraphFont"/>
    <w:link w:val="CaptionSource"/>
    <w:rsid w:val="00454A11"/>
    <w:rPr>
      <w:rFonts w:ascii="Arial" w:hAnsi="Arial"/>
      <w:color w:val="000000"/>
      <w:sz w:val="14"/>
      <w:lang w:eastAsia="en-US"/>
    </w:rPr>
  </w:style>
  <w:style w:type="character" w:customStyle="1" w:styleId="QuotesourcedescriptorChar">
    <w:name w:val="Quote source descriptor Char"/>
    <w:basedOn w:val="CaptionSourceChar"/>
    <w:link w:val="Quotesourcedescriptor"/>
    <w:rsid w:val="00097535"/>
    <w:rPr>
      <w:rFonts w:ascii="Arial" w:hAnsi="Arial"/>
      <w:color w:val="000000"/>
      <w:sz w:val="14"/>
      <w:lang w:eastAsia="en-US"/>
    </w:rPr>
  </w:style>
  <w:style w:type="character" w:customStyle="1" w:styleId="BSubheading-GreenChar">
    <w:name w:val="B Subheading - Green Char"/>
    <w:basedOn w:val="BSubheading-BlueChar"/>
    <w:link w:val="BSubheading-Green"/>
    <w:rsid w:val="00454A11"/>
    <w:rPr>
      <w:rFonts w:ascii="Arial" w:hAnsi="Arial"/>
      <w:b/>
      <w:noProof/>
      <w:color w:val="92D400"/>
      <w:sz w:val="24"/>
      <w:szCs w:val="24"/>
      <w:lang w:val="en-GB" w:eastAsia="en-US" w:bidi="ar-SA"/>
    </w:rPr>
  </w:style>
  <w:style w:type="character" w:customStyle="1" w:styleId="TableGreenheaderChar">
    <w:name w:val="Table Green header Char"/>
    <w:basedOn w:val="BSubheading-GreenChar"/>
    <w:link w:val="TableGreenheader"/>
    <w:rsid w:val="00A633DB"/>
    <w:rPr>
      <w:rFonts w:ascii="Arial" w:hAnsi="Arial"/>
      <w:b/>
      <w:noProof/>
      <w:color w:val="92D400"/>
      <w:sz w:val="24"/>
      <w:szCs w:val="24"/>
      <w:lang w:val="en-GB" w:eastAsia="en-US" w:bidi="ar-SA"/>
    </w:rPr>
  </w:style>
  <w:style w:type="character" w:customStyle="1" w:styleId="ContactsSubheadingChar">
    <w:name w:val="Contacts Subheading Char"/>
    <w:basedOn w:val="TableGreenheaderChar"/>
    <w:link w:val="ContactsSubheading"/>
    <w:rsid w:val="00A01006"/>
    <w:rPr>
      <w:rFonts w:ascii="Arial" w:hAnsi="Arial"/>
      <w:b/>
      <w:noProof/>
      <w:color w:val="92D400"/>
      <w:sz w:val="24"/>
      <w:szCs w:val="24"/>
      <w:lang w:val="en-GB" w:eastAsia="en-US" w:bidi="ar-SA"/>
    </w:rPr>
  </w:style>
  <w:style w:type="character" w:customStyle="1" w:styleId="TableEntryChar">
    <w:name w:val="Table Entry Char"/>
    <w:basedOn w:val="DefaultParagraphFont"/>
    <w:link w:val="TableEntry"/>
    <w:rsid w:val="00C15DCA"/>
    <w:rPr>
      <w:rFonts w:ascii="Arial" w:hAnsi="Arial"/>
      <w:color w:val="000000"/>
      <w:sz w:val="16"/>
      <w:szCs w:val="24"/>
      <w:lang w:eastAsia="en-US"/>
    </w:rPr>
  </w:style>
  <w:style w:type="character" w:customStyle="1" w:styleId="ContactstextChar">
    <w:name w:val="Contacts text Char"/>
    <w:basedOn w:val="TableEntryChar"/>
    <w:link w:val="Contactstext"/>
    <w:rsid w:val="00901ABC"/>
    <w:rPr>
      <w:rFonts w:ascii="Arial" w:hAnsi="Arial"/>
      <w:color w:val="000000"/>
      <w:sz w:val="16"/>
      <w:szCs w:val="24"/>
      <w:lang w:eastAsia="en-US"/>
    </w:rPr>
  </w:style>
  <w:style w:type="paragraph" w:customStyle="1" w:styleId="QuoteSource">
    <w:name w:val="Quote Source"/>
    <w:basedOn w:val="Quotesourcedescriptor"/>
    <w:link w:val="QuoteSourceChar"/>
    <w:rsid w:val="00054F65"/>
    <w:pPr>
      <w:spacing w:line="180" w:lineRule="atLeast"/>
    </w:pPr>
  </w:style>
  <w:style w:type="character" w:customStyle="1" w:styleId="QuoteSourceChar">
    <w:name w:val="Quote Source Char"/>
    <w:basedOn w:val="QuotesourcedescriptorChar"/>
    <w:link w:val="QuoteSource"/>
    <w:rsid w:val="00054F65"/>
    <w:rPr>
      <w:rFonts w:ascii="Arial" w:hAnsi="Arial"/>
      <w:color w:val="000000"/>
      <w:sz w:val="14"/>
      <w:lang w:eastAsia="en-US"/>
    </w:rPr>
  </w:style>
  <w:style w:type="numbering" w:customStyle="1" w:styleId="ReportNumbering">
    <w:name w:val="Report Numbering"/>
    <w:basedOn w:val="NoList"/>
    <w:uiPriority w:val="99"/>
    <w:rsid w:val="006A6BF8"/>
    <w:pPr>
      <w:numPr>
        <w:numId w:val="1"/>
      </w:numPr>
    </w:pPr>
  </w:style>
  <w:style w:type="table" w:customStyle="1" w:styleId="DeloitteTable-LightGreen">
    <w:name w:val="Deloitte Table - Light Green"/>
    <w:basedOn w:val="TableNormal"/>
    <w:uiPriority w:val="99"/>
    <w:qFormat/>
    <w:rsid w:val="00B601B2"/>
    <w:rPr>
      <w:rFonts w:ascii="Arial" w:hAnsi="Arial"/>
      <w:sz w:val="18"/>
    </w:rPr>
    <w:tblPr>
      <w:tblStyleRowBandSize w:val="1"/>
      <w:tblBorders>
        <w:bottom w:val="single" w:sz="4" w:space="0" w:color="92D400" w:themeColor="accent2"/>
        <w:insideH w:val="single" w:sz="4" w:space="0" w:color="92D400" w:themeColor="accent2"/>
      </w:tblBorders>
    </w:tblPr>
    <w:tcPr>
      <w:shd w:val="clear" w:color="auto" w:fill="FFFFFF" w:themeFill="background1"/>
    </w:tcPr>
    <w:tblStylePr w:type="firstRow">
      <w:rPr>
        <w:rFonts w:ascii="Arial" w:hAnsi="Arial"/>
        <w:b/>
        <w:caps w:val="0"/>
        <w:smallCaps w:val="0"/>
        <w:strike w:val="0"/>
        <w:dstrike w:val="0"/>
        <w:vanish w:val="0"/>
        <w:color w:val="FFFFFF" w:themeColor="background1"/>
        <w:sz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92D400" w:themeFill="accent2"/>
      </w:tcPr>
    </w:tblStylePr>
  </w:style>
  <w:style w:type="table" w:customStyle="1" w:styleId="DeloitteTable-DarkBlue">
    <w:name w:val="Deloitte Table - Dark Blue"/>
    <w:basedOn w:val="TableNormal"/>
    <w:uiPriority w:val="99"/>
    <w:qFormat/>
    <w:rsid w:val="00901ABC"/>
    <w:rPr>
      <w:rFonts w:ascii="Arial" w:hAnsi="Arial"/>
    </w:rPr>
    <w:tblPr>
      <w:tblBorders>
        <w:bottom w:val="single" w:sz="4" w:space="0" w:color="002776" w:themeColor="text2"/>
        <w:insideH w:val="single" w:sz="4" w:space="0" w:color="002776" w:themeColor="text2"/>
      </w:tblBorders>
    </w:tblPr>
    <w:tblStylePr w:type="firstRow">
      <w:rPr>
        <w:rFonts w:ascii="Arial" w:hAnsi="Arial"/>
        <w:b/>
        <w:sz w:val="20"/>
      </w:rPr>
      <w:tblPr/>
      <w:tcPr>
        <w:shd w:val="clear" w:color="auto" w:fill="002776" w:themeFill="text2"/>
      </w:tcPr>
    </w:tblStylePr>
  </w:style>
  <w:style w:type="table" w:styleId="LightList-Accent3">
    <w:name w:val="Light List Accent 3"/>
    <w:basedOn w:val="TableNormal"/>
    <w:uiPriority w:val="61"/>
    <w:rsid w:val="001A3E03"/>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tblBorders>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table" w:styleId="MediumShading1-Accent3">
    <w:name w:val="Medium Shading 1 Accent 3"/>
    <w:aliases w:val="Deloitte Table - Blue Medium Shading"/>
    <w:basedOn w:val="TableNormal"/>
    <w:uiPriority w:val="63"/>
    <w:rsid w:val="00B601B2"/>
    <w:rPr>
      <w:rFonts w:ascii="Arial" w:hAnsi="Arial"/>
    </w:rPr>
    <w:tblPr>
      <w:tblStyleRowBandSize w:val="1"/>
      <w:tblStyleColBandSize w:val="1"/>
    </w:tblPr>
    <w:tblStylePr w:type="firstRow">
      <w:pPr>
        <w:spacing w:before="0" w:after="0" w:line="240" w:lineRule="auto"/>
      </w:pPr>
      <w:rPr>
        <w:rFonts w:ascii="Arial" w:hAnsi="Arial"/>
        <w:b/>
        <w:bCs/>
        <w:color w:val="FFFFFF" w:themeColor="background1"/>
        <w:sz w:val="20"/>
      </w:rPr>
      <w:tblPr/>
      <w:tcPr>
        <w:tcBorders>
          <w:top w:val="single" w:sz="8"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shd w:val="clear" w:color="auto" w:fill="00A1DE" w:themeFill="accent3"/>
      </w:tcPr>
    </w:tblStylePr>
    <w:tblStylePr w:type="lastRow">
      <w:pPr>
        <w:spacing w:before="0" w:after="0" w:line="240" w:lineRule="auto"/>
      </w:pPr>
      <w:rPr>
        <w:b w:val="0"/>
        <w:bCs/>
      </w:rPr>
      <w:tblPr/>
      <w:tcPr>
        <w:tcBorders>
          <w:top w:val="double" w:sz="6" w:space="0" w:color="27C2FF" w:themeColor="accent3" w:themeTint="BF"/>
          <w:left w:val="single" w:sz="8" w:space="0" w:color="27C2FF" w:themeColor="accent3" w:themeTint="BF"/>
          <w:bottom w:val="single" w:sz="8" w:space="0" w:color="27C2FF" w:themeColor="accent3" w:themeTint="BF"/>
          <w:right w:val="single" w:sz="8" w:space="0" w:color="27C2FF" w:themeColor="accent3" w:themeTint="BF"/>
          <w:insideH w:val="nil"/>
          <w:insideV w:val="nil"/>
        </w:tcBorders>
      </w:tcPr>
    </w:tblStylePr>
    <w:tblStylePr w:type="firstCol">
      <w:rPr>
        <w:b w:val="0"/>
        <w:bCs/>
      </w:rPr>
    </w:tblStylePr>
    <w:tblStylePr w:type="lastCol">
      <w:rPr>
        <w:b/>
        <w:bCs/>
      </w:rPr>
    </w:tblStylePr>
    <w:tblStylePr w:type="band1Vert">
      <w:tblPr/>
      <w:tcPr>
        <w:shd w:val="clear" w:color="auto" w:fill="B7EBFF" w:themeFill="accent3" w:themeFillTint="3F"/>
      </w:tcPr>
    </w:tblStylePr>
    <w:tblStylePr w:type="band1Horz">
      <w:tblPr/>
      <w:tcPr>
        <w:tcBorders>
          <w:insideH w:val="nil"/>
          <w:insideV w:val="nil"/>
        </w:tcBorders>
        <w:shd w:val="clear" w:color="auto" w:fill="B7EBFF" w:themeFill="accent3" w:themeFillTint="3F"/>
      </w:tcPr>
    </w:tblStylePr>
    <w:tblStylePr w:type="band2Horz">
      <w:tblPr/>
      <w:tcPr>
        <w:tcBorders>
          <w:insideH w:val="nil"/>
          <w:insideV w:val="nil"/>
        </w:tcBorders>
      </w:tcPr>
    </w:tblStylePr>
  </w:style>
  <w:style w:type="table" w:customStyle="1" w:styleId="DeloitteTable-Blue">
    <w:name w:val="Deloitte Table - Blue"/>
    <w:basedOn w:val="TableNormal"/>
    <w:uiPriority w:val="99"/>
    <w:qFormat/>
    <w:rsid w:val="001B7A65"/>
    <w:rPr>
      <w:rFonts w:ascii="Arial" w:hAnsi="Arial"/>
    </w:rPr>
    <w:tblPr>
      <w:tblBorders>
        <w:bottom w:val="single" w:sz="4" w:space="0" w:color="00A1DE" w:themeColor="accent3"/>
        <w:insideH w:val="single" w:sz="4" w:space="0" w:color="00A1DE" w:themeColor="accent3"/>
      </w:tblBorders>
    </w:tblPr>
    <w:tblStylePr w:type="firstRow">
      <w:rPr>
        <w:rFonts w:ascii="Arial" w:hAnsi="Arial"/>
        <w:b/>
        <w:color w:val="FFFFFF" w:themeColor="background1"/>
        <w:sz w:val="20"/>
      </w:rPr>
      <w:tblPr/>
      <w:tcPr>
        <w:shd w:val="clear" w:color="auto" w:fill="00A1DE" w:themeFill="accent3"/>
      </w:tcPr>
    </w:tblStylePr>
  </w:style>
  <w:style w:type="table" w:customStyle="1" w:styleId="DeloitteTable-DarkGreen">
    <w:name w:val="Deloitte Table - Dark Green"/>
    <w:basedOn w:val="TableNormal"/>
    <w:uiPriority w:val="99"/>
    <w:qFormat/>
    <w:rsid w:val="001335F5"/>
    <w:rPr>
      <w:rFonts w:ascii="Arial" w:hAnsi="Arial"/>
      <w:sz w:val="24"/>
    </w:rPr>
    <w:tblPr>
      <w:tblBorders>
        <w:bottom w:val="single" w:sz="4" w:space="0" w:color="3C8A2E" w:themeColor="accent4"/>
        <w:insideH w:val="single" w:sz="4" w:space="0" w:color="3C8A2E" w:themeColor="accent4"/>
      </w:tblBorders>
    </w:tblPr>
    <w:tcPr>
      <w:shd w:val="clear" w:color="auto" w:fill="FFFFFF" w:themeFill="background1"/>
    </w:tcPr>
    <w:tblStylePr w:type="firstRow">
      <w:rPr>
        <w:rFonts w:ascii="Arial" w:hAnsi="Arial"/>
        <w:b/>
        <w:color w:val="FFFFFF" w:themeColor="background1"/>
        <w:sz w:val="20"/>
      </w:rPr>
      <w:tblPr/>
      <w:tcPr>
        <w:shd w:val="clear" w:color="auto" w:fill="3C8A2E" w:themeFill="accent4"/>
      </w:tcPr>
    </w:tblStylePr>
  </w:style>
  <w:style w:type="table" w:customStyle="1" w:styleId="DeloitteTable-DarkGreenMediumShading">
    <w:name w:val="Deloitte Table - Dark Green Medium Shading"/>
    <w:basedOn w:val="TableNormal"/>
    <w:uiPriority w:val="99"/>
    <w:qFormat/>
    <w:rsid w:val="001335F5"/>
    <w:rPr>
      <w:rFonts w:ascii="Arial" w:hAnsi="Arial"/>
    </w:rPr>
    <w:tblPr>
      <w:tblStyleRowBandSize w:val="1"/>
    </w:tblPr>
    <w:tcPr>
      <w:shd w:val="clear" w:color="auto" w:fill="FFFFFF" w:themeFill="background1"/>
    </w:tcPr>
    <w:tblStylePr w:type="firstRow">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3C8A2E" w:themeFill="accent4"/>
      </w:tcPr>
    </w:tblStylePr>
    <w:tblStylePr w:type="band1Horz">
      <w:tblPr/>
      <w:tcPr>
        <w:shd w:val="clear" w:color="auto" w:fill="D2EECE" w:themeFill="accent4" w:themeFillTint="33"/>
      </w:tcPr>
    </w:tblStylePr>
  </w:style>
  <w:style w:type="table" w:customStyle="1" w:styleId="DeloitteTable-LightGreenMediumShading">
    <w:name w:val="Deloitte Table - Light Green Medium Shading"/>
    <w:basedOn w:val="TableNormal"/>
    <w:uiPriority w:val="99"/>
    <w:qFormat/>
    <w:rsid w:val="00C97D7C"/>
    <w:rPr>
      <w:rFonts w:ascii="Arial" w:hAnsi="Arial"/>
    </w:rPr>
    <w:tblPr>
      <w:tblStyleRowBandSize w:val="1"/>
    </w:tblPr>
    <w:tcPr>
      <w:shd w:val="clear" w:color="auto" w:fill="FFFFFF" w:themeFill="background1"/>
    </w:tcPr>
    <w:tblStylePr w:type="firstRow">
      <w:rPr>
        <w:rFonts w:ascii="Arial" w:hAnsi="Arial"/>
        <w:b/>
        <w:color w:val="FFFFFF" w:themeColor="background1"/>
        <w:sz w:val="20"/>
      </w:rPr>
      <w:tblPr/>
      <w:tcPr>
        <w:shd w:val="clear" w:color="auto" w:fill="92D400" w:themeFill="accent2"/>
      </w:tcPr>
    </w:tblStylePr>
    <w:tblStylePr w:type="band1Horz">
      <w:rPr>
        <w:rFonts w:ascii="Arial" w:hAnsi="Arial"/>
        <w:sz w:val="20"/>
      </w:rPr>
      <w:tblPr/>
      <w:tcPr>
        <w:shd w:val="clear" w:color="auto" w:fill="ECFFC3" w:themeFill="accent2" w:themeFillTint="33"/>
      </w:tcPr>
    </w:tblStylePr>
  </w:style>
  <w:style w:type="character" w:styleId="Hyperlink">
    <w:name w:val="Hyperlink"/>
    <w:basedOn w:val="DefaultParagraphFont"/>
    <w:uiPriority w:val="99"/>
    <w:unhideWhenUsed/>
    <w:rsid w:val="006A004B"/>
    <w:rPr>
      <w:color w:val="00A1DE" w:themeColor="hyperlink"/>
      <w:u w:val="single"/>
    </w:rPr>
  </w:style>
  <w:style w:type="character" w:customStyle="1" w:styleId="Heading6Char">
    <w:name w:val="Heading 6 Char"/>
    <w:basedOn w:val="DefaultParagraphFont"/>
    <w:link w:val="Heading6"/>
    <w:uiPriority w:val="9"/>
    <w:semiHidden/>
    <w:rsid w:val="004E354A"/>
    <w:rPr>
      <w:rFonts w:asciiTheme="majorHAnsi" w:eastAsiaTheme="majorEastAsia" w:hAnsiTheme="majorHAnsi" w:cstheme="majorBidi"/>
      <w:i/>
      <w:iCs/>
      <w:color w:val="00133A" w:themeColor="accent1" w:themeShade="7F"/>
      <w:lang w:eastAsia="en-US"/>
    </w:rPr>
  </w:style>
  <w:style w:type="numbering" w:customStyle="1" w:styleId="Bullets-Level1-3">
    <w:name w:val="Bullets - Level 1-3"/>
    <w:uiPriority w:val="99"/>
    <w:rsid w:val="000B4516"/>
    <w:pPr>
      <w:numPr>
        <w:numId w:val="2"/>
      </w:numPr>
    </w:pPr>
  </w:style>
  <w:style w:type="paragraph" w:customStyle="1" w:styleId="Bulletlevel3">
    <w:name w:val="Bullet level 3"/>
    <w:basedOn w:val="Bulletlevel2"/>
    <w:qFormat/>
    <w:rsid w:val="000B4516"/>
    <w:pPr>
      <w:numPr>
        <w:ilvl w:val="2"/>
      </w:numPr>
    </w:pPr>
  </w:style>
  <w:style w:type="table" w:customStyle="1" w:styleId="Deloittetable-LightBlue">
    <w:name w:val="Deloitte table - Light Blue"/>
    <w:basedOn w:val="TableNormal"/>
    <w:uiPriority w:val="99"/>
    <w:qFormat/>
    <w:rsid w:val="00F05057"/>
    <w:rPr>
      <w:rFonts w:ascii="Arial" w:hAnsi="Arial"/>
    </w:rPr>
    <w:tblPr>
      <w:tblBorders>
        <w:bottom w:val="single" w:sz="4" w:space="0" w:color="C5EEFF" w:themeColor="accent3" w:themeTint="33"/>
        <w:insideH w:val="single" w:sz="4" w:space="0" w:color="C5EEFF" w:themeColor="accent3" w:themeTint="33"/>
      </w:tblBorders>
    </w:tblPr>
    <w:tcPr>
      <w:shd w:val="clear" w:color="auto" w:fill="FFFFFF" w:themeFill="background1"/>
    </w:tcPr>
    <w:tblStylePr w:type="firstRow">
      <w:rPr>
        <w:rFonts w:ascii="Arial" w:hAnsi="Arial"/>
        <w:b/>
        <w:color w:val="FFFFFF" w:themeColor="background1"/>
        <w:sz w:val="20"/>
      </w:rPr>
      <w:tblPr/>
      <w:tcPr>
        <w:shd w:val="clear" w:color="auto" w:fill="C6E8F5" w:themeFill="accent5" w:themeFillTint="66"/>
      </w:tcPr>
    </w:tblStylePr>
  </w:style>
  <w:style w:type="table" w:customStyle="1" w:styleId="DeloitteTable-LightBlueLightShading">
    <w:name w:val="Deloitte Table - Light Blue Light Shading"/>
    <w:basedOn w:val="TableNormal"/>
    <w:uiPriority w:val="99"/>
    <w:qFormat/>
    <w:rsid w:val="008F73FF"/>
    <w:rPr>
      <w:rFonts w:ascii="Arial" w:hAnsi="Arial"/>
    </w:rPr>
    <w:tblPr>
      <w:tblStyleRowBandSize w:val="1"/>
    </w:tblPr>
    <w:tblStylePr w:type="firstRow">
      <w:rPr>
        <w:rFonts w:ascii="Arial" w:hAnsi="Arial"/>
        <w:b/>
        <w:color w:val="FFFFFF" w:themeColor="background1"/>
        <w:sz w:val="20"/>
      </w:rPr>
      <w:tblPr/>
      <w:tcPr>
        <w:shd w:val="clear" w:color="auto" w:fill="AADDF0" w:themeFill="accent5" w:themeFillTint="99"/>
      </w:tcPr>
    </w:tblStylePr>
    <w:tblStylePr w:type="band1Horz">
      <w:tblPr/>
      <w:tcPr>
        <w:shd w:val="clear" w:color="auto" w:fill="E2F3FA" w:themeFill="accent5" w:themeFillTint="33"/>
      </w:tcPr>
    </w:tblStylePr>
  </w:style>
  <w:style w:type="table" w:customStyle="1" w:styleId="DeloitteTable-DarkBlueMediumShading">
    <w:name w:val="Deloitte Table - Dark Blue Medium Shading"/>
    <w:basedOn w:val="TableNormal"/>
    <w:uiPriority w:val="99"/>
    <w:qFormat/>
    <w:rsid w:val="008F73FF"/>
    <w:rPr>
      <w:rFonts w:ascii="Arial" w:hAnsi="Arial"/>
    </w:rPr>
    <w:tblPr>
      <w:tblStyleRowBandSize w:val="1"/>
    </w:tblPr>
    <w:tblStylePr w:type="firstRow">
      <w:rPr>
        <w:rFonts w:ascii="Arial" w:hAnsi="Arial"/>
        <w:b/>
        <w:color w:val="FFFFFF" w:themeColor="background1"/>
        <w:sz w:val="20"/>
      </w:rPr>
      <w:tblPr/>
      <w:tcPr>
        <w:shd w:val="clear" w:color="auto" w:fill="002776" w:themeFill="text2"/>
      </w:tcPr>
    </w:tblStylePr>
    <w:tblStylePr w:type="band1Horz">
      <w:rPr>
        <w:rFonts w:ascii="Arial" w:hAnsi="Arial"/>
        <w:sz w:val="20"/>
      </w:rPr>
      <w:tblPr/>
      <w:tcPr>
        <w:shd w:val="clear" w:color="auto" w:fill="B0CAFF" w:themeFill="text2" w:themeFillTint="33"/>
      </w:tcPr>
    </w:tblStylePr>
  </w:style>
  <w:style w:type="paragraph" w:styleId="FootnoteText">
    <w:name w:val="footnote text"/>
    <w:basedOn w:val="Normal"/>
    <w:link w:val="FootnoteTextChar"/>
    <w:uiPriority w:val="99"/>
    <w:semiHidden/>
    <w:unhideWhenUsed/>
    <w:rsid w:val="00D91615"/>
    <w:pPr>
      <w:spacing w:after="0" w:line="240" w:lineRule="auto"/>
    </w:pPr>
  </w:style>
  <w:style w:type="character" w:customStyle="1" w:styleId="FootnoteTextChar">
    <w:name w:val="Footnote Text Char"/>
    <w:basedOn w:val="DefaultParagraphFont"/>
    <w:link w:val="FootnoteText"/>
    <w:uiPriority w:val="99"/>
    <w:semiHidden/>
    <w:rsid w:val="00D91615"/>
    <w:rPr>
      <w:rFonts w:ascii="Arial" w:hAnsi="Arial"/>
      <w:color w:val="000000"/>
      <w:lang w:eastAsia="en-US"/>
    </w:rPr>
  </w:style>
  <w:style w:type="character" w:styleId="FootnoteReference">
    <w:name w:val="footnote reference"/>
    <w:basedOn w:val="DefaultParagraphFont"/>
    <w:uiPriority w:val="99"/>
    <w:semiHidden/>
    <w:unhideWhenUsed/>
    <w:rsid w:val="00D91615"/>
    <w:rPr>
      <w:vertAlign w:val="superscript"/>
    </w:rPr>
  </w:style>
  <w:style w:type="paragraph" w:styleId="NormalWeb">
    <w:name w:val="Normal (Web)"/>
    <w:basedOn w:val="Normal"/>
    <w:uiPriority w:val="99"/>
    <w:unhideWhenUsed/>
    <w:rsid w:val="00D17573"/>
    <w:pPr>
      <w:spacing w:after="0" w:line="217" w:lineRule="atLeast"/>
    </w:pPr>
    <w:rPr>
      <w:rFonts w:ascii="Times New Roman" w:eastAsiaTheme="minorHAnsi" w:hAnsi="Times New Roman"/>
      <w:color w:val="auto"/>
      <w:sz w:val="24"/>
      <w:szCs w:val="24"/>
      <w:lang w:eastAsia="en-NZ"/>
    </w:rPr>
  </w:style>
  <w:style w:type="table" w:styleId="MediumList1-Accent3">
    <w:name w:val="Medium List 1 Accent 3"/>
    <w:basedOn w:val="TableNormal"/>
    <w:uiPriority w:val="65"/>
    <w:rsid w:val="004B02FA"/>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A1DE" w:themeColor="accent3"/>
        <w:bottom w:val="single" w:sz="8" w:space="0" w:color="00A1DE" w:themeColor="accent3"/>
      </w:tblBorders>
    </w:tblPr>
    <w:tblStylePr w:type="firstRow">
      <w:rPr>
        <w:rFonts w:asciiTheme="majorHAnsi" w:eastAsiaTheme="majorEastAsia" w:hAnsiTheme="majorHAnsi" w:cstheme="majorBidi"/>
      </w:rPr>
      <w:tblPr/>
      <w:tcPr>
        <w:tcBorders>
          <w:top w:val="nil"/>
          <w:bottom w:val="single" w:sz="8" w:space="0" w:color="00A1DE" w:themeColor="accent3"/>
        </w:tcBorders>
      </w:tcPr>
    </w:tblStylePr>
    <w:tblStylePr w:type="lastRow">
      <w:rPr>
        <w:b/>
        <w:bCs/>
        <w:color w:val="002776" w:themeColor="text2"/>
      </w:rPr>
      <w:tblPr/>
      <w:tcPr>
        <w:tcBorders>
          <w:top w:val="single" w:sz="8" w:space="0" w:color="00A1DE" w:themeColor="accent3"/>
          <w:bottom w:val="single" w:sz="8" w:space="0" w:color="00A1DE" w:themeColor="accent3"/>
        </w:tcBorders>
      </w:tcPr>
    </w:tblStylePr>
    <w:tblStylePr w:type="firstCol">
      <w:rPr>
        <w:b/>
        <w:bCs/>
      </w:rPr>
    </w:tblStylePr>
    <w:tblStylePr w:type="lastCol">
      <w:rPr>
        <w:b/>
        <w:bCs/>
      </w:rPr>
      <w:tblPr/>
      <w:tcPr>
        <w:tcBorders>
          <w:top w:val="single" w:sz="8" w:space="0" w:color="00A1DE" w:themeColor="accent3"/>
          <w:bottom w:val="single" w:sz="8" w:space="0" w:color="00A1DE" w:themeColor="accent3"/>
        </w:tcBorders>
      </w:tcPr>
    </w:tblStylePr>
    <w:tblStylePr w:type="band1Vert">
      <w:tblPr/>
      <w:tcPr>
        <w:shd w:val="clear" w:color="auto" w:fill="B7EBFF" w:themeFill="accent3" w:themeFillTint="3F"/>
      </w:tcPr>
    </w:tblStylePr>
    <w:tblStylePr w:type="band1Horz">
      <w:tblPr/>
      <w:tcPr>
        <w:shd w:val="clear" w:color="auto" w:fill="B7EBFF" w:themeFill="accent3" w:themeFillTint="3F"/>
      </w:tcPr>
    </w:tblStylePr>
  </w:style>
  <w:style w:type="character" w:styleId="CommentReference">
    <w:name w:val="annotation reference"/>
    <w:basedOn w:val="DefaultParagraphFont"/>
    <w:uiPriority w:val="99"/>
    <w:semiHidden/>
    <w:unhideWhenUsed/>
    <w:rsid w:val="00DF2989"/>
    <w:rPr>
      <w:sz w:val="16"/>
      <w:szCs w:val="16"/>
    </w:rPr>
  </w:style>
  <w:style w:type="paragraph" w:styleId="CommentText">
    <w:name w:val="annotation text"/>
    <w:basedOn w:val="Normal"/>
    <w:link w:val="CommentTextChar"/>
    <w:uiPriority w:val="99"/>
    <w:semiHidden/>
    <w:unhideWhenUsed/>
    <w:rsid w:val="00DF2989"/>
    <w:pPr>
      <w:spacing w:line="240" w:lineRule="auto"/>
    </w:pPr>
  </w:style>
  <w:style w:type="character" w:customStyle="1" w:styleId="CommentTextChar">
    <w:name w:val="Comment Text Char"/>
    <w:basedOn w:val="DefaultParagraphFont"/>
    <w:link w:val="CommentText"/>
    <w:uiPriority w:val="99"/>
    <w:semiHidden/>
    <w:rsid w:val="00DF2989"/>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DF2989"/>
    <w:rPr>
      <w:b/>
      <w:bCs/>
    </w:rPr>
  </w:style>
  <w:style w:type="character" w:customStyle="1" w:styleId="CommentSubjectChar">
    <w:name w:val="Comment Subject Char"/>
    <w:basedOn w:val="CommentTextChar"/>
    <w:link w:val="CommentSubject"/>
    <w:uiPriority w:val="99"/>
    <w:semiHidden/>
    <w:rsid w:val="00DF2989"/>
    <w:rPr>
      <w:rFonts w:ascii="Arial" w:hAnsi="Arial"/>
      <w:b/>
      <w:bCs/>
      <w:color w:val="000000"/>
      <w:lang w:eastAsia="en-US"/>
    </w:rPr>
  </w:style>
  <w:style w:type="paragraph" w:styleId="Revision">
    <w:name w:val="Revision"/>
    <w:hidden/>
    <w:uiPriority w:val="99"/>
    <w:semiHidden/>
    <w:rsid w:val="00D64815"/>
    <w:rPr>
      <w:rFonts w:ascii="Arial"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6954">
      <w:bodyDiv w:val="1"/>
      <w:marLeft w:val="0"/>
      <w:marRight w:val="0"/>
      <w:marTop w:val="0"/>
      <w:marBottom w:val="0"/>
      <w:divBdr>
        <w:top w:val="none" w:sz="0" w:space="0" w:color="auto"/>
        <w:left w:val="none" w:sz="0" w:space="0" w:color="auto"/>
        <w:bottom w:val="none" w:sz="0" w:space="0" w:color="auto"/>
        <w:right w:val="none" w:sz="0" w:space="0" w:color="auto"/>
      </w:divBdr>
    </w:div>
    <w:div w:id="7226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OPOSAL%20REPORT%20-%20portrait.dotx" TargetMode="External"/></Relationships>
</file>

<file path=word/theme/theme1.xml><?xml version="1.0" encoding="utf-8"?>
<a:theme xmlns:a="http://schemas.openxmlformats.org/drawingml/2006/main" name="default them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6C45-DB0B-493A-8E7D-BF7F5BB8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REPORT - portrait</Template>
  <TotalTime>0</TotalTime>
  <Pages>34</Pages>
  <Words>7977</Words>
  <Characters>45474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53345</CharactersWithSpaces>
  <SharedDoc>false</SharedDoc>
  <HLinks>
    <vt:vector size="60" baseType="variant">
      <vt:variant>
        <vt:i4>4063356</vt:i4>
      </vt:variant>
      <vt:variant>
        <vt:i4>45</vt:i4>
      </vt:variant>
      <vt:variant>
        <vt:i4>0</vt:i4>
      </vt:variant>
      <vt:variant>
        <vt:i4>5</vt:i4>
      </vt:variant>
      <vt:variant>
        <vt:lpwstr>http://www.deloitte.co.nz/</vt:lpwstr>
      </vt:variant>
      <vt:variant>
        <vt:lpwstr/>
      </vt:variant>
      <vt:variant>
        <vt:i4>1966138</vt:i4>
      </vt:variant>
      <vt:variant>
        <vt:i4>38</vt:i4>
      </vt:variant>
      <vt:variant>
        <vt:i4>0</vt:i4>
      </vt:variant>
      <vt:variant>
        <vt:i4>5</vt:i4>
      </vt:variant>
      <vt:variant>
        <vt:lpwstr/>
      </vt:variant>
      <vt:variant>
        <vt:lpwstr>_Toc239220387</vt:lpwstr>
      </vt:variant>
      <vt:variant>
        <vt:i4>1966138</vt:i4>
      </vt:variant>
      <vt:variant>
        <vt:i4>32</vt:i4>
      </vt:variant>
      <vt:variant>
        <vt:i4>0</vt:i4>
      </vt:variant>
      <vt:variant>
        <vt:i4>5</vt:i4>
      </vt:variant>
      <vt:variant>
        <vt:lpwstr/>
      </vt:variant>
      <vt:variant>
        <vt:lpwstr>_Toc239220386</vt:lpwstr>
      </vt:variant>
      <vt:variant>
        <vt:i4>1966138</vt:i4>
      </vt:variant>
      <vt:variant>
        <vt:i4>26</vt:i4>
      </vt:variant>
      <vt:variant>
        <vt:i4>0</vt:i4>
      </vt:variant>
      <vt:variant>
        <vt:i4>5</vt:i4>
      </vt:variant>
      <vt:variant>
        <vt:lpwstr/>
      </vt:variant>
      <vt:variant>
        <vt:lpwstr>_Toc239220385</vt:lpwstr>
      </vt:variant>
      <vt:variant>
        <vt:i4>1966138</vt:i4>
      </vt:variant>
      <vt:variant>
        <vt:i4>20</vt:i4>
      </vt:variant>
      <vt:variant>
        <vt:i4>0</vt:i4>
      </vt:variant>
      <vt:variant>
        <vt:i4>5</vt:i4>
      </vt:variant>
      <vt:variant>
        <vt:lpwstr/>
      </vt:variant>
      <vt:variant>
        <vt:lpwstr>_Toc239220384</vt:lpwstr>
      </vt:variant>
      <vt:variant>
        <vt:i4>1966138</vt:i4>
      </vt:variant>
      <vt:variant>
        <vt:i4>14</vt:i4>
      </vt:variant>
      <vt:variant>
        <vt:i4>0</vt:i4>
      </vt:variant>
      <vt:variant>
        <vt:i4>5</vt:i4>
      </vt:variant>
      <vt:variant>
        <vt:lpwstr/>
      </vt:variant>
      <vt:variant>
        <vt:lpwstr>_Toc239220383</vt:lpwstr>
      </vt:variant>
      <vt:variant>
        <vt:i4>1966138</vt:i4>
      </vt:variant>
      <vt:variant>
        <vt:i4>8</vt:i4>
      </vt:variant>
      <vt:variant>
        <vt:i4>0</vt:i4>
      </vt:variant>
      <vt:variant>
        <vt:i4>5</vt:i4>
      </vt:variant>
      <vt:variant>
        <vt:lpwstr/>
      </vt:variant>
      <vt:variant>
        <vt:lpwstr>_Toc239220382</vt:lpwstr>
      </vt:variant>
      <vt:variant>
        <vt:i4>1966138</vt:i4>
      </vt:variant>
      <vt:variant>
        <vt:i4>2</vt:i4>
      </vt:variant>
      <vt:variant>
        <vt:i4>0</vt:i4>
      </vt:variant>
      <vt:variant>
        <vt:i4>5</vt:i4>
      </vt:variant>
      <vt:variant>
        <vt:lpwstr/>
      </vt:variant>
      <vt:variant>
        <vt:lpwstr>_Toc239220381</vt:lpwstr>
      </vt:variant>
      <vt:variant>
        <vt:i4>6881321</vt:i4>
      </vt:variant>
      <vt:variant>
        <vt:i4>3</vt:i4>
      </vt:variant>
      <vt:variant>
        <vt:i4>0</vt:i4>
      </vt:variant>
      <vt:variant>
        <vt:i4>5</vt:i4>
      </vt:variant>
      <vt:variant>
        <vt:lpwstr>http://nzintranet/general.aspx?id=4258</vt:lpwstr>
      </vt:variant>
      <vt:variant>
        <vt:lpwstr/>
      </vt:variant>
      <vt:variant>
        <vt:i4>3801114</vt:i4>
      </vt:variant>
      <vt:variant>
        <vt:i4>0</vt:i4>
      </vt:variant>
      <vt:variant>
        <vt:i4>0</vt:i4>
      </vt:variant>
      <vt:variant>
        <vt:i4>5</vt:i4>
      </vt:variant>
      <vt:variant>
        <vt:lpwstr>http://nzintranet/internal_services/business_development/brand_and_design/design_services.aspx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Ford</dc:creator>
  <dc:description>Deloitte proposal/report</dc:description>
  <cp:lastModifiedBy>Raena Armitage</cp:lastModifiedBy>
  <cp:revision>2</cp:revision>
  <cp:lastPrinted>2015-02-26T03:54:00Z</cp:lastPrinted>
  <dcterms:created xsi:type="dcterms:W3CDTF">2015-06-29T01:31:00Z</dcterms:created>
  <dcterms:modified xsi:type="dcterms:W3CDTF">2015-06-29T01:31:00Z</dcterms:modified>
</cp:coreProperties>
</file>