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4BEED324" w:rsidR="008348B7" w:rsidRPr="00DD748F" w:rsidRDefault="00D546CF" w:rsidP="00242284">
            <w:pPr>
              <w:pStyle w:val="Title"/>
            </w:pPr>
            <w:r w:rsidRPr="00D546CF">
              <w:t>Interim High Vigilance Guideline for Non-Mesh Stress Urinary Incontinence Surgery</w:t>
            </w:r>
            <w:r w:rsidR="00242284" w:rsidRPr="00242284">
              <w:rPr>
                <w:b w:val="0"/>
              </w:rPr>
              <w:br/>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1CB44715" w:rsidR="00423830" w:rsidRPr="00242284" w:rsidRDefault="00CE0CFA" w:rsidP="00242284">
            <w:pPr>
              <w:spacing w:after="120"/>
              <w:jc w:val="right"/>
              <w:rPr>
                <w:rFonts w:cs="Segoe UI"/>
                <w:color w:val="002B7F"/>
                <w:sz w:val="28"/>
                <w:szCs w:val="28"/>
              </w:rPr>
            </w:pPr>
            <w:r>
              <w:rPr>
                <w:rFonts w:cs="Segoe UI"/>
                <w:sz w:val="28"/>
                <w:szCs w:val="28"/>
              </w:rPr>
              <w:t>December</w:t>
            </w:r>
            <w:r w:rsidR="00D546CF">
              <w:rPr>
                <w:rFonts w:cs="Segoe UI"/>
                <w:sz w:val="28"/>
                <w:szCs w:val="28"/>
              </w:rPr>
              <w:t xml:space="preserve"> 2023</w:t>
            </w:r>
          </w:p>
        </w:tc>
      </w:tr>
    </w:tbl>
    <w:p w14:paraId="068F0D58" w14:textId="77777777" w:rsidR="008348B7" w:rsidRDefault="008348B7" w:rsidP="00A401D7">
      <w:pPr>
        <w:spacing w:after="360"/>
      </w:pPr>
    </w:p>
    <w:p w14:paraId="15FCC51F" w14:textId="28735C62" w:rsidR="00E75FD5" w:rsidRDefault="00E75FD5" w:rsidP="00E75FD5">
      <w:pPr>
        <w:spacing w:line="276" w:lineRule="auto"/>
      </w:pPr>
      <w:r>
        <w:t xml:space="preserve">The interim high vigilance (HV) guideline applies to all surgical procedures undertaken for female stress urinary incontinence (SUI), whether primary or revision. Examples </w:t>
      </w:r>
      <w:r w:rsidR="00D8307C">
        <w:t xml:space="preserve">of SUI procedures </w:t>
      </w:r>
      <w:r>
        <w:t>include, but are not limited to:</w:t>
      </w:r>
    </w:p>
    <w:p w14:paraId="1D22EE76" w14:textId="77777777" w:rsidR="00E75FD5" w:rsidRPr="00BF586C" w:rsidRDefault="00E75FD5" w:rsidP="00E75FD5">
      <w:pPr>
        <w:pStyle w:val="ListParagraph"/>
        <w:numPr>
          <w:ilvl w:val="0"/>
          <w:numId w:val="15"/>
        </w:numPr>
        <w:spacing w:line="276" w:lineRule="auto"/>
        <w:rPr>
          <w:rFonts w:ascii="Segoe UI" w:eastAsia="Times New Roman" w:hAnsi="Segoe UI" w:cs="Times New Roman"/>
          <w:kern w:val="0"/>
          <w:sz w:val="21"/>
          <w:shd w:val="clear" w:color="auto" w:fill="FFFFFF"/>
          <w:lang w:eastAsia="en-US"/>
          <w14:ligatures w14:val="none"/>
        </w:rPr>
      </w:pPr>
      <w:r w:rsidRPr="00BF586C">
        <w:rPr>
          <w:rFonts w:ascii="Segoe UI" w:eastAsia="Times New Roman" w:hAnsi="Segoe UI" w:cs="Times New Roman"/>
          <w:kern w:val="0"/>
          <w:sz w:val="21"/>
          <w:shd w:val="clear" w:color="auto" w:fill="FFFFFF"/>
          <w:lang w:eastAsia="en-US"/>
          <w14:ligatures w14:val="none"/>
        </w:rPr>
        <w:t>fascial slings</w:t>
      </w:r>
    </w:p>
    <w:p w14:paraId="6022E12F" w14:textId="77777777" w:rsidR="00E75FD5" w:rsidRPr="00BF586C" w:rsidRDefault="00E75FD5" w:rsidP="00E75FD5">
      <w:pPr>
        <w:pStyle w:val="ListParagraph"/>
        <w:numPr>
          <w:ilvl w:val="0"/>
          <w:numId w:val="15"/>
        </w:numPr>
        <w:spacing w:line="276" w:lineRule="auto"/>
        <w:rPr>
          <w:rFonts w:ascii="Segoe UI" w:eastAsia="Times New Roman" w:hAnsi="Segoe UI" w:cs="Times New Roman"/>
          <w:kern w:val="0"/>
          <w:sz w:val="21"/>
          <w:shd w:val="clear" w:color="auto" w:fill="FFFFFF"/>
          <w:lang w:eastAsia="en-US"/>
          <w14:ligatures w14:val="none"/>
        </w:rPr>
      </w:pPr>
      <w:proofErr w:type="spellStart"/>
      <w:r w:rsidRPr="00BF586C">
        <w:rPr>
          <w:rFonts w:ascii="Segoe UI" w:eastAsia="Times New Roman" w:hAnsi="Segoe UI" w:cs="Times New Roman"/>
          <w:kern w:val="0"/>
          <w:sz w:val="21"/>
          <w:shd w:val="clear" w:color="auto" w:fill="FFFFFF"/>
          <w:lang w:eastAsia="en-US"/>
          <w14:ligatures w14:val="none"/>
        </w:rPr>
        <w:t>burch</w:t>
      </w:r>
      <w:proofErr w:type="spellEnd"/>
      <w:r w:rsidRPr="00BF586C">
        <w:rPr>
          <w:rFonts w:ascii="Segoe UI" w:eastAsia="Times New Roman" w:hAnsi="Segoe UI" w:cs="Times New Roman"/>
          <w:kern w:val="0"/>
          <w:sz w:val="21"/>
          <w:shd w:val="clear" w:color="auto" w:fill="FFFFFF"/>
          <w:lang w:eastAsia="en-US"/>
          <w14:ligatures w14:val="none"/>
        </w:rPr>
        <w:t xml:space="preserve"> colposuspension</w:t>
      </w:r>
    </w:p>
    <w:p w14:paraId="3525AA62" w14:textId="77777777" w:rsidR="00E75FD5" w:rsidRPr="00BF586C" w:rsidRDefault="00E75FD5" w:rsidP="00E75FD5">
      <w:pPr>
        <w:pStyle w:val="ListParagraph"/>
        <w:numPr>
          <w:ilvl w:val="0"/>
          <w:numId w:val="15"/>
        </w:numPr>
        <w:spacing w:line="276" w:lineRule="auto"/>
        <w:rPr>
          <w:rFonts w:ascii="Segoe UI" w:eastAsia="Times New Roman" w:hAnsi="Segoe UI" w:cs="Times New Roman"/>
          <w:kern w:val="0"/>
          <w:sz w:val="21"/>
          <w:shd w:val="clear" w:color="auto" w:fill="FFFFFF"/>
          <w:lang w:eastAsia="en-US"/>
          <w14:ligatures w14:val="none"/>
        </w:rPr>
      </w:pPr>
      <w:r w:rsidRPr="00BF586C">
        <w:rPr>
          <w:rFonts w:ascii="Segoe UI" w:eastAsia="Times New Roman" w:hAnsi="Segoe UI" w:cs="Times New Roman"/>
          <w:kern w:val="0"/>
          <w:sz w:val="21"/>
          <w:shd w:val="clear" w:color="auto" w:fill="FFFFFF"/>
          <w:lang w:eastAsia="en-US"/>
          <w14:ligatures w14:val="none"/>
        </w:rPr>
        <w:t>peri-urethral bulking agents</w:t>
      </w:r>
    </w:p>
    <w:p w14:paraId="1386F29A" w14:textId="77777777" w:rsidR="00D546CF" w:rsidRDefault="00D546CF" w:rsidP="00D546CF">
      <w:pPr>
        <w:spacing w:line="276" w:lineRule="auto"/>
        <w:rPr>
          <w:rFonts w:cs="Segoe UI"/>
          <w:sz w:val="20"/>
          <w:szCs w:val="20"/>
          <w:shd w:val="clear" w:color="auto" w:fill="FFFFFF"/>
        </w:rPr>
      </w:pPr>
    </w:p>
    <w:p w14:paraId="3B15AE93" w14:textId="1B37DFCF" w:rsidR="00D546CF" w:rsidRDefault="00D546CF" w:rsidP="00D546CF">
      <w:pPr>
        <w:rPr>
          <w:shd w:val="clear" w:color="auto" w:fill="FFFFFF"/>
        </w:rPr>
      </w:pPr>
      <w:r>
        <w:rPr>
          <w:shd w:val="clear" w:color="auto" w:fill="FFFFFF"/>
        </w:rPr>
        <w:t>We</w:t>
      </w:r>
      <w:r>
        <w:rPr>
          <w:rStyle w:val="FootnoteReference"/>
          <w:rFonts w:cs="Segoe UI"/>
          <w:color w:val="000000" w:themeColor="text1"/>
          <w:sz w:val="20"/>
          <w:szCs w:val="20"/>
          <w:shd w:val="clear" w:color="auto" w:fill="FFFFFF"/>
        </w:rPr>
        <w:footnoteReference w:id="1"/>
      </w:r>
      <w:r>
        <w:rPr>
          <w:shd w:val="clear" w:color="auto" w:fill="FFFFFF"/>
        </w:rPr>
        <w:t xml:space="preserve"> recommend this </w:t>
      </w:r>
      <w:r w:rsidRPr="00F34473">
        <w:rPr>
          <w:shd w:val="clear" w:color="auto" w:fill="FFFFFF"/>
        </w:rPr>
        <w:t>guideline</w:t>
      </w:r>
      <w:r w:rsidRPr="00F34473">
        <w:rPr>
          <w:rStyle w:val="FootnoteReference"/>
          <w:rFonts w:cs="Segoe UI"/>
          <w:color w:val="000000" w:themeColor="text1"/>
          <w:sz w:val="20"/>
          <w:szCs w:val="20"/>
          <w:shd w:val="clear" w:color="auto" w:fill="FFFFFF"/>
        </w:rPr>
        <w:footnoteReference w:id="2"/>
      </w:r>
      <w:r w:rsidRPr="00F34473">
        <w:rPr>
          <w:shd w:val="clear" w:color="auto" w:fill="FFFFFF"/>
        </w:rPr>
        <w:t xml:space="preserve"> </w:t>
      </w:r>
      <w:r>
        <w:rPr>
          <w:shd w:val="clear" w:color="auto" w:fill="FFFFFF"/>
        </w:rPr>
        <w:t xml:space="preserve">for best practice </w:t>
      </w:r>
      <w:r w:rsidRPr="00F34473">
        <w:rPr>
          <w:shd w:val="clear" w:color="auto" w:fill="FFFFFF"/>
        </w:rPr>
        <w:t xml:space="preserve">based on available evidence and expert consensus. </w:t>
      </w:r>
      <w:r>
        <w:rPr>
          <w:shd w:val="clear" w:color="auto" w:fill="FFFFFF"/>
        </w:rPr>
        <w:t>This guideline should</w:t>
      </w:r>
      <w:r w:rsidRPr="00F34473">
        <w:rPr>
          <w:shd w:val="clear" w:color="auto" w:fill="FFFFFF"/>
        </w:rPr>
        <w:t xml:space="preserve"> apply at all facilities where </w:t>
      </w:r>
      <w:r>
        <w:rPr>
          <w:shd w:val="clear" w:color="auto" w:fill="FFFFFF"/>
        </w:rPr>
        <w:t xml:space="preserve">practitioners perform </w:t>
      </w:r>
      <w:r w:rsidRPr="00F34473">
        <w:rPr>
          <w:shd w:val="clear" w:color="auto" w:fill="FFFFFF"/>
        </w:rPr>
        <w:t xml:space="preserve">the listed </w:t>
      </w:r>
      <w:r>
        <w:rPr>
          <w:shd w:val="clear" w:color="auto" w:fill="FFFFFF"/>
        </w:rPr>
        <w:t>high vigilance</w:t>
      </w:r>
      <w:r w:rsidRPr="00F34473">
        <w:rPr>
          <w:shd w:val="clear" w:color="auto" w:fill="FFFFFF"/>
        </w:rPr>
        <w:t xml:space="preserve"> procedures.</w:t>
      </w:r>
    </w:p>
    <w:p w14:paraId="4991D6F3" w14:textId="77777777" w:rsidR="00D546CF" w:rsidRDefault="00D546CF" w:rsidP="00D546CF">
      <w:pPr>
        <w:rPr>
          <w:shd w:val="clear" w:color="auto" w:fill="FFFFFF"/>
        </w:rPr>
      </w:pPr>
    </w:p>
    <w:p w14:paraId="49D712D2" w14:textId="55BB1E60" w:rsidR="00D546CF" w:rsidRPr="00D546CF" w:rsidRDefault="00D546CF" w:rsidP="00D546CF">
      <w:r w:rsidRPr="00D546CF">
        <w:t>This guideline is an interim measure that will remain in place until the required system safety steps for female pelvic floor surgery (</w:t>
      </w:r>
      <w:proofErr w:type="spellStart"/>
      <w:r w:rsidRPr="00D546CF">
        <w:t>eg</w:t>
      </w:r>
      <w:proofErr w:type="spellEnd"/>
      <w:r w:rsidR="00F41517">
        <w:t>,</w:t>
      </w:r>
      <w:r w:rsidRPr="00D546CF">
        <w:t xml:space="preserve"> formalised multidisciplinary meeting are in place.) </w:t>
      </w:r>
    </w:p>
    <w:p w14:paraId="640130E8" w14:textId="77777777" w:rsidR="00D546CF" w:rsidRPr="00F34473" w:rsidRDefault="00D546CF" w:rsidP="00D546CF"/>
    <w:p w14:paraId="5AF9DED3" w14:textId="77777777" w:rsidR="00D546CF" w:rsidRPr="009B1899" w:rsidRDefault="00D546CF" w:rsidP="00D546CF">
      <w:pPr>
        <w:rPr>
          <w:shd w:val="clear" w:color="auto" w:fill="FFFFFF"/>
        </w:rPr>
      </w:pPr>
      <w:r>
        <w:rPr>
          <w:shd w:val="clear" w:color="auto" w:fill="FFFFFF"/>
        </w:rPr>
        <w:t>W</w:t>
      </w:r>
      <w:r w:rsidRPr="009B1899">
        <w:rPr>
          <w:shd w:val="clear" w:color="auto" w:fill="FFFFFF"/>
        </w:rPr>
        <w:t xml:space="preserve">hile there is a pause on </w:t>
      </w:r>
      <w:r>
        <w:rPr>
          <w:shd w:val="clear" w:color="auto" w:fill="FFFFFF"/>
        </w:rPr>
        <w:t>stress urinary incontinence (</w:t>
      </w:r>
      <w:r w:rsidRPr="009B1899">
        <w:rPr>
          <w:shd w:val="clear" w:color="auto" w:fill="FFFFFF"/>
        </w:rPr>
        <w:t>SUI</w:t>
      </w:r>
      <w:r>
        <w:rPr>
          <w:shd w:val="clear" w:color="auto" w:fill="FFFFFF"/>
        </w:rPr>
        <w:t>)</w:t>
      </w:r>
      <w:r w:rsidRPr="009B1899">
        <w:rPr>
          <w:shd w:val="clear" w:color="auto" w:fill="FFFFFF"/>
        </w:rPr>
        <w:t xml:space="preserve"> mesh procedures</w:t>
      </w:r>
      <w:r>
        <w:rPr>
          <w:shd w:val="clear" w:color="auto" w:fill="FFFFFF"/>
        </w:rPr>
        <w:t>,</w:t>
      </w:r>
      <w:r w:rsidRPr="009B1899">
        <w:rPr>
          <w:shd w:val="clear" w:color="auto" w:fill="FFFFFF"/>
        </w:rPr>
        <w:t xml:space="preserve"> there could be a shift to non-mesh SUI procedures</w:t>
      </w:r>
      <w:r>
        <w:rPr>
          <w:shd w:val="clear" w:color="auto" w:fill="FFFFFF"/>
        </w:rPr>
        <w:t>.</w:t>
      </w:r>
      <w:r w:rsidRPr="009B1899">
        <w:rPr>
          <w:shd w:val="clear" w:color="auto" w:fill="FFFFFF"/>
        </w:rPr>
        <w:t xml:space="preserve"> </w:t>
      </w:r>
      <w:r>
        <w:rPr>
          <w:shd w:val="clear" w:color="auto" w:fill="FFFFFF"/>
        </w:rPr>
        <w:t xml:space="preserve">For this reason, we need </w:t>
      </w:r>
      <w:r w:rsidRPr="009B1899">
        <w:rPr>
          <w:shd w:val="clear" w:color="auto" w:fill="FFFFFF"/>
        </w:rPr>
        <w:t xml:space="preserve">a high vigilance guideline similar to </w:t>
      </w:r>
      <w:r>
        <w:rPr>
          <w:shd w:val="clear" w:color="auto" w:fill="FFFFFF"/>
        </w:rPr>
        <w:t xml:space="preserve">the UK guideline that </w:t>
      </w:r>
      <w:r w:rsidRPr="009B1899">
        <w:rPr>
          <w:shd w:val="clear" w:color="auto" w:fill="FFFFFF"/>
        </w:rPr>
        <w:t>was</w:t>
      </w:r>
      <w:r>
        <w:rPr>
          <w:shd w:val="clear" w:color="auto" w:fill="FFFFFF"/>
        </w:rPr>
        <w:t xml:space="preserve"> </w:t>
      </w:r>
      <w:r w:rsidRPr="009B1899">
        <w:rPr>
          <w:shd w:val="clear" w:color="auto" w:fill="FFFFFF"/>
        </w:rPr>
        <w:t>put in place</w:t>
      </w:r>
      <w:r>
        <w:rPr>
          <w:shd w:val="clear" w:color="auto" w:fill="FFFFFF"/>
        </w:rPr>
        <w:t xml:space="preserve"> after</w:t>
      </w:r>
      <w:r w:rsidRPr="009B1899">
        <w:rPr>
          <w:shd w:val="clear" w:color="auto" w:fill="FFFFFF"/>
        </w:rPr>
        <w:t xml:space="preserve"> </w:t>
      </w:r>
      <w:r>
        <w:rPr>
          <w:shd w:val="clear" w:color="auto" w:fill="FFFFFF"/>
        </w:rPr>
        <w:t xml:space="preserve">the 2018 pause in </w:t>
      </w:r>
      <w:r w:rsidRPr="009B1899">
        <w:rPr>
          <w:shd w:val="clear" w:color="auto" w:fill="FFFFFF"/>
        </w:rPr>
        <w:t xml:space="preserve">SUI and </w:t>
      </w:r>
      <w:r>
        <w:rPr>
          <w:shd w:val="clear" w:color="auto" w:fill="FFFFFF"/>
        </w:rPr>
        <w:t xml:space="preserve">pelvic organ prolapse </w:t>
      </w:r>
      <w:r w:rsidRPr="009B1899">
        <w:rPr>
          <w:shd w:val="clear" w:color="auto" w:fill="FFFFFF"/>
        </w:rPr>
        <w:t>mesh</w:t>
      </w:r>
      <w:r>
        <w:rPr>
          <w:shd w:val="clear" w:color="auto" w:fill="FFFFFF"/>
        </w:rPr>
        <w:t xml:space="preserve"> procedures</w:t>
      </w:r>
      <w:r w:rsidRPr="006A544D">
        <w:rPr>
          <w:rStyle w:val="FootnoteReference"/>
          <w:rFonts w:cs="Segoe UI"/>
          <w:sz w:val="20"/>
          <w:szCs w:val="20"/>
          <w:shd w:val="clear" w:color="auto" w:fill="FFFFFF"/>
        </w:rPr>
        <w:footnoteReference w:id="3"/>
      </w:r>
      <w:r w:rsidRPr="5BDF17BA">
        <w:t>.</w:t>
      </w:r>
    </w:p>
    <w:p w14:paraId="3EE62B01" w14:textId="77777777" w:rsidR="00D546CF" w:rsidRDefault="00D546CF" w:rsidP="00D546CF">
      <w:pPr>
        <w:rPr>
          <w:shd w:val="clear" w:color="auto" w:fill="FFFFFF"/>
        </w:rPr>
      </w:pPr>
    </w:p>
    <w:p w14:paraId="1F0CA3DA" w14:textId="77777777" w:rsidR="00D546CF" w:rsidRPr="005524B0" w:rsidRDefault="00D546CF" w:rsidP="00D546CF">
      <w:pPr>
        <w:rPr>
          <w:rStyle w:val="ui-provider"/>
          <w:rFonts w:cs="Segoe UI"/>
          <w:sz w:val="20"/>
          <w:szCs w:val="20"/>
          <w:shd w:val="clear" w:color="auto" w:fill="FFFFFF"/>
        </w:rPr>
      </w:pPr>
      <w:r w:rsidRPr="005524B0">
        <w:rPr>
          <w:shd w:val="clear" w:color="auto" w:fill="FFFFFF"/>
        </w:rPr>
        <w:t>T</w:t>
      </w:r>
      <w:r w:rsidRPr="005524B0">
        <w:rPr>
          <w:rStyle w:val="ui-provider"/>
          <w:rFonts w:cs="Segoe UI"/>
          <w:sz w:val="20"/>
          <w:szCs w:val="20"/>
        </w:rPr>
        <w:t xml:space="preserve">he purpose of </w:t>
      </w:r>
      <w:r>
        <w:rPr>
          <w:rStyle w:val="ui-provider"/>
          <w:rFonts w:cs="Segoe UI"/>
          <w:sz w:val="20"/>
          <w:szCs w:val="20"/>
        </w:rPr>
        <w:t>this</w:t>
      </w:r>
      <w:r w:rsidRPr="005524B0">
        <w:rPr>
          <w:rStyle w:val="ui-provider"/>
          <w:rFonts w:cs="Segoe UI"/>
          <w:sz w:val="20"/>
          <w:szCs w:val="20"/>
        </w:rPr>
        <w:t xml:space="preserve"> guideline is to ensure that:</w:t>
      </w:r>
    </w:p>
    <w:p w14:paraId="06DBD6D4" w14:textId="77777777" w:rsidR="00D546CF" w:rsidRPr="00D546CF" w:rsidRDefault="00D546CF" w:rsidP="00D546CF">
      <w:pPr>
        <w:pStyle w:val="Number"/>
        <w:numPr>
          <w:ilvl w:val="1"/>
          <w:numId w:val="10"/>
        </w:numPr>
      </w:pPr>
      <w:r w:rsidRPr="00D546CF">
        <w:t xml:space="preserve">There is a documented peer review for all patients scheduled for high vigilance procedures through an appropriately constituted multidisciplinary meeting (MDM). </w:t>
      </w:r>
    </w:p>
    <w:p w14:paraId="3ACD41E2" w14:textId="77777777" w:rsidR="00D546CF" w:rsidRPr="00D546CF" w:rsidRDefault="00D546CF" w:rsidP="00D546CF">
      <w:pPr>
        <w:pStyle w:val="Number"/>
        <w:numPr>
          <w:ilvl w:val="1"/>
          <w:numId w:val="10"/>
        </w:numPr>
      </w:pPr>
      <w:r w:rsidRPr="00D546CF">
        <w:t xml:space="preserve">Practitioners inform patients of all suitable treatment options using written patient decision aids to guide shared decision-making. </w:t>
      </w:r>
    </w:p>
    <w:p w14:paraId="385E3D88" w14:textId="1FD0BE35" w:rsidR="00A401D7" w:rsidRDefault="00A401D7" w:rsidP="00A401D7"/>
    <w:p w14:paraId="261DBAD7" w14:textId="77777777" w:rsidR="00D546CF" w:rsidRPr="001949C3" w:rsidRDefault="00D546CF" w:rsidP="00A401D7"/>
    <w:p w14:paraId="126B6CDD" w14:textId="34C02B88" w:rsidR="00242284" w:rsidRPr="00B71D78" w:rsidRDefault="00D546CF" w:rsidP="00B71D78">
      <w:pPr>
        <w:rPr>
          <w:b/>
          <w:bCs/>
        </w:rPr>
      </w:pPr>
      <w:r w:rsidRPr="00B71D78">
        <w:rPr>
          <w:b/>
          <w:bCs/>
        </w:rPr>
        <w:t>Practitioners should meet the following requirements before they undertake the listed procedures:</w:t>
      </w:r>
    </w:p>
    <w:p w14:paraId="4063E469" w14:textId="77777777" w:rsidR="00D546CF" w:rsidRPr="00D546CF" w:rsidRDefault="00D546CF" w:rsidP="00D546CF">
      <w:pPr>
        <w:pStyle w:val="Number"/>
        <w:numPr>
          <w:ilvl w:val="1"/>
          <w:numId w:val="12"/>
        </w:numPr>
      </w:pPr>
      <w:r w:rsidRPr="00D546CF">
        <w:t>The operating surgeon should demonstrate that they are appropriately skilled to perform the procedure. For example, the operating surgeon is credentialled within the surgical facility to perform the planned surgery or operating with a supervising credentialled surgeon</w:t>
      </w:r>
      <w:r w:rsidRPr="00D546CF">
        <w:rPr>
          <w:vertAlign w:val="superscript"/>
        </w:rPr>
        <w:footnoteReference w:id="4"/>
      </w:r>
      <w:r w:rsidRPr="00D546CF">
        <w:rPr>
          <w:vertAlign w:val="superscript"/>
        </w:rPr>
        <w:t xml:space="preserve"> </w:t>
      </w:r>
      <w:r w:rsidRPr="00D546CF">
        <w:rPr>
          <w:vertAlign w:val="superscript"/>
        </w:rPr>
        <w:footnoteReference w:id="5"/>
      </w:r>
      <w:r w:rsidRPr="00D546CF">
        <w:t>.</w:t>
      </w:r>
    </w:p>
    <w:p w14:paraId="533E5FCB" w14:textId="77777777" w:rsidR="00D546CF" w:rsidRPr="00D546CF" w:rsidRDefault="00D546CF" w:rsidP="00D546CF">
      <w:pPr>
        <w:pStyle w:val="Number"/>
        <w:numPr>
          <w:ilvl w:val="1"/>
          <w:numId w:val="12"/>
        </w:numPr>
      </w:pPr>
      <w:r w:rsidRPr="00D546CF">
        <w:t>Unless the patient has demonstrated strong coordinated pelvic floor activity on assessment by a specialist and is unlikely to receive additional benefit by undergoing further supervised pelvic floor exercises, they should have a trial of supervised pelvic floor muscle training that lasts at least 12 weeks</w:t>
      </w:r>
      <w:r w:rsidRPr="00D546CF">
        <w:rPr>
          <w:vertAlign w:val="superscript"/>
        </w:rPr>
        <w:footnoteReference w:id="6"/>
      </w:r>
      <w:r w:rsidRPr="00D546CF">
        <w:rPr>
          <w:vertAlign w:val="superscript"/>
        </w:rPr>
        <w:t xml:space="preserve"> </w:t>
      </w:r>
      <w:r w:rsidRPr="00D546CF">
        <w:rPr>
          <w:vertAlign w:val="superscript"/>
        </w:rPr>
        <w:footnoteReference w:id="7"/>
      </w:r>
      <w:r w:rsidRPr="00D546CF">
        <w:t>.</w:t>
      </w:r>
    </w:p>
    <w:p w14:paraId="1AEDCBCF" w14:textId="77777777" w:rsidR="00D546CF" w:rsidRPr="00D546CF" w:rsidRDefault="00D546CF" w:rsidP="00D546CF">
      <w:pPr>
        <w:pStyle w:val="Number"/>
        <w:numPr>
          <w:ilvl w:val="1"/>
          <w:numId w:val="12"/>
        </w:numPr>
      </w:pPr>
      <w:r w:rsidRPr="00D546CF">
        <w:t>The patient should have a full preoperative assessment that includes performance of urodynamic studies, where clinically indicated</w:t>
      </w:r>
      <w:r w:rsidRPr="00D546CF">
        <w:rPr>
          <w:vertAlign w:val="superscript"/>
        </w:rPr>
        <w:footnoteReference w:id="8"/>
      </w:r>
      <w:r w:rsidRPr="00D546CF">
        <w:rPr>
          <w:vertAlign w:val="superscript"/>
        </w:rPr>
        <w:t xml:space="preserve"> </w:t>
      </w:r>
      <w:r w:rsidRPr="00D546CF">
        <w:rPr>
          <w:vertAlign w:val="superscript"/>
        </w:rPr>
        <w:footnoteReference w:id="9"/>
      </w:r>
      <w:r w:rsidRPr="00D546CF">
        <w:rPr>
          <w:vertAlign w:val="superscript"/>
        </w:rPr>
        <w:t>,</w:t>
      </w:r>
      <w:r w:rsidRPr="00D546CF">
        <w:t xml:space="preserve"> and interpretation by an appropriately skilled clinician. </w:t>
      </w:r>
    </w:p>
    <w:p w14:paraId="2FB08E9B" w14:textId="406D7403" w:rsidR="00D546CF" w:rsidRPr="00D546CF" w:rsidRDefault="00D546CF" w:rsidP="00D546CF">
      <w:pPr>
        <w:pStyle w:val="Number"/>
        <w:numPr>
          <w:ilvl w:val="1"/>
          <w:numId w:val="12"/>
        </w:numPr>
      </w:pPr>
      <w:r w:rsidRPr="00D546CF">
        <w:t>The patient should have participated in a shared decision-making and informed consent process consistent with the Code of Rights</w:t>
      </w:r>
      <w:r w:rsidRPr="00D546CF">
        <w:rPr>
          <w:vertAlign w:val="superscript"/>
        </w:rPr>
        <w:footnoteReference w:id="10"/>
      </w:r>
      <w:r w:rsidRPr="00D546CF">
        <w:t xml:space="preserve"> that includes the use of a patient decision aid, for example, National Institute for Health and Care Excellence (NICE) or the Australian Commission on Safety and Quality in Health Care</w:t>
      </w:r>
      <w:r w:rsidRPr="00D546CF">
        <w:rPr>
          <w:vertAlign w:val="superscript"/>
        </w:rPr>
        <w:footnoteReference w:id="11"/>
      </w:r>
      <w:r w:rsidRPr="00D546CF">
        <w:rPr>
          <w:vertAlign w:val="superscript"/>
        </w:rPr>
        <w:t xml:space="preserve"> </w:t>
      </w:r>
      <w:r w:rsidRPr="00D546CF">
        <w:rPr>
          <w:vertAlign w:val="superscript"/>
        </w:rPr>
        <w:footnoteReference w:id="12"/>
      </w:r>
      <w:r w:rsidRPr="00D546CF">
        <w:t>, until the Aotearoa New Zealand tool is available.</w:t>
      </w:r>
    </w:p>
    <w:p w14:paraId="2EE8F0EF" w14:textId="77777777" w:rsidR="00B71D78" w:rsidRDefault="00D546CF" w:rsidP="00D546CF">
      <w:pPr>
        <w:pStyle w:val="Number"/>
        <w:numPr>
          <w:ilvl w:val="1"/>
          <w:numId w:val="12"/>
        </w:numPr>
        <w:sectPr w:rsidR="00B71D78"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pPr>
      <w:r w:rsidRPr="00D546CF">
        <w:t>Practitioners should advise the patient that they will share their information with an appropriately constituted multidisciplinary meeting, in which there will be a discussion and review of the proposed care plan.</w:t>
      </w:r>
    </w:p>
    <w:p w14:paraId="0AFACF41" w14:textId="396FC4B6" w:rsidR="00D546CF" w:rsidRDefault="00D546CF" w:rsidP="00D546CF">
      <w:pPr>
        <w:pStyle w:val="Number"/>
        <w:numPr>
          <w:ilvl w:val="1"/>
          <w:numId w:val="12"/>
        </w:numPr>
      </w:pPr>
      <w:r w:rsidRPr="00D546CF">
        <w:lastRenderedPageBreak/>
        <w:t xml:space="preserve">We recommend the following minimum structure should be in place for a multidisciplinary meeting, which can be held either in person or virtually: </w:t>
      </w:r>
    </w:p>
    <w:p w14:paraId="6ABFD7CD" w14:textId="77777777" w:rsidR="00B71D78" w:rsidRDefault="00B71D78" w:rsidP="00B71D78">
      <w:pPr>
        <w:pStyle w:val="Letter"/>
        <w:rPr>
          <w:lang w:val="en-AU"/>
        </w:rPr>
      </w:pPr>
      <w:r>
        <w:rPr>
          <w:shd w:val="clear" w:color="auto" w:fill="FFFFFF"/>
        </w:rPr>
        <w:t>Multidisciplinary meeting</w:t>
      </w:r>
      <w:r w:rsidRPr="009E43BA">
        <w:rPr>
          <w:lang w:val="en-AU"/>
        </w:rPr>
        <w:t xml:space="preserve"> participants </w:t>
      </w:r>
      <w:r>
        <w:rPr>
          <w:lang w:val="en-AU"/>
        </w:rPr>
        <w:t xml:space="preserve">should </w:t>
      </w:r>
      <w:r w:rsidRPr="009E43BA">
        <w:rPr>
          <w:lang w:val="en-AU"/>
        </w:rPr>
        <w:t>consist of</w:t>
      </w:r>
      <w:r>
        <w:rPr>
          <w:lang w:val="en-AU"/>
        </w:rPr>
        <w:t>:</w:t>
      </w:r>
    </w:p>
    <w:p w14:paraId="5CC6C284" w14:textId="77777777" w:rsidR="00B71D78" w:rsidRPr="009E43BA" w:rsidRDefault="00B71D78" w:rsidP="00B71D78">
      <w:pPr>
        <w:pStyle w:val="Letter"/>
        <w:numPr>
          <w:ilvl w:val="3"/>
          <w:numId w:val="13"/>
        </w:numPr>
        <w:ind w:left="1560" w:hanging="284"/>
        <w:rPr>
          <w:lang w:val="en-AU"/>
        </w:rPr>
      </w:pPr>
      <w:r>
        <w:rPr>
          <w:lang w:val="en-AU"/>
        </w:rPr>
        <w:t>T</w:t>
      </w:r>
      <w:r w:rsidRPr="009E43BA">
        <w:rPr>
          <w:lang w:val="en-AU"/>
        </w:rPr>
        <w:t xml:space="preserve">wo surgeons, </w:t>
      </w:r>
      <w:r w:rsidRPr="009E43BA">
        <w:t>ideally a gynaecologist/urogynaecologist (RANZCOG) and urologist (RACS</w:t>
      </w:r>
      <w:r>
        <w:t>/USANZ</w:t>
      </w:r>
      <w:r w:rsidRPr="009E43BA">
        <w:t>)</w:t>
      </w:r>
      <w:r w:rsidRPr="009E43BA">
        <w:rPr>
          <w:rStyle w:val="FootnoteReference"/>
          <w:rFonts w:cs="Segoe UI"/>
          <w:sz w:val="20"/>
          <w:szCs w:val="20"/>
        </w:rPr>
        <w:footnoteReference w:id="13"/>
      </w:r>
      <w:r w:rsidRPr="009E43BA">
        <w:rPr>
          <w:lang w:val="en-AU"/>
        </w:rPr>
        <w:t xml:space="preserve"> </w:t>
      </w:r>
    </w:p>
    <w:p w14:paraId="50212322" w14:textId="77777777" w:rsidR="00B71D78" w:rsidRPr="009E43BA" w:rsidRDefault="00B71D78" w:rsidP="00B71D78">
      <w:pPr>
        <w:pStyle w:val="Letter"/>
        <w:numPr>
          <w:ilvl w:val="3"/>
          <w:numId w:val="13"/>
        </w:numPr>
        <w:ind w:left="1560" w:hanging="284"/>
        <w:rPr>
          <w:lang w:val="en-AU"/>
        </w:rPr>
      </w:pPr>
      <w:r>
        <w:rPr>
          <w:lang w:val="en-AU"/>
        </w:rPr>
        <w:t>T</w:t>
      </w:r>
      <w:r w:rsidRPr="009E43BA">
        <w:rPr>
          <w:lang w:val="en-AU"/>
        </w:rPr>
        <w:t xml:space="preserve">wo continence advisors, </w:t>
      </w:r>
      <w:proofErr w:type="spellStart"/>
      <w:r w:rsidRPr="009E43BA">
        <w:rPr>
          <w:lang w:val="en-AU"/>
        </w:rPr>
        <w:t>eg</w:t>
      </w:r>
      <w:proofErr w:type="spellEnd"/>
      <w:r w:rsidRPr="009E43BA">
        <w:rPr>
          <w:lang w:val="en-AU"/>
        </w:rPr>
        <w:t xml:space="preserve">, </w:t>
      </w:r>
      <w:r>
        <w:rPr>
          <w:lang w:val="en-AU"/>
        </w:rPr>
        <w:t>c</w:t>
      </w:r>
      <w:r w:rsidRPr="009E43BA">
        <w:rPr>
          <w:lang w:val="en-AU"/>
        </w:rPr>
        <w:t xml:space="preserve">linical </w:t>
      </w:r>
      <w:r>
        <w:rPr>
          <w:lang w:val="en-AU"/>
        </w:rPr>
        <w:t>n</w:t>
      </w:r>
      <w:r w:rsidRPr="009E43BA">
        <w:rPr>
          <w:lang w:val="en-AU"/>
        </w:rPr>
        <w:t xml:space="preserve">urse </w:t>
      </w:r>
      <w:r>
        <w:rPr>
          <w:lang w:val="en-AU"/>
        </w:rPr>
        <w:t>s</w:t>
      </w:r>
      <w:r w:rsidRPr="009E43BA">
        <w:rPr>
          <w:lang w:val="en-AU"/>
        </w:rPr>
        <w:t>pecialist or female pelvic floor physiotherapist.</w:t>
      </w:r>
    </w:p>
    <w:p w14:paraId="224DBFBF" w14:textId="77777777" w:rsidR="00B71D78" w:rsidRDefault="00B71D78" w:rsidP="00B71D78">
      <w:pPr>
        <w:pStyle w:val="Letter"/>
        <w:rPr>
          <w:lang w:val="en-AU"/>
        </w:rPr>
      </w:pPr>
      <w:r>
        <w:rPr>
          <w:shd w:val="clear" w:color="auto" w:fill="FFFFFF"/>
          <w:lang w:val="en-AU"/>
        </w:rPr>
        <w:t>Multidisciplinary meeting</w:t>
      </w:r>
      <w:r w:rsidRPr="006A544D">
        <w:rPr>
          <w:lang w:val="en-AU"/>
        </w:rPr>
        <w:t xml:space="preserve"> </w:t>
      </w:r>
      <w:r>
        <w:rPr>
          <w:lang w:val="en-AU"/>
        </w:rPr>
        <w:t xml:space="preserve">participants should minute the outcomes </w:t>
      </w:r>
      <w:r w:rsidRPr="006A544D">
        <w:rPr>
          <w:lang w:val="en-AU"/>
        </w:rPr>
        <w:t>and document</w:t>
      </w:r>
      <w:r>
        <w:rPr>
          <w:lang w:val="en-AU"/>
        </w:rPr>
        <w:t xml:space="preserve"> recommendations</w:t>
      </w:r>
      <w:r w:rsidRPr="006A544D">
        <w:rPr>
          <w:lang w:val="en-AU"/>
        </w:rPr>
        <w:t xml:space="preserve"> in the patient’s notes and provide</w:t>
      </w:r>
      <w:r>
        <w:rPr>
          <w:lang w:val="en-AU"/>
        </w:rPr>
        <w:t xml:space="preserve"> these</w:t>
      </w:r>
      <w:r w:rsidRPr="006A544D">
        <w:rPr>
          <w:lang w:val="en-AU"/>
        </w:rPr>
        <w:t xml:space="preserve"> to the patient in writing </w:t>
      </w:r>
      <w:r>
        <w:rPr>
          <w:lang w:val="en-AU"/>
        </w:rPr>
        <w:t xml:space="preserve">for their </w:t>
      </w:r>
      <w:r w:rsidRPr="006A544D">
        <w:rPr>
          <w:lang w:val="en-AU"/>
        </w:rPr>
        <w:t>agreement and consent for implementation, including an appropriate follow-up plan</w:t>
      </w:r>
      <w:r>
        <w:rPr>
          <w:rStyle w:val="FootnoteReference"/>
          <w:rFonts w:cs="Segoe UI"/>
          <w:sz w:val="20"/>
          <w:szCs w:val="20"/>
          <w:lang w:val="en-AU"/>
        </w:rPr>
        <w:footnoteReference w:id="14"/>
      </w:r>
      <w:r w:rsidRPr="5BDF17BA">
        <w:rPr>
          <w:lang w:val="en-AU"/>
        </w:rPr>
        <w:t>.</w:t>
      </w:r>
    </w:p>
    <w:p w14:paraId="1BC1C78C" w14:textId="77777777" w:rsidR="00B71D78" w:rsidRPr="00B71D78" w:rsidRDefault="00B71D78" w:rsidP="00B71D78">
      <w:pPr>
        <w:pStyle w:val="Number"/>
        <w:numPr>
          <w:ilvl w:val="1"/>
          <w:numId w:val="12"/>
        </w:numPr>
      </w:pPr>
      <w:r w:rsidRPr="00B71D78">
        <w:t>Patient data, including patient-reported outcome measures (PROMs) and patient-reported experience measures (PREMs)</w:t>
      </w:r>
      <w:r w:rsidRPr="00B71D78">
        <w:rPr>
          <w:vertAlign w:val="superscript"/>
        </w:rPr>
        <w:footnoteReference w:id="15"/>
      </w:r>
      <w:r w:rsidRPr="00B71D78">
        <w:t xml:space="preserve"> should be recorded in a database pending availability of the Australasian Pelvic Floor Procedure Registry. </w:t>
      </w:r>
    </w:p>
    <w:p w14:paraId="7411126F" w14:textId="77777777" w:rsidR="00B71D78" w:rsidRPr="00B71D78" w:rsidRDefault="00B71D78" w:rsidP="00B71D78">
      <w:pPr>
        <w:pStyle w:val="Number"/>
        <w:numPr>
          <w:ilvl w:val="1"/>
          <w:numId w:val="12"/>
        </w:numPr>
      </w:pPr>
      <w:r w:rsidRPr="00B71D78">
        <w:t>There should be regular structured peer review of the local database</w:t>
      </w:r>
      <w:r w:rsidRPr="00B71D78">
        <w:rPr>
          <w:vertAlign w:val="superscript"/>
        </w:rPr>
        <w:footnoteReference w:id="16"/>
      </w:r>
      <w:r w:rsidRPr="00B71D78">
        <w:t>.</w:t>
      </w:r>
    </w:p>
    <w:p w14:paraId="0FDA4353" w14:textId="77777777" w:rsidR="00B71D78" w:rsidRPr="00D546CF" w:rsidRDefault="00B71D78" w:rsidP="00B71D78"/>
    <w:p w14:paraId="17CC23F6" w14:textId="77777777" w:rsidR="00B71D78" w:rsidRDefault="00B71D78" w:rsidP="00B71D78">
      <w:pPr>
        <w:rPr>
          <w:shd w:val="clear" w:color="auto" w:fill="FFFFFF"/>
        </w:rPr>
      </w:pPr>
      <w:r>
        <w:rPr>
          <w:shd w:val="clear" w:color="auto" w:fill="FFFFFF"/>
        </w:rPr>
        <w:t>Where there are complex cases</w:t>
      </w:r>
      <w:r>
        <w:rPr>
          <w:rStyle w:val="FootnoteReference"/>
          <w:rFonts w:cs="Segoe UI"/>
          <w:sz w:val="20"/>
          <w:szCs w:val="20"/>
          <w:shd w:val="clear" w:color="auto" w:fill="FFFFFF"/>
        </w:rPr>
        <w:footnoteReference w:id="17"/>
      </w:r>
      <w:r>
        <w:rPr>
          <w:shd w:val="clear" w:color="auto" w:fill="FFFFFF"/>
        </w:rPr>
        <w:t xml:space="preserve"> that require additional input or advice, referrals can be made to Te Whatu Ora Female Pelvic Mesh Service. Practitioners who refer a patient to this service should attend and present their patient, as indicated by the multidisciplinary meeting chair and participate in the ensuing discussions. To make a referral, email the New Zealand Female Pelvic Mesh Service at </w:t>
      </w:r>
      <w:hyperlink r:id="rId16" w:history="1">
        <w:r w:rsidRPr="00B71D78">
          <w:rPr>
            <w:b/>
            <w:bCs/>
            <w:color w:val="595959" w:themeColor="text1" w:themeTint="A6"/>
          </w:rPr>
          <w:t>nzfpms@tewhatuora.govt.nz</w:t>
        </w:r>
      </w:hyperlink>
      <w:r>
        <w:rPr>
          <w:shd w:val="clear" w:color="auto" w:fill="FFFFFF"/>
        </w:rPr>
        <w:t xml:space="preserve"> with the subject line </w:t>
      </w:r>
      <w:r w:rsidRPr="00CC62E1">
        <w:rPr>
          <w:i/>
          <w:iCs/>
          <w:shd w:val="clear" w:color="auto" w:fill="FFFFFF"/>
        </w:rPr>
        <w:t>‘</w:t>
      </w:r>
      <w:r w:rsidRPr="00E10F8A">
        <w:rPr>
          <w:shd w:val="clear" w:color="auto" w:fill="FFFFFF"/>
        </w:rPr>
        <w:t>Attention MDM Coordinator-High Vigilance SUI MDM request’</w:t>
      </w:r>
      <w:r>
        <w:rPr>
          <w:shd w:val="clear" w:color="auto" w:fill="FFFFFF"/>
        </w:rPr>
        <w:t>. The multidisciplinary meeting coordinator will guide the practitioner on information requirements and identify a mutually agreeable time to attend the meeting.</w:t>
      </w:r>
    </w:p>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74A77BDF">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762C0BCA" w14:textId="456486C4" w:rsidR="00660619" w:rsidRDefault="00063E5B" w:rsidP="00B71D78">
      <w:pPr>
        <w:spacing w:before="240"/>
        <w:jc w:val="center"/>
        <w:rPr>
          <w:lang w:eastAsia="en-NZ"/>
        </w:rPr>
      </w:pPr>
      <w:r>
        <w:t>December</w:t>
      </w:r>
      <w:r w:rsidR="00B71D78">
        <w:t xml:space="preserve"> 2023</w:t>
      </w:r>
      <w:r w:rsidR="00C34608" w:rsidRPr="00DD748F">
        <w:br/>
      </w:r>
      <w:r w:rsidR="00EB461E" w:rsidRPr="00DD748F">
        <w:rPr>
          <w:lang w:eastAsia="en-NZ"/>
        </w:rPr>
        <w:t>HP</w:t>
      </w:r>
      <w:r>
        <w:rPr>
          <w:lang w:eastAsia="en-NZ"/>
        </w:rPr>
        <w:t xml:space="preserve"> </w:t>
      </w:r>
      <w:r w:rsidRPr="00063E5B">
        <w:rPr>
          <w:lang w:eastAsia="en-NZ"/>
        </w:rPr>
        <w:t>9054</w:t>
      </w:r>
    </w:p>
    <w:sectPr w:rsidR="00660619" w:rsidSect="000E4E05">
      <w:head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EB41" w14:textId="77777777" w:rsidR="00A46AA7" w:rsidRDefault="00A46AA7">
      <w:r>
        <w:separator/>
      </w:r>
    </w:p>
  </w:endnote>
  <w:endnote w:type="continuationSeparator" w:id="0">
    <w:p w14:paraId="4459E7B0" w14:textId="77777777" w:rsidR="00A46AA7" w:rsidRDefault="00A4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0436DF5C" w:rsidR="00525FFB" w:rsidRDefault="00B71D78" w:rsidP="00525FFB">
          <w:pPr>
            <w:pStyle w:val="RectoFooter"/>
            <w:jc w:val="left"/>
          </w:pPr>
          <w:r w:rsidRPr="00B71D78">
            <w:t>Interim High Vigilance Guideline for Non-Mesh Stress Urinary Incontinence Surgery</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7777777" w:rsidR="00525FFB" w:rsidRDefault="00525FFB" w:rsidP="00525FFB">
          <w:pPr>
            <w:pStyle w:val="RectoFooter"/>
          </w:pPr>
          <w:r>
            <w:t>BUSINESS VIABILITY STANDARDS FOR NON-GOVERNMENT ORGANISATION AUDIT AND REVIEW</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7D23DC14" w:rsidR="00113C1B" w:rsidRDefault="00B71D78" w:rsidP="00F06D3B">
          <w:pPr>
            <w:pStyle w:val="RectoFooter"/>
          </w:pPr>
          <w:r w:rsidRPr="00B71D78">
            <w:t>Interim High Vigilance Guideline for Non-Mesh Stress Urinary Incontinence Surgery</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4AB8" w14:textId="77777777" w:rsidR="00A46AA7" w:rsidRPr="00680D2D" w:rsidRDefault="00A46AA7" w:rsidP="00680D2D">
      <w:pPr>
        <w:pStyle w:val="Footer"/>
      </w:pPr>
    </w:p>
  </w:footnote>
  <w:footnote w:type="continuationSeparator" w:id="0">
    <w:p w14:paraId="039DC3C4" w14:textId="77777777" w:rsidR="00A46AA7" w:rsidRDefault="00A46AA7">
      <w:r>
        <w:continuationSeparator/>
      </w:r>
    </w:p>
  </w:footnote>
  <w:footnote w:id="1">
    <w:p w14:paraId="42F6978B" w14:textId="77777777" w:rsidR="00D546CF" w:rsidRPr="00543284" w:rsidRDefault="00D546CF" w:rsidP="00D546CF">
      <w:pPr>
        <w:pStyle w:val="FootnoteText"/>
        <w:rPr>
          <w:lang w:val="mi-NZ"/>
        </w:rPr>
      </w:pPr>
      <w:r>
        <w:rPr>
          <w:rStyle w:val="FootnoteReference"/>
        </w:rPr>
        <w:footnoteRef/>
      </w:r>
      <w:r>
        <w:t xml:space="preserve"> </w:t>
      </w:r>
      <w:r w:rsidRPr="008F0431">
        <w:t>The group included representation or consultation with Te Aka Whai Ora, Te Whatu Ora, the NZ Private Surgical Hospitals Association, mesh-injured consumers, and the relevant medical colleges (RACS and RANZCOG).</w:t>
      </w:r>
    </w:p>
  </w:footnote>
  <w:footnote w:id="2">
    <w:p w14:paraId="092095ED" w14:textId="77777777" w:rsidR="00D546CF" w:rsidRPr="008C7DCF" w:rsidRDefault="00D546CF" w:rsidP="00D546CF">
      <w:pPr>
        <w:pStyle w:val="FootnoteText"/>
      </w:pPr>
      <w:r w:rsidRPr="008C7DCF">
        <w:rPr>
          <w:rStyle w:val="FootnoteReference"/>
        </w:rPr>
        <w:footnoteRef/>
      </w:r>
      <w:r w:rsidRPr="008C7DCF">
        <w:t xml:space="preserve"> A guideline provides non-prescriptive advice on a subject</w:t>
      </w:r>
      <w:r>
        <w:t xml:space="preserve">. For example, see </w:t>
      </w:r>
      <w:r w:rsidRPr="008F0D29">
        <w:rPr>
          <w:i/>
          <w:iCs/>
        </w:rPr>
        <w:t>How N</w:t>
      </w:r>
      <w:r>
        <w:rPr>
          <w:i/>
          <w:iCs/>
        </w:rPr>
        <w:t>I</w:t>
      </w:r>
      <w:r w:rsidRPr="008F0D29">
        <w:rPr>
          <w:i/>
          <w:iCs/>
        </w:rPr>
        <w:t xml:space="preserve">CE </w:t>
      </w:r>
      <w:r>
        <w:rPr>
          <w:i/>
          <w:iCs/>
        </w:rPr>
        <w:t>C</w:t>
      </w:r>
      <w:r w:rsidRPr="008F0D29">
        <w:rPr>
          <w:i/>
          <w:iCs/>
        </w:rPr>
        <w:t xml:space="preserve">linical </w:t>
      </w:r>
      <w:r>
        <w:rPr>
          <w:i/>
          <w:iCs/>
        </w:rPr>
        <w:t>G</w:t>
      </w:r>
      <w:r w:rsidRPr="008F0D29">
        <w:rPr>
          <w:i/>
          <w:iCs/>
        </w:rPr>
        <w:t xml:space="preserve">uidelines </w:t>
      </w:r>
      <w:r>
        <w:rPr>
          <w:i/>
          <w:iCs/>
        </w:rPr>
        <w:t>A</w:t>
      </w:r>
      <w:r w:rsidRPr="008F0D29">
        <w:rPr>
          <w:i/>
          <w:iCs/>
        </w:rPr>
        <w:t xml:space="preserve">re </w:t>
      </w:r>
      <w:r>
        <w:rPr>
          <w:i/>
          <w:iCs/>
        </w:rPr>
        <w:t>D</w:t>
      </w:r>
      <w:r w:rsidRPr="008F0D29">
        <w:rPr>
          <w:i/>
          <w:iCs/>
        </w:rPr>
        <w:t xml:space="preserve">eveloped: </w:t>
      </w:r>
      <w:r>
        <w:rPr>
          <w:i/>
          <w:iCs/>
        </w:rPr>
        <w:t>A</w:t>
      </w:r>
      <w:r w:rsidRPr="008F0D29">
        <w:rPr>
          <w:i/>
          <w:iCs/>
        </w:rPr>
        <w:t xml:space="preserve">n </w:t>
      </w:r>
      <w:r>
        <w:rPr>
          <w:i/>
          <w:iCs/>
        </w:rPr>
        <w:t>O</w:t>
      </w:r>
      <w:r w:rsidRPr="008F0D29">
        <w:rPr>
          <w:i/>
          <w:iCs/>
        </w:rPr>
        <w:t xml:space="preserve">verview for </w:t>
      </w:r>
      <w:r>
        <w:rPr>
          <w:i/>
          <w:iCs/>
        </w:rPr>
        <w:t>S</w:t>
      </w:r>
      <w:r w:rsidRPr="008F0D29">
        <w:rPr>
          <w:i/>
          <w:iCs/>
        </w:rPr>
        <w:t xml:space="preserve">takeholders, the </w:t>
      </w:r>
      <w:r>
        <w:rPr>
          <w:i/>
          <w:iCs/>
        </w:rPr>
        <w:t>P</w:t>
      </w:r>
      <w:r w:rsidRPr="008F0D29">
        <w:rPr>
          <w:i/>
          <w:iCs/>
        </w:rPr>
        <w:t>ublic and the NHS</w:t>
      </w:r>
      <w:r>
        <w:t xml:space="preserve"> on the National Institute for Health and Care Excellence (NICE) website</w:t>
      </w:r>
      <w:r>
        <w:rPr>
          <w:i/>
          <w:iCs/>
        </w:rPr>
        <w:t>:</w:t>
      </w:r>
      <w:r w:rsidRPr="00F509CC">
        <w:t xml:space="preserve"> </w:t>
      </w:r>
      <w:r>
        <w:t xml:space="preserve">URL: </w:t>
      </w:r>
      <w:hyperlink r:id="rId1" w:history="1">
        <w:r w:rsidRPr="00D546CF">
          <w:rPr>
            <w:rStyle w:val="Hyperlink"/>
            <w:b/>
            <w:bCs/>
            <w:color w:val="595959" w:themeColor="text1" w:themeTint="A6"/>
          </w:rPr>
          <w:t>www.nice.org.uk/process/pmg6/resources/how-nice-clinical-guidelines-are-developed-an-overview-for-stakeholders-the-public-and-the-nhs-2549708893/chapter/nice-clinical-guidelines</w:t>
        </w:r>
      </w:hyperlink>
      <w:r>
        <w:t xml:space="preserve"> (accessed 22 November 2023).</w:t>
      </w:r>
    </w:p>
  </w:footnote>
  <w:footnote w:id="3">
    <w:p w14:paraId="42246430" w14:textId="77777777" w:rsidR="00D546CF" w:rsidRPr="008C7DCF" w:rsidRDefault="00D546CF" w:rsidP="00D546CF">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t>
      </w:r>
      <w:r w:rsidRPr="00CF02AC">
        <w:rPr>
          <w:rFonts w:cstheme="minorHAnsi"/>
          <w:color w:val="000000" w:themeColor="text1"/>
        </w:rPr>
        <w:t xml:space="preserve"> </w:t>
      </w:r>
      <w:r>
        <w:rPr>
          <w:rFonts w:cstheme="minorHAnsi"/>
          <w:color w:val="000000" w:themeColor="text1"/>
        </w:rPr>
        <w:t xml:space="preserve">British Society of Urogynaecology. [2018]. </w:t>
      </w:r>
      <w:r w:rsidRPr="001A35F4">
        <w:rPr>
          <w:rFonts w:cstheme="minorHAnsi"/>
          <w:i/>
          <w:iCs/>
          <w:color w:val="000000" w:themeColor="text1"/>
        </w:rPr>
        <w:t>Recommendations of the Mesh Pause Clinical Advisory Group to Medical Directors and Surgical Teams.</w:t>
      </w:r>
      <w:r>
        <w:rPr>
          <w:rFonts w:cstheme="minorHAnsi"/>
          <w:color w:val="000000" w:themeColor="text1"/>
        </w:rPr>
        <w:t xml:space="preserve"> URL: </w:t>
      </w:r>
      <w:hyperlink r:id="rId2" w:history="1">
        <w:r w:rsidRPr="00D546CF">
          <w:rPr>
            <w:rStyle w:val="Hyperlink"/>
            <w:rFonts w:cstheme="minorHAnsi"/>
            <w:b/>
            <w:bCs/>
            <w:color w:val="595959" w:themeColor="text1" w:themeTint="A6"/>
          </w:rPr>
          <w:t>bsug.org.uk/budcms/includes/kcfinder/upload/files/info-leaflets/SUBMITTED-Mesh-Clinical-Advisory-Group---advice-FINAL-20thJulyPM.pdf</w:t>
        </w:r>
      </w:hyperlink>
      <w:r>
        <w:rPr>
          <w:rFonts w:cstheme="minorHAnsi"/>
          <w:color w:val="000000" w:themeColor="text1"/>
        </w:rPr>
        <w:t xml:space="preserve"> (accessed 23 November 2023).</w:t>
      </w:r>
    </w:p>
  </w:footnote>
  <w:footnote w:id="4">
    <w:p w14:paraId="52ED9806" w14:textId="77777777" w:rsidR="00D546CF" w:rsidRPr="00A45BDB" w:rsidRDefault="00D546CF" w:rsidP="00D546CF">
      <w:pPr>
        <w:pStyle w:val="FootnoteText"/>
        <w:rPr>
          <w:rStyle w:val="FootnoteReference"/>
        </w:rPr>
      </w:pPr>
      <w:r w:rsidRPr="008C7DCF">
        <w:rPr>
          <w:rStyle w:val="FootnoteReference"/>
          <w:rFonts w:cstheme="minorHAnsi"/>
          <w:color w:val="000000" w:themeColor="text1"/>
        </w:rPr>
        <w:footnoteRef/>
      </w:r>
      <w:r w:rsidRPr="008C7DCF">
        <w:rPr>
          <w:rFonts w:cstheme="minorHAnsi"/>
          <w:color w:val="000000" w:themeColor="text1"/>
        </w:rPr>
        <w:t xml:space="preserve"> </w:t>
      </w:r>
      <w:r w:rsidRPr="008C7DCF">
        <w:rPr>
          <w:rFonts w:cstheme="minorHAnsi"/>
          <w:color w:val="000000" w:themeColor="text1"/>
          <w:shd w:val="clear" w:color="auto" w:fill="FFFFFF"/>
        </w:rPr>
        <w:t xml:space="preserve">Surgeons are encouraged to follow the indicative volume guidance for each of these </w:t>
      </w:r>
      <w:r>
        <w:rPr>
          <w:rFonts w:cstheme="minorHAnsi"/>
          <w:color w:val="000000" w:themeColor="text1"/>
          <w:shd w:val="clear" w:color="auto" w:fill="FFFFFF"/>
        </w:rPr>
        <w:t>three</w:t>
      </w:r>
      <w:r w:rsidRPr="008C7DCF">
        <w:rPr>
          <w:rFonts w:cstheme="minorHAnsi"/>
          <w:color w:val="000000" w:themeColor="text1"/>
          <w:shd w:val="clear" w:color="auto" w:fill="FFFFFF"/>
        </w:rPr>
        <w:t xml:space="preserve"> procedures provided in Table 1, page 31 of the N</w:t>
      </w:r>
      <w:r>
        <w:rPr>
          <w:rFonts w:cstheme="minorHAnsi"/>
          <w:color w:val="000000" w:themeColor="text1"/>
          <w:shd w:val="clear" w:color="auto" w:fill="FFFFFF"/>
        </w:rPr>
        <w:t xml:space="preserve">ew </w:t>
      </w:r>
      <w:r w:rsidRPr="008C7DCF">
        <w:rPr>
          <w:rFonts w:cstheme="minorHAnsi"/>
          <w:color w:val="000000" w:themeColor="text1"/>
          <w:shd w:val="clear" w:color="auto" w:fill="FFFFFF"/>
        </w:rPr>
        <w:t>Z</w:t>
      </w:r>
      <w:r>
        <w:rPr>
          <w:rFonts w:cstheme="minorHAnsi"/>
          <w:color w:val="000000" w:themeColor="text1"/>
          <w:shd w:val="clear" w:color="auto" w:fill="FFFFFF"/>
        </w:rPr>
        <w:t>ealand</w:t>
      </w:r>
      <w:r w:rsidRPr="008C7DCF">
        <w:rPr>
          <w:rFonts w:cstheme="minorHAnsi"/>
          <w:color w:val="000000" w:themeColor="text1"/>
          <w:shd w:val="clear" w:color="auto" w:fill="FFFFFF"/>
        </w:rPr>
        <w:t xml:space="preserve"> National Credentialling Framework</w:t>
      </w:r>
      <w:r>
        <w:rPr>
          <w:rFonts w:cstheme="minorHAnsi"/>
          <w:color w:val="000000" w:themeColor="text1"/>
          <w:shd w:val="clear" w:color="auto" w:fill="FFFFFF"/>
        </w:rPr>
        <w:t xml:space="preserve">: URL: </w:t>
      </w:r>
      <w:hyperlink r:id="rId3" w:history="1">
        <w:r w:rsidRPr="00D546CF">
          <w:rPr>
            <w:rStyle w:val="Hyperlink"/>
            <w:b/>
            <w:bCs/>
            <w:color w:val="595959" w:themeColor="text1" w:themeTint="A6"/>
          </w:rPr>
          <w:t>www.health.govt.nz/publication/national-credentialling-framework-pelvic-floor-reconstructive-urogynaecological-and-mesh-revision</w:t>
        </w:r>
      </w:hyperlink>
      <w:r>
        <w:rPr>
          <w:rFonts w:cstheme="minorHAnsi"/>
          <w:color w:val="000000" w:themeColor="text1"/>
          <w:shd w:val="clear" w:color="auto" w:fill="FFFFFF"/>
        </w:rPr>
        <w:t xml:space="preserve"> (accessed 22 November 2023).</w:t>
      </w:r>
    </w:p>
  </w:footnote>
  <w:footnote w:id="5">
    <w:p w14:paraId="7FEE0CD8" w14:textId="77777777" w:rsidR="00D546CF" w:rsidRPr="00A45BDB" w:rsidRDefault="00D546CF" w:rsidP="00D546CF">
      <w:pPr>
        <w:pStyle w:val="FootnoteText"/>
        <w:rPr>
          <w:color w:val="000000" w:themeColor="text1"/>
        </w:rPr>
      </w:pPr>
      <w:r w:rsidRPr="008C7DCF">
        <w:rPr>
          <w:rStyle w:val="FootnoteReference"/>
          <w:color w:val="000000" w:themeColor="text1"/>
        </w:rPr>
        <w:footnoteRef/>
      </w:r>
      <w:r w:rsidRPr="00A45BDB">
        <w:rPr>
          <w:rStyle w:val="FootnoteReference"/>
        </w:rPr>
        <w:t xml:space="preserve"> </w:t>
      </w:r>
      <w:r w:rsidRPr="00A45BDB">
        <w:rPr>
          <w:color w:val="000000" w:themeColor="text1"/>
        </w:rPr>
        <w:t>Local credentialling should continue by current and existing local processes until further direction from the National Credentialling Committee.</w:t>
      </w:r>
    </w:p>
  </w:footnote>
  <w:footnote w:id="6">
    <w:p w14:paraId="6A6FC589" w14:textId="79EB2462" w:rsidR="00D546CF" w:rsidRPr="008C7DCF" w:rsidRDefault="00D546CF" w:rsidP="00D546CF">
      <w:pPr>
        <w:pStyle w:val="FootnoteText"/>
        <w:rPr>
          <w:color w:val="000000" w:themeColor="text1"/>
        </w:rPr>
      </w:pPr>
      <w:r w:rsidRPr="00A45BDB">
        <w:footnoteRef/>
      </w:r>
      <w:r w:rsidRPr="00A45BDB">
        <w:rPr>
          <w:color w:val="000000" w:themeColor="text1"/>
        </w:rPr>
        <w:t xml:space="preserve"> National Institute for Health and Care Excellence</w:t>
      </w:r>
      <w:r>
        <w:rPr>
          <w:color w:val="000000" w:themeColor="text1"/>
        </w:rPr>
        <w:t xml:space="preserve">. 2016. </w:t>
      </w:r>
      <w:r w:rsidRPr="00A45BDB">
        <w:rPr>
          <w:color w:val="000000" w:themeColor="text1"/>
        </w:rPr>
        <w:t xml:space="preserve">Urinary Incontinence in Women: The management of urinary incontinence in women. URL: </w:t>
      </w:r>
      <w:hyperlink r:id="rId4" w:anchor="recommendations-1-3" w:history="1">
        <w:r w:rsidRPr="00D546CF">
          <w:rPr>
            <w:rStyle w:val="Hyperlink"/>
            <w:b/>
            <w:bCs/>
            <w:color w:val="000000"/>
            <w14:textFill>
              <w14:solidFill>
                <w14:srgbClr w14:val="000000">
                  <w14:lumMod w14:val="65000"/>
                  <w14:lumOff w14:val="35000"/>
                </w14:srgbClr>
              </w14:solidFill>
            </w14:textFill>
          </w:rPr>
          <w:t>bpac.org.nz/guidelines/2/#recommendations-1-3</w:t>
        </w:r>
      </w:hyperlink>
      <w:r w:rsidRPr="00D546CF">
        <w:rPr>
          <w:color w:val="595959" w:themeColor="text1" w:themeTint="A6"/>
        </w:rPr>
        <w:t xml:space="preserve"> </w:t>
      </w:r>
      <w:r>
        <w:t>(accessed 23 November 2023).</w:t>
      </w:r>
    </w:p>
  </w:footnote>
  <w:footnote w:id="7">
    <w:p w14:paraId="5CF9F767" w14:textId="77777777" w:rsidR="00D546CF" w:rsidRPr="008C7DCF" w:rsidRDefault="00D546CF" w:rsidP="00D546CF">
      <w:pPr>
        <w:pStyle w:val="FootnoteText"/>
        <w:rPr>
          <w:color w:val="000000" w:themeColor="text1"/>
        </w:rPr>
      </w:pPr>
      <w:r w:rsidRPr="008C7DCF">
        <w:rPr>
          <w:rStyle w:val="FootnoteReference"/>
          <w:color w:val="000000" w:themeColor="text1"/>
        </w:rPr>
        <w:footnoteRef/>
      </w:r>
      <w:r w:rsidRPr="008C7DCF">
        <w:rPr>
          <w:color w:val="000000" w:themeColor="text1"/>
        </w:rPr>
        <w:t xml:space="preserve"> </w:t>
      </w:r>
      <w:proofErr w:type="spellStart"/>
      <w:r>
        <w:rPr>
          <w:color w:val="000000" w:themeColor="text1"/>
        </w:rPr>
        <w:t>Dumolin</w:t>
      </w:r>
      <w:proofErr w:type="spellEnd"/>
      <w:r>
        <w:rPr>
          <w:color w:val="000000" w:themeColor="text1"/>
        </w:rPr>
        <w:t xml:space="preserve"> C, </w:t>
      </w:r>
      <w:proofErr w:type="spellStart"/>
      <w:r>
        <w:rPr>
          <w:color w:val="000000" w:themeColor="text1"/>
        </w:rPr>
        <w:t>Cacciari</w:t>
      </w:r>
      <w:proofErr w:type="spellEnd"/>
      <w:r>
        <w:rPr>
          <w:color w:val="000000" w:themeColor="text1"/>
        </w:rPr>
        <w:t xml:space="preserve"> LP, Hay-Smith EJ. 2018. </w:t>
      </w:r>
      <w:r w:rsidRPr="00D924DE">
        <w:t>Pelvic Floor Muscle Training Versus No Treatment, or Inactive Control Treatments, for Urinary Incontinence in Women</w:t>
      </w:r>
      <w:r>
        <w:t xml:space="preserve">. </w:t>
      </w:r>
      <w:r>
        <w:rPr>
          <w:i/>
          <w:iCs/>
        </w:rPr>
        <w:t xml:space="preserve">Cochrane Database </w:t>
      </w:r>
      <w:proofErr w:type="spellStart"/>
      <w:r>
        <w:rPr>
          <w:i/>
          <w:iCs/>
        </w:rPr>
        <w:t>Syst</w:t>
      </w:r>
      <w:proofErr w:type="spellEnd"/>
      <w:r>
        <w:rPr>
          <w:i/>
          <w:iCs/>
        </w:rPr>
        <w:t xml:space="preserve"> Rev. </w:t>
      </w:r>
      <w:r>
        <w:t xml:space="preserve">DOI: </w:t>
      </w:r>
      <w:r w:rsidRPr="00714C9E">
        <w:t xml:space="preserve">10.1002/14651858.CD005654.pub4 </w:t>
      </w:r>
      <w:r>
        <w:t>(accessed 23 November 2023).</w:t>
      </w:r>
    </w:p>
  </w:footnote>
  <w:footnote w:id="8">
    <w:p w14:paraId="7C951410" w14:textId="77777777" w:rsidR="00D546CF" w:rsidRPr="008C7DCF" w:rsidRDefault="00D546CF" w:rsidP="00D546CF">
      <w:pPr>
        <w:pStyle w:val="FootnoteText"/>
        <w:rPr>
          <w:color w:val="000000" w:themeColor="text1"/>
        </w:rPr>
      </w:pPr>
      <w:r w:rsidRPr="008C7DCF">
        <w:rPr>
          <w:rStyle w:val="FootnoteReference"/>
          <w:color w:val="000000" w:themeColor="text1"/>
        </w:rPr>
        <w:footnoteRef/>
      </w:r>
      <w:r w:rsidRPr="008C7DCF">
        <w:rPr>
          <w:color w:val="000000" w:themeColor="text1"/>
        </w:rPr>
        <w:t xml:space="preserve"> </w:t>
      </w:r>
      <w:proofErr w:type="spellStart"/>
      <w:r w:rsidRPr="00624FF6">
        <w:rPr>
          <w:color w:val="000000" w:themeColor="text1"/>
        </w:rPr>
        <w:t>Kobashi</w:t>
      </w:r>
      <w:proofErr w:type="spellEnd"/>
      <w:r w:rsidRPr="00624FF6">
        <w:rPr>
          <w:color w:val="000000" w:themeColor="text1"/>
        </w:rPr>
        <w:t xml:space="preserve"> KC, Vasavada S, </w:t>
      </w:r>
      <w:proofErr w:type="spellStart"/>
      <w:r w:rsidRPr="00624FF6">
        <w:rPr>
          <w:color w:val="000000" w:themeColor="text1"/>
        </w:rPr>
        <w:t>Bloschichak</w:t>
      </w:r>
      <w:proofErr w:type="spellEnd"/>
      <w:r w:rsidRPr="00624FF6">
        <w:rPr>
          <w:color w:val="000000" w:themeColor="text1"/>
        </w:rPr>
        <w:t xml:space="preserve"> A et al.</w:t>
      </w:r>
      <w:r>
        <w:rPr>
          <w:color w:val="000000" w:themeColor="text1"/>
        </w:rPr>
        <w:t xml:space="preserve"> 2023. Updates to Surgical Treatment of Female </w:t>
      </w:r>
      <w:r w:rsidRPr="00714C9E">
        <w:t>Stress Urinary Incontinence</w:t>
      </w:r>
      <w:r>
        <w:t xml:space="preserve"> (SUI): AUA/SUFU</w:t>
      </w:r>
      <w:r w:rsidRPr="00714C9E">
        <w:t xml:space="preserve"> Guideline</w:t>
      </w:r>
      <w:r>
        <w:t xml:space="preserve">. </w:t>
      </w:r>
      <w:r w:rsidRPr="00543284">
        <w:rPr>
          <w:i/>
          <w:iCs/>
        </w:rPr>
        <w:t xml:space="preserve">J </w:t>
      </w:r>
      <w:proofErr w:type="spellStart"/>
      <w:r w:rsidRPr="00543284">
        <w:rPr>
          <w:i/>
          <w:iCs/>
        </w:rPr>
        <w:t>Urol</w:t>
      </w:r>
      <w:proofErr w:type="spellEnd"/>
      <w:r w:rsidRPr="00270DD4">
        <w:t xml:space="preserve"> 209(6):</w:t>
      </w:r>
      <w:r>
        <w:t xml:space="preserve"> </w:t>
      </w:r>
      <w:r w:rsidRPr="00270DD4">
        <w:t>1091-1098</w:t>
      </w:r>
      <w:r>
        <w:t xml:space="preserve">. URL: </w:t>
      </w:r>
      <w:hyperlink r:id="rId5" w:anchor="x4496" w:history="1">
        <w:r w:rsidRPr="00D546CF">
          <w:rPr>
            <w:rStyle w:val="Hyperlink"/>
            <w:b/>
            <w:bCs/>
            <w:color w:val="595959" w:themeColor="text1" w:themeTint="A6"/>
          </w:rPr>
          <w:t>www.auanet.org/guidelines-and-quality/guidelines/stress-urinary-incontinence-(sui)-guideline#x4496</w:t>
        </w:r>
      </w:hyperlink>
      <w:r>
        <w:t xml:space="preserve"> (accessed 23 November 2023). </w:t>
      </w:r>
    </w:p>
  </w:footnote>
  <w:footnote w:id="9">
    <w:p w14:paraId="7E2FAE5B" w14:textId="77777777" w:rsidR="00D546CF" w:rsidRPr="008C7DCF" w:rsidRDefault="00D546CF" w:rsidP="00D546CF">
      <w:pPr>
        <w:pStyle w:val="FootnoteText"/>
      </w:pPr>
      <w:r w:rsidRPr="008C7DCF">
        <w:rPr>
          <w:rStyle w:val="FootnoteReference"/>
          <w:color w:val="000000" w:themeColor="text1"/>
        </w:rPr>
        <w:footnoteRef/>
      </w:r>
      <w:r w:rsidRPr="008C7DCF">
        <w:rPr>
          <w:color w:val="000000" w:themeColor="text1"/>
        </w:rPr>
        <w:t xml:space="preserve"> </w:t>
      </w:r>
      <w:r>
        <w:rPr>
          <w:color w:val="000000" w:themeColor="text1"/>
        </w:rPr>
        <w:t xml:space="preserve">American College of Obstetricians and Gynaecologists. 2014. </w:t>
      </w:r>
      <w:r w:rsidRPr="001D6250">
        <w:t>Evaluation of Uncomplicated Stress Urinary Incontinence in Women Before Surgical Treatment</w:t>
      </w:r>
      <w:r>
        <w:t xml:space="preserve">. Committee Opinion No. 603. </w:t>
      </w:r>
      <w:r w:rsidRPr="00543284">
        <w:rPr>
          <w:i/>
          <w:iCs/>
        </w:rPr>
        <w:t>Obstet</w:t>
      </w:r>
      <w:r>
        <w:rPr>
          <w:i/>
          <w:iCs/>
        </w:rPr>
        <w:t>rics and</w:t>
      </w:r>
      <w:r w:rsidRPr="00543284">
        <w:rPr>
          <w:i/>
          <w:iCs/>
        </w:rPr>
        <w:t xml:space="preserve"> </w:t>
      </w:r>
      <w:r w:rsidRPr="00D1115F">
        <w:rPr>
          <w:i/>
          <w:iCs/>
        </w:rPr>
        <w:t>Gynaeco</w:t>
      </w:r>
      <w:r>
        <w:rPr>
          <w:i/>
          <w:iCs/>
        </w:rPr>
        <w:t>logy</w:t>
      </w:r>
      <w:r>
        <w:t xml:space="preserve"> 123: 1403-7.URL: </w:t>
      </w:r>
      <w:hyperlink r:id="rId6" w:history="1">
        <w:r w:rsidRPr="00D546CF">
          <w:rPr>
            <w:rStyle w:val="Hyperlink"/>
            <w:b/>
            <w:bCs/>
            <w:color w:val="595959" w:themeColor="text1" w:themeTint="A6"/>
          </w:rPr>
          <w:t>www.acog.org/clinical/clinical-guidance/committee-opinion/articles/2014/06/evaluation-of-uncomplicated-stress-urinary-incontinence-in-women-before-surgical-treatment</w:t>
        </w:r>
      </w:hyperlink>
      <w:r>
        <w:t xml:space="preserve"> (accessed 23 November 2023).</w:t>
      </w:r>
    </w:p>
  </w:footnote>
  <w:footnote w:id="10">
    <w:p w14:paraId="0640E5B4" w14:textId="77777777" w:rsidR="00D546CF" w:rsidRPr="008C7DCF" w:rsidRDefault="00D546CF" w:rsidP="00D546CF">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t>
      </w:r>
      <w:r>
        <w:rPr>
          <w:rFonts w:cstheme="minorHAnsi"/>
          <w:color w:val="000000" w:themeColor="text1"/>
        </w:rPr>
        <w:t xml:space="preserve">Health &amp; Disability Commissioner. </w:t>
      </w:r>
      <w:r w:rsidRPr="000E7075">
        <w:rPr>
          <w:rFonts w:cstheme="minorHAnsi"/>
        </w:rPr>
        <w:t>The Code and Your Rights</w:t>
      </w:r>
      <w:r>
        <w:rPr>
          <w:rFonts w:cstheme="minorHAnsi"/>
        </w:rPr>
        <w:t xml:space="preserve">. URL: </w:t>
      </w:r>
      <w:hyperlink r:id="rId7" w:history="1">
        <w:r w:rsidRPr="00D546CF">
          <w:rPr>
            <w:rStyle w:val="Hyperlink"/>
            <w:rFonts w:cstheme="minorHAnsi"/>
            <w:b/>
            <w:bCs/>
            <w:color w:val="595959" w:themeColor="text1" w:themeTint="A6"/>
          </w:rPr>
          <w:t>www.hdc.org.nz/your-rights/the-code-and-your-rights</w:t>
        </w:r>
      </w:hyperlink>
      <w:r>
        <w:rPr>
          <w:rFonts w:cstheme="minorHAnsi"/>
        </w:rPr>
        <w:t xml:space="preserve"> (accessed 23 November 2023).</w:t>
      </w:r>
    </w:p>
  </w:footnote>
  <w:footnote w:id="11">
    <w:p w14:paraId="02B8DB9F" w14:textId="77777777" w:rsidR="00D546CF" w:rsidRPr="008C7DCF" w:rsidRDefault="00D546CF" w:rsidP="00D546CF">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t>
      </w:r>
      <w:r>
        <w:rPr>
          <w:rFonts w:cstheme="minorHAnsi"/>
          <w:color w:val="000000" w:themeColor="text1"/>
        </w:rPr>
        <w:t xml:space="preserve">National Institute for Health and Care Excellence. 2019. Urinary Incontinence and Pelvic Organ Prolapse in Women: Management. </w:t>
      </w:r>
      <w:r>
        <w:rPr>
          <w:rFonts w:cstheme="minorHAnsi"/>
          <w:i/>
          <w:iCs/>
          <w:color w:val="000000" w:themeColor="text1"/>
        </w:rPr>
        <w:t xml:space="preserve">Guideline NG123. </w:t>
      </w:r>
      <w:r>
        <w:rPr>
          <w:rFonts w:cstheme="minorHAnsi"/>
          <w:color w:val="000000" w:themeColor="text1"/>
        </w:rPr>
        <w:t xml:space="preserve">URL: </w:t>
      </w:r>
      <w:hyperlink r:id="rId8" w:history="1">
        <w:r w:rsidRPr="00D546CF">
          <w:rPr>
            <w:rStyle w:val="Hyperlink"/>
            <w:rFonts w:cstheme="minorHAnsi"/>
            <w:b/>
            <w:bCs/>
            <w:color w:val="595959" w:themeColor="text1" w:themeTint="A6"/>
          </w:rPr>
          <w:t>www.nice.org.uk/guidance/ng123/resources/patient-decision-aids-and-user-guides-6725286109</w:t>
        </w:r>
      </w:hyperlink>
      <w:r>
        <w:rPr>
          <w:rFonts w:cstheme="minorHAnsi"/>
          <w:color w:val="000000" w:themeColor="text1"/>
        </w:rPr>
        <w:t xml:space="preserve"> (accessed 23 November 2023).</w:t>
      </w:r>
    </w:p>
  </w:footnote>
  <w:footnote w:id="12">
    <w:p w14:paraId="08CE2334" w14:textId="13BCDD5B" w:rsidR="00D546CF" w:rsidRPr="008C7DCF" w:rsidRDefault="00D546CF" w:rsidP="00D546CF">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t>
      </w:r>
      <w:r>
        <w:rPr>
          <w:rFonts w:cstheme="minorHAnsi"/>
          <w:color w:val="000000" w:themeColor="text1"/>
        </w:rPr>
        <w:t xml:space="preserve">Australian Commission on Safety and Quality in Health Care. 2018. </w:t>
      </w:r>
      <w:r w:rsidRPr="00543284">
        <w:rPr>
          <w:rFonts w:cstheme="minorHAnsi"/>
          <w:i/>
          <w:iCs/>
        </w:rPr>
        <w:t>Treatment Options for Stress Urinary Incontinence</w:t>
      </w:r>
      <w:r>
        <w:rPr>
          <w:rFonts w:cstheme="minorHAnsi"/>
        </w:rPr>
        <w:t xml:space="preserve">. URL: </w:t>
      </w:r>
      <w:hyperlink r:id="rId9" w:history="1">
        <w:r w:rsidR="00B71D78" w:rsidRPr="00B71D78">
          <w:rPr>
            <w:rStyle w:val="Hyperlink"/>
            <w:rFonts w:cstheme="minorHAnsi"/>
            <w:b/>
            <w:bCs/>
            <w:color w:val="595959" w:themeColor="text1" w:themeTint="A6"/>
          </w:rPr>
          <w:t>http://www.safetyandquality.gov.au/publications-and-resources/resource-library/treatment-options-stress-urinary-incontinence-su</w:t>
        </w:r>
        <w:r w:rsidR="00B71D78" w:rsidRPr="00B71D78">
          <w:rPr>
            <w:rStyle w:val="Hyperlink"/>
            <w:rFonts w:cstheme="minorHAnsi"/>
          </w:rPr>
          <w:t>i</w:t>
        </w:r>
      </w:hyperlink>
      <w:r w:rsidR="00B71D78">
        <w:rPr>
          <w:rFonts w:cstheme="minorHAnsi"/>
        </w:rPr>
        <w:t xml:space="preserve"> </w:t>
      </w:r>
      <w:r>
        <w:rPr>
          <w:rFonts w:cstheme="minorHAnsi"/>
        </w:rPr>
        <w:t>(accessed 23 November 2023).</w:t>
      </w:r>
    </w:p>
  </w:footnote>
  <w:footnote w:id="13">
    <w:p w14:paraId="4DFD1E97" w14:textId="77777777" w:rsidR="00B71D78" w:rsidRPr="008C7DCF" w:rsidRDefault="00B71D78" w:rsidP="00B71D78">
      <w:pPr>
        <w:pStyle w:val="FootnoteText"/>
        <w:rPr>
          <w:color w:val="000000" w:themeColor="text1"/>
        </w:rPr>
      </w:pPr>
      <w:r w:rsidRPr="008C7DCF">
        <w:rPr>
          <w:rStyle w:val="FootnoteReference"/>
          <w:color w:val="000000" w:themeColor="text1"/>
        </w:rPr>
        <w:footnoteRef/>
      </w:r>
      <w:r w:rsidRPr="008C7DCF">
        <w:rPr>
          <w:color w:val="000000" w:themeColor="text1"/>
        </w:rPr>
        <w:t xml:space="preserve"> We recognise that this may not always be possible and </w:t>
      </w:r>
      <w:r>
        <w:rPr>
          <w:color w:val="000000" w:themeColor="text1"/>
        </w:rPr>
        <w:t>therefore</w:t>
      </w:r>
      <w:r w:rsidRPr="008C7DCF">
        <w:rPr>
          <w:color w:val="000000" w:themeColor="text1"/>
        </w:rPr>
        <w:t xml:space="preserve"> may consist of </w:t>
      </w:r>
      <w:r>
        <w:rPr>
          <w:color w:val="000000" w:themeColor="text1"/>
        </w:rPr>
        <w:t>two</w:t>
      </w:r>
      <w:r w:rsidRPr="008C7DCF">
        <w:rPr>
          <w:color w:val="000000" w:themeColor="text1"/>
        </w:rPr>
        <w:t xml:space="preserve"> surgeons from the same college</w:t>
      </w:r>
      <w:r>
        <w:rPr>
          <w:color w:val="000000" w:themeColor="text1"/>
        </w:rPr>
        <w:t>.</w:t>
      </w:r>
    </w:p>
  </w:footnote>
  <w:footnote w:id="14">
    <w:p w14:paraId="028B60D9" w14:textId="77777777" w:rsidR="00B71D78" w:rsidRPr="008C7DCF" w:rsidRDefault="00B71D78" w:rsidP="00B71D78">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Where a patient requests to attend the </w:t>
      </w:r>
      <w:r>
        <w:rPr>
          <w:rFonts w:cstheme="minorHAnsi"/>
          <w:color w:val="000000" w:themeColor="text1"/>
        </w:rPr>
        <w:t>multidisciplinary meeting</w:t>
      </w:r>
      <w:r w:rsidRPr="008C7DCF">
        <w:rPr>
          <w:rFonts w:cstheme="minorHAnsi"/>
          <w:color w:val="000000" w:themeColor="text1"/>
        </w:rPr>
        <w:t xml:space="preserve"> this should be accommodated where circumstances allow.</w:t>
      </w:r>
    </w:p>
  </w:footnote>
  <w:footnote w:id="15">
    <w:p w14:paraId="380F1E14" w14:textId="77777777" w:rsidR="00B71D78" w:rsidRPr="008C7DCF" w:rsidRDefault="00B71D78" w:rsidP="00B71D78">
      <w:pPr>
        <w:pStyle w:val="FootnoteText"/>
        <w:rPr>
          <w:rFonts w:cstheme="minorHAnsi"/>
          <w:color w:val="000000" w:themeColor="text1"/>
        </w:rPr>
      </w:pPr>
      <w:r w:rsidRPr="008C7DCF">
        <w:rPr>
          <w:rStyle w:val="FootnoteReference"/>
          <w:rFonts w:cstheme="minorHAnsi"/>
          <w:color w:val="000000" w:themeColor="text1"/>
        </w:rPr>
        <w:footnoteRef/>
      </w:r>
      <w:r w:rsidRPr="008C7DCF">
        <w:rPr>
          <w:rFonts w:cstheme="minorHAnsi"/>
          <w:color w:val="000000" w:themeColor="text1"/>
        </w:rPr>
        <w:t xml:space="preserve"> We note that there are different PROMS and PREMs in use in female pelvic floor surgery and at this stage there is no single consensus on the which set to use in Aotearoa</w:t>
      </w:r>
      <w:r>
        <w:rPr>
          <w:rFonts w:cstheme="minorHAnsi"/>
          <w:color w:val="000000" w:themeColor="text1"/>
        </w:rPr>
        <w:t xml:space="preserve"> </w:t>
      </w:r>
      <w:r w:rsidRPr="008C7DCF">
        <w:rPr>
          <w:rFonts w:cstheme="minorHAnsi"/>
          <w:color w:val="000000" w:themeColor="text1"/>
        </w:rPr>
        <w:t>N</w:t>
      </w:r>
      <w:r>
        <w:rPr>
          <w:rFonts w:cstheme="minorHAnsi"/>
          <w:color w:val="000000" w:themeColor="text1"/>
        </w:rPr>
        <w:t xml:space="preserve">ew </w:t>
      </w:r>
      <w:r w:rsidRPr="008C7DCF">
        <w:rPr>
          <w:rFonts w:cstheme="minorHAnsi"/>
          <w:color w:val="000000" w:themeColor="text1"/>
        </w:rPr>
        <w:t>Z</w:t>
      </w:r>
      <w:r>
        <w:rPr>
          <w:rFonts w:cstheme="minorHAnsi"/>
          <w:color w:val="000000" w:themeColor="text1"/>
        </w:rPr>
        <w:t>ealand</w:t>
      </w:r>
      <w:r w:rsidRPr="008C7DCF">
        <w:rPr>
          <w:rFonts w:cstheme="minorHAnsi"/>
          <w:color w:val="000000" w:themeColor="text1"/>
        </w:rPr>
        <w:t>, however</w:t>
      </w:r>
      <w:r>
        <w:rPr>
          <w:rFonts w:cstheme="minorHAnsi"/>
          <w:color w:val="000000" w:themeColor="text1"/>
        </w:rPr>
        <w:t>,</w:t>
      </w:r>
      <w:r w:rsidRPr="008C7DCF">
        <w:rPr>
          <w:rFonts w:cstheme="minorHAnsi"/>
          <w:color w:val="000000" w:themeColor="text1"/>
        </w:rPr>
        <w:t xml:space="preserve"> we advise </w:t>
      </w:r>
      <w:r>
        <w:rPr>
          <w:rFonts w:cstheme="minorHAnsi"/>
          <w:color w:val="000000" w:themeColor="text1"/>
        </w:rPr>
        <w:t xml:space="preserve">the </w:t>
      </w:r>
      <w:r w:rsidRPr="008C7DCF">
        <w:rPr>
          <w:rFonts w:cstheme="minorHAnsi"/>
          <w:color w:val="000000" w:themeColor="text1"/>
        </w:rPr>
        <w:t xml:space="preserve">use of PROMS </w:t>
      </w:r>
      <w:r>
        <w:rPr>
          <w:rFonts w:cstheme="minorHAnsi"/>
          <w:color w:val="000000" w:themeColor="text1"/>
        </w:rPr>
        <w:t>that</w:t>
      </w:r>
      <w:r w:rsidRPr="008C7DCF">
        <w:rPr>
          <w:rFonts w:cstheme="minorHAnsi"/>
          <w:color w:val="000000" w:themeColor="text1"/>
        </w:rPr>
        <w:t xml:space="preserve"> measure urinary symptoms and their impact on quality of life (QoL), measures of pelvic pain symptoms and QoL</w:t>
      </w:r>
      <w:r>
        <w:rPr>
          <w:rFonts w:cstheme="minorHAnsi"/>
          <w:color w:val="000000" w:themeColor="text1"/>
        </w:rPr>
        <w:t>,</w:t>
      </w:r>
      <w:r w:rsidRPr="008C7DCF">
        <w:rPr>
          <w:rFonts w:cstheme="minorHAnsi"/>
          <w:color w:val="000000" w:themeColor="text1"/>
        </w:rPr>
        <w:t xml:space="preserve"> and a global improvement score following surgery.</w:t>
      </w:r>
    </w:p>
  </w:footnote>
  <w:footnote w:id="16">
    <w:p w14:paraId="3701B66B" w14:textId="77777777" w:rsidR="00B71D78" w:rsidRPr="00356F83" w:rsidRDefault="00B71D78" w:rsidP="00B71D78">
      <w:pPr>
        <w:pStyle w:val="FootnoteText"/>
        <w:rPr>
          <w:lang w:val="mi-NZ"/>
        </w:rPr>
      </w:pPr>
      <w:r>
        <w:rPr>
          <w:rStyle w:val="FootnoteReference"/>
        </w:rPr>
        <w:footnoteRef/>
      </w:r>
      <w:r>
        <w:t xml:space="preserve"> </w:t>
      </w:r>
      <w:proofErr w:type="spellStart"/>
      <w:r>
        <w:rPr>
          <w:lang w:val="mi-NZ"/>
        </w:rPr>
        <w:t>Surgeons</w:t>
      </w:r>
      <w:proofErr w:type="spellEnd"/>
      <w:r>
        <w:rPr>
          <w:lang w:val="mi-NZ"/>
        </w:rPr>
        <w:t xml:space="preserve"> </w:t>
      </w:r>
      <w:proofErr w:type="spellStart"/>
      <w:r>
        <w:rPr>
          <w:lang w:val="mi-NZ"/>
        </w:rPr>
        <w:t>should</w:t>
      </w:r>
      <w:proofErr w:type="spellEnd"/>
      <w:r>
        <w:rPr>
          <w:lang w:val="mi-NZ"/>
        </w:rPr>
        <w:t xml:space="preserve"> </w:t>
      </w:r>
      <w:proofErr w:type="spellStart"/>
      <w:r>
        <w:rPr>
          <w:lang w:val="mi-NZ"/>
        </w:rPr>
        <w:t>refer</w:t>
      </w:r>
      <w:proofErr w:type="spellEnd"/>
      <w:r>
        <w:rPr>
          <w:lang w:val="mi-NZ"/>
        </w:rPr>
        <w:t xml:space="preserve"> to </w:t>
      </w:r>
      <w:proofErr w:type="spellStart"/>
      <w:r>
        <w:rPr>
          <w:lang w:val="mi-NZ"/>
        </w:rPr>
        <w:t>their</w:t>
      </w:r>
      <w:proofErr w:type="spellEnd"/>
      <w:r>
        <w:rPr>
          <w:lang w:val="mi-NZ"/>
        </w:rPr>
        <w:t xml:space="preserve"> </w:t>
      </w:r>
      <w:proofErr w:type="spellStart"/>
      <w:r>
        <w:rPr>
          <w:lang w:val="mi-NZ"/>
        </w:rPr>
        <w:t>relevant</w:t>
      </w:r>
      <w:proofErr w:type="spellEnd"/>
      <w:r>
        <w:rPr>
          <w:lang w:val="mi-NZ"/>
        </w:rPr>
        <w:t xml:space="preserve"> </w:t>
      </w:r>
      <w:proofErr w:type="spellStart"/>
      <w:r>
        <w:rPr>
          <w:lang w:val="mi-NZ"/>
        </w:rPr>
        <w:t>college’s</w:t>
      </w:r>
      <w:proofErr w:type="spellEnd"/>
      <w:r>
        <w:rPr>
          <w:lang w:val="mi-NZ"/>
        </w:rPr>
        <w:t xml:space="preserve"> </w:t>
      </w:r>
      <w:proofErr w:type="spellStart"/>
      <w:r>
        <w:rPr>
          <w:lang w:val="mi-NZ"/>
        </w:rPr>
        <w:t>guidelines</w:t>
      </w:r>
      <w:proofErr w:type="spellEnd"/>
      <w:r>
        <w:rPr>
          <w:lang w:val="mi-NZ"/>
        </w:rPr>
        <w:t xml:space="preserve"> </w:t>
      </w:r>
      <w:proofErr w:type="spellStart"/>
      <w:r>
        <w:rPr>
          <w:lang w:val="mi-NZ"/>
        </w:rPr>
        <w:t>on</w:t>
      </w:r>
      <w:proofErr w:type="spellEnd"/>
      <w:r>
        <w:rPr>
          <w:lang w:val="mi-NZ"/>
        </w:rPr>
        <w:t xml:space="preserve"> </w:t>
      </w:r>
      <w:proofErr w:type="spellStart"/>
      <w:r>
        <w:rPr>
          <w:lang w:val="mi-NZ"/>
        </w:rPr>
        <w:t>audit</w:t>
      </w:r>
      <w:proofErr w:type="spellEnd"/>
      <w:r>
        <w:rPr>
          <w:lang w:val="mi-NZ"/>
        </w:rPr>
        <w:t xml:space="preserve"> </w:t>
      </w:r>
      <w:proofErr w:type="spellStart"/>
      <w:r>
        <w:rPr>
          <w:lang w:val="mi-NZ"/>
        </w:rPr>
        <w:t>standards</w:t>
      </w:r>
      <w:proofErr w:type="spellEnd"/>
      <w:r>
        <w:rPr>
          <w:lang w:val="mi-NZ"/>
        </w:rPr>
        <w:t>.</w:t>
      </w:r>
    </w:p>
  </w:footnote>
  <w:footnote w:id="17">
    <w:p w14:paraId="0D8C63A5" w14:textId="77777777" w:rsidR="00B71D78" w:rsidRPr="008C7DCF" w:rsidRDefault="00B71D78" w:rsidP="00B71D78">
      <w:pPr>
        <w:pStyle w:val="FootnoteText"/>
        <w:rPr>
          <w:rFonts w:cstheme="minorHAnsi"/>
        </w:rPr>
      </w:pPr>
      <w:r w:rsidRPr="008C7DCF">
        <w:rPr>
          <w:rStyle w:val="FootnoteReference"/>
          <w:rFonts w:cstheme="minorHAnsi"/>
          <w:color w:val="000000" w:themeColor="text1"/>
        </w:rPr>
        <w:footnoteRef/>
      </w:r>
      <w:r w:rsidRPr="008C7DCF">
        <w:rPr>
          <w:rFonts w:cstheme="minorHAnsi"/>
          <w:color w:val="000000" w:themeColor="text1"/>
        </w:rPr>
        <w:t xml:space="preserve"> Referrals should be considered where the local </w:t>
      </w:r>
      <w:r>
        <w:rPr>
          <w:rFonts w:cstheme="minorHAnsi"/>
          <w:color w:val="000000" w:themeColor="text1"/>
        </w:rPr>
        <w:t>multidisciplinary meeting</w:t>
      </w:r>
      <w:r w:rsidRPr="008C7DCF">
        <w:rPr>
          <w:rFonts w:cstheme="minorHAnsi"/>
          <w:color w:val="000000" w:themeColor="text1"/>
        </w:rPr>
        <w:t xml:space="preserve"> has been unable to reach a consensus agreement on the preferred course, revision surgery, and/or where the patient has requested a referral to the </w:t>
      </w:r>
      <w:r w:rsidRPr="008C7DCF">
        <w:rPr>
          <w:rFonts w:cstheme="minorHAnsi"/>
          <w:color w:val="000000" w:themeColor="text1"/>
          <w:shd w:val="clear" w:color="auto" w:fill="FFFFFF"/>
        </w:rPr>
        <w:t xml:space="preserve">Te Whatu Ora Female Pelvic Mesh Service </w:t>
      </w:r>
      <w:r>
        <w:rPr>
          <w:rFonts w:cstheme="minorHAnsi"/>
          <w:color w:val="000000" w:themeColor="text1"/>
          <w:shd w:val="clear" w:color="auto" w:fill="FFFFFF"/>
        </w:rPr>
        <w:t>multidisciplinary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4E5C436C">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26BA6210">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92F9" w14:textId="3FF23959" w:rsidR="00CF4AC9" w:rsidRDefault="00CF4AC9" w:rsidP="00BD22F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2CA"/>
    <w:multiLevelType w:val="hybridMultilevel"/>
    <w:tmpl w:val="E6BC5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54689"/>
    <w:multiLevelType w:val="multilevel"/>
    <w:tmpl w:val="BC0A7BDE"/>
    <w:lvl w:ilvl="0">
      <w:start w:val="1"/>
      <w:numFmt w:val="decimal"/>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2940A3"/>
    <w:multiLevelType w:val="hybridMultilevel"/>
    <w:tmpl w:val="F85EF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3B5AD1"/>
    <w:multiLevelType w:val="hybridMultilevel"/>
    <w:tmpl w:val="B382F536"/>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C82458"/>
    <w:multiLevelType w:val="hybridMultilevel"/>
    <w:tmpl w:val="06040818"/>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AE70DCD"/>
    <w:multiLevelType w:val="multilevel"/>
    <w:tmpl w:val="6A4C69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66E5E85"/>
    <w:multiLevelType w:val="multilevel"/>
    <w:tmpl w:val="BC0A7BDE"/>
    <w:lvl w:ilvl="0">
      <w:start w:val="1"/>
      <w:numFmt w:val="decimal"/>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15:restartNumberingAfterBreak="0">
    <w:nsid w:val="7F400B7C"/>
    <w:multiLevelType w:val="multilevel"/>
    <w:tmpl w:val="7A1613C4"/>
    <w:lvl w:ilvl="0">
      <w:start w:val="1"/>
      <w:numFmt w:val="decimal"/>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5894421">
    <w:abstractNumId w:val="10"/>
  </w:num>
  <w:num w:numId="2" w16cid:durableId="451748456">
    <w:abstractNumId w:val="11"/>
  </w:num>
  <w:num w:numId="3" w16cid:durableId="1825506974">
    <w:abstractNumId w:val="8"/>
  </w:num>
  <w:num w:numId="4" w16cid:durableId="1970473331">
    <w:abstractNumId w:val="6"/>
  </w:num>
  <w:num w:numId="5" w16cid:durableId="1439178647">
    <w:abstractNumId w:val="7"/>
  </w:num>
  <w:num w:numId="6" w16cid:durableId="1841391413">
    <w:abstractNumId w:val="3"/>
  </w:num>
  <w:num w:numId="7" w16cid:durableId="2026130070">
    <w:abstractNumId w:val="12"/>
  </w:num>
  <w:num w:numId="8" w16cid:durableId="1652443202">
    <w:abstractNumId w:val="2"/>
  </w:num>
  <w:num w:numId="9" w16cid:durableId="249706761">
    <w:abstractNumId w:val="4"/>
  </w:num>
  <w:num w:numId="10" w16cid:durableId="692540501">
    <w:abstractNumId w:val="9"/>
  </w:num>
  <w:num w:numId="11" w16cid:durableId="1492138886">
    <w:abstractNumId w:val="7"/>
  </w:num>
  <w:num w:numId="12" w16cid:durableId="1516263530">
    <w:abstractNumId w:val="1"/>
  </w:num>
  <w:num w:numId="13" w16cid:durableId="198662851">
    <w:abstractNumId w:val="5"/>
  </w:num>
  <w:num w:numId="14" w16cid:durableId="1018699863">
    <w:abstractNumId w:val="7"/>
  </w:num>
  <w:num w:numId="15" w16cid:durableId="14302770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63E5B"/>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2E199F"/>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62D90"/>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2A37"/>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6AA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1432D"/>
    <w:rsid w:val="00B21131"/>
    <w:rsid w:val="00B220C1"/>
    <w:rsid w:val="00B242C0"/>
    <w:rsid w:val="00B30B70"/>
    <w:rsid w:val="00B341F9"/>
    <w:rsid w:val="00B52D24"/>
    <w:rsid w:val="00B530A4"/>
    <w:rsid w:val="00B57C49"/>
    <w:rsid w:val="00B61631"/>
    <w:rsid w:val="00B65B0A"/>
    <w:rsid w:val="00B7079A"/>
    <w:rsid w:val="00B70D1A"/>
    <w:rsid w:val="00B71D78"/>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BF586C"/>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0CFA"/>
    <w:rsid w:val="00CE636E"/>
    <w:rsid w:val="00CE689C"/>
    <w:rsid w:val="00CE689F"/>
    <w:rsid w:val="00CF4AC9"/>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46CF"/>
    <w:rsid w:val="00D56D8D"/>
    <w:rsid w:val="00D67409"/>
    <w:rsid w:val="00D67D08"/>
    <w:rsid w:val="00D71182"/>
    <w:rsid w:val="00D723A2"/>
    <w:rsid w:val="00D738F0"/>
    <w:rsid w:val="00D76A3D"/>
    <w:rsid w:val="00D77A3F"/>
    <w:rsid w:val="00D81249"/>
    <w:rsid w:val="00D8307C"/>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75FD5"/>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517"/>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normaltextrun">
    <w:name w:val="normaltextrun"/>
    <w:basedOn w:val="DefaultParagraphFont"/>
    <w:rsid w:val="00D546CF"/>
  </w:style>
  <w:style w:type="paragraph" w:styleId="ListParagraph">
    <w:name w:val="List Paragraph"/>
    <w:basedOn w:val="Normal"/>
    <w:uiPriority w:val="34"/>
    <w:qFormat/>
    <w:rsid w:val="00D546CF"/>
    <w:pPr>
      <w:spacing w:line="240" w:lineRule="auto"/>
      <w:ind w:left="720"/>
      <w:contextualSpacing/>
    </w:pPr>
    <w:rPr>
      <w:rFonts w:asciiTheme="minorHAnsi" w:eastAsiaTheme="minorEastAsia" w:hAnsiTheme="minorHAnsi" w:cstheme="minorBidi"/>
      <w:kern w:val="2"/>
      <w:sz w:val="24"/>
      <w:lang w:eastAsia="zh-CN"/>
      <w14:ligatures w14:val="standardContextual"/>
    </w:rPr>
  </w:style>
  <w:style w:type="character" w:customStyle="1" w:styleId="ui-provider">
    <w:name w:val="ui-provider"/>
    <w:basedOn w:val="DefaultParagraphFont"/>
    <w:rsid w:val="00D546CF"/>
  </w:style>
  <w:style w:type="character" w:styleId="UnresolvedMention">
    <w:name w:val="Unresolved Mention"/>
    <w:basedOn w:val="DefaultParagraphFont"/>
    <w:uiPriority w:val="99"/>
    <w:semiHidden/>
    <w:unhideWhenUsed/>
    <w:rsid w:val="00D5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729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nzfpms@tewhatuora.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ice.org.uk/guidance/ng123/resources/patient-decision-aids-and-user-guides-6725286109" TargetMode="External"/><Relationship Id="rId3" Type="http://schemas.openxmlformats.org/officeDocument/2006/relationships/hyperlink" Target="http://www.health.govt.nz/publication/national-credentialling-framework-pelvic-floor-reconstructive-urogynaecological-and-mesh-revision" TargetMode="External"/><Relationship Id="rId7" Type="http://schemas.openxmlformats.org/officeDocument/2006/relationships/hyperlink" Target="http://www.hdc.org.nz/your-rights/the-code-and-your-rights" TargetMode="External"/><Relationship Id="rId2" Type="http://schemas.openxmlformats.org/officeDocument/2006/relationships/hyperlink" Target="https://bsug.org.uk/budcms/includes/kcfinder/upload/files/info-leaflets/SUBMITTED-Mesh-Clinical-Advisory-Group---advice-FINAL-20thJulyPM.pdf" TargetMode="External"/><Relationship Id="rId1" Type="http://schemas.openxmlformats.org/officeDocument/2006/relationships/hyperlink" Target="http://www.nice.org.uk/process/pmg6/resources/how-nice-clinical-guidelines-are-developed-an-overview-for-stakeholders-the-public-and-the-nhs-2549708893/chapter/nice-clinical-guidelines" TargetMode="External"/><Relationship Id="rId6" Type="http://schemas.openxmlformats.org/officeDocument/2006/relationships/hyperlink" Target="http://www.acog.org/clinical/clinical-guidance/committee-opinion/articles/2014/06/evaluation-of-uncomplicated-stress-urinary-incontinence-in-women-before-surgical-treatment" TargetMode="External"/><Relationship Id="rId5" Type="http://schemas.openxmlformats.org/officeDocument/2006/relationships/hyperlink" Target="http://www.auanet.org/guidelines-and-quality/guidelines/stress-urinary-incontinence-(sui)-guideline" TargetMode="External"/><Relationship Id="rId4" Type="http://schemas.openxmlformats.org/officeDocument/2006/relationships/hyperlink" Target="file:///C:\Users\jryan\AppData\Local\Microsoft\Windows\INetCache\Content.Outlook\W07E2YCM\bpac.org.nz\guidelines\2\" TargetMode="External"/><Relationship Id="rId9" Type="http://schemas.openxmlformats.org/officeDocument/2006/relationships/hyperlink" Target="http://www.safetyandquality.gov.au/publications-and-resources/resource-library/treatment-options-stress-urinary-incontinence-s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640B23BF94C3F04696027E02DB853CBA" ma:contentTypeVersion="147" ma:contentTypeDescription="Create a new document." ma:contentTypeScope="" ma:versionID="bf13006c2705970dee885b8b7b42ba20">
  <xsd:schema xmlns:xsd="http://www.w3.org/2001/XMLSchema" xmlns:xs="http://www.w3.org/2001/XMLSchema" xmlns:p="http://schemas.microsoft.com/office/2006/metadata/properties" xmlns:ns2="6000dad1-f6a5-4269-975f-63d53972b15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targetNamespace="http://schemas.microsoft.com/office/2006/metadata/properties" ma:root="true" ma:fieldsID="cd30af8e2d43ff83d89d84d03a96e6cc" ns2:_="" ns3:_="" ns4:_="" ns5:_="" ns6:_="" ns7:_="" ns8:_="" ns9:_="">
    <xsd:import namespace="6000dad1-f6a5-4269-975f-63d53972b15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ObjectDetectorVersions"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dad1-f6a5-4269-975f-63d53972b1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23cfa9ed-507f-47a3-be08-2703788df529}" ma:internalName="TaxCatchAll" ma:showField="CatchAllData" ma:web="6000dad1-f6a5-4269-975f-63d53972b1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Chief Medical Officer"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linical Leadership" ma:hidden="true" ma:internalName="FunctionGroup" ma:readOnly="false">
      <xsd:simpleType>
        <xsd:restriction base="dms:Text">
          <xsd:maxLength value="255"/>
        </xsd:restriction>
      </xsd:simpleType>
    </xsd:element>
    <xsd:element name="Function" ma:index="22" nillable="true" ma:displayName="Function" ma:default="Chief Medical Officer"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hief Medical Officer"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ServiceLocation" ma:index="6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Chief Medical Officer</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Chief Medical Officer</Team>
    <Project xmlns="4f9c820c-e7e2-444d-97ee-45f2b3485c1d">NA</Project>
    <HasNHI xmlns="184c05c4-c568-455d-94a4-7e009b164348">false</HasNHI>
    <FunctionGroup xmlns="4f9c820c-e7e2-444d-97ee-45f2b3485c1d">Clinical Leadership</FunctionGroup>
    <Function xmlns="4f9c820c-e7e2-444d-97ee-45f2b3485c1d">Chief Medical Officer</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Surgical Mesh</Channel>
    <lcf76f155ced4ddcb4097134ff3c332f xmlns="ae638a50-07e4-437e-8f63-6962fde4e67a">
      <Terms xmlns="http://schemas.microsoft.com/office/infopath/2007/PartnerControls"/>
    </lcf76f155ced4ddcb4097134ff3c332f>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TaxCatchAll xmlns="6000dad1-f6a5-4269-975f-63d53972b15f" xsi:nil="true"/>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6000dad1-f6a5-4269-975f-63d53972b15f">MOHECM-1443842083-3157</_dlc_DocId>
    <_dlc_DocIdUrl xmlns="6000dad1-f6a5-4269-975f-63d53972b15f">
      <Url>https://mohgovtnz.sharepoint.com/sites/moh-ecm-ChiefMedOff/_layouts/15/DocIdRedir.aspx?ID=MOHECM-1443842083-3157</Url>
      <Description>MOHECM-1443842083-3157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EA8132-A458-4542-8133-D155A43DC55D}">
  <ds:schemaRefs>
    <ds:schemaRef ds:uri="http://schemas.microsoft.com/sharepoint/events"/>
  </ds:schemaRefs>
</ds:datastoreItem>
</file>

<file path=customXml/itemProps2.xml><?xml version="1.0" encoding="utf-8"?>
<ds:datastoreItem xmlns:ds="http://schemas.openxmlformats.org/officeDocument/2006/customXml" ds:itemID="{55E3E4C9-F4E6-460B-8C8B-50FC5A69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dad1-f6a5-4269-975f-63d53972b15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84CB951-6F69-4E40-AD3A-CFD37072A6E7}">
  <ds:schemaRefs>
    <ds:schemaRef ds:uri="http://schemas.openxmlformats.org/package/2006/metadata/core-properties"/>
    <ds:schemaRef ds:uri="http://schemas.microsoft.com/office/2006/metadata/properties"/>
    <ds:schemaRef ds:uri="725c79e5-42ce-4aa0-ac78-b6418001f0d2"/>
    <ds:schemaRef ds:uri="http://purl.org/dc/dcmitype/"/>
    <ds:schemaRef ds:uri="http://schemas.microsoft.com/office/2006/documentManagement/types"/>
    <ds:schemaRef ds:uri="http://purl.org/dc/elements/1.1/"/>
    <ds:schemaRef ds:uri="http://schemas.microsoft.com/office/infopath/2007/PartnerControls"/>
    <ds:schemaRef ds:uri="ae638a50-07e4-437e-8f63-6962fde4e67a"/>
    <ds:schemaRef ds:uri="6000dad1-f6a5-4269-975f-63d53972b15f"/>
    <ds:schemaRef ds:uri="c91a514c-9034-4fa3-897a-8352025b26ed"/>
    <ds:schemaRef ds:uri="15ffb055-6eb4-45a1-bc20-bf2ac0d420da"/>
    <ds:schemaRef ds:uri="d0b61010-d6f3-4072-b934-7bbb13e97771"/>
    <ds:schemaRef ds:uri="184c05c4-c568-455d-94a4-7e009b164348"/>
    <ds:schemaRef ds:uri="http://www.w3.org/XML/1998/namespace"/>
    <ds:schemaRef ds:uri="4f9c820c-e7e2-444d-97ee-45f2b3485c1d"/>
    <ds:schemaRef ds:uri="http://purl.org/dc/terms/"/>
  </ds:schemaRefs>
</ds:datastoreItem>
</file>

<file path=customXml/itemProps5.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3</Pages>
  <Words>658</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High Vigilance Guideline for Non-Mesh Stress Urinary Incontinence Surgery</dc:title>
  <dc:creator>Ministry of Health</dc:creator>
  <cp:lastModifiedBy>Cristyn Aldridge</cp:lastModifiedBy>
  <cp:revision>2</cp:revision>
  <cp:lastPrinted>2014-10-20T03:59:00Z</cp:lastPrinted>
  <dcterms:created xsi:type="dcterms:W3CDTF">2023-12-13T21:21:00Z</dcterms:created>
  <dcterms:modified xsi:type="dcterms:W3CDTF">2023-12-13T21:21:00Z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0x010100640B23BF94C3F04696027E02DB853CBA</vt:lpwstr>
  </property>
  <property fmtid="{D5CDD505-2E9C-101B-9397-08002B2CF9AE}" pid="3" name="MediaServiceImageTags">
    <vt:lpwstr/>
  </property>
  <property fmtid="{D5CDD505-2E9C-101B-9397-08002B2CF9AE}" pid="4" name="_dlc_DocIdItemGuid">
    <vt:lpwstr>513aba46-0e36-4c48-8aa8-eadc4f2bdad8</vt:lpwstr>
  </property>
</Properties>
</file>