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9A8" w:rsidRPr="00F47669" w:rsidRDefault="00E91A86" w:rsidP="005719A8">
      <w:pPr>
        <w:pStyle w:val="Title"/>
        <w:rPr>
          <w:sz w:val="32"/>
        </w:rPr>
      </w:pPr>
      <w:r>
        <w:rPr>
          <w:noProof/>
        </w:rPr>
        <w:t xml:space="preserve">Interim Evaluation Report </w:t>
      </w:r>
      <w:r w:rsidR="00FE335B">
        <w:rPr>
          <w:noProof/>
        </w:rPr>
        <w:t xml:space="preserve">of the </w:t>
      </w:r>
      <w:r w:rsidR="00FE335B" w:rsidRPr="00F47669">
        <w:rPr>
          <w:noProof/>
        </w:rPr>
        <w:t>Bowel Screening Pilot</w:t>
      </w:r>
      <w:r w:rsidR="00D15946" w:rsidRPr="00F47669">
        <w:rPr>
          <w:noProof/>
        </w:rPr>
        <w:br/>
      </w:r>
      <w:r w:rsidR="00D15946" w:rsidRPr="00F47669">
        <w:rPr>
          <w:noProof/>
          <w:sz w:val="28"/>
        </w:rPr>
        <w:t>Screening Round One</w:t>
      </w:r>
    </w:p>
    <w:p w:rsidR="005719A8" w:rsidRDefault="00FE335B" w:rsidP="005719A8">
      <w:pPr>
        <w:pStyle w:val="ClientName"/>
      </w:pPr>
      <w:r>
        <w:t xml:space="preserve">Ministry of Health </w:t>
      </w:r>
      <w:r>
        <w:br/>
        <w:t>Manat</w:t>
      </w:r>
      <w:r>
        <w:rPr>
          <w:rFonts w:cs="Arial"/>
        </w:rPr>
        <w:t>ū</w:t>
      </w:r>
      <w:r>
        <w:t xml:space="preserve"> Hauora</w:t>
      </w:r>
    </w:p>
    <w:p w:rsidR="005719A8" w:rsidRDefault="009941DD" w:rsidP="005719A8">
      <w:pPr>
        <w:spacing w:before="0"/>
        <w:ind w:left="0"/>
        <w:jc w:val="center"/>
        <w:rPr>
          <w:sz w:val="28"/>
          <w:szCs w:val="28"/>
        </w:rPr>
      </w:pPr>
      <w:r>
        <w:rPr>
          <w:sz w:val="28"/>
          <w:szCs w:val="28"/>
        </w:rPr>
        <w:t>2</w:t>
      </w:r>
      <w:r w:rsidR="00D05D2C">
        <w:rPr>
          <w:sz w:val="28"/>
          <w:szCs w:val="28"/>
        </w:rPr>
        <w:t>4</w:t>
      </w:r>
      <w:r>
        <w:rPr>
          <w:sz w:val="28"/>
          <w:szCs w:val="28"/>
        </w:rPr>
        <w:t xml:space="preserve"> February 2015</w:t>
      </w:r>
    </w:p>
    <w:p w:rsidR="005719A8" w:rsidRPr="00A92022" w:rsidRDefault="005719A8" w:rsidP="005719A8"/>
    <w:p w:rsidR="005719A8" w:rsidRDefault="005719A8">
      <w:pPr>
        <w:sectPr w:rsidR="005719A8" w:rsidSect="005719A8">
          <w:headerReference w:type="default" r:id="rId9"/>
          <w:footerReference w:type="default" r:id="rId10"/>
          <w:footerReference w:type="first" r:id="rId11"/>
          <w:pgSz w:w="11906" w:h="16838" w:code="9"/>
          <w:pgMar w:top="3969" w:right="1134" w:bottom="1134" w:left="1134" w:header="567" w:footer="567" w:gutter="0"/>
          <w:pgNumType w:fmt="lowerRoman"/>
          <w:cols w:space="720"/>
        </w:sectPr>
      </w:pPr>
    </w:p>
    <w:p w:rsidR="00D31124" w:rsidRDefault="005719A8" w:rsidP="00115B24">
      <w:pPr>
        <w:pStyle w:val="Heading"/>
        <w:tabs>
          <w:tab w:val="left" w:pos="0"/>
          <w:tab w:val="left" w:pos="7938"/>
        </w:tabs>
        <w:spacing w:after="240"/>
        <w:rPr>
          <w:noProof/>
        </w:rPr>
      </w:pPr>
      <w:bookmarkStart w:id="0" w:name="_Toc528559121"/>
      <w:bookmarkStart w:id="1" w:name="_Toc528559355"/>
      <w:bookmarkStart w:id="2" w:name="_Toc528564993"/>
      <w:bookmarkStart w:id="3" w:name="_Toc388964130"/>
      <w:bookmarkStart w:id="4" w:name="_Toc389990502"/>
      <w:bookmarkStart w:id="5" w:name="_Toc390872191"/>
      <w:bookmarkStart w:id="6" w:name="_Toc390931216"/>
      <w:bookmarkStart w:id="7" w:name="_Toc391031805"/>
      <w:bookmarkStart w:id="8" w:name="_Toc391847724"/>
      <w:bookmarkStart w:id="9" w:name="_Toc393225992"/>
      <w:bookmarkStart w:id="10" w:name="_Toc393398279"/>
      <w:bookmarkStart w:id="11" w:name="_Toc397182448"/>
      <w:bookmarkStart w:id="12" w:name="_Toc397510495"/>
      <w:bookmarkStart w:id="13" w:name="_Toc406602067"/>
      <w:bookmarkStart w:id="14" w:name="_Toc406753437"/>
      <w:bookmarkStart w:id="15" w:name="_Toc412540011"/>
      <w:r>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EC3C68">
        <w:rPr>
          <w:sz w:val="20"/>
        </w:rPr>
        <w:fldChar w:fldCharType="begin"/>
      </w:r>
      <w:r w:rsidR="00EC3C68">
        <w:rPr>
          <w:sz w:val="20"/>
        </w:rPr>
        <w:instrText xml:space="preserve"> TOC \o "1-2" </w:instrText>
      </w:r>
      <w:r w:rsidR="00EC3C68">
        <w:rPr>
          <w:sz w:val="20"/>
        </w:rPr>
        <w:fldChar w:fldCharType="separate"/>
      </w:r>
    </w:p>
    <w:p w:rsidR="00D31124" w:rsidRDefault="00D31124" w:rsidP="00D31124">
      <w:pPr>
        <w:pStyle w:val="TOC1"/>
        <w:tabs>
          <w:tab w:val="clear" w:pos="5103"/>
          <w:tab w:val="left" w:pos="709"/>
          <w:tab w:val="right" w:pos="7938"/>
        </w:tabs>
        <w:ind w:right="2834"/>
        <w:rPr>
          <w:rFonts w:asciiTheme="minorHAnsi" w:eastAsiaTheme="minorEastAsia" w:hAnsiTheme="minorHAnsi" w:cstheme="minorBidi"/>
          <w:noProof/>
          <w:lang w:eastAsia="en-NZ"/>
        </w:rPr>
      </w:pPr>
      <w:r>
        <w:rPr>
          <w:noProof/>
        </w:rPr>
        <w:t>DISCLAIMER</w:t>
      </w:r>
      <w:r>
        <w:rPr>
          <w:noProof/>
        </w:rPr>
        <w:tab/>
      </w:r>
      <w:r>
        <w:rPr>
          <w:noProof/>
        </w:rPr>
        <w:fldChar w:fldCharType="begin"/>
      </w:r>
      <w:r>
        <w:rPr>
          <w:noProof/>
        </w:rPr>
        <w:instrText xml:space="preserve"> PAGEREF _Toc412540012 \h </w:instrText>
      </w:r>
      <w:r>
        <w:rPr>
          <w:noProof/>
        </w:rPr>
      </w:r>
      <w:r>
        <w:rPr>
          <w:noProof/>
        </w:rPr>
        <w:fldChar w:fldCharType="separate"/>
      </w:r>
      <w:r w:rsidR="00957CD0">
        <w:rPr>
          <w:noProof/>
        </w:rPr>
        <w:t>5</w:t>
      </w:r>
      <w:r>
        <w:rPr>
          <w:noProof/>
        </w:rPr>
        <w:fldChar w:fldCharType="end"/>
      </w:r>
    </w:p>
    <w:p w:rsidR="00D31124" w:rsidRDefault="00D31124" w:rsidP="00D31124">
      <w:pPr>
        <w:pStyle w:val="TOC1"/>
        <w:tabs>
          <w:tab w:val="clear" w:pos="5103"/>
          <w:tab w:val="left" w:pos="709"/>
          <w:tab w:val="right" w:pos="7938"/>
        </w:tabs>
        <w:ind w:right="2834"/>
        <w:rPr>
          <w:rFonts w:asciiTheme="minorHAnsi" w:eastAsiaTheme="minorEastAsia" w:hAnsiTheme="minorHAnsi" w:cstheme="minorBidi"/>
          <w:noProof/>
          <w:lang w:eastAsia="en-NZ"/>
        </w:rPr>
      </w:pPr>
      <w:r>
        <w:rPr>
          <w:noProof/>
        </w:rPr>
        <w:t>Preface</w:t>
      </w:r>
      <w:r>
        <w:rPr>
          <w:noProof/>
        </w:rPr>
        <w:tab/>
      </w:r>
      <w:r>
        <w:rPr>
          <w:noProof/>
        </w:rPr>
        <w:fldChar w:fldCharType="begin"/>
      </w:r>
      <w:r>
        <w:rPr>
          <w:noProof/>
        </w:rPr>
        <w:instrText xml:space="preserve"> PAGEREF _Toc412540013 \h </w:instrText>
      </w:r>
      <w:r>
        <w:rPr>
          <w:noProof/>
        </w:rPr>
      </w:r>
      <w:r>
        <w:rPr>
          <w:noProof/>
        </w:rPr>
        <w:fldChar w:fldCharType="separate"/>
      </w:r>
      <w:r w:rsidR="00957CD0">
        <w:rPr>
          <w:noProof/>
        </w:rPr>
        <w:t>6</w:t>
      </w:r>
      <w:r>
        <w:rPr>
          <w:noProof/>
        </w:rPr>
        <w:fldChar w:fldCharType="end"/>
      </w:r>
    </w:p>
    <w:p w:rsidR="00D31124" w:rsidRDefault="00D31124" w:rsidP="00D31124">
      <w:pPr>
        <w:pStyle w:val="TOC1"/>
        <w:tabs>
          <w:tab w:val="clear" w:pos="5103"/>
          <w:tab w:val="left" w:pos="709"/>
          <w:tab w:val="right" w:pos="7938"/>
        </w:tabs>
        <w:ind w:right="2834"/>
        <w:rPr>
          <w:rFonts w:asciiTheme="minorHAnsi" w:eastAsiaTheme="minorEastAsia" w:hAnsiTheme="minorHAnsi" w:cstheme="minorBidi"/>
          <w:noProof/>
          <w:lang w:eastAsia="en-NZ"/>
        </w:rPr>
      </w:pPr>
      <w:r>
        <w:rPr>
          <w:noProof/>
        </w:rPr>
        <w:t>1.</w:t>
      </w:r>
      <w:r>
        <w:rPr>
          <w:rFonts w:asciiTheme="minorHAnsi" w:eastAsiaTheme="minorEastAsia" w:hAnsiTheme="minorHAnsi" w:cstheme="minorBidi"/>
          <w:noProof/>
          <w:lang w:eastAsia="en-NZ"/>
        </w:rPr>
        <w:tab/>
      </w:r>
      <w:r>
        <w:rPr>
          <w:noProof/>
        </w:rPr>
        <w:t>Executive summary</w:t>
      </w:r>
      <w:r>
        <w:rPr>
          <w:noProof/>
        </w:rPr>
        <w:tab/>
      </w:r>
      <w:r>
        <w:rPr>
          <w:noProof/>
        </w:rPr>
        <w:fldChar w:fldCharType="begin"/>
      </w:r>
      <w:r>
        <w:rPr>
          <w:noProof/>
        </w:rPr>
        <w:instrText xml:space="preserve"> PAGEREF _Toc412540014 \h </w:instrText>
      </w:r>
      <w:r>
        <w:rPr>
          <w:noProof/>
        </w:rPr>
      </w:r>
      <w:r>
        <w:rPr>
          <w:noProof/>
        </w:rPr>
        <w:fldChar w:fldCharType="separate"/>
      </w:r>
      <w:r w:rsidR="00957CD0">
        <w:rPr>
          <w:noProof/>
        </w:rPr>
        <w:t>7</w:t>
      </w:r>
      <w:r>
        <w:rPr>
          <w:noProof/>
        </w:rPr>
        <w:fldChar w:fldCharType="end"/>
      </w:r>
    </w:p>
    <w:p w:rsidR="00D31124" w:rsidRDefault="00D31124" w:rsidP="00D31124">
      <w:pPr>
        <w:pStyle w:val="TOC2"/>
        <w:tabs>
          <w:tab w:val="clear" w:pos="5103"/>
          <w:tab w:val="left" w:pos="1320"/>
          <w:tab w:val="right" w:pos="7938"/>
        </w:tabs>
        <w:ind w:right="2834"/>
        <w:rPr>
          <w:rFonts w:asciiTheme="minorHAnsi" w:eastAsiaTheme="minorEastAsia" w:hAnsiTheme="minorHAnsi" w:cstheme="minorBidi"/>
          <w:noProof/>
          <w:sz w:val="22"/>
          <w:lang w:eastAsia="en-NZ"/>
        </w:rPr>
      </w:pPr>
      <w:r>
        <w:rPr>
          <w:noProof/>
        </w:rPr>
        <w:t>1.1</w:t>
      </w:r>
      <w:r>
        <w:rPr>
          <w:rFonts w:asciiTheme="minorHAnsi" w:eastAsiaTheme="minorEastAsia" w:hAnsiTheme="minorHAnsi" w:cstheme="minorBidi"/>
          <w:noProof/>
          <w:sz w:val="22"/>
          <w:lang w:eastAsia="en-NZ"/>
        </w:rPr>
        <w:tab/>
      </w:r>
      <w:r>
        <w:rPr>
          <w:noProof/>
        </w:rPr>
        <w:t>Background</w:t>
      </w:r>
      <w:r>
        <w:rPr>
          <w:noProof/>
        </w:rPr>
        <w:tab/>
      </w:r>
      <w:r>
        <w:rPr>
          <w:noProof/>
        </w:rPr>
        <w:fldChar w:fldCharType="begin"/>
      </w:r>
      <w:r>
        <w:rPr>
          <w:noProof/>
        </w:rPr>
        <w:instrText xml:space="preserve"> PAGEREF _Toc412540015 \h </w:instrText>
      </w:r>
      <w:r>
        <w:rPr>
          <w:noProof/>
        </w:rPr>
      </w:r>
      <w:r>
        <w:rPr>
          <w:noProof/>
        </w:rPr>
        <w:fldChar w:fldCharType="separate"/>
      </w:r>
      <w:r w:rsidR="00957CD0">
        <w:rPr>
          <w:noProof/>
        </w:rPr>
        <w:t>7</w:t>
      </w:r>
      <w:r>
        <w:rPr>
          <w:noProof/>
        </w:rPr>
        <w:fldChar w:fldCharType="end"/>
      </w:r>
    </w:p>
    <w:p w:rsidR="00D31124" w:rsidRDefault="00D31124" w:rsidP="00D31124">
      <w:pPr>
        <w:pStyle w:val="TOC2"/>
        <w:tabs>
          <w:tab w:val="clear" w:pos="5103"/>
          <w:tab w:val="left" w:pos="1320"/>
          <w:tab w:val="right" w:pos="7938"/>
        </w:tabs>
        <w:ind w:right="2834"/>
        <w:rPr>
          <w:rFonts w:asciiTheme="minorHAnsi" w:eastAsiaTheme="minorEastAsia" w:hAnsiTheme="minorHAnsi" w:cstheme="minorBidi"/>
          <w:noProof/>
          <w:sz w:val="22"/>
          <w:lang w:eastAsia="en-NZ"/>
        </w:rPr>
      </w:pPr>
      <w:r>
        <w:rPr>
          <w:noProof/>
        </w:rPr>
        <w:t>1.2</w:t>
      </w:r>
      <w:r>
        <w:rPr>
          <w:rFonts w:asciiTheme="minorHAnsi" w:eastAsiaTheme="minorEastAsia" w:hAnsiTheme="minorHAnsi" w:cstheme="minorBidi"/>
          <w:noProof/>
          <w:sz w:val="22"/>
          <w:lang w:eastAsia="en-NZ"/>
        </w:rPr>
        <w:tab/>
      </w:r>
      <w:r>
        <w:rPr>
          <w:noProof/>
        </w:rPr>
        <w:t>Evaluation findings</w:t>
      </w:r>
      <w:r>
        <w:rPr>
          <w:noProof/>
        </w:rPr>
        <w:tab/>
      </w:r>
      <w:r>
        <w:rPr>
          <w:noProof/>
        </w:rPr>
        <w:fldChar w:fldCharType="begin"/>
      </w:r>
      <w:r>
        <w:rPr>
          <w:noProof/>
        </w:rPr>
        <w:instrText xml:space="preserve"> PAGEREF _Toc412540016 \h </w:instrText>
      </w:r>
      <w:r>
        <w:rPr>
          <w:noProof/>
        </w:rPr>
      </w:r>
      <w:r>
        <w:rPr>
          <w:noProof/>
        </w:rPr>
        <w:fldChar w:fldCharType="separate"/>
      </w:r>
      <w:r w:rsidR="00957CD0">
        <w:rPr>
          <w:noProof/>
        </w:rPr>
        <w:t>7</w:t>
      </w:r>
      <w:r>
        <w:rPr>
          <w:noProof/>
        </w:rPr>
        <w:fldChar w:fldCharType="end"/>
      </w:r>
    </w:p>
    <w:p w:rsidR="00D31124" w:rsidRDefault="00D31124" w:rsidP="00D31124">
      <w:pPr>
        <w:pStyle w:val="TOC2"/>
        <w:tabs>
          <w:tab w:val="clear" w:pos="5103"/>
          <w:tab w:val="left" w:pos="1320"/>
          <w:tab w:val="right" w:pos="7938"/>
        </w:tabs>
        <w:ind w:right="2834"/>
        <w:rPr>
          <w:rFonts w:asciiTheme="minorHAnsi" w:eastAsiaTheme="minorEastAsia" w:hAnsiTheme="minorHAnsi" w:cstheme="minorBidi"/>
          <w:noProof/>
          <w:sz w:val="22"/>
          <w:lang w:eastAsia="en-NZ"/>
        </w:rPr>
      </w:pPr>
      <w:r>
        <w:rPr>
          <w:noProof/>
        </w:rPr>
        <w:t>1.3</w:t>
      </w:r>
      <w:r>
        <w:rPr>
          <w:rFonts w:asciiTheme="minorHAnsi" w:eastAsiaTheme="minorEastAsia" w:hAnsiTheme="minorHAnsi" w:cstheme="minorBidi"/>
          <w:noProof/>
          <w:sz w:val="22"/>
          <w:lang w:eastAsia="en-NZ"/>
        </w:rPr>
        <w:tab/>
      </w:r>
      <w:r>
        <w:rPr>
          <w:noProof/>
        </w:rPr>
        <w:t>Conclusions and recommendations</w:t>
      </w:r>
      <w:r>
        <w:rPr>
          <w:noProof/>
        </w:rPr>
        <w:tab/>
      </w:r>
      <w:r>
        <w:rPr>
          <w:noProof/>
        </w:rPr>
        <w:fldChar w:fldCharType="begin"/>
      </w:r>
      <w:r>
        <w:rPr>
          <w:noProof/>
        </w:rPr>
        <w:instrText xml:space="preserve"> PAGEREF _Toc412540017 \h </w:instrText>
      </w:r>
      <w:r>
        <w:rPr>
          <w:noProof/>
        </w:rPr>
      </w:r>
      <w:r>
        <w:rPr>
          <w:noProof/>
        </w:rPr>
        <w:fldChar w:fldCharType="separate"/>
      </w:r>
      <w:r w:rsidR="00957CD0">
        <w:rPr>
          <w:noProof/>
        </w:rPr>
        <w:t>18</w:t>
      </w:r>
      <w:r>
        <w:rPr>
          <w:noProof/>
        </w:rPr>
        <w:fldChar w:fldCharType="end"/>
      </w:r>
    </w:p>
    <w:p w:rsidR="00D31124" w:rsidRDefault="00D31124" w:rsidP="00D31124">
      <w:pPr>
        <w:pStyle w:val="TOC1"/>
        <w:tabs>
          <w:tab w:val="clear" w:pos="5103"/>
          <w:tab w:val="left" w:pos="709"/>
          <w:tab w:val="right" w:pos="7938"/>
        </w:tabs>
        <w:ind w:right="2834"/>
        <w:rPr>
          <w:rFonts w:asciiTheme="minorHAnsi" w:eastAsiaTheme="minorEastAsia" w:hAnsiTheme="minorHAnsi" w:cstheme="minorBidi"/>
          <w:noProof/>
          <w:lang w:eastAsia="en-NZ"/>
        </w:rPr>
      </w:pPr>
      <w:r>
        <w:rPr>
          <w:noProof/>
        </w:rPr>
        <w:t>2.</w:t>
      </w:r>
      <w:r>
        <w:rPr>
          <w:rFonts w:asciiTheme="minorHAnsi" w:eastAsiaTheme="minorEastAsia" w:hAnsiTheme="minorHAnsi" w:cstheme="minorBidi"/>
          <w:noProof/>
          <w:lang w:eastAsia="en-NZ"/>
        </w:rPr>
        <w:tab/>
      </w:r>
      <w:r>
        <w:rPr>
          <w:noProof/>
        </w:rPr>
        <w:t>Introduction</w:t>
      </w:r>
      <w:r>
        <w:rPr>
          <w:noProof/>
        </w:rPr>
        <w:tab/>
      </w:r>
      <w:r>
        <w:rPr>
          <w:noProof/>
        </w:rPr>
        <w:fldChar w:fldCharType="begin"/>
      </w:r>
      <w:r>
        <w:rPr>
          <w:noProof/>
        </w:rPr>
        <w:instrText xml:space="preserve"> PAGEREF _Toc412540018 \h </w:instrText>
      </w:r>
      <w:r>
        <w:rPr>
          <w:noProof/>
        </w:rPr>
      </w:r>
      <w:r>
        <w:rPr>
          <w:noProof/>
        </w:rPr>
        <w:fldChar w:fldCharType="separate"/>
      </w:r>
      <w:r w:rsidR="00957CD0">
        <w:rPr>
          <w:noProof/>
        </w:rPr>
        <w:t>20</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2.1</w:t>
      </w:r>
      <w:r w:rsidRPr="00D31124">
        <w:rPr>
          <w:noProof/>
        </w:rPr>
        <w:tab/>
      </w:r>
      <w:r>
        <w:rPr>
          <w:noProof/>
        </w:rPr>
        <w:t>Background to BSP</w:t>
      </w:r>
      <w:r>
        <w:rPr>
          <w:noProof/>
        </w:rPr>
        <w:tab/>
      </w:r>
      <w:r>
        <w:rPr>
          <w:noProof/>
        </w:rPr>
        <w:fldChar w:fldCharType="begin"/>
      </w:r>
      <w:r>
        <w:rPr>
          <w:noProof/>
        </w:rPr>
        <w:instrText xml:space="preserve"> PAGEREF _Toc412540019 \h </w:instrText>
      </w:r>
      <w:r>
        <w:rPr>
          <w:noProof/>
        </w:rPr>
      </w:r>
      <w:r>
        <w:rPr>
          <w:noProof/>
        </w:rPr>
        <w:fldChar w:fldCharType="separate"/>
      </w:r>
      <w:r w:rsidR="00957CD0">
        <w:rPr>
          <w:noProof/>
        </w:rPr>
        <w:t>20</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2.2</w:t>
      </w:r>
      <w:r w:rsidRPr="00D31124">
        <w:rPr>
          <w:noProof/>
        </w:rPr>
        <w:tab/>
      </w:r>
      <w:r>
        <w:rPr>
          <w:noProof/>
        </w:rPr>
        <w:t>Unique elements of bowel cancer screening</w:t>
      </w:r>
      <w:r>
        <w:rPr>
          <w:noProof/>
        </w:rPr>
        <w:tab/>
      </w:r>
      <w:r>
        <w:rPr>
          <w:noProof/>
        </w:rPr>
        <w:fldChar w:fldCharType="begin"/>
      </w:r>
      <w:r>
        <w:rPr>
          <w:noProof/>
        </w:rPr>
        <w:instrText xml:space="preserve"> PAGEREF _Toc412540020 \h </w:instrText>
      </w:r>
      <w:r>
        <w:rPr>
          <w:noProof/>
        </w:rPr>
      </w:r>
      <w:r>
        <w:rPr>
          <w:noProof/>
        </w:rPr>
        <w:fldChar w:fldCharType="separate"/>
      </w:r>
      <w:r w:rsidR="00957CD0">
        <w:rPr>
          <w:noProof/>
        </w:rPr>
        <w:t>22</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2.3</w:t>
      </w:r>
      <w:r w:rsidRPr="00D31124">
        <w:rPr>
          <w:noProof/>
        </w:rPr>
        <w:tab/>
      </w:r>
      <w:r>
        <w:rPr>
          <w:noProof/>
        </w:rPr>
        <w:t>Description of the BSP</w:t>
      </w:r>
      <w:r>
        <w:rPr>
          <w:noProof/>
        </w:rPr>
        <w:tab/>
      </w:r>
      <w:r>
        <w:rPr>
          <w:noProof/>
        </w:rPr>
        <w:fldChar w:fldCharType="begin"/>
      </w:r>
      <w:r>
        <w:rPr>
          <w:noProof/>
        </w:rPr>
        <w:instrText xml:space="preserve"> PAGEREF _Toc412540021 \h </w:instrText>
      </w:r>
      <w:r>
        <w:rPr>
          <w:noProof/>
        </w:rPr>
      </w:r>
      <w:r>
        <w:rPr>
          <w:noProof/>
        </w:rPr>
        <w:fldChar w:fldCharType="separate"/>
      </w:r>
      <w:r w:rsidR="00957CD0">
        <w:rPr>
          <w:noProof/>
        </w:rPr>
        <w:t>23</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2.4</w:t>
      </w:r>
      <w:r w:rsidRPr="00D31124">
        <w:rPr>
          <w:noProof/>
        </w:rPr>
        <w:tab/>
      </w:r>
      <w:r>
        <w:rPr>
          <w:noProof/>
        </w:rPr>
        <w:t>Evaluation methodology</w:t>
      </w:r>
      <w:r>
        <w:rPr>
          <w:noProof/>
        </w:rPr>
        <w:tab/>
      </w:r>
      <w:r>
        <w:rPr>
          <w:noProof/>
        </w:rPr>
        <w:fldChar w:fldCharType="begin"/>
      </w:r>
      <w:r>
        <w:rPr>
          <w:noProof/>
        </w:rPr>
        <w:instrText xml:space="preserve"> PAGEREF _Toc412540022 \h </w:instrText>
      </w:r>
      <w:r>
        <w:rPr>
          <w:noProof/>
        </w:rPr>
      </w:r>
      <w:r>
        <w:rPr>
          <w:noProof/>
        </w:rPr>
        <w:fldChar w:fldCharType="separate"/>
      </w:r>
      <w:r w:rsidR="00957CD0">
        <w:rPr>
          <w:noProof/>
        </w:rPr>
        <w:t>30</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2.5</w:t>
      </w:r>
      <w:r w:rsidRPr="00D31124">
        <w:rPr>
          <w:noProof/>
        </w:rPr>
        <w:tab/>
      </w:r>
      <w:r>
        <w:rPr>
          <w:noProof/>
        </w:rPr>
        <w:t>Data differences</w:t>
      </w:r>
      <w:r>
        <w:rPr>
          <w:noProof/>
        </w:rPr>
        <w:tab/>
      </w:r>
      <w:r>
        <w:rPr>
          <w:noProof/>
        </w:rPr>
        <w:fldChar w:fldCharType="begin"/>
      </w:r>
      <w:r>
        <w:rPr>
          <w:noProof/>
        </w:rPr>
        <w:instrText xml:space="preserve"> PAGEREF _Toc412540023 \h </w:instrText>
      </w:r>
      <w:r>
        <w:rPr>
          <w:noProof/>
        </w:rPr>
      </w:r>
      <w:r>
        <w:rPr>
          <w:noProof/>
        </w:rPr>
        <w:fldChar w:fldCharType="separate"/>
      </w:r>
      <w:r w:rsidR="00957CD0">
        <w:rPr>
          <w:noProof/>
        </w:rPr>
        <w:t>36</w:t>
      </w:r>
      <w:r>
        <w:rPr>
          <w:noProof/>
        </w:rPr>
        <w:fldChar w:fldCharType="end"/>
      </w:r>
    </w:p>
    <w:p w:rsidR="00D31124" w:rsidRDefault="00D31124" w:rsidP="00D31124">
      <w:pPr>
        <w:pStyle w:val="TOC2"/>
        <w:tabs>
          <w:tab w:val="clear" w:pos="5103"/>
          <w:tab w:val="left" w:pos="1320"/>
          <w:tab w:val="right" w:pos="7938"/>
        </w:tabs>
        <w:ind w:right="2834"/>
        <w:rPr>
          <w:rFonts w:asciiTheme="minorHAnsi" w:eastAsiaTheme="minorEastAsia" w:hAnsiTheme="minorHAnsi" w:cstheme="minorBidi"/>
          <w:noProof/>
          <w:sz w:val="22"/>
          <w:lang w:eastAsia="en-NZ"/>
        </w:rPr>
      </w:pPr>
      <w:r>
        <w:rPr>
          <w:noProof/>
        </w:rPr>
        <w:t>2.6</w:t>
      </w:r>
      <w:r w:rsidRPr="00D31124">
        <w:rPr>
          <w:noProof/>
        </w:rPr>
        <w:tab/>
      </w:r>
      <w:r>
        <w:rPr>
          <w:noProof/>
        </w:rPr>
        <w:t>Limitations</w:t>
      </w:r>
      <w:r>
        <w:rPr>
          <w:noProof/>
        </w:rPr>
        <w:tab/>
      </w:r>
      <w:r>
        <w:rPr>
          <w:noProof/>
        </w:rPr>
        <w:fldChar w:fldCharType="begin"/>
      </w:r>
      <w:r>
        <w:rPr>
          <w:noProof/>
        </w:rPr>
        <w:instrText xml:space="preserve"> PAGEREF _Toc412540024 \h </w:instrText>
      </w:r>
      <w:r>
        <w:rPr>
          <w:noProof/>
        </w:rPr>
      </w:r>
      <w:r>
        <w:rPr>
          <w:noProof/>
        </w:rPr>
        <w:fldChar w:fldCharType="separate"/>
      </w:r>
      <w:r w:rsidR="00957CD0">
        <w:rPr>
          <w:noProof/>
        </w:rPr>
        <w:t>36</w:t>
      </w:r>
      <w:r>
        <w:rPr>
          <w:noProof/>
        </w:rPr>
        <w:fldChar w:fldCharType="end"/>
      </w:r>
    </w:p>
    <w:p w:rsidR="00D31124" w:rsidRDefault="00D31124" w:rsidP="00E76A5A">
      <w:pPr>
        <w:pStyle w:val="TOC1"/>
        <w:tabs>
          <w:tab w:val="clear" w:pos="5103"/>
          <w:tab w:val="left" w:pos="709"/>
          <w:tab w:val="right" w:pos="7938"/>
        </w:tabs>
        <w:ind w:right="2834"/>
        <w:rPr>
          <w:rFonts w:asciiTheme="minorHAnsi" w:eastAsiaTheme="minorEastAsia" w:hAnsiTheme="minorHAnsi" w:cstheme="minorBidi"/>
          <w:noProof/>
          <w:lang w:eastAsia="en-NZ"/>
        </w:rPr>
      </w:pPr>
      <w:r>
        <w:rPr>
          <w:noProof/>
        </w:rPr>
        <w:t>3.</w:t>
      </w:r>
      <w:r>
        <w:rPr>
          <w:rFonts w:asciiTheme="minorHAnsi" w:eastAsiaTheme="minorEastAsia" w:hAnsiTheme="minorHAnsi" w:cstheme="minorBidi"/>
          <w:noProof/>
          <w:lang w:eastAsia="en-NZ"/>
        </w:rPr>
        <w:tab/>
      </w:r>
      <w:r>
        <w:rPr>
          <w:noProof/>
        </w:rPr>
        <w:t>Evaluation findings</w:t>
      </w:r>
      <w:r>
        <w:rPr>
          <w:noProof/>
        </w:rPr>
        <w:tab/>
      </w:r>
      <w:r>
        <w:rPr>
          <w:noProof/>
        </w:rPr>
        <w:fldChar w:fldCharType="begin"/>
      </w:r>
      <w:r>
        <w:rPr>
          <w:noProof/>
        </w:rPr>
        <w:instrText xml:space="preserve"> PAGEREF _Toc412540025 \h </w:instrText>
      </w:r>
      <w:r>
        <w:rPr>
          <w:noProof/>
        </w:rPr>
      </w:r>
      <w:r>
        <w:rPr>
          <w:noProof/>
        </w:rPr>
        <w:fldChar w:fldCharType="separate"/>
      </w:r>
      <w:r w:rsidR="00957CD0">
        <w:rPr>
          <w:noProof/>
        </w:rPr>
        <w:t>39</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3.1</w:t>
      </w:r>
      <w:r>
        <w:rPr>
          <w:rFonts w:asciiTheme="minorHAnsi" w:eastAsiaTheme="minorEastAsia" w:hAnsiTheme="minorHAnsi" w:cstheme="minorBidi"/>
          <w:noProof/>
          <w:sz w:val="22"/>
          <w:lang w:eastAsia="en-NZ"/>
        </w:rPr>
        <w:tab/>
      </w:r>
      <w:r>
        <w:rPr>
          <w:noProof/>
        </w:rPr>
        <w:t>Participation and outcomes</w:t>
      </w:r>
      <w:r>
        <w:rPr>
          <w:noProof/>
        </w:rPr>
        <w:tab/>
      </w:r>
      <w:r>
        <w:rPr>
          <w:noProof/>
        </w:rPr>
        <w:fldChar w:fldCharType="begin"/>
      </w:r>
      <w:r>
        <w:rPr>
          <w:noProof/>
        </w:rPr>
        <w:instrText xml:space="preserve"> PAGEREF _Toc412540026 \h </w:instrText>
      </w:r>
      <w:r>
        <w:rPr>
          <w:noProof/>
        </w:rPr>
      </w:r>
      <w:r>
        <w:rPr>
          <w:noProof/>
        </w:rPr>
        <w:fldChar w:fldCharType="separate"/>
      </w:r>
      <w:r w:rsidR="00957CD0">
        <w:rPr>
          <w:noProof/>
        </w:rPr>
        <w:t>39</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3.2</w:t>
      </w:r>
      <w:r w:rsidRPr="00D31124">
        <w:rPr>
          <w:noProof/>
        </w:rPr>
        <w:tab/>
      </w:r>
      <w:r>
        <w:rPr>
          <w:noProof/>
        </w:rPr>
        <w:t>Programme design</w:t>
      </w:r>
      <w:r>
        <w:rPr>
          <w:noProof/>
        </w:rPr>
        <w:tab/>
      </w:r>
      <w:r>
        <w:rPr>
          <w:noProof/>
        </w:rPr>
        <w:fldChar w:fldCharType="begin"/>
      </w:r>
      <w:r>
        <w:rPr>
          <w:noProof/>
        </w:rPr>
        <w:instrText xml:space="preserve"> PAGEREF _Toc412540037 \h </w:instrText>
      </w:r>
      <w:r>
        <w:rPr>
          <w:noProof/>
        </w:rPr>
      </w:r>
      <w:r>
        <w:rPr>
          <w:noProof/>
        </w:rPr>
        <w:fldChar w:fldCharType="separate"/>
      </w:r>
      <w:r w:rsidR="00957CD0">
        <w:rPr>
          <w:noProof/>
        </w:rPr>
        <w:t>59</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3.3</w:t>
      </w:r>
      <w:r w:rsidRPr="00D31124">
        <w:rPr>
          <w:noProof/>
        </w:rPr>
        <w:tab/>
      </w:r>
      <w:r>
        <w:rPr>
          <w:noProof/>
        </w:rPr>
        <w:t>Acceptability to the target population</w:t>
      </w:r>
      <w:r>
        <w:rPr>
          <w:noProof/>
        </w:rPr>
        <w:tab/>
      </w:r>
      <w:r>
        <w:rPr>
          <w:noProof/>
        </w:rPr>
        <w:fldChar w:fldCharType="begin"/>
      </w:r>
      <w:r>
        <w:rPr>
          <w:noProof/>
        </w:rPr>
        <w:instrText xml:space="preserve"> PAGEREF _Toc412540038 \h </w:instrText>
      </w:r>
      <w:r>
        <w:rPr>
          <w:noProof/>
        </w:rPr>
      </w:r>
      <w:r>
        <w:rPr>
          <w:noProof/>
        </w:rPr>
        <w:fldChar w:fldCharType="separate"/>
      </w:r>
      <w:r w:rsidR="00957CD0">
        <w:rPr>
          <w:noProof/>
        </w:rPr>
        <w:t>63</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3.4</w:t>
      </w:r>
      <w:r w:rsidRPr="00D31124">
        <w:rPr>
          <w:noProof/>
        </w:rPr>
        <w:tab/>
      </w:r>
      <w:r>
        <w:rPr>
          <w:noProof/>
        </w:rPr>
        <w:t>Fair access for all New Zealanders</w:t>
      </w:r>
      <w:r>
        <w:rPr>
          <w:noProof/>
        </w:rPr>
        <w:tab/>
      </w:r>
      <w:r>
        <w:rPr>
          <w:noProof/>
        </w:rPr>
        <w:fldChar w:fldCharType="begin"/>
      </w:r>
      <w:r>
        <w:rPr>
          <w:noProof/>
        </w:rPr>
        <w:instrText xml:space="preserve"> PAGEREF _Toc412540039 \h </w:instrText>
      </w:r>
      <w:r>
        <w:rPr>
          <w:noProof/>
        </w:rPr>
      </w:r>
      <w:r>
        <w:rPr>
          <w:noProof/>
        </w:rPr>
        <w:fldChar w:fldCharType="separate"/>
      </w:r>
      <w:r w:rsidR="00957CD0">
        <w:rPr>
          <w:noProof/>
        </w:rPr>
        <w:t>73</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3.5</w:t>
      </w:r>
      <w:r w:rsidRPr="00D31124">
        <w:rPr>
          <w:noProof/>
        </w:rPr>
        <w:tab/>
      </w:r>
      <w:r>
        <w:rPr>
          <w:noProof/>
        </w:rPr>
        <w:t>Acceptability to providers</w:t>
      </w:r>
      <w:r>
        <w:rPr>
          <w:noProof/>
        </w:rPr>
        <w:tab/>
      </w:r>
      <w:r>
        <w:rPr>
          <w:noProof/>
        </w:rPr>
        <w:fldChar w:fldCharType="begin"/>
      </w:r>
      <w:r>
        <w:rPr>
          <w:noProof/>
        </w:rPr>
        <w:instrText xml:space="preserve"> PAGEREF _Toc412540040 \h </w:instrText>
      </w:r>
      <w:r>
        <w:rPr>
          <w:noProof/>
        </w:rPr>
      </w:r>
      <w:r>
        <w:rPr>
          <w:noProof/>
        </w:rPr>
        <w:fldChar w:fldCharType="separate"/>
      </w:r>
      <w:r w:rsidR="00957CD0">
        <w:rPr>
          <w:noProof/>
        </w:rPr>
        <w:t>80</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3.6</w:t>
      </w:r>
      <w:r w:rsidRPr="00D31124">
        <w:rPr>
          <w:noProof/>
        </w:rPr>
        <w:tab/>
      </w:r>
      <w:r>
        <w:rPr>
          <w:noProof/>
        </w:rPr>
        <w:t>Service delivery and workforce capacity</w:t>
      </w:r>
      <w:r>
        <w:rPr>
          <w:noProof/>
        </w:rPr>
        <w:tab/>
      </w:r>
      <w:r>
        <w:rPr>
          <w:noProof/>
        </w:rPr>
        <w:fldChar w:fldCharType="begin"/>
      </w:r>
      <w:r>
        <w:rPr>
          <w:noProof/>
        </w:rPr>
        <w:instrText xml:space="preserve"> PAGEREF _Toc412540041 \h </w:instrText>
      </w:r>
      <w:r>
        <w:rPr>
          <w:noProof/>
        </w:rPr>
      </w:r>
      <w:r>
        <w:rPr>
          <w:noProof/>
        </w:rPr>
        <w:fldChar w:fldCharType="separate"/>
      </w:r>
      <w:r w:rsidR="00957CD0">
        <w:rPr>
          <w:noProof/>
        </w:rPr>
        <w:t>83</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3.7</w:t>
      </w:r>
      <w:r w:rsidRPr="00D31124">
        <w:rPr>
          <w:noProof/>
        </w:rPr>
        <w:tab/>
      </w:r>
      <w:r>
        <w:rPr>
          <w:noProof/>
        </w:rPr>
        <w:t>Quality monitoring</w:t>
      </w:r>
      <w:r>
        <w:rPr>
          <w:noProof/>
        </w:rPr>
        <w:tab/>
      </w:r>
      <w:r>
        <w:rPr>
          <w:noProof/>
        </w:rPr>
        <w:fldChar w:fldCharType="begin"/>
      </w:r>
      <w:r>
        <w:rPr>
          <w:noProof/>
        </w:rPr>
        <w:instrText xml:space="preserve"> PAGEREF _Toc412540042 \h </w:instrText>
      </w:r>
      <w:r>
        <w:rPr>
          <w:noProof/>
        </w:rPr>
      </w:r>
      <w:r>
        <w:rPr>
          <w:noProof/>
        </w:rPr>
        <w:fldChar w:fldCharType="separate"/>
      </w:r>
      <w:r w:rsidR="00957CD0">
        <w:rPr>
          <w:noProof/>
        </w:rPr>
        <w:t>100</w:t>
      </w:r>
      <w:r>
        <w:rPr>
          <w:noProof/>
        </w:rPr>
        <w:fldChar w:fldCharType="end"/>
      </w:r>
    </w:p>
    <w:p w:rsidR="00D31124" w:rsidRDefault="00D31124" w:rsidP="00D31124">
      <w:pPr>
        <w:pStyle w:val="TOC2"/>
        <w:tabs>
          <w:tab w:val="clear" w:pos="5103"/>
          <w:tab w:val="left" w:pos="1320"/>
          <w:tab w:val="right" w:pos="7938"/>
        </w:tabs>
        <w:ind w:right="2834"/>
        <w:rPr>
          <w:rFonts w:asciiTheme="minorHAnsi" w:eastAsiaTheme="minorEastAsia" w:hAnsiTheme="minorHAnsi" w:cstheme="minorBidi"/>
          <w:noProof/>
          <w:sz w:val="22"/>
          <w:lang w:eastAsia="en-NZ"/>
        </w:rPr>
      </w:pPr>
      <w:r>
        <w:rPr>
          <w:noProof/>
        </w:rPr>
        <w:t>3.8</w:t>
      </w:r>
      <w:r w:rsidRPr="00D31124">
        <w:rPr>
          <w:noProof/>
        </w:rPr>
        <w:tab/>
      </w:r>
      <w:r>
        <w:rPr>
          <w:noProof/>
        </w:rPr>
        <w:t>Costing analysis</w:t>
      </w:r>
      <w:r>
        <w:rPr>
          <w:noProof/>
        </w:rPr>
        <w:tab/>
      </w:r>
      <w:r>
        <w:rPr>
          <w:noProof/>
        </w:rPr>
        <w:fldChar w:fldCharType="begin"/>
      </w:r>
      <w:r>
        <w:rPr>
          <w:noProof/>
        </w:rPr>
        <w:instrText xml:space="preserve"> PAGEREF _Toc412540043 \h </w:instrText>
      </w:r>
      <w:r>
        <w:rPr>
          <w:noProof/>
        </w:rPr>
      </w:r>
      <w:r>
        <w:rPr>
          <w:noProof/>
        </w:rPr>
        <w:fldChar w:fldCharType="separate"/>
      </w:r>
      <w:r w:rsidR="00957CD0">
        <w:rPr>
          <w:noProof/>
        </w:rPr>
        <w:t>108</w:t>
      </w:r>
      <w:r>
        <w:rPr>
          <w:noProof/>
        </w:rPr>
        <w:fldChar w:fldCharType="end"/>
      </w:r>
    </w:p>
    <w:p w:rsidR="00D31124" w:rsidRPr="00D31124" w:rsidRDefault="00D31124" w:rsidP="00D31124">
      <w:pPr>
        <w:pStyle w:val="TOC1"/>
        <w:tabs>
          <w:tab w:val="clear" w:pos="5103"/>
          <w:tab w:val="left" w:pos="709"/>
          <w:tab w:val="right" w:pos="7938"/>
        </w:tabs>
        <w:ind w:right="2834"/>
        <w:rPr>
          <w:noProof/>
        </w:rPr>
      </w:pPr>
      <w:r>
        <w:rPr>
          <w:noProof/>
        </w:rPr>
        <w:t>4.</w:t>
      </w:r>
      <w:r>
        <w:rPr>
          <w:rFonts w:asciiTheme="minorHAnsi" w:eastAsiaTheme="minorEastAsia" w:hAnsiTheme="minorHAnsi" w:cstheme="minorBidi"/>
          <w:noProof/>
          <w:lang w:eastAsia="en-NZ"/>
        </w:rPr>
        <w:tab/>
      </w:r>
      <w:r>
        <w:rPr>
          <w:noProof/>
        </w:rPr>
        <w:t>References</w:t>
      </w:r>
      <w:r>
        <w:rPr>
          <w:noProof/>
        </w:rPr>
        <w:tab/>
      </w:r>
      <w:r>
        <w:rPr>
          <w:noProof/>
        </w:rPr>
        <w:fldChar w:fldCharType="begin"/>
      </w:r>
      <w:r>
        <w:rPr>
          <w:noProof/>
        </w:rPr>
        <w:instrText xml:space="preserve"> PAGEREF _Toc412540044 \h </w:instrText>
      </w:r>
      <w:r>
        <w:rPr>
          <w:noProof/>
        </w:rPr>
      </w:r>
      <w:r>
        <w:rPr>
          <w:noProof/>
        </w:rPr>
        <w:fldChar w:fldCharType="separate"/>
      </w:r>
      <w:r w:rsidR="00957CD0">
        <w:rPr>
          <w:noProof/>
        </w:rPr>
        <w:t>127</w:t>
      </w:r>
      <w:r>
        <w:rPr>
          <w:noProof/>
        </w:rPr>
        <w:fldChar w:fldCharType="end"/>
      </w:r>
    </w:p>
    <w:p w:rsidR="00D31124" w:rsidRPr="00D31124" w:rsidRDefault="00D31124" w:rsidP="00D31124">
      <w:pPr>
        <w:pStyle w:val="TOC1"/>
        <w:tabs>
          <w:tab w:val="clear" w:pos="5103"/>
          <w:tab w:val="left" w:pos="709"/>
          <w:tab w:val="right" w:pos="7938"/>
        </w:tabs>
        <w:ind w:right="2834"/>
        <w:rPr>
          <w:noProof/>
        </w:rPr>
      </w:pPr>
      <w:r>
        <w:rPr>
          <w:noProof/>
        </w:rPr>
        <w:t>5.</w:t>
      </w:r>
      <w:r w:rsidRPr="00D31124">
        <w:rPr>
          <w:noProof/>
        </w:rPr>
        <w:tab/>
      </w:r>
      <w:r>
        <w:rPr>
          <w:noProof/>
        </w:rPr>
        <w:t>Glossary</w:t>
      </w:r>
      <w:r>
        <w:rPr>
          <w:noProof/>
        </w:rPr>
        <w:tab/>
      </w:r>
      <w:r>
        <w:rPr>
          <w:noProof/>
        </w:rPr>
        <w:fldChar w:fldCharType="begin"/>
      </w:r>
      <w:r>
        <w:rPr>
          <w:noProof/>
        </w:rPr>
        <w:instrText xml:space="preserve"> PAGEREF _Toc412540045 \h </w:instrText>
      </w:r>
      <w:r>
        <w:rPr>
          <w:noProof/>
        </w:rPr>
      </w:r>
      <w:r>
        <w:rPr>
          <w:noProof/>
        </w:rPr>
        <w:fldChar w:fldCharType="separate"/>
      </w:r>
      <w:r w:rsidR="00957CD0">
        <w:rPr>
          <w:noProof/>
        </w:rPr>
        <w:t>133</w:t>
      </w:r>
      <w:r>
        <w:rPr>
          <w:noProof/>
        </w:rPr>
        <w:fldChar w:fldCharType="end"/>
      </w:r>
    </w:p>
    <w:p w:rsidR="00D31124" w:rsidRDefault="00D31124" w:rsidP="00D31124">
      <w:pPr>
        <w:pStyle w:val="TOC1"/>
        <w:tabs>
          <w:tab w:val="clear" w:pos="5103"/>
          <w:tab w:val="left" w:pos="709"/>
          <w:tab w:val="right" w:pos="7938"/>
        </w:tabs>
        <w:ind w:right="2834"/>
        <w:rPr>
          <w:rFonts w:asciiTheme="minorHAnsi" w:eastAsiaTheme="minorEastAsia" w:hAnsiTheme="minorHAnsi" w:cstheme="minorBidi"/>
          <w:noProof/>
          <w:lang w:eastAsia="en-NZ"/>
        </w:rPr>
      </w:pPr>
      <w:r>
        <w:rPr>
          <w:noProof/>
        </w:rPr>
        <w:t>Appendices</w:t>
      </w:r>
      <w:r>
        <w:rPr>
          <w:noProof/>
        </w:rPr>
        <w:tab/>
      </w:r>
      <w:r>
        <w:rPr>
          <w:noProof/>
        </w:rPr>
        <w:fldChar w:fldCharType="begin"/>
      </w:r>
      <w:r>
        <w:rPr>
          <w:noProof/>
        </w:rPr>
        <w:instrText xml:space="preserve"> PAGEREF _Toc412540046 \h </w:instrText>
      </w:r>
      <w:r>
        <w:rPr>
          <w:noProof/>
        </w:rPr>
      </w:r>
      <w:r>
        <w:rPr>
          <w:noProof/>
        </w:rPr>
        <w:fldChar w:fldCharType="separate"/>
      </w:r>
      <w:r w:rsidR="00957CD0">
        <w:rPr>
          <w:noProof/>
        </w:rPr>
        <w:t>135</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sidRPr="00D14F54">
        <w:rPr>
          <w:rFonts w:eastAsiaTheme="majorEastAsia"/>
          <w:noProof/>
          <w:lang w:val="en-US" w:eastAsia="ja-JP"/>
        </w:rPr>
        <w:t>Appen</w:t>
      </w:r>
      <w:r w:rsidRPr="00D31124">
        <w:rPr>
          <w:noProof/>
        </w:rPr>
        <w:t>dix 1:  Epidemiology Report (Read et al. 2014)</w:t>
      </w:r>
      <w:r>
        <w:rPr>
          <w:noProof/>
        </w:rPr>
        <w:tab/>
      </w:r>
      <w:r>
        <w:rPr>
          <w:noProof/>
        </w:rPr>
        <w:fldChar w:fldCharType="begin"/>
      </w:r>
      <w:r>
        <w:rPr>
          <w:noProof/>
        </w:rPr>
        <w:instrText xml:space="preserve"> PAGEREF _Toc412540047 \h </w:instrText>
      </w:r>
      <w:r>
        <w:rPr>
          <w:noProof/>
        </w:rPr>
      </w:r>
      <w:r>
        <w:rPr>
          <w:noProof/>
        </w:rPr>
        <w:fldChar w:fldCharType="separate"/>
      </w:r>
      <w:r w:rsidR="00957CD0">
        <w:rPr>
          <w:noProof/>
        </w:rPr>
        <w:t>135</w:t>
      </w:r>
      <w:r>
        <w:rPr>
          <w:noProof/>
        </w:rPr>
        <w:fldChar w:fldCharType="end"/>
      </w:r>
    </w:p>
    <w:p w:rsidR="00D31124" w:rsidRPr="00D31124" w:rsidRDefault="00D31124" w:rsidP="00D31124">
      <w:pPr>
        <w:pStyle w:val="TOC2"/>
        <w:tabs>
          <w:tab w:val="clear" w:pos="5103"/>
          <w:tab w:val="left" w:pos="1320"/>
          <w:tab w:val="right" w:pos="7938"/>
        </w:tabs>
        <w:ind w:right="2267"/>
        <w:rPr>
          <w:noProof/>
        </w:rPr>
      </w:pPr>
      <w:r w:rsidRPr="00D31124">
        <w:rPr>
          <w:noProof/>
        </w:rPr>
        <w:t>Appendix 2:  Interim costing analysis (Sapere Research Group, 2014)</w:t>
      </w:r>
      <w:r>
        <w:rPr>
          <w:noProof/>
        </w:rPr>
        <w:tab/>
      </w:r>
      <w:r>
        <w:rPr>
          <w:noProof/>
        </w:rPr>
        <w:fldChar w:fldCharType="begin"/>
      </w:r>
      <w:r>
        <w:rPr>
          <w:noProof/>
        </w:rPr>
        <w:instrText xml:space="preserve"> PAGEREF _Toc412540048 \h </w:instrText>
      </w:r>
      <w:r>
        <w:rPr>
          <w:noProof/>
        </w:rPr>
      </w:r>
      <w:r>
        <w:rPr>
          <w:noProof/>
        </w:rPr>
        <w:fldChar w:fldCharType="separate"/>
      </w:r>
      <w:r w:rsidR="00957CD0">
        <w:rPr>
          <w:noProof/>
        </w:rPr>
        <w:t>136</w:t>
      </w:r>
      <w:r>
        <w:rPr>
          <w:noProof/>
        </w:rPr>
        <w:fldChar w:fldCharType="end"/>
      </w:r>
    </w:p>
    <w:p w:rsidR="00D31124" w:rsidRPr="00D31124" w:rsidRDefault="00D31124" w:rsidP="00D31124">
      <w:pPr>
        <w:pStyle w:val="TOC2"/>
        <w:tabs>
          <w:tab w:val="clear" w:pos="5103"/>
          <w:tab w:val="left" w:pos="1320"/>
          <w:tab w:val="right" w:pos="7938"/>
        </w:tabs>
        <w:ind w:right="2267"/>
        <w:rPr>
          <w:noProof/>
        </w:rPr>
      </w:pPr>
      <w:r>
        <w:rPr>
          <w:noProof/>
        </w:rPr>
        <w:t>Appendix 3:  Overview of M</w:t>
      </w:r>
      <w:r w:rsidRPr="00D31124">
        <w:rPr>
          <w:noProof/>
        </w:rPr>
        <w:t>ā</w:t>
      </w:r>
      <w:r>
        <w:rPr>
          <w:noProof/>
        </w:rPr>
        <w:t>ori and Pacific respondent survey results</w:t>
      </w:r>
      <w:r>
        <w:rPr>
          <w:noProof/>
        </w:rPr>
        <w:tab/>
      </w:r>
      <w:r>
        <w:rPr>
          <w:noProof/>
        </w:rPr>
        <w:fldChar w:fldCharType="begin"/>
      </w:r>
      <w:r>
        <w:rPr>
          <w:noProof/>
        </w:rPr>
        <w:instrText xml:space="preserve"> PAGEREF _Toc412540049 \h </w:instrText>
      </w:r>
      <w:r>
        <w:rPr>
          <w:noProof/>
        </w:rPr>
      </w:r>
      <w:r>
        <w:rPr>
          <w:noProof/>
        </w:rPr>
        <w:fldChar w:fldCharType="separate"/>
      </w:r>
      <w:r w:rsidR="00957CD0">
        <w:rPr>
          <w:noProof/>
        </w:rPr>
        <w:t>137</w:t>
      </w:r>
      <w:r>
        <w:rPr>
          <w:noProof/>
        </w:rPr>
        <w:fldChar w:fldCharType="end"/>
      </w:r>
    </w:p>
    <w:p w:rsidR="00D31124" w:rsidRPr="00D31124" w:rsidRDefault="00D31124" w:rsidP="00D31124">
      <w:pPr>
        <w:pStyle w:val="TOC2"/>
        <w:tabs>
          <w:tab w:val="clear" w:pos="5103"/>
          <w:tab w:val="left" w:pos="1320"/>
          <w:tab w:val="right" w:pos="7938"/>
        </w:tabs>
        <w:ind w:right="2834"/>
        <w:rPr>
          <w:noProof/>
        </w:rPr>
      </w:pPr>
      <w:r>
        <w:rPr>
          <w:noProof/>
        </w:rPr>
        <w:t>Appendix 4:  BSP monitoring indicators</w:t>
      </w:r>
      <w:r>
        <w:rPr>
          <w:noProof/>
        </w:rPr>
        <w:tab/>
      </w:r>
      <w:r>
        <w:rPr>
          <w:noProof/>
        </w:rPr>
        <w:fldChar w:fldCharType="begin"/>
      </w:r>
      <w:r>
        <w:rPr>
          <w:noProof/>
        </w:rPr>
        <w:instrText xml:space="preserve"> PAGEREF _Toc412540050 \h </w:instrText>
      </w:r>
      <w:r>
        <w:rPr>
          <w:noProof/>
        </w:rPr>
      </w:r>
      <w:r>
        <w:rPr>
          <w:noProof/>
        </w:rPr>
        <w:fldChar w:fldCharType="separate"/>
      </w:r>
      <w:r w:rsidR="00957CD0">
        <w:rPr>
          <w:noProof/>
        </w:rPr>
        <w:t>141</w:t>
      </w:r>
      <w:r>
        <w:rPr>
          <w:noProof/>
        </w:rPr>
        <w:fldChar w:fldCharType="end"/>
      </w:r>
    </w:p>
    <w:p w:rsidR="00D31124" w:rsidRDefault="00D31124" w:rsidP="00D31124">
      <w:pPr>
        <w:pStyle w:val="TOC2"/>
        <w:tabs>
          <w:tab w:val="clear" w:pos="5103"/>
          <w:tab w:val="left" w:pos="1320"/>
          <w:tab w:val="right" w:pos="7938"/>
        </w:tabs>
        <w:ind w:right="2834"/>
        <w:rPr>
          <w:rFonts w:asciiTheme="minorHAnsi" w:eastAsiaTheme="minorEastAsia" w:hAnsiTheme="minorHAnsi" w:cstheme="minorBidi"/>
          <w:noProof/>
          <w:sz w:val="22"/>
          <w:lang w:eastAsia="en-NZ"/>
        </w:rPr>
      </w:pPr>
      <w:r>
        <w:rPr>
          <w:noProof/>
        </w:rPr>
        <w:t>Appendix 5: Adherence to BSP quality standards</w:t>
      </w:r>
      <w:r>
        <w:rPr>
          <w:noProof/>
        </w:rPr>
        <w:tab/>
      </w:r>
      <w:r>
        <w:rPr>
          <w:noProof/>
        </w:rPr>
        <w:fldChar w:fldCharType="begin"/>
      </w:r>
      <w:r>
        <w:rPr>
          <w:noProof/>
        </w:rPr>
        <w:instrText xml:space="preserve"> PAGEREF _Toc412540051 \h </w:instrText>
      </w:r>
      <w:r>
        <w:rPr>
          <w:noProof/>
        </w:rPr>
      </w:r>
      <w:r>
        <w:rPr>
          <w:noProof/>
        </w:rPr>
        <w:fldChar w:fldCharType="separate"/>
      </w:r>
      <w:r w:rsidR="00957CD0">
        <w:rPr>
          <w:noProof/>
        </w:rPr>
        <w:t>143</w:t>
      </w:r>
      <w:r>
        <w:rPr>
          <w:noProof/>
        </w:rPr>
        <w:fldChar w:fldCharType="end"/>
      </w:r>
    </w:p>
    <w:p w:rsidR="005C7F8C" w:rsidRDefault="00EC3C68" w:rsidP="00115B24">
      <w:pPr>
        <w:pStyle w:val="TOC1"/>
        <w:tabs>
          <w:tab w:val="clear" w:pos="5103"/>
          <w:tab w:val="left" w:pos="0"/>
          <w:tab w:val="left" w:pos="709"/>
          <w:tab w:val="left" w:pos="7938"/>
          <w:tab w:val="right" w:pos="8222"/>
        </w:tabs>
        <w:ind w:right="2834"/>
        <w:rPr>
          <w:sz w:val="20"/>
        </w:rPr>
      </w:pPr>
      <w:r>
        <w:rPr>
          <w:sz w:val="20"/>
        </w:rPr>
        <w:fldChar w:fldCharType="end"/>
      </w:r>
    </w:p>
    <w:p w:rsidR="005C7F8C" w:rsidRDefault="005C7F8C">
      <w:pPr>
        <w:spacing w:before="0"/>
        <w:ind w:left="0"/>
        <w:rPr>
          <w:sz w:val="20"/>
        </w:rPr>
      </w:pPr>
      <w:r>
        <w:rPr>
          <w:sz w:val="20"/>
        </w:rPr>
        <w:br w:type="page"/>
      </w:r>
    </w:p>
    <w:p w:rsidR="006E1D30" w:rsidRPr="00D117C6" w:rsidRDefault="006E1D30" w:rsidP="00D117C6">
      <w:pPr>
        <w:pStyle w:val="TOC1"/>
        <w:tabs>
          <w:tab w:val="clear" w:pos="5103"/>
          <w:tab w:val="left" w:pos="709"/>
          <w:tab w:val="right" w:pos="8222"/>
        </w:tabs>
        <w:ind w:right="2834"/>
        <w:rPr>
          <w:b/>
          <w:noProof/>
        </w:rPr>
      </w:pPr>
      <w:r w:rsidRPr="00D117C6">
        <w:rPr>
          <w:b/>
          <w:noProof/>
        </w:rPr>
        <w:lastRenderedPageBreak/>
        <w:t>List of Figures</w:t>
      </w:r>
    </w:p>
    <w:p w:rsidR="00D31124" w:rsidRPr="00D31124" w:rsidRDefault="002A084C" w:rsidP="00D31124">
      <w:pPr>
        <w:pStyle w:val="TOC1"/>
        <w:tabs>
          <w:tab w:val="clear" w:pos="5103"/>
          <w:tab w:val="right" w:pos="7938"/>
        </w:tabs>
        <w:spacing w:before="120"/>
        <w:ind w:right="2835"/>
        <w:rPr>
          <w:rStyle w:val="Hyperlink"/>
          <w:noProof/>
        </w:rPr>
      </w:pPr>
      <w:r w:rsidRPr="00821206">
        <w:rPr>
          <w:rStyle w:val="Hyperlink"/>
          <w:noProof/>
        </w:rPr>
        <w:fldChar w:fldCharType="begin"/>
      </w:r>
      <w:r w:rsidRPr="00821206">
        <w:rPr>
          <w:rStyle w:val="Hyperlink"/>
          <w:noProof/>
        </w:rPr>
        <w:instrText xml:space="preserve"> TOC \h \z \t "Figure,1" </w:instrText>
      </w:r>
      <w:r w:rsidRPr="00821206">
        <w:rPr>
          <w:rStyle w:val="Hyperlink"/>
          <w:noProof/>
        </w:rPr>
        <w:fldChar w:fldCharType="separate"/>
      </w:r>
      <w:hyperlink w:anchor="_Toc412540128" w:history="1">
        <w:r w:rsidR="00D31124" w:rsidRPr="00784E3C">
          <w:rPr>
            <w:rStyle w:val="Hyperlink"/>
            <w:noProof/>
          </w:rPr>
          <w:t>Figure 1: Summary of BSP outcomes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_Toc412540128 \h </w:instrText>
        </w:r>
        <w:r w:rsidR="00D31124" w:rsidRPr="00D31124">
          <w:rPr>
            <w:rStyle w:val="Hyperlink"/>
            <w:noProof/>
            <w:webHidden/>
          </w:rPr>
        </w:r>
        <w:r w:rsidR="00D31124" w:rsidRPr="00D31124">
          <w:rPr>
            <w:rStyle w:val="Hyperlink"/>
            <w:noProof/>
            <w:webHidden/>
          </w:rPr>
          <w:fldChar w:fldCharType="separate"/>
        </w:r>
        <w:r w:rsidR="00957CD0">
          <w:rPr>
            <w:rStyle w:val="Hyperlink"/>
            <w:noProof/>
            <w:webHidden/>
          </w:rPr>
          <w:t>10</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29" w:history="1">
        <w:r w:rsidR="00D31124" w:rsidRPr="00784E3C">
          <w:rPr>
            <w:rStyle w:val="Hyperlink"/>
            <w:noProof/>
          </w:rPr>
          <w:t>Figure 2: Four high-level stages of the screening pathway</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_Toc412540129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15</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0" w:history="1">
        <w:r w:rsidR="00D31124" w:rsidRPr="00784E3C">
          <w:rPr>
            <w:rStyle w:val="Hyperlink"/>
            <w:noProof/>
          </w:rPr>
          <w:t>Figure 3: Overview of screening pathway (WDHB 2012c)</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_Toc412540130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29</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1" w:history="1">
        <w:r w:rsidR="00D31124" w:rsidRPr="00784E3C">
          <w:rPr>
            <w:rStyle w:val="Hyperlink"/>
            <w:noProof/>
          </w:rPr>
          <w:t>Figure 4: Female participation by age and ethnicity</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_Toc412540131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42</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2" w:history="1">
        <w:r w:rsidR="00D31124" w:rsidRPr="00784E3C">
          <w:rPr>
            <w:rStyle w:val="Hyperlink"/>
            <w:noProof/>
          </w:rPr>
          <w:t>Figure 5: Male participation by age and ethnicity</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_Toc412540132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43</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3" w:history="1">
        <w:r w:rsidR="00D31124" w:rsidRPr="00784E3C">
          <w:rPr>
            <w:rStyle w:val="Hyperlink"/>
            <w:noProof/>
          </w:rPr>
          <w:t>Figure 6: Participation and iFOBT positivity by ethnicity</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_Toc412540133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46</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4" w:history="1">
        <w:r w:rsidR="00D31124" w:rsidRPr="00784E3C">
          <w:rPr>
            <w:rStyle w:val="Hyperlink"/>
            <w:noProof/>
          </w:rPr>
          <w:t>Figure 7: Participation and iFOBT positivity by deprivation quintiles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_Toc412540134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47</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5" w:history="1">
        <w:r w:rsidR="00D31124" w:rsidRPr="00784E3C">
          <w:rPr>
            <w:rStyle w:val="Hyperlink"/>
            <w:noProof/>
          </w:rPr>
          <w:t>Figure 8: Participation, iFOBT positivity, and combined advanced adenoma and colorectal cancer by age</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_Toc412540135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49</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6" w:history="1">
        <w:r w:rsidR="00D31124" w:rsidRPr="00784E3C">
          <w:rPr>
            <w:rStyle w:val="Hyperlink"/>
            <w:noProof/>
          </w:rPr>
          <w:t>Figure 9: Participation, iFOBT positivity, and neoplasia by sex</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_Toc412540136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49</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7" w:history="1">
        <w:r w:rsidR="00D31124" w:rsidRPr="00784E3C">
          <w:rPr>
            <w:rStyle w:val="Hyperlink"/>
            <w:noProof/>
          </w:rPr>
          <w:t>Figure 10: Participation and neoplasia by ethnicity</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_Toc412540137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50</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8" w:history="1">
        <w:r w:rsidR="00D31124" w:rsidRPr="00784E3C">
          <w:rPr>
            <w:rStyle w:val="Hyperlink"/>
            <w:noProof/>
          </w:rPr>
          <w:t>Figure 11: Combined advanced adenoma and colorectal cancer by ethnicity</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_Toc412540138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51</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39" w:history="1">
        <w:r w:rsidR="00D31124" w:rsidRPr="00784E3C">
          <w:rPr>
            <w:rStyle w:val="Hyperlink"/>
            <w:noProof/>
          </w:rPr>
          <w:t>Figure 12: Combined advanced adenoma and colorectal cancer by deprivation quintiles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_Toc412540139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52</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0" w:history="1">
        <w:r w:rsidR="00D31124" w:rsidRPr="00784E3C">
          <w:rPr>
            <w:rStyle w:val="Hyperlink"/>
            <w:noProof/>
          </w:rPr>
          <w:t>Figure 13: Participation and neoplasia by deprivation quintiles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_Toc412540140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52</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1" w:history="1">
        <w:r w:rsidR="00D31124" w:rsidRPr="00784E3C">
          <w:rPr>
            <w:rStyle w:val="Hyperlink"/>
            <w:noProof/>
          </w:rPr>
          <w:t>Figure 14: Overview of screening pathway (WDHB 2012c)</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_Toc412540141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84</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2" w:history="1">
        <w:r w:rsidR="00D31124" w:rsidRPr="00784E3C">
          <w:rPr>
            <w:rStyle w:val="Hyperlink"/>
            <w:noProof/>
          </w:rPr>
          <w:t>Figure 15: Estimated operating cost of the pilot – four six-month periods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_Toc412540142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110</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3" w:history="1">
        <w:r w:rsidR="00D31124" w:rsidRPr="00784E3C">
          <w:rPr>
            <w:rStyle w:val="Hyperlink"/>
            <w:noProof/>
          </w:rPr>
          <w:t>Figure 16: Estimated cost of Pilot – development phase and Year 1 and Year 2</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_Toc412540143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111</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4" w:history="1">
        <w:r w:rsidR="00D31124" w:rsidRPr="00784E3C">
          <w:rPr>
            <w:rStyle w:val="Hyperlink"/>
            <w:noProof/>
          </w:rPr>
          <w:t>Figure 17: Four high-level stages of the screening pathway and associated overheads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_Toc412540144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112</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5" w:history="1">
        <w:r w:rsidR="00D31124" w:rsidRPr="00784E3C">
          <w:rPr>
            <w:rStyle w:val="Hyperlink"/>
            <w:noProof/>
          </w:rPr>
          <w:t>Figure 18: Stages of the screening pathway – relative costs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_Toc412540145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113</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6" w:history="1">
        <w:r w:rsidR="00D31124" w:rsidRPr="00784E3C">
          <w:rPr>
            <w:rStyle w:val="Hyperlink"/>
            <w:noProof/>
          </w:rPr>
          <w:t>Figure 19: Pilot operating cost – forecasting years 3 and 4</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_Toc412540146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119</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7" w:history="1">
        <w:r w:rsidR="00D31124" w:rsidRPr="00784E3C">
          <w:rPr>
            <w:rStyle w:val="Hyperlink"/>
            <w:noProof/>
          </w:rPr>
          <w:t>Figure 20: Annual operating costs under the national model by region</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_Toc412540147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121</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8" w:history="1">
        <w:r w:rsidR="00D31124" w:rsidRPr="00784E3C">
          <w:rPr>
            <w:rStyle w:val="Hyperlink"/>
            <w:noProof/>
          </w:rPr>
          <w:t>Figure 21: Sensitivity of the annual operating cost (steady state) to changes in the participation rate</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_Toc412540148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123</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49" w:history="1">
        <w:r w:rsidR="00D31124" w:rsidRPr="00784E3C">
          <w:rPr>
            <w:rStyle w:val="Hyperlink"/>
            <w:noProof/>
          </w:rPr>
          <w:t>Figure 22: Sensitivity of the annual operating cost in steady state to changes in the positivity rate</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_Toc412540149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124</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50" w:history="1">
        <w:r w:rsidR="00D31124" w:rsidRPr="00784E3C">
          <w:rPr>
            <w:rStyle w:val="Hyperlink"/>
            <w:noProof/>
          </w:rPr>
          <w:t>Figure A3.1: Agreement on statements about the iFOBT by ethnicity, WDHB, 2013</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_Toc412540150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139</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51" w:history="1">
        <w:r w:rsidR="00D31124" w:rsidRPr="00784E3C">
          <w:rPr>
            <w:rStyle w:val="Hyperlink"/>
            <w:noProof/>
          </w:rPr>
          <w:t>Figure A3.2: Agreement about colonoscopies by ethnicity, WDHB, 2013</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_Toc412540151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140</w:t>
        </w:r>
        <w:r w:rsidR="00D31124" w:rsidRPr="00D31124">
          <w:rPr>
            <w:rStyle w:val="Hyperlink"/>
            <w:noProof/>
            <w:webHidden/>
          </w:rPr>
          <w:fldChar w:fldCharType="end"/>
        </w:r>
      </w:hyperlink>
    </w:p>
    <w:p w:rsidR="005C7F8C" w:rsidRDefault="002A084C" w:rsidP="00821206">
      <w:pPr>
        <w:pStyle w:val="TOC1"/>
        <w:tabs>
          <w:tab w:val="clear" w:pos="5103"/>
          <w:tab w:val="right" w:pos="7938"/>
        </w:tabs>
        <w:spacing w:before="120"/>
        <w:ind w:right="2835"/>
        <w:rPr>
          <w:rStyle w:val="Hyperlink"/>
          <w:noProof/>
        </w:rPr>
      </w:pPr>
      <w:r w:rsidRPr="00821206">
        <w:rPr>
          <w:rStyle w:val="Hyperlink"/>
          <w:noProof/>
        </w:rPr>
        <w:fldChar w:fldCharType="end"/>
      </w:r>
      <w:bookmarkStart w:id="16" w:name="_Toc391031806"/>
    </w:p>
    <w:p w:rsidR="00821206" w:rsidRPr="00821206" w:rsidRDefault="00821206" w:rsidP="00821206">
      <w:pPr>
        <w:rPr>
          <w:rFonts w:eastAsiaTheme="majorEastAsia"/>
        </w:rPr>
      </w:pPr>
    </w:p>
    <w:p w:rsidR="002A084C" w:rsidRPr="00D117C6" w:rsidRDefault="006E1D30" w:rsidP="001B154F">
      <w:pPr>
        <w:pStyle w:val="TOC1"/>
        <w:tabs>
          <w:tab w:val="clear" w:pos="5103"/>
          <w:tab w:val="left" w:pos="709"/>
          <w:tab w:val="right" w:pos="8222"/>
        </w:tabs>
        <w:ind w:right="2834"/>
        <w:rPr>
          <w:b/>
          <w:noProof/>
        </w:rPr>
      </w:pPr>
      <w:r w:rsidRPr="00D117C6">
        <w:rPr>
          <w:b/>
          <w:noProof/>
        </w:rPr>
        <w:lastRenderedPageBreak/>
        <w:t>List of Tables</w:t>
      </w:r>
      <w:bookmarkEnd w:id="16"/>
    </w:p>
    <w:p w:rsidR="00D31124" w:rsidRPr="00D31124" w:rsidRDefault="00381D12" w:rsidP="00D31124">
      <w:pPr>
        <w:pStyle w:val="TOC1"/>
        <w:tabs>
          <w:tab w:val="clear" w:pos="5103"/>
          <w:tab w:val="right" w:pos="7938"/>
        </w:tabs>
        <w:spacing w:before="120"/>
        <w:ind w:right="2835"/>
        <w:rPr>
          <w:rStyle w:val="Hyperlink"/>
          <w:noProof/>
        </w:rPr>
      </w:pPr>
      <w:r w:rsidRPr="00B2670C">
        <w:rPr>
          <w:sz w:val="20"/>
          <w:szCs w:val="20"/>
        </w:rPr>
        <w:fldChar w:fldCharType="begin"/>
      </w:r>
      <w:r w:rsidRPr="00B2670C">
        <w:rPr>
          <w:sz w:val="20"/>
          <w:szCs w:val="20"/>
        </w:rPr>
        <w:instrText xml:space="preserve"> TOC \h \z \t "Table,1" </w:instrText>
      </w:r>
      <w:r w:rsidRPr="00B2670C">
        <w:rPr>
          <w:sz w:val="20"/>
          <w:szCs w:val="20"/>
        </w:rPr>
        <w:fldChar w:fldCharType="separate"/>
      </w:r>
      <w:hyperlink w:anchor="_Toc412540154" w:history="1">
        <w:r w:rsidR="00D31124" w:rsidRPr="00BF1EEB">
          <w:rPr>
            <w:rStyle w:val="Hyperlink"/>
            <w:noProof/>
          </w:rPr>
          <w:t>Table 1: Summary of operating costs for the first screening round</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_Toc412540154 \h </w:instrText>
        </w:r>
        <w:r w:rsidR="00D31124" w:rsidRPr="00D31124">
          <w:rPr>
            <w:rStyle w:val="Hyperlink"/>
            <w:noProof/>
            <w:webHidden/>
          </w:rPr>
        </w:r>
        <w:r w:rsidR="00D31124" w:rsidRPr="00D31124">
          <w:rPr>
            <w:rStyle w:val="Hyperlink"/>
            <w:noProof/>
            <w:webHidden/>
          </w:rPr>
          <w:fldChar w:fldCharType="separate"/>
        </w:r>
        <w:r w:rsidR="00957CD0">
          <w:rPr>
            <w:rStyle w:val="Hyperlink"/>
            <w:noProof/>
            <w:webHidden/>
          </w:rPr>
          <w:t>15</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55" w:history="1">
        <w:r w:rsidR="00D31124" w:rsidRPr="00BF1EEB">
          <w:rPr>
            <w:rStyle w:val="Hyperlink"/>
            <w:noProof/>
          </w:rPr>
          <w:t>Table 2: National model - estimated annual operating cost in steady state, by region</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_Toc412540155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17</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56" w:history="1">
        <w:r w:rsidR="00D31124" w:rsidRPr="00BF1EEB">
          <w:rPr>
            <w:rStyle w:val="Hyperlink"/>
            <w:noProof/>
          </w:rPr>
          <w:t>Table 3: Achieved response rates, Waitemata District Health Board randomly selected main and booster samples, and main and booster recontact sample 2013 compared to 2011 response rates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_Toc412540156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32</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57" w:history="1">
        <w:r w:rsidR="00D31124" w:rsidRPr="00BF1EEB">
          <w:rPr>
            <w:rStyle w:val="Hyperlink"/>
            <w:noProof/>
          </w:rPr>
          <w:t>Table 4: Achieved response rates in 2011</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_Toc412540157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34</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58" w:history="1">
        <w:r w:rsidR="00D31124" w:rsidRPr="00BF1EEB">
          <w:rPr>
            <w:rStyle w:val="Hyperlink"/>
            <w:noProof/>
          </w:rPr>
          <w:t>Table 5: Achieved response rates in 2013</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_Toc412540158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34</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59" w:history="1">
        <w:r w:rsidR="00D31124" w:rsidRPr="00BF1EEB">
          <w:rPr>
            <w:rStyle w:val="Hyperlink"/>
            <w:noProof/>
          </w:rPr>
          <w:t>Table 6: List of data and information used and their quality</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_Toc412540159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37</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0" w:history="1">
        <w:r w:rsidR="00D31124" w:rsidRPr="00BF1EEB">
          <w:rPr>
            <w:rStyle w:val="Hyperlink"/>
            <w:noProof/>
          </w:rPr>
          <w:t>Table 7: Summary of enablers and barriers to participation (from the literature)</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_Toc412540160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70</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1" w:history="1">
        <w:r w:rsidR="00D31124" w:rsidRPr="00BF1EEB">
          <w:rPr>
            <w:rStyle w:val="Hyperlink"/>
            <w:noProof/>
          </w:rPr>
          <w:t>Table 8: FTEs allocated to the BSP in screening round one</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_Toc412540161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86</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2" w:history="1">
        <w:r w:rsidR="00D31124" w:rsidRPr="00BF1EEB">
          <w:rPr>
            <w:rStyle w:val="Hyperlink"/>
            <w:noProof/>
          </w:rPr>
          <w:t>Table 9: Summary of pilot activity data, 2012/13</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_Toc412540162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87</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3" w:history="1">
        <w:r w:rsidR="00D31124" w:rsidRPr="00BF1EEB">
          <w:rPr>
            <w:rStyle w:val="Hyperlink"/>
            <w:noProof/>
          </w:rPr>
          <w:t>Table 10: BSP Histology Samples Indicators for January 2012 – December 2013</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_Toc412540163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94</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4" w:history="1">
        <w:r w:rsidR="00D31124" w:rsidRPr="00BF1EEB">
          <w:rPr>
            <w:rStyle w:val="Hyperlink"/>
            <w:noProof/>
          </w:rPr>
          <w:t>Table 11: Summary of costs for the first screening round</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_Toc412540164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110</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5" w:history="1">
        <w:r w:rsidR="00D31124" w:rsidRPr="00BF1EEB">
          <w:rPr>
            <w:rStyle w:val="Hyperlink"/>
            <w:noProof/>
          </w:rPr>
          <w:t>Table 12: Estimated lifetime cost of treating bowel cancer detected during the first screening round</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_Toc412540165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112</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6" w:history="1">
        <w:r w:rsidR="00D31124" w:rsidRPr="00BF1EEB">
          <w:rPr>
            <w:rStyle w:val="Hyperlink"/>
            <w:noProof/>
          </w:rPr>
          <w:t>Table 13: Unit cost for process outcomes at each stage of the screening pathway</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_Toc412540166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114</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7" w:history="1">
        <w:r w:rsidR="00D31124" w:rsidRPr="00BF1EEB">
          <w:rPr>
            <w:rStyle w:val="Hyperlink"/>
            <w:noProof/>
          </w:rPr>
          <w:t>Table 14: Unit cost of variable cost components, by stage of pathway</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_Toc412540167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115</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8" w:history="1">
        <w:r w:rsidR="00D31124" w:rsidRPr="00BF1EEB">
          <w:rPr>
            <w:rStyle w:val="Hyperlink"/>
            <w:noProof/>
          </w:rPr>
          <w:t>Table 15: Estimated operating cost per cancer detected during first two years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_Toc412540168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116</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69" w:history="1">
        <w:r w:rsidR="00D31124" w:rsidRPr="00BF1EEB">
          <w:rPr>
            <w:rStyle w:val="Hyperlink"/>
            <w:noProof/>
          </w:rPr>
          <w:t>Table 16: Estimated operating cost per lesion detected</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_Toc412540169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116</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70" w:history="1">
        <w:r w:rsidR="00D31124" w:rsidRPr="00BF1EEB">
          <w:rPr>
            <w:rStyle w:val="Hyperlink"/>
            <w:noProof/>
          </w:rPr>
          <w:t>Table 17: Colonoscopy volumes and colonoscopist costs in year 1 and 2</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_Toc412540170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118</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71" w:history="1">
        <w:r w:rsidR="00D31124" w:rsidRPr="00BF1EEB">
          <w:rPr>
            <w:rStyle w:val="Hyperlink"/>
            <w:noProof/>
          </w:rPr>
          <w:t>Table 18: Summary Pilot cost – estimates and forecast</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_Toc412540171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120</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72" w:history="1">
        <w:r w:rsidR="00D31124" w:rsidRPr="00BF1EEB">
          <w:rPr>
            <w:rStyle w:val="Hyperlink"/>
            <w:noProof/>
          </w:rPr>
          <w:t>Table 19: National model - estimated annual operating cost in steady state, by region</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_Toc412540172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121</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73" w:history="1">
        <w:r w:rsidR="00D31124" w:rsidRPr="00BF1EEB">
          <w:rPr>
            <w:rStyle w:val="Hyperlink"/>
            <w:noProof/>
          </w:rPr>
          <w:t>Table 20: National model - estimated annual operating cost in steady state</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_Toc412540173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123</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74" w:history="1">
        <w:r w:rsidR="00D31124" w:rsidRPr="00BF1EEB">
          <w:rPr>
            <w:rStyle w:val="Hyperlink"/>
            <w:noProof/>
          </w:rPr>
          <w:t>Table 21: National model - estimated annual operating cost with combined scenarios</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_Toc412540174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125</w:t>
        </w:r>
        <w:r w:rsidR="00D31124" w:rsidRPr="00D31124">
          <w:rPr>
            <w:rStyle w:val="Hyperlink"/>
            <w:noProof/>
            <w:webHidden/>
          </w:rPr>
          <w:fldChar w:fldCharType="end"/>
        </w:r>
      </w:hyperlink>
    </w:p>
    <w:p w:rsidR="00D31124" w:rsidRPr="00D31124" w:rsidRDefault="00957CD0" w:rsidP="00D31124">
      <w:pPr>
        <w:pStyle w:val="TOC1"/>
        <w:tabs>
          <w:tab w:val="clear" w:pos="5103"/>
          <w:tab w:val="right" w:pos="7938"/>
        </w:tabs>
        <w:spacing w:before="120"/>
        <w:ind w:right="2835"/>
        <w:rPr>
          <w:rStyle w:val="Hyperlink"/>
          <w:noProof/>
        </w:rPr>
      </w:pPr>
      <w:hyperlink w:anchor="_Toc412540175" w:history="1">
        <w:r w:rsidR="00D31124" w:rsidRPr="00BF1EEB">
          <w:rPr>
            <w:rStyle w:val="Hyperlink"/>
            <w:noProof/>
          </w:rPr>
          <w:t>Table A4.1: New Zealand BSP Monitoring Indicators 1 January 2012 to 31 December 2013</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_Toc412540175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141</w:t>
        </w:r>
        <w:r w:rsidR="00D31124" w:rsidRPr="00D31124">
          <w:rPr>
            <w:rStyle w:val="Hyperlink"/>
            <w:noProof/>
            <w:webHidden/>
          </w:rPr>
          <w:fldChar w:fldCharType="end"/>
        </w:r>
      </w:hyperlink>
    </w:p>
    <w:p w:rsidR="00D31124" w:rsidRDefault="00957CD0" w:rsidP="00D31124">
      <w:pPr>
        <w:pStyle w:val="TOC1"/>
        <w:tabs>
          <w:tab w:val="clear" w:pos="5103"/>
          <w:tab w:val="right" w:pos="7938"/>
        </w:tabs>
        <w:spacing w:before="120"/>
        <w:ind w:right="2835"/>
        <w:rPr>
          <w:rFonts w:asciiTheme="minorHAnsi" w:eastAsiaTheme="minorEastAsia" w:hAnsiTheme="minorHAnsi" w:cstheme="minorBidi"/>
          <w:noProof/>
          <w:lang w:eastAsia="en-NZ"/>
        </w:rPr>
      </w:pPr>
      <w:hyperlink w:anchor="_Toc412540176" w:history="1">
        <w:r w:rsidR="00D31124" w:rsidRPr="00BF1EEB">
          <w:rPr>
            <w:rStyle w:val="Hyperlink"/>
            <w:noProof/>
          </w:rPr>
          <w:t>Table A5.1: Adherence to BSP quality standards dated 30 June 2013</w:t>
        </w:r>
        <w:r w:rsidR="00D31124" w:rsidRPr="00D31124">
          <w:rPr>
            <w:rStyle w:val="Hyperlink"/>
            <w:noProof/>
            <w:webHidden/>
          </w:rPr>
          <w:tab/>
        </w:r>
        <w:r w:rsidR="00D31124" w:rsidRPr="00D31124">
          <w:rPr>
            <w:rStyle w:val="Hyperlink"/>
            <w:noProof/>
            <w:webHidden/>
          </w:rPr>
          <w:fldChar w:fldCharType="begin"/>
        </w:r>
        <w:r w:rsidR="00D31124" w:rsidRPr="00D31124">
          <w:rPr>
            <w:rStyle w:val="Hyperlink"/>
            <w:noProof/>
            <w:webHidden/>
          </w:rPr>
          <w:instrText xml:space="preserve"> PAGEREF _Toc412540176 \h </w:instrText>
        </w:r>
        <w:r w:rsidR="00D31124" w:rsidRPr="00D31124">
          <w:rPr>
            <w:rStyle w:val="Hyperlink"/>
            <w:noProof/>
            <w:webHidden/>
          </w:rPr>
        </w:r>
        <w:r w:rsidR="00D31124" w:rsidRPr="00D31124">
          <w:rPr>
            <w:rStyle w:val="Hyperlink"/>
            <w:noProof/>
            <w:webHidden/>
          </w:rPr>
          <w:fldChar w:fldCharType="separate"/>
        </w:r>
        <w:r>
          <w:rPr>
            <w:rStyle w:val="Hyperlink"/>
            <w:noProof/>
            <w:webHidden/>
          </w:rPr>
          <w:t>143</w:t>
        </w:r>
        <w:r w:rsidR="00D31124" w:rsidRPr="00D31124">
          <w:rPr>
            <w:rStyle w:val="Hyperlink"/>
            <w:noProof/>
            <w:webHidden/>
          </w:rPr>
          <w:fldChar w:fldCharType="end"/>
        </w:r>
      </w:hyperlink>
    </w:p>
    <w:p w:rsidR="005719A8" w:rsidRPr="00B2670C" w:rsidRDefault="00381D12" w:rsidP="00115B24">
      <w:pPr>
        <w:pStyle w:val="TOC2"/>
        <w:tabs>
          <w:tab w:val="clear" w:pos="5103"/>
          <w:tab w:val="left" w:pos="1320"/>
          <w:tab w:val="right" w:pos="7938"/>
        </w:tabs>
        <w:ind w:right="2692"/>
        <w:rPr>
          <w:szCs w:val="20"/>
        </w:rPr>
        <w:sectPr w:rsidR="005719A8" w:rsidRPr="00B2670C" w:rsidSect="005719A8">
          <w:headerReference w:type="even" r:id="rId12"/>
          <w:headerReference w:type="default" r:id="rId13"/>
          <w:footerReference w:type="even" r:id="rId14"/>
          <w:footerReference w:type="default" r:id="rId15"/>
          <w:pgSz w:w="11906" w:h="16838" w:code="9"/>
          <w:pgMar w:top="2268" w:right="1134" w:bottom="1701" w:left="1134" w:header="567" w:footer="567" w:gutter="0"/>
          <w:pgNumType w:fmt="lowerRoman"/>
          <w:cols w:space="720"/>
        </w:sectPr>
      </w:pPr>
      <w:r w:rsidRPr="00B2670C">
        <w:rPr>
          <w:szCs w:val="20"/>
        </w:rPr>
        <w:fldChar w:fldCharType="end"/>
      </w:r>
    </w:p>
    <w:p w:rsidR="001316A7" w:rsidRPr="006E1D30" w:rsidRDefault="001316A7" w:rsidP="006E1D30">
      <w:pPr>
        <w:pStyle w:val="Heading1"/>
      </w:pPr>
      <w:bookmarkStart w:id="17" w:name="_Toc391031807"/>
      <w:bookmarkStart w:id="18" w:name="_Toc391847725"/>
      <w:bookmarkStart w:id="19" w:name="_Toc393225993"/>
      <w:bookmarkStart w:id="20" w:name="_Toc393398280"/>
      <w:bookmarkStart w:id="21" w:name="_Toc412540012"/>
      <w:r w:rsidRPr="006E1D30">
        <w:lastRenderedPageBreak/>
        <w:t>DISCLAIMER</w:t>
      </w:r>
      <w:bookmarkEnd w:id="17"/>
      <w:bookmarkEnd w:id="18"/>
      <w:bookmarkEnd w:id="19"/>
      <w:bookmarkEnd w:id="20"/>
      <w:bookmarkEnd w:id="21"/>
      <w:r w:rsidRPr="006E1D30">
        <w:t xml:space="preserve"> </w:t>
      </w:r>
    </w:p>
    <w:p w:rsidR="001316A7" w:rsidRPr="00A92654" w:rsidRDefault="001316A7" w:rsidP="001316A7">
      <w:pPr>
        <w:rPr>
          <w:rFonts w:cs="Arial"/>
          <w:b/>
          <w:sz w:val="28"/>
          <w:szCs w:val="28"/>
        </w:rPr>
      </w:pPr>
    </w:p>
    <w:p w:rsidR="001316A7" w:rsidRDefault="001316A7" w:rsidP="001316A7">
      <w:pPr>
        <w:pBdr>
          <w:top w:val="single" w:sz="4" w:space="1" w:color="auto"/>
          <w:left w:val="single" w:sz="4" w:space="4" w:color="auto"/>
          <w:bottom w:val="single" w:sz="4" w:space="1" w:color="auto"/>
          <w:right w:val="single" w:sz="4" w:space="4" w:color="auto"/>
        </w:pBdr>
        <w:rPr>
          <w:rFonts w:cs="Arial"/>
        </w:rPr>
      </w:pPr>
      <w:r>
        <w:rPr>
          <w:rFonts w:cs="Arial"/>
        </w:rPr>
        <w:t>The data analysed for the epidemiological analysis were supplied to the Centre for Public Health Research, Massey University by the Ministry of Health. The data sources are the Bowel Screening Pilot Register and the Waitemat</w:t>
      </w:r>
      <w:r w:rsidR="00183345">
        <w:rPr>
          <w:rFonts w:cs="Arial"/>
        </w:rPr>
        <w:t>a</w:t>
      </w:r>
      <w:r w:rsidR="003F7F3F">
        <w:rPr>
          <w:rFonts w:cs="Arial"/>
        </w:rPr>
        <w:t xml:space="preserve"> </w:t>
      </w:r>
      <w:r>
        <w:rPr>
          <w:rFonts w:cs="Arial"/>
        </w:rPr>
        <w:t>District Health Board.</w:t>
      </w:r>
    </w:p>
    <w:p w:rsidR="001316A7" w:rsidRDefault="001316A7" w:rsidP="001316A7">
      <w:pPr>
        <w:pBdr>
          <w:top w:val="single" w:sz="4" w:space="1" w:color="auto"/>
          <w:left w:val="single" w:sz="4" w:space="4" w:color="auto"/>
          <w:bottom w:val="single" w:sz="4" w:space="1" w:color="auto"/>
          <w:right w:val="single" w:sz="4" w:space="4" w:color="auto"/>
        </w:pBdr>
        <w:rPr>
          <w:rFonts w:cs="Arial"/>
        </w:rPr>
      </w:pPr>
      <w:r>
        <w:rPr>
          <w:rFonts w:cs="Arial"/>
        </w:rPr>
        <w:t>Litmus Limited and The Centre for Public Health Research accepts no liability or responsibility for the data or its use.</w:t>
      </w:r>
    </w:p>
    <w:p w:rsidR="001316A7" w:rsidRDefault="001316A7" w:rsidP="001316A7">
      <w:pPr>
        <w:rPr>
          <w:rFonts w:cs="Arial"/>
        </w:rPr>
      </w:pPr>
    </w:p>
    <w:p w:rsidR="001316A7" w:rsidRDefault="001316A7" w:rsidP="001316A7"/>
    <w:p w:rsidR="001316A7" w:rsidRDefault="001316A7" w:rsidP="001316A7"/>
    <w:p w:rsidR="001316A7" w:rsidRDefault="001316A7" w:rsidP="001316A7">
      <w:r>
        <w:br w:type="page"/>
      </w:r>
    </w:p>
    <w:p w:rsidR="00FE335B" w:rsidRDefault="00FE335B" w:rsidP="00FE335B">
      <w:pPr>
        <w:pStyle w:val="Heading1"/>
      </w:pPr>
      <w:bookmarkStart w:id="22" w:name="_Toc390872192"/>
      <w:bookmarkStart w:id="23" w:name="_Toc412540013"/>
      <w:r>
        <w:lastRenderedPageBreak/>
        <w:t>Preface</w:t>
      </w:r>
      <w:bookmarkEnd w:id="22"/>
      <w:bookmarkEnd w:id="23"/>
      <w:r>
        <w:t xml:space="preserve"> </w:t>
      </w:r>
    </w:p>
    <w:p w:rsidR="00C75AA6" w:rsidRDefault="00FE335B" w:rsidP="00A51FFD">
      <w:r w:rsidRPr="00C95C03">
        <w:t xml:space="preserve">This </w:t>
      </w:r>
      <w:r>
        <w:t xml:space="preserve">interim evaluation </w:t>
      </w:r>
      <w:r w:rsidRPr="00C95C03">
        <w:t xml:space="preserve">report has been </w:t>
      </w:r>
      <w:r>
        <w:t xml:space="preserve">jointly </w:t>
      </w:r>
      <w:r w:rsidRPr="00C95C03">
        <w:t xml:space="preserve">prepared for the Ministry of Health by </w:t>
      </w:r>
      <w:r>
        <w:t>Liz Smith</w:t>
      </w:r>
      <w:r w:rsidR="00E938F0">
        <w:t>,</w:t>
      </w:r>
      <w:r>
        <w:t xml:space="preserve"> Litmus</w:t>
      </w:r>
      <w:r w:rsidR="00E938F0">
        <w:t>;</w:t>
      </w:r>
      <w:r>
        <w:t xml:space="preserve"> Associate Professor </w:t>
      </w:r>
      <w:r w:rsidR="00C75AA6">
        <w:t>Deborah Read</w:t>
      </w:r>
      <w:r w:rsidR="005B025D">
        <w:t xml:space="preserve"> and Associate Professor Barry Borman</w:t>
      </w:r>
      <w:r w:rsidR="00E938F0">
        <w:t>,</w:t>
      </w:r>
      <w:r w:rsidR="005B025D">
        <w:t xml:space="preserve"> </w:t>
      </w:r>
      <w:r w:rsidR="00A51FFD">
        <w:t>Massey University</w:t>
      </w:r>
      <w:r w:rsidR="00E938F0">
        <w:t>;</w:t>
      </w:r>
      <w:r w:rsidR="00A51FFD">
        <w:t xml:space="preserve"> </w:t>
      </w:r>
      <w:r w:rsidR="00C75AA6">
        <w:t>and Julie Artus</w:t>
      </w:r>
      <w:r w:rsidR="00E938F0">
        <w:t>,</w:t>
      </w:r>
      <w:r>
        <w:t xml:space="preserve"> Sapere Research Group.  </w:t>
      </w:r>
    </w:p>
    <w:p w:rsidR="00FE335B" w:rsidRDefault="00A51FFD" w:rsidP="00A51FFD">
      <w:r w:rsidRPr="007175F1">
        <w:t xml:space="preserve">We sincerely thank </w:t>
      </w:r>
      <w:r w:rsidRPr="00A51FFD">
        <w:t>Mathu Shanthakumar</w:t>
      </w:r>
      <w:r w:rsidR="00C75AA6">
        <w:t xml:space="preserve">, </w:t>
      </w:r>
      <w:r w:rsidRPr="00A51FFD">
        <w:t>Biostatistician</w:t>
      </w:r>
      <w:r>
        <w:t xml:space="preserve">, </w:t>
      </w:r>
      <w:proofErr w:type="gramStart"/>
      <w:r>
        <w:t>Massey</w:t>
      </w:r>
      <w:proofErr w:type="gramEnd"/>
      <w:r>
        <w:t xml:space="preserve"> University </w:t>
      </w:r>
      <w:r w:rsidRPr="00C95C03">
        <w:t xml:space="preserve">for </w:t>
      </w:r>
      <w:r>
        <w:t>her</w:t>
      </w:r>
      <w:r w:rsidRPr="00C95C03">
        <w:t xml:space="preserve"> work in preparing the </w:t>
      </w:r>
      <w:r>
        <w:t xml:space="preserve">epidemiology </w:t>
      </w:r>
      <w:r w:rsidRPr="00C95C03">
        <w:t xml:space="preserve">data for analysis. </w:t>
      </w:r>
      <w:r>
        <w:t xml:space="preserve"> We also acknowledge Gary Blick, </w:t>
      </w:r>
      <w:r w:rsidRPr="00A51FFD">
        <w:t>Senior Managing Economist</w:t>
      </w:r>
      <w:r w:rsidR="00E938F0">
        <w:t xml:space="preserve">, </w:t>
      </w:r>
      <w:r>
        <w:t xml:space="preserve">Sapere Research </w:t>
      </w:r>
      <w:r w:rsidR="00106048">
        <w:t xml:space="preserve">Group, </w:t>
      </w:r>
      <w:r>
        <w:t xml:space="preserve">for </w:t>
      </w:r>
      <w:r w:rsidR="00F35B39">
        <w:t xml:space="preserve">his </w:t>
      </w:r>
      <w:r>
        <w:t xml:space="preserve">work on the costing analysis. </w:t>
      </w:r>
    </w:p>
    <w:p w:rsidR="00FE335B" w:rsidRPr="00C95C03" w:rsidRDefault="00FE335B" w:rsidP="00A51FFD">
      <w:r w:rsidRPr="00C95C03">
        <w:t>We also thank:</w:t>
      </w:r>
    </w:p>
    <w:p w:rsidR="00FE335B" w:rsidRPr="00C95C03" w:rsidRDefault="00FE335B" w:rsidP="00604AA9">
      <w:pPr>
        <w:numPr>
          <w:ilvl w:val="0"/>
          <w:numId w:val="6"/>
        </w:numPr>
        <w:autoSpaceDE w:val="0"/>
        <w:autoSpaceDN w:val="0"/>
        <w:adjustRightInd w:val="0"/>
        <w:spacing w:before="0" w:after="120"/>
        <w:ind w:left="1134" w:hanging="425"/>
      </w:pPr>
      <w:r w:rsidRPr="00C95C03">
        <w:t>Professor Scott Ramsey</w:t>
      </w:r>
      <w:r w:rsidR="00E938F0">
        <w:t xml:space="preserve">, </w:t>
      </w:r>
      <w:r w:rsidR="00BC0A85" w:rsidRPr="00BC0A85">
        <w:t>Fred Hutchinson</w:t>
      </w:r>
      <w:r w:rsidR="00E938F0">
        <w:t xml:space="preserve"> </w:t>
      </w:r>
      <w:r w:rsidR="00BC0A85" w:rsidRPr="00BC0A85">
        <w:t xml:space="preserve">Cancer Research Center, </w:t>
      </w:r>
      <w:r w:rsidR="00BC0A85">
        <w:t xml:space="preserve">Seattle </w:t>
      </w:r>
      <w:r w:rsidRPr="00C95C03">
        <w:t xml:space="preserve">for his expert </w:t>
      </w:r>
      <w:r w:rsidR="00A51FFD">
        <w:t xml:space="preserve">peer </w:t>
      </w:r>
      <w:r w:rsidRPr="00C95C03">
        <w:t xml:space="preserve">review of the Bowel Screening Pilot Evaluation Plan </w:t>
      </w:r>
      <w:r w:rsidR="00C47CD3">
        <w:t xml:space="preserve">and the interim </w:t>
      </w:r>
      <w:r w:rsidR="00A51FFD">
        <w:t xml:space="preserve">evaluation </w:t>
      </w:r>
      <w:r w:rsidR="00C47CD3">
        <w:t>report</w:t>
      </w:r>
      <w:r w:rsidR="00E938F0">
        <w:t>.</w:t>
      </w:r>
    </w:p>
    <w:p w:rsidR="00306664" w:rsidRPr="00013EDA" w:rsidRDefault="00FE335B" w:rsidP="00306664">
      <w:pPr>
        <w:numPr>
          <w:ilvl w:val="0"/>
          <w:numId w:val="6"/>
        </w:numPr>
        <w:autoSpaceDE w:val="0"/>
        <w:autoSpaceDN w:val="0"/>
        <w:adjustRightInd w:val="0"/>
        <w:spacing w:before="0" w:after="120"/>
        <w:ind w:left="1134" w:hanging="425"/>
        <w:rPr>
          <w:rFonts w:ascii="Arial Mäori" w:hAnsi="Arial Mäori" w:cs="Arial Mäori"/>
          <w:color w:val="000000"/>
          <w:lang w:eastAsia="en-NZ"/>
        </w:rPr>
      </w:pPr>
      <w:r w:rsidRPr="00306664">
        <w:t>Members of the Ministry of Health’s Bowel Screening Evaluation Advisory Group for their expert review comments on the Bowel Screening Pilot Evaluation Plan</w:t>
      </w:r>
      <w:r w:rsidR="00A51FFD" w:rsidRPr="00306664">
        <w:t xml:space="preserve"> and the interim evaluation r</w:t>
      </w:r>
      <w:r w:rsidR="009F5246" w:rsidRPr="00306664">
        <w:t xml:space="preserve">eport.  Membership includes: </w:t>
      </w:r>
      <w:r w:rsidR="00306664">
        <w:t xml:space="preserve">Dr </w:t>
      </w:r>
      <w:r w:rsidR="009F5246" w:rsidRPr="00013EDA">
        <w:rPr>
          <w:rFonts w:ascii="Arial Mäori" w:hAnsi="Arial Mäori" w:cs="Arial Mäori"/>
          <w:color w:val="000000"/>
          <w:lang w:eastAsia="en-NZ"/>
        </w:rPr>
        <w:t>John Childs (Chair)</w:t>
      </w:r>
      <w:r w:rsidR="00306664" w:rsidRPr="00013EDA">
        <w:rPr>
          <w:rFonts w:ascii="Arial Mäori" w:hAnsi="Arial Mäori" w:cs="Arial Mäori"/>
          <w:color w:val="000000"/>
          <w:lang w:eastAsia="en-NZ"/>
        </w:rPr>
        <w:t xml:space="preserve"> </w:t>
      </w:r>
      <w:r w:rsidR="00306664" w:rsidRPr="00013EDA">
        <w:rPr>
          <w:rFonts w:cs="Arial"/>
        </w:rPr>
        <w:t>Radiation Oncologist, Auckland District Health Board</w:t>
      </w:r>
      <w:r w:rsidR="00013EDA" w:rsidRPr="00013EDA">
        <w:rPr>
          <w:rFonts w:ascii="Arial Mäori" w:hAnsi="Arial Mäori" w:cs="Arial Mäori"/>
          <w:color w:val="000000"/>
          <w:lang w:eastAsia="en-NZ"/>
        </w:rPr>
        <w:t>;</w:t>
      </w:r>
      <w:r w:rsidR="009F5246" w:rsidRPr="00013EDA">
        <w:rPr>
          <w:rFonts w:ascii="Arial Mäori" w:hAnsi="Arial Mäori" w:cs="Arial Mäori"/>
          <w:color w:val="000000"/>
          <w:lang w:eastAsia="en-NZ"/>
        </w:rPr>
        <w:t xml:space="preserve"> </w:t>
      </w:r>
      <w:r w:rsidR="00306664" w:rsidRPr="00013EDA">
        <w:rPr>
          <w:rFonts w:ascii="Arial Mäori" w:hAnsi="Arial Mäori" w:cs="Arial Mäori"/>
          <w:color w:val="000000"/>
          <w:lang w:eastAsia="en-NZ"/>
        </w:rPr>
        <w:t>Professor Tony Blakely, University of Otago, Wellington</w:t>
      </w:r>
      <w:r w:rsidR="00306664" w:rsidRPr="00013EDA">
        <w:rPr>
          <w:rFonts w:cs="Arial"/>
          <w:lang w:val="en-US"/>
        </w:rPr>
        <w:t xml:space="preserve">; </w:t>
      </w:r>
      <w:r w:rsidR="00306664" w:rsidRPr="00013EDA">
        <w:rPr>
          <w:rFonts w:cs="Arial"/>
        </w:rPr>
        <w:t xml:space="preserve">Ms Shelley Campbell, Chief Executive, The Sir Peter Blake Trust; </w:t>
      </w:r>
      <w:r w:rsidR="00306664" w:rsidRPr="00013EDA">
        <w:rPr>
          <w:rFonts w:ascii="Arial Mäori" w:hAnsi="Arial Mäori" w:cs="Arial Mäori"/>
          <w:color w:val="000000"/>
          <w:lang w:eastAsia="en-NZ"/>
        </w:rPr>
        <w:t>Mr Sacha Dylan, Connectos Consulting;</w:t>
      </w:r>
      <w:r w:rsidR="00013EDA" w:rsidRPr="00013EDA">
        <w:rPr>
          <w:rFonts w:ascii="Arial Mäori" w:hAnsi="Arial Mäori" w:cs="Arial Mäori"/>
          <w:color w:val="000000"/>
          <w:lang w:eastAsia="en-NZ"/>
        </w:rPr>
        <w:t xml:space="preserve"> </w:t>
      </w:r>
      <w:r w:rsidR="00306664" w:rsidRPr="00013EDA">
        <w:rPr>
          <w:rFonts w:cs="Arial"/>
        </w:rPr>
        <w:t>Associate Professor Susan Parry, Clinical Director, Bowel Cancer Programme, Ministry of Health and Auckland Hospital</w:t>
      </w:r>
      <w:r w:rsidR="00013EDA" w:rsidRPr="00013EDA">
        <w:rPr>
          <w:rFonts w:cs="Arial"/>
        </w:rPr>
        <w:t xml:space="preserve">; </w:t>
      </w:r>
      <w:r w:rsidR="00306664" w:rsidRPr="00013EDA">
        <w:rPr>
          <w:rFonts w:ascii="Arial Mäori" w:hAnsi="Arial Mäori" w:cs="Arial Mäori"/>
          <w:color w:val="000000"/>
          <w:lang w:eastAsia="en-NZ"/>
        </w:rPr>
        <w:t>Professor</w:t>
      </w:r>
      <w:r w:rsidR="00306664" w:rsidRPr="00013EDA">
        <w:rPr>
          <w:rFonts w:cs="Arial"/>
          <w:lang w:eastAsia="en-NZ"/>
        </w:rPr>
        <w:t xml:space="preserve"> Ann Richardson, School of Health Sciences, University of Canterbury</w:t>
      </w:r>
      <w:r w:rsidR="00013EDA" w:rsidRPr="00013EDA">
        <w:rPr>
          <w:rFonts w:cs="Arial"/>
          <w:lang w:eastAsia="en-NZ"/>
        </w:rPr>
        <w:t xml:space="preserve">; </w:t>
      </w:r>
      <w:r w:rsidR="00306664" w:rsidRPr="00013EDA">
        <w:rPr>
          <w:rFonts w:ascii="Arial Mäori" w:hAnsi="Arial Mäori" w:cs="Arial Mäori"/>
          <w:color w:val="000000"/>
          <w:lang w:eastAsia="en-NZ"/>
        </w:rPr>
        <w:t>Associate</w:t>
      </w:r>
      <w:r w:rsidR="00306664" w:rsidRPr="00013EDA">
        <w:rPr>
          <w:rFonts w:cs="Arial"/>
        </w:rPr>
        <w:t xml:space="preserve"> Professor James St. John AM, Cancer Council Victoria and the University of Melbourne</w:t>
      </w:r>
      <w:r w:rsidR="00013EDA" w:rsidRPr="00013EDA">
        <w:rPr>
          <w:rFonts w:cs="Arial"/>
        </w:rPr>
        <w:t xml:space="preserve">; </w:t>
      </w:r>
      <w:r w:rsidR="00013EDA" w:rsidRPr="00013EDA">
        <w:rPr>
          <w:rFonts w:ascii="Arial Mäori" w:hAnsi="Arial Mäori" w:cs="Arial Mäori"/>
          <w:color w:val="000000"/>
          <w:lang w:eastAsia="en-NZ"/>
        </w:rPr>
        <w:t>Dr</w:t>
      </w:r>
      <w:r w:rsidR="00013EDA" w:rsidRPr="00013EDA">
        <w:rPr>
          <w:rFonts w:cs="Arial"/>
        </w:rPr>
        <w:t xml:space="preserve"> Jim Vause, General Practitioner, Marlborough; </w:t>
      </w:r>
      <w:r w:rsidR="00306664" w:rsidRPr="00013EDA">
        <w:rPr>
          <w:rFonts w:ascii="Arial Mäori" w:hAnsi="Arial Mäori" w:cs="Arial Mäori"/>
          <w:color w:val="000000"/>
          <w:lang w:eastAsia="en-NZ"/>
        </w:rPr>
        <w:t>Dr John Waldon, Researcher, 2 Tama Limited</w:t>
      </w:r>
      <w:r w:rsidR="00013EDA" w:rsidRPr="00013EDA">
        <w:rPr>
          <w:rFonts w:ascii="Arial Mäori" w:hAnsi="Arial Mäori" w:cs="Arial Mäori"/>
          <w:color w:val="000000"/>
          <w:lang w:eastAsia="en-NZ"/>
        </w:rPr>
        <w:t>.</w:t>
      </w:r>
    </w:p>
    <w:p w:rsidR="00FE335B" w:rsidRPr="00C95C03" w:rsidRDefault="00FE335B" w:rsidP="00604AA9">
      <w:pPr>
        <w:numPr>
          <w:ilvl w:val="0"/>
          <w:numId w:val="6"/>
        </w:numPr>
        <w:autoSpaceDE w:val="0"/>
        <w:autoSpaceDN w:val="0"/>
        <w:adjustRightInd w:val="0"/>
        <w:spacing w:before="0" w:after="120"/>
        <w:ind w:left="1134" w:hanging="425"/>
      </w:pPr>
      <w:r w:rsidRPr="00C95C03">
        <w:t>Litmus’ Governance Group members for their specialist screening evaluation advice and for their comments on this</w:t>
      </w:r>
      <w:r w:rsidR="00A51FFD">
        <w:t xml:space="preserve"> interim </w:t>
      </w:r>
      <w:r w:rsidRPr="00C95C03">
        <w:t xml:space="preserve">report: </w:t>
      </w:r>
      <w:r w:rsidR="00A51FFD">
        <w:t>Dr Juliet Walker</w:t>
      </w:r>
      <w:r w:rsidR="009074CB">
        <w:t>;</w:t>
      </w:r>
      <w:r w:rsidR="00E938F0">
        <w:t xml:space="preserve"> </w:t>
      </w:r>
      <w:r w:rsidR="00A51FFD">
        <w:t>Lisa Davies</w:t>
      </w:r>
      <w:r w:rsidR="00E938F0">
        <w:t xml:space="preserve">, </w:t>
      </w:r>
      <w:r w:rsidR="00A51FFD">
        <w:t>Kaipuke Consultin</w:t>
      </w:r>
      <w:r w:rsidR="00E938F0">
        <w:t>g;</w:t>
      </w:r>
      <w:r w:rsidR="00A51FFD">
        <w:t xml:space="preserve"> Professor John Potter</w:t>
      </w:r>
      <w:r w:rsidR="00E938F0">
        <w:t xml:space="preserve">, </w:t>
      </w:r>
      <w:r>
        <w:t>Massey University</w:t>
      </w:r>
      <w:r w:rsidR="00E938F0">
        <w:t>;</w:t>
      </w:r>
      <w:r w:rsidR="00A51FFD">
        <w:t xml:space="preserve"> Tom Love</w:t>
      </w:r>
      <w:r w:rsidR="00E938F0">
        <w:t xml:space="preserve">, </w:t>
      </w:r>
      <w:r w:rsidR="00A51FFD">
        <w:t>Sapere Research Group</w:t>
      </w:r>
      <w:r w:rsidR="00E938F0">
        <w:t>;</w:t>
      </w:r>
      <w:r>
        <w:t xml:space="preserve"> </w:t>
      </w:r>
      <w:r w:rsidRPr="00C95C03">
        <w:t>and James Reilly</w:t>
      </w:r>
      <w:r w:rsidR="00E938F0">
        <w:t xml:space="preserve">, </w:t>
      </w:r>
      <w:r>
        <w:t>Statistical Insights</w:t>
      </w:r>
      <w:r w:rsidR="00E938F0">
        <w:t>.</w:t>
      </w:r>
    </w:p>
    <w:p w:rsidR="00FE335B" w:rsidRPr="00C95C03" w:rsidRDefault="00FE335B" w:rsidP="00604AA9">
      <w:pPr>
        <w:numPr>
          <w:ilvl w:val="0"/>
          <w:numId w:val="6"/>
        </w:numPr>
        <w:autoSpaceDE w:val="0"/>
        <w:autoSpaceDN w:val="0"/>
        <w:adjustRightInd w:val="0"/>
        <w:spacing w:before="0" w:after="120"/>
        <w:ind w:left="1134" w:hanging="425"/>
      </w:pPr>
      <w:r w:rsidRPr="00C95C03">
        <w:t xml:space="preserve">Staff in the Bowel Screening Pilot teams at the Ministry of Health and the </w:t>
      </w:r>
      <w:r w:rsidR="00CE1B13" w:rsidRPr="00EA55DB">
        <w:t>Waitemat</w:t>
      </w:r>
      <w:r w:rsidR="00183345">
        <w:t>a</w:t>
      </w:r>
      <w:r w:rsidR="00CE1B13" w:rsidRPr="00C95C03">
        <w:t xml:space="preserve"> </w:t>
      </w:r>
      <w:r w:rsidRPr="00C95C03">
        <w:t xml:space="preserve">District Health Board for supporting the Bowel Screening Pilot Evaluation. </w:t>
      </w:r>
    </w:p>
    <w:p w:rsidR="00FE335B" w:rsidRPr="00C95C03" w:rsidRDefault="00FE335B" w:rsidP="00C75AA6">
      <w:r w:rsidRPr="00C95C03">
        <w:t>Please contact Liz Smith (</w:t>
      </w:r>
      <w:hyperlink r:id="rId16" w:history="1">
        <w:r w:rsidRPr="00C95C03">
          <w:rPr>
            <w:color w:val="0000FF"/>
            <w:u w:val="single"/>
          </w:rPr>
          <w:t>liz@litmus.co.nz</w:t>
        </w:r>
      </w:hyperlink>
      <w:r>
        <w:t>)</w:t>
      </w:r>
      <w:r w:rsidR="00A51FFD">
        <w:t xml:space="preserve"> for general evaluation enquiries</w:t>
      </w:r>
      <w:r>
        <w:t xml:space="preserve">, Associate </w:t>
      </w:r>
      <w:r w:rsidR="00A51FFD">
        <w:t xml:space="preserve">Professor Barry Borman </w:t>
      </w:r>
      <w:r w:rsidR="00A51FFD" w:rsidRPr="00A51FFD">
        <w:t>(</w:t>
      </w:r>
      <w:hyperlink r:id="rId17" w:history="1">
        <w:r w:rsidR="00A51FFD" w:rsidRPr="00025095">
          <w:rPr>
            <w:rStyle w:val="Hyperlink"/>
          </w:rPr>
          <w:t>B.Borman@massey.ac.nz</w:t>
        </w:r>
      </w:hyperlink>
      <w:r w:rsidR="00A51FFD">
        <w:t xml:space="preserve">) for epidemiology enquiries and Julie Artus, Sapere Research Group </w:t>
      </w:r>
      <w:r w:rsidR="00A51FFD" w:rsidRPr="00A51FFD">
        <w:t>(</w:t>
      </w:r>
      <w:hyperlink r:id="rId18" w:history="1">
        <w:r w:rsidR="00A51FFD" w:rsidRPr="00025095">
          <w:rPr>
            <w:rStyle w:val="Hyperlink"/>
          </w:rPr>
          <w:t>jartus@srgexpert.com</w:t>
        </w:r>
      </w:hyperlink>
      <w:r w:rsidR="00A51FFD" w:rsidRPr="00A51FFD">
        <w:t>)</w:t>
      </w:r>
      <w:r w:rsidR="00A51FFD">
        <w:t xml:space="preserve"> for costing analysis enquiries. </w:t>
      </w:r>
    </w:p>
    <w:p w:rsidR="00BC0A85" w:rsidRDefault="00BC0A85">
      <w:pPr>
        <w:spacing w:before="0"/>
        <w:ind w:left="0"/>
      </w:pPr>
    </w:p>
    <w:p w:rsidR="00BC0A85" w:rsidRDefault="00BC0A85">
      <w:pPr>
        <w:spacing w:before="0"/>
        <w:ind w:left="0"/>
      </w:pPr>
    </w:p>
    <w:p w:rsidR="00BC0A85" w:rsidRDefault="00BC0A85">
      <w:pPr>
        <w:spacing w:before="0"/>
        <w:ind w:left="0"/>
      </w:pPr>
    </w:p>
    <w:p w:rsidR="00FE335B" w:rsidRDefault="00FE335B">
      <w:pPr>
        <w:spacing w:before="0"/>
        <w:ind w:left="0"/>
        <w:rPr>
          <w:b/>
          <w:sz w:val="36"/>
          <w:szCs w:val="36"/>
        </w:rPr>
      </w:pPr>
      <w:r>
        <w:br w:type="page"/>
      </w:r>
    </w:p>
    <w:p w:rsidR="005719A8" w:rsidRDefault="005B025D" w:rsidP="005B025D">
      <w:pPr>
        <w:pStyle w:val="Heading1"/>
      </w:pPr>
      <w:bookmarkStart w:id="24" w:name="_Toc390872193"/>
      <w:bookmarkStart w:id="25" w:name="_Toc412540014"/>
      <w:r>
        <w:lastRenderedPageBreak/>
        <w:t>1.</w:t>
      </w:r>
      <w:r>
        <w:tab/>
      </w:r>
      <w:r w:rsidR="00FE335B">
        <w:t xml:space="preserve">Executive </w:t>
      </w:r>
      <w:bookmarkEnd w:id="24"/>
      <w:r w:rsidR="001E6D36">
        <w:t>summary</w:t>
      </w:r>
      <w:bookmarkEnd w:id="25"/>
      <w:r w:rsidR="001E6D36">
        <w:t xml:space="preserve"> </w:t>
      </w:r>
    </w:p>
    <w:p w:rsidR="000208A9" w:rsidRPr="00B8526A" w:rsidRDefault="0087406B" w:rsidP="00B8526A">
      <w:pPr>
        <w:pStyle w:val="Heading2"/>
      </w:pPr>
      <w:bookmarkStart w:id="26" w:name="_Toc380499258"/>
      <w:bookmarkStart w:id="27" w:name="_Toc390872194"/>
      <w:bookmarkStart w:id="28" w:name="_Toc412540015"/>
      <w:r w:rsidRPr="00B8526A">
        <w:t>1.1</w:t>
      </w:r>
      <w:r w:rsidR="000208A9" w:rsidRPr="00B8526A">
        <w:tab/>
        <w:t>Background</w:t>
      </w:r>
      <w:bookmarkEnd w:id="26"/>
      <w:bookmarkEnd w:id="27"/>
      <w:bookmarkEnd w:id="28"/>
    </w:p>
    <w:p w:rsidR="00DD5CEB" w:rsidRDefault="000208A9" w:rsidP="000208A9">
      <w:pPr>
        <w:spacing w:before="120"/>
      </w:pPr>
      <w:r w:rsidRPr="00C95C03">
        <w:t xml:space="preserve">The Ministry of Health has funded </w:t>
      </w:r>
      <w:r w:rsidR="00CE1B13" w:rsidRPr="00EA55DB">
        <w:t>Waitemat</w:t>
      </w:r>
      <w:r w:rsidR="00183345">
        <w:t>a</w:t>
      </w:r>
      <w:r w:rsidRPr="00C95C03">
        <w:t xml:space="preserve"> District Health Board (WDHB) to run a </w:t>
      </w:r>
      <w:r>
        <w:t xml:space="preserve">Bowel Screening Pilot </w:t>
      </w:r>
      <w:r w:rsidRPr="00C95C03">
        <w:t>(BSP) over four years from 2012–1</w:t>
      </w:r>
      <w:r w:rsidR="00D426D3">
        <w:t>5</w:t>
      </w:r>
      <w:r w:rsidRPr="00C95C03">
        <w:t xml:space="preserve">. </w:t>
      </w:r>
      <w:r w:rsidR="006E4629">
        <w:t xml:space="preserve"> </w:t>
      </w:r>
      <w:r w:rsidRPr="00C95C03">
        <w:t>An evaluation of the BSP is being undertaken by Litmus</w:t>
      </w:r>
      <w:r w:rsidR="00330B74">
        <w:t xml:space="preserve">, the Centre for Public Health Research Massey University, </w:t>
      </w:r>
      <w:r w:rsidRPr="00C95C03">
        <w:t xml:space="preserve">and Sapere Research Group, the results of which will contribute to a decision on whether or not to roll out a national bowel screening programme. </w:t>
      </w:r>
      <w:r w:rsidR="00330B74">
        <w:t xml:space="preserve"> </w:t>
      </w:r>
    </w:p>
    <w:p w:rsidR="005413FE" w:rsidRDefault="000208A9" w:rsidP="005413FE">
      <w:pPr>
        <w:spacing w:before="120"/>
      </w:pPr>
      <w:r w:rsidRPr="00C95C03">
        <w:t xml:space="preserve">The goal of the evaluation is to determine whether organised bowel screening could be introduced in New Zealand in a way that is effective, safe and acceptable for participants, equitable and economically efficient. </w:t>
      </w:r>
      <w:r w:rsidR="005413FE" w:rsidRPr="005413FE">
        <w:t xml:space="preserve"> </w:t>
      </w:r>
    </w:p>
    <w:p w:rsidR="006E4629" w:rsidRDefault="008A36F0" w:rsidP="006E4629">
      <w:pPr>
        <w:spacing w:before="120"/>
      </w:pPr>
      <w:r>
        <w:t xml:space="preserve">This report is the interim evaluation report of the BSP following the completion of </w:t>
      </w:r>
      <w:r w:rsidR="00B8526A">
        <w:t xml:space="preserve">invite </w:t>
      </w:r>
      <w:r>
        <w:t>distribution for screening round one (January 2012 – December 2013)</w:t>
      </w:r>
      <w:r w:rsidRPr="00697D47">
        <w:rPr>
          <w:rStyle w:val="FootnoteReference"/>
        </w:rPr>
        <w:footnoteReference w:id="1"/>
      </w:r>
      <w:r>
        <w:t xml:space="preserve">.  </w:t>
      </w:r>
      <w:r w:rsidR="005413FE">
        <w:t xml:space="preserve">The report draws from a range of data and information sources </w:t>
      </w:r>
      <w:r w:rsidR="009F2923">
        <w:t xml:space="preserve">and is structured </w:t>
      </w:r>
      <w:r w:rsidR="00E00829">
        <w:t>to</w:t>
      </w:r>
      <w:r w:rsidR="009F2923">
        <w:t xml:space="preserve"> </w:t>
      </w:r>
      <w:r w:rsidR="00EB35F4">
        <w:t>address the p</w:t>
      </w:r>
      <w:r w:rsidR="005413FE">
        <w:t>ilot’s ten objectives as relevant at the completion of screening round one</w:t>
      </w:r>
      <w:r w:rsidR="009F2923">
        <w:t xml:space="preserve">. </w:t>
      </w:r>
      <w:r w:rsidR="006E4629">
        <w:t xml:space="preserve"> </w:t>
      </w:r>
    </w:p>
    <w:p w:rsidR="006E4629" w:rsidRPr="00AC3B02" w:rsidRDefault="006E4629" w:rsidP="006E4629">
      <w:pPr>
        <w:spacing w:before="120"/>
      </w:pPr>
      <w:r w:rsidRPr="00AC3B02">
        <w:t xml:space="preserve">In reviewing the interim evaluation report of the BSP, the unique features of </w:t>
      </w:r>
      <w:r w:rsidR="00613A62" w:rsidRPr="00AC3B02">
        <w:rPr>
          <w:lang w:eastAsia="en-US"/>
        </w:rPr>
        <w:t xml:space="preserve">bowel </w:t>
      </w:r>
      <w:r w:rsidRPr="00AC3B02">
        <w:rPr>
          <w:lang w:eastAsia="en-US"/>
        </w:rPr>
        <w:t>cancer</w:t>
      </w:r>
      <w:r w:rsidRPr="00AC3B02">
        <w:t xml:space="preserve"> </w:t>
      </w:r>
      <w:r w:rsidR="00F71469" w:rsidRPr="00AC3B02">
        <w:t xml:space="preserve">screening </w:t>
      </w:r>
      <w:r w:rsidRPr="00AC3B02">
        <w:t xml:space="preserve">and the </w:t>
      </w:r>
      <w:r w:rsidR="00EB35F4" w:rsidRPr="00AC3B02">
        <w:t>p</w:t>
      </w:r>
      <w:r w:rsidRPr="00AC3B02">
        <w:t>ilot need to be acknowledged, specifically:</w:t>
      </w:r>
    </w:p>
    <w:p w:rsidR="00F71469" w:rsidRPr="00AC3B02" w:rsidRDefault="00F71469" w:rsidP="00F71469">
      <w:pPr>
        <w:pStyle w:val="Bullet"/>
        <w:numPr>
          <w:ilvl w:val="0"/>
          <w:numId w:val="10"/>
        </w:numPr>
        <w:tabs>
          <w:tab w:val="num" w:pos="6663"/>
        </w:tabs>
        <w:ind w:left="1069"/>
      </w:pPr>
      <w:r w:rsidRPr="00AC3B02">
        <w:t>Unlike screening for other cancers (e</w:t>
      </w:r>
      <w:r w:rsidR="000505E9" w:rsidRPr="00AC3B02">
        <w:t>.</w:t>
      </w:r>
      <w:r w:rsidRPr="00AC3B02">
        <w:t>g</w:t>
      </w:r>
      <w:r w:rsidR="000505E9" w:rsidRPr="00AC3B02">
        <w:t>.</w:t>
      </w:r>
      <w:r w:rsidRPr="00AC3B02">
        <w:t xml:space="preserve"> breast, cervical and prostate cancer), screening </w:t>
      </w:r>
      <w:r w:rsidR="00F878DC">
        <w:t xml:space="preserve">for colorectal cancer involves </w:t>
      </w:r>
      <w:r w:rsidRPr="00AC3B02">
        <w:t>as the definitive diagnostic step</w:t>
      </w:r>
      <w:r w:rsidR="009A0D39">
        <w:t>,</w:t>
      </w:r>
      <w:r w:rsidRPr="00AC3B02">
        <w:t xml:space="preserve"> direct </w:t>
      </w:r>
      <w:r w:rsidR="00613A62" w:rsidRPr="00AC3B02">
        <w:t>sight</w:t>
      </w:r>
      <w:r w:rsidRPr="00AC3B02">
        <w:t xml:space="preserve"> of the organ.  As a result, definitive diagnosis (cancerous/ precancerous lesion or not) and treatment (removal of</w:t>
      </w:r>
      <w:r w:rsidR="00BC0A85">
        <w:t xml:space="preserve"> some</w:t>
      </w:r>
      <w:r w:rsidRPr="00AC3B02">
        <w:t xml:space="preserve"> precancerous lesions) can be accomplished with the same procedure. </w:t>
      </w:r>
    </w:p>
    <w:p w:rsidR="00BF4BD7" w:rsidRDefault="006E4629" w:rsidP="006E4629">
      <w:pPr>
        <w:pStyle w:val="Bullet"/>
        <w:numPr>
          <w:ilvl w:val="0"/>
          <w:numId w:val="10"/>
        </w:numPr>
        <w:tabs>
          <w:tab w:val="num" w:pos="6663"/>
        </w:tabs>
        <w:ind w:left="1069"/>
      </w:pPr>
      <w:r w:rsidRPr="00AC3B02">
        <w:t xml:space="preserve">The </w:t>
      </w:r>
      <w:r w:rsidR="00EB35F4" w:rsidRPr="00AC3B02">
        <w:t>p</w:t>
      </w:r>
      <w:r w:rsidR="00BF4BD7" w:rsidRPr="00AC3B02">
        <w:t xml:space="preserve">ilot </w:t>
      </w:r>
      <w:r w:rsidR="00EB35F4" w:rsidRPr="00AC3B02">
        <w:t>is dynamic.  The p</w:t>
      </w:r>
      <w:r w:rsidR="00613A62" w:rsidRPr="00AC3B02">
        <w:t xml:space="preserve">ilot’s </w:t>
      </w:r>
      <w:r w:rsidRPr="00AC3B02">
        <w:t>design</w:t>
      </w:r>
      <w:r w:rsidRPr="004D554B">
        <w:t xml:space="preserve"> and implementation </w:t>
      </w:r>
      <w:r w:rsidR="00613A62" w:rsidRPr="004D554B">
        <w:t>activitie</w:t>
      </w:r>
      <w:r w:rsidRPr="004D554B">
        <w:t xml:space="preserve">s </w:t>
      </w:r>
      <w:r w:rsidR="00613A62" w:rsidRPr="004D554B">
        <w:t>are being ref</w:t>
      </w:r>
      <w:r w:rsidRPr="004D554B">
        <w:t>ined</w:t>
      </w:r>
      <w:r w:rsidR="00F71469" w:rsidRPr="004D554B">
        <w:t xml:space="preserve"> through the two screening rounds</w:t>
      </w:r>
      <w:r w:rsidR="00BF4BD7" w:rsidRPr="004D554B">
        <w:t xml:space="preserve">.  </w:t>
      </w:r>
      <w:r w:rsidR="00F71469" w:rsidRPr="004D554B">
        <w:t>In this context, the</w:t>
      </w:r>
      <w:r w:rsidR="00BF4BD7" w:rsidRPr="004D554B">
        <w:t xml:space="preserve"> epidemiological </w:t>
      </w:r>
      <w:r w:rsidRPr="004D554B">
        <w:t>and cost results</w:t>
      </w:r>
      <w:r w:rsidR="00F71469" w:rsidRPr="004D554B">
        <w:t xml:space="preserve"> presented in the interim</w:t>
      </w:r>
      <w:r w:rsidR="00AF457B" w:rsidRPr="004D554B">
        <w:t xml:space="preserve"> evaluation </w:t>
      </w:r>
      <w:r w:rsidR="00F71469" w:rsidRPr="004D554B">
        <w:t xml:space="preserve">report </w:t>
      </w:r>
      <w:r w:rsidR="00BF4BD7" w:rsidRPr="004D554B">
        <w:t xml:space="preserve">will continue to evolve </w:t>
      </w:r>
      <w:r w:rsidR="00F71469" w:rsidRPr="004D554B">
        <w:t xml:space="preserve">through screening round two. </w:t>
      </w:r>
    </w:p>
    <w:p w:rsidR="00413B45" w:rsidRDefault="00413B45" w:rsidP="00413B45">
      <w:pPr>
        <w:rPr>
          <w:lang w:eastAsia="en-US"/>
        </w:rPr>
      </w:pPr>
      <w:r w:rsidRPr="00C95C03">
        <w:rPr>
          <w:lang w:eastAsia="en-US"/>
        </w:rPr>
        <w:t xml:space="preserve">The New Zealand Health and Disability Multi-region Ethics Committee granted ethical approval for the suite of BSP evaluation activities (reference MEC/11/EXP/119). </w:t>
      </w:r>
    </w:p>
    <w:p w:rsidR="000208A9" w:rsidRPr="00B8526A" w:rsidRDefault="00413B45" w:rsidP="00B8526A">
      <w:pPr>
        <w:pStyle w:val="Heading2"/>
      </w:pPr>
      <w:bookmarkStart w:id="29" w:name="_Toc390872196"/>
      <w:bookmarkStart w:id="30" w:name="_Toc412540016"/>
      <w:r w:rsidRPr="00B8526A">
        <w:t>1.2</w:t>
      </w:r>
      <w:r w:rsidR="000208A9" w:rsidRPr="00B8526A">
        <w:tab/>
      </w:r>
      <w:r w:rsidR="00D27185" w:rsidRPr="00B8526A">
        <w:t>E</w:t>
      </w:r>
      <w:r w:rsidR="000208A9" w:rsidRPr="00B8526A">
        <w:t>valuation findings</w:t>
      </w:r>
      <w:bookmarkEnd w:id="29"/>
      <w:bookmarkEnd w:id="30"/>
      <w:r w:rsidR="000208A9" w:rsidRPr="00B8526A">
        <w:t xml:space="preserve"> </w:t>
      </w:r>
    </w:p>
    <w:p w:rsidR="000208A9" w:rsidRDefault="00D27185" w:rsidP="001316A7">
      <w:pPr>
        <w:pStyle w:val="Heading3"/>
      </w:pPr>
      <w:r>
        <w:t>Participation and o</w:t>
      </w:r>
      <w:r w:rsidR="001316A7">
        <w:t>utcomes</w:t>
      </w:r>
      <w:r>
        <w:t xml:space="preserve"> objectives</w:t>
      </w:r>
      <w:r w:rsidRPr="00697D47">
        <w:rPr>
          <w:rStyle w:val="FootnoteReference"/>
        </w:rPr>
        <w:footnoteReference w:id="2"/>
      </w:r>
      <w:r w:rsidR="001316A7">
        <w:t xml:space="preserve"> </w:t>
      </w:r>
    </w:p>
    <w:p w:rsidR="00F47669" w:rsidRDefault="00F47669" w:rsidP="00F47669">
      <w:pPr>
        <w:rPr>
          <w:rFonts w:cs="Arial"/>
        </w:rPr>
      </w:pPr>
      <w:r>
        <w:rPr>
          <w:rFonts w:cs="Arial"/>
        </w:rPr>
        <w:t xml:space="preserve">A </w:t>
      </w:r>
      <w:r w:rsidR="00B8526A">
        <w:t>BSP</w:t>
      </w:r>
      <w:r>
        <w:rPr>
          <w:rFonts w:cs="Arial"/>
        </w:rPr>
        <w:t xml:space="preserve"> using an immunochemical faecal occult blood test (iFOBT) commenced in January 2012 among 50-74 year olds living in the </w:t>
      </w:r>
      <w:r w:rsidR="00F878DC">
        <w:rPr>
          <w:rFonts w:cs="Arial"/>
        </w:rPr>
        <w:t>WDHB</w:t>
      </w:r>
      <w:r>
        <w:rPr>
          <w:rFonts w:cs="Arial"/>
        </w:rPr>
        <w:t xml:space="preserve"> area. Th</w:t>
      </w:r>
      <w:r w:rsidR="00F878DC">
        <w:rPr>
          <w:rFonts w:cs="Arial"/>
        </w:rPr>
        <w:t xml:space="preserve">e </w:t>
      </w:r>
      <w:r w:rsidR="00BD2DB4">
        <w:rPr>
          <w:rFonts w:cs="Arial"/>
        </w:rPr>
        <w:t xml:space="preserve">epidemiological results </w:t>
      </w:r>
      <w:r w:rsidR="00F878DC">
        <w:rPr>
          <w:rFonts w:cs="Arial"/>
        </w:rPr>
        <w:t>presented below are</w:t>
      </w:r>
      <w:r>
        <w:rPr>
          <w:rFonts w:cs="Arial"/>
        </w:rPr>
        <w:t xml:space="preserve"> based on the participation in, and outcomes from, the first 18 months of the first screening round.</w:t>
      </w:r>
      <w:r w:rsidR="00866AAB">
        <w:rPr>
          <w:rStyle w:val="FootnoteReference"/>
          <w:rFonts w:cs="Arial"/>
        </w:rPr>
        <w:footnoteReference w:id="3"/>
      </w:r>
    </w:p>
    <w:p w:rsidR="00A750D7" w:rsidRDefault="00A750D7" w:rsidP="00A750D7">
      <w:pPr>
        <w:rPr>
          <w:rFonts w:cs="Arial"/>
          <w:b/>
        </w:rPr>
      </w:pPr>
      <w:r>
        <w:rPr>
          <w:rFonts w:cs="Arial"/>
        </w:rPr>
        <w:lastRenderedPageBreak/>
        <w:t>The results take into account</w:t>
      </w:r>
      <w:r w:rsidRPr="00744428">
        <w:rPr>
          <w:rFonts w:cs="Arial"/>
        </w:rPr>
        <w:t xml:space="preserve"> the effects of all demographic </w:t>
      </w:r>
      <w:r>
        <w:rPr>
          <w:rFonts w:cs="Arial"/>
        </w:rPr>
        <w:t>factors</w:t>
      </w:r>
      <w:r w:rsidRPr="00744428">
        <w:rPr>
          <w:rFonts w:cs="Arial"/>
        </w:rPr>
        <w:t xml:space="preserve"> other than the one under consideration. For example, when considering participation by age group, the results have been adjusted to take account of </w:t>
      </w:r>
      <w:r>
        <w:rPr>
          <w:rFonts w:cs="Arial"/>
        </w:rPr>
        <w:t xml:space="preserve">the potential effects of </w:t>
      </w:r>
      <w:r w:rsidRPr="00744428">
        <w:rPr>
          <w:rFonts w:cs="Arial"/>
        </w:rPr>
        <w:t>sex, ethnicity and deprivation (NZDep</w:t>
      </w:r>
      <w:r>
        <w:rPr>
          <w:rFonts w:cs="Arial"/>
        </w:rPr>
        <w:t>2006</w:t>
      </w:r>
      <w:r w:rsidRPr="00744428">
        <w:rPr>
          <w:rFonts w:cs="Arial"/>
        </w:rPr>
        <w:t>).</w:t>
      </w:r>
      <w:r>
        <w:rPr>
          <w:rFonts w:cs="Arial"/>
        </w:rPr>
        <w:t xml:space="preserve"> Unless otherwise stated, all results are statistically significant.</w:t>
      </w:r>
    </w:p>
    <w:p w:rsidR="001316A7" w:rsidRPr="0026065B" w:rsidRDefault="001316A7" w:rsidP="009808BB">
      <w:pPr>
        <w:pStyle w:val="Heading4"/>
      </w:pPr>
      <w:r w:rsidRPr="0026065B">
        <w:t>Participation</w:t>
      </w:r>
    </w:p>
    <w:p w:rsidR="00A750D7" w:rsidRPr="00744428" w:rsidRDefault="00A750D7" w:rsidP="00A750D7">
      <w:pPr>
        <w:rPr>
          <w:rFonts w:cs="Arial"/>
        </w:rPr>
      </w:pPr>
      <w:bookmarkStart w:id="31" w:name="_Toc380499261"/>
      <w:bookmarkStart w:id="32" w:name="_Toc390872197"/>
      <w:r>
        <w:rPr>
          <w:rFonts w:cs="Arial"/>
        </w:rPr>
        <w:t>The participation rate</w:t>
      </w:r>
      <w:r w:rsidRPr="00697D47">
        <w:rPr>
          <w:rStyle w:val="FootnoteReference"/>
        </w:rPr>
        <w:footnoteReference w:id="4"/>
      </w:r>
      <w:r>
        <w:rPr>
          <w:rFonts w:cs="Arial"/>
        </w:rPr>
        <w:t xml:space="preserve"> of </w:t>
      </w:r>
      <w:r w:rsidRPr="00744428">
        <w:rPr>
          <w:rFonts w:cs="Arial"/>
        </w:rPr>
        <w:t>eligible people</w:t>
      </w:r>
      <w:r>
        <w:rPr>
          <w:rFonts w:cs="Arial"/>
        </w:rPr>
        <w:t xml:space="preserve"> was 53.5% (n=46,409). The Ministry of Health’s target is 60% by the end of the four year BSP.</w:t>
      </w:r>
    </w:p>
    <w:p w:rsidR="00A750D7" w:rsidRDefault="00A750D7" w:rsidP="00A750D7">
      <w:pPr>
        <w:rPr>
          <w:rFonts w:cs="Arial"/>
        </w:rPr>
      </w:pPr>
      <w:r w:rsidRPr="00AC386C">
        <w:rPr>
          <w:rFonts w:cs="Arial"/>
        </w:rPr>
        <w:t>Participation increased with increasing age</w:t>
      </w:r>
      <w:r>
        <w:rPr>
          <w:rFonts w:cs="Arial"/>
        </w:rPr>
        <w:t xml:space="preserve">. </w:t>
      </w:r>
      <w:r w:rsidRPr="00744428">
        <w:rPr>
          <w:rFonts w:cs="Arial"/>
        </w:rPr>
        <w:t>Males were slightly less likely to participate than females</w:t>
      </w:r>
      <w:r>
        <w:rPr>
          <w:rFonts w:cs="Arial"/>
        </w:rPr>
        <w:t>.</w:t>
      </w:r>
    </w:p>
    <w:p w:rsidR="00A750D7" w:rsidRDefault="00A750D7" w:rsidP="00A750D7">
      <w:pPr>
        <w:rPr>
          <w:rFonts w:cs="Arial"/>
        </w:rPr>
      </w:pPr>
      <w:r w:rsidRPr="00744428">
        <w:rPr>
          <w:rFonts w:cs="Arial"/>
        </w:rPr>
        <w:t xml:space="preserve">Participation was highest among Europeans (60.3%), followed by Asians (51.3%), </w:t>
      </w:r>
      <w:r>
        <w:rPr>
          <w:rFonts w:cs="Arial"/>
        </w:rPr>
        <w:t>‘O</w:t>
      </w:r>
      <w:r w:rsidRPr="00744428">
        <w:rPr>
          <w:rFonts w:cs="Arial"/>
        </w:rPr>
        <w:t>ther</w:t>
      </w:r>
      <w:r>
        <w:rPr>
          <w:rFonts w:cs="Arial"/>
        </w:rPr>
        <w:t>’</w:t>
      </w:r>
      <w:r w:rsidRPr="00744428">
        <w:rPr>
          <w:rFonts w:cs="Arial"/>
        </w:rPr>
        <w:t xml:space="preserve"> (43.1%), Māori (42.0%) and Pacific people (23.8%).</w:t>
      </w:r>
      <w:r>
        <w:rPr>
          <w:rFonts w:cs="Arial"/>
        </w:rPr>
        <w:t xml:space="preserve"> </w:t>
      </w:r>
    </w:p>
    <w:p w:rsidR="00A750D7" w:rsidRDefault="00A750D7" w:rsidP="00A750D7">
      <w:pPr>
        <w:rPr>
          <w:rFonts w:cs="Arial"/>
        </w:rPr>
      </w:pPr>
      <w:r w:rsidRPr="00744428">
        <w:rPr>
          <w:rFonts w:cs="Arial"/>
        </w:rPr>
        <w:t>Participation declined with increasing deprivation</w:t>
      </w:r>
      <w:r>
        <w:rPr>
          <w:rFonts w:cs="Arial"/>
        </w:rPr>
        <w:t>.</w:t>
      </w:r>
    </w:p>
    <w:p w:rsidR="00A750D7" w:rsidRPr="00904696" w:rsidRDefault="00A750D7" w:rsidP="00A750D7">
      <w:pPr>
        <w:rPr>
          <w:rFonts w:cs="Arial"/>
        </w:rPr>
      </w:pPr>
      <w:r w:rsidRPr="00904696">
        <w:rPr>
          <w:rFonts w:cs="Arial"/>
        </w:rPr>
        <w:t xml:space="preserve">Colonoscopy uptake </w:t>
      </w:r>
      <w:r>
        <w:rPr>
          <w:rFonts w:cs="Arial"/>
        </w:rPr>
        <w:t>was 86.1%.</w:t>
      </w:r>
      <w:r w:rsidRPr="00904696">
        <w:rPr>
          <w:rFonts w:cs="Arial"/>
        </w:rPr>
        <w:t xml:space="preserve"> </w:t>
      </w:r>
      <w:r>
        <w:rPr>
          <w:rFonts w:cs="Arial"/>
        </w:rPr>
        <w:t>The uptake rate</w:t>
      </w:r>
      <w:r w:rsidRPr="00904696">
        <w:rPr>
          <w:rFonts w:cs="Arial"/>
        </w:rPr>
        <w:t xml:space="preserve"> </w:t>
      </w:r>
      <w:r>
        <w:rPr>
          <w:rFonts w:cs="Arial"/>
        </w:rPr>
        <w:t>is an under-estimate because private colonoscopy data were not included.</w:t>
      </w:r>
    </w:p>
    <w:p w:rsidR="00A750D7" w:rsidRPr="00744428" w:rsidRDefault="00A750D7" w:rsidP="00A750D7">
      <w:pPr>
        <w:rPr>
          <w:rFonts w:cs="Arial"/>
        </w:rPr>
      </w:pPr>
      <w:r>
        <w:rPr>
          <w:rFonts w:cs="Arial"/>
        </w:rPr>
        <w:t xml:space="preserve">Colonoscopy uptake was higher among males (87.3%) compared with females (84.4%). </w:t>
      </w:r>
    </w:p>
    <w:p w:rsidR="00A750D7" w:rsidRPr="00744428" w:rsidRDefault="00A750D7" w:rsidP="00A750D7">
      <w:pPr>
        <w:rPr>
          <w:rFonts w:cs="Arial"/>
        </w:rPr>
      </w:pPr>
      <w:r w:rsidRPr="00744428">
        <w:rPr>
          <w:rFonts w:cs="Arial"/>
        </w:rPr>
        <w:t xml:space="preserve">Colonoscopy uptake was </w:t>
      </w:r>
      <w:r>
        <w:rPr>
          <w:rFonts w:cs="Arial"/>
        </w:rPr>
        <w:t>less l</w:t>
      </w:r>
      <w:r w:rsidRPr="00744428">
        <w:rPr>
          <w:rFonts w:cs="Arial"/>
        </w:rPr>
        <w:t xml:space="preserve">ikely </w:t>
      </w:r>
      <w:r>
        <w:rPr>
          <w:rFonts w:cs="Arial"/>
        </w:rPr>
        <w:t>among Asians aged 50-59 years (81.1%) than Europeans of the same age (88.3%).</w:t>
      </w:r>
    </w:p>
    <w:p w:rsidR="00A750D7" w:rsidRDefault="00A750D7" w:rsidP="00A750D7">
      <w:pPr>
        <w:rPr>
          <w:rFonts w:cs="Arial"/>
        </w:rPr>
      </w:pPr>
      <w:r w:rsidRPr="00744428">
        <w:rPr>
          <w:rFonts w:cs="Arial"/>
        </w:rPr>
        <w:t xml:space="preserve">Colonoscopy uptake </w:t>
      </w:r>
      <w:r>
        <w:rPr>
          <w:rFonts w:cs="Arial"/>
        </w:rPr>
        <w:t>increased with increasing deprivation.</w:t>
      </w:r>
    </w:p>
    <w:p w:rsidR="00F47669" w:rsidRPr="00FF7DA4" w:rsidRDefault="00F47669" w:rsidP="00F47669">
      <w:pPr>
        <w:rPr>
          <w:rFonts w:cs="Arial"/>
          <w:b/>
        </w:rPr>
      </w:pPr>
      <w:r w:rsidRPr="00FF7DA4">
        <w:rPr>
          <w:rFonts w:cs="Arial"/>
          <w:b/>
        </w:rPr>
        <w:t>Outcomes</w:t>
      </w:r>
    </w:p>
    <w:p w:rsidR="00A750D7" w:rsidRPr="00525A9A" w:rsidRDefault="00A750D7" w:rsidP="00A750D7">
      <w:pPr>
        <w:rPr>
          <w:lang w:eastAsia="en-US"/>
        </w:rPr>
      </w:pPr>
      <w:bookmarkStart w:id="33" w:name="_Toc390163137"/>
      <w:bookmarkStart w:id="34" w:name="_Toc390786715"/>
      <w:r w:rsidRPr="00525A9A">
        <w:rPr>
          <w:lang w:eastAsia="en-US"/>
        </w:rPr>
        <w:t>Seven percent of those who returned an adequate kit had a positive iFOBT result.</w:t>
      </w:r>
    </w:p>
    <w:p w:rsidR="00A750D7" w:rsidRPr="00525A9A" w:rsidRDefault="00A750D7" w:rsidP="00A750D7">
      <w:pPr>
        <w:rPr>
          <w:lang w:eastAsia="en-US"/>
        </w:rPr>
      </w:pPr>
      <w:r w:rsidRPr="00525A9A">
        <w:rPr>
          <w:lang w:eastAsia="en-US"/>
        </w:rPr>
        <w:t xml:space="preserve">Test positivity increased with increasing age. Males were more likely to have a positive iFOBT result than females. </w:t>
      </w:r>
    </w:p>
    <w:p w:rsidR="00A750D7" w:rsidRPr="00525A9A" w:rsidRDefault="00A750D7" w:rsidP="00A750D7">
      <w:pPr>
        <w:rPr>
          <w:lang w:eastAsia="en-US"/>
        </w:rPr>
      </w:pPr>
      <w:r w:rsidRPr="00525A9A">
        <w:rPr>
          <w:lang w:eastAsia="en-US"/>
        </w:rPr>
        <w:t>Māori were slightly more likely to have a positive iFOBT result than Europeans.</w:t>
      </w:r>
    </w:p>
    <w:p w:rsidR="00A750D7" w:rsidRPr="00525A9A" w:rsidRDefault="00A750D7" w:rsidP="00A750D7">
      <w:pPr>
        <w:rPr>
          <w:lang w:eastAsia="en-US"/>
        </w:rPr>
      </w:pPr>
      <w:r w:rsidRPr="00525A9A">
        <w:rPr>
          <w:lang w:eastAsia="en-US"/>
        </w:rPr>
        <w:t>Positivity was more likely with increasing deprivation.</w:t>
      </w:r>
    </w:p>
    <w:p w:rsidR="00A750D7" w:rsidRDefault="00A750D7" w:rsidP="00A750D7">
      <w:pPr>
        <w:rPr>
          <w:rFonts w:cs="Arial"/>
        </w:rPr>
      </w:pPr>
      <w:r w:rsidRPr="00744428">
        <w:rPr>
          <w:rFonts w:cs="Arial"/>
        </w:rPr>
        <w:t xml:space="preserve">The overall detection rate </w:t>
      </w:r>
      <w:r>
        <w:rPr>
          <w:rFonts w:cs="Arial"/>
        </w:rPr>
        <w:t>for</w:t>
      </w:r>
      <w:r w:rsidRPr="00744428">
        <w:rPr>
          <w:rFonts w:cs="Arial"/>
        </w:rPr>
        <w:t xml:space="preserve"> adenoma was 3.4%, advanced adenoma was 1.9%, and cancer was 0.2%.  </w:t>
      </w:r>
    </w:p>
    <w:p w:rsidR="00A750D7" w:rsidRPr="00744428" w:rsidRDefault="00A750D7" w:rsidP="00A750D7">
      <w:pPr>
        <w:rPr>
          <w:rFonts w:cs="Arial"/>
        </w:rPr>
      </w:pPr>
      <w:r w:rsidRPr="00744428">
        <w:rPr>
          <w:rFonts w:cs="Arial"/>
        </w:rPr>
        <w:t xml:space="preserve">The detection rate </w:t>
      </w:r>
      <w:r>
        <w:rPr>
          <w:rFonts w:cs="Arial"/>
        </w:rPr>
        <w:t xml:space="preserve">per iFOBT </w:t>
      </w:r>
      <w:r w:rsidRPr="00744428">
        <w:rPr>
          <w:rFonts w:cs="Arial"/>
        </w:rPr>
        <w:t>for adenoma, advanced adenoma and cancer increased with increasing age.</w:t>
      </w:r>
      <w:r>
        <w:rPr>
          <w:rFonts w:cs="Arial"/>
        </w:rPr>
        <w:t xml:space="preserve"> </w:t>
      </w:r>
      <w:r w:rsidRPr="00744428">
        <w:rPr>
          <w:rFonts w:cs="Arial"/>
        </w:rPr>
        <w:t xml:space="preserve">Males were </w:t>
      </w:r>
      <w:r>
        <w:rPr>
          <w:rFonts w:cs="Arial"/>
        </w:rPr>
        <w:t>more</w:t>
      </w:r>
      <w:r w:rsidRPr="00744428">
        <w:rPr>
          <w:rFonts w:cs="Arial"/>
        </w:rPr>
        <w:t xml:space="preserve"> likely to have an adenoma, advanced adenoma, or cancer detected than females. </w:t>
      </w:r>
    </w:p>
    <w:p w:rsidR="00A750D7" w:rsidRDefault="00A750D7" w:rsidP="00A750D7">
      <w:pPr>
        <w:rPr>
          <w:rFonts w:cs="Arial"/>
        </w:rPr>
      </w:pPr>
      <w:r w:rsidRPr="00744428">
        <w:rPr>
          <w:rFonts w:cs="Arial"/>
        </w:rPr>
        <w:t>Māori</w:t>
      </w:r>
      <w:r>
        <w:rPr>
          <w:rFonts w:cs="Arial"/>
        </w:rPr>
        <w:t xml:space="preserve"> aged 60-69 years were more likely to have an adenoma detected than Europeans of the same age.</w:t>
      </w:r>
    </w:p>
    <w:p w:rsidR="00A750D7" w:rsidRPr="00744428" w:rsidRDefault="00A750D7" w:rsidP="00A750D7">
      <w:pPr>
        <w:rPr>
          <w:rFonts w:cs="Arial"/>
        </w:rPr>
      </w:pPr>
      <w:r w:rsidRPr="00744428">
        <w:rPr>
          <w:rFonts w:cs="Arial"/>
        </w:rPr>
        <w:t xml:space="preserve">Māori </w:t>
      </w:r>
      <w:r>
        <w:rPr>
          <w:rFonts w:cs="Arial"/>
        </w:rPr>
        <w:t>we</w:t>
      </w:r>
      <w:r w:rsidRPr="00744428">
        <w:rPr>
          <w:rFonts w:cs="Arial"/>
        </w:rPr>
        <w:t>re more likely to have an advanced adenoma detected than Europeans</w:t>
      </w:r>
      <w:r>
        <w:rPr>
          <w:rFonts w:cs="Arial"/>
        </w:rPr>
        <w:t>.</w:t>
      </w:r>
    </w:p>
    <w:p w:rsidR="00A750D7" w:rsidRPr="00744428" w:rsidRDefault="00A750D7" w:rsidP="00A750D7">
      <w:pPr>
        <w:rPr>
          <w:rFonts w:cs="Arial"/>
        </w:rPr>
      </w:pPr>
      <w:r w:rsidRPr="00744428">
        <w:rPr>
          <w:rFonts w:cs="Arial"/>
        </w:rPr>
        <w:lastRenderedPageBreak/>
        <w:t xml:space="preserve">Asians </w:t>
      </w:r>
      <w:r>
        <w:rPr>
          <w:rFonts w:cs="Arial"/>
        </w:rPr>
        <w:t>were</w:t>
      </w:r>
      <w:r w:rsidRPr="00744428">
        <w:rPr>
          <w:rFonts w:cs="Arial"/>
        </w:rPr>
        <w:t xml:space="preserve"> less likely to have an advanced adenoma detected than Europeans</w:t>
      </w:r>
      <w:r>
        <w:rPr>
          <w:rFonts w:cs="Arial"/>
        </w:rPr>
        <w:t>.</w:t>
      </w:r>
    </w:p>
    <w:p w:rsidR="00A750D7" w:rsidRPr="00744428" w:rsidRDefault="00A750D7" w:rsidP="00A750D7">
      <w:pPr>
        <w:rPr>
          <w:rFonts w:cs="Arial"/>
        </w:rPr>
      </w:pPr>
      <w:r w:rsidRPr="00744428">
        <w:rPr>
          <w:rFonts w:cs="Arial"/>
        </w:rPr>
        <w:t xml:space="preserve">Participants from the most deprived areas </w:t>
      </w:r>
      <w:r>
        <w:rPr>
          <w:rFonts w:cs="Arial"/>
        </w:rPr>
        <w:t>were</w:t>
      </w:r>
      <w:r w:rsidRPr="00744428">
        <w:rPr>
          <w:rFonts w:cs="Arial"/>
        </w:rPr>
        <w:t xml:space="preserve"> more likely to have an adenoma </w:t>
      </w:r>
      <w:r>
        <w:rPr>
          <w:rFonts w:cs="Arial"/>
        </w:rPr>
        <w:t xml:space="preserve">or advanced adenoma </w:t>
      </w:r>
      <w:r w:rsidRPr="00744428">
        <w:rPr>
          <w:rFonts w:cs="Arial"/>
        </w:rPr>
        <w:t>detected than participants from the least deprived area.</w:t>
      </w:r>
      <w:r>
        <w:rPr>
          <w:rFonts w:cs="Arial"/>
        </w:rPr>
        <w:t xml:space="preserve"> This was also found when participants with advanced adenoma were combined with those with cancer.</w:t>
      </w:r>
    </w:p>
    <w:p w:rsidR="00A750D7" w:rsidRDefault="00A750D7" w:rsidP="00A750D7">
      <w:pPr>
        <w:autoSpaceDE w:val="0"/>
        <w:autoSpaceDN w:val="0"/>
        <w:adjustRightInd w:val="0"/>
        <w:rPr>
          <w:rFonts w:cs="Arial"/>
        </w:rPr>
      </w:pPr>
      <w:r>
        <w:rPr>
          <w:rFonts w:cs="Arial"/>
        </w:rPr>
        <w:t>Forty-eight per cent of people who had</w:t>
      </w:r>
      <w:r w:rsidRPr="00EE1C4C">
        <w:rPr>
          <w:rFonts w:cs="Arial"/>
        </w:rPr>
        <w:t xml:space="preserve"> a positive</w:t>
      </w:r>
      <w:r>
        <w:rPr>
          <w:rFonts w:cs="Arial"/>
        </w:rPr>
        <w:t xml:space="preserve"> i</w:t>
      </w:r>
      <w:r w:rsidRPr="00EE1C4C">
        <w:rPr>
          <w:rFonts w:cs="Arial"/>
        </w:rPr>
        <w:t xml:space="preserve">FOBT had </w:t>
      </w:r>
      <w:r>
        <w:rPr>
          <w:rFonts w:cs="Arial"/>
        </w:rPr>
        <w:t>an ad</w:t>
      </w:r>
      <w:r w:rsidRPr="00EE1C4C">
        <w:rPr>
          <w:rFonts w:cs="Arial"/>
        </w:rPr>
        <w:t>enoma detected</w:t>
      </w:r>
      <w:r>
        <w:rPr>
          <w:rFonts w:cs="Arial"/>
        </w:rPr>
        <w:t>, 26.9% had an advanced adenoma, and 2.9% had cancer detected. The positive predictive value of a positive iFOBT for cancer of 2.9% is below the range reported internationally in the first screening round of population-based programmes that use the iFOBT (Moss et al 2010; Major et al 2013).</w:t>
      </w:r>
    </w:p>
    <w:p w:rsidR="00A750D7" w:rsidRDefault="00A750D7" w:rsidP="00A750D7">
      <w:pPr>
        <w:rPr>
          <w:rFonts w:cs="Arial"/>
        </w:rPr>
      </w:pPr>
      <w:r>
        <w:rPr>
          <w:rFonts w:cs="Arial"/>
        </w:rPr>
        <w:t>There were some age, sex and ethnic differences in the effectiveness of a positive iFOBT in detecting adenoma, advanced adenoma and cancer.</w:t>
      </w:r>
    </w:p>
    <w:p w:rsidR="00A750D7" w:rsidRPr="00744428" w:rsidRDefault="00A750D7" w:rsidP="00A750D7">
      <w:pPr>
        <w:rPr>
          <w:rFonts w:cs="Arial"/>
        </w:rPr>
      </w:pPr>
      <w:r>
        <w:rPr>
          <w:rFonts w:cs="Arial"/>
        </w:rPr>
        <w:t>Figure 1 summarises the key findings f</w:t>
      </w:r>
      <w:r w:rsidRPr="00744428">
        <w:rPr>
          <w:rFonts w:cs="Arial"/>
        </w:rPr>
        <w:t>or those participants who had a positive iFOBT, a completed colonoscopy in the public system</w:t>
      </w:r>
      <w:r>
        <w:rPr>
          <w:rFonts w:cs="Arial"/>
        </w:rPr>
        <w:t>,</w:t>
      </w:r>
      <w:r w:rsidRPr="00744428">
        <w:rPr>
          <w:rFonts w:cs="Arial"/>
        </w:rPr>
        <w:t xml:space="preserve"> and histopathology results available by the end of October 2013. Some of these participants would have had more than one type of pathology; only the most serious type was recorded.</w:t>
      </w:r>
    </w:p>
    <w:p w:rsidR="00A750D7" w:rsidRPr="00744428" w:rsidRDefault="00A750D7" w:rsidP="00A750D7">
      <w:pPr>
        <w:rPr>
          <w:rFonts w:cs="Arial"/>
        </w:rPr>
      </w:pPr>
      <w:r w:rsidRPr="00744428">
        <w:rPr>
          <w:rFonts w:cs="Arial"/>
        </w:rPr>
        <w:t>Ninety-five participants had cancer detected (2</w:t>
      </w:r>
      <w:r>
        <w:rPr>
          <w:rFonts w:cs="Arial"/>
        </w:rPr>
        <w:t>.0</w:t>
      </w:r>
      <w:r w:rsidRPr="00744428">
        <w:rPr>
          <w:rFonts w:cs="Arial"/>
        </w:rPr>
        <w:t xml:space="preserve"> per 1</w:t>
      </w:r>
      <w:r>
        <w:rPr>
          <w:rFonts w:cs="Arial"/>
        </w:rPr>
        <w:t>,</w:t>
      </w:r>
      <w:r w:rsidRPr="00744428">
        <w:rPr>
          <w:rFonts w:cs="Arial"/>
        </w:rPr>
        <w:t>000 screened). Eighty were European, 12 were Asian, 2 were Māori and none w</w:t>
      </w:r>
      <w:r>
        <w:rPr>
          <w:rFonts w:cs="Arial"/>
        </w:rPr>
        <w:t>as</w:t>
      </w:r>
      <w:r w:rsidRPr="00744428">
        <w:rPr>
          <w:rFonts w:cs="Arial"/>
        </w:rPr>
        <w:t xml:space="preserve"> Pacific.</w:t>
      </w:r>
    </w:p>
    <w:p w:rsidR="00A750D7" w:rsidRDefault="00A750D7" w:rsidP="00A750D7">
      <w:pPr>
        <w:rPr>
          <w:rFonts w:cs="Arial"/>
        </w:rPr>
      </w:pPr>
      <w:r>
        <w:rPr>
          <w:rFonts w:cs="Arial"/>
        </w:rPr>
        <w:t>The c</w:t>
      </w:r>
      <w:r w:rsidRPr="00744428">
        <w:rPr>
          <w:rFonts w:cs="Arial"/>
        </w:rPr>
        <w:t>ancer detection rate increased with increasing age.  Males were almost twice as likely to have cancer as females.</w:t>
      </w:r>
      <w:r>
        <w:rPr>
          <w:rFonts w:cs="Arial"/>
        </w:rPr>
        <w:t xml:space="preserve"> </w:t>
      </w:r>
    </w:p>
    <w:p w:rsidR="00A750D7" w:rsidRDefault="00A750D7" w:rsidP="00A750D7">
      <w:pPr>
        <w:rPr>
          <w:rFonts w:cs="Arial"/>
        </w:rPr>
      </w:pPr>
      <w:r>
        <w:rPr>
          <w:rFonts w:cs="Arial"/>
        </w:rPr>
        <w:t>Almost 39% (n=37) of those participants with cancer detected had Stage I, the least advanced, and 8.4% (n=8) had Stage IV, the most advanced.</w:t>
      </w:r>
    </w:p>
    <w:p w:rsidR="00E44E24" w:rsidRDefault="00E44E24">
      <w:pPr>
        <w:spacing w:before="0"/>
        <w:ind w:left="0"/>
        <w:rPr>
          <w:b/>
        </w:rPr>
      </w:pPr>
      <w:r>
        <w:br w:type="page"/>
      </w:r>
    </w:p>
    <w:p w:rsidR="00F47669" w:rsidRPr="001528F3" w:rsidRDefault="00F47669" w:rsidP="001528F3">
      <w:pPr>
        <w:pStyle w:val="Figure"/>
      </w:pPr>
      <w:bookmarkStart w:id="35" w:name="_Toc412540128"/>
      <w:r w:rsidRPr="001528F3">
        <w:lastRenderedPageBreak/>
        <w:t xml:space="preserve">Figure 1: Summary of </w:t>
      </w:r>
      <w:r w:rsidR="009E39AE">
        <w:t>BSP</w:t>
      </w:r>
      <w:r w:rsidRPr="001528F3">
        <w:t xml:space="preserve"> outcomes</w:t>
      </w:r>
      <w:bookmarkEnd w:id="33"/>
      <w:bookmarkEnd w:id="34"/>
      <w:bookmarkEnd w:id="35"/>
    </w:p>
    <w:p w:rsidR="00F47669" w:rsidRDefault="00525A9A" w:rsidP="00F47669">
      <w:pPr>
        <w:jc w:val="center"/>
        <w:rPr>
          <w:rFonts w:cs="Arial"/>
          <w:sz w:val="26"/>
          <w:szCs w:val="26"/>
          <w:lang w:val="en-US"/>
        </w:rPr>
      </w:pPr>
      <w:r>
        <w:rPr>
          <w:noProof/>
          <w:lang w:eastAsia="en-NZ"/>
        </w:rPr>
        <w:drawing>
          <wp:inline distT="0" distB="0" distL="0" distR="0" wp14:anchorId="02E1512C" wp14:editId="18F3B371">
            <wp:extent cx="6029318" cy="7187609"/>
            <wp:effectExtent l="0" t="0" r="0" b="0"/>
            <wp:docPr id="1" name="Picture 1" descr="Figure 1: Summary of BSP outcomes" title="Figure 1: Summary of BS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32446" cy="7191337"/>
                    </a:xfrm>
                    <a:prstGeom prst="rect">
                      <a:avLst/>
                    </a:prstGeom>
                  </pic:spPr>
                </pic:pic>
              </a:graphicData>
            </a:graphic>
          </wp:inline>
        </w:drawing>
      </w:r>
    </w:p>
    <w:p w:rsidR="00A750D7" w:rsidRDefault="00A750D7">
      <w:pPr>
        <w:spacing w:before="0"/>
        <w:ind w:left="0"/>
        <w:rPr>
          <w:rFonts w:cs="Arial"/>
        </w:rPr>
      </w:pPr>
      <w:r>
        <w:rPr>
          <w:rFonts w:cs="Arial"/>
        </w:rPr>
        <w:br w:type="page"/>
      </w:r>
    </w:p>
    <w:p w:rsidR="00A750D7" w:rsidRDefault="00A750D7" w:rsidP="00A750D7">
      <w:pPr>
        <w:rPr>
          <w:rFonts w:cs="Arial"/>
        </w:rPr>
      </w:pPr>
      <w:r>
        <w:rPr>
          <w:rFonts w:cs="Arial"/>
        </w:rPr>
        <w:lastRenderedPageBreak/>
        <w:t>The self-selected population (n=1,895) were analysed separately and are not included in Figure 1. This</w:t>
      </w:r>
      <w:r w:rsidRPr="00A8661C">
        <w:rPr>
          <w:rFonts w:cs="Arial"/>
        </w:rPr>
        <w:t xml:space="preserve"> population comprised people in the eligible population who were not </w:t>
      </w:r>
      <w:r>
        <w:rPr>
          <w:rFonts w:cs="Arial"/>
        </w:rPr>
        <w:t>on</w:t>
      </w:r>
      <w:r w:rsidRPr="00A8661C">
        <w:rPr>
          <w:rFonts w:cs="Arial"/>
        </w:rPr>
        <w:t xml:space="preserve"> the BSP </w:t>
      </w:r>
      <w:r>
        <w:rPr>
          <w:rFonts w:cs="Arial"/>
        </w:rPr>
        <w:t>R</w:t>
      </w:r>
      <w:r w:rsidRPr="00A8661C">
        <w:rPr>
          <w:rFonts w:cs="Arial"/>
        </w:rPr>
        <w:t xml:space="preserve">egister but </w:t>
      </w:r>
      <w:r>
        <w:rPr>
          <w:rFonts w:cs="Arial"/>
        </w:rPr>
        <w:t xml:space="preserve">who </w:t>
      </w:r>
      <w:r w:rsidRPr="00A8661C">
        <w:rPr>
          <w:rFonts w:cs="Arial"/>
        </w:rPr>
        <w:t>requested screening</w:t>
      </w:r>
      <w:r>
        <w:rPr>
          <w:rFonts w:cs="Arial"/>
        </w:rPr>
        <w:t>,</w:t>
      </w:r>
      <w:r w:rsidRPr="00A8661C">
        <w:rPr>
          <w:rFonts w:cs="Arial"/>
        </w:rPr>
        <w:t xml:space="preserve"> </w:t>
      </w:r>
      <w:r w:rsidRPr="00B64792">
        <w:rPr>
          <w:rFonts w:cs="Arial"/>
        </w:rPr>
        <w:t xml:space="preserve">and people </w:t>
      </w:r>
      <w:r>
        <w:rPr>
          <w:rFonts w:cs="Arial"/>
        </w:rPr>
        <w:t xml:space="preserve">on the BSP Register </w:t>
      </w:r>
      <w:r w:rsidRPr="00B64792">
        <w:rPr>
          <w:rFonts w:cs="Arial"/>
        </w:rPr>
        <w:t>who requested screening before they were invited</w:t>
      </w:r>
      <w:r>
        <w:rPr>
          <w:rFonts w:cs="Arial"/>
        </w:rPr>
        <w:t>.</w:t>
      </w:r>
      <w:r w:rsidRPr="00A8661C">
        <w:rPr>
          <w:rFonts w:cs="Arial"/>
        </w:rPr>
        <w:t xml:space="preserve"> </w:t>
      </w:r>
      <w:r>
        <w:rPr>
          <w:rFonts w:cs="Arial"/>
        </w:rPr>
        <w:t>Unlike the non-self-selected population, there was no statistically significant difference in participation between males and females, and participation was higher among people living in the middle deprivation areas rather than the least deprived areas. This may explain the higher positivity (9.3%) and detection rates for all outcomes for the self-selected group. It is also possible that this group included people who were symptomatic, and therefore motivated to self-select. Eleven</w:t>
      </w:r>
      <w:r w:rsidRPr="00744428">
        <w:rPr>
          <w:rFonts w:cs="Arial"/>
        </w:rPr>
        <w:t xml:space="preserve"> p</w:t>
      </w:r>
      <w:r>
        <w:rPr>
          <w:rFonts w:cs="Arial"/>
        </w:rPr>
        <w:t>eople from this group, all European, ha</w:t>
      </w:r>
      <w:r w:rsidRPr="00744428">
        <w:rPr>
          <w:rFonts w:cs="Arial"/>
        </w:rPr>
        <w:t>d cancer detected</w:t>
      </w:r>
      <w:r>
        <w:rPr>
          <w:rFonts w:cs="Arial"/>
        </w:rPr>
        <w:t>.</w:t>
      </w:r>
    </w:p>
    <w:p w:rsidR="00A750D7" w:rsidRPr="00744428" w:rsidRDefault="00A750D7" w:rsidP="00A750D7">
      <w:pPr>
        <w:rPr>
          <w:rFonts w:cs="Arial"/>
        </w:rPr>
      </w:pPr>
      <w:r w:rsidRPr="00744428">
        <w:rPr>
          <w:rFonts w:cs="Arial"/>
        </w:rPr>
        <w:t>Forty-nine participants were readmitted</w:t>
      </w:r>
      <w:r>
        <w:rPr>
          <w:rFonts w:cs="Arial"/>
        </w:rPr>
        <w:t xml:space="preserve"> after their colonoscopy</w:t>
      </w:r>
      <w:r w:rsidRPr="00697D47">
        <w:rPr>
          <w:rStyle w:val="FootnoteReference"/>
        </w:rPr>
        <w:footnoteReference w:id="5"/>
      </w:r>
      <w:r w:rsidRPr="00744428">
        <w:rPr>
          <w:rFonts w:cs="Arial"/>
        </w:rPr>
        <w:t>. The most common cause</w:t>
      </w:r>
      <w:r>
        <w:rPr>
          <w:rFonts w:cs="Arial"/>
        </w:rPr>
        <w:t>s</w:t>
      </w:r>
      <w:r w:rsidRPr="00744428">
        <w:rPr>
          <w:rFonts w:cs="Arial"/>
        </w:rPr>
        <w:t xml:space="preserve"> </w:t>
      </w:r>
      <w:r>
        <w:rPr>
          <w:rFonts w:cs="Arial"/>
        </w:rPr>
        <w:t xml:space="preserve">for </w:t>
      </w:r>
      <w:r w:rsidRPr="00744428">
        <w:rPr>
          <w:rFonts w:cs="Arial"/>
        </w:rPr>
        <w:t>readmission w</w:t>
      </w:r>
      <w:r>
        <w:rPr>
          <w:rFonts w:cs="Arial"/>
        </w:rPr>
        <w:t>ere</w:t>
      </w:r>
      <w:r w:rsidRPr="00744428">
        <w:rPr>
          <w:rFonts w:cs="Arial"/>
        </w:rPr>
        <w:t xml:space="preserve"> bleeding (n=31), abdominal pain (n=7) and perforation (n=5).</w:t>
      </w:r>
      <w:r>
        <w:rPr>
          <w:rFonts w:cs="Arial"/>
        </w:rPr>
        <w:t xml:space="preserve"> </w:t>
      </w:r>
    </w:p>
    <w:p w:rsidR="00A750D7" w:rsidRPr="00744428" w:rsidRDefault="00A750D7" w:rsidP="00A750D7">
      <w:pPr>
        <w:rPr>
          <w:rFonts w:cs="Arial"/>
        </w:rPr>
      </w:pPr>
      <w:r w:rsidRPr="00744428">
        <w:rPr>
          <w:rFonts w:cs="Arial"/>
        </w:rPr>
        <w:t xml:space="preserve">The perforation rate was 1.2 per 1,000 </w:t>
      </w:r>
      <w:r>
        <w:rPr>
          <w:rFonts w:cs="Arial"/>
        </w:rPr>
        <w:t>colonoscopies</w:t>
      </w:r>
      <w:r w:rsidRPr="00744428">
        <w:rPr>
          <w:rFonts w:cs="Arial"/>
        </w:rPr>
        <w:t xml:space="preserve"> and the bleeding rate was 7.7 per 1,000 </w:t>
      </w:r>
      <w:r>
        <w:rPr>
          <w:rFonts w:cs="Arial"/>
        </w:rPr>
        <w:t>colonoscopies</w:t>
      </w:r>
      <w:r w:rsidRPr="00697D47">
        <w:rPr>
          <w:rStyle w:val="FootnoteReference"/>
        </w:rPr>
        <w:footnoteReference w:id="6"/>
      </w:r>
      <w:r w:rsidRPr="00744428">
        <w:rPr>
          <w:rFonts w:cs="Arial"/>
        </w:rPr>
        <w:t>.  There were no colonoscopy-related deaths.</w:t>
      </w:r>
    </w:p>
    <w:p w:rsidR="00A750D7" w:rsidRDefault="00A750D7" w:rsidP="00A750D7">
      <w:pPr>
        <w:rPr>
          <w:rFonts w:cs="Arial"/>
        </w:rPr>
      </w:pPr>
      <w:r>
        <w:rPr>
          <w:rFonts w:cs="Arial"/>
        </w:rPr>
        <w:t>Different definitions for adverse events, particularly for bleeding and follow up periods, make direct comparisons with international data difficult. Complications are more likely following polypectomy. The data supplied did not allow reliable calculation of rates for colonoscopies with polypectomy.</w:t>
      </w:r>
    </w:p>
    <w:p w:rsidR="0026065B" w:rsidRDefault="00401853" w:rsidP="0026065B">
      <w:pPr>
        <w:pStyle w:val="Heading3"/>
      </w:pPr>
      <w:r>
        <w:t xml:space="preserve">Population </w:t>
      </w:r>
      <w:r w:rsidR="00EB35F4">
        <w:t>R</w:t>
      </w:r>
      <w:r>
        <w:t xml:space="preserve">egister </w:t>
      </w:r>
      <w:r w:rsidR="00D27185">
        <w:t xml:space="preserve">objective </w:t>
      </w:r>
    </w:p>
    <w:p w:rsidR="0026065B" w:rsidRDefault="0026065B" w:rsidP="0026065B">
      <w:pPr>
        <w:rPr>
          <w:lang w:eastAsia="ar-SA"/>
        </w:rPr>
      </w:pPr>
      <w:r>
        <w:rPr>
          <w:lang w:eastAsia="ar-SA"/>
        </w:rPr>
        <w:t>H</w:t>
      </w:r>
      <w:r w:rsidRPr="00DC7A7C">
        <w:rPr>
          <w:lang w:eastAsia="ar-SA"/>
        </w:rPr>
        <w:t>aving</w:t>
      </w:r>
      <w:r w:rsidRPr="00A46722">
        <w:rPr>
          <w:lang w:eastAsia="ar-SA"/>
        </w:rPr>
        <w:t xml:space="preserve"> an eligible population database </w:t>
      </w:r>
      <w:r>
        <w:rPr>
          <w:lang w:eastAsia="ar-SA"/>
        </w:rPr>
        <w:t>(the Register) was identified by stakeholders a</w:t>
      </w:r>
      <w:r w:rsidRPr="00A46722">
        <w:rPr>
          <w:lang w:eastAsia="ar-SA"/>
        </w:rPr>
        <w:t xml:space="preserve">s </w:t>
      </w:r>
      <w:proofErr w:type="gramStart"/>
      <w:r w:rsidRPr="00A46722">
        <w:rPr>
          <w:lang w:eastAsia="ar-SA"/>
        </w:rPr>
        <w:t>a strength</w:t>
      </w:r>
      <w:proofErr w:type="gramEnd"/>
      <w:r w:rsidRPr="00A46722">
        <w:rPr>
          <w:lang w:eastAsia="ar-SA"/>
        </w:rPr>
        <w:t xml:space="preserve"> of the </w:t>
      </w:r>
      <w:r>
        <w:rPr>
          <w:lang w:eastAsia="ar-SA"/>
        </w:rPr>
        <w:t>BSP</w:t>
      </w:r>
      <w:r w:rsidRPr="00A46722">
        <w:rPr>
          <w:lang w:eastAsia="ar-SA"/>
        </w:rPr>
        <w:t xml:space="preserve"> </w:t>
      </w:r>
      <w:r>
        <w:rPr>
          <w:lang w:eastAsia="ar-SA"/>
        </w:rPr>
        <w:t xml:space="preserve">enabling the identification of the eligible population, </w:t>
      </w:r>
      <w:r w:rsidR="009E2473">
        <w:rPr>
          <w:lang w:eastAsia="ar-SA"/>
        </w:rPr>
        <w:t xml:space="preserve">the </w:t>
      </w:r>
      <w:r>
        <w:rPr>
          <w:lang w:eastAsia="ar-SA"/>
        </w:rPr>
        <w:t xml:space="preserve">distribution of kits and monitoring of participation by the eligible population, and informing targeted participant follow-up and </w:t>
      </w:r>
      <w:r w:rsidR="00856A05">
        <w:rPr>
          <w:lang w:eastAsia="ar-SA"/>
        </w:rPr>
        <w:t>Community Awareness Raising (</w:t>
      </w:r>
      <w:r>
        <w:rPr>
          <w:lang w:eastAsia="ar-SA"/>
        </w:rPr>
        <w:t>CAR</w:t>
      </w:r>
      <w:r w:rsidR="00856A05">
        <w:rPr>
          <w:lang w:eastAsia="ar-SA"/>
        </w:rPr>
        <w:t>)</w:t>
      </w:r>
      <w:r>
        <w:rPr>
          <w:lang w:eastAsia="ar-SA"/>
        </w:rPr>
        <w:t xml:space="preserve"> activities.</w:t>
      </w:r>
    </w:p>
    <w:p w:rsidR="0026065B" w:rsidRDefault="0026065B" w:rsidP="0026065B">
      <w:pPr>
        <w:rPr>
          <w:lang w:eastAsia="ar-SA"/>
        </w:rPr>
      </w:pPr>
      <w:r>
        <w:rPr>
          <w:lang w:eastAsia="ar-SA"/>
        </w:rPr>
        <w:t xml:space="preserve">While the Register has </w:t>
      </w:r>
      <w:r w:rsidR="00820224">
        <w:rPr>
          <w:lang w:eastAsia="ar-SA"/>
        </w:rPr>
        <w:t xml:space="preserve">relevance and </w:t>
      </w:r>
      <w:r>
        <w:rPr>
          <w:lang w:eastAsia="ar-SA"/>
        </w:rPr>
        <w:t xml:space="preserve">utility in the BSP, a number of critical limitations </w:t>
      </w:r>
      <w:r w:rsidR="00A0002A">
        <w:rPr>
          <w:lang w:eastAsia="ar-SA"/>
        </w:rPr>
        <w:t xml:space="preserve">with the Register </w:t>
      </w:r>
      <w:r>
        <w:rPr>
          <w:lang w:eastAsia="ar-SA"/>
        </w:rPr>
        <w:t xml:space="preserve">are impacting adversely on the BSP: </w:t>
      </w:r>
    </w:p>
    <w:p w:rsidR="000E050E" w:rsidRPr="00820224" w:rsidRDefault="000E050E" w:rsidP="000E050E">
      <w:pPr>
        <w:pStyle w:val="Bullet"/>
        <w:numPr>
          <w:ilvl w:val="0"/>
          <w:numId w:val="10"/>
        </w:numPr>
        <w:tabs>
          <w:tab w:val="num" w:pos="6663"/>
        </w:tabs>
        <w:ind w:left="1069"/>
      </w:pPr>
      <w:r w:rsidRPr="00820224">
        <w:t xml:space="preserve">Ensuring access to the BSP:  </w:t>
      </w:r>
      <w:r w:rsidR="00806AA1">
        <w:t>i</w:t>
      </w:r>
      <w:r w:rsidRPr="00820224">
        <w:t>t is estimated</w:t>
      </w:r>
      <w:r w:rsidR="00F77609" w:rsidRPr="00820224">
        <w:t>,</w:t>
      </w:r>
      <w:r w:rsidRPr="00820224">
        <w:t xml:space="preserve"> based on returned mail and the WDHB population survey (Litmus 2014a)</w:t>
      </w:r>
      <w:r w:rsidR="00F77609" w:rsidRPr="00820224">
        <w:t>,</w:t>
      </w:r>
      <w:r w:rsidRPr="00820224">
        <w:t xml:space="preserve"> that between 5% and 15% of eligible participants </w:t>
      </w:r>
      <w:r w:rsidR="00E2778A" w:rsidRPr="00820224">
        <w:t xml:space="preserve">may not have </w:t>
      </w:r>
      <w:r w:rsidRPr="00820224">
        <w:t>receive</w:t>
      </w:r>
      <w:r w:rsidR="00E2778A" w:rsidRPr="00820224">
        <w:t>d</w:t>
      </w:r>
      <w:r w:rsidRPr="00820224">
        <w:t xml:space="preserve"> a letter or kit in screening round one </w:t>
      </w:r>
      <w:r w:rsidR="00E2778A" w:rsidRPr="00820224">
        <w:t xml:space="preserve">potentially </w:t>
      </w:r>
      <w:r w:rsidRPr="00820224">
        <w:t xml:space="preserve">due to incorrect address details on the Register.  </w:t>
      </w:r>
    </w:p>
    <w:p w:rsidR="004830F8" w:rsidRPr="008A486D" w:rsidRDefault="004830F8" w:rsidP="004830F8">
      <w:pPr>
        <w:pStyle w:val="Bullet"/>
        <w:numPr>
          <w:ilvl w:val="0"/>
          <w:numId w:val="10"/>
        </w:numPr>
        <w:tabs>
          <w:tab w:val="num" w:pos="6663"/>
        </w:tabs>
        <w:ind w:left="1069"/>
        <w:rPr>
          <w:lang w:eastAsia="ar-SA"/>
        </w:rPr>
      </w:pPr>
      <w:r w:rsidRPr="008A486D">
        <w:rPr>
          <w:lang w:val="en-US"/>
        </w:rPr>
        <w:t>Data and IT resource at WDHB and Ministry of Health</w:t>
      </w:r>
      <w:r w:rsidR="00806AA1" w:rsidRPr="008A486D">
        <w:rPr>
          <w:lang w:val="en-US"/>
        </w:rPr>
        <w:t>:</w:t>
      </w:r>
      <w:r w:rsidRPr="008A486D">
        <w:rPr>
          <w:lang w:val="en-US"/>
        </w:rPr>
        <w:t xml:space="preserve"> </w:t>
      </w:r>
      <w:r w:rsidR="00806AA1" w:rsidRPr="008A486D">
        <w:rPr>
          <w:lang w:val="en-US"/>
        </w:rPr>
        <w:t>f</w:t>
      </w:r>
      <w:r w:rsidRPr="008A486D">
        <w:rPr>
          <w:lang w:val="en-US"/>
        </w:rPr>
        <w:t xml:space="preserve">eedback indicates that in the early implementation stages there was insufficient </w:t>
      </w:r>
      <w:r w:rsidRPr="008A486D">
        <w:rPr>
          <w:lang w:eastAsia="ar-SA"/>
        </w:rPr>
        <w:t>dedicated data and IT resource at WDHB</w:t>
      </w:r>
      <w:r w:rsidRPr="008A486D">
        <w:rPr>
          <w:rStyle w:val="FootnoteReference"/>
        </w:rPr>
        <w:footnoteReference w:id="7"/>
      </w:r>
      <w:r w:rsidRPr="008A486D">
        <w:rPr>
          <w:lang w:eastAsia="ar-SA"/>
        </w:rPr>
        <w:t xml:space="preserve"> and the Ministry</w:t>
      </w:r>
      <w:r w:rsidR="0051175B">
        <w:rPr>
          <w:lang w:eastAsia="ar-SA"/>
        </w:rPr>
        <w:t xml:space="preserve"> of Health</w:t>
      </w:r>
      <w:r w:rsidRPr="008A486D">
        <w:rPr>
          <w:lang w:eastAsia="ar-SA"/>
        </w:rPr>
        <w:t xml:space="preserve"> which contributed to a lack of timely updates to the Register resulting in challenges </w:t>
      </w:r>
      <w:r w:rsidR="00820224" w:rsidRPr="008A486D">
        <w:rPr>
          <w:lang w:eastAsia="ar-SA"/>
        </w:rPr>
        <w:t xml:space="preserve">to ensure </w:t>
      </w:r>
      <w:r w:rsidRPr="008A486D">
        <w:rPr>
          <w:lang w:eastAsia="ar-SA"/>
        </w:rPr>
        <w:t xml:space="preserve">data quality.   </w:t>
      </w:r>
    </w:p>
    <w:p w:rsidR="0026065B" w:rsidRPr="008A486D" w:rsidRDefault="00F81D83" w:rsidP="00604AA9">
      <w:pPr>
        <w:pStyle w:val="Bullet"/>
        <w:numPr>
          <w:ilvl w:val="0"/>
          <w:numId w:val="10"/>
        </w:numPr>
        <w:tabs>
          <w:tab w:val="num" w:pos="6663"/>
        </w:tabs>
        <w:ind w:left="1069"/>
        <w:rPr>
          <w:lang w:eastAsia="ar-SA"/>
        </w:rPr>
      </w:pPr>
      <w:r w:rsidRPr="008A486D">
        <w:rPr>
          <w:lang w:eastAsia="ar-SA"/>
        </w:rPr>
        <w:t xml:space="preserve">Assessing participation and outcomes: </w:t>
      </w:r>
      <w:r w:rsidR="00F622D2" w:rsidRPr="008A486D">
        <w:rPr>
          <w:lang w:eastAsia="ar-SA"/>
        </w:rPr>
        <w:t xml:space="preserve"> </w:t>
      </w:r>
      <w:r w:rsidR="00806AA1" w:rsidRPr="008A486D">
        <w:rPr>
          <w:lang w:eastAsia="ar-SA"/>
        </w:rPr>
        <w:t>e</w:t>
      </w:r>
      <w:r w:rsidR="00F622D2" w:rsidRPr="008A486D">
        <w:rPr>
          <w:lang w:eastAsia="ar-SA"/>
        </w:rPr>
        <w:t xml:space="preserve">valuation </w:t>
      </w:r>
      <w:r w:rsidR="00525A9A" w:rsidRPr="008A486D">
        <w:rPr>
          <w:lang w:eastAsia="ar-SA"/>
        </w:rPr>
        <w:t xml:space="preserve">of participation and outcomes from the BSP </w:t>
      </w:r>
      <w:r w:rsidR="00F622D2" w:rsidRPr="008A486D">
        <w:rPr>
          <w:lang w:eastAsia="ar-SA"/>
        </w:rPr>
        <w:t xml:space="preserve">is being </w:t>
      </w:r>
      <w:r w:rsidR="006778E0" w:rsidRPr="008A486D">
        <w:rPr>
          <w:lang w:eastAsia="ar-SA"/>
        </w:rPr>
        <w:t xml:space="preserve">adversely </w:t>
      </w:r>
      <w:r w:rsidR="00525A9A" w:rsidRPr="008A486D">
        <w:rPr>
          <w:lang w:eastAsia="ar-SA"/>
        </w:rPr>
        <w:t xml:space="preserve">effected </w:t>
      </w:r>
      <w:r w:rsidR="00F622D2" w:rsidRPr="008A486D">
        <w:rPr>
          <w:lang w:eastAsia="ar-SA"/>
        </w:rPr>
        <w:t xml:space="preserve">by </w:t>
      </w:r>
      <w:r w:rsidR="00525A9A" w:rsidRPr="008A486D">
        <w:rPr>
          <w:lang w:eastAsia="ar-SA"/>
        </w:rPr>
        <w:t>a</w:t>
      </w:r>
      <w:r w:rsidR="006778E0" w:rsidRPr="008A486D">
        <w:rPr>
          <w:lang w:eastAsia="ar-SA"/>
        </w:rPr>
        <w:t xml:space="preserve"> </w:t>
      </w:r>
      <w:r w:rsidR="00F622D2" w:rsidRPr="008A486D">
        <w:rPr>
          <w:lang w:eastAsia="ar-SA"/>
        </w:rPr>
        <w:t>l</w:t>
      </w:r>
      <w:r w:rsidR="0026065B" w:rsidRPr="008A486D">
        <w:rPr>
          <w:lang w:eastAsia="ar-SA"/>
        </w:rPr>
        <w:t xml:space="preserve">ack of </w:t>
      </w:r>
      <w:r w:rsidR="00820224" w:rsidRPr="008A486D">
        <w:rPr>
          <w:lang w:eastAsia="ar-SA"/>
        </w:rPr>
        <w:t xml:space="preserve">clear </w:t>
      </w:r>
      <w:r w:rsidR="0026065B" w:rsidRPr="008A486D">
        <w:rPr>
          <w:lang w:eastAsia="ar-SA"/>
        </w:rPr>
        <w:t>data definition</w:t>
      </w:r>
      <w:r w:rsidR="00F530C4" w:rsidRPr="008A486D">
        <w:rPr>
          <w:lang w:eastAsia="ar-SA"/>
        </w:rPr>
        <w:t>s</w:t>
      </w:r>
      <w:r w:rsidR="008A486D" w:rsidRPr="008A486D">
        <w:rPr>
          <w:lang w:eastAsia="ar-SA"/>
        </w:rPr>
        <w:t xml:space="preserve"> and data quality assurances of </w:t>
      </w:r>
      <w:r w:rsidR="00F530C4" w:rsidRPr="008A486D">
        <w:rPr>
          <w:lang w:eastAsia="ar-SA"/>
        </w:rPr>
        <w:t>the Register.</w:t>
      </w:r>
      <w:r w:rsidR="0026065B" w:rsidRPr="008A486D">
        <w:rPr>
          <w:lang w:eastAsia="ar-SA"/>
        </w:rPr>
        <w:t xml:space="preserve">  </w:t>
      </w:r>
    </w:p>
    <w:p w:rsidR="00381D12" w:rsidRDefault="00067BD4" w:rsidP="00067BD4">
      <w:pPr>
        <w:pStyle w:val="Heading3"/>
      </w:pPr>
      <w:r w:rsidRPr="008C525B">
        <w:lastRenderedPageBreak/>
        <w:t>Acceptability to the target population</w:t>
      </w:r>
      <w:r w:rsidR="00D27185">
        <w:t xml:space="preserve"> objective</w:t>
      </w:r>
    </w:p>
    <w:p w:rsidR="00067BD4" w:rsidRPr="00D97639" w:rsidRDefault="00067BD4" w:rsidP="00067BD4">
      <w:r w:rsidRPr="00D97639">
        <w:t xml:space="preserve">The acceptability of the BSP </w:t>
      </w:r>
      <w:r w:rsidR="006247F2">
        <w:t xml:space="preserve">(defined by awareness, attitudes </w:t>
      </w:r>
      <w:r w:rsidR="00F702FC">
        <w:t xml:space="preserve">and </w:t>
      </w:r>
      <w:r w:rsidR="006247F2">
        <w:t xml:space="preserve">knowledge) </w:t>
      </w:r>
      <w:r w:rsidRPr="00D97639">
        <w:t xml:space="preserve">varies amongst the </w:t>
      </w:r>
      <w:r>
        <w:t>eligible</w:t>
      </w:r>
      <w:r w:rsidRPr="00D97639">
        <w:t xml:space="preserve"> population</w:t>
      </w:r>
      <w:r>
        <w:t xml:space="preserve"> reflecting </w:t>
      </w:r>
      <w:r w:rsidRPr="00D97639">
        <w:t xml:space="preserve">it is not a homogenous group.  Acceptability of the BSP </w:t>
      </w:r>
      <w:r w:rsidR="006247F2">
        <w:t xml:space="preserve">is higher amongst the eligible </w:t>
      </w:r>
      <w:proofErr w:type="gramStart"/>
      <w:r w:rsidR="006247F2">
        <w:t>O</w:t>
      </w:r>
      <w:r w:rsidRPr="00D97639">
        <w:t>ther</w:t>
      </w:r>
      <w:proofErr w:type="gramEnd"/>
      <w:r w:rsidRPr="00D97639">
        <w:t xml:space="preserve"> group</w:t>
      </w:r>
      <w:r w:rsidRPr="00697D47">
        <w:rPr>
          <w:rStyle w:val="FootnoteReference"/>
        </w:rPr>
        <w:footnoteReference w:id="8"/>
      </w:r>
      <w:r w:rsidRPr="00D97639">
        <w:t xml:space="preserve">, and lower amongst </w:t>
      </w:r>
      <w:r>
        <w:t xml:space="preserve">eligible </w:t>
      </w:r>
      <w:r w:rsidRPr="00D97639">
        <w:t>M</w:t>
      </w:r>
      <w:r w:rsidRPr="00D97639">
        <w:rPr>
          <w:rFonts w:cs="Arial"/>
        </w:rPr>
        <w:t>ā</w:t>
      </w:r>
      <w:r w:rsidRPr="00D97639">
        <w:t xml:space="preserve">ori and Pacific people. </w:t>
      </w:r>
    </w:p>
    <w:p w:rsidR="008D1426" w:rsidRDefault="008D1426" w:rsidP="008D1426">
      <w:pPr>
        <w:spacing w:before="120"/>
      </w:pPr>
      <w:r>
        <w:t xml:space="preserve">Since the launch of the BSP, awareness of the BSP has significantly increased amongst the eligible </w:t>
      </w:r>
      <w:proofErr w:type="gramStart"/>
      <w:r>
        <w:t>Other</w:t>
      </w:r>
      <w:proofErr w:type="gramEnd"/>
      <w:r>
        <w:t xml:space="preserve"> group.  Knowledge about bowel cancer risk factors, symptoms and bowel cancer tests has also increased.  Perceptions of the iFOBT have also become more positive with significant increases in disagreement that the iFOBT is painful, embarrassing, inconvenient, messy and inaccurate.   </w:t>
      </w:r>
    </w:p>
    <w:p w:rsidR="007E6953" w:rsidRDefault="007E6953" w:rsidP="007E6953">
      <w:pPr>
        <w:spacing w:before="120"/>
        <w:rPr>
          <w:rFonts w:cs="Arial"/>
          <w:lang w:eastAsia="en-US"/>
        </w:rPr>
      </w:pPr>
      <w:r>
        <w:t xml:space="preserve">Compared to the </w:t>
      </w:r>
      <w:proofErr w:type="gramStart"/>
      <w:r>
        <w:t>O</w:t>
      </w:r>
      <w:r w:rsidRPr="00D97639">
        <w:t>ther</w:t>
      </w:r>
      <w:proofErr w:type="gramEnd"/>
      <w:r w:rsidRPr="00D97639">
        <w:t xml:space="preserve"> group, M</w:t>
      </w:r>
      <w:r w:rsidRPr="00D97639">
        <w:rPr>
          <w:rFonts w:cs="Arial"/>
        </w:rPr>
        <w:t>ā</w:t>
      </w:r>
      <w:r w:rsidRPr="00D97639">
        <w:t xml:space="preserve">ori and Pacific people have lower awareness of bowel cancer risk factors, symptoms and bowel cancer tests including the </w:t>
      </w:r>
      <w:r w:rsidR="007A46C9">
        <w:t>iFOBT</w:t>
      </w:r>
      <w:r w:rsidRPr="00D97639">
        <w:t xml:space="preserve"> which may reflect their lower levels of participation.</w:t>
      </w:r>
      <w:r>
        <w:t xml:space="preserve">  Other barriers to participation include a dislike of bowel screening, a preference </w:t>
      </w:r>
      <w:r>
        <w:rPr>
          <w:lang w:eastAsia="en-US"/>
        </w:rPr>
        <w:t xml:space="preserve">for seeing their doctor, not being concerned, a fatalistic attitude of ‘what will be will be’ or not wanting to know, and not wanting to do the </w:t>
      </w:r>
      <w:r>
        <w:rPr>
          <w:rFonts w:cs="Arial"/>
          <w:lang w:eastAsia="en-US"/>
        </w:rPr>
        <w:t xml:space="preserve">test at home.  Pacific people also perceive the iFOBT as messy. </w:t>
      </w:r>
    </w:p>
    <w:p w:rsidR="009A43A9" w:rsidRDefault="009A43A9" w:rsidP="009A43A9">
      <w:pPr>
        <w:rPr>
          <w:lang w:eastAsia="ar-SA"/>
        </w:rPr>
      </w:pPr>
      <w:r w:rsidRPr="00595020">
        <w:rPr>
          <w:rFonts w:cs="Arial"/>
          <w:lang w:eastAsia="en-US"/>
        </w:rPr>
        <w:t xml:space="preserve">BSP </w:t>
      </w:r>
      <w:r w:rsidRPr="00595020">
        <w:t>participants’</w:t>
      </w:r>
      <w:r w:rsidRPr="00595020">
        <w:rPr>
          <w:rFonts w:cs="Arial"/>
          <w:lang w:eastAsia="en-US"/>
        </w:rPr>
        <w:t xml:space="preserve"> experience of the BSP is mainly positive</w:t>
      </w:r>
      <w:r>
        <w:rPr>
          <w:rFonts w:cs="Arial"/>
          <w:lang w:eastAsia="en-US"/>
        </w:rPr>
        <w:t xml:space="preserve">.  </w:t>
      </w:r>
      <w:r>
        <w:rPr>
          <w:lang w:eastAsia="ar-SA"/>
        </w:rPr>
        <w:t>P</w:t>
      </w:r>
      <w:r>
        <w:rPr>
          <w:rFonts w:cs="Arial"/>
          <w:lang w:eastAsia="ar-SA"/>
        </w:rPr>
        <w:t>ā</w:t>
      </w:r>
      <w:r>
        <w:rPr>
          <w:lang w:eastAsia="ar-SA"/>
        </w:rPr>
        <w:t>keh</w:t>
      </w:r>
      <w:r>
        <w:rPr>
          <w:rFonts w:cs="Arial"/>
          <w:lang w:eastAsia="ar-SA"/>
        </w:rPr>
        <w:t>ā</w:t>
      </w:r>
      <w:r>
        <w:rPr>
          <w:lang w:eastAsia="ar-SA"/>
        </w:rPr>
        <w:t>, M</w:t>
      </w:r>
      <w:r>
        <w:rPr>
          <w:rFonts w:cs="Arial"/>
          <w:lang w:eastAsia="ar-SA"/>
        </w:rPr>
        <w:t>ā</w:t>
      </w:r>
      <w:r>
        <w:rPr>
          <w:lang w:eastAsia="ar-SA"/>
        </w:rPr>
        <w:t xml:space="preserve">ori and Pacific BSP participants interviewed </w:t>
      </w:r>
      <w:r>
        <w:t xml:space="preserve">consistently described their </w:t>
      </w:r>
      <w:r>
        <w:rPr>
          <w:lang w:eastAsia="ar-SA"/>
        </w:rPr>
        <w:t xml:space="preserve">experience of the BSP as convenient, the iFOBT as easy to do with timely results and progression along the pathway.  For those with a positive iFOBT, the communication about their results was reassuring, and their colonoscopy experience was timely and respectful.  </w:t>
      </w:r>
    </w:p>
    <w:p w:rsidR="00C2010A" w:rsidRDefault="00C2010A" w:rsidP="00C2010A">
      <w:pPr>
        <w:pStyle w:val="Heading3"/>
      </w:pPr>
      <w:r w:rsidRPr="008C525B">
        <w:t xml:space="preserve">Fair access for all New Zealanders </w:t>
      </w:r>
      <w:r w:rsidR="000C2295">
        <w:t>objective</w:t>
      </w:r>
    </w:p>
    <w:p w:rsidR="00C2010A" w:rsidRDefault="005969AB" w:rsidP="005969AB">
      <w:r>
        <w:t xml:space="preserve">The current design and implementation of the BSP is not resulting in fair access to </w:t>
      </w:r>
      <w:r w:rsidR="008B19EE">
        <w:t xml:space="preserve">the eligible BSP population in WDHB. </w:t>
      </w:r>
      <w:r w:rsidR="00E6099E">
        <w:t xml:space="preserve"> </w:t>
      </w:r>
      <w:r>
        <w:t>Significant effort has been placed on trying to deliver the BSP in a way that will facilitate access for eligible M</w:t>
      </w:r>
      <w:r>
        <w:rPr>
          <w:rFonts w:cs="Arial"/>
        </w:rPr>
        <w:t>ā</w:t>
      </w:r>
      <w:r>
        <w:t>ori and Pacific people.  However, f</w:t>
      </w:r>
      <w:r w:rsidR="00C2010A">
        <w:t>eedback highlights that M</w:t>
      </w:r>
      <w:r w:rsidR="00C2010A">
        <w:rPr>
          <w:rFonts w:cs="Arial"/>
        </w:rPr>
        <w:t>ā</w:t>
      </w:r>
      <w:r w:rsidR="00C2010A">
        <w:t xml:space="preserve">ori and Pacific leaders could have been more involved in decision-making during the design and implementation of the BSP.  </w:t>
      </w:r>
    </w:p>
    <w:p w:rsidR="00C2010A" w:rsidRDefault="00E6099E" w:rsidP="00C2010A">
      <w:pPr>
        <w:autoSpaceDE w:val="0"/>
        <w:autoSpaceDN w:val="0"/>
        <w:adjustRightInd w:val="0"/>
        <w:spacing w:before="120"/>
        <w:rPr>
          <w:lang w:eastAsia="ar-SA"/>
        </w:rPr>
      </w:pPr>
      <w:r w:rsidRPr="009826F2">
        <w:rPr>
          <w:lang w:eastAsia="ar-SA"/>
        </w:rPr>
        <w:t xml:space="preserve">Feedback from </w:t>
      </w:r>
      <w:r w:rsidRPr="009826F2">
        <w:t>eligible M</w:t>
      </w:r>
      <w:r w:rsidRPr="009826F2">
        <w:rPr>
          <w:rFonts w:cs="Arial"/>
        </w:rPr>
        <w:t>ā</w:t>
      </w:r>
      <w:r w:rsidRPr="009826F2">
        <w:t xml:space="preserve">ori and Pacific </w:t>
      </w:r>
      <w:r w:rsidRPr="009826F2">
        <w:rPr>
          <w:lang w:eastAsia="ar-SA"/>
        </w:rPr>
        <w:t>people who received a kit and did not respond suggest the current design</w:t>
      </w:r>
      <w:r w:rsidR="00F77609" w:rsidRPr="009826F2">
        <w:rPr>
          <w:lang w:eastAsia="ar-SA"/>
        </w:rPr>
        <w:t xml:space="preserve"> </w:t>
      </w:r>
      <w:r w:rsidRPr="009826F2">
        <w:rPr>
          <w:lang w:eastAsia="ar-SA"/>
        </w:rPr>
        <w:t>of distributing kits and collecting samples vi</w:t>
      </w:r>
      <w:r w:rsidR="000505E9" w:rsidRPr="009826F2">
        <w:rPr>
          <w:lang w:eastAsia="ar-SA"/>
        </w:rPr>
        <w:t>a</w:t>
      </w:r>
      <w:r w:rsidRPr="009826F2">
        <w:rPr>
          <w:lang w:eastAsia="ar-SA"/>
        </w:rPr>
        <w:t xml:space="preserve"> mail is not effective for all </w:t>
      </w:r>
      <w:r w:rsidR="009826F2" w:rsidRPr="009826F2">
        <w:rPr>
          <w:lang w:eastAsia="ar-SA"/>
        </w:rPr>
        <w:t>because of</w:t>
      </w:r>
      <w:r w:rsidRPr="009826F2">
        <w:rPr>
          <w:lang w:eastAsia="ar-SA"/>
        </w:rPr>
        <w:t xml:space="preserve"> literacy, language</w:t>
      </w:r>
      <w:r w:rsidR="009826F2">
        <w:rPr>
          <w:lang w:eastAsia="ar-SA"/>
        </w:rPr>
        <w:t>,</w:t>
      </w:r>
      <w:r w:rsidRPr="009826F2">
        <w:rPr>
          <w:lang w:eastAsia="ar-SA"/>
        </w:rPr>
        <w:t xml:space="preserve"> and environmental barriers (</w:t>
      </w:r>
      <w:r w:rsidR="000505E9" w:rsidRPr="009826F2">
        <w:rPr>
          <w:lang w:eastAsia="ar-SA"/>
        </w:rPr>
        <w:t xml:space="preserve">i.e. </w:t>
      </w:r>
      <w:r w:rsidRPr="009826F2">
        <w:rPr>
          <w:lang w:eastAsia="ar-SA"/>
        </w:rPr>
        <w:t xml:space="preserve">not receiving or opening the letter). </w:t>
      </w:r>
      <w:r>
        <w:rPr>
          <w:lang w:eastAsia="ar-SA"/>
        </w:rPr>
        <w:t xml:space="preserve"> Further, research highlighted that t</w:t>
      </w:r>
      <w:r w:rsidR="005969AB">
        <w:rPr>
          <w:lang w:eastAsia="ar-SA"/>
        </w:rPr>
        <w:t xml:space="preserve">he initial </w:t>
      </w:r>
      <w:r w:rsidR="00C2010A">
        <w:rPr>
          <w:lang w:eastAsia="ar-SA"/>
        </w:rPr>
        <w:t xml:space="preserve">BSP letters, kit instruction and consent form were not easy to understand.  </w:t>
      </w:r>
      <w:r>
        <w:rPr>
          <w:lang w:eastAsia="ar-SA"/>
        </w:rPr>
        <w:t>I</w:t>
      </w:r>
      <w:r w:rsidR="00C2010A">
        <w:rPr>
          <w:lang w:eastAsia="ar-SA"/>
        </w:rPr>
        <w:t>n 2013 t</w:t>
      </w:r>
      <w:r w:rsidR="00C2010A" w:rsidRPr="00995633">
        <w:rPr>
          <w:lang w:eastAsia="ar-SA"/>
        </w:rPr>
        <w:t xml:space="preserve">he pre-invitation letter, kit instructions and consent form </w:t>
      </w:r>
      <w:r w:rsidR="00C2010A">
        <w:rPr>
          <w:lang w:eastAsia="ar-SA"/>
        </w:rPr>
        <w:t xml:space="preserve">were revised </w:t>
      </w:r>
      <w:r w:rsidR="00C2010A" w:rsidRPr="00995633">
        <w:rPr>
          <w:lang w:eastAsia="ar-SA"/>
        </w:rPr>
        <w:t xml:space="preserve">to be more accessible to </w:t>
      </w:r>
      <w:r w:rsidR="00C2010A">
        <w:rPr>
          <w:lang w:eastAsia="ar-SA"/>
        </w:rPr>
        <w:t xml:space="preserve">a wider range of </w:t>
      </w:r>
      <w:r w:rsidR="00C2010A" w:rsidRPr="00995633">
        <w:rPr>
          <w:lang w:eastAsia="ar-SA"/>
        </w:rPr>
        <w:t xml:space="preserve">literacy levels.  These </w:t>
      </w:r>
      <w:r w:rsidR="00C2010A">
        <w:rPr>
          <w:lang w:eastAsia="ar-SA"/>
        </w:rPr>
        <w:t xml:space="preserve">revised </w:t>
      </w:r>
      <w:r w:rsidR="00C2010A" w:rsidRPr="00995633">
        <w:rPr>
          <w:lang w:eastAsia="ar-SA"/>
        </w:rPr>
        <w:t xml:space="preserve">documents </w:t>
      </w:r>
      <w:r w:rsidR="00C2010A">
        <w:rPr>
          <w:lang w:eastAsia="ar-SA"/>
        </w:rPr>
        <w:t>were introduced</w:t>
      </w:r>
      <w:r w:rsidR="00C2010A" w:rsidRPr="00995633">
        <w:rPr>
          <w:lang w:eastAsia="ar-SA"/>
        </w:rPr>
        <w:t xml:space="preserve"> in the second screening round </w:t>
      </w:r>
      <w:r w:rsidR="008B19EE">
        <w:rPr>
          <w:lang w:eastAsia="ar-SA"/>
        </w:rPr>
        <w:t>beginning in</w:t>
      </w:r>
      <w:r w:rsidR="008B19EE" w:rsidRPr="00995633">
        <w:rPr>
          <w:lang w:eastAsia="ar-SA"/>
        </w:rPr>
        <w:t xml:space="preserve"> </w:t>
      </w:r>
      <w:r w:rsidR="00C2010A" w:rsidRPr="00995633">
        <w:rPr>
          <w:lang w:eastAsia="ar-SA"/>
        </w:rPr>
        <w:t xml:space="preserve">January 2014.  </w:t>
      </w:r>
    </w:p>
    <w:p w:rsidR="00E2778A" w:rsidRPr="00820224" w:rsidRDefault="00E2778A" w:rsidP="00E2778A">
      <w:r w:rsidRPr="00820224">
        <w:t>In screening round one, CAR and communication activities were the key mechanisms employed to raise awareness and increase acceptance and completion of the iFOBT amongst M</w:t>
      </w:r>
      <w:r w:rsidRPr="00820224">
        <w:rPr>
          <w:rFonts w:cs="Arial"/>
        </w:rPr>
        <w:t>ā</w:t>
      </w:r>
      <w:r w:rsidRPr="00820224">
        <w:t xml:space="preserve">ori, Pacific and Asian populations.  CAR and communication activities were not defined in the BSP programme design.  Consequently, the BSP Coordination Centre and the CAR team used a range of tactics to increase awareness and participation.  </w:t>
      </w:r>
    </w:p>
    <w:p w:rsidR="00E2778A" w:rsidRDefault="00E2778A" w:rsidP="002E41E5">
      <w:pPr>
        <w:keepNext/>
        <w:keepLines/>
      </w:pPr>
      <w:r w:rsidRPr="00820224">
        <w:lastRenderedPageBreak/>
        <w:t>Awareness of the BSP has increased for eligible M</w:t>
      </w:r>
      <w:r w:rsidRPr="00820224">
        <w:rPr>
          <w:rFonts w:cs="Arial"/>
        </w:rPr>
        <w:t>ā</w:t>
      </w:r>
      <w:r w:rsidRPr="00820224">
        <w:t>ori and Pacific people since the launch of the BS</w:t>
      </w:r>
      <w:r w:rsidR="002F42A3">
        <w:t>P</w:t>
      </w:r>
      <w:r w:rsidRPr="00820224">
        <w:t xml:space="preserve">, although not to the same level as the ‘Other’ ethnic group (Litmus 2014a). The later suggests that the communication strategies are having an </w:t>
      </w:r>
      <w:r w:rsidR="002F42A3">
        <w:t>e</w:t>
      </w:r>
      <w:r w:rsidRPr="00820224">
        <w:t>ffect. Anecdotal evidence suggests that face-to-face engagement is beneficial in supporting and prompting M</w:t>
      </w:r>
      <w:r w:rsidRPr="00820224">
        <w:rPr>
          <w:rFonts w:cs="Arial"/>
        </w:rPr>
        <w:t>ā</w:t>
      </w:r>
      <w:r w:rsidRPr="00820224">
        <w:t>ori and Pacific people to act.  The evaluation is unable to assess the effectiveness of CAR strategies used.  However, it is acknowledged that without them uptake by M</w:t>
      </w:r>
      <w:r w:rsidRPr="00820224">
        <w:rPr>
          <w:rFonts w:cs="Arial"/>
        </w:rPr>
        <w:t>ā</w:t>
      </w:r>
      <w:r w:rsidRPr="00820224">
        <w:t>ori and Pacific people is likely to have been lower.</w:t>
      </w:r>
      <w:r>
        <w:t xml:space="preserve"> </w:t>
      </w:r>
    </w:p>
    <w:p w:rsidR="00C80F8C" w:rsidRDefault="00C80F8C" w:rsidP="00406C0A">
      <w:pPr>
        <w:pStyle w:val="Heading3"/>
      </w:pPr>
      <w:r>
        <w:t xml:space="preserve">Acceptability to providers </w:t>
      </w:r>
      <w:r w:rsidR="000C2295">
        <w:t>objective</w:t>
      </w:r>
    </w:p>
    <w:p w:rsidR="00C80F8C" w:rsidRDefault="00C80F8C" w:rsidP="005969AB">
      <w:r>
        <w:t xml:space="preserve">The acceptability of the BSP </w:t>
      </w:r>
      <w:r w:rsidR="00F702FC">
        <w:t xml:space="preserve">(defined by awareness, attitudes and knowledge) </w:t>
      </w:r>
      <w:r>
        <w:t xml:space="preserve">and its design is high amongst providers in </w:t>
      </w:r>
      <w:r w:rsidR="008B19EE">
        <w:t xml:space="preserve">the </w:t>
      </w:r>
      <w:r>
        <w:t>community, primary care and hospital setting</w:t>
      </w:r>
      <w:r w:rsidR="002F42A3">
        <w:t>s</w:t>
      </w:r>
      <w:r>
        <w:t xml:space="preserve">.  There is support for the BSP to be rolled out as a national screening programme, although there is recognition </w:t>
      </w:r>
      <w:r w:rsidR="008B19EE">
        <w:t>that</w:t>
      </w:r>
      <w:r>
        <w:t xml:space="preserve"> further work </w:t>
      </w:r>
      <w:r w:rsidR="008B19EE">
        <w:t xml:space="preserve">will be required to </w:t>
      </w:r>
      <w:r>
        <w:t>ensur</w:t>
      </w:r>
      <w:r w:rsidR="008B19EE">
        <w:t>e</w:t>
      </w:r>
      <w:r>
        <w:t xml:space="preserve"> equity of participation, adequate workforce capacity</w:t>
      </w:r>
      <w:r w:rsidR="002F42A3">
        <w:t>,</w:t>
      </w:r>
      <w:r>
        <w:t xml:space="preserve"> particularly colonoscopy capacity, and that bowel screening does not impact on symptomatic services. </w:t>
      </w:r>
    </w:p>
    <w:p w:rsidR="00413B45" w:rsidRDefault="00413B45" w:rsidP="00413B45">
      <w:pPr>
        <w:pStyle w:val="Heading3"/>
      </w:pPr>
      <w:bookmarkStart w:id="36" w:name="_Toc390931239"/>
      <w:r>
        <w:t>Service delivery and workforce capacity</w:t>
      </w:r>
      <w:bookmarkEnd w:id="36"/>
      <w:r>
        <w:t xml:space="preserve"> </w:t>
      </w:r>
      <w:r w:rsidR="000C2295">
        <w:t xml:space="preserve">objective </w:t>
      </w:r>
    </w:p>
    <w:p w:rsidR="00665429" w:rsidRDefault="00665429" w:rsidP="00665429">
      <w:pPr>
        <w:rPr>
          <w:lang w:eastAsia="ar-SA"/>
        </w:rPr>
      </w:pPr>
      <w:r>
        <w:rPr>
          <w:lang w:eastAsia="ar-SA"/>
        </w:rPr>
        <w:t xml:space="preserve">The implementation of the BSP is consistent with the design of the screening pathway.  Some minor service delivery changes have been made to improve efficiency of process.  </w:t>
      </w:r>
    </w:p>
    <w:p w:rsidR="00665429" w:rsidRDefault="00665429" w:rsidP="00665429">
      <w:r>
        <w:t>Across the screening pathway there are a number of critical pressure points on workforce capacity that</w:t>
      </w:r>
      <w:r w:rsidR="003D6766">
        <w:t>,</w:t>
      </w:r>
      <w:r>
        <w:t xml:space="preserve"> if not effectively managed</w:t>
      </w:r>
      <w:r w:rsidR="003D6766">
        <w:t>,</w:t>
      </w:r>
      <w:r>
        <w:t xml:space="preserve"> could have adverse impact on the BSP, specifically: </w:t>
      </w:r>
    </w:p>
    <w:p w:rsidR="00856A05" w:rsidRPr="005210B3" w:rsidRDefault="00665429" w:rsidP="00665429">
      <w:pPr>
        <w:pStyle w:val="Bullet"/>
        <w:numPr>
          <w:ilvl w:val="0"/>
          <w:numId w:val="10"/>
        </w:numPr>
        <w:tabs>
          <w:tab w:val="num" w:pos="6663"/>
        </w:tabs>
        <w:ind w:left="1069"/>
        <w:rPr>
          <w:lang w:val="en-US"/>
        </w:rPr>
      </w:pPr>
      <w:r w:rsidRPr="00A5568F">
        <w:rPr>
          <w:lang w:val="en-US"/>
        </w:rPr>
        <w:t>Colonoscopist capacity</w:t>
      </w:r>
      <w:r w:rsidR="002F42A3">
        <w:rPr>
          <w:lang w:val="en-US"/>
        </w:rPr>
        <w:t>:</w:t>
      </w:r>
      <w:r w:rsidRPr="00A5568F">
        <w:rPr>
          <w:lang w:val="en-US"/>
        </w:rPr>
        <w:t xml:space="preserve"> </w:t>
      </w:r>
      <w:r w:rsidR="002F42A3">
        <w:rPr>
          <w:lang w:val="en-US"/>
        </w:rPr>
        <w:t>a</w:t>
      </w:r>
      <w:r w:rsidRPr="00A5568F">
        <w:rPr>
          <w:lang w:val="en-US"/>
        </w:rPr>
        <w:t>dequate colonoscopist capacity to meet BSP quality</w:t>
      </w:r>
      <w:r w:rsidRPr="005210B3">
        <w:rPr>
          <w:lang w:val="en-US"/>
        </w:rPr>
        <w:t xml:space="preserve"> standards continues to be a critical resource challenge for the BSP.  </w:t>
      </w:r>
    </w:p>
    <w:p w:rsidR="00665429" w:rsidRPr="000D7D7C" w:rsidRDefault="00665429" w:rsidP="00665429">
      <w:pPr>
        <w:pStyle w:val="Bullet"/>
        <w:numPr>
          <w:ilvl w:val="0"/>
          <w:numId w:val="10"/>
        </w:numPr>
        <w:tabs>
          <w:tab w:val="num" w:pos="6663"/>
        </w:tabs>
        <w:ind w:left="1069"/>
      </w:pPr>
      <w:r>
        <w:t>Impact on treatment services</w:t>
      </w:r>
      <w:r w:rsidR="002F42A3">
        <w:t>: t</w:t>
      </w:r>
      <w:r>
        <w:t>he</w:t>
      </w:r>
      <w:r w:rsidRPr="005975D7">
        <w:t xml:space="preserve"> increase in the number of cancer patients identified by the BSP is </w:t>
      </w:r>
      <w:r>
        <w:t>putting</w:t>
      </w:r>
      <w:r w:rsidRPr="005975D7">
        <w:t xml:space="preserve"> pressure on </w:t>
      </w:r>
      <w:r>
        <w:t xml:space="preserve">treatment </w:t>
      </w:r>
      <w:r w:rsidRPr="005975D7">
        <w:t>services due to no additional resource</w:t>
      </w:r>
      <w:r w:rsidR="00A34CE6">
        <w:t xml:space="preserve"> </w:t>
      </w:r>
      <w:r w:rsidRPr="005975D7">
        <w:t>being allocated</w:t>
      </w:r>
      <w:r>
        <w:t xml:space="preserve"> to this service</w:t>
      </w:r>
      <w:r w:rsidRPr="005975D7">
        <w:t xml:space="preserve">.  </w:t>
      </w:r>
      <w:r w:rsidRPr="000D7D7C">
        <w:t>As the BSP moves into screening round two, the pressure on surgery and oncology is likely to dissipate over time as fewer BSP participants will be identified with late stage cancers.</w:t>
      </w:r>
    </w:p>
    <w:p w:rsidR="00665429" w:rsidRPr="004F6D8A" w:rsidRDefault="00665429" w:rsidP="00665429">
      <w:pPr>
        <w:pStyle w:val="Bullet"/>
        <w:numPr>
          <w:ilvl w:val="0"/>
          <w:numId w:val="10"/>
        </w:numPr>
        <w:tabs>
          <w:tab w:val="num" w:pos="6663"/>
        </w:tabs>
        <w:ind w:left="1069"/>
      </w:pPr>
      <w:r>
        <w:t>Impact</w:t>
      </w:r>
      <w:r w:rsidRPr="006E3075">
        <w:t xml:space="preserve"> of BSP surveillance colonoscopies on symptomatic services</w:t>
      </w:r>
      <w:r w:rsidR="002F42A3">
        <w:t>: t</w:t>
      </w:r>
      <w:r w:rsidRPr="006E3075">
        <w:t>he high level of polyps detected via BSP colonoscopies will</w:t>
      </w:r>
      <w:r>
        <w:t>,</w:t>
      </w:r>
      <w:r w:rsidRPr="006E3075">
        <w:t xml:space="preserve"> over time</w:t>
      </w:r>
      <w:r>
        <w:t>,</w:t>
      </w:r>
      <w:r w:rsidRPr="006E3075">
        <w:t xml:space="preserve"> add significantly to the symptomatic colonoscopy lists.  </w:t>
      </w:r>
      <w:r w:rsidR="00712B4F">
        <w:t>T</w:t>
      </w:r>
      <w:r w:rsidRPr="006E3075">
        <w:t>he accumulative effect of the surveillance colonoscopies have not yet i</w:t>
      </w:r>
      <w:r w:rsidR="00712B4F">
        <w:t xml:space="preserve">mpacted on the symptomatic list.  </w:t>
      </w:r>
      <w:r w:rsidR="00712B4F" w:rsidRPr="004F6D8A">
        <w:t xml:space="preserve">Monitoring is required to ensure that </w:t>
      </w:r>
      <w:r w:rsidRPr="004F6D8A">
        <w:t xml:space="preserve">BSP participants requiring surveillance colonoscopies at one year </w:t>
      </w:r>
      <w:r w:rsidR="00712B4F" w:rsidRPr="004F6D8A">
        <w:t xml:space="preserve">and later </w:t>
      </w:r>
      <w:r w:rsidR="00B8526A">
        <w:t>receive</w:t>
      </w:r>
      <w:r w:rsidRPr="004F6D8A">
        <w:t xml:space="preserve"> timely appointments.  </w:t>
      </w:r>
    </w:p>
    <w:p w:rsidR="00595020" w:rsidRDefault="00401853" w:rsidP="00401853">
      <w:pPr>
        <w:rPr>
          <w:lang w:eastAsia="ar-SA"/>
        </w:rPr>
      </w:pPr>
      <w:r w:rsidRPr="00401853">
        <w:rPr>
          <w:lang w:eastAsia="ar-SA"/>
        </w:rPr>
        <w:t xml:space="preserve">The value added by general practice rather than the screening unit informing participants they have a positive iFOBT result is not clear.  Most BSP participants do not have a strong preference on who informs them about a positive iFOBT result so long as their results are timely, convenient, given in a reassuring manner, their </w:t>
      </w:r>
      <w:r w:rsidR="001B4791">
        <w:rPr>
          <w:lang w:eastAsia="ar-SA"/>
        </w:rPr>
        <w:t xml:space="preserve">general practice </w:t>
      </w:r>
      <w:r w:rsidRPr="00401853">
        <w:rPr>
          <w:lang w:eastAsia="ar-SA"/>
        </w:rPr>
        <w:t xml:space="preserve">is kept informed, and the transition to colonoscopy is well explained, timely and streamlined.  </w:t>
      </w:r>
    </w:p>
    <w:p w:rsidR="00413B45" w:rsidRDefault="00413B45" w:rsidP="002E41E5">
      <w:pPr>
        <w:pStyle w:val="Heading3"/>
        <w:keepLines/>
      </w:pPr>
      <w:bookmarkStart w:id="37" w:name="_Toc390931240"/>
      <w:r>
        <w:lastRenderedPageBreak/>
        <w:t>Quality monitoring</w:t>
      </w:r>
      <w:bookmarkEnd w:id="37"/>
      <w:r w:rsidR="000C2295">
        <w:t xml:space="preserve"> objective </w:t>
      </w:r>
    </w:p>
    <w:p w:rsidR="00D2670F" w:rsidRDefault="00D2670F" w:rsidP="002E41E5">
      <w:pPr>
        <w:keepNext/>
        <w:keepLines/>
        <w:rPr>
          <w:lang w:eastAsia="ar-SA"/>
        </w:rPr>
      </w:pPr>
      <w:r>
        <w:rPr>
          <w:lang w:eastAsia="ar-SA"/>
        </w:rPr>
        <w:t xml:space="preserve">The review of quality monitoring confirms that BSP has a range of quality standards and processes in place that align with international best practice.  Quality standards, risks and issues are actively monitored, reported, discussed and actions taken to address risks of breaching quality standards, and risks emerging. </w:t>
      </w:r>
    </w:p>
    <w:p w:rsidR="00D2670F" w:rsidRDefault="00D2670F" w:rsidP="00D2670F">
      <w:r>
        <w:rPr>
          <w:lang w:eastAsia="ar-SA"/>
        </w:rPr>
        <w:t xml:space="preserve">While </w:t>
      </w:r>
      <w:r>
        <w:t xml:space="preserve">WDHB note that reporting against all quality standards is now possible (with exception of the timeliness of the histology result letter), data </w:t>
      </w:r>
      <w:r w:rsidR="003900D2">
        <w:t xml:space="preserve">were </w:t>
      </w:r>
      <w:r>
        <w:t xml:space="preserve">not sighted by the evaluation team for all quality standards.  </w:t>
      </w:r>
    </w:p>
    <w:p w:rsidR="00D2670F" w:rsidRDefault="00D2670F" w:rsidP="00D2670F">
      <w:r>
        <w:t xml:space="preserve">In November 2012, a review of the BSP interim quality standards (Ministry of Health 2012a) was jointly undertaken by </w:t>
      </w:r>
      <w:r w:rsidR="00E073CC">
        <w:t>Ministry of Health</w:t>
      </w:r>
      <w:r>
        <w:t>, WDHB and LabPLUS.  Overall, no substantive issues were identified with the existing quality standards, although refinements and clarifications were made to the interim quality standards (Ministry of Health 2013</w:t>
      </w:r>
      <w:r w:rsidR="00414853">
        <w:t>c</w:t>
      </w:r>
      <w:r>
        <w:t xml:space="preserve">).  </w:t>
      </w:r>
    </w:p>
    <w:p w:rsidR="00D2670F" w:rsidRDefault="00D2670F" w:rsidP="00525A9A">
      <w:r w:rsidRPr="00A5568F">
        <w:rPr>
          <w:lang w:eastAsia="ar-SA"/>
        </w:rPr>
        <w:t>One area where the BSP is not operating within the quality standard is the f</w:t>
      </w:r>
      <w:r w:rsidRPr="00A5568F">
        <w:t xml:space="preserve">irst offer of colonoscopy within 25 working days which is </w:t>
      </w:r>
      <w:r w:rsidR="00414853" w:rsidRPr="00A5568F">
        <w:t>4</w:t>
      </w:r>
      <w:r w:rsidRPr="00A5568F">
        <w:t>% compared to the standard of 50% for the period January 2012 to 31 December 2013.  However, 91% received the first offer of colonoscopy within 55 working days</w:t>
      </w:r>
      <w:r w:rsidR="003900D2" w:rsidRPr="00A5568F">
        <w:t>,</w:t>
      </w:r>
      <w:r w:rsidRPr="00A5568F">
        <w:t xml:space="preserve"> just under the standard of 95%.</w:t>
      </w:r>
      <w:r>
        <w:t xml:space="preserve"> </w:t>
      </w:r>
    </w:p>
    <w:p w:rsidR="00D2670F" w:rsidRDefault="00D2670F" w:rsidP="00D2670F">
      <w:pPr>
        <w:rPr>
          <w:lang w:eastAsia="ar-SA"/>
        </w:rPr>
      </w:pPr>
      <w:r>
        <w:rPr>
          <w:lang w:eastAsia="ar-SA"/>
        </w:rPr>
        <w:t xml:space="preserve">Discussions with key stakeholders highlighted potential risks to adhering to quality standards, including: </w:t>
      </w:r>
    </w:p>
    <w:p w:rsidR="00163CC4" w:rsidRDefault="00163CC4" w:rsidP="00163CC4">
      <w:pPr>
        <w:pStyle w:val="Bullet"/>
        <w:numPr>
          <w:ilvl w:val="0"/>
          <w:numId w:val="10"/>
        </w:numPr>
        <w:tabs>
          <w:tab w:val="num" w:pos="2126"/>
          <w:tab w:val="num" w:pos="6663"/>
        </w:tabs>
        <w:ind w:left="1069"/>
        <w:rPr>
          <w:lang w:eastAsia="ar-SA"/>
        </w:rPr>
      </w:pPr>
      <w:r>
        <w:rPr>
          <w:lang w:eastAsia="ar-SA"/>
        </w:rPr>
        <w:t>not having enough endoscopist capacity to remain within agreed wait times to colonoscopy</w:t>
      </w:r>
    </w:p>
    <w:p w:rsidR="00163CC4" w:rsidRDefault="00163CC4" w:rsidP="00163CC4">
      <w:pPr>
        <w:pStyle w:val="Bullet"/>
        <w:numPr>
          <w:ilvl w:val="0"/>
          <w:numId w:val="10"/>
        </w:numPr>
        <w:tabs>
          <w:tab w:val="num" w:pos="2126"/>
          <w:tab w:val="num" w:pos="6663"/>
        </w:tabs>
        <w:ind w:left="1069"/>
        <w:rPr>
          <w:lang w:eastAsia="ar-SA"/>
        </w:rPr>
      </w:pPr>
      <w:r>
        <w:rPr>
          <w:lang w:eastAsia="ar-SA"/>
        </w:rPr>
        <w:t>variable a</w:t>
      </w:r>
      <w:r w:rsidRPr="00D46510">
        <w:rPr>
          <w:lang w:eastAsia="ar-SA"/>
        </w:rPr>
        <w:t xml:space="preserve">wareness of </w:t>
      </w:r>
      <w:r>
        <w:rPr>
          <w:lang w:eastAsia="ar-SA"/>
        </w:rPr>
        <w:t xml:space="preserve">all the BSP </w:t>
      </w:r>
      <w:r w:rsidRPr="00D46510">
        <w:rPr>
          <w:lang w:eastAsia="ar-SA"/>
        </w:rPr>
        <w:t>quality standards</w:t>
      </w:r>
      <w:r>
        <w:rPr>
          <w:lang w:eastAsia="ar-SA"/>
        </w:rPr>
        <w:t xml:space="preserve"> for colonoscopy pr</w:t>
      </w:r>
      <w:r w:rsidR="00B8526A">
        <w:rPr>
          <w:lang w:eastAsia="ar-SA"/>
        </w:rPr>
        <w:t>ocedures amongst endoscopists</w:t>
      </w:r>
    </w:p>
    <w:p w:rsidR="00163CC4" w:rsidRDefault="00163CC4" w:rsidP="00163CC4">
      <w:pPr>
        <w:pStyle w:val="Bullet"/>
        <w:numPr>
          <w:ilvl w:val="0"/>
          <w:numId w:val="10"/>
        </w:numPr>
        <w:tabs>
          <w:tab w:val="num" w:pos="2126"/>
          <w:tab w:val="num" w:pos="6663"/>
        </w:tabs>
        <w:ind w:left="1069"/>
        <w:rPr>
          <w:lang w:eastAsia="ar-SA"/>
        </w:rPr>
      </w:pPr>
      <w:r>
        <w:rPr>
          <w:lang w:eastAsia="ar-SA"/>
        </w:rPr>
        <w:t xml:space="preserve">a lack of awareness of the BSP quality standards for </w:t>
      </w:r>
      <w:r w:rsidR="00B8526A" w:rsidRPr="00CF57F1">
        <w:rPr>
          <w:lang w:eastAsia="ar-SA"/>
        </w:rPr>
        <w:t xml:space="preserve">Computerised Tomographic Colonography </w:t>
      </w:r>
      <w:r w:rsidR="00B8526A">
        <w:rPr>
          <w:lang w:eastAsia="ar-SA"/>
        </w:rPr>
        <w:t>(</w:t>
      </w:r>
      <w:r>
        <w:rPr>
          <w:lang w:eastAsia="ar-SA"/>
        </w:rPr>
        <w:t>CTC</w:t>
      </w:r>
      <w:r w:rsidR="00B8526A">
        <w:rPr>
          <w:lang w:eastAsia="ar-SA"/>
        </w:rPr>
        <w:t>)</w:t>
      </w:r>
      <w:r>
        <w:rPr>
          <w:lang w:eastAsia="ar-SA"/>
        </w:rPr>
        <w:t xml:space="preserve"> amongst radiology staff and BSP participants not being appropriately coded</w:t>
      </w:r>
    </w:p>
    <w:p w:rsidR="0045119B" w:rsidRDefault="0045119B" w:rsidP="0045119B">
      <w:pPr>
        <w:pStyle w:val="Bullet"/>
        <w:numPr>
          <w:ilvl w:val="0"/>
          <w:numId w:val="10"/>
        </w:numPr>
        <w:tabs>
          <w:tab w:val="num" w:pos="2126"/>
          <w:tab w:val="num" w:pos="6663"/>
        </w:tabs>
        <w:ind w:left="1069"/>
        <w:rPr>
          <w:lang w:eastAsia="ar-SA"/>
        </w:rPr>
      </w:pPr>
      <w:r>
        <w:rPr>
          <w:lang w:eastAsia="ar-SA"/>
        </w:rPr>
        <w:t>d</w:t>
      </w:r>
      <w:r w:rsidRPr="00D46510">
        <w:rPr>
          <w:lang w:eastAsia="ar-SA"/>
        </w:rPr>
        <w:t xml:space="preserve">uplication and potential confusion due to the number of </w:t>
      </w:r>
      <w:r>
        <w:rPr>
          <w:lang w:eastAsia="ar-SA"/>
        </w:rPr>
        <w:t xml:space="preserve">Ministry of Health </w:t>
      </w:r>
      <w:r w:rsidRPr="00D46510">
        <w:rPr>
          <w:lang w:eastAsia="ar-SA"/>
        </w:rPr>
        <w:t xml:space="preserve">quality documents for the BSP  </w:t>
      </w:r>
    </w:p>
    <w:p w:rsidR="00163CC4" w:rsidRDefault="00163CC4" w:rsidP="00163CC4">
      <w:pPr>
        <w:pStyle w:val="Bullet"/>
        <w:numPr>
          <w:ilvl w:val="0"/>
          <w:numId w:val="10"/>
        </w:numPr>
        <w:tabs>
          <w:tab w:val="num" w:pos="2126"/>
          <w:tab w:val="num" w:pos="6663"/>
        </w:tabs>
        <w:ind w:left="1069"/>
        <w:rPr>
          <w:lang w:eastAsia="ar-SA"/>
        </w:rPr>
      </w:pPr>
      <w:proofErr w:type="gramStart"/>
      <w:r>
        <w:rPr>
          <w:lang w:eastAsia="ar-SA"/>
        </w:rPr>
        <w:t>a</w:t>
      </w:r>
      <w:proofErr w:type="gramEnd"/>
      <w:r>
        <w:rPr>
          <w:lang w:eastAsia="ar-SA"/>
        </w:rPr>
        <w:t xml:space="preserve"> lack of clarity in the link between the Global Rating Scale (GRS) being used to improve quality of endoscopy in New Zealand </w:t>
      </w:r>
      <w:r w:rsidRPr="00D46510">
        <w:rPr>
          <w:lang w:eastAsia="ar-SA"/>
        </w:rPr>
        <w:t>and the BSP</w:t>
      </w:r>
      <w:r>
        <w:rPr>
          <w:lang w:eastAsia="ar-SA"/>
        </w:rPr>
        <w:t>’s</w:t>
      </w:r>
      <w:r w:rsidRPr="00D46510">
        <w:rPr>
          <w:lang w:eastAsia="ar-SA"/>
        </w:rPr>
        <w:t xml:space="preserve"> quality standards</w:t>
      </w:r>
      <w:r>
        <w:rPr>
          <w:lang w:eastAsia="ar-SA"/>
        </w:rPr>
        <w:t xml:space="preserve">. </w:t>
      </w:r>
    </w:p>
    <w:p w:rsidR="00DD5CEB" w:rsidRDefault="00DD5CEB" w:rsidP="00DD5CEB">
      <w:pPr>
        <w:pStyle w:val="Heading3"/>
      </w:pPr>
      <w:r w:rsidRPr="00F16D07">
        <w:t xml:space="preserve">Costing analysis </w:t>
      </w:r>
      <w:r w:rsidR="000C2295" w:rsidRPr="00F16D07">
        <w:t>objective</w:t>
      </w:r>
    </w:p>
    <w:p w:rsidR="007C3D83" w:rsidRPr="00F16D07" w:rsidRDefault="007C3D83" w:rsidP="00F16D07">
      <w:pPr>
        <w:rPr>
          <w:b/>
        </w:rPr>
      </w:pPr>
      <w:bookmarkStart w:id="38" w:name="_Toc406582366"/>
      <w:r w:rsidRPr="00F16D07">
        <w:rPr>
          <w:b/>
        </w:rPr>
        <w:t>Costs of development and operation of the pilot during years 1 &amp; 2</w:t>
      </w:r>
      <w:bookmarkEnd w:id="38"/>
      <w:r w:rsidRPr="00F16D07">
        <w:rPr>
          <w:b/>
        </w:rPr>
        <w:t xml:space="preserve"> </w:t>
      </w:r>
    </w:p>
    <w:p w:rsidR="007C3D83" w:rsidRPr="00F16D07" w:rsidRDefault="007C3D83" w:rsidP="00F16D07">
      <w:pPr>
        <w:rPr>
          <w:lang w:eastAsia="ar-SA"/>
        </w:rPr>
      </w:pPr>
      <w:r w:rsidRPr="00F16D07">
        <w:rPr>
          <w:lang w:eastAsia="ar-SA"/>
        </w:rPr>
        <w:t xml:space="preserve">A total of $13.742 million was incurred in developing and operating the first two years of the Pilot (excluding the costs of treating cancers diagnosed).  </w:t>
      </w:r>
    </w:p>
    <w:p w:rsidR="007C3D83" w:rsidRPr="00F16D07" w:rsidRDefault="007C3D83" w:rsidP="00F16D07">
      <w:pPr>
        <w:rPr>
          <w:lang w:eastAsia="ar-SA"/>
        </w:rPr>
      </w:pPr>
      <w:r w:rsidRPr="00F16D07">
        <w:rPr>
          <w:lang w:eastAsia="ar-SA"/>
        </w:rPr>
        <w:t xml:space="preserve">The total development cost incurred to develop the pilot is estimated at $3.148 million (incorporating costs of the </w:t>
      </w:r>
      <w:r w:rsidR="00C50739">
        <w:rPr>
          <w:lang w:eastAsia="ar-SA"/>
        </w:rPr>
        <w:t>WDHB</w:t>
      </w:r>
      <w:r w:rsidRPr="00F16D07">
        <w:rPr>
          <w:lang w:eastAsia="ar-SA"/>
        </w:rPr>
        <w:t xml:space="preserve"> contract to plan and implementation of the pilot; the design and build of the pilot register; and costs of developing promotional materials).  </w:t>
      </w:r>
    </w:p>
    <w:p w:rsidR="007C3D83" w:rsidRPr="007C3D83" w:rsidRDefault="007C3D83" w:rsidP="00F16D07">
      <w:pPr>
        <w:rPr>
          <w:rFonts w:ascii="Garamond" w:hAnsi="Garamond"/>
          <w:lang w:eastAsia="en-NZ"/>
        </w:rPr>
      </w:pPr>
      <w:r w:rsidRPr="00F16D07">
        <w:rPr>
          <w:lang w:eastAsia="ar-SA"/>
        </w:rPr>
        <w:t>During 2012, the total operating cost for the pilot was $4,927,000 and during 2013 it was $5,666,000 (including Ministry of Health oversight costs).  This was comprised as follows:</w:t>
      </w:r>
    </w:p>
    <w:p w:rsidR="007C3D83" w:rsidRPr="00F16D07" w:rsidRDefault="007C3D83" w:rsidP="00F04363">
      <w:pPr>
        <w:pStyle w:val="Table"/>
        <w:ind w:left="709"/>
      </w:pPr>
      <w:bookmarkStart w:id="39" w:name="_Ref397600950"/>
      <w:bookmarkStart w:id="40" w:name="_Toc412540154"/>
      <w:r w:rsidRPr="00F16D07">
        <w:lastRenderedPageBreak/>
        <w:t>Table</w:t>
      </w:r>
      <w:r w:rsidR="00E035F8">
        <w:t xml:space="preserve"> 1</w:t>
      </w:r>
      <w:r w:rsidRPr="00F16D07">
        <w:t xml:space="preserve">: </w:t>
      </w:r>
      <w:bookmarkEnd w:id="39"/>
      <w:r w:rsidRPr="00F16D07">
        <w:t>Summary of operating costs for the first screening round</w:t>
      </w:r>
      <w:r w:rsidRPr="0052139C">
        <w:rPr>
          <w:vertAlign w:val="superscript"/>
        </w:rPr>
        <w:footnoteReference w:id="9"/>
      </w:r>
      <w:bookmarkEnd w:id="40"/>
    </w:p>
    <w:tbl>
      <w:tblPr>
        <w:tblStyle w:val="TableSapereGrid"/>
        <w:tblW w:w="7792" w:type="dxa"/>
        <w:tblInd w:w="817" w:type="dxa"/>
        <w:tblLook w:val="04A0" w:firstRow="1" w:lastRow="0" w:firstColumn="1" w:lastColumn="0" w:noHBand="0" w:noVBand="1"/>
      </w:tblPr>
      <w:tblGrid>
        <w:gridCol w:w="2694"/>
        <w:gridCol w:w="2549"/>
        <w:gridCol w:w="2549"/>
      </w:tblGrid>
      <w:tr w:rsidR="007C3D83" w:rsidRPr="00F16D07" w:rsidTr="00F16D07">
        <w:trPr>
          <w:cnfStyle w:val="100000000000" w:firstRow="1" w:lastRow="0" w:firstColumn="0" w:lastColumn="0" w:oddVBand="0" w:evenVBand="0" w:oddHBand="0" w:evenHBand="0" w:firstRowFirstColumn="0" w:firstRowLastColumn="0" w:lastRowFirstColumn="0" w:lastRowLastColumn="0"/>
        </w:trPr>
        <w:tc>
          <w:tcPr>
            <w:tcW w:w="2694" w:type="dxa"/>
            <w:tcBorders>
              <w:bottom w:val="single" w:sz="4" w:space="0" w:color="7B5E05"/>
            </w:tcBorders>
          </w:tcPr>
          <w:p w:rsidR="007C3D83" w:rsidRPr="00F16D07" w:rsidRDefault="007C3D83" w:rsidP="007C3D83">
            <w:pPr>
              <w:keepNext/>
              <w:spacing w:before="0"/>
              <w:ind w:left="0"/>
              <w:jc w:val="center"/>
              <w:rPr>
                <w:rFonts w:cs="Arial"/>
                <w:b/>
                <w:bCs/>
                <w:color w:val="FFFFFF"/>
                <w:sz w:val="20"/>
                <w:szCs w:val="20"/>
              </w:rPr>
            </w:pPr>
          </w:p>
        </w:tc>
        <w:tc>
          <w:tcPr>
            <w:tcW w:w="2549" w:type="dxa"/>
            <w:tcBorders>
              <w:bottom w:val="single" w:sz="4" w:space="0" w:color="7B5E05"/>
            </w:tcBorders>
          </w:tcPr>
          <w:p w:rsidR="007C3D83" w:rsidRPr="00F16D07" w:rsidRDefault="007C3D83" w:rsidP="007C3D83">
            <w:pPr>
              <w:keepNext/>
              <w:spacing w:before="0"/>
              <w:ind w:left="0"/>
              <w:jc w:val="center"/>
              <w:rPr>
                <w:rFonts w:cs="Arial"/>
                <w:b/>
                <w:bCs/>
                <w:color w:val="FFFFFF"/>
                <w:sz w:val="20"/>
                <w:szCs w:val="20"/>
              </w:rPr>
            </w:pPr>
            <w:r w:rsidRPr="00F16D07">
              <w:rPr>
                <w:rFonts w:cs="Arial"/>
                <w:b/>
                <w:bCs/>
                <w:color w:val="FFFFFF"/>
                <w:sz w:val="20"/>
                <w:szCs w:val="20"/>
              </w:rPr>
              <w:t>Year 1 (2012)</w:t>
            </w:r>
          </w:p>
        </w:tc>
        <w:tc>
          <w:tcPr>
            <w:tcW w:w="2549" w:type="dxa"/>
            <w:tcBorders>
              <w:bottom w:val="single" w:sz="4" w:space="0" w:color="7B5E05"/>
            </w:tcBorders>
          </w:tcPr>
          <w:p w:rsidR="007C3D83" w:rsidRPr="00F16D07" w:rsidRDefault="007C3D83" w:rsidP="007C3D83">
            <w:pPr>
              <w:keepNext/>
              <w:spacing w:before="0"/>
              <w:ind w:left="0"/>
              <w:jc w:val="center"/>
              <w:rPr>
                <w:rFonts w:cs="Arial"/>
                <w:b/>
                <w:bCs/>
                <w:color w:val="FFFFFF"/>
                <w:sz w:val="20"/>
                <w:szCs w:val="20"/>
              </w:rPr>
            </w:pPr>
            <w:r w:rsidRPr="00F16D07">
              <w:rPr>
                <w:rFonts w:cs="Arial"/>
                <w:b/>
                <w:bCs/>
                <w:color w:val="FFFFFF"/>
                <w:sz w:val="20"/>
                <w:szCs w:val="20"/>
              </w:rPr>
              <w:t>Year 2 (2013)</w:t>
            </w:r>
          </w:p>
        </w:tc>
      </w:tr>
      <w:tr w:rsidR="007C3D83" w:rsidRPr="00F16D07" w:rsidTr="00F16D07">
        <w:tc>
          <w:tcPr>
            <w:tcW w:w="7792" w:type="dxa"/>
            <w:gridSpan w:val="3"/>
            <w:tcBorders>
              <w:left w:val="single" w:sz="4" w:space="0" w:color="7B5E05"/>
              <w:bottom w:val="single" w:sz="4" w:space="0" w:color="7B5E05"/>
              <w:right w:val="single" w:sz="4" w:space="0" w:color="7B5E05"/>
            </w:tcBorders>
            <w:shd w:val="clear" w:color="auto" w:fill="BFBFBF" w:themeFill="background1" w:themeFillShade="BF"/>
            <w:vAlign w:val="bottom"/>
          </w:tcPr>
          <w:p w:rsidR="007C3D83" w:rsidRPr="00F16D07" w:rsidRDefault="007C3D83" w:rsidP="007C3D83">
            <w:pPr>
              <w:keepNext/>
              <w:spacing w:before="0"/>
              <w:ind w:left="0"/>
              <w:rPr>
                <w:rFonts w:cs="Arial"/>
                <w:b/>
                <w:bCs/>
                <w:sz w:val="20"/>
                <w:szCs w:val="20"/>
              </w:rPr>
            </w:pPr>
            <w:r w:rsidRPr="00F16D07">
              <w:rPr>
                <w:rFonts w:cs="Arial"/>
                <w:b/>
                <w:bCs/>
                <w:sz w:val="20"/>
                <w:szCs w:val="20"/>
              </w:rPr>
              <w:t>Pilot operating costs</w:t>
            </w:r>
          </w:p>
        </w:tc>
      </w:tr>
      <w:tr w:rsidR="007C3D83" w:rsidRPr="00F16D07" w:rsidTr="00F16D07">
        <w:tc>
          <w:tcPr>
            <w:tcW w:w="2694" w:type="dxa"/>
            <w:tcBorders>
              <w:left w:val="single" w:sz="4" w:space="0" w:color="7B5E05"/>
            </w:tcBorders>
            <w:shd w:val="clear" w:color="auto" w:fill="FFFFFF" w:themeFill="background1"/>
            <w:vAlign w:val="bottom"/>
          </w:tcPr>
          <w:p w:rsidR="007C3D83" w:rsidRPr="00F16D07" w:rsidRDefault="007C3D83" w:rsidP="007C3D83">
            <w:pPr>
              <w:keepNext/>
              <w:spacing w:before="0"/>
              <w:ind w:left="0"/>
              <w:jc w:val="right"/>
              <w:rPr>
                <w:rFonts w:cs="Arial"/>
                <w:b/>
                <w:bCs/>
                <w:sz w:val="20"/>
                <w:szCs w:val="20"/>
              </w:rPr>
            </w:pPr>
            <w:r w:rsidRPr="00F16D07">
              <w:rPr>
                <w:rFonts w:cs="Arial"/>
                <w:b/>
                <w:bCs/>
                <w:sz w:val="20"/>
                <w:szCs w:val="20"/>
              </w:rPr>
              <w:t xml:space="preserve">Fixed </w:t>
            </w:r>
          </w:p>
        </w:tc>
        <w:tc>
          <w:tcPr>
            <w:tcW w:w="2549" w:type="dxa"/>
            <w:shd w:val="clear" w:color="auto" w:fill="FFFFFF" w:themeFill="background1"/>
          </w:tcPr>
          <w:p w:rsidR="007C3D83" w:rsidRPr="00F16D07" w:rsidRDefault="007C3D83" w:rsidP="007C3D83">
            <w:pPr>
              <w:spacing w:before="0"/>
              <w:ind w:left="0"/>
              <w:jc w:val="right"/>
              <w:rPr>
                <w:rFonts w:cs="Arial"/>
                <w:sz w:val="20"/>
                <w:szCs w:val="20"/>
                <w:lang w:eastAsia="en-NZ"/>
              </w:rPr>
            </w:pPr>
            <w:r w:rsidRPr="00F16D07">
              <w:rPr>
                <w:rFonts w:cs="Arial"/>
                <w:sz w:val="20"/>
                <w:szCs w:val="20"/>
                <w:lang w:eastAsia="en-NZ"/>
              </w:rPr>
              <w:t xml:space="preserve"> $2,780,000 </w:t>
            </w:r>
          </w:p>
        </w:tc>
        <w:tc>
          <w:tcPr>
            <w:tcW w:w="2549" w:type="dxa"/>
            <w:tcBorders>
              <w:right w:val="single" w:sz="4" w:space="0" w:color="7B5E05"/>
            </w:tcBorders>
            <w:shd w:val="clear" w:color="auto" w:fill="FFFFFF" w:themeFill="background1"/>
          </w:tcPr>
          <w:p w:rsidR="007C3D83" w:rsidRPr="00F16D07" w:rsidRDefault="007C3D83" w:rsidP="007C3D83">
            <w:pPr>
              <w:keepNext/>
              <w:spacing w:before="0"/>
              <w:ind w:left="0"/>
              <w:jc w:val="right"/>
              <w:rPr>
                <w:rFonts w:cs="Arial"/>
                <w:bCs/>
                <w:sz w:val="20"/>
                <w:szCs w:val="20"/>
              </w:rPr>
            </w:pPr>
            <w:r w:rsidRPr="00F16D07">
              <w:rPr>
                <w:rFonts w:cs="Arial"/>
                <w:bCs/>
                <w:sz w:val="20"/>
                <w:szCs w:val="20"/>
                <w:lang w:eastAsia="en-NZ"/>
              </w:rPr>
              <w:t xml:space="preserve"> $2,651,000 </w:t>
            </w:r>
          </w:p>
        </w:tc>
      </w:tr>
      <w:tr w:rsidR="007C3D83" w:rsidRPr="00F16D07" w:rsidTr="00F16D07">
        <w:tc>
          <w:tcPr>
            <w:tcW w:w="2694" w:type="dxa"/>
            <w:tcBorders>
              <w:left w:val="single" w:sz="4" w:space="0" w:color="7B5E05"/>
            </w:tcBorders>
            <w:shd w:val="clear" w:color="auto" w:fill="FFFFFF" w:themeFill="background1"/>
          </w:tcPr>
          <w:p w:rsidR="007C3D83" w:rsidRPr="00F16D07" w:rsidRDefault="007C3D83" w:rsidP="007C3D83">
            <w:pPr>
              <w:keepNext/>
              <w:spacing w:before="0"/>
              <w:ind w:left="0"/>
              <w:jc w:val="right"/>
              <w:rPr>
                <w:rFonts w:cs="Arial"/>
                <w:b/>
                <w:bCs/>
                <w:sz w:val="20"/>
                <w:szCs w:val="20"/>
              </w:rPr>
            </w:pPr>
            <w:r w:rsidRPr="00F16D07">
              <w:rPr>
                <w:rFonts w:cs="Arial"/>
                <w:b/>
                <w:bCs/>
                <w:sz w:val="20"/>
                <w:szCs w:val="20"/>
              </w:rPr>
              <w:t>Variable</w:t>
            </w:r>
          </w:p>
        </w:tc>
        <w:tc>
          <w:tcPr>
            <w:tcW w:w="2549" w:type="dxa"/>
            <w:shd w:val="clear" w:color="auto" w:fill="FFFFFF" w:themeFill="background1"/>
          </w:tcPr>
          <w:p w:rsidR="007C3D83" w:rsidRPr="00F16D07" w:rsidRDefault="007C3D83" w:rsidP="007C3D83">
            <w:pPr>
              <w:spacing w:before="0"/>
              <w:ind w:left="0"/>
              <w:jc w:val="right"/>
              <w:rPr>
                <w:rFonts w:cs="Arial"/>
                <w:sz w:val="20"/>
                <w:szCs w:val="20"/>
                <w:lang w:eastAsia="en-NZ"/>
              </w:rPr>
            </w:pPr>
            <w:r w:rsidRPr="00F16D07">
              <w:rPr>
                <w:rFonts w:cs="Arial"/>
                <w:sz w:val="20"/>
                <w:szCs w:val="20"/>
                <w:lang w:eastAsia="en-NZ"/>
              </w:rPr>
              <w:t xml:space="preserve"> $1,653,000 </w:t>
            </w:r>
          </w:p>
        </w:tc>
        <w:tc>
          <w:tcPr>
            <w:tcW w:w="2549" w:type="dxa"/>
            <w:tcBorders>
              <w:right w:val="single" w:sz="4" w:space="0" w:color="7B5E05"/>
            </w:tcBorders>
            <w:shd w:val="clear" w:color="auto" w:fill="FFFFFF" w:themeFill="background1"/>
          </w:tcPr>
          <w:p w:rsidR="007C3D83" w:rsidRPr="00F16D07" w:rsidRDefault="007C3D83" w:rsidP="007C3D83">
            <w:pPr>
              <w:keepNext/>
              <w:spacing w:before="0"/>
              <w:ind w:left="0"/>
              <w:jc w:val="right"/>
              <w:rPr>
                <w:rFonts w:cs="Arial"/>
                <w:bCs/>
                <w:sz w:val="20"/>
                <w:szCs w:val="20"/>
              </w:rPr>
            </w:pPr>
            <w:r w:rsidRPr="00F16D07">
              <w:rPr>
                <w:rFonts w:cs="Arial"/>
                <w:bCs/>
                <w:sz w:val="20"/>
                <w:szCs w:val="20"/>
                <w:lang w:eastAsia="en-NZ"/>
              </w:rPr>
              <w:t xml:space="preserve"> $2,520,000 </w:t>
            </w:r>
          </w:p>
        </w:tc>
      </w:tr>
      <w:tr w:rsidR="007C3D83" w:rsidRPr="00F16D07" w:rsidTr="00F16D07">
        <w:tc>
          <w:tcPr>
            <w:tcW w:w="2694" w:type="dxa"/>
            <w:tcBorders>
              <w:left w:val="single" w:sz="4" w:space="0" w:color="7B5E05"/>
              <w:bottom w:val="single" w:sz="4" w:space="0" w:color="7B5E05"/>
            </w:tcBorders>
            <w:shd w:val="clear" w:color="auto" w:fill="FFFFFF" w:themeFill="background1"/>
          </w:tcPr>
          <w:p w:rsidR="007C3D83" w:rsidRPr="00F16D07" w:rsidRDefault="007C3D83" w:rsidP="007C3D83">
            <w:pPr>
              <w:keepNext/>
              <w:spacing w:before="0"/>
              <w:ind w:left="0"/>
              <w:jc w:val="right"/>
              <w:rPr>
                <w:rFonts w:cs="Arial"/>
                <w:b/>
                <w:bCs/>
                <w:sz w:val="20"/>
                <w:szCs w:val="20"/>
              </w:rPr>
            </w:pPr>
            <w:r w:rsidRPr="00F16D07">
              <w:rPr>
                <w:rFonts w:cs="Arial"/>
                <w:b/>
                <w:bCs/>
                <w:sz w:val="20"/>
                <w:szCs w:val="20"/>
              </w:rPr>
              <w:t>Sub total</w:t>
            </w:r>
          </w:p>
        </w:tc>
        <w:tc>
          <w:tcPr>
            <w:tcW w:w="2549" w:type="dxa"/>
            <w:tcBorders>
              <w:bottom w:val="single" w:sz="4" w:space="0" w:color="7B5E05"/>
            </w:tcBorders>
            <w:shd w:val="clear" w:color="auto" w:fill="FFFFFF" w:themeFill="background1"/>
          </w:tcPr>
          <w:p w:rsidR="007C3D83" w:rsidRPr="00F16D07" w:rsidRDefault="007C3D83" w:rsidP="007C3D83">
            <w:pPr>
              <w:spacing w:before="0"/>
              <w:ind w:left="0"/>
              <w:jc w:val="right"/>
              <w:rPr>
                <w:rFonts w:cs="Arial"/>
                <w:b/>
                <w:sz w:val="20"/>
                <w:szCs w:val="20"/>
                <w:lang w:eastAsia="en-NZ"/>
              </w:rPr>
            </w:pPr>
            <w:r w:rsidRPr="00F16D07">
              <w:rPr>
                <w:rFonts w:cs="Arial"/>
                <w:b/>
                <w:sz w:val="20"/>
                <w:szCs w:val="20"/>
                <w:lang w:eastAsia="en-NZ"/>
              </w:rPr>
              <w:t xml:space="preserve"> $4,433,000 </w:t>
            </w:r>
          </w:p>
        </w:tc>
        <w:tc>
          <w:tcPr>
            <w:tcW w:w="2549" w:type="dxa"/>
            <w:tcBorders>
              <w:bottom w:val="single" w:sz="4" w:space="0" w:color="7B5E05"/>
              <w:right w:val="single" w:sz="4" w:space="0" w:color="7B5E05"/>
            </w:tcBorders>
            <w:shd w:val="clear" w:color="auto" w:fill="FFFFFF" w:themeFill="background1"/>
          </w:tcPr>
          <w:p w:rsidR="007C3D83" w:rsidRPr="00F16D07" w:rsidRDefault="007C3D83" w:rsidP="007C3D83">
            <w:pPr>
              <w:keepNext/>
              <w:spacing w:before="0"/>
              <w:ind w:left="0"/>
              <w:jc w:val="right"/>
              <w:rPr>
                <w:rFonts w:cs="Arial"/>
                <w:b/>
                <w:bCs/>
                <w:sz w:val="20"/>
                <w:szCs w:val="20"/>
              </w:rPr>
            </w:pPr>
            <w:r w:rsidRPr="00F16D07">
              <w:rPr>
                <w:rFonts w:cs="Arial"/>
                <w:b/>
                <w:bCs/>
                <w:sz w:val="20"/>
                <w:szCs w:val="20"/>
                <w:lang w:eastAsia="en-NZ"/>
              </w:rPr>
              <w:t xml:space="preserve"> $5,172,000 </w:t>
            </w:r>
          </w:p>
        </w:tc>
      </w:tr>
      <w:tr w:rsidR="007C3D83" w:rsidRPr="00F16D07" w:rsidTr="00F16D07">
        <w:tc>
          <w:tcPr>
            <w:tcW w:w="7792" w:type="dxa"/>
            <w:gridSpan w:val="3"/>
            <w:tcBorders>
              <w:left w:val="single" w:sz="4" w:space="0" w:color="7B5E05"/>
              <w:bottom w:val="single" w:sz="4" w:space="0" w:color="7B5E05"/>
              <w:right w:val="single" w:sz="4" w:space="0" w:color="7B5E05"/>
            </w:tcBorders>
            <w:shd w:val="clear" w:color="auto" w:fill="BFBFBF" w:themeFill="background1" w:themeFillShade="BF"/>
          </w:tcPr>
          <w:p w:rsidR="007C3D83" w:rsidRPr="00F16D07" w:rsidRDefault="007C3D83" w:rsidP="00190B23">
            <w:pPr>
              <w:keepNext/>
              <w:spacing w:before="0"/>
              <w:ind w:left="0"/>
              <w:rPr>
                <w:rFonts w:cs="Arial"/>
                <w:b/>
                <w:bCs/>
                <w:sz w:val="20"/>
                <w:szCs w:val="20"/>
              </w:rPr>
            </w:pPr>
            <w:r w:rsidRPr="00F16D07">
              <w:rPr>
                <w:rFonts w:cs="Arial"/>
                <w:b/>
                <w:bCs/>
                <w:sz w:val="20"/>
                <w:szCs w:val="20"/>
              </w:rPr>
              <w:t>Additional M</w:t>
            </w:r>
            <w:r w:rsidR="003D209D">
              <w:rPr>
                <w:rFonts w:cs="Arial"/>
                <w:b/>
                <w:bCs/>
                <w:sz w:val="20"/>
                <w:szCs w:val="20"/>
              </w:rPr>
              <w:t>inistry of Health</w:t>
            </w:r>
            <w:r w:rsidRPr="00F16D07">
              <w:rPr>
                <w:rFonts w:cs="Arial"/>
                <w:b/>
                <w:bCs/>
                <w:sz w:val="20"/>
                <w:szCs w:val="20"/>
              </w:rPr>
              <w:t xml:space="preserve"> operating costs</w:t>
            </w:r>
          </w:p>
        </w:tc>
      </w:tr>
      <w:tr w:rsidR="007C3D83" w:rsidRPr="00F16D07" w:rsidTr="00F16D07">
        <w:tc>
          <w:tcPr>
            <w:tcW w:w="2694" w:type="dxa"/>
            <w:tcBorders>
              <w:left w:val="single" w:sz="4" w:space="0" w:color="7B5E05"/>
            </w:tcBorders>
            <w:shd w:val="clear" w:color="auto" w:fill="FFFFFF" w:themeFill="background1"/>
          </w:tcPr>
          <w:p w:rsidR="007C3D83" w:rsidRPr="00F16D07" w:rsidRDefault="007C3D83" w:rsidP="007C3D83">
            <w:pPr>
              <w:keepNext/>
              <w:spacing w:before="0"/>
              <w:ind w:left="0"/>
              <w:jc w:val="right"/>
              <w:rPr>
                <w:rFonts w:cs="Arial"/>
                <w:b/>
                <w:bCs/>
                <w:sz w:val="20"/>
                <w:szCs w:val="20"/>
              </w:rPr>
            </w:pPr>
            <w:r w:rsidRPr="00F16D07">
              <w:rPr>
                <w:rFonts w:cs="Arial"/>
                <w:b/>
                <w:bCs/>
                <w:sz w:val="20"/>
                <w:szCs w:val="20"/>
              </w:rPr>
              <w:t>Ministry oversight</w:t>
            </w:r>
            <w:r w:rsidRPr="00F16D07">
              <w:rPr>
                <w:rFonts w:cs="Arial"/>
                <w:b/>
                <w:bCs/>
                <w:sz w:val="20"/>
                <w:szCs w:val="20"/>
                <w:vertAlign w:val="superscript"/>
              </w:rPr>
              <w:footnoteReference w:id="10"/>
            </w:r>
            <w:r w:rsidRPr="00F16D07">
              <w:rPr>
                <w:rFonts w:cs="Arial"/>
                <w:b/>
                <w:bCs/>
                <w:sz w:val="20"/>
                <w:szCs w:val="20"/>
              </w:rPr>
              <w:t xml:space="preserve"> </w:t>
            </w:r>
          </w:p>
        </w:tc>
        <w:tc>
          <w:tcPr>
            <w:tcW w:w="2549" w:type="dxa"/>
            <w:shd w:val="clear" w:color="auto" w:fill="FFFFFF" w:themeFill="background1"/>
          </w:tcPr>
          <w:p w:rsidR="007C3D83" w:rsidRPr="00F16D07" w:rsidRDefault="007C3D83" w:rsidP="007C3D83">
            <w:pPr>
              <w:spacing w:before="0"/>
              <w:ind w:left="0"/>
              <w:jc w:val="right"/>
              <w:rPr>
                <w:rFonts w:cs="Arial"/>
                <w:sz w:val="20"/>
                <w:szCs w:val="20"/>
                <w:lang w:eastAsia="en-NZ"/>
              </w:rPr>
            </w:pPr>
            <w:r w:rsidRPr="00F16D07">
              <w:rPr>
                <w:rFonts w:cs="Arial"/>
                <w:sz w:val="20"/>
                <w:szCs w:val="20"/>
                <w:lang w:eastAsia="en-NZ"/>
              </w:rPr>
              <w:t xml:space="preserve"> $495,000 </w:t>
            </w:r>
          </w:p>
        </w:tc>
        <w:tc>
          <w:tcPr>
            <w:tcW w:w="2549" w:type="dxa"/>
            <w:tcBorders>
              <w:right w:val="single" w:sz="4" w:space="0" w:color="7B5E05"/>
            </w:tcBorders>
            <w:shd w:val="clear" w:color="auto" w:fill="FFFFFF" w:themeFill="background1"/>
          </w:tcPr>
          <w:p w:rsidR="007C3D83" w:rsidRPr="00F16D07" w:rsidRDefault="007C3D83" w:rsidP="007C3D83">
            <w:pPr>
              <w:keepNext/>
              <w:spacing w:before="0"/>
              <w:ind w:left="0"/>
              <w:jc w:val="right"/>
              <w:rPr>
                <w:rFonts w:cs="Arial"/>
                <w:bCs/>
                <w:sz w:val="20"/>
                <w:szCs w:val="20"/>
              </w:rPr>
            </w:pPr>
            <w:r w:rsidRPr="00F16D07">
              <w:rPr>
                <w:rFonts w:cs="Arial"/>
                <w:bCs/>
                <w:sz w:val="20"/>
                <w:szCs w:val="20"/>
                <w:lang w:eastAsia="en-NZ"/>
              </w:rPr>
              <w:t xml:space="preserve"> $495,000 </w:t>
            </w:r>
          </w:p>
        </w:tc>
      </w:tr>
      <w:tr w:rsidR="007C3D83" w:rsidRPr="00F16D07" w:rsidTr="00F16D07">
        <w:tc>
          <w:tcPr>
            <w:tcW w:w="2694" w:type="dxa"/>
            <w:tcBorders>
              <w:left w:val="single" w:sz="4" w:space="0" w:color="7B5E05"/>
            </w:tcBorders>
            <w:shd w:val="clear" w:color="auto" w:fill="FFFFFF" w:themeFill="background1"/>
          </w:tcPr>
          <w:p w:rsidR="007C3D83" w:rsidRPr="00F16D07" w:rsidRDefault="007C3D83" w:rsidP="007C3D83">
            <w:pPr>
              <w:keepNext/>
              <w:spacing w:before="0"/>
              <w:ind w:left="0"/>
              <w:jc w:val="right"/>
              <w:rPr>
                <w:rFonts w:cs="Arial"/>
                <w:b/>
                <w:bCs/>
                <w:sz w:val="20"/>
                <w:szCs w:val="20"/>
              </w:rPr>
            </w:pPr>
            <w:r w:rsidRPr="00F16D07">
              <w:rPr>
                <w:rFonts w:cs="Arial"/>
                <w:b/>
                <w:bCs/>
                <w:sz w:val="20"/>
                <w:szCs w:val="20"/>
              </w:rPr>
              <w:t>Total</w:t>
            </w:r>
          </w:p>
        </w:tc>
        <w:tc>
          <w:tcPr>
            <w:tcW w:w="2549" w:type="dxa"/>
            <w:shd w:val="clear" w:color="auto" w:fill="FFFFFF" w:themeFill="background1"/>
          </w:tcPr>
          <w:p w:rsidR="007C3D83" w:rsidRPr="00F16D07" w:rsidRDefault="007C3D83" w:rsidP="007C3D83">
            <w:pPr>
              <w:spacing w:before="0"/>
              <w:ind w:left="0"/>
              <w:jc w:val="right"/>
              <w:rPr>
                <w:rFonts w:cs="Arial"/>
                <w:b/>
                <w:sz w:val="20"/>
                <w:szCs w:val="20"/>
                <w:lang w:eastAsia="en-NZ"/>
              </w:rPr>
            </w:pPr>
            <w:r w:rsidRPr="00F16D07">
              <w:rPr>
                <w:rFonts w:cs="Arial"/>
                <w:b/>
                <w:sz w:val="20"/>
                <w:szCs w:val="20"/>
                <w:lang w:eastAsia="en-NZ"/>
              </w:rPr>
              <w:t xml:space="preserve"> $4,927,000 </w:t>
            </w:r>
          </w:p>
        </w:tc>
        <w:tc>
          <w:tcPr>
            <w:tcW w:w="2549" w:type="dxa"/>
            <w:tcBorders>
              <w:right w:val="single" w:sz="4" w:space="0" w:color="7B5E05"/>
            </w:tcBorders>
            <w:shd w:val="clear" w:color="auto" w:fill="FFFFFF" w:themeFill="background1"/>
          </w:tcPr>
          <w:p w:rsidR="007C3D83" w:rsidRPr="00F16D07" w:rsidRDefault="007C3D83" w:rsidP="007C3D83">
            <w:pPr>
              <w:keepNext/>
              <w:spacing w:before="0"/>
              <w:ind w:left="0"/>
              <w:jc w:val="right"/>
              <w:rPr>
                <w:rFonts w:cs="Arial"/>
                <w:b/>
                <w:bCs/>
                <w:sz w:val="20"/>
                <w:szCs w:val="20"/>
              </w:rPr>
            </w:pPr>
            <w:r w:rsidRPr="00F16D07">
              <w:rPr>
                <w:rFonts w:cs="Arial"/>
                <w:b/>
                <w:bCs/>
                <w:sz w:val="20"/>
                <w:szCs w:val="20"/>
                <w:lang w:eastAsia="en-NZ"/>
              </w:rPr>
              <w:t xml:space="preserve"> $5,666,000 </w:t>
            </w:r>
          </w:p>
        </w:tc>
      </w:tr>
    </w:tbl>
    <w:p w:rsidR="007C3D83" w:rsidRPr="00F16D07" w:rsidRDefault="007C3D83" w:rsidP="00F16D07">
      <w:pPr>
        <w:rPr>
          <w:b/>
        </w:rPr>
      </w:pPr>
      <w:r w:rsidRPr="00F16D07">
        <w:rPr>
          <w:b/>
        </w:rPr>
        <w:t>Estimated lifetime cost of treating cancer detected by the pilot in years 1 and 2</w:t>
      </w:r>
    </w:p>
    <w:p w:rsidR="007C3D83" w:rsidRPr="00F16D07" w:rsidRDefault="007C3D83" w:rsidP="00F16D07">
      <w:pPr>
        <w:rPr>
          <w:lang w:eastAsia="ar-SA"/>
        </w:rPr>
      </w:pPr>
      <w:r w:rsidRPr="00F16D07">
        <w:rPr>
          <w:lang w:eastAsia="ar-SA"/>
        </w:rPr>
        <w:t>The estimated lifetime cost of treating the 129 cancers detected during years 1 and 2 of the pilot is $6.178 million.</w:t>
      </w:r>
    </w:p>
    <w:p w:rsidR="007C3D83" w:rsidRPr="00F16D07" w:rsidRDefault="007C3D83" w:rsidP="00F16D07">
      <w:pPr>
        <w:rPr>
          <w:b/>
        </w:rPr>
      </w:pPr>
      <w:r w:rsidRPr="00F16D07">
        <w:rPr>
          <w:b/>
        </w:rPr>
        <w:t>Detailed findings regarding operating costs in year 1 and 2</w:t>
      </w:r>
    </w:p>
    <w:p w:rsidR="007C3D83" w:rsidRPr="00F16D07" w:rsidRDefault="007C3D83" w:rsidP="00F16D07">
      <w:pPr>
        <w:rPr>
          <w:lang w:eastAsia="ar-SA"/>
        </w:rPr>
      </w:pPr>
      <w:bookmarkStart w:id="41" w:name="_Ref393111820"/>
      <w:r w:rsidRPr="00F16D07">
        <w:rPr>
          <w:lang w:eastAsia="ar-SA"/>
        </w:rPr>
        <w:t>The pilot screening pathway has four stages, as shown in the figure below.</w:t>
      </w:r>
    </w:p>
    <w:p w:rsidR="007C3D83" w:rsidRDefault="007C3D83" w:rsidP="00F04363">
      <w:pPr>
        <w:pStyle w:val="Figure"/>
      </w:pPr>
      <w:bookmarkStart w:id="42" w:name="_Ref393369514"/>
      <w:bookmarkStart w:id="43" w:name="_Toc412540129"/>
      <w:bookmarkEnd w:id="41"/>
      <w:r w:rsidRPr="007C3D83">
        <w:t>Figure</w:t>
      </w:r>
      <w:bookmarkEnd w:id="42"/>
      <w:r w:rsidR="00E035F8">
        <w:t xml:space="preserve"> 2</w:t>
      </w:r>
      <w:r w:rsidRPr="007C3D83">
        <w:t>: Four high-level stages of the screening pathway</w:t>
      </w:r>
      <w:bookmarkEnd w:id="43"/>
    </w:p>
    <w:p w:rsidR="007C3D83" w:rsidRPr="007C3D83" w:rsidRDefault="007C3D83" w:rsidP="00F16D07">
      <w:pPr>
        <w:spacing w:before="0" w:after="120" w:line="260" w:lineRule="atLeast"/>
        <w:ind w:left="567"/>
        <w:rPr>
          <w:rFonts w:ascii="Garamond" w:hAnsi="Garamond"/>
          <w:b/>
          <w:bCs/>
          <w:lang w:eastAsia="en-NZ"/>
        </w:rPr>
      </w:pPr>
      <w:r w:rsidRPr="007C3D83">
        <w:rPr>
          <w:rFonts w:ascii="Garamond" w:hAnsi="Garamond"/>
          <w:b/>
          <w:bCs/>
          <w:noProof/>
          <w:lang w:eastAsia="en-NZ"/>
        </w:rPr>
        <w:drawing>
          <wp:inline distT="0" distB="0" distL="0" distR="0" wp14:anchorId="5837C134" wp14:editId="6DFBDFD9">
            <wp:extent cx="5476165" cy="1154384"/>
            <wp:effectExtent l="0" t="0" r="0" b="8255"/>
            <wp:docPr id="21" name="Picture 21" descr="Figure 2: Four high-level stages of the screening pathway" title="Figure 2: Four high-level stages of the scree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1202" cy="1159662"/>
                    </a:xfrm>
                    <a:prstGeom prst="rect">
                      <a:avLst/>
                    </a:prstGeom>
                    <a:noFill/>
                    <a:ln>
                      <a:noFill/>
                    </a:ln>
                  </pic:spPr>
                </pic:pic>
              </a:graphicData>
            </a:graphic>
          </wp:inline>
        </w:drawing>
      </w:r>
    </w:p>
    <w:p w:rsidR="007C3D83" w:rsidRPr="00F16D07" w:rsidRDefault="007C3D83" w:rsidP="00F16D07">
      <w:pPr>
        <w:rPr>
          <w:lang w:eastAsia="ar-SA"/>
        </w:rPr>
      </w:pPr>
      <w:r w:rsidRPr="00F16D07">
        <w:rPr>
          <w:lang w:eastAsia="ar-SA"/>
        </w:rPr>
        <w:t xml:space="preserve">Stage three, conducting colonoscopies, absorbs the greatest proportion of resource: 43% of the annual operating cost of the pilot (note that this cost includes overheads assigned to this stage of the pathway, as well as the direct costs of conducting colonoscopies). </w:t>
      </w:r>
    </w:p>
    <w:p w:rsidR="007C3D83" w:rsidRPr="00F16D07" w:rsidRDefault="007C3D83" w:rsidP="00F16D07">
      <w:pPr>
        <w:rPr>
          <w:lang w:eastAsia="ar-SA"/>
        </w:rPr>
      </w:pPr>
      <w:r w:rsidRPr="00F16D07">
        <w:rPr>
          <w:lang w:eastAsia="ar-SA"/>
        </w:rPr>
        <w:t>The unit cost for particular ‘process outcomes’ have been developed by dividing the annual operating cost for each stage by a key process outcome measure. These unit costs are estimated as follows:</w:t>
      </w:r>
    </w:p>
    <w:p w:rsidR="007C3D83" w:rsidRPr="00F16D07" w:rsidRDefault="007C3D83" w:rsidP="00F16D07">
      <w:pPr>
        <w:pStyle w:val="Bullet"/>
        <w:numPr>
          <w:ilvl w:val="0"/>
          <w:numId w:val="10"/>
        </w:numPr>
        <w:tabs>
          <w:tab w:val="num" w:pos="2126"/>
          <w:tab w:val="num" w:pos="6663"/>
        </w:tabs>
        <w:ind w:left="1069"/>
        <w:rPr>
          <w:lang w:eastAsia="ar-SA"/>
        </w:rPr>
      </w:pPr>
      <w:r w:rsidRPr="00F16D07">
        <w:rPr>
          <w:lang w:eastAsia="ar-SA"/>
        </w:rPr>
        <w:t>Average cost per person returning a sample to the laboratory - $64 per person, of which $28 per person relates to promotion, outreach and targeted support efforts and $36 per person to mail-outs and sample collection activities</w:t>
      </w:r>
    </w:p>
    <w:p w:rsidR="007C3D83" w:rsidRPr="00F16D07" w:rsidRDefault="007C3D83" w:rsidP="00F16D07">
      <w:pPr>
        <w:pStyle w:val="Bullet"/>
        <w:numPr>
          <w:ilvl w:val="0"/>
          <w:numId w:val="10"/>
        </w:numPr>
        <w:tabs>
          <w:tab w:val="num" w:pos="2126"/>
          <w:tab w:val="num" w:pos="6663"/>
        </w:tabs>
        <w:ind w:left="1069"/>
        <w:rPr>
          <w:lang w:eastAsia="ar-SA"/>
        </w:rPr>
      </w:pPr>
      <w:r w:rsidRPr="00F16D07">
        <w:rPr>
          <w:lang w:eastAsia="ar-SA"/>
        </w:rPr>
        <w:t>Laboratory testing of iFOBT kits (including notification of results) - $18 per sample</w:t>
      </w:r>
    </w:p>
    <w:p w:rsidR="007C3D83" w:rsidRPr="00F16D07" w:rsidRDefault="007C3D83" w:rsidP="00F16D07">
      <w:pPr>
        <w:pStyle w:val="Bullet"/>
        <w:numPr>
          <w:ilvl w:val="0"/>
          <w:numId w:val="10"/>
        </w:numPr>
        <w:tabs>
          <w:tab w:val="num" w:pos="2126"/>
          <w:tab w:val="num" w:pos="6663"/>
        </w:tabs>
        <w:ind w:left="1069"/>
        <w:rPr>
          <w:lang w:eastAsia="ar-SA"/>
        </w:rPr>
      </w:pPr>
      <w:r w:rsidRPr="00F16D07">
        <w:rPr>
          <w:lang w:eastAsia="ar-SA"/>
        </w:rPr>
        <w:t>Average cost of colonoscopy - $1,107 per person</w:t>
      </w:r>
    </w:p>
    <w:p w:rsidR="007C3D83" w:rsidRPr="00F16D07" w:rsidRDefault="007C3D83" w:rsidP="00F16D07">
      <w:pPr>
        <w:pStyle w:val="Bullet"/>
        <w:numPr>
          <w:ilvl w:val="0"/>
          <w:numId w:val="10"/>
        </w:numPr>
        <w:tabs>
          <w:tab w:val="num" w:pos="2126"/>
          <w:tab w:val="num" w:pos="6663"/>
        </w:tabs>
        <w:ind w:left="1069"/>
        <w:rPr>
          <w:lang w:eastAsia="ar-SA"/>
        </w:rPr>
      </w:pPr>
      <w:r w:rsidRPr="00F16D07">
        <w:rPr>
          <w:lang w:eastAsia="ar-SA"/>
        </w:rPr>
        <w:lastRenderedPageBreak/>
        <w:t>Average cost of histology tests following colonoscopy - $190 per person</w:t>
      </w:r>
    </w:p>
    <w:p w:rsidR="007C3D83" w:rsidRPr="00F16D07" w:rsidRDefault="007C3D83" w:rsidP="00F16D07">
      <w:pPr>
        <w:rPr>
          <w:lang w:eastAsia="ar-SA"/>
        </w:rPr>
      </w:pPr>
      <w:r w:rsidRPr="00F16D07">
        <w:rPr>
          <w:lang w:eastAsia="ar-SA"/>
        </w:rPr>
        <w:t xml:space="preserve">We also combined the operating costs for stages one and two and divided by the number of people returning a kit for testing to derive a cost per participant screened of $87.21. In addition, we derived a cost per participant receiving investigation of $1,268.76 by combining operating costs for stages 3 &amp; 4 and dividing by the number of colonoscopies conducted (acknowledging that most of these participants go on to have histology). </w:t>
      </w:r>
    </w:p>
    <w:p w:rsidR="007C3D83" w:rsidRPr="00F16D07" w:rsidRDefault="007C3D83" w:rsidP="00F16D07">
      <w:pPr>
        <w:rPr>
          <w:lang w:eastAsia="ar-SA"/>
        </w:rPr>
      </w:pPr>
      <w:r w:rsidRPr="00F16D07">
        <w:rPr>
          <w:lang w:eastAsia="ar-SA"/>
        </w:rPr>
        <w:t>Over years 1 and 2, the average operating cost (excluding development costs) for key screening outcomes was</w:t>
      </w:r>
      <w:r w:rsidRPr="007A46C9">
        <w:rPr>
          <w:vertAlign w:val="superscript"/>
          <w:lang w:eastAsia="ar-SA"/>
        </w:rPr>
        <w:footnoteReference w:id="11"/>
      </w:r>
      <w:r w:rsidRPr="00F16D07">
        <w:rPr>
          <w:lang w:eastAsia="ar-SA"/>
        </w:rPr>
        <w:t>:</w:t>
      </w:r>
    </w:p>
    <w:p w:rsidR="007C3D83" w:rsidRPr="00F16D07" w:rsidRDefault="007C3D83" w:rsidP="00F16D07">
      <w:pPr>
        <w:pStyle w:val="Bullet"/>
        <w:numPr>
          <w:ilvl w:val="0"/>
          <w:numId w:val="10"/>
        </w:numPr>
        <w:tabs>
          <w:tab w:val="num" w:pos="2126"/>
          <w:tab w:val="num" w:pos="6663"/>
        </w:tabs>
        <w:ind w:left="1069"/>
        <w:rPr>
          <w:lang w:eastAsia="ar-SA"/>
        </w:rPr>
      </w:pPr>
      <w:r w:rsidRPr="00F16D07">
        <w:rPr>
          <w:lang w:eastAsia="ar-SA"/>
        </w:rPr>
        <w:t xml:space="preserve">$82,100 per cancer detected </w:t>
      </w:r>
    </w:p>
    <w:p w:rsidR="007C3D83" w:rsidRPr="00F16D07" w:rsidRDefault="007C3D83" w:rsidP="00F16D07">
      <w:pPr>
        <w:pStyle w:val="Bullet"/>
        <w:numPr>
          <w:ilvl w:val="0"/>
          <w:numId w:val="10"/>
        </w:numPr>
        <w:tabs>
          <w:tab w:val="num" w:pos="2126"/>
          <w:tab w:val="num" w:pos="6663"/>
        </w:tabs>
        <w:ind w:left="1069"/>
        <w:rPr>
          <w:lang w:eastAsia="ar-SA"/>
        </w:rPr>
      </w:pPr>
      <w:r w:rsidRPr="00F16D07">
        <w:rPr>
          <w:lang w:eastAsia="ar-SA"/>
        </w:rPr>
        <w:t>$6,000 per adenoma detected</w:t>
      </w:r>
    </w:p>
    <w:p w:rsidR="007C3D83" w:rsidRPr="00F16D07" w:rsidRDefault="007C3D83" w:rsidP="00F16D07">
      <w:pPr>
        <w:pStyle w:val="Bullet"/>
        <w:numPr>
          <w:ilvl w:val="0"/>
          <w:numId w:val="10"/>
        </w:numPr>
        <w:tabs>
          <w:tab w:val="num" w:pos="2126"/>
          <w:tab w:val="num" w:pos="6663"/>
        </w:tabs>
        <w:ind w:left="1069"/>
        <w:rPr>
          <w:lang w:eastAsia="ar-SA"/>
        </w:rPr>
      </w:pPr>
      <w:r w:rsidRPr="00F16D07">
        <w:rPr>
          <w:lang w:eastAsia="ar-SA"/>
        </w:rPr>
        <w:t>$5,600 per lesion detected (adenomas and cancers)</w:t>
      </w:r>
    </w:p>
    <w:p w:rsidR="007C3D83" w:rsidRPr="00F16D07" w:rsidRDefault="007C3D83" w:rsidP="00F16D07">
      <w:pPr>
        <w:rPr>
          <w:lang w:eastAsia="ar-SA"/>
        </w:rPr>
      </w:pPr>
      <w:r w:rsidRPr="00F16D07">
        <w:rPr>
          <w:lang w:eastAsia="ar-SA"/>
        </w:rPr>
        <w:t xml:space="preserve">Note that screening for colorectal cancer includes removing premalignant lesions (adenomas) during the colonoscopy. These adenomas thus never present as cancers, meaning that the incidence of colorectal cancer declines with screening. For this reason, it is important to present the cost of screening per lesion (adenoma and cancer) detected as well as per cancer. </w:t>
      </w:r>
    </w:p>
    <w:p w:rsidR="007C3D83" w:rsidRPr="00F16D07" w:rsidRDefault="007C3D83" w:rsidP="00F16D07">
      <w:pPr>
        <w:rPr>
          <w:lang w:eastAsia="ar-SA"/>
        </w:rPr>
      </w:pPr>
      <w:r w:rsidRPr="00F16D07">
        <w:rPr>
          <w:lang w:eastAsia="ar-SA"/>
        </w:rPr>
        <w:t>The direct cost of providing services aimed at improving participation of particular population groups (that may be more likely to encounter barriers due to language or cultural reasons) was an average of $187,00</w:t>
      </w:r>
      <w:r w:rsidR="00866AAB">
        <w:rPr>
          <w:lang w:eastAsia="ar-SA"/>
        </w:rPr>
        <w:t>0</w:t>
      </w:r>
      <w:r w:rsidRPr="00F16D07">
        <w:rPr>
          <w:lang w:eastAsia="ar-SA"/>
        </w:rPr>
        <w:t xml:space="preserve"> per year (over years 1-2).</w:t>
      </w:r>
    </w:p>
    <w:p w:rsidR="007C3D83" w:rsidRPr="00F16D07" w:rsidRDefault="007C3D83" w:rsidP="00F16D07">
      <w:pPr>
        <w:rPr>
          <w:lang w:eastAsia="ar-SA"/>
        </w:rPr>
      </w:pPr>
      <w:r w:rsidRPr="00F16D07">
        <w:rPr>
          <w:lang w:eastAsia="ar-SA"/>
        </w:rPr>
        <w:t>The overall cost of colonoscopy provision was $1.042 million in year 1 and $1.550 million in year 2 (with the increase in year 2 driven by higher volumes and a more expensive temporary arrangement to increase capacity).</w:t>
      </w:r>
    </w:p>
    <w:p w:rsidR="007C3D83" w:rsidRPr="00F16D07" w:rsidRDefault="007C3D83" w:rsidP="00F16D07">
      <w:pPr>
        <w:rPr>
          <w:lang w:eastAsia="ar-SA"/>
        </w:rPr>
      </w:pPr>
      <w:r w:rsidRPr="00F16D07">
        <w:rPr>
          <w:lang w:eastAsia="ar-SA"/>
        </w:rPr>
        <w:t xml:space="preserve">Primary Health Teams are contracted at a unit price of $60 to advise any of their patients of a positive iFOBT result.  The total cost of this service was estimated at $119,000 in year 1 and $169,000 in year 2. </w:t>
      </w:r>
    </w:p>
    <w:p w:rsidR="007C3D83" w:rsidRPr="00F16D07" w:rsidRDefault="007C3D83" w:rsidP="00F16D07">
      <w:pPr>
        <w:rPr>
          <w:b/>
        </w:rPr>
      </w:pPr>
      <w:bookmarkStart w:id="44" w:name="_Toc406582367"/>
      <w:r w:rsidRPr="00F16D07">
        <w:rPr>
          <w:b/>
        </w:rPr>
        <w:t>Forecast of costs of the full pilot from years 1-4</w:t>
      </w:r>
      <w:bookmarkEnd w:id="44"/>
    </w:p>
    <w:p w:rsidR="007C3D83" w:rsidRPr="00F16D07" w:rsidRDefault="007C3D83" w:rsidP="00F16D07">
      <w:pPr>
        <w:rPr>
          <w:lang w:eastAsia="ar-SA"/>
        </w:rPr>
      </w:pPr>
      <w:r w:rsidRPr="00F16D07">
        <w:rPr>
          <w:lang w:eastAsia="ar-SA"/>
        </w:rPr>
        <w:t xml:space="preserve">We forecast the total cost of the four year screening pathway on the basis of the cost estimates developed for the first two years.   </w:t>
      </w:r>
    </w:p>
    <w:p w:rsidR="007C3D83" w:rsidRPr="00F16D07" w:rsidRDefault="007C3D83" w:rsidP="00F16D07">
      <w:pPr>
        <w:rPr>
          <w:lang w:eastAsia="ar-SA"/>
        </w:rPr>
      </w:pPr>
      <w:r w:rsidRPr="00F16D07">
        <w:rPr>
          <w:lang w:eastAsia="ar-SA"/>
        </w:rPr>
        <w:t>The forecast total operating cost for each of years 3 and 4 is $5.505 million, including Ministry of Health oversight costs.</w:t>
      </w:r>
    </w:p>
    <w:p w:rsidR="007C3D83" w:rsidRPr="00F16D07" w:rsidRDefault="007C3D83" w:rsidP="00F16D07">
      <w:pPr>
        <w:rPr>
          <w:lang w:eastAsia="ar-SA"/>
        </w:rPr>
      </w:pPr>
      <w:r w:rsidRPr="00F16D07">
        <w:rPr>
          <w:lang w:eastAsia="ar-SA"/>
        </w:rPr>
        <w:t>The forecast total cost of the pilot over years 1-4 is $24.753 million.  This includes the cost of developing the pilot ($3.148 million) and the estimated operating cost for years 1 and 2 (total of $10.59</w:t>
      </w:r>
      <w:r w:rsidR="00106048">
        <w:rPr>
          <w:lang w:eastAsia="ar-SA"/>
        </w:rPr>
        <w:t>4</w:t>
      </w:r>
      <w:r w:rsidRPr="00F16D07">
        <w:rPr>
          <w:lang w:eastAsia="ar-SA"/>
        </w:rPr>
        <w:t xml:space="preserve"> million), including Ministry of Health oversight costs.</w:t>
      </w:r>
    </w:p>
    <w:p w:rsidR="007C3D83" w:rsidRPr="00F16D07" w:rsidRDefault="007C3D83" w:rsidP="00F16D07">
      <w:pPr>
        <w:rPr>
          <w:lang w:eastAsia="ar-SA"/>
        </w:rPr>
      </w:pPr>
      <w:r w:rsidRPr="00F16D07">
        <w:rPr>
          <w:lang w:eastAsia="ar-SA"/>
        </w:rPr>
        <w:t xml:space="preserve">The forecast cost of the pilot over years 1-4, excluding Ministry of Health oversight costs, is $19.625 million.  </w:t>
      </w:r>
    </w:p>
    <w:p w:rsidR="007C3D83" w:rsidRPr="00F16D07" w:rsidRDefault="007C3D83" w:rsidP="00F16D07">
      <w:pPr>
        <w:rPr>
          <w:b/>
        </w:rPr>
      </w:pPr>
      <w:bookmarkStart w:id="45" w:name="_Toc406582368"/>
      <w:r w:rsidRPr="00F16D07">
        <w:rPr>
          <w:b/>
        </w:rPr>
        <w:lastRenderedPageBreak/>
        <w:t>Estimates of the annual ‘steady state’ operating cost of a national bowel screening programme</w:t>
      </w:r>
      <w:bookmarkEnd w:id="45"/>
      <w:r w:rsidRPr="00F16D07">
        <w:rPr>
          <w:b/>
        </w:rPr>
        <w:t xml:space="preserve"> </w:t>
      </w:r>
    </w:p>
    <w:p w:rsidR="007C3D83" w:rsidRPr="00F16D07" w:rsidRDefault="007C3D83" w:rsidP="00F16D07">
      <w:pPr>
        <w:rPr>
          <w:lang w:eastAsia="ar-SA"/>
        </w:rPr>
      </w:pPr>
      <w:r w:rsidRPr="00F16D07">
        <w:rPr>
          <w:lang w:eastAsia="ar-SA"/>
        </w:rPr>
        <w:t xml:space="preserve">In estimating the costs of a national bowel screening programme, we have only considered the direct costs of a national screening programme in a “steady state”. Our estimates do not include development/start-up costs such as workforce development or capital purchases. We have also not included any Ministry of Health oversight and governance costs. </w:t>
      </w:r>
    </w:p>
    <w:p w:rsidR="007C3D83" w:rsidRPr="00F16D07" w:rsidRDefault="007C3D83" w:rsidP="00F16D07">
      <w:pPr>
        <w:rPr>
          <w:lang w:eastAsia="ar-SA"/>
        </w:rPr>
      </w:pPr>
      <w:r w:rsidRPr="00F16D07">
        <w:rPr>
          <w:lang w:eastAsia="ar-SA"/>
        </w:rPr>
        <w:t xml:space="preserve">We have made a number of assumptions, including that the pilot model design is replicated and that all key parameters remain the same. We have assumed that the current models for laboratory services, the coordination centre and the IT register are scaled up to manage the increased volumes required for a national programme. We also assume that colonoscopy services will be provided by salaried and contracted colonoscopists, in the same proportion as services provided to the pilot in the second half of year two (July to December 2013). </w:t>
      </w:r>
    </w:p>
    <w:p w:rsidR="007C3D83" w:rsidRPr="00F16D07" w:rsidRDefault="007C3D83" w:rsidP="00F16D07">
      <w:pPr>
        <w:rPr>
          <w:b/>
        </w:rPr>
      </w:pPr>
      <w:bookmarkStart w:id="46" w:name="_Toc406582369"/>
      <w:r w:rsidRPr="00F16D07">
        <w:rPr>
          <w:b/>
        </w:rPr>
        <w:t>National view</w:t>
      </w:r>
      <w:bookmarkEnd w:id="46"/>
    </w:p>
    <w:p w:rsidR="007C3D83" w:rsidRPr="00F16D07" w:rsidRDefault="007C3D83" w:rsidP="00F16D07">
      <w:pPr>
        <w:rPr>
          <w:lang w:eastAsia="ar-SA"/>
        </w:rPr>
      </w:pPr>
      <w:r w:rsidRPr="00F16D07">
        <w:rPr>
          <w:lang w:eastAsia="ar-SA"/>
        </w:rPr>
        <w:t xml:space="preserve">The annual operating cost of a national screening programme in steady state, excluding development costs and Ministry of Health oversight is estimated at $39.073 million.  This is 7.8 times higher than our estimate of the annual operating cost of $5.010 million for the pilot in Year 4.   </w:t>
      </w:r>
    </w:p>
    <w:p w:rsidR="007C3D83" w:rsidRPr="00F16D07" w:rsidRDefault="007C3D83" w:rsidP="00F16D07">
      <w:pPr>
        <w:rPr>
          <w:lang w:eastAsia="ar-SA"/>
        </w:rPr>
      </w:pPr>
      <w:r w:rsidRPr="00F16D07">
        <w:rPr>
          <w:lang w:eastAsia="ar-SA"/>
        </w:rPr>
        <w:t>The results of sensitivity testing undertaken suggest a plausible range for the annual operating cost of a national screening programme in steady state as being between $26.531 million and  $50.623 million (with the base case estimate at $39.073 million).</w:t>
      </w:r>
    </w:p>
    <w:p w:rsidR="007C3D83" w:rsidRPr="00F16D07" w:rsidRDefault="007C3D83" w:rsidP="00F16D07">
      <w:pPr>
        <w:rPr>
          <w:b/>
        </w:rPr>
      </w:pPr>
      <w:bookmarkStart w:id="47" w:name="_Toc406582370"/>
      <w:r w:rsidRPr="00F16D07">
        <w:rPr>
          <w:b/>
        </w:rPr>
        <w:t>Regional view</w:t>
      </w:r>
      <w:bookmarkEnd w:id="47"/>
    </w:p>
    <w:p w:rsidR="007C3D83" w:rsidRDefault="007C3D83" w:rsidP="00F16D07">
      <w:pPr>
        <w:rPr>
          <w:lang w:eastAsia="ar-SA"/>
        </w:rPr>
      </w:pPr>
      <w:r w:rsidRPr="00F16D07">
        <w:rPr>
          <w:lang w:eastAsia="ar-SA"/>
        </w:rPr>
        <w:t>The following table shows the variable and fixed operating costs allocated on a proportional basis (by population share) to each of the DHB regions.</w:t>
      </w:r>
    </w:p>
    <w:p w:rsidR="00E035F8" w:rsidRPr="00F16D07" w:rsidRDefault="00E035F8" w:rsidP="00F16D07">
      <w:pPr>
        <w:rPr>
          <w:lang w:eastAsia="ar-SA"/>
        </w:rPr>
      </w:pPr>
    </w:p>
    <w:p w:rsidR="007C3D83" w:rsidRPr="00F16D07" w:rsidRDefault="007C3D83" w:rsidP="00F16D07">
      <w:pPr>
        <w:pStyle w:val="Table"/>
        <w:ind w:left="709"/>
      </w:pPr>
      <w:bookmarkStart w:id="48" w:name="_Toc412540155"/>
      <w:r w:rsidRPr="00F16D07">
        <w:t>Table</w:t>
      </w:r>
      <w:r w:rsidR="00E035F8">
        <w:t xml:space="preserve"> 2</w:t>
      </w:r>
      <w:r w:rsidRPr="00F16D07">
        <w:t>: National model - estimated annual operating cost in steady state, by region</w:t>
      </w:r>
      <w:bookmarkEnd w:id="48"/>
    </w:p>
    <w:tbl>
      <w:tblPr>
        <w:tblStyle w:val="TableGrid"/>
        <w:tblW w:w="8613" w:type="dxa"/>
        <w:tblInd w:w="567" w:type="dxa"/>
        <w:tblLayout w:type="fixed"/>
        <w:tblCellMar>
          <w:top w:w="28" w:type="dxa"/>
          <w:bottom w:w="28" w:type="dxa"/>
        </w:tblCellMar>
        <w:tblLook w:val="04A0" w:firstRow="1" w:lastRow="0" w:firstColumn="1" w:lastColumn="0" w:noHBand="0" w:noVBand="1"/>
      </w:tblPr>
      <w:tblGrid>
        <w:gridCol w:w="3510"/>
        <w:gridCol w:w="1020"/>
        <w:gridCol w:w="1021"/>
        <w:gridCol w:w="1020"/>
        <w:gridCol w:w="1021"/>
        <w:gridCol w:w="1021"/>
      </w:tblGrid>
      <w:tr w:rsidR="007C3D83" w:rsidRPr="00F16D07" w:rsidTr="00F16D07">
        <w:trPr>
          <w:trHeight w:val="240"/>
        </w:trPr>
        <w:tc>
          <w:tcPr>
            <w:tcW w:w="3510" w:type="dxa"/>
            <w:shd w:val="clear" w:color="auto" w:fill="7B5E05"/>
          </w:tcPr>
          <w:p w:rsidR="007C3D83" w:rsidRPr="00F16D07" w:rsidRDefault="007C3D83" w:rsidP="007C3D83">
            <w:pPr>
              <w:spacing w:before="60" w:after="60"/>
              <w:ind w:left="0"/>
              <w:jc w:val="center"/>
              <w:rPr>
                <w:rFonts w:cs="Arial"/>
                <w:b/>
                <w:color w:val="FFFFFF"/>
                <w:sz w:val="20"/>
                <w:szCs w:val="20"/>
                <w:lang w:eastAsia="en-NZ"/>
              </w:rPr>
            </w:pPr>
          </w:p>
        </w:tc>
        <w:tc>
          <w:tcPr>
            <w:tcW w:w="1020" w:type="dxa"/>
            <w:shd w:val="clear" w:color="auto" w:fill="7B5E05"/>
          </w:tcPr>
          <w:p w:rsidR="007C3D83" w:rsidRPr="00015F19" w:rsidRDefault="007C3D83" w:rsidP="007C3D83">
            <w:pPr>
              <w:spacing w:before="60" w:after="60"/>
              <w:ind w:left="0"/>
              <w:jc w:val="center"/>
              <w:rPr>
                <w:rFonts w:cs="Arial"/>
                <w:b/>
                <w:color w:val="FFFFFF"/>
                <w:sz w:val="18"/>
                <w:szCs w:val="18"/>
                <w:lang w:eastAsia="en-NZ"/>
              </w:rPr>
            </w:pPr>
            <w:r w:rsidRPr="00015F19">
              <w:rPr>
                <w:rFonts w:cs="Arial"/>
                <w:b/>
                <w:color w:val="FFFFFF"/>
                <w:sz w:val="18"/>
                <w:szCs w:val="18"/>
                <w:lang w:eastAsia="en-NZ"/>
              </w:rPr>
              <w:t>Northern</w:t>
            </w:r>
          </w:p>
        </w:tc>
        <w:tc>
          <w:tcPr>
            <w:tcW w:w="1021" w:type="dxa"/>
            <w:shd w:val="clear" w:color="auto" w:fill="7B5E05"/>
          </w:tcPr>
          <w:p w:rsidR="007C3D83" w:rsidRPr="00015F19" w:rsidRDefault="007C3D83" w:rsidP="007C3D83">
            <w:pPr>
              <w:spacing w:before="60" w:after="60"/>
              <w:ind w:left="0"/>
              <w:jc w:val="center"/>
              <w:rPr>
                <w:rFonts w:cs="Arial"/>
                <w:b/>
                <w:color w:val="FFFFFF"/>
                <w:sz w:val="18"/>
                <w:szCs w:val="18"/>
                <w:lang w:eastAsia="en-NZ"/>
              </w:rPr>
            </w:pPr>
            <w:r w:rsidRPr="00015F19">
              <w:rPr>
                <w:rFonts w:cs="Arial"/>
                <w:b/>
                <w:color w:val="FFFFFF"/>
                <w:sz w:val="18"/>
                <w:szCs w:val="18"/>
                <w:lang w:eastAsia="en-NZ"/>
              </w:rPr>
              <w:t>Midland</w:t>
            </w:r>
          </w:p>
        </w:tc>
        <w:tc>
          <w:tcPr>
            <w:tcW w:w="1020" w:type="dxa"/>
            <w:shd w:val="clear" w:color="auto" w:fill="7B5E05"/>
          </w:tcPr>
          <w:p w:rsidR="007C3D83" w:rsidRPr="00015F19" w:rsidRDefault="007C3D83" w:rsidP="007C3D83">
            <w:pPr>
              <w:spacing w:before="60" w:after="60"/>
              <w:ind w:left="0"/>
              <w:jc w:val="center"/>
              <w:rPr>
                <w:rFonts w:cs="Arial"/>
                <w:b/>
                <w:color w:val="FFFFFF"/>
                <w:sz w:val="18"/>
                <w:szCs w:val="18"/>
                <w:lang w:eastAsia="en-NZ"/>
              </w:rPr>
            </w:pPr>
            <w:r w:rsidRPr="00015F19">
              <w:rPr>
                <w:rFonts w:cs="Arial"/>
                <w:b/>
                <w:color w:val="FFFFFF"/>
                <w:sz w:val="18"/>
                <w:szCs w:val="18"/>
                <w:lang w:eastAsia="en-NZ"/>
              </w:rPr>
              <w:t>Central</w:t>
            </w:r>
          </w:p>
        </w:tc>
        <w:tc>
          <w:tcPr>
            <w:tcW w:w="1021" w:type="dxa"/>
            <w:shd w:val="clear" w:color="auto" w:fill="7B5E05"/>
          </w:tcPr>
          <w:p w:rsidR="007C3D83" w:rsidRPr="00015F19" w:rsidRDefault="007C3D83" w:rsidP="007C3D83">
            <w:pPr>
              <w:spacing w:before="60" w:after="60"/>
              <w:ind w:left="0"/>
              <w:jc w:val="center"/>
              <w:rPr>
                <w:rFonts w:cs="Arial"/>
                <w:b/>
                <w:color w:val="FFFFFF"/>
                <w:sz w:val="18"/>
                <w:szCs w:val="18"/>
                <w:lang w:eastAsia="en-NZ"/>
              </w:rPr>
            </w:pPr>
            <w:r w:rsidRPr="00015F19">
              <w:rPr>
                <w:rFonts w:cs="Arial"/>
                <w:b/>
                <w:color w:val="FFFFFF"/>
                <w:sz w:val="18"/>
                <w:szCs w:val="18"/>
                <w:lang w:eastAsia="en-NZ"/>
              </w:rPr>
              <w:t>Southern</w:t>
            </w:r>
          </w:p>
        </w:tc>
        <w:tc>
          <w:tcPr>
            <w:tcW w:w="1021" w:type="dxa"/>
            <w:shd w:val="clear" w:color="auto" w:fill="7B5E05"/>
          </w:tcPr>
          <w:p w:rsidR="007C3D83" w:rsidRPr="00015F19" w:rsidRDefault="007C3D83" w:rsidP="007C3D83">
            <w:pPr>
              <w:spacing w:before="60" w:after="60"/>
              <w:ind w:left="0"/>
              <w:jc w:val="center"/>
              <w:rPr>
                <w:rFonts w:cs="Arial"/>
                <w:b/>
                <w:color w:val="FFFFFF"/>
                <w:sz w:val="18"/>
                <w:szCs w:val="18"/>
                <w:lang w:eastAsia="en-NZ"/>
              </w:rPr>
            </w:pPr>
            <w:r w:rsidRPr="00015F19">
              <w:rPr>
                <w:rFonts w:cs="Arial"/>
                <w:b/>
                <w:color w:val="FFFFFF"/>
                <w:sz w:val="18"/>
                <w:szCs w:val="18"/>
                <w:lang w:eastAsia="en-NZ"/>
              </w:rPr>
              <w:t>Total</w:t>
            </w:r>
          </w:p>
        </w:tc>
      </w:tr>
      <w:tr w:rsidR="007C3D83" w:rsidRPr="00F16D07" w:rsidTr="00F16D07">
        <w:trPr>
          <w:trHeight w:val="225"/>
        </w:trPr>
        <w:tc>
          <w:tcPr>
            <w:tcW w:w="8613" w:type="dxa"/>
            <w:gridSpan w:val="6"/>
            <w:shd w:val="clear" w:color="auto" w:fill="D9D9D9" w:themeFill="background1" w:themeFillShade="D9"/>
          </w:tcPr>
          <w:p w:rsidR="007C3D83" w:rsidRPr="00F16D07" w:rsidRDefault="007C3D83" w:rsidP="007C3D83">
            <w:pPr>
              <w:spacing w:before="60" w:after="60"/>
              <w:ind w:left="0"/>
              <w:rPr>
                <w:rFonts w:cs="Arial"/>
                <w:b/>
                <w:sz w:val="20"/>
                <w:szCs w:val="20"/>
                <w:lang w:eastAsia="en-NZ"/>
              </w:rPr>
            </w:pPr>
            <w:r w:rsidRPr="00F16D07">
              <w:rPr>
                <w:rFonts w:cs="Arial"/>
                <w:b/>
                <w:sz w:val="20"/>
                <w:szCs w:val="20"/>
                <w:lang w:eastAsia="en-NZ"/>
              </w:rPr>
              <w:t>Regional costs ($ million)</w:t>
            </w:r>
          </w:p>
        </w:tc>
      </w:tr>
      <w:tr w:rsidR="007C3D83" w:rsidRPr="00F16D07" w:rsidTr="00F16D07">
        <w:trPr>
          <w:trHeight w:val="225"/>
        </w:trPr>
        <w:tc>
          <w:tcPr>
            <w:tcW w:w="3510" w:type="dxa"/>
          </w:tcPr>
          <w:p w:rsidR="007C3D83" w:rsidRPr="00F16D07" w:rsidRDefault="007C3D83" w:rsidP="007C3D83">
            <w:pPr>
              <w:spacing w:before="60" w:after="60"/>
              <w:ind w:left="0"/>
              <w:rPr>
                <w:rFonts w:cs="Arial"/>
                <w:sz w:val="20"/>
                <w:szCs w:val="20"/>
                <w:lang w:eastAsia="en-NZ"/>
              </w:rPr>
            </w:pPr>
            <w:r w:rsidRPr="00F16D07">
              <w:rPr>
                <w:rFonts w:cs="Arial"/>
                <w:sz w:val="20"/>
                <w:szCs w:val="20"/>
                <w:lang w:eastAsia="en-NZ"/>
              </w:rPr>
              <w:t>Variable operating cost</w:t>
            </w:r>
          </w:p>
        </w:tc>
        <w:tc>
          <w:tcPr>
            <w:tcW w:w="1020"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$5.862 </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$3.483 </w:t>
            </w:r>
          </w:p>
        </w:tc>
        <w:tc>
          <w:tcPr>
            <w:tcW w:w="1020"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$3.435 </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$4.568 </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$17.348 </w:t>
            </w:r>
          </w:p>
        </w:tc>
      </w:tr>
      <w:tr w:rsidR="007C3D83" w:rsidRPr="00F16D07" w:rsidTr="00F16D07">
        <w:trPr>
          <w:trHeight w:val="225"/>
        </w:trPr>
        <w:tc>
          <w:tcPr>
            <w:tcW w:w="3510" w:type="dxa"/>
          </w:tcPr>
          <w:p w:rsidR="007C3D83" w:rsidRPr="00F16D07" w:rsidRDefault="007C3D83" w:rsidP="007C3D83">
            <w:pPr>
              <w:spacing w:before="60" w:after="60"/>
              <w:ind w:left="0"/>
              <w:rPr>
                <w:rFonts w:cs="Arial"/>
                <w:sz w:val="20"/>
                <w:szCs w:val="20"/>
                <w:lang w:eastAsia="en-NZ"/>
              </w:rPr>
            </w:pPr>
            <w:r w:rsidRPr="00F16D07">
              <w:rPr>
                <w:rFonts w:cs="Arial"/>
                <w:sz w:val="20"/>
                <w:szCs w:val="20"/>
                <w:lang w:eastAsia="en-NZ"/>
              </w:rPr>
              <w:t>Fixed operating cost</w:t>
            </w:r>
          </w:p>
        </w:tc>
        <w:tc>
          <w:tcPr>
            <w:tcW w:w="1020"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$7.592 </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$4.311 </w:t>
            </w:r>
          </w:p>
        </w:tc>
        <w:tc>
          <w:tcPr>
            <w:tcW w:w="1020"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$4.250 </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$5.572 </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 xml:space="preserve"> $21.724 </w:t>
            </w:r>
          </w:p>
        </w:tc>
      </w:tr>
      <w:tr w:rsidR="007C3D83" w:rsidRPr="00F16D07" w:rsidTr="00F16D07">
        <w:trPr>
          <w:trHeight w:val="240"/>
        </w:trPr>
        <w:tc>
          <w:tcPr>
            <w:tcW w:w="3510" w:type="dxa"/>
          </w:tcPr>
          <w:p w:rsidR="007C3D83" w:rsidRPr="00F16D07" w:rsidRDefault="007C3D83" w:rsidP="007C3D83">
            <w:pPr>
              <w:spacing w:before="60" w:after="60"/>
              <w:ind w:left="0"/>
              <w:rPr>
                <w:rFonts w:cs="Arial"/>
                <w:b/>
                <w:sz w:val="20"/>
                <w:szCs w:val="20"/>
                <w:lang w:eastAsia="en-NZ"/>
              </w:rPr>
            </w:pPr>
            <w:r w:rsidRPr="00F16D07">
              <w:rPr>
                <w:rFonts w:cs="Arial"/>
                <w:b/>
                <w:sz w:val="20"/>
                <w:szCs w:val="20"/>
                <w:lang w:eastAsia="en-NZ"/>
              </w:rPr>
              <w:t>Annual operating cost</w:t>
            </w:r>
          </w:p>
        </w:tc>
        <w:tc>
          <w:tcPr>
            <w:tcW w:w="1020" w:type="dxa"/>
          </w:tcPr>
          <w:p w:rsidR="007C3D83" w:rsidRPr="00F16D07" w:rsidRDefault="007C3D83" w:rsidP="007C3D83">
            <w:pPr>
              <w:spacing w:before="60" w:after="60"/>
              <w:ind w:left="0"/>
              <w:jc w:val="right"/>
              <w:rPr>
                <w:rFonts w:cs="Arial"/>
                <w:b/>
                <w:sz w:val="20"/>
                <w:szCs w:val="20"/>
                <w:lang w:eastAsia="en-NZ"/>
              </w:rPr>
            </w:pPr>
            <w:r w:rsidRPr="00F16D07">
              <w:rPr>
                <w:rFonts w:cs="Arial"/>
                <w:b/>
                <w:sz w:val="20"/>
                <w:szCs w:val="20"/>
                <w:lang w:eastAsia="en-NZ"/>
              </w:rPr>
              <w:t xml:space="preserve"> $13.454 </w:t>
            </w:r>
          </w:p>
        </w:tc>
        <w:tc>
          <w:tcPr>
            <w:tcW w:w="1021" w:type="dxa"/>
          </w:tcPr>
          <w:p w:rsidR="007C3D83" w:rsidRPr="00F16D07" w:rsidRDefault="007C3D83" w:rsidP="007C3D83">
            <w:pPr>
              <w:spacing w:before="60" w:after="60"/>
              <w:ind w:left="0"/>
              <w:jc w:val="right"/>
              <w:rPr>
                <w:rFonts w:cs="Arial"/>
                <w:b/>
                <w:sz w:val="20"/>
                <w:szCs w:val="20"/>
                <w:lang w:eastAsia="en-NZ"/>
              </w:rPr>
            </w:pPr>
            <w:r w:rsidRPr="00F16D07">
              <w:rPr>
                <w:rFonts w:cs="Arial"/>
                <w:b/>
                <w:sz w:val="20"/>
                <w:szCs w:val="20"/>
                <w:lang w:eastAsia="en-NZ"/>
              </w:rPr>
              <w:t xml:space="preserve"> $7.794 </w:t>
            </w:r>
          </w:p>
        </w:tc>
        <w:tc>
          <w:tcPr>
            <w:tcW w:w="1020" w:type="dxa"/>
          </w:tcPr>
          <w:p w:rsidR="007C3D83" w:rsidRPr="00F16D07" w:rsidRDefault="007C3D83" w:rsidP="007C3D83">
            <w:pPr>
              <w:spacing w:before="60" w:after="60"/>
              <w:ind w:left="0"/>
              <w:jc w:val="right"/>
              <w:rPr>
                <w:rFonts w:cs="Arial"/>
                <w:b/>
                <w:sz w:val="20"/>
                <w:szCs w:val="20"/>
                <w:lang w:eastAsia="en-NZ"/>
              </w:rPr>
            </w:pPr>
            <w:r w:rsidRPr="00F16D07">
              <w:rPr>
                <w:rFonts w:cs="Arial"/>
                <w:b/>
                <w:sz w:val="20"/>
                <w:szCs w:val="20"/>
                <w:lang w:eastAsia="en-NZ"/>
              </w:rPr>
              <w:t xml:space="preserve"> $7.686 </w:t>
            </w:r>
          </w:p>
        </w:tc>
        <w:tc>
          <w:tcPr>
            <w:tcW w:w="1021" w:type="dxa"/>
          </w:tcPr>
          <w:p w:rsidR="007C3D83" w:rsidRPr="00F16D07" w:rsidRDefault="007C3D83" w:rsidP="007C3D83">
            <w:pPr>
              <w:spacing w:before="60" w:after="60"/>
              <w:ind w:left="0"/>
              <w:jc w:val="right"/>
              <w:rPr>
                <w:rFonts w:cs="Arial"/>
                <w:b/>
                <w:sz w:val="20"/>
                <w:szCs w:val="20"/>
                <w:lang w:eastAsia="en-NZ"/>
              </w:rPr>
            </w:pPr>
            <w:r w:rsidRPr="00F16D07">
              <w:rPr>
                <w:rFonts w:cs="Arial"/>
                <w:b/>
                <w:sz w:val="20"/>
                <w:szCs w:val="20"/>
                <w:lang w:eastAsia="en-NZ"/>
              </w:rPr>
              <w:t xml:space="preserve"> $10.139 </w:t>
            </w:r>
          </w:p>
        </w:tc>
        <w:tc>
          <w:tcPr>
            <w:tcW w:w="1021" w:type="dxa"/>
          </w:tcPr>
          <w:p w:rsidR="007C3D83" w:rsidRPr="00F16D07" w:rsidRDefault="007C3D83" w:rsidP="007C3D83">
            <w:pPr>
              <w:spacing w:before="60" w:after="60"/>
              <w:ind w:left="0"/>
              <w:jc w:val="right"/>
              <w:rPr>
                <w:rFonts w:cs="Arial"/>
                <w:b/>
                <w:sz w:val="20"/>
                <w:szCs w:val="20"/>
                <w:lang w:eastAsia="en-NZ"/>
              </w:rPr>
            </w:pPr>
            <w:r w:rsidRPr="00F16D07">
              <w:rPr>
                <w:rFonts w:cs="Arial"/>
                <w:b/>
                <w:sz w:val="20"/>
                <w:szCs w:val="20"/>
                <w:lang w:eastAsia="en-NZ"/>
              </w:rPr>
              <w:t xml:space="preserve"> $39.073 </w:t>
            </w:r>
          </w:p>
        </w:tc>
      </w:tr>
      <w:tr w:rsidR="007C3D83" w:rsidRPr="00F16D07" w:rsidTr="00F16D07">
        <w:trPr>
          <w:trHeight w:val="225"/>
        </w:trPr>
        <w:tc>
          <w:tcPr>
            <w:tcW w:w="8613" w:type="dxa"/>
            <w:gridSpan w:val="6"/>
            <w:shd w:val="clear" w:color="auto" w:fill="D9D9D9" w:themeFill="background1" w:themeFillShade="D9"/>
          </w:tcPr>
          <w:p w:rsidR="007C3D83" w:rsidRPr="00F16D07" w:rsidRDefault="007C3D83" w:rsidP="007C3D83">
            <w:pPr>
              <w:spacing w:before="60" w:after="60"/>
              <w:ind w:left="0"/>
              <w:rPr>
                <w:rFonts w:cs="Arial"/>
                <w:b/>
                <w:sz w:val="20"/>
                <w:szCs w:val="20"/>
                <w:lang w:eastAsia="en-NZ"/>
              </w:rPr>
            </w:pPr>
            <w:r w:rsidRPr="00F16D07">
              <w:rPr>
                <w:rFonts w:cs="Arial"/>
                <w:b/>
                <w:sz w:val="20"/>
                <w:szCs w:val="20"/>
                <w:lang w:eastAsia="en-NZ"/>
              </w:rPr>
              <w:t>Regional shares (%)</w:t>
            </w:r>
          </w:p>
        </w:tc>
      </w:tr>
      <w:tr w:rsidR="007C3D83" w:rsidRPr="00F16D07" w:rsidTr="00F16D07">
        <w:trPr>
          <w:trHeight w:val="225"/>
        </w:trPr>
        <w:tc>
          <w:tcPr>
            <w:tcW w:w="3510" w:type="dxa"/>
          </w:tcPr>
          <w:p w:rsidR="007C3D83" w:rsidRPr="00F16D07" w:rsidRDefault="007C3D83" w:rsidP="007C3D83">
            <w:pPr>
              <w:spacing w:before="60" w:after="60"/>
              <w:ind w:left="0"/>
              <w:rPr>
                <w:rFonts w:cs="Arial"/>
                <w:sz w:val="20"/>
                <w:szCs w:val="20"/>
                <w:lang w:eastAsia="en-NZ"/>
              </w:rPr>
            </w:pPr>
            <w:r w:rsidRPr="00F16D07">
              <w:rPr>
                <w:rFonts w:cs="Arial"/>
                <w:sz w:val="20"/>
                <w:szCs w:val="20"/>
                <w:lang w:eastAsia="en-NZ"/>
              </w:rPr>
              <w:t>Share of national population (50-74 years)</w:t>
            </w:r>
          </w:p>
        </w:tc>
        <w:tc>
          <w:tcPr>
            <w:tcW w:w="1020"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34.9%</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19.8%</w:t>
            </w:r>
          </w:p>
        </w:tc>
        <w:tc>
          <w:tcPr>
            <w:tcW w:w="1020"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19.6%</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25.6%</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100.0%</w:t>
            </w:r>
          </w:p>
        </w:tc>
      </w:tr>
      <w:tr w:rsidR="007C3D83" w:rsidRPr="00F16D07" w:rsidTr="00F16D07">
        <w:trPr>
          <w:trHeight w:val="225"/>
        </w:trPr>
        <w:tc>
          <w:tcPr>
            <w:tcW w:w="3510" w:type="dxa"/>
          </w:tcPr>
          <w:p w:rsidR="007C3D83" w:rsidRPr="00F16D07" w:rsidRDefault="007C3D83" w:rsidP="007C3D83">
            <w:pPr>
              <w:spacing w:before="60" w:after="60"/>
              <w:ind w:left="0"/>
              <w:rPr>
                <w:rFonts w:cs="Arial"/>
                <w:sz w:val="20"/>
                <w:szCs w:val="20"/>
                <w:lang w:eastAsia="en-NZ"/>
              </w:rPr>
            </w:pPr>
            <w:r w:rsidRPr="00F16D07">
              <w:rPr>
                <w:rFonts w:cs="Arial"/>
                <w:sz w:val="20"/>
                <w:szCs w:val="20"/>
                <w:lang w:eastAsia="en-NZ"/>
              </w:rPr>
              <w:t>Share of total operating costs</w:t>
            </w:r>
          </w:p>
        </w:tc>
        <w:tc>
          <w:tcPr>
            <w:tcW w:w="1020"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34.4%</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19.9%</w:t>
            </w:r>
          </w:p>
        </w:tc>
        <w:tc>
          <w:tcPr>
            <w:tcW w:w="1020"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19.7%</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25.9%</w:t>
            </w:r>
          </w:p>
        </w:tc>
        <w:tc>
          <w:tcPr>
            <w:tcW w:w="1021" w:type="dxa"/>
          </w:tcPr>
          <w:p w:rsidR="007C3D83" w:rsidRPr="00F16D07" w:rsidRDefault="007C3D83" w:rsidP="007C3D83">
            <w:pPr>
              <w:spacing w:before="60" w:after="60"/>
              <w:ind w:left="0"/>
              <w:jc w:val="right"/>
              <w:rPr>
                <w:rFonts w:cs="Arial"/>
                <w:sz w:val="20"/>
                <w:szCs w:val="20"/>
                <w:lang w:eastAsia="en-NZ"/>
              </w:rPr>
            </w:pPr>
            <w:r w:rsidRPr="00F16D07">
              <w:rPr>
                <w:rFonts w:cs="Arial"/>
                <w:sz w:val="20"/>
                <w:szCs w:val="20"/>
                <w:lang w:eastAsia="en-NZ"/>
              </w:rPr>
              <w:t>100.0%</w:t>
            </w:r>
          </w:p>
        </w:tc>
      </w:tr>
    </w:tbl>
    <w:p w:rsidR="007C3D83" w:rsidRPr="007C3D83" w:rsidRDefault="007C3D83" w:rsidP="009074CB"/>
    <w:p w:rsidR="000208A9" w:rsidRPr="00414853" w:rsidRDefault="000208A9" w:rsidP="000208A9">
      <w:pPr>
        <w:pStyle w:val="Heading2"/>
        <w:spacing w:before="240"/>
      </w:pPr>
      <w:bookmarkStart w:id="49" w:name="_Toc412540017"/>
      <w:r w:rsidRPr="00414853">
        <w:lastRenderedPageBreak/>
        <w:t>1.</w:t>
      </w:r>
      <w:r w:rsidR="00413B45" w:rsidRPr="00414853">
        <w:t>3</w:t>
      </w:r>
      <w:r w:rsidRPr="00414853">
        <w:tab/>
      </w:r>
      <w:bookmarkEnd w:id="31"/>
      <w:bookmarkEnd w:id="32"/>
      <w:r w:rsidR="006C61C7" w:rsidRPr="00414853">
        <w:t>Conclusions and r</w:t>
      </w:r>
      <w:r w:rsidR="006247F2" w:rsidRPr="00414853">
        <w:t>ecommendations</w:t>
      </w:r>
      <w:bookmarkEnd w:id="49"/>
      <w:r w:rsidR="006247F2" w:rsidRPr="00414853">
        <w:t xml:space="preserve"> </w:t>
      </w:r>
    </w:p>
    <w:p w:rsidR="009964BF" w:rsidRPr="00414853" w:rsidRDefault="00B8526A" w:rsidP="00A227CF">
      <w:pPr>
        <w:rPr>
          <w:iCs/>
        </w:rPr>
      </w:pPr>
      <w:r>
        <w:rPr>
          <w:lang w:eastAsia="ar-SA"/>
        </w:rPr>
        <w:t>T</w:t>
      </w:r>
      <w:r w:rsidR="009964BF" w:rsidRPr="00414853">
        <w:rPr>
          <w:lang w:eastAsia="ar-SA"/>
        </w:rPr>
        <w:t xml:space="preserve">he evaluation </w:t>
      </w:r>
      <w:r>
        <w:rPr>
          <w:lang w:eastAsia="ar-SA"/>
        </w:rPr>
        <w:t xml:space="preserve">will </w:t>
      </w:r>
      <w:r w:rsidR="009964BF" w:rsidRPr="00414853">
        <w:rPr>
          <w:lang w:eastAsia="ar-SA"/>
        </w:rPr>
        <w:t>directly address the overa</w:t>
      </w:r>
      <w:r w:rsidR="0091546E">
        <w:rPr>
          <w:lang w:eastAsia="ar-SA"/>
        </w:rPr>
        <w:t>r</w:t>
      </w:r>
      <w:r w:rsidR="009964BF" w:rsidRPr="00414853">
        <w:rPr>
          <w:lang w:eastAsia="ar-SA"/>
        </w:rPr>
        <w:t xml:space="preserve">ching goal </w:t>
      </w:r>
      <w:r w:rsidR="00A227CF" w:rsidRPr="00414853">
        <w:rPr>
          <w:lang w:eastAsia="ar-SA"/>
        </w:rPr>
        <w:t xml:space="preserve">of the BSP </w:t>
      </w:r>
      <w:r w:rsidR="009964BF" w:rsidRPr="00414853">
        <w:rPr>
          <w:lang w:eastAsia="ar-SA"/>
        </w:rPr>
        <w:t xml:space="preserve">on </w:t>
      </w:r>
      <w:r w:rsidR="00A227CF" w:rsidRPr="00414853">
        <w:rPr>
          <w:lang w:eastAsia="ar-SA"/>
        </w:rPr>
        <w:t xml:space="preserve">whether </w:t>
      </w:r>
      <w:r w:rsidR="00A227CF" w:rsidRPr="00414853">
        <w:rPr>
          <w:i/>
          <w:iCs/>
        </w:rPr>
        <w:t>organised bowel screening could be introduced in New Zealand in a way that is effective, safe and acceptable for participants; equitable and economically efficient</w:t>
      </w:r>
      <w:r>
        <w:rPr>
          <w:iCs/>
        </w:rPr>
        <w:t xml:space="preserve"> at completion of screening round two (2016)</w:t>
      </w:r>
      <w:r w:rsidR="00A227CF" w:rsidRPr="00414853">
        <w:rPr>
          <w:i/>
          <w:iCs/>
        </w:rPr>
        <w:t xml:space="preserve">.  </w:t>
      </w:r>
      <w:r>
        <w:rPr>
          <w:iCs/>
        </w:rPr>
        <w:t xml:space="preserve">At this stage, the evaluation </w:t>
      </w:r>
      <w:r w:rsidR="009964BF" w:rsidRPr="00414853">
        <w:rPr>
          <w:iCs/>
        </w:rPr>
        <w:t>provide</w:t>
      </w:r>
      <w:r>
        <w:rPr>
          <w:iCs/>
        </w:rPr>
        <w:t>s</w:t>
      </w:r>
      <w:r w:rsidR="009964BF" w:rsidRPr="00414853">
        <w:rPr>
          <w:iCs/>
        </w:rPr>
        <w:t xml:space="preserve"> insight to inform three of four aims of the BSP as relevant to this stage of the </w:t>
      </w:r>
      <w:r w:rsidR="00EB35F4" w:rsidRPr="00414853">
        <w:rPr>
          <w:iCs/>
        </w:rPr>
        <w:t>p</w:t>
      </w:r>
      <w:r w:rsidR="009964BF" w:rsidRPr="00414853">
        <w:rPr>
          <w:iCs/>
        </w:rPr>
        <w:t xml:space="preserve">ilot.  </w:t>
      </w:r>
    </w:p>
    <w:p w:rsidR="009964BF" w:rsidRPr="00414853" w:rsidRDefault="009964BF" w:rsidP="00541865">
      <w:pPr>
        <w:pStyle w:val="Heading4"/>
      </w:pPr>
      <w:r w:rsidRPr="00414853">
        <w:t>Effectiveness</w:t>
      </w:r>
      <w:r w:rsidR="00541865" w:rsidRPr="00414853">
        <w:t xml:space="preserve">: </w:t>
      </w:r>
      <w:r w:rsidR="00AA0977">
        <w:t>I</w:t>
      </w:r>
      <w:r w:rsidR="00541865" w:rsidRPr="00414853">
        <w:t xml:space="preserve">s a national bowel screening programme likely to achieve the mortality reduction from bowel cancer for all population groups seen in international randomised controlled trials? </w:t>
      </w:r>
      <w:r w:rsidRPr="00414853">
        <w:t xml:space="preserve"> </w:t>
      </w:r>
    </w:p>
    <w:p w:rsidR="00541865" w:rsidRPr="00414853" w:rsidRDefault="00541865" w:rsidP="009964BF">
      <w:r w:rsidRPr="00414853">
        <w:t xml:space="preserve">The epidemiology findings are largely similar to those found on other population-based colorectal screening programmes.  </w:t>
      </w:r>
    </w:p>
    <w:p w:rsidR="00CB4216" w:rsidRPr="009826F2" w:rsidRDefault="00CB4216" w:rsidP="009964BF">
      <w:r w:rsidRPr="009826F2">
        <w:t xml:space="preserve">The New Zealand participation rate is already higher than what is considered internationally to be the minimum participation rate (Ministry of Health 2012d). The </w:t>
      </w:r>
      <w:r w:rsidRPr="009826F2">
        <w:rPr>
          <w:i/>
        </w:rPr>
        <w:t xml:space="preserve">European Guidelines for Quality Assurance in Colorectal Cancer Screening and Diagnosis </w:t>
      </w:r>
      <w:r w:rsidRPr="009826F2">
        <w:t xml:space="preserve">(Segnan et al 2010 p84) notes a minimum participation of at least 45% is acceptable but recommends aiming for a rate of at least 65% (Faivre et al 1991; Zorzi et al 2008).  </w:t>
      </w:r>
    </w:p>
    <w:p w:rsidR="00541865" w:rsidRPr="00414853" w:rsidRDefault="00541865" w:rsidP="002E41E5">
      <w:pPr>
        <w:keepNext/>
        <w:keepLines/>
      </w:pPr>
      <w:r w:rsidRPr="009826F2">
        <w:rPr>
          <w:rFonts w:cs="Arial"/>
        </w:rPr>
        <w:t>L</w:t>
      </w:r>
      <w:r w:rsidR="00AE19D4" w:rsidRPr="009826F2">
        <w:rPr>
          <w:rFonts w:cs="Arial"/>
        </w:rPr>
        <w:t>ow participation among people living in the most deprived areas</w:t>
      </w:r>
      <w:r w:rsidRPr="009826F2">
        <w:rPr>
          <w:rFonts w:cs="Arial"/>
        </w:rPr>
        <w:t xml:space="preserve"> is a high priority to address</w:t>
      </w:r>
      <w:r w:rsidR="00AE19D4" w:rsidRPr="009826F2">
        <w:rPr>
          <w:rFonts w:cs="Arial"/>
        </w:rPr>
        <w:t xml:space="preserve">.  More disease was found in this population group, irrespective of age, sex and ethnicity. </w:t>
      </w:r>
      <w:r w:rsidRPr="009826F2">
        <w:rPr>
          <w:rFonts w:cs="Arial"/>
        </w:rPr>
        <w:t xml:space="preserve"> </w:t>
      </w:r>
      <w:r w:rsidR="00B8526A">
        <w:rPr>
          <w:rFonts w:cs="Arial"/>
        </w:rPr>
        <w:t>R</w:t>
      </w:r>
      <w:r w:rsidRPr="009826F2">
        <w:t>esearch is required to understand the reasons for low participation amongst people living in the most deprived areas.</w:t>
      </w:r>
      <w:r w:rsidRPr="00414853">
        <w:t xml:space="preserve"> </w:t>
      </w:r>
    </w:p>
    <w:p w:rsidR="00F47669" w:rsidRDefault="00B8526A" w:rsidP="009029FF">
      <w:pPr>
        <w:pStyle w:val="Bullet"/>
        <w:keepNext/>
        <w:keepLines/>
        <w:numPr>
          <w:ilvl w:val="0"/>
          <w:numId w:val="0"/>
        </w:numPr>
        <w:ind w:left="709"/>
        <w:rPr>
          <w:rFonts w:cs="Arial"/>
        </w:rPr>
      </w:pPr>
      <w:r>
        <w:rPr>
          <w:rFonts w:cs="Arial"/>
        </w:rPr>
        <w:t>S</w:t>
      </w:r>
      <w:r w:rsidR="00F47669">
        <w:rPr>
          <w:rFonts w:cs="Arial"/>
        </w:rPr>
        <w:t>trategies are also needed to promote the BSP among the other low</w:t>
      </w:r>
      <w:r w:rsidR="00A34CE6">
        <w:rPr>
          <w:rFonts w:cs="Arial"/>
        </w:rPr>
        <w:t xml:space="preserve"> </w:t>
      </w:r>
      <w:r w:rsidR="00F47669">
        <w:rPr>
          <w:rFonts w:cs="Arial"/>
        </w:rPr>
        <w:t>uptake groups: Māori, males, Pacific people, and younger age groups. Māori were slightly more likely to have a positive iFOBT result than Europeans and there was suggestive evidence they were more likely to have disease</w:t>
      </w:r>
      <w:r w:rsidR="00F47669" w:rsidRPr="00697D47">
        <w:rPr>
          <w:rStyle w:val="FootnoteReference"/>
        </w:rPr>
        <w:footnoteReference w:id="12"/>
      </w:r>
      <w:r w:rsidR="00F47669">
        <w:rPr>
          <w:rFonts w:cs="Arial"/>
        </w:rPr>
        <w:t xml:space="preserve">. Males of all ages were more likely to have adenomas and advanced adenomas, and at older ages to have cancer, than females. </w:t>
      </w:r>
      <w:r w:rsidR="00F47669" w:rsidRPr="00987CB6">
        <w:rPr>
          <w:rFonts w:cs="Arial"/>
        </w:rPr>
        <w:t>Pacific people</w:t>
      </w:r>
      <w:r w:rsidR="00F47669">
        <w:rPr>
          <w:rFonts w:cs="Arial"/>
        </w:rPr>
        <w:t>’s</w:t>
      </w:r>
      <w:r w:rsidR="00F47669" w:rsidRPr="00987CB6">
        <w:rPr>
          <w:rFonts w:cs="Arial"/>
        </w:rPr>
        <w:t xml:space="preserve"> </w:t>
      </w:r>
      <w:r w:rsidR="00F47669">
        <w:rPr>
          <w:rFonts w:cs="Arial"/>
        </w:rPr>
        <w:t xml:space="preserve">participation was the lowest, although they </w:t>
      </w:r>
      <w:r w:rsidR="00F47669" w:rsidRPr="00987CB6">
        <w:rPr>
          <w:rFonts w:cs="Arial"/>
        </w:rPr>
        <w:t xml:space="preserve">were less likely </w:t>
      </w:r>
      <w:r w:rsidR="00F47669">
        <w:rPr>
          <w:rFonts w:cs="Arial"/>
        </w:rPr>
        <w:t xml:space="preserve">than Europeans </w:t>
      </w:r>
      <w:r w:rsidR="00F47669" w:rsidRPr="00987CB6">
        <w:rPr>
          <w:rFonts w:cs="Arial"/>
        </w:rPr>
        <w:t xml:space="preserve">to have </w:t>
      </w:r>
      <w:r w:rsidR="00F47669">
        <w:rPr>
          <w:rFonts w:cs="Arial"/>
        </w:rPr>
        <w:t>disease, irrespective of their age, sex and deprivation</w:t>
      </w:r>
      <w:r w:rsidR="00F47669" w:rsidRPr="00987CB6">
        <w:rPr>
          <w:rFonts w:cs="Arial"/>
        </w:rPr>
        <w:t>.</w:t>
      </w:r>
    </w:p>
    <w:p w:rsidR="00F530C4" w:rsidRPr="008A486D" w:rsidRDefault="009C6C8B" w:rsidP="009C6C8B">
      <w:pPr>
        <w:pStyle w:val="Bullet"/>
        <w:keepNext/>
        <w:keepLines/>
        <w:numPr>
          <w:ilvl w:val="0"/>
          <w:numId w:val="0"/>
        </w:numPr>
        <w:ind w:left="709"/>
        <w:rPr>
          <w:rFonts w:cs="Arial"/>
        </w:rPr>
      </w:pPr>
      <w:r w:rsidRPr="008A486D">
        <w:rPr>
          <w:rFonts w:cs="Arial"/>
        </w:rPr>
        <w:t xml:space="preserve">To </w:t>
      </w:r>
      <w:r w:rsidR="00F530C4" w:rsidRPr="008A486D">
        <w:rPr>
          <w:rFonts w:cs="Arial"/>
        </w:rPr>
        <w:t xml:space="preserve">effectively </w:t>
      </w:r>
      <w:r w:rsidRPr="008A486D">
        <w:rPr>
          <w:rFonts w:cs="Arial"/>
        </w:rPr>
        <w:t xml:space="preserve">evaluate </w:t>
      </w:r>
      <w:r w:rsidR="00F530C4" w:rsidRPr="008A486D">
        <w:rPr>
          <w:rFonts w:cs="Arial"/>
        </w:rPr>
        <w:t>screening round two and monitor</w:t>
      </w:r>
      <w:r w:rsidRPr="008A486D">
        <w:rPr>
          <w:rFonts w:cs="Arial"/>
        </w:rPr>
        <w:t xml:space="preserve"> a potential national roll out</w:t>
      </w:r>
      <w:r w:rsidR="00F530C4" w:rsidRPr="008A486D">
        <w:rPr>
          <w:rFonts w:cs="Arial"/>
        </w:rPr>
        <w:t xml:space="preserve">, the </w:t>
      </w:r>
      <w:r w:rsidRPr="008A486D">
        <w:rPr>
          <w:rFonts w:cs="Arial"/>
        </w:rPr>
        <w:t xml:space="preserve">BSP Register </w:t>
      </w:r>
      <w:r w:rsidR="00F530C4" w:rsidRPr="008A486D">
        <w:rPr>
          <w:rFonts w:cs="Arial"/>
        </w:rPr>
        <w:t>and data management processes need to be comprehensively reviewed to ensure</w:t>
      </w:r>
      <w:r w:rsidRPr="008A486D">
        <w:rPr>
          <w:rFonts w:cs="Arial"/>
        </w:rPr>
        <w:t xml:space="preserve"> data </w:t>
      </w:r>
      <w:r w:rsidR="00F530C4" w:rsidRPr="008A486D">
        <w:rPr>
          <w:rFonts w:cs="Arial"/>
        </w:rPr>
        <w:t>quality is robust</w:t>
      </w:r>
      <w:r w:rsidR="00A5568F" w:rsidRPr="008A486D">
        <w:rPr>
          <w:rFonts w:cs="Arial"/>
        </w:rPr>
        <w:t xml:space="preserve">, and </w:t>
      </w:r>
      <w:r w:rsidR="00F530C4" w:rsidRPr="008A486D">
        <w:rPr>
          <w:rFonts w:cs="Arial"/>
        </w:rPr>
        <w:t xml:space="preserve">there </w:t>
      </w:r>
      <w:r w:rsidR="008A486D" w:rsidRPr="008A486D">
        <w:t>is satisfactory data quality assurance in place</w:t>
      </w:r>
      <w:r w:rsidR="00F530C4" w:rsidRPr="008A486D">
        <w:rPr>
          <w:rFonts w:cs="Arial"/>
        </w:rPr>
        <w:t xml:space="preserve">. </w:t>
      </w:r>
    </w:p>
    <w:p w:rsidR="00A227CF" w:rsidRPr="00414853" w:rsidRDefault="00A227CF" w:rsidP="00541865">
      <w:pPr>
        <w:pStyle w:val="Heading4"/>
      </w:pPr>
      <w:r w:rsidRPr="00414853">
        <w:t>Safety and acceptability:</w:t>
      </w:r>
      <w:r w:rsidR="00541865" w:rsidRPr="00414853">
        <w:t xml:space="preserve"> </w:t>
      </w:r>
      <w:r w:rsidRPr="00414853">
        <w:t xml:space="preserve"> </w:t>
      </w:r>
      <w:r w:rsidR="00AA0977">
        <w:t>C</w:t>
      </w:r>
      <w:r w:rsidR="00AA0977" w:rsidRPr="00414853">
        <w:t xml:space="preserve">an </w:t>
      </w:r>
      <w:r w:rsidRPr="00414853">
        <w:t>a national bowel screening programme be delivered in a manner that is safe and acceptable?</w:t>
      </w:r>
    </w:p>
    <w:p w:rsidR="00BF2A6B" w:rsidRPr="00414853" w:rsidRDefault="00BF2A6B" w:rsidP="00BF2A6B">
      <w:r w:rsidRPr="00414853">
        <w:t xml:space="preserve">The BSP is acceptable to primary and secondary care providers and to many (but not all) people in the eligible population.  </w:t>
      </w:r>
    </w:p>
    <w:p w:rsidR="009C6C8B" w:rsidRPr="009C6C8B" w:rsidRDefault="00BF2A6B" w:rsidP="009C6C8B">
      <w:r w:rsidRPr="009C6C8B">
        <w:t>Quality monitoring is in place</w:t>
      </w:r>
      <w:r w:rsidR="009C6C8B">
        <w:t xml:space="preserve">. </w:t>
      </w:r>
      <w:r w:rsidR="009C6C8B" w:rsidRPr="009C6C8B">
        <w:t>Quality standards, risks and issues a</w:t>
      </w:r>
      <w:r w:rsidR="009C6C8B">
        <w:t>re actively monitored, reported and</w:t>
      </w:r>
      <w:r w:rsidR="009C6C8B" w:rsidRPr="009C6C8B">
        <w:t xml:space="preserve"> discussed and actions</w:t>
      </w:r>
      <w:r w:rsidR="009C6C8B">
        <w:t xml:space="preserve"> are taken to address risks of breaching quality standards, and other risks emerging.  </w:t>
      </w:r>
      <w:r w:rsidR="009C6C8B" w:rsidRPr="009C6C8B">
        <w:t xml:space="preserve">Ensuring there is adequate colonoscopist capacity to meet BSP quality standards is a key focus for screening round two. </w:t>
      </w:r>
    </w:p>
    <w:p w:rsidR="00A227CF" w:rsidRPr="00414853" w:rsidRDefault="00A227CF" w:rsidP="00541865">
      <w:pPr>
        <w:pStyle w:val="Heading4"/>
      </w:pPr>
      <w:r w:rsidRPr="00414853">
        <w:lastRenderedPageBreak/>
        <w:t>Equity: Can a national bowel screening programme be delivered in a manner that eliminates (or does not increase) current inequalities between population groups?</w:t>
      </w:r>
    </w:p>
    <w:p w:rsidR="00FD2E9C" w:rsidRPr="00414853" w:rsidRDefault="00406C0A" w:rsidP="00406C0A">
      <w:pPr>
        <w:rPr>
          <w:lang w:eastAsia="ar-SA"/>
        </w:rPr>
      </w:pPr>
      <w:r w:rsidRPr="009826F2">
        <w:t>At the end of screening round one, the BSP, as currently delivered, is increasing inequ</w:t>
      </w:r>
      <w:r w:rsidR="009826F2">
        <w:t xml:space="preserve">ities </w:t>
      </w:r>
      <w:r w:rsidRPr="009826F2">
        <w:t>particularly for M</w:t>
      </w:r>
      <w:r w:rsidRPr="009826F2">
        <w:rPr>
          <w:rFonts w:cs="Arial"/>
        </w:rPr>
        <w:t>ā</w:t>
      </w:r>
      <w:r w:rsidRPr="009826F2">
        <w:t xml:space="preserve">ori and those living in high deprivation areas due to their low participation and high disease burden.  Pacific </w:t>
      </w:r>
      <w:r w:rsidRPr="009826F2">
        <w:rPr>
          <w:lang w:eastAsia="ar-SA"/>
        </w:rPr>
        <w:t>people have the lowest participation rates and face inequ</w:t>
      </w:r>
      <w:r w:rsidR="009826F2">
        <w:rPr>
          <w:lang w:eastAsia="ar-SA"/>
        </w:rPr>
        <w:t>ities</w:t>
      </w:r>
      <w:r w:rsidRPr="009826F2">
        <w:rPr>
          <w:lang w:eastAsia="ar-SA"/>
        </w:rPr>
        <w:t xml:space="preserve"> relating to access; </w:t>
      </w:r>
      <w:r w:rsidR="009826F2" w:rsidRPr="009826F2">
        <w:rPr>
          <w:lang w:eastAsia="ar-SA"/>
        </w:rPr>
        <w:t xml:space="preserve">however </w:t>
      </w:r>
      <w:r w:rsidRPr="009826F2">
        <w:rPr>
          <w:lang w:eastAsia="ar-SA"/>
        </w:rPr>
        <w:t>their disease burden is lower.</w:t>
      </w:r>
      <w:r w:rsidRPr="00414853">
        <w:rPr>
          <w:lang w:eastAsia="ar-SA"/>
        </w:rPr>
        <w:t xml:space="preserve">  </w:t>
      </w:r>
    </w:p>
    <w:p w:rsidR="00637460" w:rsidRPr="00414853" w:rsidRDefault="00230B4F" w:rsidP="00BF2A6B">
      <w:r w:rsidRPr="00414853">
        <w:t>I</w:t>
      </w:r>
      <w:r w:rsidR="00BF2A6B" w:rsidRPr="00414853">
        <w:t xml:space="preserve">f the BSP is to meet its equity aim, urgent attention needs to be directed at delivering the </w:t>
      </w:r>
      <w:r w:rsidR="00EB35F4" w:rsidRPr="00414853">
        <w:t>p</w:t>
      </w:r>
      <w:r w:rsidRPr="00414853">
        <w:t>ilot</w:t>
      </w:r>
      <w:r w:rsidR="00BF2A6B" w:rsidRPr="00414853">
        <w:t xml:space="preserve"> in a way that significantly increases the participation rates of Māori and Paci</w:t>
      </w:r>
      <w:r w:rsidRPr="00414853">
        <w:t xml:space="preserve">fic populations and those living in high deprivation areas.  </w:t>
      </w:r>
      <w:r w:rsidR="000355D2">
        <w:t>A</w:t>
      </w:r>
      <w:r w:rsidRPr="00414853">
        <w:t>ddress</w:t>
      </w:r>
      <w:r w:rsidR="000355D2">
        <w:t>ing</w:t>
      </w:r>
      <w:r w:rsidRPr="00414853">
        <w:t xml:space="preserve"> the existing inequities in the BSP </w:t>
      </w:r>
      <w:r w:rsidR="00637460" w:rsidRPr="00414853">
        <w:t xml:space="preserve">before the completion of the </w:t>
      </w:r>
      <w:r w:rsidR="00EB35F4" w:rsidRPr="00414853">
        <w:t>p</w:t>
      </w:r>
      <w:r w:rsidR="00637460" w:rsidRPr="00414853">
        <w:t xml:space="preserve">ilot </w:t>
      </w:r>
      <w:r w:rsidRPr="00414853">
        <w:t>will require</w:t>
      </w:r>
      <w:r w:rsidR="00637460" w:rsidRPr="00414853">
        <w:t xml:space="preserve">: </w:t>
      </w:r>
    </w:p>
    <w:p w:rsidR="00637460" w:rsidRPr="00414853" w:rsidRDefault="00637460" w:rsidP="00637460">
      <w:pPr>
        <w:pStyle w:val="Bullet"/>
        <w:numPr>
          <w:ilvl w:val="0"/>
          <w:numId w:val="10"/>
        </w:numPr>
        <w:tabs>
          <w:tab w:val="num" w:pos="6663"/>
        </w:tabs>
        <w:ind w:left="1069"/>
      </w:pPr>
      <w:r w:rsidRPr="00414853">
        <w:t>Effective engagement with Māori and Pacific leaders to inform the design</w:t>
      </w:r>
      <w:r w:rsidR="00CB4216" w:rsidRPr="00414853">
        <w:t xml:space="preserve">, implementation, and monitoring </w:t>
      </w:r>
      <w:r w:rsidRPr="00414853">
        <w:t>of the BSP</w:t>
      </w:r>
      <w:r w:rsidR="005305B8">
        <w:t>.</w:t>
      </w:r>
      <w:r w:rsidRPr="00414853">
        <w:t xml:space="preserve"> </w:t>
      </w:r>
    </w:p>
    <w:p w:rsidR="00230B4F" w:rsidRPr="00414853" w:rsidRDefault="00637460" w:rsidP="00BF2A6B">
      <w:pPr>
        <w:pStyle w:val="Bullet"/>
        <w:numPr>
          <w:ilvl w:val="0"/>
          <w:numId w:val="10"/>
        </w:numPr>
        <w:tabs>
          <w:tab w:val="num" w:pos="6663"/>
        </w:tabs>
        <w:ind w:left="1069"/>
      </w:pPr>
      <w:r w:rsidRPr="00414853">
        <w:t>Deeper understanding of the barriers and enablers to participation for Māori and Pacific populations to inform changes to the BSP design</w:t>
      </w:r>
      <w:r w:rsidR="005305B8">
        <w:t>.</w:t>
      </w:r>
    </w:p>
    <w:p w:rsidR="00BF2A6B" w:rsidRPr="00414853" w:rsidRDefault="00637460" w:rsidP="00230B4F">
      <w:pPr>
        <w:pStyle w:val="Bullet"/>
        <w:numPr>
          <w:ilvl w:val="0"/>
          <w:numId w:val="10"/>
        </w:numPr>
        <w:tabs>
          <w:tab w:val="num" w:pos="6663"/>
        </w:tabs>
        <w:ind w:left="1069"/>
      </w:pPr>
      <w:r w:rsidRPr="00414853">
        <w:t xml:space="preserve">Consideration of alternatives to the use of mail to distribute and collect kits.  </w:t>
      </w:r>
      <w:r w:rsidR="00BF2A6B" w:rsidRPr="00414853">
        <w:t xml:space="preserve">Anecdotal evidence suggests that </w:t>
      </w:r>
      <w:r w:rsidRPr="00414853">
        <w:t>for M</w:t>
      </w:r>
      <w:r w:rsidRPr="00414853">
        <w:rPr>
          <w:rFonts w:cs="Arial"/>
        </w:rPr>
        <w:t>ā</w:t>
      </w:r>
      <w:r w:rsidRPr="00414853">
        <w:t>ori and Pacific people face-to-</w:t>
      </w:r>
      <w:r w:rsidR="00BF2A6B" w:rsidRPr="00414853">
        <w:t>face engagement has the potential to increase participation</w:t>
      </w:r>
      <w:r w:rsidRPr="00414853">
        <w:t xml:space="preserve"> if linked to receiving the kit</w:t>
      </w:r>
      <w:r w:rsidR="005305B8">
        <w:t>.</w:t>
      </w:r>
    </w:p>
    <w:p w:rsidR="00637460" w:rsidRPr="00414853" w:rsidRDefault="006912EF" w:rsidP="00230B4F">
      <w:pPr>
        <w:pStyle w:val="Bullet"/>
        <w:numPr>
          <w:ilvl w:val="0"/>
          <w:numId w:val="10"/>
        </w:numPr>
        <w:tabs>
          <w:tab w:val="num" w:pos="6663"/>
        </w:tabs>
        <w:ind w:left="1069"/>
      </w:pPr>
      <w:r w:rsidRPr="00414853">
        <w:t>Greater investment in a</w:t>
      </w:r>
      <w:r w:rsidR="00A71DBC" w:rsidRPr="00414853">
        <w:t xml:space="preserve"> more strategic and clearly defined pathway for the CAR activities which is evidenced-informed and actively monitored to assess its effectiveness</w:t>
      </w:r>
      <w:r w:rsidRPr="00414853">
        <w:t xml:space="preserve"> </w:t>
      </w:r>
      <w:r w:rsidR="00A71DBC" w:rsidRPr="00414853">
        <w:t>for M</w:t>
      </w:r>
      <w:r w:rsidR="00A71DBC" w:rsidRPr="00414853">
        <w:rPr>
          <w:rFonts w:cs="Arial"/>
        </w:rPr>
        <w:t>ā</w:t>
      </w:r>
      <w:r w:rsidR="00A71DBC" w:rsidRPr="00414853">
        <w:t xml:space="preserve">ori and Pacific people. </w:t>
      </w:r>
    </w:p>
    <w:p w:rsidR="00382BE7" w:rsidRDefault="00FD2E9C" w:rsidP="009433F2">
      <w:pPr>
        <w:pStyle w:val="Bullet"/>
        <w:keepNext/>
        <w:keepLines/>
        <w:numPr>
          <w:ilvl w:val="0"/>
          <w:numId w:val="0"/>
        </w:numPr>
        <w:ind w:left="709"/>
      </w:pPr>
      <w:r>
        <w:t>S</w:t>
      </w:r>
      <w:r w:rsidR="009467A6" w:rsidRPr="00414853">
        <w:t xml:space="preserve">creening round two of the </w:t>
      </w:r>
      <w:r w:rsidR="00EB35F4" w:rsidRPr="00414853">
        <w:t>p</w:t>
      </w:r>
      <w:r w:rsidR="009467A6" w:rsidRPr="00414853">
        <w:t xml:space="preserve">ilot provides an opportunity to trial differing strategies and approaches </w:t>
      </w:r>
      <w:r w:rsidR="003A0BE7" w:rsidRPr="00414853">
        <w:t>to</w:t>
      </w:r>
      <w:r w:rsidR="009467A6" w:rsidRPr="00414853">
        <w:t xml:space="preserve"> assess whether they increase participation and thus address the existing inequity</w:t>
      </w:r>
      <w:r w:rsidR="00237188">
        <w:t xml:space="preserve"> of access</w:t>
      </w:r>
      <w:r w:rsidR="009467A6" w:rsidRPr="00414853">
        <w:t>.</w:t>
      </w:r>
      <w:r>
        <w:t xml:space="preserve">  </w:t>
      </w:r>
      <w:r w:rsidR="00382BE7">
        <w:t xml:space="preserve">Investigation will also be required to determine </w:t>
      </w:r>
      <w:r w:rsidR="00237188">
        <w:t xml:space="preserve">whether </w:t>
      </w:r>
      <w:r w:rsidR="00382BE7">
        <w:t xml:space="preserve">progression and experience of the </w:t>
      </w:r>
      <w:r w:rsidR="00237188">
        <w:t xml:space="preserve">BSP screening pathway </w:t>
      </w:r>
      <w:r w:rsidR="004F6D8A">
        <w:t>i</w:t>
      </w:r>
      <w:r w:rsidR="00237188">
        <w:t>s equitable for all</w:t>
      </w:r>
      <w:r w:rsidR="00382BE7">
        <w:t xml:space="preserve"> participants. </w:t>
      </w:r>
    </w:p>
    <w:p w:rsidR="00230B4F" w:rsidRPr="00414853" w:rsidRDefault="00230B4F" w:rsidP="00230B4F">
      <w:pPr>
        <w:pStyle w:val="Heading4"/>
      </w:pPr>
      <w:r w:rsidRPr="00414853">
        <w:t>Economic efficiency: Can a national bowel screening programme be delivered in an economically efficient manner?</w:t>
      </w:r>
    </w:p>
    <w:p w:rsidR="001A34B4" w:rsidRPr="00414853" w:rsidRDefault="001A34B4" w:rsidP="001A34B4">
      <w:pPr>
        <w:rPr>
          <w:lang w:val="en-US"/>
        </w:rPr>
      </w:pPr>
      <w:r w:rsidRPr="00414853">
        <w:rPr>
          <w:lang w:val="en-US"/>
        </w:rPr>
        <w:t xml:space="preserve">At this stage, the costing analysis presents an interim result that may be used by the Ministry of Health to inform understanding of the potential operating cost of a bowel screening programme on a national basis.  Detailed understanding of unit costs will enable comparisons with previous forecasts completed by the Ministry </w:t>
      </w:r>
      <w:r w:rsidR="0051175B">
        <w:rPr>
          <w:lang w:val="en-US"/>
        </w:rPr>
        <w:t xml:space="preserve">of Health </w:t>
      </w:r>
      <w:r w:rsidRPr="00414853">
        <w:rPr>
          <w:lang w:val="en-US"/>
        </w:rPr>
        <w:t>to inform policy decisions.</w:t>
      </w:r>
    </w:p>
    <w:p w:rsidR="001A34B4" w:rsidRDefault="001A34B4" w:rsidP="001A34B4">
      <w:r w:rsidRPr="00414853">
        <w:rPr>
          <w:lang w:val="en-US"/>
        </w:rPr>
        <w:t>However, the primary use of these results (once updated following the conclusion of the second screening round at the end of 2015) is as a key input to modelling that will be undertaken to</w:t>
      </w:r>
      <w:r w:rsidRPr="00414853">
        <w:t xml:space="preserve"> support the full cost effectiveness evaluation of the pilot.</w:t>
      </w:r>
    </w:p>
    <w:p w:rsidR="006912EF" w:rsidRDefault="006912EF">
      <w:pPr>
        <w:spacing w:before="0"/>
        <w:ind w:left="0"/>
      </w:pPr>
    </w:p>
    <w:p w:rsidR="00FE335B" w:rsidRDefault="00067BD4" w:rsidP="006C61C7">
      <w:pPr>
        <w:pStyle w:val="Heading3"/>
      </w:pPr>
      <w:r>
        <w:br w:type="page"/>
      </w:r>
    </w:p>
    <w:p w:rsidR="00FE335B" w:rsidRDefault="005B025D" w:rsidP="005B025D">
      <w:pPr>
        <w:pStyle w:val="Heading1"/>
      </w:pPr>
      <w:bookmarkStart w:id="50" w:name="_Toc390872198"/>
      <w:bookmarkStart w:id="51" w:name="_Toc412540018"/>
      <w:r>
        <w:lastRenderedPageBreak/>
        <w:t>2.</w:t>
      </w:r>
      <w:r>
        <w:tab/>
      </w:r>
      <w:r w:rsidR="00FE335B" w:rsidRPr="005B025D">
        <w:t>Introduction</w:t>
      </w:r>
      <w:bookmarkEnd w:id="50"/>
      <w:bookmarkEnd w:id="51"/>
      <w:r w:rsidR="00FE335B">
        <w:t xml:space="preserve"> </w:t>
      </w:r>
    </w:p>
    <w:p w:rsidR="000208A9" w:rsidRDefault="000208A9" w:rsidP="000208A9">
      <w:pPr>
        <w:pStyle w:val="Heading2"/>
      </w:pPr>
      <w:bookmarkStart w:id="52" w:name="_Toc390872199"/>
      <w:bookmarkStart w:id="53" w:name="_Toc412540019"/>
      <w:r>
        <w:t>2.1</w:t>
      </w:r>
      <w:r>
        <w:tab/>
        <w:t>Background to BSP</w:t>
      </w:r>
      <w:bookmarkEnd w:id="52"/>
      <w:bookmarkEnd w:id="53"/>
      <w:r>
        <w:t xml:space="preserve"> </w:t>
      </w:r>
    </w:p>
    <w:p w:rsidR="001B4AA9" w:rsidRPr="001B4AA9" w:rsidRDefault="001B4AA9" w:rsidP="001B4AA9">
      <w:pPr>
        <w:pStyle w:val="Heading3"/>
      </w:pPr>
      <w:r>
        <w:t>Bowel cancer in New Zealand</w:t>
      </w:r>
    </w:p>
    <w:p w:rsidR="00920AF6" w:rsidRPr="008E5431" w:rsidRDefault="00920AF6" w:rsidP="00920AF6">
      <w:r w:rsidRPr="008E5431">
        <w:t>Bowel cancer is a major health issue for New Zealand</w:t>
      </w:r>
      <w:r w:rsidR="00896EC2" w:rsidRPr="008E5431">
        <w:t xml:space="preserve">.  As noted by </w:t>
      </w:r>
      <w:r w:rsidRPr="008E5431">
        <w:t xml:space="preserve">National Bowel Cancer Tumour Standards Working Group </w:t>
      </w:r>
      <w:r w:rsidR="00896EC2" w:rsidRPr="008E5431">
        <w:t>(</w:t>
      </w:r>
      <w:r w:rsidRPr="008E5431">
        <w:t>2013)</w:t>
      </w:r>
      <w:r w:rsidR="00896EC2" w:rsidRPr="008E5431">
        <w:t xml:space="preserve"> </w:t>
      </w:r>
      <w:r w:rsidR="001B110B" w:rsidRPr="008E5431">
        <w:rPr>
          <w:lang w:eastAsia="en-NZ"/>
        </w:rPr>
        <w:t xml:space="preserve">New Zealand has one of the highest bowel cancer rates in the world. </w:t>
      </w:r>
      <w:r w:rsidRPr="008E5431">
        <w:rPr>
          <w:lang w:eastAsia="en-NZ"/>
        </w:rPr>
        <w:t xml:space="preserve"> </w:t>
      </w:r>
      <w:r w:rsidRPr="008E5431">
        <w:t>In 20</w:t>
      </w:r>
      <w:r w:rsidR="00C37CAC">
        <w:t>1</w:t>
      </w:r>
      <w:r w:rsidR="001B0212">
        <w:t>0</w:t>
      </w:r>
      <w:r w:rsidRPr="008E5431">
        <w:t xml:space="preserve"> bowel cancer was the second most common cancer in both </w:t>
      </w:r>
      <w:r w:rsidR="00896EC2" w:rsidRPr="008E5431">
        <w:t>men and women</w:t>
      </w:r>
      <w:r w:rsidR="002E3B99">
        <w:t xml:space="preserve">; </w:t>
      </w:r>
      <w:r w:rsidRPr="008E5431">
        <w:t>the second highest cause of cancer death for men (after lung cancer) and the third highest for women</w:t>
      </w:r>
      <w:r w:rsidR="002D65D6">
        <w:t xml:space="preserve"> </w:t>
      </w:r>
      <w:r w:rsidRPr="008E5431">
        <w:t xml:space="preserve">(after lung and breast) (Ministry of Health </w:t>
      </w:r>
      <w:r w:rsidR="00C37CAC" w:rsidRPr="008E5431">
        <w:t>20</w:t>
      </w:r>
      <w:r w:rsidR="00C37CAC">
        <w:t>1</w:t>
      </w:r>
      <w:r w:rsidR="001B0212">
        <w:t>3</w:t>
      </w:r>
      <w:r w:rsidRPr="008E5431">
        <w:t>).  For Māori</w:t>
      </w:r>
      <w:r w:rsidR="002D65D6">
        <w:t>,</w:t>
      </w:r>
      <w:r w:rsidRPr="008E5431">
        <w:t xml:space="preserve"> bowel cancer is the </w:t>
      </w:r>
      <w:r w:rsidR="00C37CAC">
        <w:t>third</w:t>
      </w:r>
      <w:r w:rsidR="00C37CAC" w:rsidRPr="008E5431">
        <w:t xml:space="preserve"> </w:t>
      </w:r>
      <w:r w:rsidRPr="008E5431">
        <w:t xml:space="preserve">most common cause of death from cancer </w:t>
      </w:r>
      <w:r w:rsidRPr="008E5431">
        <w:rPr>
          <w:noProof/>
        </w:rPr>
        <w:t xml:space="preserve">(Ministry of Health </w:t>
      </w:r>
      <w:r w:rsidR="00C37CAC" w:rsidRPr="008E5431">
        <w:rPr>
          <w:noProof/>
        </w:rPr>
        <w:t>20</w:t>
      </w:r>
      <w:r w:rsidR="00C37CAC">
        <w:rPr>
          <w:noProof/>
        </w:rPr>
        <w:t>14</w:t>
      </w:r>
      <w:r w:rsidRPr="008E5431">
        <w:rPr>
          <w:noProof/>
        </w:rPr>
        <w:t>).</w:t>
      </w:r>
      <w:r w:rsidRPr="008E5431">
        <w:t xml:space="preserve"> </w:t>
      </w:r>
      <w:r w:rsidR="00896EC2" w:rsidRPr="008E5431">
        <w:t xml:space="preserve"> </w:t>
      </w:r>
      <w:r w:rsidRPr="008E5431">
        <w:t>New Zealand has one of the highest death rates from this cancer in the developed world</w:t>
      </w:r>
      <w:r w:rsidR="00896EC2" w:rsidRPr="008E5431">
        <w:t xml:space="preserve">.  In </w:t>
      </w:r>
      <w:r w:rsidR="00C37CAC" w:rsidRPr="008E5431">
        <w:t>20</w:t>
      </w:r>
      <w:r w:rsidR="00C37CAC">
        <w:t>1</w:t>
      </w:r>
      <w:r w:rsidR="001B0212">
        <w:t>0</w:t>
      </w:r>
      <w:r w:rsidR="00896EC2" w:rsidRPr="008E5431">
        <w:t xml:space="preserve"> t</w:t>
      </w:r>
      <w:r w:rsidRPr="008E5431">
        <w:t xml:space="preserve">here were </w:t>
      </w:r>
      <w:r w:rsidR="001B0212">
        <w:t>2988</w:t>
      </w:r>
      <w:r w:rsidR="002E3B99" w:rsidRPr="008E5431">
        <w:t xml:space="preserve"> </w:t>
      </w:r>
      <w:r w:rsidRPr="008E5431">
        <w:t xml:space="preserve">new cases and </w:t>
      </w:r>
      <w:r w:rsidR="002E3B99" w:rsidRPr="008E5431">
        <w:t>1</w:t>
      </w:r>
      <w:r w:rsidR="001B0212">
        <w:t>208</w:t>
      </w:r>
      <w:r w:rsidR="002E3B99" w:rsidRPr="008E5431">
        <w:t> </w:t>
      </w:r>
      <w:r w:rsidRPr="008E5431">
        <w:t xml:space="preserve">deaths (Ministry of Health </w:t>
      </w:r>
      <w:r w:rsidR="00C37CAC" w:rsidRPr="008E5431">
        <w:t>201</w:t>
      </w:r>
      <w:r w:rsidR="001B0212">
        <w:t>3</w:t>
      </w:r>
      <w:r w:rsidRPr="008E5431">
        <w:t>).</w:t>
      </w:r>
    </w:p>
    <w:p w:rsidR="00920AF6" w:rsidRDefault="00920AF6" w:rsidP="00920AF6">
      <w:r w:rsidRPr="008E5431">
        <w:t>Bowel cancer incidence increases with age</w:t>
      </w:r>
      <w:r w:rsidR="00896EC2" w:rsidRPr="008E5431">
        <w:t xml:space="preserve"> with </w:t>
      </w:r>
      <w:r w:rsidRPr="008E5431">
        <w:t>90</w:t>
      </w:r>
      <w:r w:rsidR="002D65D6">
        <w:t xml:space="preserve">% </w:t>
      </w:r>
      <w:r w:rsidRPr="008E5431">
        <w:t xml:space="preserve">of cases </w:t>
      </w:r>
      <w:r w:rsidR="00896EC2" w:rsidRPr="008E5431">
        <w:t xml:space="preserve">occurring </w:t>
      </w:r>
      <w:r w:rsidRPr="008E5431">
        <w:t xml:space="preserve">in those over 50 </w:t>
      </w:r>
      <w:r w:rsidR="00896EC2" w:rsidRPr="008E5431">
        <w:t xml:space="preserve">years </w:t>
      </w:r>
      <w:r w:rsidRPr="008E5431">
        <w:t>(</w:t>
      </w:r>
      <w:r w:rsidR="00D53C8B" w:rsidRPr="008E5431">
        <w:t xml:space="preserve">New Zealand Guidelines Group </w:t>
      </w:r>
      <w:r w:rsidRPr="008E5431">
        <w:t>2004).</w:t>
      </w:r>
      <w:r w:rsidR="00896EC2" w:rsidRPr="008E5431">
        <w:t xml:space="preserve"> </w:t>
      </w:r>
      <w:r w:rsidRPr="008E5431">
        <w:t>The number of new cases of bowel cancer</w:t>
      </w:r>
      <w:r w:rsidR="00896EC2" w:rsidRPr="008E5431">
        <w:t xml:space="preserve"> each year is </w:t>
      </w:r>
      <w:r w:rsidRPr="008E5431">
        <w:t>projected to increase by 15</w:t>
      </w:r>
      <w:r w:rsidR="002D65D6">
        <w:t xml:space="preserve">% </w:t>
      </w:r>
      <w:r w:rsidRPr="008E5431">
        <w:t>for men and 19</w:t>
      </w:r>
      <w:r w:rsidR="002D65D6">
        <w:t xml:space="preserve">% </w:t>
      </w:r>
      <w:r w:rsidRPr="008E5431">
        <w:t xml:space="preserve">for women to 3302 by 2016 (Ministry of Health 2002a, 2011a). </w:t>
      </w:r>
      <w:r w:rsidR="00EB3993" w:rsidRPr="008E5431">
        <w:t>Concurrently</w:t>
      </w:r>
      <w:r w:rsidRPr="008E5431">
        <w:t xml:space="preserve">, age-standardised registration and mortality rates for bowel cancer are declining (Ministry of Health 2010a). </w:t>
      </w:r>
      <w:r w:rsidR="00EB3993" w:rsidRPr="008E5431">
        <w:t>A</w:t>
      </w:r>
      <w:r w:rsidRPr="008E5431">
        <w:t>mong Māori bowel cancer diagnoses</w:t>
      </w:r>
      <w:r w:rsidR="00D426D3">
        <w:t xml:space="preserve">, </w:t>
      </w:r>
      <w:r w:rsidRPr="008E5431">
        <w:t>rates are increasing</w:t>
      </w:r>
      <w:r w:rsidR="00EB3993" w:rsidRPr="008E5431">
        <w:t xml:space="preserve"> with</w:t>
      </w:r>
      <w:r w:rsidRPr="008E5431">
        <w:t xml:space="preserve"> </w:t>
      </w:r>
      <w:r w:rsidR="00EB3993" w:rsidRPr="008E5431">
        <w:t xml:space="preserve">the fastest rate of increase </w:t>
      </w:r>
      <w:r w:rsidRPr="008E5431">
        <w:t>among Māori males (Ministry of Health 2010a).</w:t>
      </w:r>
    </w:p>
    <w:p w:rsidR="001B4AA9" w:rsidRDefault="001B4AA9" w:rsidP="001B4AA9">
      <w:pPr>
        <w:pStyle w:val="Heading3"/>
      </w:pPr>
      <w:r>
        <w:t xml:space="preserve">Estimates of the cost of bowel cancer </w:t>
      </w:r>
    </w:p>
    <w:p w:rsidR="001B4AA9" w:rsidRDefault="001B4AA9" w:rsidP="001B4AA9">
      <w:r>
        <w:t>On the basis of analysis completed by the Ministry of Health (2011) (using 2008 incidence data and 2008/09 national prices), the annual public price of registered cancer in 2008 was estimated at $511</w:t>
      </w:r>
      <w:r w:rsidR="00D426D3">
        <w:t xml:space="preserve"> </w:t>
      </w:r>
      <w:r>
        <w:t>million.  Cancers of the colo-rectum and anus made up some 14% of this total, at an estimated annual public price to New Zealand of $69.7</w:t>
      </w:r>
      <w:r w:rsidR="00D426D3">
        <w:t xml:space="preserve"> </w:t>
      </w:r>
      <w:r>
        <w:t>million, second only to female breast cancer at 15%.</w:t>
      </w:r>
    </w:p>
    <w:p w:rsidR="001B4AA9" w:rsidRPr="001B4AA9" w:rsidRDefault="001B4AA9" w:rsidP="001B4AA9">
      <w:r w:rsidRPr="001B4AA9">
        <w:t>Further, population growth and structural ageing are dominant forces driving change in cancer registration counts, sometimes overwhelming the effect of changes in cancer risk</w:t>
      </w:r>
      <w:r>
        <w:t xml:space="preserve"> (</w:t>
      </w:r>
      <w:r w:rsidRPr="001B4AA9">
        <w:t>Ministry of Health 2002</w:t>
      </w:r>
      <w:r>
        <w:t xml:space="preserve">).  </w:t>
      </w:r>
      <w:r w:rsidRPr="001B4AA9">
        <w:t>The Ministry of Health analysis</w:t>
      </w:r>
      <w:r>
        <w:t xml:space="preserve"> (2011)</w:t>
      </w:r>
      <w:r w:rsidRPr="001B4AA9">
        <w:t xml:space="preserve"> incorporated incidence projections from 2011 to 2021, leading to an estimated 23% increase in the total price of c</w:t>
      </w:r>
      <w:r>
        <w:t>ancer to $627</w:t>
      </w:r>
      <w:r w:rsidR="00D426D3">
        <w:t xml:space="preserve"> </w:t>
      </w:r>
      <w:r>
        <w:t xml:space="preserve">million by 2021.  </w:t>
      </w:r>
      <w:r w:rsidRPr="001B4AA9">
        <w:t>This increase incorporated a significant growth in price relating to colorectal cancer at $13</w:t>
      </w:r>
      <w:r w:rsidR="00D426D3">
        <w:t xml:space="preserve"> </w:t>
      </w:r>
      <w:r w:rsidRPr="001B4AA9">
        <w:t xml:space="preserve">million. </w:t>
      </w:r>
    </w:p>
    <w:p w:rsidR="001B4AA9" w:rsidRDefault="001B4AA9" w:rsidP="001B4AA9">
      <w:pPr>
        <w:pStyle w:val="Heading3"/>
      </w:pPr>
      <w:r>
        <w:t xml:space="preserve">The BSP </w:t>
      </w:r>
    </w:p>
    <w:p w:rsidR="00AD3283" w:rsidRPr="00C95C03" w:rsidRDefault="00AD3283" w:rsidP="00AD3283">
      <w:pPr>
        <w:rPr>
          <w:lang w:eastAsia="en-NZ"/>
        </w:rPr>
      </w:pPr>
      <w:r w:rsidRPr="00C95C03">
        <w:t xml:space="preserve">The Ministry of Health has funded WDHB to run a </w:t>
      </w:r>
      <w:r w:rsidRPr="00C95C03">
        <w:rPr>
          <w:lang w:eastAsia="en-NZ"/>
        </w:rPr>
        <w:t>BSP over four years from 2012–16. The BSP began with a ‘soft launch’ in late 2011, with full operation of the pilot starting in January 2012.</w:t>
      </w:r>
      <w:r w:rsidR="00037FE3">
        <w:rPr>
          <w:lang w:eastAsia="en-NZ"/>
        </w:rPr>
        <w:t xml:space="preserve"> </w:t>
      </w:r>
      <w:r w:rsidRPr="00C95C03">
        <w:rPr>
          <w:lang w:eastAsia="en-NZ"/>
        </w:rPr>
        <w:t xml:space="preserve"> Litmus</w:t>
      </w:r>
      <w:r w:rsidR="00490C79">
        <w:rPr>
          <w:lang w:eastAsia="en-NZ"/>
        </w:rPr>
        <w:t xml:space="preserve"> Limited</w:t>
      </w:r>
      <w:r w:rsidR="00330B74">
        <w:rPr>
          <w:lang w:eastAsia="en-NZ"/>
        </w:rPr>
        <w:t xml:space="preserve">, </w:t>
      </w:r>
      <w:r w:rsidR="00330B74">
        <w:t>the Centre for Public Health Research Massey University</w:t>
      </w:r>
      <w:r w:rsidRPr="00C95C03">
        <w:rPr>
          <w:lang w:eastAsia="en-NZ"/>
        </w:rPr>
        <w:t xml:space="preserve"> and Sapere Research Group </w:t>
      </w:r>
      <w:proofErr w:type="gramStart"/>
      <w:r w:rsidRPr="00C95C03">
        <w:rPr>
          <w:lang w:eastAsia="en-NZ"/>
        </w:rPr>
        <w:t>have</w:t>
      </w:r>
      <w:proofErr w:type="gramEnd"/>
      <w:r w:rsidRPr="00C95C03">
        <w:rPr>
          <w:lang w:eastAsia="en-NZ"/>
        </w:rPr>
        <w:t xml:space="preserve"> been funded by the </w:t>
      </w:r>
      <w:r w:rsidR="00E073CC">
        <w:rPr>
          <w:lang w:eastAsia="en-NZ"/>
        </w:rPr>
        <w:t xml:space="preserve">Ministry of Health </w:t>
      </w:r>
      <w:r w:rsidRPr="00C95C03">
        <w:rPr>
          <w:lang w:eastAsia="en-NZ"/>
        </w:rPr>
        <w:t xml:space="preserve">to undertake an evaluation of the BSP, including a cost-effectiveness analysis. </w:t>
      </w:r>
      <w:r w:rsidR="00037FE3">
        <w:rPr>
          <w:lang w:eastAsia="en-NZ"/>
        </w:rPr>
        <w:t xml:space="preserve"> </w:t>
      </w:r>
      <w:r w:rsidRPr="00C95C03">
        <w:rPr>
          <w:lang w:eastAsia="en-NZ"/>
        </w:rPr>
        <w:t>The evaluation will contribute to a decision on whether or not to roll out a national bowel screening programme.</w:t>
      </w:r>
    </w:p>
    <w:p w:rsidR="00AD3283" w:rsidRPr="00C95C03" w:rsidRDefault="00AD3283" w:rsidP="00037FE3">
      <w:r w:rsidRPr="00C95C03">
        <w:lastRenderedPageBreak/>
        <w:t xml:space="preserve">The overall goal and underlying objectives of the BSP and its evaluation are the same and have been defined by the </w:t>
      </w:r>
      <w:r w:rsidR="00E073CC">
        <w:rPr>
          <w:lang w:eastAsia="en-NZ"/>
        </w:rPr>
        <w:t>Ministry of Health</w:t>
      </w:r>
      <w:r w:rsidRPr="00C95C03">
        <w:t xml:space="preserve">. The </w:t>
      </w:r>
      <w:r w:rsidRPr="00C95C03">
        <w:rPr>
          <w:bCs/>
        </w:rPr>
        <w:t>overall</w:t>
      </w:r>
      <w:r w:rsidRPr="00C95C03">
        <w:t xml:space="preserve"> </w:t>
      </w:r>
      <w:r w:rsidRPr="00C95C03">
        <w:rPr>
          <w:bCs/>
        </w:rPr>
        <w:t>goal</w:t>
      </w:r>
      <w:r w:rsidRPr="00C95C03">
        <w:rPr>
          <w:b/>
          <w:bCs/>
        </w:rPr>
        <w:t xml:space="preserve"> </w:t>
      </w:r>
      <w:r w:rsidRPr="00C95C03">
        <w:t xml:space="preserve">of both is to determine: </w:t>
      </w:r>
    </w:p>
    <w:p w:rsidR="00AD3283" w:rsidRPr="00C95C03" w:rsidRDefault="00AD3283" w:rsidP="00AD3283">
      <w:pPr>
        <w:spacing w:before="120"/>
        <w:ind w:left="1134"/>
        <w:rPr>
          <w:b/>
          <w:bCs/>
          <w:i/>
          <w:iCs/>
        </w:rPr>
      </w:pPr>
      <w:r w:rsidRPr="00C95C03">
        <w:rPr>
          <w:i/>
          <w:iCs/>
        </w:rPr>
        <w:t>Whether organised bowel screening could be introduced in New Zealand in a way that is effective, safe and acceptable for participants; equitable and economically efficient.</w:t>
      </w:r>
    </w:p>
    <w:p w:rsidR="00AD3283" w:rsidRPr="00C95C03" w:rsidRDefault="00AD3283" w:rsidP="00AD3283">
      <w:pPr>
        <w:spacing w:before="120"/>
      </w:pPr>
      <w:r w:rsidRPr="00C95C03">
        <w:t xml:space="preserve">The goal comprises </w:t>
      </w:r>
      <w:r w:rsidRPr="00C95C03">
        <w:rPr>
          <w:bCs/>
        </w:rPr>
        <w:t>four key aims</w:t>
      </w:r>
      <w:r w:rsidRPr="00C95C03">
        <w:t>.</w:t>
      </w:r>
    </w:p>
    <w:p w:rsidR="00AD3283" w:rsidRPr="00C95C03" w:rsidRDefault="00AD3283" w:rsidP="00604AA9">
      <w:pPr>
        <w:numPr>
          <w:ilvl w:val="0"/>
          <w:numId w:val="8"/>
        </w:numPr>
        <w:tabs>
          <w:tab w:val="clear" w:pos="927"/>
          <w:tab w:val="num" w:pos="1134"/>
        </w:tabs>
        <w:spacing w:before="120"/>
        <w:ind w:left="1134" w:hanging="420"/>
      </w:pPr>
      <w:r w:rsidRPr="00037FE3">
        <w:rPr>
          <w:i/>
        </w:rPr>
        <w:t>Effectiveness:</w:t>
      </w:r>
      <w:r w:rsidRPr="00C95C03">
        <w:t xml:space="preserve"> Is a national bowel screening programme likely to achieve the mortality reduction from bowel cancer for all population groups seen in international randomised controlled trials? </w:t>
      </w:r>
    </w:p>
    <w:p w:rsidR="00AD3283" w:rsidRPr="00C95C03" w:rsidRDefault="00AD3283" w:rsidP="00604AA9">
      <w:pPr>
        <w:numPr>
          <w:ilvl w:val="0"/>
          <w:numId w:val="8"/>
        </w:numPr>
        <w:tabs>
          <w:tab w:val="clear" w:pos="927"/>
          <w:tab w:val="num" w:pos="1134"/>
        </w:tabs>
        <w:spacing w:before="120"/>
        <w:ind w:left="1134" w:hanging="420"/>
      </w:pPr>
      <w:r w:rsidRPr="00037FE3">
        <w:rPr>
          <w:i/>
        </w:rPr>
        <w:t>Safety and acceptability</w:t>
      </w:r>
      <w:r w:rsidRPr="00C95C03">
        <w:t>: Can a national bowel screening programme be delivered in a manner that is safe and acceptable?</w:t>
      </w:r>
    </w:p>
    <w:p w:rsidR="00AD3283" w:rsidRPr="00C95C03" w:rsidRDefault="00AD3283" w:rsidP="00604AA9">
      <w:pPr>
        <w:numPr>
          <w:ilvl w:val="0"/>
          <w:numId w:val="8"/>
        </w:numPr>
        <w:tabs>
          <w:tab w:val="clear" w:pos="927"/>
          <w:tab w:val="num" w:pos="1134"/>
        </w:tabs>
        <w:spacing w:before="120"/>
        <w:ind w:left="1134" w:hanging="420"/>
      </w:pPr>
      <w:r w:rsidRPr="00037FE3">
        <w:rPr>
          <w:i/>
        </w:rPr>
        <w:t>Equity</w:t>
      </w:r>
      <w:r w:rsidRPr="00C95C03">
        <w:t>: Can a national bowel screening programme be delivered in a manner that eliminates (or does not increase) current inequalities between population groups?</w:t>
      </w:r>
    </w:p>
    <w:p w:rsidR="00AD3283" w:rsidRPr="00C95C03" w:rsidRDefault="00AD3283" w:rsidP="00604AA9">
      <w:pPr>
        <w:numPr>
          <w:ilvl w:val="0"/>
          <w:numId w:val="8"/>
        </w:numPr>
        <w:tabs>
          <w:tab w:val="clear" w:pos="927"/>
          <w:tab w:val="num" w:pos="1134"/>
        </w:tabs>
        <w:spacing w:before="120"/>
        <w:ind w:left="1134" w:hanging="420"/>
      </w:pPr>
      <w:r w:rsidRPr="00037FE3">
        <w:rPr>
          <w:i/>
        </w:rPr>
        <w:t>Economic efficiency</w:t>
      </w:r>
      <w:r w:rsidRPr="00C95C03">
        <w:t>: Can a national bowel screening programme be delivered in an economically efficient manner?</w:t>
      </w:r>
    </w:p>
    <w:p w:rsidR="00AD3283" w:rsidRDefault="00E073CC" w:rsidP="00377260">
      <w:pPr>
        <w:rPr>
          <w:rFonts w:cs="Arial"/>
        </w:rPr>
      </w:pPr>
      <w:r>
        <w:rPr>
          <w:rFonts w:cs="Arial"/>
        </w:rPr>
        <w:t xml:space="preserve">Ministry of Health </w:t>
      </w:r>
      <w:r w:rsidR="00AD3283" w:rsidRPr="00672EE3">
        <w:rPr>
          <w:rFonts w:cs="Arial"/>
        </w:rPr>
        <w:t xml:space="preserve">specified </w:t>
      </w:r>
      <w:r w:rsidR="00AD3283" w:rsidRPr="00672EE3">
        <w:rPr>
          <w:rFonts w:cs="Arial"/>
          <w:bCs/>
        </w:rPr>
        <w:t>ten key objectives</w:t>
      </w:r>
      <w:r w:rsidR="00AD3283">
        <w:rPr>
          <w:rFonts w:cs="Arial"/>
        </w:rPr>
        <w:t xml:space="preserve"> of the BSP and its evaluation</w:t>
      </w:r>
      <w:r w:rsidR="00970B2D" w:rsidRPr="00697D47">
        <w:rPr>
          <w:rStyle w:val="FootnoteReference"/>
        </w:rPr>
        <w:footnoteReference w:id="13"/>
      </w:r>
      <w:r w:rsidR="00377260">
        <w:rPr>
          <w:rFonts w:cs="Arial"/>
        </w:rPr>
        <w:t>:</w:t>
      </w:r>
      <w:r w:rsidR="00AD3283">
        <w:rPr>
          <w:rFonts w:cs="Arial"/>
        </w:rPr>
        <w:t xml:space="preserve"> </w:t>
      </w:r>
      <w:r w:rsidR="00377260">
        <w:rPr>
          <w:rFonts w:cs="Arial"/>
        </w:rPr>
        <w:t xml:space="preserve">The interim report has been structured to address each of these </w:t>
      </w:r>
      <w:r w:rsidR="00AD3283">
        <w:rPr>
          <w:rFonts w:cs="Arial"/>
        </w:rPr>
        <w:t xml:space="preserve">objectives </w:t>
      </w:r>
      <w:r w:rsidR="00377260">
        <w:rPr>
          <w:rFonts w:cs="Arial"/>
        </w:rPr>
        <w:t xml:space="preserve">as relevant at the completion </w:t>
      </w:r>
      <w:r w:rsidR="009E64EF">
        <w:rPr>
          <w:rFonts w:cs="Arial"/>
        </w:rPr>
        <w:t xml:space="preserve">of invite distribution for </w:t>
      </w:r>
      <w:r w:rsidR="00377260">
        <w:rPr>
          <w:rFonts w:cs="Arial"/>
        </w:rPr>
        <w:t>screening round one (1 January 2012 – 31 December 2013).</w:t>
      </w:r>
    </w:p>
    <w:p w:rsidR="00AD3283" w:rsidRDefault="00AD3283" w:rsidP="00604AA9">
      <w:pPr>
        <w:numPr>
          <w:ilvl w:val="0"/>
          <w:numId w:val="9"/>
        </w:numPr>
        <w:tabs>
          <w:tab w:val="num" w:pos="1440"/>
        </w:tabs>
        <w:spacing w:before="120" w:after="60"/>
        <w:ind w:left="1440" w:hanging="720"/>
        <w:rPr>
          <w:rFonts w:cs="Arial"/>
        </w:rPr>
      </w:pPr>
      <w:r>
        <w:rPr>
          <w:rFonts w:cs="Arial"/>
          <w:i/>
        </w:rPr>
        <w:t xml:space="preserve">Programme design - </w:t>
      </w:r>
      <w:r>
        <w:rPr>
          <w:rFonts w:cs="Arial"/>
        </w:rPr>
        <w:t>To pilot the use of a Population Register closely linked with primary health care services to invite the target population, along with a Coordination Centre and associated information system to manage the Screening Pathway</w:t>
      </w:r>
      <w:r w:rsidR="007C5850">
        <w:rPr>
          <w:rFonts w:cs="Arial"/>
        </w:rPr>
        <w:t>.</w:t>
      </w:r>
    </w:p>
    <w:p w:rsidR="00AD3283" w:rsidRDefault="00AD3283" w:rsidP="00604AA9">
      <w:pPr>
        <w:numPr>
          <w:ilvl w:val="0"/>
          <w:numId w:val="9"/>
        </w:numPr>
        <w:tabs>
          <w:tab w:val="num" w:pos="1440"/>
        </w:tabs>
        <w:spacing w:before="120" w:after="60"/>
        <w:ind w:left="1440" w:hanging="720"/>
        <w:rPr>
          <w:rFonts w:cs="Arial"/>
        </w:rPr>
      </w:pPr>
      <w:r>
        <w:rPr>
          <w:rFonts w:cs="Arial"/>
          <w:i/>
        </w:rPr>
        <w:t xml:space="preserve">Screening effectiveness - </w:t>
      </w:r>
      <w:r>
        <w:rPr>
          <w:rFonts w:cs="Arial"/>
        </w:rPr>
        <w:t>To assess the early indicators of the effectiveness of bowel screening, including the number and stage of cancers detected, the number and size of adenomas detected, and colonoscopy completion rates</w:t>
      </w:r>
      <w:r w:rsidR="007C5850">
        <w:rPr>
          <w:rFonts w:cs="Arial"/>
        </w:rPr>
        <w:t>.</w:t>
      </w:r>
    </w:p>
    <w:p w:rsidR="00AD3283" w:rsidRDefault="009E64EF" w:rsidP="00604AA9">
      <w:pPr>
        <w:numPr>
          <w:ilvl w:val="0"/>
          <w:numId w:val="9"/>
        </w:numPr>
        <w:tabs>
          <w:tab w:val="num" w:pos="1440"/>
        </w:tabs>
        <w:spacing w:before="120" w:after="60"/>
        <w:ind w:left="1440" w:hanging="720"/>
        <w:rPr>
          <w:rFonts w:cs="Arial"/>
        </w:rPr>
      </w:pPr>
      <w:proofErr w:type="gramStart"/>
      <w:r>
        <w:rPr>
          <w:rFonts w:cs="Arial"/>
          <w:i/>
        </w:rPr>
        <w:t>i</w:t>
      </w:r>
      <w:r w:rsidR="00AD3283">
        <w:rPr>
          <w:rFonts w:cs="Arial"/>
          <w:i/>
        </w:rPr>
        <w:t>FOBT</w:t>
      </w:r>
      <w:proofErr w:type="gramEnd"/>
      <w:r w:rsidR="00AD3283">
        <w:rPr>
          <w:rFonts w:cs="Arial"/>
          <w:i/>
        </w:rPr>
        <w:t xml:space="preserve"> experience - </w:t>
      </w:r>
      <w:r w:rsidR="00AD3283">
        <w:rPr>
          <w:rFonts w:cs="Arial"/>
        </w:rPr>
        <w:t xml:space="preserve">To assess the performance and acceptability of the chosen </w:t>
      </w:r>
      <w:r>
        <w:rPr>
          <w:rFonts w:cs="Arial"/>
        </w:rPr>
        <w:t>i</w:t>
      </w:r>
      <w:r w:rsidR="00AD3283">
        <w:rPr>
          <w:rFonts w:cs="Arial"/>
        </w:rPr>
        <w:t>FOBT in the New Zealand context including the positivity rates in New Zealand, positive predictive values for adenomas and cancers, technical repeat rates and false positive rates</w:t>
      </w:r>
      <w:r w:rsidR="007C5850">
        <w:rPr>
          <w:rFonts w:cs="Arial"/>
        </w:rPr>
        <w:t>.</w:t>
      </w:r>
      <w:r w:rsidR="00AD3283">
        <w:rPr>
          <w:rFonts w:cs="Arial"/>
        </w:rPr>
        <w:t xml:space="preserve"> </w:t>
      </w:r>
    </w:p>
    <w:p w:rsidR="00AD3283" w:rsidRDefault="00AD3283" w:rsidP="00604AA9">
      <w:pPr>
        <w:numPr>
          <w:ilvl w:val="0"/>
          <w:numId w:val="9"/>
        </w:numPr>
        <w:tabs>
          <w:tab w:val="num" w:pos="1440"/>
        </w:tabs>
        <w:spacing w:before="120" w:after="60"/>
        <w:ind w:left="1440" w:hanging="720"/>
        <w:rPr>
          <w:rFonts w:cs="Arial"/>
        </w:rPr>
      </w:pPr>
      <w:r>
        <w:rPr>
          <w:rFonts w:cs="Arial"/>
          <w:i/>
        </w:rPr>
        <w:t xml:space="preserve">Participation and coverage - </w:t>
      </w:r>
      <w:r>
        <w:rPr>
          <w:rFonts w:cs="Arial"/>
        </w:rPr>
        <w:t>To determine the level of participation and coverage for the eligible and invited populations, including sub-populations (defined by sex, age, ethnicity, socioeconomic status and rural representation)</w:t>
      </w:r>
      <w:r w:rsidR="007C5850">
        <w:rPr>
          <w:rFonts w:cs="Arial"/>
        </w:rPr>
        <w:t>.</w:t>
      </w:r>
    </w:p>
    <w:p w:rsidR="00AD3283" w:rsidRDefault="00AD3283" w:rsidP="00604AA9">
      <w:pPr>
        <w:numPr>
          <w:ilvl w:val="0"/>
          <w:numId w:val="9"/>
        </w:numPr>
        <w:tabs>
          <w:tab w:val="num" w:pos="1440"/>
        </w:tabs>
        <w:spacing w:before="120" w:after="60"/>
        <w:ind w:left="1440" w:hanging="720"/>
        <w:rPr>
          <w:rFonts w:cs="Arial"/>
        </w:rPr>
      </w:pPr>
      <w:r>
        <w:rPr>
          <w:rFonts w:cs="Arial"/>
          <w:i/>
        </w:rPr>
        <w:t xml:space="preserve">Quality - </w:t>
      </w:r>
      <w:r>
        <w:rPr>
          <w:rFonts w:cs="Arial"/>
        </w:rPr>
        <w:t>To pilot the agreed quality standards and monitoring requirements along the Screening Pathway and assess the implications for a national programme; in particular to pilot the acceptability and safety of the standards and screening to providers and for different population groups</w:t>
      </w:r>
      <w:r w:rsidR="007C5850">
        <w:rPr>
          <w:rFonts w:cs="Arial"/>
        </w:rPr>
        <w:t>.</w:t>
      </w:r>
    </w:p>
    <w:p w:rsidR="00AD3283" w:rsidRDefault="00AD3283" w:rsidP="00604AA9">
      <w:pPr>
        <w:numPr>
          <w:ilvl w:val="0"/>
          <w:numId w:val="9"/>
        </w:numPr>
        <w:tabs>
          <w:tab w:val="num" w:pos="1440"/>
        </w:tabs>
        <w:spacing w:before="60" w:after="120"/>
        <w:ind w:left="1440" w:hanging="720"/>
        <w:rPr>
          <w:rFonts w:cs="Arial"/>
        </w:rPr>
      </w:pPr>
      <w:r>
        <w:rPr>
          <w:rFonts w:cs="Arial"/>
          <w:i/>
        </w:rPr>
        <w:t xml:space="preserve">Service delivery and workforce capacity - </w:t>
      </w:r>
      <w:r>
        <w:rPr>
          <w:rFonts w:cs="Arial"/>
        </w:rPr>
        <w:t>To monitor the effect, including resource implications of screening activities, on primary care, community health services, laboratory, and secondary and tertiary services and the implications of this for a national programme</w:t>
      </w:r>
      <w:r w:rsidR="007C5850">
        <w:rPr>
          <w:rFonts w:cs="Arial"/>
        </w:rPr>
        <w:t>.</w:t>
      </w:r>
    </w:p>
    <w:p w:rsidR="00AD3283" w:rsidRDefault="00AD3283" w:rsidP="00604AA9">
      <w:pPr>
        <w:numPr>
          <w:ilvl w:val="0"/>
          <w:numId w:val="9"/>
        </w:numPr>
        <w:tabs>
          <w:tab w:val="num" w:pos="1440"/>
          <w:tab w:val="left" w:pos="4140"/>
        </w:tabs>
        <w:spacing w:before="60" w:after="120"/>
        <w:ind w:left="1440" w:hanging="720"/>
        <w:rPr>
          <w:rFonts w:cs="Arial"/>
        </w:rPr>
      </w:pPr>
      <w:r>
        <w:rPr>
          <w:rFonts w:cs="Arial"/>
          <w:i/>
        </w:rPr>
        <w:t xml:space="preserve">Fair access for all New Zealanders - </w:t>
      </w:r>
      <w:r>
        <w:rPr>
          <w:rFonts w:cs="Arial"/>
        </w:rPr>
        <w:t xml:space="preserve">To determine whether a bowel screening programme can be delivered in a way that provides fair access for all New Zealanders. In particular, to evaluate the process of adopting a focus in leadership, </w:t>
      </w:r>
      <w:r>
        <w:rPr>
          <w:rFonts w:cs="Arial"/>
        </w:rPr>
        <w:lastRenderedPageBreak/>
        <w:t>decision making processes and implementation of the pilot to provide fair access to all eligible people</w:t>
      </w:r>
      <w:r w:rsidR="007C5850">
        <w:rPr>
          <w:rFonts w:cs="Arial"/>
        </w:rPr>
        <w:t>.</w:t>
      </w:r>
    </w:p>
    <w:p w:rsidR="00AD3283" w:rsidRDefault="00AD3283" w:rsidP="00604AA9">
      <w:pPr>
        <w:numPr>
          <w:ilvl w:val="0"/>
          <w:numId w:val="9"/>
        </w:numPr>
        <w:tabs>
          <w:tab w:val="num" w:pos="1440"/>
        </w:tabs>
        <w:spacing w:before="60" w:after="120"/>
        <w:ind w:left="1440" w:hanging="720"/>
        <w:rPr>
          <w:rFonts w:cs="Arial"/>
        </w:rPr>
      </w:pPr>
      <w:r>
        <w:rPr>
          <w:rFonts w:cs="Arial"/>
          <w:i/>
        </w:rPr>
        <w:t xml:space="preserve">Cost effectiveness - </w:t>
      </w:r>
      <w:r>
        <w:rPr>
          <w:rFonts w:cs="Arial"/>
        </w:rPr>
        <w:t>To determine the costs of all services along the Screening Pathway to determine the cost effectiveness of a bowel screening programme. To compare this, where possible, with other preventative programmes in New Zealand and bowel screening trials internationally</w:t>
      </w:r>
      <w:r w:rsidR="007C5850">
        <w:rPr>
          <w:rFonts w:cs="Arial"/>
        </w:rPr>
        <w:t>.</w:t>
      </w:r>
    </w:p>
    <w:p w:rsidR="00DD5CEB" w:rsidRDefault="00DD5CEB" w:rsidP="00604AA9">
      <w:pPr>
        <w:numPr>
          <w:ilvl w:val="1"/>
          <w:numId w:val="7"/>
        </w:numPr>
        <w:autoSpaceDE w:val="0"/>
        <w:autoSpaceDN w:val="0"/>
        <w:adjustRightInd w:val="0"/>
        <w:spacing w:before="120"/>
        <w:ind w:left="1701" w:hanging="283"/>
        <w:rPr>
          <w:rFonts w:cs="Arial"/>
        </w:rPr>
      </w:pPr>
      <w:r w:rsidRPr="00B222E0">
        <w:rPr>
          <w:rFonts w:cs="Arial"/>
        </w:rPr>
        <w:t>Note: The interim report presents a costing an</w:t>
      </w:r>
      <w:r>
        <w:rPr>
          <w:rFonts w:cs="Arial"/>
        </w:rPr>
        <w:t>a</w:t>
      </w:r>
      <w:r w:rsidRPr="00B222E0">
        <w:rPr>
          <w:rFonts w:cs="Arial"/>
        </w:rPr>
        <w:t>lysis, exploring the nature and quantum of costs associated with the design, implementation and operation of the pilot duri</w:t>
      </w:r>
      <w:r w:rsidR="00E00829">
        <w:rPr>
          <w:rFonts w:cs="Arial"/>
        </w:rPr>
        <w:t xml:space="preserve">ng the first screening round.  </w:t>
      </w:r>
      <w:r w:rsidRPr="00B222E0">
        <w:rPr>
          <w:rFonts w:cs="Arial"/>
        </w:rPr>
        <w:t>A full cost effectiveness analysis will be completed at the conclusion of the second screening round.</w:t>
      </w:r>
    </w:p>
    <w:p w:rsidR="00AD3283" w:rsidRDefault="00AD3283" w:rsidP="00604AA9">
      <w:pPr>
        <w:numPr>
          <w:ilvl w:val="0"/>
          <w:numId w:val="9"/>
        </w:numPr>
        <w:tabs>
          <w:tab w:val="num" w:pos="1440"/>
        </w:tabs>
        <w:spacing w:before="60" w:after="120"/>
        <w:ind w:left="1440" w:hanging="720"/>
        <w:rPr>
          <w:rFonts w:cs="Arial"/>
        </w:rPr>
      </w:pPr>
      <w:r>
        <w:rPr>
          <w:rFonts w:cs="Arial"/>
          <w:i/>
        </w:rPr>
        <w:t xml:space="preserve">Acceptability to the target population - </w:t>
      </w:r>
      <w:r>
        <w:rPr>
          <w:rFonts w:cs="Arial"/>
        </w:rPr>
        <w:t>To pilot provision of information and support to the target population to facilitate informed participation and evaluate the knowledge, attitudes and satisfaction of groups of participants (defined by sex, age, ethnicity, socioeconomic status and geographical residence) in the screening pilot, including identifying factors associated with non-participation</w:t>
      </w:r>
      <w:r w:rsidR="007C5850">
        <w:rPr>
          <w:rFonts w:cs="Arial"/>
        </w:rPr>
        <w:t>.</w:t>
      </w:r>
    </w:p>
    <w:p w:rsidR="00AD3283" w:rsidRDefault="00AD3283" w:rsidP="00604AA9">
      <w:pPr>
        <w:numPr>
          <w:ilvl w:val="0"/>
          <w:numId w:val="9"/>
        </w:numPr>
        <w:tabs>
          <w:tab w:val="num" w:pos="1440"/>
        </w:tabs>
        <w:spacing w:before="60" w:after="120"/>
        <w:ind w:left="1440" w:hanging="720"/>
        <w:rPr>
          <w:rFonts w:cs="Arial"/>
        </w:rPr>
      </w:pPr>
      <w:r>
        <w:rPr>
          <w:rFonts w:cs="Arial"/>
          <w:i/>
        </w:rPr>
        <w:t xml:space="preserve">Acceptability to providers - </w:t>
      </w:r>
      <w:r>
        <w:rPr>
          <w:rFonts w:cs="Arial"/>
        </w:rPr>
        <w:t>To evaluate the knowledge and attitudes and acceptability to health professionals and health care providers based in community, primary care and hospital settings.</w:t>
      </w:r>
    </w:p>
    <w:p w:rsidR="00307DEA" w:rsidRPr="003E632D" w:rsidRDefault="00307DEA" w:rsidP="00307DEA">
      <w:pPr>
        <w:pStyle w:val="Heading2"/>
      </w:pPr>
      <w:bookmarkStart w:id="54" w:name="_Toc412540020"/>
      <w:r w:rsidRPr="003E632D">
        <w:t>2.2</w:t>
      </w:r>
      <w:r w:rsidRPr="003E632D">
        <w:tab/>
        <w:t>Unique elements of bowel cancer screening</w:t>
      </w:r>
      <w:bookmarkEnd w:id="54"/>
      <w:r w:rsidRPr="003E632D">
        <w:t xml:space="preserve"> </w:t>
      </w:r>
    </w:p>
    <w:p w:rsidR="00F878DC" w:rsidRPr="008E5431" w:rsidRDefault="00E44E24" w:rsidP="00E44E24">
      <w:pPr>
        <w:rPr>
          <w:lang w:eastAsia="en-US"/>
        </w:rPr>
      </w:pPr>
      <w:bookmarkStart w:id="55" w:name="_Toc390872200"/>
      <w:r w:rsidRPr="008E5431">
        <w:rPr>
          <w:lang w:eastAsia="en-US"/>
        </w:rPr>
        <w:t>Bowel cancer has several specific features that make it unique as a cancer to screen for across the population.  Screening for this cancer usually involves, either as the first step or as the definitive diagnostic step, direct visualisation of the organ</w:t>
      </w:r>
      <w:r w:rsidR="007C5850" w:rsidRPr="008E5431">
        <w:rPr>
          <w:lang w:eastAsia="en-US"/>
        </w:rPr>
        <w:t>.</w:t>
      </w:r>
      <w:r w:rsidRPr="008E5431">
        <w:rPr>
          <w:lang w:eastAsia="en-US"/>
        </w:rPr>
        <w:t xml:space="preserve"> </w:t>
      </w:r>
      <w:r w:rsidR="007C5850" w:rsidRPr="008E5431">
        <w:rPr>
          <w:lang w:eastAsia="en-US"/>
        </w:rPr>
        <w:t>T</w:t>
      </w:r>
      <w:r w:rsidRPr="008E5431">
        <w:rPr>
          <w:lang w:eastAsia="en-US"/>
        </w:rPr>
        <w:t xml:space="preserve">his is unlike breast where the organ is imaged, cervix where epithelial cells are </w:t>
      </w:r>
      <w:r w:rsidR="003D209D" w:rsidRPr="008E5431">
        <w:rPr>
          <w:lang w:eastAsia="en-US"/>
        </w:rPr>
        <w:t>sampled</w:t>
      </w:r>
      <w:r w:rsidRPr="008E5431">
        <w:rPr>
          <w:lang w:eastAsia="en-US"/>
        </w:rPr>
        <w:t xml:space="preserve"> or prostate where a blood-borne biomarker is assayed. That means that, in many cases, definitive diagnosis (cancerous/precancerous lesion or not) and treatment (removal of </w:t>
      </w:r>
      <w:r w:rsidR="00D63E90" w:rsidRPr="008E5431">
        <w:rPr>
          <w:lang w:eastAsia="en-US"/>
        </w:rPr>
        <w:t xml:space="preserve">some </w:t>
      </w:r>
      <w:r w:rsidRPr="008E5431">
        <w:rPr>
          <w:lang w:eastAsia="en-US"/>
        </w:rPr>
        <w:t xml:space="preserve">precancerous lesions) can be accomplished with the same procedure – again unlike breast and prostate. </w:t>
      </w:r>
    </w:p>
    <w:p w:rsidR="00E44E24" w:rsidRPr="008E5431" w:rsidRDefault="00E44E24" w:rsidP="009433F2">
      <w:pPr>
        <w:keepNext/>
        <w:keepLines/>
        <w:rPr>
          <w:i/>
          <w:lang w:eastAsia="en-US"/>
        </w:rPr>
      </w:pPr>
      <w:r w:rsidRPr="008E5431">
        <w:rPr>
          <w:lang w:eastAsia="en-US"/>
        </w:rPr>
        <w:t xml:space="preserve">For a programme that begins, as in New Zealand, not with colonoscopy but with </w:t>
      </w:r>
      <w:r w:rsidR="00F878DC" w:rsidRPr="008E5431">
        <w:rPr>
          <w:lang w:eastAsia="en-US"/>
        </w:rPr>
        <w:t>i</w:t>
      </w:r>
      <w:r w:rsidRPr="008E5431">
        <w:t>FOBT, there are additional unique elements. First, the sample c</w:t>
      </w:r>
      <w:r w:rsidRPr="008E5431">
        <w:rPr>
          <w:lang w:eastAsia="en-US"/>
        </w:rPr>
        <w:t xml:space="preserve">an be collected at home (although this is now increasingly also being done for direct self-collected sampling of cervical fluid for </w:t>
      </w:r>
      <w:r w:rsidR="00F878DC" w:rsidRPr="008E5431">
        <w:rPr>
          <w:lang w:eastAsia="en-US"/>
        </w:rPr>
        <w:t>Human papillomavirus [</w:t>
      </w:r>
      <w:r w:rsidRPr="008E5431">
        <w:rPr>
          <w:lang w:eastAsia="en-US"/>
        </w:rPr>
        <w:t>HPV</w:t>
      </w:r>
      <w:r w:rsidR="00F878DC" w:rsidRPr="008E5431">
        <w:rPr>
          <w:lang w:eastAsia="en-US"/>
        </w:rPr>
        <w:t>]</w:t>
      </w:r>
      <w:r w:rsidRPr="008E5431">
        <w:rPr>
          <w:lang w:eastAsia="en-US"/>
        </w:rPr>
        <w:t xml:space="preserve"> testing). Second, </w:t>
      </w:r>
      <w:r w:rsidR="00F878DC" w:rsidRPr="008E5431">
        <w:rPr>
          <w:lang w:eastAsia="en-US"/>
        </w:rPr>
        <w:t>i</w:t>
      </w:r>
      <w:r w:rsidRPr="008E5431">
        <w:rPr>
          <w:lang w:eastAsia="en-US"/>
        </w:rPr>
        <w:t>FOBT is probably the lowest</w:t>
      </w:r>
      <w:r w:rsidR="00615592">
        <w:rPr>
          <w:lang w:eastAsia="en-US"/>
        </w:rPr>
        <w:t xml:space="preserve"> </w:t>
      </w:r>
      <w:r w:rsidRPr="008E5431">
        <w:rPr>
          <w:lang w:eastAsia="en-US"/>
        </w:rPr>
        <w:t xml:space="preserve">cost initial screening test for cancer. </w:t>
      </w:r>
    </w:p>
    <w:p w:rsidR="00C90CC9" w:rsidRPr="008E5431" w:rsidRDefault="00E44E24" w:rsidP="00E44E24">
      <w:pPr>
        <w:rPr>
          <w:lang w:eastAsia="en-US"/>
        </w:rPr>
      </w:pPr>
      <w:r w:rsidRPr="008E5431">
        <w:rPr>
          <w:lang w:eastAsia="en-US"/>
        </w:rPr>
        <w:t xml:space="preserve">Screening for breast, cervix, and prostate cancers detects and, thus, requires the treatment of, malignant lesions that must then be removed surgically.  Some of these cancers (especially in the case of prostate) would never present clinically or cause morbidity and mortality.  Thus, screening for each of these three cancers is associated with a rise in incidence, even as there is an accompanying fall in mortality.  In contrast, screening for bowel cancer encompasses the removal of </w:t>
      </w:r>
      <w:r w:rsidR="00D63E90" w:rsidRPr="008E5431">
        <w:rPr>
          <w:lang w:eastAsia="en-US"/>
        </w:rPr>
        <w:t xml:space="preserve">some </w:t>
      </w:r>
      <w:r w:rsidRPr="008E5431">
        <w:rPr>
          <w:lang w:eastAsia="en-US"/>
        </w:rPr>
        <w:t xml:space="preserve">premalignant lesions, some of which would never present as cancers.  For bowel cancer, therefore, once the very earliest stages of the programme are completed, both incidence and mortality decline with screening. </w:t>
      </w:r>
    </w:p>
    <w:p w:rsidR="00542D54" w:rsidRDefault="00FD3BAC" w:rsidP="00FD3BAC">
      <w:pPr>
        <w:pStyle w:val="Heading2"/>
      </w:pPr>
      <w:bookmarkStart w:id="56" w:name="_Toc412540021"/>
      <w:r w:rsidRPr="00B60C62">
        <w:lastRenderedPageBreak/>
        <w:t>2.</w:t>
      </w:r>
      <w:r w:rsidR="00307DEA">
        <w:t>3</w:t>
      </w:r>
      <w:r w:rsidRPr="00B60C62">
        <w:tab/>
      </w:r>
      <w:r w:rsidR="000854CC">
        <w:t xml:space="preserve">Description of the </w:t>
      </w:r>
      <w:r w:rsidR="00542D54" w:rsidRPr="00B60C62">
        <w:t>BSP</w:t>
      </w:r>
      <w:bookmarkEnd w:id="55"/>
      <w:bookmarkEnd w:id="56"/>
      <w:r w:rsidR="000854CC">
        <w:t xml:space="preserve"> </w:t>
      </w:r>
    </w:p>
    <w:p w:rsidR="00CF57F1" w:rsidRDefault="00CF57F1" w:rsidP="00CF57F1">
      <w:pPr>
        <w:pStyle w:val="Heading3"/>
        <w:rPr>
          <w:lang w:eastAsia="ar-SA"/>
        </w:rPr>
      </w:pPr>
      <w:r>
        <w:rPr>
          <w:lang w:eastAsia="ar-SA"/>
        </w:rPr>
        <w:t>Identification</w:t>
      </w:r>
    </w:p>
    <w:p w:rsidR="00CF57F1" w:rsidRPr="00CF57F1" w:rsidRDefault="00CF57F1" w:rsidP="00CF57F1">
      <w:pPr>
        <w:rPr>
          <w:lang w:eastAsia="ar-SA"/>
        </w:rPr>
      </w:pPr>
      <w:r w:rsidRPr="00CF57F1">
        <w:rPr>
          <w:lang w:eastAsia="ar-SA"/>
        </w:rPr>
        <w:t xml:space="preserve">All men and women aged 50 to 74 who live in the WDHB area and who are eligible for publicly funded healthcare are eligible to participate in the BSP.  Most people in the eligible population will be invited to participate in two screening rounds within the four year BSP period. </w:t>
      </w:r>
    </w:p>
    <w:p w:rsidR="00CF57F1" w:rsidRDefault="00CF57F1" w:rsidP="00CF57F1">
      <w:pPr>
        <w:rPr>
          <w:lang w:eastAsia="ar-SA"/>
        </w:rPr>
      </w:pPr>
      <w:r>
        <w:rPr>
          <w:lang w:eastAsia="ar-SA"/>
        </w:rPr>
        <w:t xml:space="preserve">Those not eligible to participate in the BSP are people who have had a colonoscopy within the last five years, are on a bowel polyp or bowel cancer surveillance programme, have had or are currently being treated for bowel cancer, have had their large bowel removed, are being treated for ulcerative colitis or Crohn’s disease, or are awaiting bowel investigations </w:t>
      </w:r>
      <w:r w:rsidRPr="00B868B3">
        <w:rPr>
          <w:lang w:eastAsia="ar-SA"/>
        </w:rPr>
        <w:t>by their doctor (WDHB 2012</w:t>
      </w:r>
      <w:r w:rsidR="00B868B3" w:rsidRPr="00B868B3">
        <w:rPr>
          <w:lang w:eastAsia="ar-SA"/>
        </w:rPr>
        <w:t>c</w:t>
      </w:r>
      <w:r w:rsidRPr="00B868B3">
        <w:rPr>
          <w:lang w:eastAsia="ar-SA"/>
        </w:rPr>
        <w:t>).</w:t>
      </w:r>
    </w:p>
    <w:p w:rsidR="00CF57F1" w:rsidRDefault="00CF57F1" w:rsidP="00CF57F1">
      <w:pPr>
        <w:rPr>
          <w:lang w:eastAsia="ar-SA"/>
        </w:rPr>
      </w:pPr>
      <w:r w:rsidRPr="00CF57F1">
        <w:rPr>
          <w:lang w:eastAsia="ar-SA"/>
        </w:rPr>
        <w:t>Participation in the BSP is by invitation only</w:t>
      </w:r>
      <w:r>
        <w:rPr>
          <w:lang w:eastAsia="ar-SA"/>
        </w:rPr>
        <w:t xml:space="preserve">. </w:t>
      </w:r>
      <w:r>
        <w:rPr>
          <w:b/>
          <w:lang w:eastAsia="ar-SA"/>
        </w:rPr>
        <w:t xml:space="preserve"> </w:t>
      </w:r>
      <w:r>
        <w:rPr>
          <w:lang w:eastAsia="ar-SA"/>
        </w:rPr>
        <w:t xml:space="preserve">The Coordination Centre invites eligible people to participate in the BSP according to their birth date.  </w:t>
      </w:r>
      <w:r>
        <w:rPr>
          <w:bCs/>
        </w:rPr>
        <w:t>In 2012 and 2014</w:t>
      </w:r>
      <w:r>
        <w:t xml:space="preserve">, invitations will be sent to people whose birthdays fall on an even date.  </w:t>
      </w:r>
      <w:r>
        <w:rPr>
          <w:bCs/>
        </w:rPr>
        <w:t>In 2013 and 2015</w:t>
      </w:r>
      <w:r>
        <w:t>, invitations will be sent to people whose birthdays fall on an odd date.  P</w:t>
      </w:r>
      <w:r>
        <w:rPr>
          <w:lang w:eastAsia="ar-SA"/>
        </w:rPr>
        <w:t xml:space="preserve">eople cannot opt in to the BSP and there are no referrals into the </w:t>
      </w:r>
      <w:r w:rsidR="00EB35F4">
        <w:rPr>
          <w:lang w:eastAsia="ar-SA"/>
        </w:rPr>
        <w:t>p</w:t>
      </w:r>
      <w:r>
        <w:rPr>
          <w:lang w:eastAsia="ar-SA"/>
        </w:rPr>
        <w:t xml:space="preserve">ilot by a health professional.  </w:t>
      </w:r>
    </w:p>
    <w:p w:rsidR="00CF57F1" w:rsidRDefault="00CF57F1" w:rsidP="00CF57F1">
      <w:pPr>
        <w:rPr>
          <w:lang w:eastAsia="ar-SA"/>
        </w:rPr>
      </w:pPr>
      <w:r w:rsidRPr="00812BB1">
        <w:rPr>
          <w:lang w:eastAsia="ar-SA"/>
        </w:rPr>
        <w:t xml:space="preserve">Identification of the eligible population is undertaken using the BSP Register.  </w:t>
      </w:r>
      <w:r w:rsidR="00812BB1">
        <w:rPr>
          <w:lang w:eastAsia="ar-SA"/>
        </w:rPr>
        <w:t>Participant</w:t>
      </w:r>
      <w:r>
        <w:rPr>
          <w:lang w:eastAsia="ar-SA"/>
        </w:rPr>
        <w:t xml:space="preserve"> details on the Register are taken from the NHI, and individuals who self-register. </w:t>
      </w:r>
    </w:p>
    <w:p w:rsidR="00CF57F1" w:rsidRDefault="00CF57F1" w:rsidP="00CF57F1">
      <w:pPr>
        <w:pStyle w:val="Heading3"/>
        <w:rPr>
          <w:lang w:eastAsia="ar-SA"/>
        </w:rPr>
      </w:pPr>
      <w:r>
        <w:rPr>
          <w:lang w:eastAsia="ar-SA"/>
        </w:rPr>
        <w:t>Pre-invitation</w:t>
      </w:r>
    </w:p>
    <w:p w:rsidR="00CF57F1" w:rsidRPr="00463B7A" w:rsidRDefault="00A32244" w:rsidP="00CF57F1">
      <w:pPr>
        <w:rPr>
          <w:lang w:eastAsia="ar-SA"/>
        </w:rPr>
      </w:pPr>
      <w:r w:rsidRPr="00463B7A">
        <w:rPr>
          <w:lang w:eastAsia="ar-SA"/>
        </w:rPr>
        <w:t>In the first screening round, i</w:t>
      </w:r>
      <w:r w:rsidR="00CF57F1" w:rsidRPr="00463B7A">
        <w:rPr>
          <w:lang w:eastAsia="ar-SA"/>
        </w:rPr>
        <w:t>nitial contact with the eligible population is through a pre-invitation letter that is sent by the Coordination Centre</w:t>
      </w:r>
      <w:r w:rsidR="00A1741A" w:rsidRPr="00463B7A">
        <w:rPr>
          <w:lang w:eastAsia="ar-SA"/>
        </w:rPr>
        <w:t xml:space="preserve"> four weeks before the invitation</w:t>
      </w:r>
      <w:r w:rsidR="004F6D8A" w:rsidRPr="00697D47">
        <w:rPr>
          <w:rStyle w:val="FootnoteReference"/>
        </w:rPr>
        <w:footnoteReference w:id="14"/>
      </w:r>
      <w:r w:rsidR="00A1741A" w:rsidRPr="00463B7A">
        <w:rPr>
          <w:lang w:eastAsia="ar-SA"/>
        </w:rPr>
        <w:t>.</w:t>
      </w:r>
      <w:r w:rsidR="00CF57F1" w:rsidRPr="00463B7A">
        <w:rPr>
          <w:lang w:eastAsia="ar-SA"/>
        </w:rPr>
        <w:t xml:space="preserve">  </w:t>
      </w:r>
      <w:r w:rsidRPr="00463B7A">
        <w:rPr>
          <w:lang w:eastAsia="ar-SA"/>
        </w:rPr>
        <w:t xml:space="preserve">In the second screening round, </w:t>
      </w:r>
      <w:r w:rsidRPr="00463B7A">
        <w:t>pre-invitation letter</w:t>
      </w:r>
      <w:r w:rsidRPr="00463B7A">
        <w:rPr>
          <w:lang w:eastAsia="ar-SA"/>
        </w:rPr>
        <w:t xml:space="preserve">s will only be received by eligible </w:t>
      </w:r>
      <w:r w:rsidRPr="00463B7A">
        <w:t xml:space="preserve">people who have never been invited to participate. </w:t>
      </w:r>
      <w:r w:rsidRPr="00463B7A">
        <w:rPr>
          <w:lang w:eastAsia="ar-SA"/>
        </w:rPr>
        <w:t xml:space="preserve"> </w:t>
      </w:r>
      <w:r w:rsidR="00CF57F1" w:rsidRPr="00463B7A">
        <w:rPr>
          <w:lang w:eastAsia="ar-SA"/>
        </w:rPr>
        <w:t>Pre-invitation letters are being used in the BSP because they have been shown to increase participation in bowel screening internationally (Cole and Smith 2007).  The pre-invitation letter:</w:t>
      </w:r>
    </w:p>
    <w:p w:rsidR="00CF57F1" w:rsidRPr="00463B7A" w:rsidRDefault="00CF57F1" w:rsidP="00604AA9">
      <w:pPr>
        <w:pStyle w:val="Bullet"/>
        <w:numPr>
          <w:ilvl w:val="0"/>
          <w:numId w:val="15"/>
        </w:numPr>
        <w:tabs>
          <w:tab w:val="num" w:pos="2126"/>
          <w:tab w:val="num" w:pos="6663"/>
        </w:tabs>
        <w:ind w:left="1069"/>
        <w:rPr>
          <w:lang w:val="mi-NZ"/>
        </w:rPr>
      </w:pPr>
      <w:r w:rsidRPr="00463B7A">
        <w:rPr>
          <w:lang w:val="mi-NZ"/>
        </w:rPr>
        <w:t>advises people about the BSP and that they are eligible to participate</w:t>
      </w:r>
    </w:p>
    <w:p w:rsidR="00CF57F1" w:rsidRPr="00463B7A" w:rsidRDefault="00CF57F1" w:rsidP="00604AA9">
      <w:pPr>
        <w:pStyle w:val="Bullet"/>
        <w:numPr>
          <w:ilvl w:val="0"/>
          <w:numId w:val="15"/>
        </w:numPr>
        <w:tabs>
          <w:tab w:val="num" w:pos="2126"/>
          <w:tab w:val="num" w:pos="6663"/>
        </w:tabs>
        <w:ind w:left="1069"/>
        <w:rPr>
          <w:lang w:val="mi-NZ"/>
        </w:rPr>
      </w:pPr>
      <w:r w:rsidRPr="00463B7A">
        <w:rPr>
          <w:lang w:val="mi-NZ"/>
        </w:rPr>
        <w:t>includes a generic endorsement by prospective participants’ GPs (for people not registered with a GP, the letter is endorsed by the Coordination Centre)</w:t>
      </w:r>
    </w:p>
    <w:p w:rsidR="00CF57F1" w:rsidRPr="00463B7A" w:rsidRDefault="00CF57F1" w:rsidP="00604AA9">
      <w:pPr>
        <w:pStyle w:val="Bullet"/>
        <w:numPr>
          <w:ilvl w:val="0"/>
          <w:numId w:val="15"/>
        </w:numPr>
        <w:tabs>
          <w:tab w:val="num" w:pos="2126"/>
          <w:tab w:val="num" w:pos="6663"/>
        </w:tabs>
        <w:ind w:left="1069"/>
        <w:rPr>
          <w:lang w:val="mi-NZ"/>
        </w:rPr>
      </w:pPr>
      <w:r w:rsidRPr="00463B7A">
        <w:rPr>
          <w:lang w:val="mi-NZ"/>
        </w:rPr>
        <w:t>advises people that they will receive an invitation and an iFOBT kit from the BSP unless they notify the Coordination Centre they do not wish to participate</w:t>
      </w:r>
    </w:p>
    <w:p w:rsidR="00CF57F1" w:rsidRPr="00463B7A" w:rsidRDefault="00CF57F1" w:rsidP="00604AA9">
      <w:pPr>
        <w:pStyle w:val="Bullet"/>
        <w:numPr>
          <w:ilvl w:val="0"/>
          <w:numId w:val="15"/>
        </w:numPr>
        <w:tabs>
          <w:tab w:val="num" w:pos="2126"/>
          <w:tab w:val="num" w:pos="6663"/>
        </w:tabs>
        <w:ind w:left="1069"/>
        <w:rPr>
          <w:lang w:val="mi-NZ"/>
        </w:rPr>
      </w:pPr>
      <w:r w:rsidRPr="00463B7A">
        <w:rPr>
          <w:lang w:val="mi-NZ"/>
        </w:rPr>
        <w:t xml:space="preserve">includes a </w:t>
      </w:r>
      <w:r w:rsidR="00830CC5" w:rsidRPr="00463B7A">
        <w:rPr>
          <w:lang w:val="mi-NZ"/>
        </w:rPr>
        <w:t xml:space="preserve">detailed </w:t>
      </w:r>
      <w:r w:rsidRPr="00463B7A">
        <w:rPr>
          <w:lang w:val="mi-NZ"/>
        </w:rPr>
        <w:t>booklet to assist people to make an informed decision about participating in the BSP</w:t>
      </w:r>
    </w:p>
    <w:p w:rsidR="00CF57F1" w:rsidRPr="00463B7A" w:rsidRDefault="00CF57F1" w:rsidP="00604AA9">
      <w:pPr>
        <w:pStyle w:val="Bullet"/>
        <w:numPr>
          <w:ilvl w:val="0"/>
          <w:numId w:val="15"/>
        </w:numPr>
        <w:tabs>
          <w:tab w:val="num" w:pos="2126"/>
          <w:tab w:val="num" w:pos="6663"/>
        </w:tabs>
        <w:ind w:left="1069"/>
        <w:rPr>
          <w:lang w:eastAsia="ar-SA"/>
        </w:rPr>
      </w:pPr>
      <w:proofErr w:type="gramStart"/>
      <w:r w:rsidRPr="00463B7A">
        <w:rPr>
          <w:lang w:eastAsia="ar-SA"/>
        </w:rPr>
        <w:t>advises</w:t>
      </w:r>
      <w:proofErr w:type="gramEnd"/>
      <w:r w:rsidRPr="00463B7A">
        <w:rPr>
          <w:lang w:eastAsia="ar-SA"/>
        </w:rPr>
        <w:t xml:space="preserve"> people who should not participate in the BSP to contact the Coordination Centre. </w:t>
      </w:r>
    </w:p>
    <w:p w:rsidR="00CF57F1" w:rsidRDefault="00CF57F1" w:rsidP="00CF57F1">
      <w:pPr>
        <w:rPr>
          <w:lang w:eastAsia="ar-SA"/>
        </w:rPr>
      </w:pPr>
      <w:r w:rsidRPr="00463B7A">
        <w:rPr>
          <w:lang w:eastAsia="ar-SA"/>
        </w:rPr>
        <w:t xml:space="preserve">Pre-invitation letters are sent out to </w:t>
      </w:r>
      <w:r w:rsidR="00A32244" w:rsidRPr="00463B7A">
        <w:rPr>
          <w:lang w:eastAsia="ar-SA"/>
        </w:rPr>
        <w:t xml:space="preserve">approximately </w:t>
      </w:r>
      <w:r w:rsidRPr="00463B7A">
        <w:rPr>
          <w:lang w:eastAsia="ar-SA"/>
        </w:rPr>
        <w:t>6,000 eligible participants per month. Incorrectly addressed letters are returned to the Coordination Centre.  People who call to opt out of the BSP are recorded as such on the Register.</w:t>
      </w:r>
      <w:r>
        <w:rPr>
          <w:lang w:eastAsia="ar-SA"/>
        </w:rPr>
        <w:t xml:space="preserve"> </w:t>
      </w:r>
    </w:p>
    <w:p w:rsidR="00CF57F1" w:rsidRDefault="00CF57F1" w:rsidP="00CF57F1">
      <w:pPr>
        <w:pStyle w:val="Heading3"/>
        <w:rPr>
          <w:lang w:eastAsia="ar-SA"/>
        </w:rPr>
      </w:pPr>
      <w:r>
        <w:rPr>
          <w:lang w:eastAsia="ar-SA"/>
        </w:rPr>
        <w:lastRenderedPageBreak/>
        <w:t>Invitation</w:t>
      </w:r>
    </w:p>
    <w:p w:rsidR="00CF57F1" w:rsidRPr="00CF57F1" w:rsidRDefault="006A0995" w:rsidP="00CF57F1">
      <w:pPr>
        <w:rPr>
          <w:lang w:eastAsia="ar-SA"/>
        </w:rPr>
      </w:pPr>
      <w:r>
        <w:rPr>
          <w:lang w:eastAsia="ar-SA"/>
        </w:rPr>
        <w:t>Four</w:t>
      </w:r>
      <w:r w:rsidRPr="00CF57F1">
        <w:rPr>
          <w:lang w:eastAsia="ar-SA"/>
        </w:rPr>
        <w:t xml:space="preserve"> </w:t>
      </w:r>
      <w:r w:rsidR="00CF57F1" w:rsidRPr="00CF57F1">
        <w:rPr>
          <w:lang w:eastAsia="ar-SA"/>
        </w:rPr>
        <w:t>weeks after the pre-invitation letter, the Coordination Centre sends an invitation letter to eligible people who have not opted out.  The invitation letter is accompanied by:</w:t>
      </w:r>
    </w:p>
    <w:p w:rsidR="00CF57F1" w:rsidRPr="00CF57F1" w:rsidRDefault="00CF57F1" w:rsidP="00604AA9">
      <w:pPr>
        <w:pStyle w:val="Bullet"/>
        <w:numPr>
          <w:ilvl w:val="0"/>
          <w:numId w:val="15"/>
        </w:numPr>
        <w:tabs>
          <w:tab w:val="num" w:pos="2126"/>
          <w:tab w:val="num" w:pos="6663"/>
        </w:tabs>
        <w:ind w:left="1069"/>
        <w:rPr>
          <w:lang w:eastAsia="ar-SA"/>
        </w:rPr>
      </w:pPr>
      <w:r w:rsidRPr="00CF57F1">
        <w:rPr>
          <w:lang w:eastAsia="ar-SA"/>
        </w:rPr>
        <w:t>a leaflet to assist people to make an informed decision about participating in screening</w:t>
      </w:r>
    </w:p>
    <w:p w:rsidR="00CF57F1" w:rsidRPr="00CF57F1" w:rsidRDefault="005336F5" w:rsidP="00604AA9">
      <w:pPr>
        <w:numPr>
          <w:ilvl w:val="0"/>
          <w:numId w:val="15"/>
        </w:numPr>
        <w:tabs>
          <w:tab w:val="num" w:pos="2126"/>
          <w:tab w:val="num" w:pos="6663"/>
        </w:tabs>
        <w:autoSpaceDE w:val="0"/>
        <w:autoSpaceDN w:val="0"/>
        <w:adjustRightInd w:val="0"/>
        <w:spacing w:before="120"/>
        <w:ind w:left="1069"/>
        <w:rPr>
          <w:lang w:eastAsia="ar-SA"/>
        </w:rPr>
      </w:pPr>
      <w:r>
        <w:rPr>
          <w:lang w:eastAsia="ar-SA"/>
        </w:rPr>
        <w:t xml:space="preserve">an </w:t>
      </w:r>
      <w:r w:rsidRPr="005336F5">
        <w:rPr>
          <w:lang w:val="en-US"/>
        </w:rPr>
        <w:t>immunochemical faecal occult blood test</w:t>
      </w:r>
      <w:r w:rsidR="00AA6E70">
        <w:rPr>
          <w:lang w:val="en-US"/>
        </w:rPr>
        <w:t xml:space="preserve"> (iFOBT)</w:t>
      </w:r>
      <w:r w:rsidRPr="00697D47">
        <w:rPr>
          <w:rStyle w:val="FootnoteReference"/>
        </w:rPr>
        <w:footnoteReference w:id="15"/>
      </w:r>
      <w:r>
        <w:rPr>
          <w:rStyle w:val="FootnoteReference"/>
          <w:lang w:eastAsia="ar-SA"/>
        </w:rPr>
        <w:t>.</w:t>
      </w:r>
    </w:p>
    <w:p w:rsidR="00CF57F1" w:rsidRPr="00CF57F1" w:rsidRDefault="00CF57F1" w:rsidP="00604AA9">
      <w:pPr>
        <w:pStyle w:val="Bullet"/>
        <w:numPr>
          <w:ilvl w:val="0"/>
          <w:numId w:val="15"/>
        </w:numPr>
        <w:tabs>
          <w:tab w:val="num" w:pos="2126"/>
          <w:tab w:val="num" w:pos="6663"/>
        </w:tabs>
        <w:ind w:left="1069"/>
        <w:rPr>
          <w:lang w:eastAsia="ar-SA"/>
        </w:rPr>
      </w:pPr>
      <w:r w:rsidRPr="00CF57F1">
        <w:rPr>
          <w:lang w:eastAsia="ar-SA"/>
        </w:rPr>
        <w:t>a consent form</w:t>
      </w:r>
    </w:p>
    <w:p w:rsidR="00CF57F1" w:rsidRPr="00CF57F1" w:rsidRDefault="00CF57F1" w:rsidP="00604AA9">
      <w:pPr>
        <w:pStyle w:val="Bullet"/>
        <w:numPr>
          <w:ilvl w:val="0"/>
          <w:numId w:val="15"/>
        </w:numPr>
        <w:tabs>
          <w:tab w:val="num" w:pos="2126"/>
          <w:tab w:val="num" w:pos="6663"/>
        </w:tabs>
        <w:ind w:left="1069"/>
        <w:rPr>
          <w:lang w:eastAsia="ar-SA"/>
        </w:rPr>
      </w:pPr>
      <w:proofErr w:type="gramStart"/>
      <w:r w:rsidRPr="00CF57F1">
        <w:rPr>
          <w:lang w:eastAsia="ar-SA"/>
        </w:rPr>
        <w:t>a</w:t>
      </w:r>
      <w:proofErr w:type="gramEnd"/>
      <w:r w:rsidRPr="00CF57F1">
        <w:rPr>
          <w:lang w:eastAsia="ar-SA"/>
        </w:rPr>
        <w:t xml:space="preserve"> Freepost envelope to send their sample to LabPLUS.</w:t>
      </w:r>
    </w:p>
    <w:p w:rsidR="00CF57F1" w:rsidRPr="00CF57F1" w:rsidRDefault="00CF57F1" w:rsidP="00CF57F1">
      <w:pPr>
        <w:rPr>
          <w:lang w:eastAsia="ar-SA"/>
        </w:rPr>
      </w:pPr>
      <w:r w:rsidRPr="00CF57F1">
        <w:rPr>
          <w:lang w:eastAsia="ar-SA"/>
        </w:rPr>
        <w:t xml:space="preserve">Eligible Māori and Pacific people may receive an invitation via attending a community education session or </w:t>
      </w:r>
      <w:proofErr w:type="gramStart"/>
      <w:r w:rsidRPr="00CF57F1">
        <w:rPr>
          <w:lang w:eastAsia="ar-SA"/>
        </w:rPr>
        <w:t>hui</w:t>
      </w:r>
      <w:proofErr w:type="gramEnd"/>
      <w:r w:rsidRPr="00CF57F1">
        <w:rPr>
          <w:lang w:eastAsia="ar-SA"/>
        </w:rPr>
        <w:t xml:space="preserve"> and expressing an interest to take part in the BSP.  Health promoters notify the Coordination Centre and an invitation letter and iFOBT kit is sent out.  It is not known how many Māori and Pacific people have received an invitation via </w:t>
      </w:r>
      <w:r w:rsidR="003D209D" w:rsidRPr="00CF57F1">
        <w:rPr>
          <w:lang w:eastAsia="ar-SA"/>
        </w:rPr>
        <w:t>attending health</w:t>
      </w:r>
      <w:r w:rsidRPr="00CF57F1">
        <w:rPr>
          <w:lang w:eastAsia="ar-SA"/>
        </w:rPr>
        <w:t xml:space="preserve"> promotion activities </w:t>
      </w:r>
      <w:r w:rsidR="00F03990">
        <w:rPr>
          <w:lang w:eastAsia="ar-SA"/>
        </w:rPr>
        <w:t>facilitated by</w:t>
      </w:r>
      <w:r w:rsidR="00F03990" w:rsidRPr="00CF57F1">
        <w:rPr>
          <w:lang w:eastAsia="ar-SA"/>
        </w:rPr>
        <w:t xml:space="preserve"> </w:t>
      </w:r>
      <w:r w:rsidRPr="00CF57F1">
        <w:rPr>
          <w:lang w:eastAsia="ar-SA"/>
        </w:rPr>
        <w:t xml:space="preserve">the CAR coordinators. </w:t>
      </w:r>
    </w:p>
    <w:p w:rsidR="00CF57F1" w:rsidRPr="00CF57F1" w:rsidRDefault="00CF57F1" w:rsidP="00CF57F1">
      <w:pPr>
        <w:rPr>
          <w:lang w:eastAsia="ar-SA"/>
        </w:rPr>
      </w:pPr>
      <w:r w:rsidRPr="00CF57F1">
        <w:rPr>
          <w:lang w:eastAsia="ar-SA"/>
        </w:rPr>
        <w:t xml:space="preserve">People may opt out of the BSP at this stage by advising the Coordination Centre or their general practice.  This decision is recorded on the Register.  </w:t>
      </w:r>
    </w:p>
    <w:p w:rsidR="00CF57F1" w:rsidRDefault="00CF57F1" w:rsidP="00CF57F1">
      <w:pPr>
        <w:pStyle w:val="Heading3"/>
        <w:rPr>
          <w:lang w:eastAsia="ar-SA"/>
        </w:rPr>
      </w:pPr>
      <w:r>
        <w:rPr>
          <w:lang w:eastAsia="ar-SA"/>
        </w:rPr>
        <w:t>Participation</w:t>
      </w:r>
    </w:p>
    <w:p w:rsidR="00CF57F1" w:rsidRPr="00CF57F1" w:rsidRDefault="00CF57F1" w:rsidP="00CF57F1">
      <w:pPr>
        <w:rPr>
          <w:lang w:eastAsia="ar-SA"/>
        </w:rPr>
      </w:pPr>
      <w:r w:rsidRPr="00CF57F1">
        <w:rPr>
          <w:lang w:eastAsia="ar-SA"/>
        </w:rPr>
        <w:t>Participants in the BSP take a single sample at home, using the iFOBT kit.  Participants post the sample to LabPLUS for testing, using the Freepost envelope provided. They must include their completed consent form.</w:t>
      </w:r>
    </w:p>
    <w:p w:rsidR="00CF57F1" w:rsidRPr="00CF57F1" w:rsidRDefault="00CF57F1" w:rsidP="00CF57F1">
      <w:pPr>
        <w:rPr>
          <w:lang w:eastAsia="ar-SA"/>
        </w:rPr>
      </w:pPr>
      <w:r w:rsidRPr="00CF57F1">
        <w:rPr>
          <w:lang w:eastAsia="ar-SA"/>
        </w:rPr>
        <w:t>If a sample is not received by LabPLUS within four weeks and the person has not opted out of the BSP, active follow-up is triggered.  Māori, Pacific and Asian people are followed up by CAR personnel</w:t>
      </w:r>
      <w:r w:rsidR="00A1741A">
        <w:rPr>
          <w:lang w:eastAsia="ar-SA"/>
        </w:rPr>
        <w:t xml:space="preserve"> by phone or face-to-face</w:t>
      </w:r>
      <w:r w:rsidRPr="00CF57F1">
        <w:rPr>
          <w:lang w:eastAsia="ar-SA"/>
        </w:rPr>
        <w:t xml:space="preserve"> after four weeks; everyone else is sent a reminder letter from the Coordination Centre after four weeks.  </w:t>
      </w:r>
    </w:p>
    <w:p w:rsidR="00CF57F1" w:rsidRDefault="00CF57F1" w:rsidP="00CF57F1">
      <w:pPr>
        <w:pStyle w:val="Heading3"/>
        <w:rPr>
          <w:lang w:eastAsia="ar-SA"/>
        </w:rPr>
      </w:pPr>
      <w:proofErr w:type="gramStart"/>
      <w:r>
        <w:rPr>
          <w:lang w:eastAsia="ar-SA"/>
        </w:rPr>
        <w:t>iFOBT</w:t>
      </w:r>
      <w:proofErr w:type="gramEnd"/>
      <w:r>
        <w:rPr>
          <w:lang w:eastAsia="ar-SA"/>
        </w:rPr>
        <w:t xml:space="preserve"> test results </w:t>
      </w:r>
    </w:p>
    <w:p w:rsidR="00CF57F1" w:rsidRPr="00CF57F1" w:rsidRDefault="00CF57F1" w:rsidP="00CF57F1">
      <w:pPr>
        <w:rPr>
          <w:lang w:eastAsia="ar-SA"/>
        </w:rPr>
      </w:pPr>
      <w:r w:rsidRPr="00CF57F1">
        <w:rPr>
          <w:lang w:eastAsia="ar-SA"/>
        </w:rPr>
        <w:t xml:space="preserve">LabPLUS tests iFOBT samples and sends </w:t>
      </w:r>
      <w:r w:rsidR="00A32244">
        <w:rPr>
          <w:lang w:eastAsia="ar-SA"/>
        </w:rPr>
        <w:t xml:space="preserve">positive and negative </w:t>
      </w:r>
      <w:r w:rsidRPr="00CF57F1">
        <w:rPr>
          <w:lang w:eastAsia="ar-SA"/>
        </w:rPr>
        <w:t xml:space="preserve">results to the BSP Register and participants’ GPs within three working days of sample receipt.  Results are sent electronically, via HL7 messaging on Healthlink.  Results are not sent to participants’ GPs if they have indicated this option on their consent form, or where the participant does not have an identified GP.  LabPLUS reports to </w:t>
      </w:r>
      <w:r w:rsidR="006A0995" w:rsidRPr="00CF57F1">
        <w:rPr>
          <w:lang w:eastAsia="ar-SA"/>
        </w:rPr>
        <w:t>HL7</w:t>
      </w:r>
      <w:r w:rsidR="006A0995">
        <w:rPr>
          <w:lang w:eastAsia="ar-SA"/>
        </w:rPr>
        <w:t xml:space="preserve"> </w:t>
      </w:r>
      <w:r w:rsidRPr="00CF57F1">
        <w:rPr>
          <w:lang w:eastAsia="ar-SA"/>
        </w:rPr>
        <w:t>at the end of each day on which participant results have been sent out to GPs.</w:t>
      </w:r>
    </w:p>
    <w:p w:rsidR="00CF57F1" w:rsidRPr="00CF57F1" w:rsidRDefault="00CF57F1" w:rsidP="005336F5">
      <w:pPr>
        <w:rPr>
          <w:lang w:eastAsia="ar-SA"/>
        </w:rPr>
      </w:pPr>
      <w:r w:rsidRPr="00CF57F1">
        <w:rPr>
          <w:lang w:eastAsia="ar-SA"/>
        </w:rPr>
        <w:t xml:space="preserve">For a positive iFOBT result, general practice must contact their participant within ten working days of receiving a </w:t>
      </w:r>
      <w:r w:rsidR="005336F5">
        <w:rPr>
          <w:lang w:eastAsia="ar-SA"/>
        </w:rPr>
        <w:t xml:space="preserve">positive result from LabPLUS to </w:t>
      </w:r>
      <w:r w:rsidRPr="00CF57F1">
        <w:rPr>
          <w:lang w:eastAsia="ar-SA"/>
        </w:rPr>
        <w:t>inform their participant of the result</w:t>
      </w:r>
      <w:r w:rsidR="005336F5">
        <w:rPr>
          <w:lang w:eastAsia="ar-SA"/>
        </w:rPr>
        <w:t xml:space="preserve">, </w:t>
      </w:r>
      <w:r w:rsidRPr="00CF57F1">
        <w:rPr>
          <w:lang w:eastAsia="ar-SA"/>
        </w:rPr>
        <w:t>discuss the implications of the result</w:t>
      </w:r>
      <w:r w:rsidR="005336F5">
        <w:rPr>
          <w:lang w:eastAsia="ar-SA"/>
        </w:rPr>
        <w:t xml:space="preserve">, </w:t>
      </w:r>
      <w:proofErr w:type="gramStart"/>
      <w:r w:rsidRPr="00CF57F1">
        <w:rPr>
          <w:lang w:eastAsia="ar-SA"/>
        </w:rPr>
        <w:t>provide</w:t>
      </w:r>
      <w:proofErr w:type="gramEnd"/>
      <w:r w:rsidRPr="00CF57F1">
        <w:rPr>
          <w:lang w:eastAsia="ar-SA"/>
        </w:rPr>
        <w:t xml:space="preserve"> counselling and advice</w:t>
      </w:r>
      <w:r w:rsidR="005336F5">
        <w:rPr>
          <w:lang w:eastAsia="ar-SA"/>
        </w:rPr>
        <w:t xml:space="preserve"> and </w:t>
      </w:r>
      <w:r w:rsidRPr="00CF57F1">
        <w:rPr>
          <w:lang w:eastAsia="ar-SA"/>
        </w:rPr>
        <w:t xml:space="preserve">refer their participant to the </w:t>
      </w:r>
      <w:r w:rsidR="005336F5">
        <w:rPr>
          <w:lang w:eastAsia="ar-SA"/>
        </w:rPr>
        <w:t>Wai</w:t>
      </w:r>
      <w:r w:rsidR="003D209D">
        <w:rPr>
          <w:lang w:eastAsia="ar-SA"/>
        </w:rPr>
        <w:t>t</w:t>
      </w:r>
      <w:r w:rsidR="005336F5">
        <w:rPr>
          <w:lang w:eastAsia="ar-SA"/>
        </w:rPr>
        <w:t>a</w:t>
      </w:r>
      <w:r w:rsidR="003D209D">
        <w:rPr>
          <w:lang w:eastAsia="ar-SA"/>
        </w:rPr>
        <w:t>k</w:t>
      </w:r>
      <w:r w:rsidR="005336F5">
        <w:rPr>
          <w:lang w:eastAsia="ar-SA"/>
        </w:rPr>
        <w:t xml:space="preserve">ere Hospital </w:t>
      </w:r>
      <w:r w:rsidRPr="00CF57F1">
        <w:rPr>
          <w:lang w:eastAsia="ar-SA"/>
        </w:rPr>
        <w:t xml:space="preserve">Endoscopy Unit </w:t>
      </w:r>
      <w:r w:rsidR="005336F5">
        <w:rPr>
          <w:lang w:eastAsia="ar-SA"/>
        </w:rPr>
        <w:t xml:space="preserve">(WHEU) </w:t>
      </w:r>
      <w:r w:rsidRPr="00CF57F1">
        <w:rPr>
          <w:lang w:eastAsia="ar-SA"/>
        </w:rPr>
        <w:t xml:space="preserve">for a screening colonoscopy. </w:t>
      </w:r>
    </w:p>
    <w:p w:rsidR="00CF57F1" w:rsidRDefault="00CF57F1" w:rsidP="005336F5">
      <w:pPr>
        <w:rPr>
          <w:lang w:eastAsia="ar-SA"/>
        </w:rPr>
      </w:pPr>
      <w:r w:rsidRPr="00CF57F1">
        <w:rPr>
          <w:lang w:eastAsia="ar-SA"/>
        </w:rPr>
        <w:t xml:space="preserve">Participants with a positive result who do not have an identified GP or who have not been contacted by their general practice within the ten day </w:t>
      </w:r>
      <w:r w:rsidR="003D209D" w:rsidRPr="00CF57F1">
        <w:rPr>
          <w:lang w:eastAsia="ar-SA"/>
        </w:rPr>
        <w:t>period</w:t>
      </w:r>
      <w:r w:rsidRPr="00CF57F1">
        <w:rPr>
          <w:lang w:eastAsia="ar-SA"/>
        </w:rPr>
        <w:t xml:space="preserve"> are contacted by the BSP Endoscopy C</w:t>
      </w:r>
      <w:r w:rsidR="005336F5">
        <w:rPr>
          <w:lang w:eastAsia="ar-SA"/>
        </w:rPr>
        <w:t xml:space="preserve">linical Nurse </w:t>
      </w:r>
      <w:r w:rsidRPr="00CF57F1">
        <w:rPr>
          <w:lang w:eastAsia="ar-SA"/>
        </w:rPr>
        <w:t>S</w:t>
      </w:r>
      <w:r w:rsidR="005336F5">
        <w:rPr>
          <w:lang w:eastAsia="ar-SA"/>
        </w:rPr>
        <w:t>pecialist</w:t>
      </w:r>
      <w:r w:rsidRPr="00CF57F1">
        <w:rPr>
          <w:lang w:eastAsia="ar-SA"/>
        </w:rPr>
        <w:t xml:space="preserve"> </w:t>
      </w:r>
      <w:r w:rsidR="006812C6">
        <w:rPr>
          <w:lang w:eastAsia="ar-SA"/>
        </w:rPr>
        <w:t xml:space="preserve">(CNS) </w:t>
      </w:r>
      <w:r w:rsidRPr="00CF57F1">
        <w:rPr>
          <w:lang w:eastAsia="ar-SA"/>
        </w:rPr>
        <w:t xml:space="preserve">within 15 working days of a positive result.  </w:t>
      </w:r>
      <w:r w:rsidRPr="00CF57F1">
        <w:rPr>
          <w:lang w:eastAsia="ar-SA"/>
        </w:rPr>
        <w:lastRenderedPageBreak/>
        <w:t>Extensive</w:t>
      </w:r>
      <w:r w:rsidRPr="000958E4">
        <w:rPr>
          <w:lang w:eastAsia="ar-SA"/>
        </w:rPr>
        <w:t xml:space="preserve"> efforts are made by the CNS to contact the particip</w:t>
      </w:r>
      <w:r w:rsidR="005336F5">
        <w:rPr>
          <w:lang w:eastAsia="ar-SA"/>
        </w:rPr>
        <w:t>ant using a range of strategies.</w:t>
      </w:r>
    </w:p>
    <w:p w:rsidR="00CF57F1" w:rsidRPr="00463B7A" w:rsidRDefault="00CF57F1" w:rsidP="00CF57F1">
      <w:pPr>
        <w:rPr>
          <w:lang w:eastAsia="ar-SA"/>
        </w:rPr>
      </w:pPr>
      <w:r w:rsidRPr="00463B7A">
        <w:rPr>
          <w:lang w:eastAsia="ar-SA"/>
        </w:rPr>
        <w:t xml:space="preserve">If </w:t>
      </w:r>
      <w:r w:rsidR="00463B7A" w:rsidRPr="00463B7A">
        <w:rPr>
          <w:lang w:eastAsia="ar-SA"/>
        </w:rPr>
        <w:t xml:space="preserve">WHEU </w:t>
      </w:r>
      <w:r w:rsidRPr="00463B7A">
        <w:rPr>
          <w:lang w:eastAsia="ar-SA"/>
        </w:rPr>
        <w:t xml:space="preserve">is unable to contact a participant with a positive iFOBT, the CNS sends the participant </w:t>
      </w:r>
      <w:r w:rsidR="00A32244" w:rsidRPr="00463B7A">
        <w:rPr>
          <w:lang w:eastAsia="ar-SA"/>
        </w:rPr>
        <w:t xml:space="preserve">and their GP </w:t>
      </w:r>
      <w:r w:rsidRPr="00463B7A">
        <w:rPr>
          <w:lang w:eastAsia="ar-SA"/>
        </w:rPr>
        <w:t xml:space="preserve">a letter, outlining the positive result and encouraging the participant to contact their general practice or the Coordination Centre.  If no contact is made, the participant is placed on the iFOBT </w:t>
      </w:r>
      <w:r w:rsidR="00A32244" w:rsidRPr="00463B7A">
        <w:rPr>
          <w:lang w:eastAsia="ar-SA"/>
        </w:rPr>
        <w:t xml:space="preserve">two year </w:t>
      </w:r>
      <w:r w:rsidRPr="00463B7A">
        <w:rPr>
          <w:lang w:eastAsia="ar-SA"/>
        </w:rPr>
        <w:t>recall system and remains on the BSP Register.</w:t>
      </w:r>
      <w:r w:rsidR="00A32244" w:rsidRPr="00463B7A">
        <w:rPr>
          <w:lang w:eastAsia="ar-SA"/>
        </w:rPr>
        <w:t xml:space="preserve">  A participant with a positive iFOBT can have a colonoscopy at any time in the future.  </w:t>
      </w:r>
    </w:p>
    <w:p w:rsidR="00CF57F1" w:rsidRDefault="00CF57F1" w:rsidP="00CF57F1">
      <w:pPr>
        <w:rPr>
          <w:lang w:eastAsia="ar-SA"/>
        </w:rPr>
      </w:pPr>
      <w:r w:rsidRPr="00463B7A">
        <w:rPr>
          <w:lang w:eastAsia="ar-SA"/>
        </w:rPr>
        <w:t>For a negative</w:t>
      </w:r>
      <w:r w:rsidRPr="00CF57F1">
        <w:rPr>
          <w:lang w:eastAsia="ar-SA"/>
        </w:rPr>
        <w:t xml:space="preserve"> iFOBT result, participants are notified in writing by the Coordination Centre within 15 working days of the result being received on the BSP Register.  They are advised they will be recalled to screening in two years, if still eligible.  GPs are sent negative results but are not required to do anything.</w:t>
      </w:r>
    </w:p>
    <w:p w:rsidR="00A32244" w:rsidRPr="00CF57F1" w:rsidRDefault="00A32244" w:rsidP="00A32244">
      <w:pPr>
        <w:rPr>
          <w:lang w:eastAsia="ar-SA"/>
        </w:rPr>
      </w:pPr>
      <w:r w:rsidRPr="00463B7A">
        <w:rPr>
          <w:lang w:eastAsia="ar-SA"/>
        </w:rPr>
        <w:t>If the sample is spoilt</w:t>
      </w:r>
      <w:r w:rsidRPr="00697D47">
        <w:rPr>
          <w:rStyle w:val="FootnoteReference"/>
        </w:rPr>
        <w:footnoteReference w:id="16"/>
      </w:r>
      <w:r w:rsidRPr="00463B7A">
        <w:rPr>
          <w:lang w:eastAsia="ar-SA"/>
        </w:rPr>
        <w:t xml:space="preserve"> or documentation is incomplete, spoilt kit follow-up is triggered and the BSP Coordination Centre informed.  Māori, Pacific and Asian people are followed up with a phone call (if there is a number to call) or letter the first time they return a spoilt kit.  Other populations receive a second test kit and a letter explaining their error, and if they return a second spoilt kit they are followed up with a phone call.</w:t>
      </w:r>
      <w:r w:rsidRPr="00CF57F1">
        <w:rPr>
          <w:lang w:eastAsia="ar-SA"/>
        </w:rPr>
        <w:t xml:space="preserve"> </w:t>
      </w:r>
    </w:p>
    <w:p w:rsidR="00FD3BAC" w:rsidRDefault="00CF57F1" w:rsidP="009433F2">
      <w:pPr>
        <w:pStyle w:val="Heading3"/>
        <w:keepLines/>
        <w:rPr>
          <w:lang w:eastAsia="ar-SA"/>
        </w:rPr>
      </w:pPr>
      <w:r>
        <w:rPr>
          <w:lang w:eastAsia="ar-SA"/>
        </w:rPr>
        <w:t>Diagnostic testing: pre-assessment</w:t>
      </w:r>
    </w:p>
    <w:p w:rsidR="00CF57F1" w:rsidRPr="00CF57F1" w:rsidRDefault="00CF57F1" w:rsidP="009433F2">
      <w:pPr>
        <w:keepNext/>
        <w:keepLines/>
        <w:rPr>
          <w:lang w:eastAsia="ar-SA"/>
        </w:rPr>
      </w:pPr>
      <w:r w:rsidRPr="00CF57F1">
        <w:rPr>
          <w:lang w:eastAsia="ar-SA"/>
        </w:rPr>
        <w:t>All participants with positive iFOBT results are referred for a colonoscopy pre-assessment.  The pre-assessment provides an opportunity to assess the participant’s fitness for the procedure as well as provide the participant with full information about colonoscopy.  Pre-assessments include assessment of a participant’s medical conditions, bowel condition, discussion of the bowel preparation process, and checking for cultural, mobility or transport problems.  If an interpreter is needed, this is noted on the pre-assessment form and the BSP administrator organises an interpreter for the day of the procedure.</w:t>
      </w:r>
    </w:p>
    <w:p w:rsidR="00CF57F1" w:rsidRPr="00CF57F1" w:rsidRDefault="00CF57F1" w:rsidP="006812C6">
      <w:pPr>
        <w:rPr>
          <w:lang w:eastAsia="ar-SA"/>
        </w:rPr>
      </w:pPr>
      <w:r w:rsidRPr="00CF57F1">
        <w:rPr>
          <w:lang w:eastAsia="ar-SA"/>
        </w:rPr>
        <w:t>Pre-assessments are conducted over the phone</w:t>
      </w:r>
      <w:r w:rsidR="00F03990">
        <w:rPr>
          <w:lang w:eastAsia="ar-SA"/>
        </w:rPr>
        <w:t xml:space="preserve"> </w:t>
      </w:r>
      <w:r w:rsidRPr="00CF57F1">
        <w:rPr>
          <w:lang w:eastAsia="ar-SA"/>
        </w:rPr>
        <w:t xml:space="preserve">by a CNS or endoscopy nurse.  If the CNS determines a participant’s clinical condition requires further investigation, the participant will receive a pre-assessment outpatient consultation.  The CNS will arrange this with the participant and the Lead Endoscopist.  </w:t>
      </w:r>
    </w:p>
    <w:p w:rsidR="00CF57F1" w:rsidRPr="00CF57F1" w:rsidRDefault="00CF57F1" w:rsidP="00CF57F1">
      <w:pPr>
        <w:rPr>
          <w:lang w:eastAsia="ar-SA"/>
        </w:rPr>
      </w:pPr>
      <w:r w:rsidRPr="00CF57F1">
        <w:rPr>
          <w:lang w:eastAsia="ar-SA"/>
        </w:rPr>
        <w:t xml:space="preserve">If a participant declines a colonoscopy after a positive iFOBT, the participant and the participant’s GP will receive a letter to confirm this decision, and inform them that the participant may contact the BSP or their GP at any time in the future, if they wish to have the procedure.  Otherwise they will be re-invited to participate in the </w:t>
      </w:r>
      <w:r w:rsidR="00EB35F4">
        <w:rPr>
          <w:lang w:eastAsia="ar-SA"/>
        </w:rPr>
        <w:t>p</w:t>
      </w:r>
      <w:r w:rsidRPr="00CF57F1">
        <w:rPr>
          <w:lang w:eastAsia="ar-SA"/>
        </w:rPr>
        <w:t xml:space="preserve">ilot in two years. </w:t>
      </w:r>
    </w:p>
    <w:p w:rsidR="00CF57F1" w:rsidRPr="00CF57F1" w:rsidRDefault="00CF57F1" w:rsidP="00CF57F1">
      <w:pPr>
        <w:rPr>
          <w:lang w:eastAsia="ar-SA"/>
        </w:rPr>
      </w:pPr>
      <w:r w:rsidRPr="00CF57F1">
        <w:rPr>
          <w:lang w:eastAsia="ar-SA"/>
        </w:rPr>
        <w:t>Participants deemed fit for colonoscopy are offered an appointment for the procedure during the pre-assessment. Colonoscopy must be completed within 5</w:t>
      </w:r>
      <w:r w:rsidR="005336F5">
        <w:rPr>
          <w:lang w:eastAsia="ar-SA"/>
        </w:rPr>
        <w:t>5</w:t>
      </w:r>
      <w:r w:rsidRPr="00CF57F1">
        <w:rPr>
          <w:lang w:eastAsia="ar-SA"/>
        </w:rPr>
        <w:t xml:space="preserve"> working days of the positive iFOBT result. Participants not deemed fit for colonoscopy (and those who have failed a colonoscopy) are referred for an alternative diagnostic investigation, CTC</w:t>
      </w:r>
      <w:r w:rsidR="005336F5">
        <w:rPr>
          <w:lang w:eastAsia="ar-SA"/>
        </w:rPr>
        <w:t xml:space="preserve"> or </w:t>
      </w:r>
      <w:r w:rsidR="005336F5" w:rsidRPr="00B57F6C">
        <w:t xml:space="preserve">to have a colonoscopy under </w:t>
      </w:r>
      <w:r w:rsidR="00E51E4A">
        <w:t>g</w:t>
      </w:r>
      <w:r w:rsidR="00E51E4A" w:rsidRPr="00B57F6C">
        <w:t xml:space="preserve">eneral </w:t>
      </w:r>
      <w:r w:rsidR="00E51E4A">
        <w:t>a</w:t>
      </w:r>
      <w:r w:rsidR="00E51E4A" w:rsidRPr="00B57F6C">
        <w:t>naesthetic</w:t>
      </w:r>
      <w:r w:rsidRPr="00CF57F1">
        <w:rPr>
          <w:lang w:eastAsia="ar-SA"/>
        </w:rPr>
        <w:t>.</w:t>
      </w:r>
    </w:p>
    <w:p w:rsidR="00CF57F1" w:rsidRPr="00CF57F1" w:rsidRDefault="00CF57F1" w:rsidP="00CF57F1">
      <w:pPr>
        <w:rPr>
          <w:lang w:eastAsia="ar-SA"/>
        </w:rPr>
      </w:pPr>
      <w:r w:rsidRPr="00CF57F1">
        <w:rPr>
          <w:lang w:eastAsia="ar-SA"/>
        </w:rPr>
        <w:t>Participants assessed as high</w:t>
      </w:r>
      <w:r w:rsidR="00E51E4A">
        <w:rPr>
          <w:lang w:eastAsia="ar-SA"/>
        </w:rPr>
        <w:t xml:space="preserve"> </w:t>
      </w:r>
      <w:r w:rsidRPr="00CF57F1">
        <w:rPr>
          <w:lang w:eastAsia="ar-SA"/>
        </w:rPr>
        <w:t>risk for colonoscopy (e.g. on Warfarin medication) require certain precautions to be taken to minimise risk during the procedure. Participants may also be deemed high</w:t>
      </w:r>
      <w:r w:rsidR="00E51E4A">
        <w:rPr>
          <w:lang w:eastAsia="ar-SA"/>
        </w:rPr>
        <w:t xml:space="preserve"> </w:t>
      </w:r>
      <w:r w:rsidRPr="00CF57F1">
        <w:rPr>
          <w:lang w:eastAsia="ar-SA"/>
        </w:rPr>
        <w:t xml:space="preserve">risk due to a significant </w:t>
      </w:r>
      <w:r w:rsidRPr="00CF57F1">
        <w:t>co-morbidity</w:t>
      </w:r>
      <w:r w:rsidRPr="00CF57F1">
        <w:rPr>
          <w:lang w:eastAsia="ar-SA"/>
        </w:rPr>
        <w:t xml:space="preserve">. In this situation, the Endoscopy Unit </w:t>
      </w:r>
      <w:r w:rsidRPr="00CF57F1">
        <w:rPr>
          <w:lang w:eastAsia="ar-SA"/>
        </w:rPr>
        <w:lastRenderedPageBreak/>
        <w:t>coordinates a multi-disciplinary discussion and facilitates a decision on appropriate management, and keeps the participant’s GP involved in this process.</w:t>
      </w:r>
    </w:p>
    <w:p w:rsidR="00CF57F1" w:rsidRPr="00463B7A" w:rsidRDefault="00CF57F1" w:rsidP="00A32244">
      <w:pPr>
        <w:rPr>
          <w:lang w:eastAsia="ar-SA"/>
        </w:rPr>
      </w:pPr>
      <w:r w:rsidRPr="00463B7A">
        <w:rPr>
          <w:lang w:eastAsia="ar-SA"/>
        </w:rPr>
        <w:t>Participants assessed as fit and who consent to co</w:t>
      </w:r>
      <w:r w:rsidR="00A32244" w:rsidRPr="00463B7A">
        <w:rPr>
          <w:lang w:eastAsia="ar-SA"/>
        </w:rPr>
        <w:t xml:space="preserve">lonoscopy are sent an </w:t>
      </w:r>
      <w:r w:rsidRPr="00463B7A">
        <w:rPr>
          <w:lang w:eastAsia="ar-SA"/>
        </w:rPr>
        <w:t>appointment</w:t>
      </w:r>
      <w:r w:rsidR="00A32244" w:rsidRPr="00463B7A">
        <w:rPr>
          <w:lang w:eastAsia="ar-SA"/>
        </w:rPr>
        <w:t xml:space="preserve"> letter which contains:</w:t>
      </w:r>
    </w:p>
    <w:p w:rsidR="00A32244" w:rsidRDefault="00A32244" w:rsidP="00604AA9">
      <w:pPr>
        <w:pStyle w:val="Bullet"/>
        <w:numPr>
          <w:ilvl w:val="0"/>
          <w:numId w:val="10"/>
        </w:numPr>
        <w:tabs>
          <w:tab w:val="num" w:pos="2126"/>
          <w:tab w:val="num" w:pos="6663"/>
        </w:tabs>
        <w:ind w:left="1069"/>
        <w:rPr>
          <w:lang w:eastAsia="ar-SA"/>
        </w:rPr>
      </w:pPr>
      <w:r w:rsidRPr="00463B7A">
        <w:rPr>
          <w:lang w:eastAsia="ar-SA"/>
        </w:rPr>
        <w:t>written confirmation</w:t>
      </w:r>
      <w:r>
        <w:rPr>
          <w:lang w:eastAsia="ar-SA"/>
        </w:rPr>
        <w:t xml:space="preserve"> of their positive result</w:t>
      </w:r>
      <w:r w:rsidRPr="00697D47">
        <w:rPr>
          <w:rStyle w:val="FootnoteReference"/>
        </w:rPr>
        <w:footnoteReference w:id="17"/>
      </w:r>
    </w:p>
    <w:p w:rsidR="00A32244" w:rsidRDefault="00A32244" w:rsidP="00604AA9">
      <w:pPr>
        <w:pStyle w:val="Bullet"/>
        <w:numPr>
          <w:ilvl w:val="0"/>
          <w:numId w:val="10"/>
        </w:numPr>
        <w:tabs>
          <w:tab w:val="num" w:pos="2126"/>
          <w:tab w:val="num" w:pos="6663"/>
        </w:tabs>
        <w:ind w:left="1069"/>
        <w:rPr>
          <w:lang w:eastAsia="ar-SA"/>
        </w:rPr>
      </w:pPr>
      <w:r>
        <w:rPr>
          <w:lang w:eastAsia="ar-SA"/>
        </w:rPr>
        <w:t xml:space="preserve">appointment date and time </w:t>
      </w:r>
    </w:p>
    <w:p w:rsidR="00CF57F1" w:rsidRPr="00CF57F1" w:rsidRDefault="00CF57F1" w:rsidP="00604AA9">
      <w:pPr>
        <w:pStyle w:val="Bullet"/>
        <w:numPr>
          <w:ilvl w:val="0"/>
          <w:numId w:val="10"/>
        </w:numPr>
        <w:tabs>
          <w:tab w:val="num" w:pos="2126"/>
          <w:tab w:val="num" w:pos="6663"/>
        </w:tabs>
        <w:ind w:left="1069"/>
        <w:rPr>
          <w:lang w:eastAsia="ar-SA"/>
        </w:rPr>
      </w:pPr>
      <w:r w:rsidRPr="00CF57F1">
        <w:rPr>
          <w:lang w:eastAsia="ar-SA"/>
        </w:rPr>
        <w:t>information about bowel preparation and instructions</w:t>
      </w:r>
    </w:p>
    <w:p w:rsidR="00CF57F1" w:rsidRPr="00CF57F1" w:rsidRDefault="00CF57F1" w:rsidP="00604AA9">
      <w:pPr>
        <w:pStyle w:val="Bullet"/>
        <w:numPr>
          <w:ilvl w:val="0"/>
          <w:numId w:val="10"/>
        </w:numPr>
        <w:tabs>
          <w:tab w:val="num" w:pos="2126"/>
          <w:tab w:val="num" w:pos="6663"/>
        </w:tabs>
        <w:ind w:left="1069"/>
        <w:rPr>
          <w:lang w:eastAsia="ar-SA"/>
        </w:rPr>
      </w:pPr>
      <w:r w:rsidRPr="00CF57F1">
        <w:rPr>
          <w:lang w:eastAsia="ar-SA"/>
        </w:rPr>
        <w:t>information about the procedure</w:t>
      </w:r>
    </w:p>
    <w:p w:rsidR="00CF57F1" w:rsidRPr="00CF57F1" w:rsidRDefault="00CF57F1" w:rsidP="00604AA9">
      <w:pPr>
        <w:pStyle w:val="Bullet"/>
        <w:numPr>
          <w:ilvl w:val="0"/>
          <w:numId w:val="10"/>
        </w:numPr>
        <w:tabs>
          <w:tab w:val="num" w:pos="2126"/>
          <w:tab w:val="num" w:pos="6663"/>
        </w:tabs>
        <w:ind w:left="1069"/>
        <w:rPr>
          <w:lang w:eastAsia="ar-SA"/>
        </w:rPr>
      </w:pPr>
      <w:r w:rsidRPr="00CF57F1">
        <w:rPr>
          <w:lang w:eastAsia="ar-SA"/>
        </w:rPr>
        <w:t xml:space="preserve">details of culturally appropriate support </w:t>
      </w:r>
      <w:r w:rsidR="00F03990">
        <w:rPr>
          <w:lang w:eastAsia="ar-SA"/>
        </w:rPr>
        <w:t>available</w:t>
      </w:r>
      <w:r w:rsidRPr="00CF57F1">
        <w:rPr>
          <w:lang w:eastAsia="ar-SA"/>
        </w:rPr>
        <w:t>, if required</w:t>
      </w:r>
    </w:p>
    <w:p w:rsidR="00CF57F1" w:rsidRPr="00CF57F1" w:rsidRDefault="00CF57F1" w:rsidP="00604AA9">
      <w:pPr>
        <w:pStyle w:val="Bullet"/>
        <w:numPr>
          <w:ilvl w:val="0"/>
          <w:numId w:val="10"/>
        </w:numPr>
        <w:tabs>
          <w:tab w:val="num" w:pos="2126"/>
          <w:tab w:val="num" w:pos="6663"/>
        </w:tabs>
        <w:ind w:left="1069"/>
        <w:rPr>
          <w:lang w:eastAsia="ar-SA"/>
        </w:rPr>
      </w:pPr>
      <w:proofErr w:type="gramStart"/>
      <w:r w:rsidRPr="00CF57F1">
        <w:rPr>
          <w:lang w:eastAsia="ar-SA"/>
        </w:rPr>
        <w:t>information</w:t>
      </w:r>
      <w:proofErr w:type="gramEnd"/>
      <w:r w:rsidRPr="00CF57F1">
        <w:rPr>
          <w:lang w:eastAsia="ar-SA"/>
        </w:rPr>
        <w:t xml:space="preserve"> on links to local support services.</w:t>
      </w:r>
    </w:p>
    <w:p w:rsidR="00CF57F1" w:rsidRDefault="00CF57F1" w:rsidP="00CF57F1">
      <w:pPr>
        <w:pStyle w:val="Heading3"/>
        <w:rPr>
          <w:lang w:eastAsia="ar-SA"/>
        </w:rPr>
      </w:pPr>
      <w:r w:rsidRPr="006F24C3">
        <w:rPr>
          <w:lang w:eastAsia="ar-SA"/>
        </w:rPr>
        <w:t>Diagnostic testing: colonoscopy</w:t>
      </w:r>
    </w:p>
    <w:p w:rsidR="00CF57F1" w:rsidRDefault="00CF57F1" w:rsidP="00CF57F1">
      <w:pPr>
        <w:rPr>
          <w:lang w:eastAsia="ar-SA"/>
        </w:rPr>
      </w:pPr>
      <w:r>
        <w:rPr>
          <w:lang w:eastAsia="ar-SA"/>
        </w:rPr>
        <w:t xml:space="preserve">BSP colonoscopies are undertaken at the </w:t>
      </w:r>
      <w:r w:rsidR="005336F5">
        <w:rPr>
          <w:lang w:eastAsia="ar-SA"/>
        </w:rPr>
        <w:t>WHEU</w:t>
      </w:r>
      <w:r>
        <w:rPr>
          <w:lang w:eastAsia="ar-SA"/>
        </w:rPr>
        <w:t>. The procedure is as follows:</w:t>
      </w:r>
    </w:p>
    <w:p w:rsidR="00CF57F1" w:rsidRDefault="00CF57F1" w:rsidP="00604AA9">
      <w:pPr>
        <w:pStyle w:val="Bullet"/>
        <w:keepNext/>
        <w:keepLines/>
        <w:numPr>
          <w:ilvl w:val="0"/>
          <w:numId w:val="10"/>
        </w:numPr>
        <w:tabs>
          <w:tab w:val="num" w:pos="2126"/>
          <w:tab w:val="num" w:pos="6663"/>
        </w:tabs>
        <w:ind w:left="1069"/>
        <w:rPr>
          <w:lang w:eastAsia="ar-SA"/>
        </w:rPr>
      </w:pPr>
      <w:r>
        <w:rPr>
          <w:lang w:eastAsia="ar-SA"/>
        </w:rPr>
        <w:t>BSP participants arrive at the hospital and are admitted as a day case.</w:t>
      </w:r>
    </w:p>
    <w:p w:rsidR="00CF57F1" w:rsidRDefault="00CF57F1" w:rsidP="00604AA9">
      <w:pPr>
        <w:pStyle w:val="Bullet"/>
        <w:numPr>
          <w:ilvl w:val="0"/>
          <w:numId w:val="10"/>
        </w:numPr>
        <w:tabs>
          <w:tab w:val="num" w:pos="2126"/>
          <w:tab w:val="num" w:pos="6663"/>
        </w:tabs>
        <w:ind w:left="1069"/>
        <w:rPr>
          <w:lang w:eastAsia="ar-SA"/>
        </w:rPr>
      </w:pPr>
      <w:r>
        <w:rPr>
          <w:lang w:eastAsia="ar-SA"/>
        </w:rPr>
        <w:t>An endoscopy nurse goes through the pre-procedure checklist with the participant.</w:t>
      </w:r>
    </w:p>
    <w:p w:rsidR="00CF57F1" w:rsidRDefault="00CF57F1" w:rsidP="00604AA9">
      <w:pPr>
        <w:pStyle w:val="Bullet"/>
        <w:numPr>
          <w:ilvl w:val="0"/>
          <w:numId w:val="10"/>
        </w:numPr>
        <w:tabs>
          <w:tab w:val="num" w:pos="2126"/>
          <w:tab w:val="num" w:pos="6663"/>
        </w:tabs>
        <w:ind w:left="1069"/>
        <w:rPr>
          <w:lang w:eastAsia="ar-SA"/>
        </w:rPr>
      </w:pPr>
      <w:r>
        <w:rPr>
          <w:lang w:eastAsia="ar-SA"/>
        </w:rPr>
        <w:t>The endoscopist meets with the participant to get their consent for the procedure.</w:t>
      </w:r>
    </w:p>
    <w:p w:rsidR="00CF57F1" w:rsidRDefault="00CF57F1" w:rsidP="00604AA9">
      <w:pPr>
        <w:pStyle w:val="Bullet"/>
        <w:numPr>
          <w:ilvl w:val="0"/>
          <w:numId w:val="10"/>
        </w:numPr>
        <w:tabs>
          <w:tab w:val="num" w:pos="2126"/>
          <w:tab w:val="num" w:pos="6663"/>
        </w:tabs>
        <w:ind w:left="1069"/>
        <w:rPr>
          <w:lang w:eastAsia="ar-SA"/>
        </w:rPr>
      </w:pPr>
      <w:r>
        <w:rPr>
          <w:lang w:eastAsia="ar-SA"/>
        </w:rPr>
        <w:t>The participant’s nurse, who will be in the endoscopy room during the procedure, introduces themself, checks participant’s identity and brings them into the endoscopy room.</w:t>
      </w:r>
    </w:p>
    <w:p w:rsidR="00CF57F1" w:rsidRDefault="00CF57F1" w:rsidP="00604AA9">
      <w:pPr>
        <w:pStyle w:val="Bullet"/>
        <w:numPr>
          <w:ilvl w:val="0"/>
          <w:numId w:val="10"/>
        </w:numPr>
        <w:tabs>
          <w:tab w:val="num" w:pos="2126"/>
          <w:tab w:val="num" w:pos="6663"/>
        </w:tabs>
        <w:ind w:left="1069"/>
        <w:rPr>
          <w:lang w:eastAsia="ar-SA"/>
        </w:rPr>
      </w:pPr>
      <w:r>
        <w:rPr>
          <w:lang w:eastAsia="ar-SA"/>
        </w:rPr>
        <w:t>The colonoscopy is conducted under ‘conscious sedation’; usually there are two nurses and an endoscopist in the room.</w:t>
      </w:r>
    </w:p>
    <w:p w:rsidR="00CF57F1" w:rsidRDefault="00CF57F1" w:rsidP="00604AA9">
      <w:pPr>
        <w:pStyle w:val="Bullet"/>
        <w:numPr>
          <w:ilvl w:val="0"/>
          <w:numId w:val="10"/>
        </w:numPr>
        <w:tabs>
          <w:tab w:val="num" w:pos="2126"/>
          <w:tab w:val="num" w:pos="6663"/>
        </w:tabs>
        <w:ind w:left="1069"/>
        <w:rPr>
          <w:lang w:eastAsia="ar-SA"/>
        </w:rPr>
      </w:pPr>
      <w:r>
        <w:rPr>
          <w:lang w:eastAsia="ar-SA"/>
        </w:rPr>
        <w:t xml:space="preserve">The participant is taken to Recovery where they are kept under observation for a period. </w:t>
      </w:r>
    </w:p>
    <w:p w:rsidR="00CF57F1" w:rsidRDefault="00CF57F1" w:rsidP="00604AA9">
      <w:pPr>
        <w:pStyle w:val="Bullet"/>
        <w:numPr>
          <w:ilvl w:val="0"/>
          <w:numId w:val="10"/>
        </w:numPr>
        <w:tabs>
          <w:tab w:val="num" w:pos="2126"/>
          <w:tab w:val="num" w:pos="6663"/>
        </w:tabs>
        <w:ind w:left="1069"/>
        <w:rPr>
          <w:lang w:eastAsia="ar-SA"/>
        </w:rPr>
      </w:pPr>
      <w:r>
        <w:rPr>
          <w:lang w:eastAsia="ar-SA"/>
        </w:rPr>
        <w:t>The endoscopist usually meets with the participant at this time to discuss the outcome of the colonoscopy; the endoscopist will always meet with a participant if the outcome is abnormal.</w:t>
      </w:r>
    </w:p>
    <w:p w:rsidR="00CF57F1" w:rsidRDefault="00CF57F1" w:rsidP="00604AA9">
      <w:pPr>
        <w:pStyle w:val="Bullet"/>
        <w:numPr>
          <w:ilvl w:val="0"/>
          <w:numId w:val="10"/>
        </w:numPr>
        <w:tabs>
          <w:tab w:val="num" w:pos="2126"/>
          <w:tab w:val="num" w:pos="6663"/>
        </w:tabs>
        <w:ind w:left="1069"/>
        <w:rPr>
          <w:lang w:eastAsia="ar-SA"/>
        </w:rPr>
      </w:pPr>
      <w:r>
        <w:rPr>
          <w:lang w:eastAsia="ar-SA"/>
        </w:rPr>
        <w:t>The participant’s nurse reiterates the outcome and talks with the participant about post-procedure risks and what they need to do in the immediate post-procedure period.</w:t>
      </w:r>
    </w:p>
    <w:p w:rsidR="00CF57F1" w:rsidRDefault="00CF57F1" w:rsidP="00CF57F1">
      <w:pPr>
        <w:rPr>
          <w:lang w:val="en-US"/>
        </w:rPr>
      </w:pPr>
      <w:r w:rsidRPr="003F64CE">
        <w:rPr>
          <w:lang w:val="en-US"/>
        </w:rPr>
        <w:t xml:space="preserve">Both </w:t>
      </w:r>
      <w:r>
        <w:rPr>
          <w:lang w:val="en-US"/>
        </w:rPr>
        <w:t>gastroenterologists (</w:t>
      </w:r>
      <w:r w:rsidRPr="003F64CE">
        <w:rPr>
          <w:lang w:val="en-US"/>
        </w:rPr>
        <w:t>GEs</w:t>
      </w:r>
      <w:r>
        <w:rPr>
          <w:lang w:val="en-US"/>
        </w:rPr>
        <w:t>)</w:t>
      </w:r>
      <w:r w:rsidRPr="003F64CE">
        <w:rPr>
          <w:lang w:val="en-US"/>
        </w:rPr>
        <w:t xml:space="preserve"> and surgeons undertake colonoscopies on the BSP.  </w:t>
      </w:r>
    </w:p>
    <w:p w:rsidR="00CF57F1" w:rsidRDefault="00CF57F1" w:rsidP="006812C6">
      <w:pPr>
        <w:pStyle w:val="Bullet"/>
        <w:numPr>
          <w:ilvl w:val="0"/>
          <w:numId w:val="0"/>
        </w:numPr>
        <w:ind w:left="709"/>
        <w:rPr>
          <w:lang w:eastAsia="ar-SA"/>
        </w:rPr>
      </w:pPr>
      <w:r w:rsidRPr="00A5772E">
        <w:rPr>
          <w:lang w:eastAsia="ar-SA"/>
        </w:rPr>
        <w:t xml:space="preserve">Participants with normal colonoscopies </w:t>
      </w:r>
      <w:r w:rsidR="00E51E4A">
        <w:rPr>
          <w:lang w:eastAsia="ar-SA"/>
        </w:rPr>
        <w:t xml:space="preserve">are advised they </w:t>
      </w:r>
      <w:r w:rsidRPr="00A5772E">
        <w:rPr>
          <w:lang w:eastAsia="ar-SA"/>
        </w:rPr>
        <w:t>do not need to undergo another iFOBT screening episode for five years and are placed on a five year recall on the Register</w:t>
      </w:r>
      <w:r w:rsidR="00E51E4A">
        <w:rPr>
          <w:lang w:eastAsia="ar-SA"/>
        </w:rPr>
        <w:t>. Their GP is informed of this.</w:t>
      </w:r>
    </w:p>
    <w:p w:rsidR="00441ABF" w:rsidRPr="00A5772E" w:rsidRDefault="00441ABF" w:rsidP="006812C6">
      <w:pPr>
        <w:pStyle w:val="Bullet"/>
        <w:numPr>
          <w:ilvl w:val="0"/>
          <w:numId w:val="0"/>
        </w:numPr>
        <w:ind w:left="709"/>
        <w:rPr>
          <w:lang w:eastAsia="ar-SA"/>
        </w:rPr>
      </w:pPr>
      <w:r w:rsidRPr="00A5772E">
        <w:rPr>
          <w:lang w:eastAsia="ar-SA"/>
        </w:rPr>
        <w:t xml:space="preserve">Participants with </w:t>
      </w:r>
      <w:r>
        <w:rPr>
          <w:lang w:eastAsia="ar-SA"/>
        </w:rPr>
        <w:t>a family history of bowel cancer are referred to the</w:t>
      </w:r>
      <w:r w:rsidRPr="00441ABF">
        <w:rPr>
          <w:lang w:eastAsia="ar-SA"/>
        </w:rPr>
        <w:t xml:space="preserve"> New Zealand Familial Gastrointestinal Cancer Registry</w:t>
      </w:r>
      <w:r w:rsidR="00E51E4A">
        <w:rPr>
          <w:lang w:eastAsia="ar-SA"/>
        </w:rPr>
        <w:t>,</w:t>
      </w:r>
      <w:r>
        <w:rPr>
          <w:lang w:eastAsia="ar-SA"/>
        </w:rPr>
        <w:t xml:space="preserve"> a</w:t>
      </w:r>
      <w:r w:rsidRPr="00441ABF">
        <w:rPr>
          <w:lang w:eastAsia="ar-SA"/>
        </w:rPr>
        <w:t xml:space="preserve"> service that offers assessment, diagnosis and surveillance of inherited gastrointestinal cancer syndromes</w:t>
      </w:r>
      <w:r w:rsidR="009E64EF">
        <w:rPr>
          <w:lang w:eastAsia="ar-SA"/>
        </w:rPr>
        <w:t>.</w:t>
      </w:r>
    </w:p>
    <w:p w:rsidR="00CF57F1" w:rsidRDefault="00CF57F1" w:rsidP="00CF57F1">
      <w:pPr>
        <w:pStyle w:val="Heading3"/>
        <w:rPr>
          <w:lang w:eastAsia="ar-SA"/>
        </w:rPr>
      </w:pPr>
      <w:bookmarkStart w:id="57" w:name="_Toc376617524"/>
      <w:r w:rsidRPr="006F24C3">
        <w:rPr>
          <w:lang w:eastAsia="ar-SA"/>
        </w:rPr>
        <w:lastRenderedPageBreak/>
        <w:t xml:space="preserve">Diagnostic testing: </w:t>
      </w:r>
      <w:r>
        <w:rPr>
          <w:lang w:eastAsia="ar-SA"/>
        </w:rPr>
        <w:t>histopathology</w:t>
      </w:r>
      <w:bookmarkEnd w:id="57"/>
      <w:r>
        <w:rPr>
          <w:lang w:eastAsia="ar-SA"/>
        </w:rPr>
        <w:t xml:space="preserve"> </w:t>
      </w:r>
    </w:p>
    <w:p w:rsidR="00CF57F1" w:rsidRPr="000E2360" w:rsidRDefault="00CF57F1" w:rsidP="00CF57F1">
      <w:pPr>
        <w:rPr>
          <w:lang w:eastAsia="ar-SA"/>
        </w:rPr>
      </w:pPr>
      <w:r w:rsidRPr="00EA1F0D">
        <w:t>LabPLUS is required to provide histopathology results within ten working days.</w:t>
      </w:r>
      <w:r>
        <w:rPr>
          <w:b/>
        </w:rPr>
        <w:t xml:space="preserve">  </w:t>
      </w:r>
      <w:r w:rsidRPr="000E2360">
        <w:rPr>
          <w:lang w:eastAsia="ar-SA"/>
        </w:rPr>
        <w:t>LabPLUS reports histopathology results</w:t>
      </w:r>
      <w:r>
        <w:rPr>
          <w:lang w:eastAsia="ar-SA"/>
        </w:rPr>
        <w:t xml:space="preserve"> </w:t>
      </w:r>
      <w:r w:rsidRPr="000E2360">
        <w:rPr>
          <w:lang w:eastAsia="ar-SA"/>
        </w:rPr>
        <w:t>directly into Concerto (the WDHB</w:t>
      </w:r>
      <w:r>
        <w:rPr>
          <w:lang w:eastAsia="ar-SA"/>
        </w:rPr>
        <w:t xml:space="preserve"> patient record system) </w:t>
      </w:r>
      <w:r w:rsidRPr="000E2360">
        <w:rPr>
          <w:lang w:eastAsia="ar-SA"/>
        </w:rPr>
        <w:t xml:space="preserve">using a </w:t>
      </w:r>
      <w:r>
        <w:rPr>
          <w:lang w:eastAsia="ar-SA"/>
        </w:rPr>
        <w:t xml:space="preserve">standardised </w:t>
      </w:r>
      <w:r w:rsidR="001D1924">
        <w:rPr>
          <w:lang w:eastAsia="ar-SA"/>
        </w:rPr>
        <w:t xml:space="preserve">BSP </w:t>
      </w:r>
      <w:r>
        <w:rPr>
          <w:lang w:eastAsia="ar-SA"/>
        </w:rPr>
        <w:t xml:space="preserve">reporting template. </w:t>
      </w:r>
    </w:p>
    <w:p w:rsidR="00CF57F1" w:rsidRPr="005B5541" w:rsidRDefault="00CF57F1" w:rsidP="00CF57F1">
      <w:pPr>
        <w:rPr>
          <w:lang w:eastAsia="ar-SA"/>
        </w:rPr>
      </w:pPr>
      <w:r>
        <w:rPr>
          <w:lang w:val="mi-NZ"/>
        </w:rPr>
        <w:t xml:space="preserve">From 2013, the CNS has been reviewing the colonoscopy reports and the histopatholgy results and advises the BSP administrator </w:t>
      </w:r>
      <w:r w:rsidR="001D0F81">
        <w:rPr>
          <w:lang w:val="mi-NZ"/>
        </w:rPr>
        <w:t xml:space="preserve">of </w:t>
      </w:r>
      <w:r>
        <w:rPr>
          <w:lang w:val="mi-NZ"/>
        </w:rPr>
        <w:t xml:space="preserve">the correct letters to send out to participants, their GP, and WDHB notes.  The CNS prepares a spreadsheet of actions taken which is </w:t>
      </w:r>
      <w:r w:rsidRPr="00E078D0">
        <w:rPr>
          <w:lang w:val="mi-NZ"/>
        </w:rPr>
        <w:t xml:space="preserve">reviewed by </w:t>
      </w:r>
      <w:r>
        <w:rPr>
          <w:lang w:val="mi-NZ"/>
        </w:rPr>
        <w:t xml:space="preserve">the WDHB </w:t>
      </w:r>
      <w:r w:rsidRPr="00E078D0">
        <w:rPr>
          <w:lang w:eastAsia="ar-SA"/>
        </w:rPr>
        <w:t xml:space="preserve">BSP Clinical Director or </w:t>
      </w:r>
      <w:r>
        <w:rPr>
          <w:lang w:eastAsia="ar-SA"/>
        </w:rPr>
        <w:t xml:space="preserve">WDHB BSP </w:t>
      </w:r>
      <w:r w:rsidRPr="00E078D0">
        <w:rPr>
          <w:lang w:eastAsia="ar-SA"/>
        </w:rPr>
        <w:t xml:space="preserve">Lead Endoscopist.  </w:t>
      </w:r>
      <w:r w:rsidRPr="00E078D0">
        <w:rPr>
          <w:lang w:val="mi-NZ"/>
        </w:rPr>
        <w:t>Where there</w:t>
      </w:r>
      <w:r>
        <w:rPr>
          <w:lang w:val="mi-NZ"/>
        </w:rPr>
        <w:t xml:space="preserve"> is any concern or uncertainty, the </w:t>
      </w:r>
      <w:r w:rsidRPr="005B5541">
        <w:rPr>
          <w:lang w:val="mi-NZ"/>
        </w:rPr>
        <w:t xml:space="preserve">CNS discusses the results with the </w:t>
      </w:r>
      <w:r w:rsidRPr="005B5541">
        <w:rPr>
          <w:lang w:eastAsia="ar-SA"/>
        </w:rPr>
        <w:t xml:space="preserve">BSP Clinical Director </w:t>
      </w:r>
      <w:r>
        <w:rPr>
          <w:lang w:eastAsia="ar-SA"/>
        </w:rPr>
        <w:t>or</w:t>
      </w:r>
      <w:r w:rsidRPr="005B5541">
        <w:rPr>
          <w:lang w:eastAsia="ar-SA"/>
        </w:rPr>
        <w:t xml:space="preserve"> Lead Endoscopist. </w:t>
      </w:r>
      <w:r>
        <w:rPr>
          <w:lang w:eastAsia="ar-SA"/>
        </w:rPr>
        <w:t xml:space="preserve"> A formal policy has been developed (</w:t>
      </w:r>
      <w:r w:rsidRPr="00EE0C26">
        <w:rPr>
          <w:i/>
          <w:lang w:eastAsia="ar-SA"/>
        </w:rPr>
        <w:t>Histology Results Management</w:t>
      </w:r>
      <w:r>
        <w:rPr>
          <w:lang w:eastAsia="ar-SA"/>
        </w:rPr>
        <w:t xml:space="preserve">) which sets out parameters within which the CNS may make decisions.  </w:t>
      </w:r>
    </w:p>
    <w:p w:rsidR="00CF57F1" w:rsidRDefault="00CF57F1" w:rsidP="00CF57F1">
      <w:pPr>
        <w:pStyle w:val="Heading3"/>
        <w:rPr>
          <w:lang w:eastAsia="ar-SA"/>
        </w:rPr>
      </w:pPr>
      <w:r>
        <w:rPr>
          <w:lang w:eastAsia="ar-SA"/>
        </w:rPr>
        <w:t>Diagnostic testing: alternative investigation</w:t>
      </w:r>
    </w:p>
    <w:p w:rsidR="00CF57F1" w:rsidRPr="00B57F6C" w:rsidRDefault="00CF57F1" w:rsidP="00CF57F1">
      <w:r>
        <w:rPr>
          <w:lang w:eastAsia="ar-SA"/>
        </w:rPr>
        <w:t>BSP p</w:t>
      </w:r>
      <w:r w:rsidRPr="00B57F6C">
        <w:rPr>
          <w:lang w:eastAsia="ar-SA"/>
        </w:rPr>
        <w:t>articipants assessed as unfit for colonoscopy or with an incomplete colonoscopy are offered a CTC investigation. O</w:t>
      </w:r>
      <w:r w:rsidRPr="00B57F6C">
        <w:t xml:space="preserve">ccasionally when a colonoscopy fails, the person may proceed to have a colonoscopy under </w:t>
      </w:r>
      <w:r w:rsidR="00E51E4A">
        <w:t>g</w:t>
      </w:r>
      <w:r w:rsidR="00E51E4A" w:rsidRPr="00B57F6C">
        <w:t xml:space="preserve">eneral </w:t>
      </w:r>
      <w:r w:rsidR="00E51E4A">
        <w:t>a</w:t>
      </w:r>
      <w:r w:rsidR="00E51E4A" w:rsidRPr="00B57F6C">
        <w:t>naesthetic</w:t>
      </w:r>
      <w:r w:rsidRPr="00B57F6C">
        <w:t xml:space="preserve">.  </w:t>
      </w:r>
    </w:p>
    <w:p w:rsidR="00AB500F" w:rsidRDefault="00CF57F1" w:rsidP="00CF57F1">
      <w:pPr>
        <w:rPr>
          <w:lang w:val="mi-NZ"/>
        </w:rPr>
      </w:pPr>
      <w:r w:rsidRPr="00B57F6C">
        <w:rPr>
          <w:lang w:eastAsia="ar-SA"/>
        </w:rPr>
        <w:t>Participants are referred to the Radiology Department by the Endoscopy CNS.</w:t>
      </w:r>
      <w:r>
        <w:rPr>
          <w:lang w:eastAsia="ar-SA"/>
        </w:rPr>
        <w:t xml:space="preserve"> Referral is via WDHB’s usual referral system.  </w:t>
      </w:r>
      <w:r>
        <w:t>The CTC policy agreed between BSP and Radiology states that when a BSP colonoscopy fails in the morning</w:t>
      </w:r>
      <w:r w:rsidR="00332101">
        <w:t>,</w:t>
      </w:r>
      <w:r>
        <w:t xml:space="preserve"> the person will have a CTC that afternoon, and when it fails in the afternoon the person will have one the following morning.  The exception to this is when the colonoscopy fails on Friday afternoon</w:t>
      </w:r>
      <w:r w:rsidR="001D1924">
        <w:t>.</w:t>
      </w:r>
      <w:r>
        <w:t xml:space="preserve">  Ensuring same or next day referral to CTC means the BSP participant </w:t>
      </w:r>
      <w:r>
        <w:rPr>
          <w:lang w:val="mi-NZ"/>
        </w:rPr>
        <w:t xml:space="preserve">does not have to go through bowel preparation twice. </w:t>
      </w:r>
      <w:r w:rsidR="001D1924">
        <w:rPr>
          <w:lang w:val="mi-NZ"/>
        </w:rPr>
        <w:t xml:space="preserve"> </w:t>
      </w:r>
    </w:p>
    <w:p w:rsidR="00CF57F1" w:rsidRDefault="001D1924" w:rsidP="00CF57F1">
      <w:pPr>
        <w:rPr>
          <w:lang w:val="mi-NZ"/>
        </w:rPr>
      </w:pPr>
      <w:r w:rsidRPr="00463B7A">
        <w:rPr>
          <w:lang w:val="mi-NZ"/>
        </w:rPr>
        <w:t>Participants</w:t>
      </w:r>
      <w:r w:rsidR="00AB500F" w:rsidRPr="00463B7A">
        <w:rPr>
          <w:lang w:val="mi-NZ"/>
        </w:rPr>
        <w:t xml:space="preserve"> with </w:t>
      </w:r>
      <w:r w:rsidR="00AB500F" w:rsidRPr="00463B7A">
        <w:rPr>
          <w:lang w:eastAsia="ar-SA"/>
        </w:rPr>
        <w:t>an incomplete colonoscopy</w:t>
      </w:r>
      <w:r w:rsidR="00AB500F" w:rsidRPr="00463B7A">
        <w:t xml:space="preserve"> in which a </w:t>
      </w:r>
      <w:r w:rsidRPr="00463B7A">
        <w:t xml:space="preserve">polypectomy </w:t>
      </w:r>
      <w:r w:rsidR="00AB500F" w:rsidRPr="00463B7A">
        <w:t xml:space="preserve">was performed are referred to have a </w:t>
      </w:r>
      <w:r w:rsidRPr="00463B7A">
        <w:t>CTC</w:t>
      </w:r>
      <w:r w:rsidR="00463B7A" w:rsidRPr="00463B7A">
        <w:t xml:space="preserve"> between </w:t>
      </w:r>
      <w:r w:rsidR="00AB500F" w:rsidRPr="00463B7A">
        <w:t xml:space="preserve">30 </w:t>
      </w:r>
      <w:r w:rsidR="00463B7A" w:rsidRPr="00463B7A">
        <w:t>and 50 days</w:t>
      </w:r>
      <w:r w:rsidR="00AB500F" w:rsidRPr="00463B7A">
        <w:t>.</w:t>
      </w:r>
      <w:r w:rsidR="00AB500F">
        <w:t xml:space="preserve"> </w:t>
      </w:r>
    </w:p>
    <w:p w:rsidR="005336F5" w:rsidRDefault="00CF57F1" w:rsidP="00CF57F1">
      <w:pPr>
        <w:rPr>
          <w:lang w:eastAsia="ar-SA"/>
        </w:rPr>
      </w:pPr>
      <w:r w:rsidRPr="00B57F6C">
        <w:rPr>
          <w:lang w:eastAsia="ar-SA"/>
        </w:rPr>
        <w:t xml:space="preserve">Referrals </w:t>
      </w:r>
      <w:r>
        <w:rPr>
          <w:lang w:eastAsia="ar-SA"/>
        </w:rPr>
        <w:t xml:space="preserve">to CTC </w:t>
      </w:r>
      <w:r w:rsidRPr="00B57F6C">
        <w:rPr>
          <w:lang w:eastAsia="ar-SA"/>
        </w:rPr>
        <w:t xml:space="preserve">for BSP participants </w:t>
      </w:r>
      <w:r>
        <w:rPr>
          <w:lang w:eastAsia="ar-SA"/>
        </w:rPr>
        <w:t xml:space="preserve">unfit for colonoscopy </w:t>
      </w:r>
      <w:r w:rsidRPr="00B57F6C">
        <w:rPr>
          <w:lang w:eastAsia="ar-SA"/>
        </w:rPr>
        <w:t>are given a unique BSP code on receipt by the Radiology Department.</w:t>
      </w:r>
      <w:r>
        <w:rPr>
          <w:b/>
          <w:lang w:eastAsia="ar-SA"/>
        </w:rPr>
        <w:t xml:space="preserve"> </w:t>
      </w:r>
      <w:r>
        <w:rPr>
          <w:lang w:eastAsia="ar-SA"/>
        </w:rPr>
        <w:t xml:space="preserve">This code flags that the participant must be given a different level of priority to meet the BSP requirement that a date for a CTC must be given within five days and the procedure completed within 20 days.  </w:t>
      </w:r>
    </w:p>
    <w:p w:rsidR="00CF57F1" w:rsidRPr="00B57F6C" w:rsidRDefault="00CF57F1" w:rsidP="00CF57F1">
      <w:pPr>
        <w:rPr>
          <w:lang w:val="mi-NZ"/>
        </w:rPr>
      </w:pPr>
      <w:r w:rsidRPr="00B57F6C">
        <w:rPr>
          <w:lang w:eastAsia="ar-SA"/>
        </w:rPr>
        <w:t>Results are sent back to the referring clinician (usually the WDHB BSP Clinical Director) using the hospital’s usual results system</w:t>
      </w:r>
      <w:r w:rsidRPr="00B57F6C">
        <w:rPr>
          <w:lang w:val="mi-NZ"/>
        </w:rPr>
        <w:t xml:space="preserve">. </w:t>
      </w:r>
    </w:p>
    <w:p w:rsidR="00CF57F1" w:rsidRDefault="00CF57F1" w:rsidP="00CF57F1">
      <w:pPr>
        <w:pStyle w:val="Heading3"/>
        <w:rPr>
          <w:lang w:eastAsia="ar-SA"/>
        </w:rPr>
      </w:pPr>
      <w:bookmarkStart w:id="58" w:name="_Toc356566351"/>
      <w:bookmarkStart w:id="59" w:name="_Toc376617526"/>
      <w:r>
        <w:rPr>
          <w:lang w:eastAsia="ar-SA"/>
        </w:rPr>
        <w:t>Surveillance</w:t>
      </w:r>
      <w:bookmarkEnd w:id="58"/>
      <w:bookmarkEnd w:id="59"/>
    </w:p>
    <w:p w:rsidR="00CF57F1" w:rsidRDefault="00CF57F1" w:rsidP="00CF57F1">
      <w:pPr>
        <w:rPr>
          <w:lang w:eastAsia="ar-SA"/>
        </w:rPr>
      </w:pPr>
      <w:r w:rsidRPr="000A70B1">
        <w:rPr>
          <w:lang w:eastAsia="ar-SA"/>
        </w:rPr>
        <w:t>Participants requiring ongoing surveillance</w:t>
      </w:r>
      <w:r w:rsidR="00441ABF" w:rsidRPr="00697D47">
        <w:rPr>
          <w:rStyle w:val="FootnoteReference"/>
        </w:rPr>
        <w:footnoteReference w:id="18"/>
      </w:r>
      <w:r w:rsidR="00441ABF">
        <w:rPr>
          <w:lang w:eastAsia="ar-SA"/>
        </w:rPr>
        <w:t xml:space="preserve"> </w:t>
      </w:r>
      <w:r w:rsidRPr="000A70B1">
        <w:rPr>
          <w:lang w:eastAsia="ar-SA"/>
        </w:rPr>
        <w:t xml:space="preserve">are exited from the BSP, referred to a surveillance programme, and not recalled for subsequent screening.  </w:t>
      </w:r>
    </w:p>
    <w:p w:rsidR="00CF57F1" w:rsidRDefault="00CF57F1" w:rsidP="00CF57F1">
      <w:pPr>
        <w:rPr>
          <w:lang w:eastAsia="ar-SA"/>
        </w:rPr>
      </w:pPr>
      <w:r>
        <w:rPr>
          <w:lang w:eastAsia="ar-SA"/>
        </w:rPr>
        <w:t xml:space="preserve">WDHB Endoscopy Service is responsible for ensuring participants receive their surveillance colonoscopy within the recommended timeframe (according to guidelines for </w:t>
      </w:r>
      <w:r>
        <w:rPr>
          <w:i/>
          <w:lang w:eastAsia="ar-SA"/>
        </w:rPr>
        <w:t>Surveillance and Management of Groups at Increased Risk of Colorectal Cancer, Ministry of Health 2004</w:t>
      </w:r>
      <w:r>
        <w:rPr>
          <w:lang w:eastAsia="ar-SA"/>
        </w:rPr>
        <w:t xml:space="preserve">).  </w:t>
      </w:r>
      <w:r w:rsidRPr="000A70B1">
        <w:rPr>
          <w:lang w:eastAsia="ar-SA"/>
        </w:rPr>
        <w:t xml:space="preserve">The BSP Endoscopy Unit </w:t>
      </w:r>
      <w:r>
        <w:rPr>
          <w:lang w:eastAsia="ar-SA"/>
        </w:rPr>
        <w:t>advises</w:t>
      </w:r>
      <w:r w:rsidRPr="000A70B1">
        <w:rPr>
          <w:lang w:eastAsia="ar-SA"/>
        </w:rPr>
        <w:t xml:space="preserve"> participants they have been referre</w:t>
      </w:r>
      <w:r>
        <w:rPr>
          <w:lang w:eastAsia="ar-SA"/>
        </w:rPr>
        <w:t>d for surveillance and notify</w:t>
      </w:r>
      <w:r w:rsidRPr="000A70B1">
        <w:rPr>
          <w:lang w:eastAsia="ar-SA"/>
        </w:rPr>
        <w:t xml:space="preserve"> participants’ GPs.</w:t>
      </w:r>
      <w:r>
        <w:rPr>
          <w:b/>
          <w:lang w:eastAsia="ar-SA"/>
        </w:rPr>
        <w:t xml:space="preserve">  </w:t>
      </w:r>
      <w:r>
        <w:rPr>
          <w:lang w:eastAsia="ar-SA"/>
        </w:rPr>
        <w:t xml:space="preserve">The </w:t>
      </w:r>
      <w:r w:rsidR="00AB500F" w:rsidRPr="000A70B1">
        <w:rPr>
          <w:lang w:eastAsia="ar-SA"/>
        </w:rPr>
        <w:t xml:space="preserve">BSP Endoscopy </w:t>
      </w:r>
      <w:r w:rsidR="00463B7A">
        <w:rPr>
          <w:lang w:eastAsia="ar-SA"/>
        </w:rPr>
        <w:t xml:space="preserve">Unit records surveillance </w:t>
      </w:r>
      <w:r>
        <w:rPr>
          <w:lang w:eastAsia="ar-SA"/>
        </w:rPr>
        <w:lastRenderedPageBreak/>
        <w:t>requirements on the BSP Register</w:t>
      </w:r>
      <w:r w:rsidRPr="00697D47">
        <w:rPr>
          <w:rStyle w:val="FootnoteReference"/>
        </w:rPr>
        <w:footnoteReference w:id="19"/>
      </w:r>
      <w:r>
        <w:rPr>
          <w:lang w:eastAsia="ar-SA"/>
        </w:rPr>
        <w:t xml:space="preserve"> and removes the participant from the </w:t>
      </w:r>
      <w:r w:rsidR="00DE5FAA">
        <w:rPr>
          <w:lang w:eastAsia="ar-SA"/>
        </w:rPr>
        <w:t>screening pathway</w:t>
      </w:r>
      <w:r>
        <w:rPr>
          <w:lang w:eastAsia="ar-SA"/>
        </w:rPr>
        <w:t xml:space="preserve">.  The </w:t>
      </w:r>
      <w:r w:rsidRPr="000A70B1">
        <w:rPr>
          <w:lang w:eastAsia="ar-SA"/>
        </w:rPr>
        <w:t xml:space="preserve">BSP Endoscopy Unit </w:t>
      </w:r>
      <w:r>
        <w:rPr>
          <w:lang w:eastAsia="ar-SA"/>
        </w:rPr>
        <w:t xml:space="preserve">also logs the referral for surveillance in </w:t>
      </w:r>
      <w:r w:rsidR="006812C6" w:rsidRPr="00995633">
        <w:rPr>
          <w:lang w:eastAsia="ar-SA"/>
        </w:rPr>
        <w:t>Intelligent P</w:t>
      </w:r>
      <w:r w:rsidR="006812C6">
        <w:rPr>
          <w:lang w:eastAsia="ar-SA"/>
        </w:rPr>
        <w:t>atient Information Systems (</w:t>
      </w:r>
      <w:r>
        <w:rPr>
          <w:lang w:eastAsia="ar-SA"/>
        </w:rPr>
        <w:t>iPIMS</w:t>
      </w:r>
      <w:r w:rsidR="006812C6">
        <w:rPr>
          <w:lang w:eastAsia="ar-SA"/>
        </w:rPr>
        <w:t>)</w:t>
      </w:r>
      <w:r>
        <w:rPr>
          <w:lang w:eastAsia="ar-SA"/>
        </w:rPr>
        <w:t xml:space="preserve"> where the surveillance period is captured.  </w:t>
      </w:r>
    </w:p>
    <w:p w:rsidR="00CF57F1" w:rsidRDefault="00CF57F1" w:rsidP="00CF57F1">
      <w:pPr>
        <w:pStyle w:val="Heading3"/>
        <w:rPr>
          <w:lang w:eastAsia="ar-SA"/>
        </w:rPr>
      </w:pPr>
      <w:bookmarkStart w:id="60" w:name="_Toc376617527"/>
      <w:r>
        <w:rPr>
          <w:lang w:eastAsia="ar-SA"/>
        </w:rPr>
        <w:t>Treatment</w:t>
      </w:r>
      <w:bookmarkEnd w:id="60"/>
    </w:p>
    <w:p w:rsidR="00CF57F1" w:rsidRPr="00547801" w:rsidRDefault="00CF57F1" w:rsidP="00CF57F1">
      <w:pPr>
        <w:rPr>
          <w:lang w:eastAsia="ar-SA"/>
        </w:rPr>
      </w:pPr>
      <w:r w:rsidRPr="00547801">
        <w:rPr>
          <w:lang w:eastAsia="ar-SA"/>
        </w:rPr>
        <w:t xml:space="preserve">Participants diagnosed with cancer </w:t>
      </w:r>
      <w:r w:rsidR="006812C6">
        <w:rPr>
          <w:lang w:eastAsia="ar-SA"/>
        </w:rPr>
        <w:t xml:space="preserve">or high risk polyps </w:t>
      </w:r>
      <w:r w:rsidRPr="00547801">
        <w:rPr>
          <w:lang w:eastAsia="ar-SA"/>
        </w:rPr>
        <w:t>are referred to a colorectal Multi-Disciplinary Meeting (MDM) by the WDHB BSP Clinical Director/</w:t>
      </w:r>
      <w:r w:rsidRPr="00547801">
        <w:t xml:space="preserve">WDHB BSP </w:t>
      </w:r>
      <w:r w:rsidRPr="00547801">
        <w:rPr>
          <w:lang w:eastAsia="ar-SA"/>
        </w:rPr>
        <w:t xml:space="preserve">Lead Endoscopist.  Referrals are made using a standardised regional bowel cancer MDM form.  BSP MDMs are held every two weeks at North Shore Hospital and include representation from Medical Oncology, Pathology, Radiation Oncology, Diagnostic Radiology, Surgery and Nursing.  MDMs provide recommendations for culturally appropriate and coordinated care, advice and support.  Outcomes of MDMs are communicated to the participant and their GP, and are documented in the medical records. </w:t>
      </w:r>
    </w:p>
    <w:p w:rsidR="00CF57F1" w:rsidRPr="00547801" w:rsidRDefault="00CF57F1" w:rsidP="00CF57F1">
      <w:pPr>
        <w:rPr>
          <w:i/>
          <w:lang w:eastAsia="ar-SA"/>
        </w:rPr>
      </w:pPr>
      <w:r w:rsidRPr="00547801">
        <w:rPr>
          <w:lang w:eastAsia="ar-SA"/>
        </w:rPr>
        <w:t>All participants who require chemotherapy and/or radiation therapy are managed by the Auckland Regional Cancer and Blood Service at A</w:t>
      </w:r>
      <w:r w:rsidR="005336F5">
        <w:rPr>
          <w:lang w:eastAsia="ar-SA"/>
        </w:rPr>
        <w:t>uckland District Health Board (A</w:t>
      </w:r>
      <w:r w:rsidRPr="00547801">
        <w:rPr>
          <w:lang w:eastAsia="ar-SA"/>
        </w:rPr>
        <w:t>DHB</w:t>
      </w:r>
      <w:r w:rsidR="005336F5">
        <w:rPr>
          <w:lang w:eastAsia="ar-SA"/>
        </w:rPr>
        <w:t>)</w:t>
      </w:r>
      <w:r w:rsidRPr="00547801">
        <w:rPr>
          <w:lang w:eastAsia="ar-SA"/>
        </w:rPr>
        <w:t>.  ADHB is the regional provider of oncology services for the WDHB population.</w:t>
      </w:r>
      <w:r w:rsidRPr="00547801">
        <w:rPr>
          <w:i/>
          <w:lang w:eastAsia="ar-SA"/>
        </w:rPr>
        <w:t xml:space="preserve"> </w:t>
      </w:r>
    </w:p>
    <w:p w:rsidR="00CF57F1" w:rsidRPr="00547801" w:rsidRDefault="00CF57F1" w:rsidP="00CF57F1">
      <w:pPr>
        <w:rPr>
          <w:lang w:eastAsia="ar-SA"/>
        </w:rPr>
      </w:pPr>
      <w:r w:rsidRPr="00547801">
        <w:rPr>
          <w:lang w:eastAsia="ar-SA"/>
        </w:rPr>
        <w:t xml:space="preserve">Participants diagnosed with cancer are not recalled for screening.  </w:t>
      </w:r>
    </w:p>
    <w:p w:rsidR="00CF57F1" w:rsidRPr="002A084C" w:rsidRDefault="00E035F8" w:rsidP="002A084C">
      <w:pPr>
        <w:pStyle w:val="Figure"/>
      </w:pPr>
      <w:bookmarkStart w:id="61" w:name="_Toc391847771"/>
      <w:bookmarkStart w:id="62" w:name="_Toc391848123"/>
      <w:bookmarkStart w:id="63" w:name="_Toc393398337"/>
      <w:bookmarkStart w:id="64" w:name="_Toc397164642"/>
      <w:bookmarkStart w:id="65" w:name="_Toc397510543"/>
      <w:bookmarkStart w:id="66" w:name="_Toc406015739"/>
      <w:bookmarkStart w:id="67" w:name="_Toc412540130"/>
      <w:r>
        <w:lastRenderedPageBreak/>
        <w:t xml:space="preserve">Figure 3: </w:t>
      </w:r>
      <w:r w:rsidR="00CF57F1" w:rsidRPr="002A084C">
        <w:t>Overview of screening pathway (WDHB 2012c)</w:t>
      </w:r>
      <w:bookmarkEnd w:id="61"/>
      <w:bookmarkEnd w:id="62"/>
      <w:bookmarkEnd w:id="63"/>
      <w:bookmarkEnd w:id="64"/>
      <w:bookmarkEnd w:id="65"/>
      <w:bookmarkEnd w:id="66"/>
      <w:bookmarkEnd w:id="67"/>
    </w:p>
    <w:p w:rsidR="00FD3BAC" w:rsidRDefault="003F5151" w:rsidP="00B60C62">
      <w:pPr>
        <w:ind w:left="0"/>
      </w:pPr>
      <w:r>
        <w:rPr>
          <w:noProof/>
          <w:lang w:eastAsia="en-NZ"/>
        </w:rPr>
        <mc:AlternateContent>
          <mc:Choice Requires="wps">
            <w:drawing>
              <wp:anchor distT="0" distB="0" distL="114300" distR="114300" simplePos="0" relativeHeight="251659264" behindDoc="0" locked="0" layoutInCell="1" allowOverlap="1" wp14:anchorId="72C7809D" wp14:editId="6A9DFFBE">
                <wp:simplePos x="0" y="0"/>
                <wp:positionH relativeFrom="column">
                  <wp:posOffset>3661079</wp:posOffset>
                </wp:positionH>
                <wp:positionV relativeFrom="paragraph">
                  <wp:posOffset>319681</wp:posOffset>
                </wp:positionV>
                <wp:extent cx="1510030" cy="699218"/>
                <wp:effectExtent l="0" t="0" r="13970" b="24765"/>
                <wp:wrapNone/>
                <wp:docPr id="29" name="Text Box 29"/>
                <wp:cNvGraphicFramePr/>
                <a:graphic xmlns:a="http://schemas.openxmlformats.org/drawingml/2006/main">
                  <a:graphicData uri="http://schemas.microsoft.com/office/word/2010/wordprocessingShape">
                    <wps:wsp>
                      <wps:cNvSpPr txBox="1"/>
                      <wps:spPr>
                        <a:xfrm>
                          <a:off x="0" y="0"/>
                          <a:ext cx="1510030" cy="699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1124" w:rsidRDefault="00D3112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88.25pt;margin-top:25.15pt;width:118.9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" fillcolor="white [3212]" strokecolor="white [3212]" strokeweight=".5pt">
                <v:textbox>
                  <w:txbxContent>
                    <w:p w:rsidR="00D31124" w:rsidRDefault="00D31124">
                      <w:pPr>
                        <w:ind w:left="0"/>
                      </w:pPr>
                    </w:p>
                  </w:txbxContent>
                </v:textbox>
              </v:shape>
            </w:pict>
          </mc:Fallback>
        </mc:AlternateContent>
      </w:r>
      <w:r>
        <w:rPr>
          <w:noProof/>
          <w:lang w:eastAsia="en-NZ"/>
        </w:rPr>
        <mc:AlternateContent>
          <mc:Choice Requires="wps">
            <w:drawing>
              <wp:anchor distT="0" distB="0" distL="114300" distR="114300" simplePos="0" relativeHeight="251658239" behindDoc="0" locked="0" layoutInCell="1" allowOverlap="1" wp14:anchorId="4A690DD7" wp14:editId="3B44C793">
                <wp:simplePos x="0" y="0"/>
                <wp:positionH relativeFrom="column">
                  <wp:posOffset>2002790</wp:posOffset>
                </wp:positionH>
                <wp:positionV relativeFrom="paragraph">
                  <wp:posOffset>5387671</wp:posOffset>
                </wp:positionV>
                <wp:extent cx="699577" cy="181610"/>
                <wp:effectExtent l="0" t="0" r="24765" b="27940"/>
                <wp:wrapNone/>
                <wp:docPr id="31" name="Text Box 31"/>
                <wp:cNvGraphicFramePr/>
                <a:graphic xmlns:a="http://schemas.openxmlformats.org/drawingml/2006/main">
                  <a:graphicData uri="http://schemas.microsoft.com/office/word/2010/wordprocessingShape">
                    <wps:wsp>
                      <wps:cNvSpPr txBox="1"/>
                      <wps:spPr>
                        <a:xfrm>
                          <a:off x="0" y="0"/>
                          <a:ext cx="699577" cy="1816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1124" w:rsidRPr="00756A8A" w:rsidRDefault="00D31124" w:rsidP="003F5151">
                            <w:pPr>
                              <w:spacing w:before="0"/>
                              <w:ind w:left="0"/>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157.7pt;margin-top:424.25pt;width:55.1pt;height:14.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" fillcolor="white [3212]" strokecolor="white [3212]" strokeweight=".5pt">
                <v:textbox>
                  <w:txbxContent>
                    <w:p w:rsidR="00D31124" w:rsidRPr="00756A8A" w:rsidRDefault="00D31124" w:rsidP="003F5151">
                      <w:pPr>
                        <w:spacing w:before="0"/>
                        <w:ind w:left="0"/>
                        <w:rPr>
                          <w:sz w:val="14"/>
                          <w:szCs w:val="14"/>
                        </w:rPr>
                      </w:pPr>
                    </w:p>
                  </w:txbxContent>
                </v:textbox>
              </v:shape>
            </w:pict>
          </mc:Fallback>
        </mc:AlternateContent>
      </w:r>
      <w:r w:rsidR="00756A8A">
        <w:rPr>
          <w:noProof/>
          <w:lang w:eastAsia="en-NZ"/>
        </w:rPr>
        <mc:AlternateContent>
          <mc:Choice Requires="wps">
            <w:drawing>
              <wp:anchor distT="0" distB="0" distL="114300" distR="114300" simplePos="0" relativeHeight="251661312" behindDoc="0" locked="0" layoutInCell="1" allowOverlap="1" wp14:anchorId="58A91D68" wp14:editId="6AD9F1CD">
                <wp:simplePos x="0" y="0"/>
                <wp:positionH relativeFrom="column">
                  <wp:posOffset>1990725</wp:posOffset>
                </wp:positionH>
                <wp:positionV relativeFrom="paragraph">
                  <wp:posOffset>5376241</wp:posOffset>
                </wp:positionV>
                <wp:extent cx="699577" cy="181610"/>
                <wp:effectExtent l="0" t="0" r="24765" b="27940"/>
                <wp:wrapNone/>
                <wp:docPr id="30" name="Text Box 30"/>
                <wp:cNvGraphicFramePr/>
                <a:graphic xmlns:a="http://schemas.openxmlformats.org/drawingml/2006/main">
                  <a:graphicData uri="http://schemas.microsoft.com/office/word/2010/wordprocessingShape">
                    <wps:wsp>
                      <wps:cNvSpPr txBox="1"/>
                      <wps:spPr>
                        <a:xfrm>
                          <a:off x="0" y="0"/>
                          <a:ext cx="699577" cy="181610"/>
                        </a:xfrm>
                        <a:prstGeom prst="rect">
                          <a:avLst/>
                        </a:prstGeom>
                        <a:solidFill>
                          <a:schemeClr val="accent3">
                            <a:lumMod val="20000"/>
                            <a:lumOff val="80000"/>
                            <a:alpha val="84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1124" w:rsidRPr="00756A8A" w:rsidRDefault="00D31124" w:rsidP="00756A8A">
                            <w:pPr>
                              <w:spacing w:before="0"/>
                              <w:ind w:left="0"/>
                              <w:rPr>
                                <w:sz w:val="14"/>
                                <w:szCs w:val="14"/>
                              </w:rPr>
                            </w:pPr>
                            <w:r>
                              <w:rPr>
                                <w:sz w:val="14"/>
                                <w:szCs w:val="14"/>
                              </w:rPr>
                              <w:t>55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156.75pt;margin-top:423.35pt;width:55.1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" fillcolor="#eaf1dd [662]" strokecolor="white [3212]" strokeweight=".5pt">
                <v:fill opacity="54998f"/>
                <v:textbox>
                  <w:txbxContent>
                    <w:p w:rsidR="00D31124" w:rsidRPr="00756A8A" w:rsidRDefault="00D31124" w:rsidP="00756A8A">
                      <w:pPr>
                        <w:spacing w:before="0"/>
                        <w:ind w:left="0"/>
                        <w:rPr>
                          <w:sz w:val="14"/>
                          <w:szCs w:val="14"/>
                        </w:rPr>
                      </w:pPr>
                      <w:r>
                        <w:rPr>
                          <w:sz w:val="14"/>
                          <w:szCs w:val="14"/>
                        </w:rPr>
                        <w:t>55 Days</w:t>
                      </w:r>
                    </w:p>
                  </w:txbxContent>
                </v:textbox>
              </v:shape>
            </w:pict>
          </mc:Fallback>
        </mc:AlternateContent>
      </w:r>
      <w:r w:rsidR="00FD3BAC">
        <w:rPr>
          <w:noProof/>
          <w:lang w:eastAsia="en-NZ"/>
        </w:rPr>
        <w:drawing>
          <wp:inline distT="0" distB="0" distL="0" distR="0" wp14:anchorId="461E2934" wp14:editId="0E1F80BE">
            <wp:extent cx="6081824" cy="6977857"/>
            <wp:effectExtent l="0" t="0" r="0" b="0"/>
            <wp:docPr id="7" name="Picture 7" descr="Figure 3: Overview of screening pathway (WDHB 2012c)" title="Figure 3: Overview of screening pathway (WDHB 2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88106" cy="6985064"/>
                    </a:xfrm>
                    <a:prstGeom prst="rect">
                      <a:avLst/>
                    </a:prstGeom>
                  </pic:spPr>
                </pic:pic>
              </a:graphicData>
            </a:graphic>
          </wp:inline>
        </w:drawing>
      </w:r>
    </w:p>
    <w:p w:rsidR="000208A9" w:rsidRDefault="000208A9" w:rsidP="000208A9">
      <w:pPr>
        <w:pStyle w:val="Heading2"/>
      </w:pPr>
      <w:bookmarkStart w:id="68" w:name="_Toc390872201"/>
      <w:bookmarkStart w:id="69" w:name="_Toc412540022"/>
      <w:r>
        <w:lastRenderedPageBreak/>
        <w:t>2.</w:t>
      </w:r>
      <w:r w:rsidR="00307DEA">
        <w:t>4</w:t>
      </w:r>
      <w:r>
        <w:tab/>
      </w:r>
      <w:r w:rsidR="001B4015">
        <w:t>Evaluation m</w:t>
      </w:r>
      <w:r>
        <w:t>ethodology</w:t>
      </w:r>
      <w:bookmarkEnd w:id="68"/>
      <w:bookmarkEnd w:id="69"/>
      <w:r>
        <w:t xml:space="preserve"> </w:t>
      </w:r>
    </w:p>
    <w:p w:rsidR="00970B2D" w:rsidRDefault="00037FE3" w:rsidP="00970B2D">
      <w:r>
        <w:t xml:space="preserve">This report is the interim evaluation report of the </w:t>
      </w:r>
      <w:r w:rsidR="00027785">
        <w:t>BSP</w:t>
      </w:r>
      <w:r>
        <w:t xml:space="preserve"> following the </w:t>
      </w:r>
      <w:r w:rsidR="008A36F0">
        <w:t xml:space="preserve">completion of the </w:t>
      </w:r>
      <w:r w:rsidR="009E64EF">
        <w:t xml:space="preserve">invite </w:t>
      </w:r>
      <w:r w:rsidR="008A36F0">
        <w:t xml:space="preserve">distribution for </w:t>
      </w:r>
      <w:r>
        <w:t>screening round one (January 2012 – December 2</w:t>
      </w:r>
      <w:r w:rsidR="00027785">
        <w:t>0</w:t>
      </w:r>
      <w:r>
        <w:t>13)</w:t>
      </w:r>
      <w:r w:rsidR="008A36F0" w:rsidRPr="00697D47">
        <w:rPr>
          <w:rStyle w:val="FootnoteReference"/>
        </w:rPr>
        <w:footnoteReference w:id="20"/>
      </w:r>
      <w:r>
        <w:t xml:space="preserve">.  The report draws across a range of data and information sources to address the </w:t>
      </w:r>
      <w:r w:rsidR="00E00829">
        <w:t xml:space="preserve">ten </w:t>
      </w:r>
      <w:r>
        <w:t xml:space="preserve">evaluation objectives of the </w:t>
      </w:r>
      <w:r w:rsidR="00EB35F4">
        <w:t>p</w:t>
      </w:r>
      <w:r>
        <w:t xml:space="preserve">ilot as relevant </w:t>
      </w:r>
      <w:r w:rsidR="008A36F0">
        <w:t>after the first two years</w:t>
      </w:r>
      <w:r w:rsidR="008A36F0" w:rsidRPr="00697D47">
        <w:rPr>
          <w:rStyle w:val="FootnoteReference"/>
        </w:rPr>
        <w:footnoteReference w:id="21"/>
      </w:r>
      <w:r w:rsidR="00970B2D">
        <w:t xml:space="preserve">.  </w:t>
      </w:r>
    </w:p>
    <w:p w:rsidR="00037FE3" w:rsidRDefault="00970B2D" w:rsidP="00970B2D">
      <w:r>
        <w:t>The following reports and data sour</w:t>
      </w:r>
      <w:r w:rsidR="00933493">
        <w:t>ces inform</w:t>
      </w:r>
      <w:r w:rsidR="00EA55DB">
        <w:t xml:space="preserve"> the interim</w:t>
      </w:r>
      <w:r>
        <w:t xml:space="preserve"> report</w:t>
      </w:r>
      <w:r w:rsidR="00EA55DB" w:rsidRPr="00697D47">
        <w:rPr>
          <w:rStyle w:val="FootnoteReference"/>
        </w:rPr>
        <w:footnoteReference w:id="22"/>
      </w:r>
      <w:r>
        <w:t xml:space="preserve">: </w:t>
      </w:r>
      <w:r w:rsidR="00037FE3">
        <w:t xml:space="preserve"> </w:t>
      </w:r>
    </w:p>
    <w:p w:rsidR="00933493" w:rsidRPr="00027785" w:rsidRDefault="00935E9F" w:rsidP="00604AA9">
      <w:pPr>
        <w:numPr>
          <w:ilvl w:val="0"/>
          <w:numId w:val="7"/>
        </w:numPr>
        <w:autoSpaceDE w:val="0"/>
        <w:autoSpaceDN w:val="0"/>
        <w:adjustRightInd w:val="0"/>
        <w:spacing w:before="120"/>
        <w:ind w:left="1134" w:hanging="425"/>
      </w:pPr>
      <w:r w:rsidRPr="00027785">
        <w:rPr>
          <w:b/>
        </w:rPr>
        <w:t xml:space="preserve">BSP epidemiology analysis </w:t>
      </w:r>
      <w:r w:rsidR="00DF77B0" w:rsidRPr="00027785">
        <w:rPr>
          <w:b/>
        </w:rPr>
        <w:t>undertaken by the Centre for Public Health Research</w:t>
      </w:r>
      <w:r w:rsidR="00DF77B0" w:rsidRPr="00027785">
        <w:t xml:space="preserve"> (CPHR) </w:t>
      </w:r>
      <w:r w:rsidRPr="00027785">
        <w:t xml:space="preserve">(Read, </w:t>
      </w:r>
      <w:r w:rsidR="001316A7" w:rsidRPr="00027785">
        <w:t xml:space="preserve">Shanthakumar, </w:t>
      </w:r>
      <w:r w:rsidRPr="00027785">
        <w:t>Borman</w:t>
      </w:r>
      <w:r w:rsidR="001316A7" w:rsidRPr="00027785">
        <w:t xml:space="preserve"> </w:t>
      </w:r>
      <w:r w:rsidRPr="00027785">
        <w:t>2014)</w:t>
      </w:r>
      <w:r w:rsidR="00DF77B0" w:rsidRPr="00027785">
        <w:t xml:space="preserve">. </w:t>
      </w:r>
      <w:r w:rsidRPr="00027785">
        <w:t xml:space="preserve"> </w:t>
      </w:r>
    </w:p>
    <w:p w:rsidR="00A8645C" w:rsidRPr="00A8645C" w:rsidRDefault="00A8645C" w:rsidP="00604AA9">
      <w:pPr>
        <w:numPr>
          <w:ilvl w:val="1"/>
          <w:numId w:val="7"/>
        </w:numPr>
        <w:autoSpaceDE w:val="0"/>
        <w:autoSpaceDN w:val="0"/>
        <w:adjustRightInd w:val="0"/>
        <w:spacing w:before="120"/>
        <w:ind w:left="1701" w:hanging="567"/>
      </w:pPr>
      <w:r w:rsidRPr="00A8645C">
        <w:t>The scope of the epidemiological analysis was approved by the Ministry of Health. It was based on the evaluation of the United Kingdom (UK) bowel cancer screening pilot (Weller et al 2007).</w:t>
      </w:r>
    </w:p>
    <w:p w:rsidR="00A8645C" w:rsidRPr="00A8645C" w:rsidRDefault="00A8645C" w:rsidP="00604AA9">
      <w:pPr>
        <w:numPr>
          <w:ilvl w:val="1"/>
          <w:numId w:val="7"/>
        </w:numPr>
        <w:autoSpaceDE w:val="0"/>
        <w:autoSpaceDN w:val="0"/>
        <w:adjustRightInd w:val="0"/>
        <w:spacing w:before="120"/>
        <w:ind w:left="1701" w:hanging="567"/>
      </w:pPr>
      <w:r w:rsidRPr="00A8645C">
        <w:t>The data were extracted by the Ministry of Health from the BSP Register and WDHB.</w:t>
      </w:r>
    </w:p>
    <w:p w:rsidR="00A8645C" w:rsidRPr="00A8645C" w:rsidRDefault="00A8645C" w:rsidP="00604AA9">
      <w:pPr>
        <w:numPr>
          <w:ilvl w:val="1"/>
          <w:numId w:val="7"/>
        </w:numPr>
        <w:autoSpaceDE w:val="0"/>
        <w:autoSpaceDN w:val="0"/>
        <w:adjustRightInd w:val="0"/>
        <w:spacing w:before="120"/>
        <w:ind w:left="1701" w:hanging="567"/>
      </w:pPr>
      <w:r w:rsidRPr="00A8645C">
        <w:t>The results represent the first 18</w:t>
      </w:r>
      <w:r w:rsidR="00544AC2">
        <w:t xml:space="preserve"> </w:t>
      </w:r>
      <w:r w:rsidRPr="00A8645C">
        <w:t>-</w:t>
      </w:r>
      <w:r w:rsidR="00544AC2">
        <w:t xml:space="preserve"> </w:t>
      </w:r>
      <w:r w:rsidRPr="00A8645C">
        <w:t>22 months of the first (or prevalence) screening round. The first screening round commenced on</w:t>
      </w:r>
      <w:r w:rsidR="00544AC2">
        <w:t xml:space="preserve"> </w:t>
      </w:r>
      <w:r w:rsidRPr="00A8645C">
        <w:t xml:space="preserve">1 January 2012 and was completed on 31 December 2013. The full screening round could not be analysed due to the timing of data extraction and the need to allow sufficient time to pass for those people who were invited in the latter half of 2013 to complete the full screening pathway. </w:t>
      </w:r>
    </w:p>
    <w:p w:rsidR="00A8645C" w:rsidRPr="00A8645C" w:rsidRDefault="00A8645C" w:rsidP="00604AA9">
      <w:pPr>
        <w:numPr>
          <w:ilvl w:val="1"/>
          <w:numId w:val="7"/>
        </w:numPr>
        <w:autoSpaceDE w:val="0"/>
        <w:autoSpaceDN w:val="0"/>
        <w:adjustRightInd w:val="0"/>
        <w:spacing w:before="120"/>
        <w:ind w:left="1701" w:hanging="567"/>
      </w:pPr>
      <w:r w:rsidRPr="00A8645C">
        <w:t>This analysis allows four months from the time of invitation for the full screening pathway to be completed.</w:t>
      </w:r>
    </w:p>
    <w:p w:rsidR="00A8645C" w:rsidRPr="00A8645C" w:rsidRDefault="00A8645C" w:rsidP="00604AA9">
      <w:pPr>
        <w:numPr>
          <w:ilvl w:val="1"/>
          <w:numId w:val="7"/>
        </w:numPr>
        <w:autoSpaceDE w:val="0"/>
        <w:autoSpaceDN w:val="0"/>
        <w:adjustRightInd w:val="0"/>
        <w:spacing w:before="120"/>
        <w:ind w:left="1701" w:hanging="567"/>
      </w:pPr>
      <w:r w:rsidRPr="00A8645C">
        <w:t xml:space="preserve">Logistic regression has been used to investigate associations between demographic variables and screening outcomes. The results are given in the Appendix </w:t>
      </w:r>
      <w:r w:rsidR="006812C6">
        <w:t>1</w:t>
      </w:r>
      <w:r w:rsidR="003B665B">
        <w:t xml:space="preserve"> of the full epidemiology report</w:t>
      </w:r>
      <w:r w:rsidR="006812C6">
        <w:t xml:space="preserve"> </w:t>
      </w:r>
      <w:r w:rsidRPr="00A8645C">
        <w:t xml:space="preserve">as odds ratios, both unadjusted and adjusted for all other demographic variables, with 95% confidence intervals. </w:t>
      </w:r>
    </w:p>
    <w:p w:rsidR="00A8645C" w:rsidRPr="00A8645C" w:rsidRDefault="00A8645C" w:rsidP="00604AA9">
      <w:pPr>
        <w:numPr>
          <w:ilvl w:val="1"/>
          <w:numId w:val="7"/>
        </w:numPr>
        <w:autoSpaceDE w:val="0"/>
        <w:autoSpaceDN w:val="0"/>
        <w:adjustRightInd w:val="0"/>
        <w:spacing w:before="120"/>
        <w:ind w:left="1701" w:hanging="567"/>
      </w:pPr>
      <w:r w:rsidRPr="00A8645C">
        <w:t>Key findings are presented and only counts and percentages together with the adjusted odds ratios are discussed. Adjusted odds ratios allow for the effects of all demographic variables other than the one under consideration. For example, when considering participation by age group, the results have been adjusted to take account of the potential effects of sex, ethnicity and deprivation (NZDep</w:t>
      </w:r>
      <w:r w:rsidR="00544AC2">
        <w:t xml:space="preserve"> </w:t>
      </w:r>
      <w:r w:rsidRPr="00A8645C">
        <w:t xml:space="preserve">2006). </w:t>
      </w:r>
    </w:p>
    <w:p w:rsidR="00A8645C" w:rsidRPr="00A8645C" w:rsidRDefault="00A8645C" w:rsidP="00604AA9">
      <w:pPr>
        <w:numPr>
          <w:ilvl w:val="1"/>
          <w:numId w:val="7"/>
        </w:numPr>
        <w:autoSpaceDE w:val="0"/>
        <w:autoSpaceDN w:val="0"/>
        <w:adjustRightInd w:val="0"/>
        <w:spacing w:before="120"/>
        <w:ind w:left="1701" w:hanging="567"/>
      </w:pPr>
      <w:r w:rsidRPr="00A8645C">
        <w:t>Unless otherwise stated, the results discussed here are statistically significant</w:t>
      </w:r>
      <w:r w:rsidRPr="00697D47">
        <w:rPr>
          <w:rStyle w:val="FootnoteReference"/>
        </w:rPr>
        <w:footnoteReference w:id="23"/>
      </w:r>
      <w:r w:rsidRPr="00A1741A">
        <w:rPr>
          <w:rStyle w:val="FootnoteReference"/>
        </w:rPr>
        <w:t>.</w:t>
      </w:r>
    </w:p>
    <w:p w:rsidR="00A8645C" w:rsidRDefault="00A8645C" w:rsidP="00604AA9">
      <w:pPr>
        <w:numPr>
          <w:ilvl w:val="1"/>
          <w:numId w:val="7"/>
        </w:numPr>
        <w:autoSpaceDE w:val="0"/>
        <w:autoSpaceDN w:val="0"/>
        <w:adjustRightInd w:val="0"/>
        <w:spacing w:before="120"/>
        <w:ind w:left="1701" w:hanging="567"/>
      </w:pPr>
      <w:r w:rsidRPr="00A8645C">
        <w:t>Results for the self-selected population are presented separately.</w:t>
      </w:r>
    </w:p>
    <w:p w:rsidR="00FF27DA" w:rsidRDefault="00957CD0" w:rsidP="00604AA9">
      <w:pPr>
        <w:numPr>
          <w:ilvl w:val="1"/>
          <w:numId w:val="7"/>
        </w:numPr>
        <w:autoSpaceDE w:val="0"/>
        <w:autoSpaceDN w:val="0"/>
        <w:adjustRightInd w:val="0"/>
        <w:spacing w:before="120"/>
        <w:ind w:left="1701" w:hanging="567"/>
      </w:pPr>
      <w:hyperlink w:anchor="_Appendix_1:_" w:history="1">
        <w:r w:rsidR="00FF27DA" w:rsidRPr="00FF27DA">
          <w:rPr>
            <w:rStyle w:val="Hyperlink"/>
          </w:rPr>
          <w:t>Appendix 1</w:t>
        </w:r>
      </w:hyperlink>
      <w:r w:rsidR="00FF27DA">
        <w:t xml:space="preserve"> contains the full epidemiology report including methodology and analysis. </w:t>
      </w:r>
    </w:p>
    <w:p w:rsidR="009029FF" w:rsidRPr="00A8645C" w:rsidRDefault="009029FF" w:rsidP="009029FF">
      <w:pPr>
        <w:autoSpaceDE w:val="0"/>
        <w:autoSpaceDN w:val="0"/>
        <w:adjustRightInd w:val="0"/>
        <w:spacing w:before="120"/>
        <w:ind w:left="1701"/>
      </w:pPr>
    </w:p>
    <w:p w:rsidR="00DD5CEB" w:rsidRPr="00F16D07" w:rsidRDefault="00DD5CEB" w:rsidP="009433F2">
      <w:pPr>
        <w:keepNext/>
        <w:keepLines/>
        <w:numPr>
          <w:ilvl w:val="0"/>
          <w:numId w:val="7"/>
        </w:numPr>
        <w:autoSpaceDE w:val="0"/>
        <w:autoSpaceDN w:val="0"/>
        <w:adjustRightInd w:val="0"/>
        <w:spacing w:before="120"/>
        <w:ind w:left="1134" w:hanging="425"/>
      </w:pPr>
      <w:r w:rsidRPr="00F16D07">
        <w:rPr>
          <w:b/>
        </w:rPr>
        <w:lastRenderedPageBreak/>
        <w:t>Interim costing analysis – costs of the first screening round (2012-2013) undertaken by Sapere Research Group 2014</w:t>
      </w:r>
      <w:r w:rsidRPr="00F16D07">
        <w:t xml:space="preserve"> (Artus, Love, Blick and Poynton, 2014)</w:t>
      </w:r>
    </w:p>
    <w:p w:rsidR="009029FF" w:rsidRDefault="009029FF" w:rsidP="009029FF">
      <w:pPr>
        <w:numPr>
          <w:ilvl w:val="1"/>
          <w:numId w:val="7"/>
        </w:numPr>
        <w:autoSpaceDE w:val="0"/>
        <w:autoSpaceDN w:val="0"/>
        <w:adjustRightInd w:val="0"/>
        <w:spacing w:before="120"/>
        <w:ind w:left="1701" w:hanging="567"/>
      </w:pPr>
      <w:r w:rsidRPr="00F16D07">
        <w:t>This costing analysis provides an input to and establishes a baseline for the full</w:t>
      </w:r>
      <w:r w:rsidRPr="0032572C">
        <w:t xml:space="preserve"> economic evaluation </w:t>
      </w:r>
      <w:r>
        <w:t xml:space="preserve">that will take place after the second screening round is complete.  The scope of the costing analysis was </w:t>
      </w:r>
      <w:r w:rsidRPr="00A8645C">
        <w:t>approved by the Ministry of Health</w:t>
      </w:r>
      <w:r>
        <w:t>.</w:t>
      </w:r>
    </w:p>
    <w:p w:rsidR="009029FF" w:rsidRPr="00C769A0" w:rsidRDefault="009029FF" w:rsidP="002132A2">
      <w:pPr>
        <w:numPr>
          <w:ilvl w:val="1"/>
          <w:numId w:val="7"/>
        </w:numPr>
        <w:autoSpaceDE w:val="0"/>
        <w:autoSpaceDN w:val="0"/>
        <w:adjustRightInd w:val="0"/>
        <w:spacing w:before="120"/>
        <w:ind w:left="1701" w:hanging="567"/>
      </w:pPr>
      <w:r w:rsidRPr="00A8645C">
        <w:t xml:space="preserve">For details of the </w:t>
      </w:r>
      <w:r>
        <w:t>methodology</w:t>
      </w:r>
      <w:r w:rsidRPr="00A8645C">
        <w:t>, including definitions</w:t>
      </w:r>
      <w:r>
        <w:t xml:space="preserve"> of key terms,</w:t>
      </w:r>
      <w:r w:rsidRPr="00A8645C">
        <w:t xml:space="preserve"> </w:t>
      </w:r>
      <w:r>
        <w:t xml:space="preserve">assumptions </w:t>
      </w:r>
      <w:r w:rsidRPr="00A1741A">
        <w:t>and the modelling approach, see Appendix 2</w:t>
      </w:r>
      <w:r w:rsidR="002132A2">
        <w:t xml:space="preserve"> (which provides a </w:t>
      </w:r>
      <w:r w:rsidRPr="00C769A0">
        <w:t>full copy of the Sapere report</w:t>
      </w:r>
      <w:r w:rsidR="001C1DCE">
        <w:t xml:space="preserve"> of </w:t>
      </w:r>
      <w:r w:rsidR="002132A2">
        <w:t>the interim costing analysis</w:t>
      </w:r>
      <w:r w:rsidR="00A47CC3">
        <w:t>.</w:t>
      </w:r>
    </w:p>
    <w:p w:rsidR="009029FF" w:rsidRDefault="009029FF" w:rsidP="009029FF">
      <w:pPr>
        <w:numPr>
          <w:ilvl w:val="1"/>
          <w:numId w:val="7"/>
        </w:numPr>
        <w:autoSpaceDE w:val="0"/>
        <w:autoSpaceDN w:val="0"/>
        <w:adjustRightInd w:val="0"/>
        <w:spacing w:before="120"/>
        <w:ind w:left="1701" w:hanging="567"/>
      </w:pPr>
      <w:r>
        <w:t>In broad terms, two primary costing approaches are applied:</w:t>
      </w:r>
    </w:p>
    <w:p w:rsidR="009029FF" w:rsidRDefault="009029FF" w:rsidP="009029FF">
      <w:pPr>
        <w:numPr>
          <w:ilvl w:val="2"/>
          <w:numId w:val="7"/>
        </w:numPr>
        <w:autoSpaceDE w:val="0"/>
        <w:autoSpaceDN w:val="0"/>
        <w:adjustRightInd w:val="0"/>
        <w:spacing w:before="120"/>
      </w:pPr>
      <w:r>
        <w:t>A</w:t>
      </w:r>
      <w:r w:rsidRPr="00E114B9">
        <w:t>ssessment of the</w:t>
      </w:r>
      <w:r w:rsidRPr="006A1EEC">
        <w:t xml:space="preserve"> cost of the pilot</w:t>
      </w:r>
      <w:r>
        <w:t xml:space="preserve"> is based on a detailed bottom-up costing model of the screening pathway that determines unit costs for all key programme inputs and applies actual volumes of activity undertaken. </w:t>
      </w:r>
    </w:p>
    <w:p w:rsidR="009029FF" w:rsidRDefault="009029FF" w:rsidP="009029FF">
      <w:pPr>
        <w:numPr>
          <w:ilvl w:val="2"/>
          <w:numId w:val="7"/>
        </w:numPr>
        <w:autoSpaceDE w:val="0"/>
        <w:autoSpaceDN w:val="0"/>
        <w:adjustRightInd w:val="0"/>
        <w:spacing w:before="120"/>
      </w:pPr>
      <w:r>
        <w:t xml:space="preserve">Estimates of </w:t>
      </w:r>
      <w:r w:rsidRPr="006A1EEC">
        <w:t>costs associated with treatment of bowel cancers</w:t>
      </w:r>
      <w:r>
        <w:t xml:space="preserve"> detected as a result of the pilot are based on estimates of average N</w:t>
      </w:r>
      <w:r w:rsidR="002E63AC">
        <w:t xml:space="preserve">ew </w:t>
      </w:r>
      <w:r>
        <w:t>Z</w:t>
      </w:r>
      <w:r w:rsidR="002E63AC">
        <w:t>ealand</w:t>
      </w:r>
      <w:r>
        <w:t xml:space="preserve"> lifetime costs of treating bowel cancer diagnosed at different stages.  </w:t>
      </w:r>
    </w:p>
    <w:p w:rsidR="009029FF" w:rsidRDefault="009029FF" w:rsidP="009029FF">
      <w:pPr>
        <w:numPr>
          <w:ilvl w:val="1"/>
          <w:numId w:val="7"/>
        </w:numPr>
        <w:autoSpaceDE w:val="0"/>
        <w:autoSpaceDN w:val="0"/>
        <w:adjustRightInd w:val="0"/>
        <w:spacing w:before="120"/>
        <w:ind w:left="1701" w:hanging="567"/>
      </w:pPr>
      <w:r>
        <w:t>Primary data sources are:</w:t>
      </w:r>
    </w:p>
    <w:p w:rsidR="009029FF" w:rsidRDefault="009029FF" w:rsidP="009029FF">
      <w:pPr>
        <w:numPr>
          <w:ilvl w:val="2"/>
          <w:numId w:val="7"/>
        </w:numPr>
        <w:autoSpaceDE w:val="0"/>
        <w:autoSpaceDN w:val="0"/>
        <w:adjustRightInd w:val="0"/>
        <w:spacing w:before="120"/>
      </w:pPr>
      <w:r>
        <w:t>The screening pathway model:</w:t>
      </w:r>
    </w:p>
    <w:p w:rsidR="009029FF" w:rsidRDefault="009029FF" w:rsidP="009029FF">
      <w:pPr>
        <w:numPr>
          <w:ilvl w:val="3"/>
          <w:numId w:val="7"/>
        </w:numPr>
        <w:autoSpaceDE w:val="0"/>
        <w:autoSpaceDN w:val="0"/>
        <w:adjustRightInd w:val="0"/>
        <w:spacing w:before="120"/>
      </w:pPr>
      <w:r>
        <w:t>Cost data: two detailed six month samples of actual cost data from the pilot; and cost data from the Ministry of Health.</w:t>
      </w:r>
    </w:p>
    <w:p w:rsidR="009029FF" w:rsidRDefault="009029FF" w:rsidP="009029FF">
      <w:pPr>
        <w:numPr>
          <w:ilvl w:val="3"/>
          <w:numId w:val="7"/>
        </w:numPr>
        <w:autoSpaceDE w:val="0"/>
        <w:autoSpaceDN w:val="0"/>
        <w:adjustRightInd w:val="0"/>
        <w:spacing w:before="120"/>
      </w:pPr>
      <w:r>
        <w:t>Volumes data: information reported by the BSP to the Ministry of Health on a bi-annual basis, identifying activity volumes for key parameters for the full two-year screening round; and data from the Ministry of Health published BSP monitoring indicators for the period to December 2013.</w:t>
      </w:r>
    </w:p>
    <w:p w:rsidR="009029FF" w:rsidRDefault="009029FF" w:rsidP="009029FF">
      <w:pPr>
        <w:numPr>
          <w:ilvl w:val="2"/>
          <w:numId w:val="7"/>
        </w:numPr>
        <w:autoSpaceDE w:val="0"/>
        <w:autoSpaceDN w:val="0"/>
        <w:adjustRightInd w:val="0"/>
        <w:spacing w:before="120"/>
      </w:pPr>
      <w:r>
        <w:t>The estimated costs of treating cancers:</w:t>
      </w:r>
    </w:p>
    <w:p w:rsidR="009029FF" w:rsidRPr="00B30F88" w:rsidRDefault="009029FF" w:rsidP="009029FF">
      <w:pPr>
        <w:numPr>
          <w:ilvl w:val="3"/>
          <w:numId w:val="7"/>
        </w:numPr>
        <w:autoSpaceDE w:val="0"/>
        <w:autoSpaceDN w:val="0"/>
        <w:adjustRightInd w:val="0"/>
        <w:spacing w:before="120"/>
      </w:pPr>
      <w:r>
        <w:t>An extract from Ministry of Health national data collections, provided by the University of Otago Health Research Council funded BODE</w:t>
      </w:r>
      <w:r w:rsidRPr="00B30F88">
        <w:t>3</w:t>
      </w:r>
      <w:r>
        <w:t xml:space="preserve"> programme (</w:t>
      </w:r>
      <w:r w:rsidRPr="00446427">
        <w:t>Burden of Disease Epidemiology, Equity &amp; Cost-Effectiveness Programme</w:t>
      </w:r>
      <w:r>
        <w:t>).  This d</w:t>
      </w:r>
      <w:r w:rsidRPr="00B30F88">
        <w:t>ata-extract identifies all publically funded health care activity for each New Zealander occurring from July 2006 - June 2011 with national pricing applied.</w:t>
      </w:r>
    </w:p>
    <w:p w:rsidR="009029FF" w:rsidRPr="00B30F88" w:rsidRDefault="009029FF" w:rsidP="009029FF">
      <w:pPr>
        <w:numPr>
          <w:ilvl w:val="3"/>
          <w:numId w:val="7"/>
        </w:numPr>
        <w:autoSpaceDE w:val="0"/>
        <w:autoSpaceDN w:val="0"/>
        <w:adjustRightInd w:val="0"/>
        <w:spacing w:before="120"/>
      </w:pPr>
      <w:r>
        <w:t xml:space="preserve">An extract from the </w:t>
      </w:r>
      <w:r w:rsidRPr="00150717">
        <w:t>New Zealand Cancer Registry (NZCR)</w:t>
      </w:r>
      <w:r w:rsidRPr="00B30F88">
        <w:t xml:space="preserve"> from 2011 restricted to relevant ICD codes</w:t>
      </w:r>
      <w:r>
        <w:t xml:space="preserve">, to assess the distribution of </w:t>
      </w:r>
      <w:r w:rsidRPr="00B30F88">
        <w:t xml:space="preserve">bowel cancers diagnosed at each stage in New Zealand, prior to the introduction of the </w:t>
      </w:r>
      <w:r w:rsidR="009E39AE">
        <w:t>BSP</w:t>
      </w:r>
      <w:r w:rsidRPr="00B30F88">
        <w:t xml:space="preserve">.   </w:t>
      </w:r>
    </w:p>
    <w:p w:rsidR="009029FF" w:rsidRDefault="00957CD0" w:rsidP="009029FF">
      <w:pPr>
        <w:numPr>
          <w:ilvl w:val="1"/>
          <w:numId w:val="7"/>
        </w:numPr>
        <w:autoSpaceDE w:val="0"/>
        <w:autoSpaceDN w:val="0"/>
        <w:adjustRightInd w:val="0"/>
        <w:spacing w:before="120"/>
        <w:ind w:left="1701" w:hanging="567"/>
      </w:pPr>
      <w:hyperlink w:anchor="_Appendix_2:_" w:history="1">
        <w:r w:rsidR="009029FF" w:rsidRPr="00FF27DA">
          <w:rPr>
            <w:rStyle w:val="Hyperlink"/>
          </w:rPr>
          <w:t>Appendix 2</w:t>
        </w:r>
      </w:hyperlink>
      <w:r w:rsidR="009029FF" w:rsidRPr="00A1741A">
        <w:t xml:space="preserve"> </w:t>
      </w:r>
      <w:r w:rsidR="00FF27DA">
        <w:t xml:space="preserve">contains the complete interim costing analysis report and </w:t>
      </w:r>
      <w:r w:rsidR="009029FF" w:rsidRPr="00A1741A">
        <w:t>provides the results obtained for key input parameters and tables of</w:t>
      </w:r>
      <w:r w:rsidR="009029FF">
        <w:t xml:space="preserve"> the variable and fixed cost components of the screening pathway model.</w:t>
      </w:r>
      <w:r w:rsidR="00FF27DA">
        <w:t xml:space="preserve"> </w:t>
      </w:r>
    </w:p>
    <w:p w:rsidR="009029FF" w:rsidRDefault="009029FF" w:rsidP="000B1408">
      <w:pPr>
        <w:numPr>
          <w:ilvl w:val="1"/>
          <w:numId w:val="7"/>
        </w:numPr>
        <w:autoSpaceDE w:val="0"/>
        <w:autoSpaceDN w:val="0"/>
        <w:adjustRightInd w:val="0"/>
        <w:spacing w:before="120"/>
        <w:ind w:left="1701" w:hanging="567"/>
      </w:pPr>
      <w:r>
        <w:t>The results present:</w:t>
      </w:r>
    </w:p>
    <w:p w:rsidR="009029FF" w:rsidRDefault="009029FF" w:rsidP="009029FF">
      <w:pPr>
        <w:numPr>
          <w:ilvl w:val="2"/>
          <w:numId w:val="7"/>
        </w:numPr>
        <w:autoSpaceDE w:val="0"/>
        <w:autoSpaceDN w:val="0"/>
        <w:adjustRightInd w:val="0"/>
        <w:spacing w:before="120"/>
        <w:rPr>
          <w:lang w:eastAsia="ar-SA"/>
        </w:rPr>
      </w:pPr>
      <w:r>
        <w:rPr>
          <w:lang w:eastAsia="ar-SA"/>
        </w:rPr>
        <w:t>an analysis of the nature and quantum of costs associated with the design, implementation and operation of the pilot to date;</w:t>
      </w:r>
    </w:p>
    <w:p w:rsidR="009029FF" w:rsidRDefault="009029FF" w:rsidP="009029FF">
      <w:pPr>
        <w:numPr>
          <w:ilvl w:val="2"/>
          <w:numId w:val="7"/>
        </w:numPr>
        <w:autoSpaceDE w:val="0"/>
        <w:autoSpaceDN w:val="0"/>
        <w:adjustRightInd w:val="0"/>
        <w:spacing w:before="120"/>
        <w:rPr>
          <w:lang w:eastAsia="ar-SA"/>
        </w:rPr>
      </w:pPr>
      <w:r>
        <w:rPr>
          <w:lang w:eastAsia="ar-SA"/>
        </w:rPr>
        <w:t xml:space="preserve">a forecast of estimated total cost of the BSP for two full screening rounds; and </w:t>
      </w:r>
    </w:p>
    <w:p w:rsidR="009029FF" w:rsidRDefault="009029FF" w:rsidP="009029FF">
      <w:pPr>
        <w:numPr>
          <w:ilvl w:val="2"/>
          <w:numId w:val="7"/>
        </w:numPr>
        <w:autoSpaceDE w:val="0"/>
        <w:autoSpaceDN w:val="0"/>
        <w:adjustRightInd w:val="0"/>
        <w:spacing w:before="120"/>
        <w:rPr>
          <w:lang w:eastAsia="ar-SA"/>
        </w:rPr>
      </w:pPr>
      <w:proofErr w:type="gramStart"/>
      <w:r>
        <w:rPr>
          <w:lang w:eastAsia="ar-SA"/>
        </w:rPr>
        <w:lastRenderedPageBreak/>
        <w:t>an</w:t>
      </w:r>
      <w:proofErr w:type="gramEnd"/>
      <w:r>
        <w:rPr>
          <w:lang w:eastAsia="ar-SA"/>
        </w:rPr>
        <w:t xml:space="preserve"> extrapolation of high-level estimates of the potential ‘steady state’ cost of operating a bowel screening programme on a national basis (excluding development/start-up costs and the on basis of some broad brush assumptions).</w:t>
      </w:r>
      <w:r w:rsidR="00A47CC3">
        <w:rPr>
          <w:lang w:eastAsia="ar-SA"/>
        </w:rPr>
        <w:t xml:space="preserve">  This is also presented from a regional perspective.</w:t>
      </w:r>
    </w:p>
    <w:p w:rsidR="009029FF" w:rsidRDefault="009029FF" w:rsidP="009029FF">
      <w:pPr>
        <w:numPr>
          <w:ilvl w:val="1"/>
          <w:numId w:val="7"/>
        </w:numPr>
        <w:autoSpaceDE w:val="0"/>
        <w:autoSpaceDN w:val="0"/>
        <w:adjustRightInd w:val="0"/>
        <w:spacing w:before="120"/>
        <w:ind w:left="1701" w:hanging="567"/>
      </w:pPr>
      <w:r>
        <w:t xml:space="preserve">A key part of an economic analysis is to take into account the counterfactual and to identify the incremental change that has occurred over and above ‘what would have happened anyway’, in the absence of the pilot.  It is important to emphasise that this costing analysis is </w:t>
      </w:r>
      <w:r w:rsidRPr="00B30F88">
        <w:t>n</w:t>
      </w:r>
      <w:r w:rsidRPr="00F36FE5">
        <w:t xml:space="preserve">ot </w:t>
      </w:r>
      <w:r w:rsidRPr="00925412">
        <w:t>an incremental analysis</w:t>
      </w:r>
      <w:r>
        <w:t xml:space="preserve"> but rather takes a ‘snap-shot’ perspective of costs incurred to design and run the pilot in the first two years, with some assumption-based extrapolation to inform understanding of potential future costs.  As such, it does not account, for example, for the fact that some cancers detected as a result of pilot screening, may have been detected symptomatically anyway.   </w:t>
      </w:r>
    </w:p>
    <w:p w:rsidR="009029FF" w:rsidRDefault="009029FF" w:rsidP="009029FF">
      <w:pPr>
        <w:numPr>
          <w:ilvl w:val="1"/>
          <w:numId w:val="7"/>
        </w:numPr>
        <w:autoSpaceDE w:val="0"/>
        <w:autoSpaceDN w:val="0"/>
        <w:adjustRightInd w:val="0"/>
        <w:spacing w:before="120"/>
        <w:ind w:left="1701" w:hanging="567"/>
      </w:pPr>
      <w:r>
        <w:t>Further, in extrapolating high-level estimates for the operating cost of bowel screening on a national basis, in the absence of key policy decisions about the configuration and implementation approach, we have based our analysis on some broad-brush assumptions about the way a national bowel screening programme may run in ‘steady state’.</w:t>
      </w:r>
    </w:p>
    <w:p w:rsidR="000208A9" w:rsidRDefault="00933493" w:rsidP="00604AA9">
      <w:pPr>
        <w:numPr>
          <w:ilvl w:val="0"/>
          <w:numId w:val="7"/>
        </w:numPr>
        <w:autoSpaceDE w:val="0"/>
        <w:autoSpaceDN w:val="0"/>
        <w:adjustRightInd w:val="0"/>
        <w:spacing w:before="120"/>
        <w:ind w:left="1134" w:hanging="425"/>
      </w:pPr>
      <w:r w:rsidRPr="00741AE4">
        <w:rPr>
          <w:b/>
        </w:rPr>
        <w:t>The r</w:t>
      </w:r>
      <w:r w:rsidR="00EA55DB" w:rsidRPr="00741AE4">
        <w:rPr>
          <w:b/>
        </w:rPr>
        <w:t>eports on the b</w:t>
      </w:r>
      <w:r w:rsidRPr="00741AE4">
        <w:rPr>
          <w:b/>
        </w:rPr>
        <w:t>aseline and follow</w:t>
      </w:r>
      <w:r w:rsidR="009C750D">
        <w:rPr>
          <w:b/>
        </w:rPr>
        <w:t>-</w:t>
      </w:r>
      <w:r w:rsidR="00935E9F" w:rsidRPr="00741AE4">
        <w:rPr>
          <w:b/>
        </w:rPr>
        <w:t xml:space="preserve">up </w:t>
      </w:r>
      <w:r w:rsidR="000208A9" w:rsidRPr="00741AE4">
        <w:rPr>
          <w:b/>
        </w:rPr>
        <w:t>survey</w:t>
      </w:r>
      <w:r w:rsidR="00F03990">
        <w:rPr>
          <w:b/>
        </w:rPr>
        <w:t>s</w:t>
      </w:r>
      <w:r w:rsidR="000208A9" w:rsidRPr="00741AE4">
        <w:rPr>
          <w:b/>
        </w:rPr>
        <w:t xml:space="preserve"> of eligible </w:t>
      </w:r>
      <w:r w:rsidR="00970B2D" w:rsidRPr="00741AE4">
        <w:rPr>
          <w:b/>
        </w:rPr>
        <w:t xml:space="preserve">BSP </w:t>
      </w:r>
      <w:r w:rsidR="000208A9" w:rsidRPr="00741AE4">
        <w:rPr>
          <w:b/>
        </w:rPr>
        <w:t>population</w:t>
      </w:r>
      <w:r w:rsidR="000208A9">
        <w:t xml:space="preserve"> </w:t>
      </w:r>
      <w:r w:rsidR="00970B2D">
        <w:t xml:space="preserve">(Litmus </w:t>
      </w:r>
      <w:r w:rsidR="00EA55DB">
        <w:t>2012</w:t>
      </w:r>
      <w:r w:rsidR="00970B2D">
        <w:t xml:space="preserve"> and </w:t>
      </w:r>
      <w:r w:rsidR="00EA55DB">
        <w:t>2014</w:t>
      </w:r>
      <w:r>
        <w:t>a</w:t>
      </w:r>
      <w:r w:rsidR="00970B2D">
        <w:t xml:space="preserve">) </w:t>
      </w:r>
    </w:p>
    <w:p w:rsidR="00933493" w:rsidRDefault="00933493" w:rsidP="00604AA9">
      <w:pPr>
        <w:numPr>
          <w:ilvl w:val="1"/>
          <w:numId w:val="7"/>
        </w:numPr>
        <w:autoSpaceDE w:val="0"/>
        <w:autoSpaceDN w:val="0"/>
        <w:adjustRightInd w:val="0"/>
        <w:spacing w:before="120"/>
        <w:ind w:left="1701" w:hanging="567"/>
      </w:pPr>
      <w:r w:rsidRPr="00C95C03">
        <w:t>The surve</w:t>
      </w:r>
      <w:r w:rsidR="009C750D">
        <w:t>ys</w:t>
      </w:r>
      <w:r w:rsidRPr="00C95C03">
        <w:t xml:space="preserve"> measure</w:t>
      </w:r>
      <w:r w:rsidR="004D1220">
        <w:t>d</w:t>
      </w:r>
      <w:r w:rsidRPr="00C95C03">
        <w:t xml:space="preserve"> awareness, knowledge and attitudes towards bowel cancer and the BSP. </w:t>
      </w:r>
      <w:r w:rsidR="00330B74">
        <w:t xml:space="preserve"> </w:t>
      </w:r>
      <w:r>
        <w:t>Baseline surveys were conducte</w:t>
      </w:r>
      <w:r w:rsidR="00330B74">
        <w:t>d in November</w:t>
      </w:r>
      <w:r w:rsidR="009C750D">
        <w:t xml:space="preserve"> </w:t>
      </w:r>
      <w:r w:rsidRPr="00C95C03">
        <w:t>–</w:t>
      </w:r>
      <w:r w:rsidR="009C750D">
        <w:t xml:space="preserve"> </w:t>
      </w:r>
      <w:r>
        <w:t xml:space="preserve">December 2011; one with 50–74 </w:t>
      </w:r>
      <w:r w:rsidRPr="00BE4D93">
        <w:t xml:space="preserve">year olds (the eligible screening population) living within WDHB and one with 50–74 year olds living outside of WDHB. </w:t>
      </w:r>
      <w:r w:rsidR="004D1220">
        <w:t xml:space="preserve"> </w:t>
      </w:r>
      <w:r>
        <w:t>The</w:t>
      </w:r>
      <w:r w:rsidRPr="00BE4D93">
        <w:t xml:space="preserve"> follow</w:t>
      </w:r>
      <w:r w:rsidR="009C750D">
        <w:t>-</w:t>
      </w:r>
      <w:r w:rsidRPr="00BE4D93">
        <w:t xml:space="preserve">up survey of </w:t>
      </w:r>
      <w:r w:rsidR="00330B74" w:rsidRPr="00BE4D93">
        <w:t xml:space="preserve">the eligible screening population </w:t>
      </w:r>
      <w:r w:rsidR="00330B74">
        <w:t xml:space="preserve">living in </w:t>
      </w:r>
      <w:r w:rsidRPr="00BE4D93">
        <w:t xml:space="preserve">WDHB </w:t>
      </w:r>
      <w:r>
        <w:t>was</w:t>
      </w:r>
      <w:r w:rsidRPr="00BE4D93">
        <w:t xml:space="preserve"> undertaken in </w:t>
      </w:r>
      <w:r>
        <w:t>October</w:t>
      </w:r>
      <w:r w:rsidRPr="00BE4D93">
        <w:t xml:space="preserve"> 2013 to </w:t>
      </w:r>
      <w:r>
        <w:t>identify</w:t>
      </w:r>
      <w:r w:rsidRPr="00BE4D93">
        <w:t xml:space="preserve"> changes in awareness, attitudes, knowledge and involvement with</w:t>
      </w:r>
      <w:r w:rsidR="00330B74">
        <w:t xml:space="preserve"> the BSP over time</w:t>
      </w:r>
      <w:r w:rsidRPr="00BE4D93">
        <w:t xml:space="preserve">. </w:t>
      </w:r>
    </w:p>
    <w:p w:rsidR="004D1220" w:rsidRDefault="004D1220" w:rsidP="00604AA9">
      <w:pPr>
        <w:numPr>
          <w:ilvl w:val="1"/>
          <w:numId w:val="7"/>
        </w:numPr>
        <w:autoSpaceDE w:val="0"/>
        <w:autoSpaceDN w:val="0"/>
        <w:adjustRightInd w:val="0"/>
        <w:spacing w:before="120"/>
        <w:ind w:left="1701" w:hanging="567"/>
      </w:pPr>
      <w:r>
        <w:t xml:space="preserve">All of the </w:t>
      </w:r>
      <w:r w:rsidRPr="00C95C03">
        <w:t>surveys were administered using computer</w:t>
      </w:r>
      <w:r w:rsidR="009C750D">
        <w:t xml:space="preserve"> </w:t>
      </w:r>
      <w:r w:rsidRPr="00C95C03">
        <w:t>assisted telephone interviewing</w:t>
      </w:r>
      <w:r>
        <w:t xml:space="preserve"> (CATI).  </w:t>
      </w:r>
    </w:p>
    <w:p w:rsidR="004D1220" w:rsidRDefault="004D1220" w:rsidP="00604AA9">
      <w:pPr>
        <w:numPr>
          <w:ilvl w:val="1"/>
          <w:numId w:val="7"/>
        </w:numPr>
        <w:autoSpaceDE w:val="0"/>
        <w:autoSpaceDN w:val="0"/>
        <w:adjustRightInd w:val="0"/>
        <w:spacing w:before="120"/>
        <w:ind w:left="1701" w:hanging="567"/>
      </w:pPr>
      <w:r>
        <w:t>In 2013</w:t>
      </w:r>
      <w:r w:rsidR="00330B74">
        <w:t>,</w:t>
      </w:r>
      <w:r>
        <w:t xml:space="preserve"> a</w:t>
      </w:r>
      <w:r w:rsidRPr="006229BC">
        <w:t xml:space="preserve">s with the 2011 survey, a main sample of 500 respondents was interviewed, plus a booster sample of 200 respondents (100 Māori and 100 Pacific). </w:t>
      </w:r>
      <w:r>
        <w:t xml:space="preserve"> </w:t>
      </w:r>
      <w:r w:rsidRPr="006229BC">
        <w:t xml:space="preserve">Each of the main and booster samples comprised a mix of </w:t>
      </w:r>
      <w:r>
        <w:t>randomly selected respondents (from the White Pages) and a sample recontacted from the 2011 WDHB survey (who agreed to be recontacted and for whom a name and phone number were available</w:t>
      </w:r>
      <w:r w:rsidRPr="000526DE">
        <w:t xml:space="preserve">). </w:t>
      </w:r>
    </w:p>
    <w:p w:rsidR="008B271C" w:rsidRDefault="008B271C" w:rsidP="008B271C">
      <w:pPr>
        <w:numPr>
          <w:ilvl w:val="1"/>
          <w:numId w:val="7"/>
        </w:numPr>
        <w:autoSpaceDE w:val="0"/>
        <w:autoSpaceDN w:val="0"/>
        <w:adjustRightInd w:val="0"/>
        <w:spacing w:before="120"/>
        <w:ind w:left="1701" w:hanging="567"/>
      </w:pPr>
      <w:bookmarkStart w:id="70" w:name="_Toc376784291"/>
      <w:bookmarkStart w:id="71" w:name="_Toc380498558"/>
      <w:r w:rsidRPr="00C95C03">
        <w:t xml:space="preserve">Response rates for each survey are shown in Table </w:t>
      </w:r>
      <w:r>
        <w:t>3</w:t>
      </w:r>
      <w:r w:rsidRPr="00C95C03">
        <w:t xml:space="preserve">. </w:t>
      </w:r>
    </w:p>
    <w:p w:rsidR="00672B79" w:rsidRDefault="00672B79" w:rsidP="00965798">
      <w:pPr>
        <w:pStyle w:val="Table"/>
        <w:ind w:left="1134"/>
      </w:pPr>
    </w:p>
    <w:p w:rsidR="008B271C" w:rsidRPr="00C95C03" w:rsidRDefault="008B271C" w:rsidP="00965798">
      <w:pPr>
        <w:pStyle w:val="Table"/>
        <w:ind w:left="1134"/>
      </w:pPr>
      <w:bookmarkStart w:id="72" w:name="_Toc412540156"/>
      <w:r w:rsidRPr="00C95C03">
        <w:t xml:space="preserve">Table </w:t>
      </w:r>
      <w:r>
        <w:t>3</w:t>
      </w:r>
      <w:r w:rsidRPr="00C95C03">
        <w:t xml:space="preserve">: Achieved response rates, </w:t>
      </w:r>
      <w:r w:rsidRPr="006A71AB">
        <w:t>Waitemata District Health Board</w:t>
      </w:r>
      <w:r w:rsidRPr="00C95C03">
        <w:t xml:space="preserve"> </w:t>
      </w:r>
      <w:r>
        <w:t xml:space="preserve">randomly selected </w:t>
      </w:r>
      <w:r w:rsidRPr="00C95C03">
        <w:t xml:space="preserve">main and booster samples, </w:t>
      </w:r>
      <w:r>
        <w:t xml:space="preserve">and main and booster recontact sample </w:t>
      </w:r>
      <w:r w:rsidRPr="00C95C03">
        <w:t>201</w:t>
      </w:r>
      <w:r>
        <w:t>3 compared to 2011 response rates</w:t>
      </w:r>
      <w:bookmarkEnd w:id="70"/>
      <w:bookmarkEnd w:id="71"/>
      <w:bookmarkEnd w:id="72"/>
    </w:p>
    <w:tbl>
      <w:tblPr>
        <w:tblW w:w="8009" w:type="dxa"/>
        <w:tblInd w:w="1242" w:type="dxa"/>
        <w:tblLayout w:type="fixed"/>
        <w:tblLook w:val="04A0" w:firstRow="1" w:lastRow="0" w:firstColumn="1" w:lastColumn="0" w:noHBand="0" w:noVBand="1"/>
      </w:tblPr>
      <w:tblGrid>
        <w:gridCol w:w="2127"/>
        <w:gridCol w:w="2054"/>
        <w:gridCol w:w="1914"/>
        <w:gridCol w:w="1914"/>
      </w:tblGrid>
      <w:tr w:rsidR="008B271C" w:rsidRPr="00C95C03" w:rsidTr="00965798">
        <w:trPr>
          <w:trHeight w:val="525"/>
        </w:trPr>
        <w:tc>
          <w:tcPr>
            <w:tcW w:w="4181" w:type="dxa"/>
            <w:gridSpan w:val="2"/>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tcPr>
          <w:p w:rsidR="008B271C" w:rsidRPr="00C95C03" w:rsidRDefault="008B271C" w:rsidP="007E6953">
            <w:pPr>
              <w:spacing w:before="0"/>
              <w:ind w:left="0"/>
              <w:rPr>
                <w:rFonts w:cs="Arial"/>
                <w:b/>
                <w:bCs/>
                <w:sz w:val="18"/>
                <w:szCs w:val="18"/>
                <w:lang w:eastAsia="en-US"/>
              </w:rPr>
            </w:pPr>
            <w:r>
              <w:rPr>
                <w:rFonts w:cs="Arial"/>
                <w:b/>
                <w:bCs/>
                <w:sz w:val="18"/>
                <w:szCs w:val="18"/>
                <w:lang w:eastAsia="en-US"/>
              </w:rPr>
              <w:t>Samples</w:t>
            </w:r>
          </w:p>
        </w:tc>
        <w:tc>
          <w:tcPr>
            <w:tcW w:w="1914" w:type="dxa"/>
            <w:tcBorders>
              <w:top w:val="single" w:sz="8" w:space="0" w:color="auto"/>
              <w:left w:val="nil"/>
              <w:bottom w:val="single" w:sz="8" w:space="0" w:color="auto"/>
              <w:right w:val="single" w:sz="8" w:space="0" w:color="auto"/>
            </w:tcBorders>
            <w:shd w:val="clear" w:color="auto" w:fill="C2D69B" w:themeFill="accent3" w:themeFillTint="99"/>
          </w:tcPr>
          <w:p w:rsidR="008B271C" w:rsidRDefault="008B271C" w:rsidP="007E6953">
            <w:pPr>
              <w:spacing w:before="0"/>
              <w:ind w:left="0"/>
              <w:jc w:val="center"/>
              <w:rPr>
                <w:rFonts w:eastAsia="Calibri" w:cs="Arial"/>
                <w:b/>
                <w:sz w:val="18"/>
                <w:szCs w:val="18"/>
                <w:lang w:eastAsia="en-US"/>
              </w:rPr>
            </w:pPr>
            <w:r>
              <w:rPr>
                <w:rFonts w:eastAsia="Calibri" w:cs="Arial"/>
                <w:b/>
                <w:sz w:val="18"/>
                <w:szCs w:val="18"/>
                <w:lang w:eastAsia="en-US"/>
              </w:rPr>
              <w:t>Survey 2013</w:t>
            </w:r>
          </w:p>
          <w:p w:rsidR="008B271C" w:rsidRPr="00C95C03" w:rsidRDefault="008B271C" w:rsidP="007E6953">
            <w:pPr>
              <w:spacing w:before="0"/>
              <w:ind w:left="0"/>
              <w:jc w:val="center"/>
              <w:rPr>
                <w:rFonts w:eastAsia="Calibri" w:cs="Arial"/>
                <w:b/>
                <w:sz w:val="18"/>
                <w:szCs w:val="18"/>
                <w:lang w:eastAsia="en-US"/>
              </w:rPr>
            </w:pPr>
            <w:r>
              <w:rPr>
                <w:rFonts w:eastAsia="Calibri" w:cs="Arial"/>
                <w:b/>
                <w:sz w:val="18"/>
                <w:szCs w:val="18"/>
                <w:lang w:eastAsia="en-US"/>
              </w:rPr>
              <w:t>(%)</w:t>
            </w:r>
          </w:p>
        </w:tc>
        <w:tc>
          <w:tcPr>
            <w:tcW w:w="1914" w:type="dxa"/>
            <w:tcBorders>
              <w:top w:val="single" w:sz="8" w:space="0" w:color="auto"/>
              <w:left w:val="nil"/>
              <w:bottom w:val="single" w:sz="8" w:space="0" w:color="auto"/>
              <w:right w:val="single" w:sz="8" w:space="0" w:color="auto"/>
            </w:tcBorders>
            <w:shd w:val="clear" w:color="auto" w:fill="C2D69B" w:themeFill="accent3" w:themeFillTint="99"/>
          </w:tcPr>
          <w:p w:rsidR="008B271C" w:rsidRDefault="008B271C" w:rsidP="007E6953">
            <w:pPr>
              <w:spacing w:before="0"/>
              <w:ind w:left="0"/>
              <w:jc w:val="center"/>
              <w:rPr>
                <w:rFonts w:eastAsia="Calibri" w:cs="Arial"/>
                <w:b/>
                <w:sz w:val="18"/>
                <w:szCs w:val="18"/>
                <w:lang w:eastAsia="en-US"/>
              </w:rPr>
            </w:pPr>
            <w:r>
              <w:rPr>
                <w:rFonts w:eastAsia="Calibri" w:cs="Arial"/>
                <w:b/>
                <w:sz w:val="18"/>
                <w:szCs w:val="18"/>
                <w:lang w:eastAsia="en-US"/>
              </w:rPr>
              <w:t>Survey 2011</w:t>
            </w:r>
          </w:p>
          <w:p w:rsidR="008B271C" w:rsidRPr="00C95C03" w:rsidRDefault="008B271C" w:rsidP="007E6953">
            <w:pPr>
              <w:spacing w:before="0"/>
              <w:ind w:left="0"/>
              <w:jc w:val="center"/>
              <w:rPr>
                <w:rFonts w:eastAsia="Calibri" w:cs="Arial"/>
                <w:b/>
                <w:sz w:val="18"/>
                <w:szCs w:val="18"/>
                <w:lang w:eastAsia="en-US"/>
              </w:rPr>
            </w:pPr>
            <w:r>
              <w:rPr>
                <w:rFonts w:eastAsia="Calibri" w:cs="Arial"/>
                <w:b/>
                <w:sz w:val="18"/>
                <w:szCs w:val="18"/>
                <w:lang w:eastAsia="en-US"/>
              </w:rPr>
              <w:t>(%)</w:t>
            </w:r>
          </w:p>
        </w:tc>
      </w:tr>
      <w:tr w:rsidR="008B271C" w:rsidRPr="00C95C03" w:rsidTr="00965798">
        <w:trPr>
          <w:trHeight w:val="270"/>
        </w:trPr>
        <w:tc>
          <w:tcPr>
            <w:tcW w:w="2127" w:type="dxa"/>
            <w:vMerge w:val="restart"/>
            <w:tcBorders>
              <w:top w:val="nil"/>
              <w:left w:val="single" w:sz="8" w:space="0" w:color="auto"/>
              <w:right w:val="single" w:sz="8" w:space="0" w:color="auto"/>
            </w:tcBorders>
            <w:shd w:val="clear" w:color="auto" w:fill="auto"/>
            <w:noWrap/>
            <w:vAlign w:val="center"/>
          </w:tcPr>
          <w:p w:rsidR="008B271C" w:rsidRPr="00C95C03" w:rsidRDefault="008B271C" w:rsidP="007E6953">
            <w:pPr>
              <w:spacing w:before="0"/>
              <w:ind w:left="0"/>
              <w:rPr>
                <w:rFonts w:cs="Arial"/>
                <w:sz w:val="18"/>
                <w:szCs w:val="18"/>
                <w:lang w:eastAsia="en-US"/>
              </w:rPr>
            </w:pPr>
            <w:r>
              <w:rPr>
                <w:rFonts w:cs="Arial"/>
                <w:sz w:val="18"/>
                <w:szCs w:val="18"/>
                <w:lang w:eastAsia="en-US"/>
              </w:rPr>
              <w:t>Recontact samples</w:t>
            </w:r>
          </w:p>
        </w:tc>
        <w:tc>
          <w:tcPr>
            <w:tcW w:w="2054" w:type="dxa"/>
            <w:tcBorders>
              <w:top w:val="single" w:sz="8" w:space="0" w:color="auto"/>
              <w:left w:val="nil"/>
              <w:bottom w:val="single" w:sz="8" w:space="0" w:color="auto"/>
              <w:right w:val="single" w:sz="8" w:space="0" w:color="auto"/>
            </w:tcBorders>
            <w:shd w:val="clear" w:color="auto" w:fill="FFFFFF"/>
            <w:vAlign w:val="center"/>
          </w:tcPr>
          <w:p w:rsidR="008B271C" w:rsidRPr="00C95C03" w:rsidRDefault="008B271C" w:rsidP="007E6953">
            <w:pPr>
              <w:spacing w:before="0"/>
              <w:ind w:left="0"/>
              <w:rPr>
                <w:rFonts w:cs="Arial"/>
                <w:bCs/>
                <w:sz w:val="18"/>
                <w:szCs w:val="18"/>
                <w:lang w:eastAsia="en-US"/>
              </w:rPr>
            </w:pPr>
            <w:r>
              <w:rPr>
                <w:rFonts w:cs="Arial"/>
                <w:bCs/>
                <w:sz w:val="18"/>
                <w:szCs w:val="18"/>
                <w:lang w:eastAsia="en-US"/>
              </w:rPr>
              <w:t xml:space="preserve">Main sample  </w:t>
            </w:r>
          </w:p>
        </w:tc>
        <w:tc>
          <w:tcPr>
            <w:tcW w:w="1914" w:type="dxa"/>
            <w:tcBorders>
              <w:top w:val="single" w:sz="8" w:space="0" w:color="auto"/>
              <w:left w:val="nil"/>
              <w:bottom w:val="single" w:sz="8" w:space="0" w:color="auto"/>
              <w:right w:val="single" w:sz="8" w:space="0" w:color="auto"/>
            </w:tcBorders>
            <w:shd w:val="clear" w:color="auto" w:fill="FFFFFF"/>
            <w:vAlign w:val="center"/>
          </w:tcPr>
          <w:p w:rsidR="008B271C" w:rsidRPr="00C95C03" w:rsidRDefault="008B271C" w:rsidP="007E6953">
            <w:pPr>
              <w:spacing w:before="0"/>
              <w:ind w:left="0"/>
              <w:jc w:val="center"/>
              <w:rPr>
                <w:rFonts w:cs="Arial"/>
                <w:bCs/>
                <w:sz w:val="18"/>
                <w:szCs w:val="18"/>
                <w:lang w:eastAsia="en-US"/>
              </w:rPr>
            </w:pPr>
            <w:r>
              <w:rPr>
                <w:rFonts w:cs="Arial"/>
                <w:bCs/>
                <w:sz w:val="18"/>
                <w:szCs w:val="18"/>
                <w:lang w:eastAsia="en-US"/>
              </w:rPr>
              <w:t xml:space="preserve">58.1 </w:t>
            </w:r>
          </w:p>
        </w:tc>
        <w:tc>
          <w:tcPr>
            <w:tcW w:w="1914" w:type="dxa"/>
            <w:tcBorders>
              <w:top w:val="single" w:sz="8" w:space="0" w:color="auto"/>
              <w:left w:val="single" w:sz="8" w:space="0" w:color="auto"/>
              <w:bottom w:val="single" w:sz="8" w:space="0" w:color="auto"/>
              <w:right w:val="single" w:sz="8" w:space="0" w:color="auto"/>
            </w:tcBorders>
            <w:shd w:val="clear" w:color="auto" w:fill="FFFFFF"/>
          </w:tcPr>
          <w:p w:rsidR="008B271C" w:rsidRPr="00C95C03" w:rsidRDefault="008B271C" w:rsidP="007E6953">
            <w:pPr>
              <w:spacing w:before="0"/>
              <w:ind w:left="0"/>
              <w:jc w:val="center"/>
              <w:rPr>
                <w:rFonts w:cs="Arial"/>
                <w:bCs/>
                <w:sz w:val="18"/>
                <w:szCs w:val="18"/>
                <w:lang w:eastAsia="en-US"/>
              </w:rPr>
            </w:pPr>
            <w:r>
              <w:rPr>
                <w:rFonts w:cs="Arial"/>
                <w:bCs/>
                <w:sz w:val="18"/>
                <w:szCs w:val="18"/>
                <w:lang w:eastAsia="en-US"/>
              </w:rPr>
              <w:t>-</w:t>
            </w:r>
          </w:p>
        </w:tc>
      </w:tr>
      <w:tr w:rsidR="008B271C" w:rsidRPr="00C95C03" w:rsidTr="00965798">
        <w:trPr>
          <w:trHeight w:val="270"/>
        </w:trPr>
        <w:tc>
          <w:tcPr>
            <w:tcW w:w="2127" w:type="dxa"/>
            <w:vMerge/>
            <w:tcBorders>
              <w:left w:val="single" w:sz="8" w:space="0" w:color="auto"/>
              <w:bottom w:val="single" w:sz="8" w:space="0" w:color="auto"/>
              <w:right w:val="single" w:sz="8" w:space="0" w:color="auto"/>
            </w:tcBorders>
            <w:shd w:val="clear" w:color="auto" w:fill="auto"/>
            <w:noWrap/>
            <w:vAlign w:val="center"/>
          </w:tcPr>
          <w:p w:rsidR="008B271C" w:rsidRPr="00C95C03" w:rsidRDefault="008B271C" w:rsidP="007E6953">
            <w:pPr>
              <w:spacing w:before="0"/>
              <w:ind w:left="0"/>
              <w:rPr>
                <w:rFonts w:cs="Arial"/>
                <w:sz w:val="18"/>
                <w:szCs w:val="18"/>
                <w:lang w:eastAsia="en-US"/>
              </w:rPr>
            </w:pPr>
          </w:p>
        </w:tc>
        <w:tc>
          <w:tcPr>
            <w:tcW w:w="2054" w:type="dxa"/>
            <w:tcBorders>
              <w:top w:val="single" w:sz="8" w:space="0" w:color="auto"/>
              <w:left w:val="nil"/>
              <w:bottom w:val="single" w:sz="8" w:space="0" w:color="auto"/>
              <w:right w:val="single" w:sz="8" w:space="0" w:color="auto"/>
            </w:tcBorders>
            <w:shd w:val="clear" w:color="auto" w:fill="FFFFFF"/>
            <w:vAlign w:val="center"/>
          </w:tcPr>
          <w:p w:rsidR="008B271C" w:rsidRPr="00C95C03" w:rsidRDefault="008B271C" w:rsidP="007E6953">
            <w:pPr>
              <w:spacing w:before="0"/>
              <w:ind w:left="0"/>
              <w:rPr>
                <w:rFonts w:cs="Arial"/>
                <w:bCs/>
                <w:sz w:val="18"/>
                <w:szCs w:val="18"/>
                <w:lang w:eastAsia="en-US"/>
              </w:rPr>
            </w:pPr>
            <w:r>
              <w:rPr>
                <w:rFonts w:cs="Arial"/>
                <w:bCs/>
                <w:sz w:val="18"/>
                <w:szCs w:val="18"/>
                <w:lang w:eastAsia="en-US"/>
              </w:rPr>
              <w:t xml:space="preserve">Booster sample </w:t>
            </w:r>
          </w:p>
        </w:tc>
        <w:tc>
          <w:tcPr>
            <w:tcW w:w="1914" w:type="dxa"/>
            <w:tcBorders>
              <w:top w:val="single" w:sz="8" w:space="0" w:color="auto"/>
              <w:left w:val="nil"/>
              <w:bottom w:val="single" w:sz="8" w:space="0" w:color="auto"/>
              <w:right w:val="single" w:sz="8" w:space="0" w:color="auto"/>
            </w:tcBorders>
            <w:shd w:val="clear" w:color="auto" w:fill="FFFFFF"/>
            <w:vAlign w:val="center"/>
          </w:tcPr>
          <w:p w:rsidR="008B271C" w:rsidRPr="00C95C03" w:rsidRDefault="008B271C" w:rsidP="007E6953">
            <w:pPr>
              <w:spacing w:before="0"/>
              <w:ind w:left="0"/>
              <w:jc w:val="center"/>
              <w:rPr>
                <w:rFonts w:cs="Arial"/>
                <w:bCs/>
                <w:sz w:val="18"/>
                <w:szCs w:val="18"/>
                <w:lang w:eastAsia="en-US"/>
              </w:rPr>
            </w:pPr>
            <w:r>
              <w:rPr>
                <w:rFonts w:cs="Arial"/>
                <w:bCs/>
                <w:sz w:val="18"/>
                <w:szCs w:val="18"/>
                <w:lang w:eastAsia="en-US"/>
              </w:rPr>
              <w:t>47.3</w:t>
            </w:r>
          </w:p>
        </w:tc>
        <w:tc>
          <w:tcPr>
            <w:tcW w:w="1914" w:type="dxa"/>
            <w:tcBorders>
              <w:top w:val="single" w:sz="8" w:space="0" w:color="auto"/>
              <w:left w:val="single" w:sz="8" w:space="0" w:color="auto"/>
              <w:bottom w:val="single" w:sz="8" w:space="0" w:color="auto"/>
              <w:right w:val="single" w:sz="8" w:space="0" w:color="auto"/>
            </w:tcBorders>
            <w:shd w:val="clear" w:color="auto" w:fill="FFFFFF"/>
          </w:tcPr>
          <w:p w:rsidR="008B271C" w:rsidRPr="00C95C03" w:rsidRDefault="008B271C" w:rsidP="007E6953">
            <w:pPr>
              <w:spacing w:before="0"/>
              <w:ind w:left="0"/>
              <w:jc w:val="center"/>
              <w:rPr>
                <w:rFonts w:cs="Arial"/>
                <w:bCs/>
                <w:sz w:val="18"/>
                <w:szCs w:val="18"/>
                <w:lang w:eastAsia="en-US"/>
              </w:rPr>
            </w:pPr>
            <w:r>
              <w:rPr>
                <w:rFonts w:cs="Arial"/>
                <w:bCs/>
                <w:sz w:val="18"/>
                <w:szCs w:val="18"/>
                <w:lang w:eastAsia="en-US"/>
              </w:rPr>
              <w:t>-</w:t>
            </w:r>
          </w:p>
        </w:tc>
      </w:tr>
      <w:tr w:rsidR="008B271C" w:rsidRPr="00664B3A" w:rsidTr="00965798">
        <w:trPr>
          <w:trHeight w:val="270"/>
        </w:trPr>
        <w:tc>
          <w:tcPr>
            <w:tcW w:w="2127" w:type="dxa"/>
            <w:vMerge w:val="restart"/>
            <w:tcBorders>
              <w:top w:val="single" w:sz="8" w:space="0" w:color="auto"/>
              <w:left w:val="single" w:sz="8" w:space="0" w:color="auto"/>
              <w:right w:val="single" w:sz="8" w:space="0" w:color="auto"/>
            </w:tcBorders>
            <w:shd w:val="clear" w:color="auto" w:fill="auto"/>
            <w:noWrap/>
            <w:vAlign w:val="center"/>
          </w:tcPr>
          <w:p w:rsidR="008B271C" w:rsidRPr="00C95C03" w:rsidRDefault="008B271C" w:rsidP="007E6953">
            <w:pPr>
              <w:spacing w:before="0"/>
              <w:ind w:left="0"/>
              <w:rPr>
                <w:rFonts w:cs="Arial"/>
                <w:sz w:val="18"/>
                <w:szCs w:val="18"/>
                <w:lang w:eastAsia="en-US"/>
              </w:rPr>
            </w:pPr>
            <w:r w:rsidRPr="00664B3A">
              <w:rPr>
                <w:rFonts w:cs="Arial"/>
                <w:sz w:val="18"/>
                <w:szCs w:val="18"/>
                <w:lang w:eastAsia="en-US"/>
              </w:rPr>
              <w:t>Randomly selected sample</w:t>
            </w:r>
            <w:r>
              <w:rPr>
                <w:rFonts w:cs="Arial"/>
                <w:sz w:val="18"/>
                <w:szCs w:val="18"/>
                <w:lang w:eastAsia="en-US"/>
              </w:rPr>
              <w:t>s</w:t>
            </w:r>
          </w:p>
        </w:tc>
        <w:tc>
          <w:tcPr>
            <w:tcW w:w="2054" w:type="dxa"/>
            <w:tcBorders>
              <w:top w:val="single" w:sz="8" w:space="0" w:color="auto"/>
              <w:left w:val="nil"/>
              <w:bottom w:val="single" w:sz="4" w:space="0" w:color="auto"/>
              <w:right w:val="single" w:sz="8" w:space="0" w:color="auto"/>
            </w:tcBorders>
            <w:shd w:val="clear" w:color="auto" w:fill="FFFFFF"/>
            <w:vAlign w:val="center"/>
          </w:tcPr>
          <w:p w:rsidR="008B271C" w:rsidRPr="00C95C03" w:rsidRDefault="008B271C" w:rsidP="007E6953">
            <w:pPr>
              <w:spacing w:before="0"/>
              <w:ind w:left="0"/>
              <w:rPr>
                <w:rFonts w:cs="Arial"/>
                <w:bCs/>
                <w:sz w:val="18"/>
                <w:szCs w:val="18"/>
                <w:lang w:eastAsia="en-US"/>
              </w:rPr>
            </w:pPr>
            <w:r>
              <w:rPr>
                <w:rFonts w:cs="Arial"/>
                <w:bCs/>
                <w:sz w:val="18"/>
                <w:szCs w:val="18"/>
                <w:lang w:eastAsia="en-US"/>
              </w:rPr>
              <w:t xml:space="preserve">Main sample  </w:t>
            </w:r>
          </w:p>
        </w:tc>
        <w:tc>
          <w:tcPr>
            <w:tcW w:w="1914" w:type="dxa"/>
            <w:tcBorders>
              <w:top w:val="single" w:sz="8" w:space="0" w:color="auto"/>
              <w:left w:val="nil"/>
              <w:bottom w:val="single" w:sz="4" w:space="0" w:color="auto"/>
              <w:right w:val="single" w:sz="8" w:space="0" w:color="auto"/>
            </w:tcBorders>
            <w:shd w:val="clear" w:color="auto" w:fill="FFFFFF"/>
            <w:vAlign w:val="center"/>
          </w:tcPr>
          <w:p w:rsidR="008B271C" w:rsidRPr="00664B3A" w:rsidRDefault="008B271C" w:rsidP="007E6953">
            <w:pPr>
              <w:spacing w:before="0"/>
              <w:ind w:left="0"/>
              <w:jc w:val="center"/>
              <w:rPr>
                <w:rFonts w:cs="Arial"/>
                <w:bCs/>
                <w:sz w:val="18"/>
                <w:szCs w:val="18"/>
                <w:lang w:eastAsia="en-US"/>
              </w:rPr>
            </w:pPr>
            <w:r>
              <w:rPr>
                <w:rFonts w:cs="Arial"/>
                <w:bCs/>
                <w:sz w:val="18"/>
                <w:szCs w:val="18"/>
                <w:lang w:eastAsia="en-US"/>
              </w:rPr>
              <w:t>32.0</w:t>
            </w:r>
          </w:p>
        </w:tc>
        <w:tc>
          <w:tcPr>
            <w:tcW w:w="1914" w:type="dxa"/>
            <w:tcBorders>
              <w:top w:val="single" w:sz="8" w:space="0" w:color="auto"/>
              <w:left w:val="single" w:sz="8" w:space="0" w:color="auto"/>
              <w:bottom w:val="single" w:sz="4" w:space="0" w:color="auto"/>
              <w:right w:val="single" w:sz="8" w:space="0" w:color="auto"/>
            </w:tcBorders>
            <w:shd w:val="clear" w:color="auto" w:fill="FFFFFF"/>
          </w:tcPr>
          <w:p w:rsidR="008B271C" w:rsidRPr="00664B3A" w:rsidRDefault="008B271C" w:rsidP="007E6953">
            <w:pPr>
              <w:spacing w:before="0"/>
              <w:ind w:left="0"/>
              <w:jc w:val="center"/>
              <w:rPr>
                <w:rFonts w:cs="Arial"/>
                <w:bCs/>
                <w:sz w:val="18"/>
                <w:szCs w:val="18"/>
                <w:lang w:eastAsia="en-US"/>
              </w:rPr>
            </w:pPr>
            <w:r>
              <w:rPr>
                <w:rFonts w:cs="Arial"/>
                <w:bCs/>
                <w:sz w:val="18"/>
                <w:szCs w:val="18"/>
                <w:lang w:eastAsia="en-US"/>
              </w:rPr>
              <w:t>22.4</w:t>
            </w:r>
          </w:p>
        </w:tc>
      </w:tr>
      <w:tr w:rsidR="008B271C" w:rsidRPr="00C95C03" w:rsidTr="00965798">
        <w:trPr>
          <w:trHeight w:val="270"/>
        </w:trPr>
        <w:tc>
          <w:tcPr>
            <w:tcW w:w="2127" w:type="dxa"/>
            <w:vMerge/>
            <w:tcBorders>
              <w:left w:val="single" w:sz="8" w:space="0" w:color="auto"/>
              <w:bottom w:val="single" w:sz="8" w:space="0" w:color="auto"/>
              <w:right w:val="single" w:sz="8" w:space="0" w:color="auto"/>
            </w:tcBorders>
            <w:shd w:val="clear" w:color="auto" w:fill="auto"/>
            <w:noWrap/>
            <w:vAlign w:val="center"/>
          </w:tcPr>
          <w:p w:rsidR="008B271C" w:rsidRPr="00C95C03" w:rsidRDefault="008B271C" w:rsidP="007E6953">
            <w:pPr>
              <w:spacing w:before="0"/>
              <w:ind w:left="0"/>
              <w:rPr>
                <w:rFonts w:cs="Arial"/>
                <w:sz w:val="18"/>
                <w:szCs w:val="18"/>
                <w:lang w:eastAsia="en-US"/>
              </w:rPr>
            </w:pPr>
          </w:p>
        </w:tc>
        <w:tc>
          <w:tcPr>
            <w:tcW w:w="2054" w:type="dxa"/>
            <w:tcBorders>
              <w:top w:val="single" w:sz="4" w:space="0" w:color="auto"/>
              <w:left w:val="nil"/>
              <w:bottom w:val="single" w:sz="8" w:space="0" w:color="auto"/>
              <w:right w:val="single" w:sz="8" w:space="0" w:color="auto"/>
            </w:tcBorders>
            <w:shd w:val="clear" w:color="auto" w:fill="FFFFFF"/>
            <w:vAlign w:val="center"/>
          </w:tcPr>
          <w:p w:rsidR="008B271C" w:rsidRPr="00C95C03" w:rsidRDefault="008B271C" w:rsidP="007E6953">
            <w:pPr>
              <w:spacing w:before="0"/>
              <w:ind w:left="0"/>
              <w:rPr>
                <w:rFonts w:cs="Arial"/>
                <w:bCs/>
                <w:sz w:val="18"/>
                <w:szCs w:val="18"/>
                <w:lang w:eastAsia="en-US"/>
              </w:rPr>
            </w:pPr>
            <w:r>
              <w:rPr>
                <w:rFonts w:cs="Arial"/>
                <w:bCs/>
                <w:sz w:val="18"/>
                <w:szCs w:val="18"/>
                <w:lang w:eastAsia="en-US"/>
              </w:rPr>
              <w:t xml:space="preserve">Booster sample </w:t>
            </w:r>
          </w:p>
        </w:tc>
        <w:tc>
          <w:tcPr>
            <w:tcW w:w="1914" w:type="dxa"/>
            <w:tcBorders>
              <w:top w:val="single" w:sz="4" w:space="0" w:color="auto"/>
              <w:left w:val="nil"/>
              <w:bottom w:val="single" w:sz="8" w:space="0" w:color="auto"/>
              <w:right w:val="single" w:sz="8" w:space="0" w:color="auto"/>
            </w:tcBorders>
            <w:shd w:val="clear" w:color="auto" w:fill="FFFFFF"/>
            <w:vAlign w:val="center"/>
          </w:tcPr>
          <w:p w:rsidR="008B271C" w:rsidRPr="00C95C03" w:rsidRDefault="008B271C" w:rsidP="007E6953">
            <w:pPr>
              <w:spacing w:before="0"/>
              <w:ind w:left="0"/>
              <w:jc w:val="center"/>
              <w:rPr>
                <w:rFonts w:cs="Arial"/>
                <w:bCs/>
                <w:sz w:val="18"/>
                <w:szCs w:val="18"/>
                <w:lang w:eastAsia="en-US"/>
              </w:rPr>
            </w:pPr>
            <w:r>
              <w:rPr>
                <w:rFonts w:cs="Arial"/>
                <w:bCs/>
                <w:sz w:val="18"/>
                <w:szCs w:val="18"/>
                <w:lang w:eastAsia="en-US"/>
              </w:rPr>
              <w:t>10.1</w:t>
            </w:r>
          </w:p>
        </w:tc>
        <w:tc>
          <w:tcPr>
            <w:tcW w:w="1914" w:type="dxa"/>
            <w:tcBorders>
              <w:top w:val="single" w:sz="4" w:space="0" w:color="auto"/>
              <w:left w:val="single" w:sz="8" w:space="0" w:color="auto"/>
              <w:bottom w:val="single" w:sz="8" w:space="0" w:color="auto"/>
              <w:right w:val="single" w:sz="8" w:space="0" w:color="auto"/>
            </w:tcBorders>
            <w:shd w:val="clear" w:color="auto" w:fill="FFFFFF"/>
          </w:tcPr>
          <w:p w:rsidR="008B271C" w:rsidRPr="00C95C03" w:rsidRDefault="008B271C" w:rsidP="007E6953">
            <w:pPr>
              <w:spacing w:before="0"/>
              <w:ind w:left="0"/>
              <w:jc w:val="center"/>
              <w:rPr>
                <w:rFonts w:cs="Arial"/>
                <w:bCs/>
                <w:sz w:val="18"/>
                <w:szCs w:val="18"/>
                <w:lang w:eastAsia="en-US"/>
              </w:rPr>
            </w:pPr>
            <w:r>
              <w:rPr>
                <w:rFonts w:cs="Arial"/>
                <w:bCs/>
                <w:sz w:val="18"/>
                <w:szCs w:val="18"/>
                <w:lang w:eastAsia="en-US"/>
              </w:rPr>
              <w:t>6.6</w:t>
            </w:r>
          </w:p>
        </w:tc>
      </w:tr>
    </w:tbl>
    <w:p w:rsidR="004D1220" w:rsidRDefault="004D1220" w:rsidP="00604AA9">
      <w:pPr>
        <w:numPr>
          <w:ilvl w:val="1"/>
          <w:numId w:val="7"/>
        </w:numPr>
        <w:autoSpaceDE w:val="0"/>
        <w:autoSpaceDN w:val="0"/>
        <w:adjustRightInd w:val="0"/>
        <w:spacing w:before="120"/>
        <w:ind w:left="1701" w:hanging="567"/>
      </w:pPr>
      <w:r w:rsidRPr="000526DE">
        <w:lastRenderedPageBreak/>
        <w:t>Survey weights were applied to the data to ensure population sub-groups are represented in the correct proportions in the survey results.</w:t>
      </w:r>
      <w:r w:rsidRPr="00C95C03">
        <w:t xml:space="preserve"> </w:t>
      </w:r>
      <w:r>
        <w:t xml:space="preserve"> </w:t>
      </w:r>
    </w:p>
    <w:p w:rsidR="004D1220" w:rsidRDefault="004D1220" w:rsidP="00604AA9">
      <w:pPr>
        <w:numPr>
          <w:ilvl w:val="1"/>
          <w:numId w:val="7"/>
        </w:numPr>
        <w:autoSpaceDE w:val="0"/>
        <w:autoSpaceDN w:val="0"/>
        <w:adjustRightInd w:val="0"/>
        <w:spacing w:before="120"/>
        <w:ind w:left="1701" w:hanging="567"/>
      </w:pPr>
      <w:r w:rsidRPr="004D1220">
        <w:rPr>
          <w:rFonts w:eastAsia="Arial"/>
          <w:lang w:eastAsia="ar-SA"/>
        </w:rPr>
        <w:t xml:space="preserve">Differences between percentages </w:t>
      </w:r>
      <w:r>
        <w:rPr>
          <w:rFonts w:eastAsia="Arial"/>
          <w:lang w:eastAsia="ar-SA"/>
        </w:rPr>
        <w:t>in the</w:t>
      </w:r>
      <w:r w:rsidRPr="00C95C03">
        <w:t xml:space="preserve"> </w:t>
      </w:r>
      <w:r>
        <w:t xml:space="preserve">2011 and 2013 </w:t>
      </w:r>
      <w:r w:rsidRPr="00C95C03">
        <w:t xml:space="preserve">WDHB surveys </w:t>
      </w:r>
      <w:r w:rsidRPr="004D1220">
        <w:rPr>
          <w:rFonts w:eastAsia="Arial"/>
          <w:lang w:eastAsia="ar-SA"/>
        </w:rPr>
        <w:t>were tested at the</w:t>
      </w:r>
      <w:r w:rsidR="001E7D5E">
        <w:rPr>
          <w:rFonts w:eastAsia="Arial"/>
          <w:lang w:eastAsia="ar-SA"/>
        </w:rPr>
        <w:t xml:space="preserve"> 95% confidence level using a t-</w:t>
      </w:r>
      <w:r w:rsidRPr="004D1220">
        <w:rPr>
          <w:rFonts w:eastAsia="Arial"/>
          <w:lang w:eastAsia="ar-SA"/>
        </w:rPr>
        <w:t>test, adjusted using a conservative design effect for each survey</w:t>
      </w:r>
      <w:r w:rsidRPr="00697D47">
        <w:rPr>
          <w:rStyle w:val="FootnoteReference"/>
          <w:rFonts w:eastAsia="Arial"/>
        </w:rPr>
        <w:footnoteReference w:id="24"/>
      </w:r>
      <w:r w:rsidRPr="004D1220">
        <w:rPr>
          <w:rFonts w:eastAsia="Arial"/>
          <w:lang w:eastAsia="ar-SA"/>
        </w:rPr>
        <w:t xml:space="preserve"> and allowing for the average correlation in the recontacted sample used in Kish’s weighting approach</w:t>
      </w:r>
      <w:r w:rsidR="00330B74">
        <w:rPr>
          <w:rFonts w:eastAsia="Arial"/>
          <w:lang w:eastAsia="ar-SA"/>
        </w:rPr>
        <w:t xml:space="preserve"> (Kish 1965)</w:t>
      </w:r>
      <w:r w:rsidRPr="004D1220">
        <w:rPr>
          <w:rFonts w:eastAsia="Arial"/>
          <w:lang w:eastAsia="ar-SA"/>
        </w:rPr>
        <w:t xml:space="preserve">. </w:t>
      </w:r>
      <w:r>
        <w:rPr>
          <w:rFonts w:eastAsia="Arial"/>
          <w:lang w:eastAsia="ar-SA"/>
        </w:rPr>
        <w:t>Only statistically significant d</w:t>
      </w:r>
      <w:r w:rsidRPr="00C95C03">
        <w:t xml:space="preserve">ifferences between the two surveys are noted </w:t>
      </w:r>
      <w:r>
        <w:t xml:space="preserve">in the report. </w:t>
      </w:r>
    </w:p>
    <w:p w:rsidR="004D1220" w:rsidRDefault="004D1220" w:rsidP="00604AA9">
      <w:pPr>
        <w:numPr>
          <w:ilvl w:val="1"/>
          <w:numId w:val="7"/>
        </w:numPr>
        <w:autoSpaceDE w:val="0"/>
        <w:autoSpaceDN w:val="0"/>
        <w:adjustRightInd w:val="0"/>
        <w:spacing w:before="120"/>
        <w:ind w:left="1701" w:hanging="567"/>
      </w:pPr>
      <w:r w:rsidRPr="006106F6">
        <w:rPr>
          <w:lang w:eastAsia="ar-SA"/>
        </w:rPr>
        <w:t>Information</w:t>
      </w:r>
      <w:r w:rsidRPr="006106F6">
        <w:rPr>
          <w:rFonts w:eastAsia="Arial"/>
          <w:lang w:eastAsia="ar-SA"/>
        </w:rPr>
        <w:t xml:space="preserve"> </w:t>
      </w:r>
      <w:r w:rsidRPr="006106F6">
        <w:rPr>
          <w:lang w:eastAsia="ar-SA"/>
        </w:rPr>
        <w:t>is</w:t>
      </w:r>
      <w:r w:rsidRPr="006106F6">
        <w:rPr>
          <w:rFonts w:eastAsia="Arial"/>
          <w:lang w:eastAsia="ar-SA"/>
        </w:rPr>
        <w:t xml:space="preserve"> </w:t>
      </w:r>
      <w:r w:rsidRPr="006106F6">
        <w:rPr>
          <w:lang w:eastAsia="ar-SA"/>
        </w:rPr>
        <w:t>reported</w:t>
      </w:r>
      <w:r w:rsidRPr="006106F6">
        <w:rPr>
          <w:rFonts w:eastAsia="Arial"/>
          <w:lang w:eastAsia="ar-SA"/>
        </w:rPr>
        <w:t xml:space="preserve"> </w:t>
      </w:r>
      <w:r w:rsidRPr="006106F6">
        <w:rPr>
          <w:lang w:eastAsia="ar-SA"/>
        </w:rPr>
        <w:t>for</w:t>
      </w:r>
      <w:r w:rsidRPr="006106F6">
        <w:rPr>
          <w:rFonts w:eastAsia="Arial"/>
          <w:lang w:eastAsia="ar-SA"/>
        </w:rPr>
        <w:t xml:space="preserve"> </w:t>
      </w:r>
      <w:r w:rsidRPr="006106F6">
        <w:rPr>
          <w:lang w:eastAsia="ar-SA"/>
        </w:rPr>
        <w:t>key</w:t>
      </w:r>
      <w:r w:rsidRPr="006106F6">
        <w:rPr>
          <w:rFonts w:eastAsia="Arial"/>
          <w:lang w:eastAsia="ar-SA"/>
        </w:rPr>
        <w:t xml:space="preserve"> </w:t>
      </w:r>
      <w:r w:rsidRPr="006106F6">
        <w:rPr>
          <w:lang w:eastAsia="ar-SA"/>
        </w:rPr>
        <w:t>sub-groups</w:t>
      </w:r>
      <w:r w:rsidRPr="006106F6">
        <w:rPr>
          <w:rFonts w:eastAsia="Arial"/>
          <w:lang w:eastAsia="ar-SA"/>
        </w:rPr>
        <w:t xml:space="preserve"> </w:t>
      </w:r>
      <w:r w:rsidRPr="006106F6">
        <w:rPr>
          <w:lang w:eastAsia="ar-SA"/>
        </w:rPr>
        <w:t>(e.g.</w:t>
      </w:r>
      <w:r w:rsidRPr="006106F6">
        <w:rPr>
          <w:rFonts w:eastAsia="Arial"/>
          <w:lang w:eastAsia="ar-SA"/>
        </w:rPr>
        <w:t xml:space="preserve"> </w:t>
      </w:r>
      <w:r w:rsidRPr="006106F6">
        <w:rPr>
          <w:lang w:eastAsia="ar-SA"/>
        </w:rPr>
        <w:t>ethnicity,</w:t>
      </w:r>
      <w:r w:rsidRPr="006106F6">
        <w:rPr>
          <w:rFonts w:eastAsia="Arial"/>
          <w:lang w:eastAsia="ar-SA"/>
        </w:rPr>
        <w:t xml:space="preserve"> </w:t>
      </w:r>
      <w:r w:rsidRPr="006106F6">
        <w:rPr>
          <w:lang w:eastAsia="ar-SA"/>
        </w:rPr>
        <w:t>age</w:t>
      </w:r>
      <w:r w:rsidRPr="006106F6">
        <w:rPr>
          <w:rFonts w:eastAsia="Arial"/>
          <w:lang w:eastAsia="ar-SA"/>
        </w:rPr>
        <w:t xml:space="preserve"> </w:t>
      </w:r>
      <w:r w:rsidRPr="006106F6">
        <w:rPr>
          <w:lang w:eastAsia="ar-SA"/>
        </w:rPr>
        <w:t>group,</w:t>
      </w:r>
      <w:r w:rsidRPr="006106F6">
        <w:rPr>
          <w:rFonts w:eastAsia="Arial"/>
          <w:lang w:eastAsia="ar-SA"/>
        </w:rPr>
        <w:t xml:space="preserve"> </w:t>
      </w:r>
      <w:r w:rsidRPr="006106F6">
        <w:rPr>
          <w:lang w:eastAsia="ar-SA"/>
        </w:rPr>
        <w:t xml:space="preserve">gender, </w:t>
      </w:r>
      <w:r>
        <w:rPr>
          <w:lang w:eastAsia="ar-SA"/>
        </w:rPr>
        <w:t xml:space="preserve">and </w:t>
      </w:r>
      <w:r w:rsidRPr="006106F6">
        <w:rPr>
          <w:lang w:eastAsia="ar-SA"/>
        </w:rPr>
        <w:t>household income)</w:t>
      </w:r>
      <w:r w:rsidRPr="006106F6">
        <w:rPr>
          <w:rFonts w:eastAsia="Arial"/>
          <w:lang w:eastAsia="ar-SA"/>
        </w:rPr>
        <w:t xml:space="preserve"> </w:t>
      </w:r>
      <w:r w:rsidRPr="006106F6">
        <w:rPr>
          <w:lang w:eastAsia="ar-SA"/>
        </w:rPr>
        <w:t>where</w:t>
      </w:r>
      <w:r w:rsidRPr="006106F6">
        <w:rPr>
          <w:rFonts w:eastAsia="Arial"/>
          <w:lang w:eastAsia="ar-SA"/>
        </w:rPr>
        <w:t xml:space="preserve"> </w:t>
      </w:r>
      <w:r w:rsidRPr="006106F6">
        <w:rPr>
          <w:lang w:eastAsia="ar-SA"/>
        </w:rPr>
        <w:t>differences</w:t>
      </w:r>
      <w:r w:rsidRPr="006106F6">
        <w:rPr>
          <w:rFonts w:eastAsia="Arial"/>
          <w:lang w:eastAsia="ar-SA"/>
        </w:rPr>
        <w:t xml:space="preserve"> within</w:t>
      </w:r>
      <w:r w:rsidRPr="00C95C03">
        <w:rPr>
          <w:rFonts w:eastAsia="Arial"/>
          <w:lang w:eastAsia="ar-SA"/>
        </w:rPr>
        <w:t xml:space="preserve"> </w:t>
      </w:r>
      <w:r w:rsidRPr="00C95C03">
        <w:rPr>
          <w:lang w:eastAsia="ar-SA"/>
        </w:rPr>
        <w:t>groups</w:t>
      </w:r>
      <w:r w:rsidRPr="00C95C03">
        <w:rPr>
          <w:rFonts w:eastAsia="Arial"/>
          <w:lang w:eastAsia="ar-SA"/>
        </w:rPr>
        <w:t xml:space="preserve"> </w:t>
      </w:r>
      <w:r w:rsidRPr="00C95C03">
        <w:rPr>
          <w:lang w:eastAsia="ar-SA"/>
        </w:rPr>
        <w:t>are</w:t>
      </w:r>
      <w:r w:rsidRPr="00C95C03">
        <w:rPr>
          <w:rFonts w:eastAsia="Arial"/>
          <w:lang w:eastAsia="ar-SA"/>
        </w:rPr>
        <w:t xml:space="preserve"> statistically </w:t>
      </w:r>
      <w:r w:rsidRPr="00C95C03">
        <w:rPr>
          <w:lang w:eastAsia="ar-SA"/>
        </w:rPr>
        <w:t>significant.</w:t>
      </w:r>
    </w:p>
    <w:p w:rsidR="000208A9" w:rsidRDefault="00A1741A" w:rsidP="00604AA9">
      <w:pPr>
        <w:numPr>
          <w:ilvl w:val="0"/>
          <w:numId w:val="7"/>
        </w:numPr>
        <w:autoSpaceDE w:val="0"/>
        <w:autoSpaceDN w:val="0"/>
        <w:adjustRightInd w:val="0"/>
        <w:spacing w:before="120"/>
        <w:ind w:left="1134" w:hanging="425"/>
      </w:pPr>
      <w:r>
        <w:rPr>
          <w:b/>
        </w:rPr>
        <w:t>A q</w:t>
      </w:r>
      <w:r w:rsidR="00584232">
        <w:rPr>
          <w:b/>
        </w:rPr>
        <w:t>ualitative report on the e</w:t>
      </w:r>
      <w:r w:rsidR="00933493" w:rsidRPr="00E96066">
        <w:rPr>
          <w:b/>
        </w:rPr>
        <w:t xml:space="preserve">ligible population </w:t>
      </w:r>
      <w:r w:rsidR="000208A9" w:rsidRPr="00E96066">
        <w:rPr>
          <w:b/>
        </w:rPr>
        <w:t>perspectives</w:t>
      </w:r>
      <w:r w:rsidR="000208A9">
        <w:t xml:space="preserve"> </w:t>
      </w:r>
      <w:r w:rsidR="00584232">
        <w:t xml:space="preserve">of the BSP </w:t>
      </w:r>
      <w:r w:rsidR="00933493">
        <w:t xml:space="preserve">(Litmus 2013) </w:t>
      </w:r>
    </w:p>
    <w:p w:rsidR="003A598E" w:rsidRDefault="003E7D70" w:rsidP="00604AA9">
      <w:pPr>
        <w:numPr>
          <w:ilvl w:val="1"/>
          <w:numId w:val="7"/>
        </w:numPr>
        <w:autoSpaceDE w:val="0"/>
        <w:autoSpaceDN w:val="0"/>
        <w:adjustRightInd w:val="0"/>
        <w:spacing w:before="120"/>
        <w:ind w:left="1701" w:hanging="567"/>
        <w:rPr>
          <w:lang w:eastAsia="ar-SA"/>
        </w:rPr>
      </w:pPr>
      <w:r w:rsidRPr="003E7D70">
        <w:rPr>
          <w:lang w:eastAsia="ar-SA"/>
        </w:rPr>
        <w:t xml:space="preserve">In 2012, qualitative research </w:t>
      </w:r>
      <w:r w:rsidR="000F3473">
        <w:rPr>
          <w:lang w:eastAsia="ar-SA"/>
        </w:rPr>
        <w:t xml:space="preserve">was undertaken </w:t>
      </w:r>
      <w:r w:rsidRPr="003E7D70">
        <w:rPr>
          <w:lang w:eastAsia="ar-SA"/>
        </w:rPr>
        <w:t>with the eligible population to understand participants’ experience of the BSP screening pathway, and the factors that facilitated or impeded their progression</w:t>
      </w:r>
      <w:r w:rsidR="000F3473">
        <w:rPr>
          <w:lang w:eastAsia="ar-SA"/>
        </w:rPr>
        <w:t xml:space="preserve">. </w:t>
      </w:r>
      <w:r w:rsidR="003A598E">
        <w:rPr>
          <w:lang w:eastAsia="ar-SA"/>
        </w:rPr>
        <w:t xml:space="preserve"> </w:t>
      </w:r>
    </w:p>
    <w:p w:rsidR="003A598E" w:rsidRPr="003E7D70" w:rsidRDefault="003A598E" w:rsidP="00604AA9">
      <w:pPr>
        <w:numPr>
          <w:ilvl w:val="2"/>
          <w:numId w:val="7"/>
        </w:numPr>
        <w:autoSpaceDE w:val="0"/>
        <w:autoSpaceDN w:val="0"/>
        <w:adjustRightInd w:val="0"/>
        <w:spacing w:before="120"/>
        <w:rPr>
          <w:lang w:eastAsia="ar-SA"/>
        </w:rPr>
      </w:pPr>
      <w:r w:rsidRPr="003E7D70">
        <w:rPr>
          <w:lang w:eastAsia="ar-SA"/>
        </w:rPr>
        <w:t>12 face-to-face in</w:t>
      </w:r>
      <w:r w:rsidR="009C750D">
        <w:rPr>
          <w:lang w:eastAsia="ar-SA"/>
        </w:rPr>
        <w:t>-</w:t>
      </w:r>
      <w:r w:rsidRPr="003E7D70">
        <w:rPr>
          <w:lang w:eastAsia="ar-SA"/>
        </w:rPr>
        <w:t>depth interviews were conducted with purposively selected BSP participants covering different stages of the BSP screening pathway: four Māori, four Pacific and four Pākehā.  Interviews were conducted between 19 and 21 September 2012.</w:t>
      </w:r>
    </w:p>
    <w:p w:rsidR="003A598E" w:rsidRDefault="003A598E" w:rsidP="00604AA9">
      <w:pPr>
        <w:numPr>
          <w:ilvl w:val="1"/>
          <w:numId w:val="7"/>
        </w:numPr>
        <w:autoSpaceDE w:val="0"/>
        <w:autoSpaceDN w:val="0"/>
        <w:adjustRightInd w:val="0"/>
        <w:spacing w:before="120"/>
        <w:ind w:left="1701" w:hanging="567"/>
        <w:rPr>
          <w:lang w:eastAsia="ar-SA"/>
        </w:rPr>
      </w:pPr>
      <w:r>
        <w:rPr>
          <w:lang w:eastAsia="ar-SA"/>
        </w:rPr>
        <w:t>In 2012, recognising that Pacific and M</w:t>
      </w:r>
      <w:r w:rsidRPr="003E7D70">
        <w:rPr>
          <w:lang w:eastAsia="ar-SA"/>
        </w:rPr>
        <w:t>ā</w:t>
      </w:r>
      <w:r>
        <w:rPr>
          <w:lang w:eastAsia="ar-SA"/>
        </w:rPr>
        <w:t xml:space="preserve">ori were potentially emerging as </w:t>
      </w:r>
      <w:r w:rsidR="00965F3B">
        <w:rPr>
          <w:lang w:eastAsia="ar-SA"/>
        </w:rPr>
        <w:t>having lower participation rates</w:t>
      </w:r>
      <w:r>
        <w:rPr>
          <w:lang w:eastAsia="ar-SA"/>
        </w:rPr>
        <w:t>, q</w:t>
      </w:r>
      <w:r w:rsidR="003E7D70" w:rsidRPr="003E7D70">
        <w:rPr>
          <w:lang w:eastAsia="ar-SA"/>
        </w:rPr>
        <w:t xml:space="preserve">ualitative research </w:t>
      </w:r>
      <w:r>
        <w:rPr>
          <w:lang w:eastAsia="ar-SA"/>
        </w:rPr>
        <w:t xml:space="preserve">was undertaken </w:t>
      </w:r>
      <w:r w:rsidR="003E7D70" w:rsidRPr="003E7D70">
        <w:rPr>
          <w:lang w:eastAsia="ar-SA"/>
        </w:rPr>
        <w:t xml:space="preserve">with non-responders in </w:t>
      </w:r>
      <w:r>
        <w:rPr>
          <w:lang w:eastAsia="ar-SA"/>
        </w:rPr>
        <w:t xml:space="preserve">the eligible </w:t>
      </w:r>
      <w:r w:rsidR="003E7D70" w:rsidRPr="003E7D70">
        <w:rPr>
          <w:lang w:eastAsia="ar-SA"/>
        </w:rPr>
        <w:t>Pacific and Māori populations to explore their reasons and barriers for</w:t>
      </w:r>
      <w:r>
        <w:rPr>
          <w:lang w:eastAsia="ar-SA"/>
        </w:rPr>
        <w:t xml:space="preserve"> not taking part in the BSP.  </w:t>
      </w:r>
    </w:p>
    <w:p w:rsidR="003E7D70" w:rsidRPr="003E7D70" w:rsidRDefault="003E7D70" w:rsidP="00604AA9">
      <w:pPr>
        <w:numPr>
          <w:ilvl w:val="2"/>
          <w:numId w:val="7"/>
        </w:numPr>
        <w:autoSpaceDE w:val="0"/>
        <w:autoSpaceDN w:val="0"/>
        <w:adjustRightInd w:val="0"/>
        <w:spacing w:before="120"/>
        <w:rPr>
          <w:lang w:eastAsia="ar-SA"/>
        </w:rPr>
      </w:pPr>
      <w:r w:rsidRPr="003E7D70">
        <w:rPr>
          <w:lang w:eastAsia="ar-SA"/>
        </w:rPr>
        <w:t xml:space="preserve">12 face-to-face interviews were undertaken with six Māori and six Pacific people who had received a pre-invitation, invitation and reminder letter between April </w:t>
      </w:r>
      <w:r w:rsidR="001E7D5E">
        <w:rPr>
          <w:lang w:eastAsia="ar-SA"/>
        </w:rPr>
        <w:t>and</w:t>
      </w:r>
      <w:r w:rsidRPr="003E7D70">
        <w:rPr>
          <w:lang w:eastAsia="ar-SA"/>
        </w:rPr>
        <w:t xml:space="preserve"> September 2012, had not returned a completed kit and had not contacted the Coordination Centre to opt out of the BSP (non-responders).  Interviews were conducted between 3 and 7 December 2012.  </w:t>
      </w:r>
    </w:p>
    <w:p w:rsidR="003E7D70" w:rsidRPr="003E7D70" w:rsidRDefault="003E7D70" w:rsidP="00604AA9">
      <w:pPr>
        <w:numPr>
          <w:ilvl w:val="1"/>
          <w:numId w:val="7"/>
        </w:numPr>
        <w:autoSpaceDE w:val="0"/>
        <w:autoSpaceDN w:val="0"/>
        <w:adjustRightInd w:val="0"/>
        <w:spacing w:before="120"/>
        <w:ind w:left="1701" w:hanging="567"/>
        <w:rPr>
          <w:lang w:eastAsia="ar-SA"/>
        </w:rPr>
      </w:pPr>
      <w:r w:rsidRPr="003E7D70">
        <w:rPr>
          <w:lang w:eastAsia="ar-SA"/>
        </w:rPr>
        <w:t xml:space="preserve">Both studies followed opt-out recruitment and informed consent procedures.  Researchers and participants were ethnically matched.  Participants were invited to bring a support person, and received a koha of $50. </w:t>
      </w:r>
    </w:p>
    <w:p w:rsidR="00041737" w:rsidRPr="00BE4D93" w:rsidRDefault="00041737" w:rsidP="00604AA9">
      <w:pPr>
        <w:numPr>
          <w:ilvl w:val="0"/>
          <w:numId w:val="7"/>
        </w:numPr>
        <w:autoSpaceDE w:val="0"/>
        <w:autoSpaceDN w:val="0"/>
        <w:adjustRightInd w:val="0"/>
        <w:spacing w:before="120"/>
        <w:ind w:left="1134" w:hanging="425"/>
      </w:pPr>
      <w:r>
        <w:rPr>
          <w:b/>
        </w:rPr>
        <w:t>The reports on the b</w:t>
      </w:r>
      <w:r w:rsidRPr="00741AE4">
        <w:rPr>
          <w:b/>
        </w:rPr>
        <w:t>aseline and repeat attitudes survey with providers</w:t>
      </w:r>
      <w:r>
        <w:t xml:space="preserve"> (Litmus 2012a and 2014b).  </w:t>
      </w:r>
    </w:p>
    <w:p w:rsidR="00041737" w:rsidRDefault="00041737" w:rsidP="00604AA9">
      <w:pPr>
        <w:numPr>
          <w:ilvl w:val="1"/>
          <w:numId w:val="7"/>
        </w:numPr>
        <w:autoSpaceDE w:val="0"/>
        <w:autoSpaceDN w:val="0"/>
        <w:adjustRightInd w:val="0"/>
        <w:spacing w:before="120"/>
        <w:ind w:left="1701" w:hanging="567"/>
        <w:rPr>
          <w:lang w:eastAsia="ar-SA"/>
        </w:rPr>
      </w:pPr>
      <w:r w:rsidRPr="00A46B7F">
        <w:rPr>
          <w:lang w:eastAsia="ar-SA"/>
        </w:rPr>
        <w:t>The purpose of the survey</w:t>
      </w:r>
      <w:r>
        <w:rPr>
          <w:lang w:eastAsia="ar-SA"/>
        </w:rPr>
        <w:t>s</w:t>
      </w:r>
      <w:r w:rsidRPr="00A46B7F">
        <w:rPr>
          <w:lang w:eastAsia="ar-SA"/>
        </w:rPr>
        <w:t xml:space="preserve"> </w:t>
      </w:r>
      <w:r>
        <w:rPr>
          <w:lang w:eastAsia="ar-SA"/>
        </w:rPr>
        <w:t>was</w:t>
      </w:r>
      <w:r w:rsidRPr="00A46B7F">
        <w:rPr>
          <w:lang w:eastAsia="ar-SA"/>
        </w:rPr>
        <w:t xml:space="preserve"> to assess providers’</w:t>
      </w:r>
      <w:r w:rsidRPr="00697D47">
        <w:rPr>
          <w:rStyle w:val="FootnoteReference"/>
          <w:rFonts w:eastAsia="Arial"/>
        </w:rPr>
        <w:footnoteReference w:id="25"/>
      </w:r>
      <w:r w:rsidRPr="000F63D2">
        <w:rPr>
          <w:rStyle w:val="FootnoteReference"/>
          <w:rFonts w:eastAsia="Arial"/>
          <w:lang w:eastAsia="ar-SA"/>
        </w:rPr>
        <w:t xml:space="preserve"> </w:t>
      </w:r>
      <w:r w:rsidRPr="00A46B7F">
        <w:rPr>
          <w:lang w:eastAsia="ar-SA"/>
        </w:rPr>
        <w:t>awareness and knowledge of the BSP, attitudes towards the BSP and its delivery mechanisms, and perceived impact of the BSP on normal services. The survey</w:t>
      </w:r>
      <w:r>
        <w:rPr>
          <w:lang w:eastAsia="ar-SA"/>
        </w:rPr>
        <w:t>s</w:t>
      </w:r>
      <w:r w:rsidRPr="00A46B7F">
        <w:rPr>
          <w:lang w:eastAsia="ar-SA"/>
        </w:rPr>
        <w:t xml:space="preserve"> also aim</w:t>
      </w:r>
      <w:r>
        <w:rPr>
          <w:lang w:eastAsia="ar-SA"/>
        </w:rPr>
        <w:t>ed</w:t>
      </w:r>
      <w:r w:rsidRPr="00A46B7F">
        <w:rPr>
          <w:lang w:eastAsia="ar-SA"/>
        </w:rPr>
        <w:t xml:space="preserve"> to measure attitudes towards a possible national roll-out of a bowel screening programme. </w:t>
      </w:r>
    </w:p>
    <w:p w:rsidR="0097166A" w:rsidRDefault="00041737" w:rsidP="009433F2">
      <w:pPr>
        <w:keepNext/>
        <w:keepLines/>
        <w:numPr>
          <w:ilvl w:val="1"/>
          <w:numId w:val="7"/>
        </w:numPr>
        <w:autoSpaceDE w:val="0"/>
        <w:autoSpaceDN w:val="0"/>
        <w:adjustRightInd w:val="0"/>
        <w:spacing w:before="120"/>
        <w:ind w:left="1701" w:hanging="567"/>
      </w:pPr>
      <w:r>
        <w:rPr>
          <w:lang w:eastAsia="ar-SA"/>
        </w:rPr>
        <w:lastRenderedPageBreak/>
        <w:t xml:space="preserve">A baseline online </w:t>
      </w:r>
      <w:r w:rsidRPr="00A46B7F">
        <w:rPr>
          <w:lang w:eastAsia="ar-SA"/>
        </w:rPr>
        <w:t>provider survey</w:t>
      </w:r>
      <w:r>
        <w:rPr>
          <w:lang w:eastAsia="ar-SA"/>
        </w:rPr>
        <w:t xml:space="preserve"> was undertaken in November 2011 to January 2012 before the </w:t>
      </w:r>
      <w:r w:rsidRPr="00A113D0">
        <w:rPr>
          <w:lang w:eastAsia="ar-SA"/>
        </w:rPr>
        <w:t>full implementation of the BSP</w:t>
      </w:r>
      <w:r>
        <w:rPr>
          <w:lang w:eastAsia="ar-SA"/>
        </w:rPr>
        <w:t xml:space="preserve"> in January 2012.  A</w:t>
      </w:r>
      <w:r w:rsidRPr="00A113D0">
        <w:rPr>
          <w:lang w:eastAsia="ar-SA"/>
        </w:rPr>
        <w:t xml:space="preserve"> total of 88 G</w:t>
      </w:r>
      <w:r>
        <w:rPr>
          <w:lang w:eastAsia="ar-SA"/>
        </w:rPr>
        <w:t xml:space="preserve">eneral </w:t>
      </w:r>
      <w:r w:rsidRPr="00A113D0">
        <w:rPr>
          <w:lang w:eastAsia="ar-SA"/>
        </w:rPr>
        <w:t>P</w:t>
      </w:r>
      <w:r>
        <w:rPr>
          <w:lang w:eastAsia="ar-SA"/>
        </w:rPr>
        <w:t>ractitioner</w:t>
      </w:r>
      <w:r w:rsidRPr="00A113D0">
        <w:rPr>
          <w:lang w:eastAsia="ar-SA"/>
        </w:rPr>
        <w:t>s</w:t>
      </w:r>
      <w:r>
        <w:rPr>
          <w:lang w:eastAsia="ar-SA"/>
        </w:rPr>
        <w:t xml:space="preserve"> (GPs)</w:t>
      </w:r>
      <w:r w:rsidRPr="00A113D0">
        <w:rPr>
          <w:lang w:eastAsia="ar-SA"/>
        </w:rPr>
        <w:t xml:space="preserve">, 88 practice nurses, eight other general practice staff, 21 endoscopy staff and 30 radiology staff took part in the survey. </w:t>
      </w:r>
      <w:r>
        <w:rPr>
          <w:lang w:eastAsia="ar-SA"/>
        </w:rPr>
        <w:t xml:space="preserve"> </w:t>
      </w:r>
      <w:r w:rsidR="0097166A" w:rsidRPr="00C95C03">
        <w:t xml:space="preserve">Response rates for each survey are shown in Table </w:t>
      </w:r>
      <w:r w:rsidR="0097166A">
        <w:t>4</w:t>
      </w:r>
      <w:r w:rsidR="0097166A" w:rsidRPr="00C95C03">
        <w:t xml:space="preserve">. </w:t>
      </w:r>
    </w:p>
    <w:p w:rsidR="0097166A" w:rsidRDefault="0097166A" w:rsidP="009433F2">
      <w:pPr>
        <w:keepNext/>
        <w:keepLines/>
        <w:autoSpaceDE w:val="0"/>
        <w:autoSpaceDN w:val="0"/>
        <w:adjustRightInd w:val="0"/>
        <w:spacing w:before="120"/>
        <w:ind w:left="1701"/>
        <w:rPr>
          <w:lang w:eastAsia="ar-SA"/>
        </w:rPr>
      </w:pPr>
    </w:p>
    <w:p w:rsidR="008B271C" w:rsidRPr="00A113D0" w:rsidRDefault="008B271C" w:rsidP="00965798">
      <w:pPr>
        <w:pStyle w:val="Table"/>
        <w:ind w:left="1134"/>
      </w:pPr>
      <w:bookmarkStart w:id="73" w:name="_Toc325110737"/>
      <w:bookmarkStart w:id="74" w:name="_Toc379980888"/>
      <w:bookmarkStart w:id="75" w:name="_Toc412540157"/>
      <w:r w:rsidRPr="00A113D0">
        <w:t xml:space="preserve">Table </w:t>
      </w:r>
      <w:r w:rsidR="00965798">
        <w:t>4</w:t>
      </w:r>
      <w:r w:rsidRPr="00A113D0">
        <w:t>: Achieved response rates</w:t>
      </w:r>
      <w:bookmarkEnd w:id="73"/>
      <w:r>
        <w:t xml:space="preserve"> in 2011</w:t>
      </w:r>
      <w:bookmarkEnd w:id="74"/>
      <w:bookmarkEnd w:id="75"/>
    </w:p>
    <w:tbl>
      <w:tblPr>
        <w:tblW w:w="8222" w:type="dxa"/>
        <w:tblInd w:w="1242" w:type="dxa"/>
        <w:tblLayout w:type="fixed"/>
        <w:tblLook w:val="04A0" w:firstRow="1" w:lastRow="0" w:firstColumn="1" w:lastColumn="0" w:noHBand="0" w:noVBand="1"/>
      </w:tblPr>
      <w:tblGrid>
        <w:gridCol w:w="2552"/>
        <w:gridCol w:w="1890"/>
        <w:gridCol w:w="1890"/>
        <w:gridCol w:w="1890"/>
      </w:tblGrid>
      <w:tr w:rsidR="008B271C" w:rsidRPr="00A113D0" w:rsidTr="00965798">
        <w:trPr>
          <w:trHeight w:val="525"/>
          <w:tblHeader/>
        </w:trPr>
        <w:tc>
          <w:tcPr>
            <w:tcW w:w="2552"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tcPr>
          <w:p w:rsidR="008B271C" w:rsidRPr="00A113D0" w:rsidRDefault="008B271C" w:rsidP="007E6953">
            <w:pPr>
              <w:spacing w:before="0"/>
              <w:ind w:left="0"/>
              <w:rPr>
                <w:rFonts w:cs="Arial"/>
                <w:b/>
                <w:bCs/>
                <w:sz w:val="18"/>
                <w:szCs w:val="18"/>
                <w:lang w:eastAsia="en-US"/>
              </w:rPr>
            </w:pPr>
            <w:r w:rsidRPr="00A113D0">
              <w:rPr>
                <w:rFonts w:cs="Arial"/>
                <w:b/>
                <w:bCs/>
                <w:sz w:val="18"/>
                <w:szCs w:val="18"/>
                <w:lang w:eastAsia="en-US"/>
              </w:rPr>
              <w:t>Provider group</w:t>
            </w:r>
          </w:p>
        </w:tc>
        <w:tc>
          <w:tcPr>
            <w:tcW w:w="1890" w:type="dxa"/>
            <w:tcBorders>
              <w:top w:val="single" w:sz="8" w:space="0" w:color="auto"/>
              <w:left w:val="nil"/>
              <w:bottom w:val="single" w:sz="8" w:space="0" w:color="auto"/>
              <w:right w:val="single" w:sz="8" w:space="0" w:color="auto"/>
            </w:tcBorders>
            <w:shd w:val="clear" w:color="auto" w:fill="C2D69B" w:themeFill="accent3" w:themeFillTint="99"/>
            <w:vAlign w:val="bottom"/>
          </w:tcPr>
          <w:p w:rsidR="008B271C" w:rsidRPr="00A113D0" w:rsidRDefault="008B271C" w:rsidP="007E6953">
            <w:pPr>
              <w:spacing w:before="0"/>
              <w:ind w:left="0"/>
              <w:jc w:val="center"/>
              <w:rPr>
                <w:rFonts w:cs="Arial"/>
                <w:b/>
                <w:bCs/>
                <w:sz w:val="18"/>
                <w:szCs w:val="18"/>
                <w:lang w:eastAsia="en-US"/>
              </w:rPr>
            </w:pPr>
            <w:r w:rsidRPr="00A113D0">
              <w:rPr>
                <w:rFonts w:cs="Arial"/>
                <w:b/>
                <w:bCs/>
                <w:sz w:val="18"/>
                <w:szCs w:val="18"/>
                <w:lang w:eastAsia="en-US"/>
              </w:rPr>
              <w:t>Respondents</w:t>
            </w:r>
          </w:p>
          <w:p w:rsidR="008B271C" w:rsidRPr="00A113D0" w:rsidRDefault="008B271C" w:rsidP="007E6953">
            <w:pPr>
              <w:spacing w:before="0"/>
              <w:ind w:left="0"/>
              <w:jc w:val="center"/>
              <w:rPr>
                <w:rFonts w:cs="Arial"/>
                <w:b/>
                <w:bCs/>
                <w:sz w:val="18"/>
                <w:szCs w:val="18"/>
                <w:lang w:eastAsia="en-US"/>
              </w:rPr>
            </w:pPr>
            <w:r w:rsidRPr="00A113D0">
              <w:rPr>
                <w:rFonts w:cs="Arial"/>
                <w:b/>
                <w:bCs/>
                <w:sz w:val="18"/>
                <w:szCs w:val="18"/>
                <w:lang w:eastAsia="en-US"/>
              </w:rPr>
              <w:t>(n)</w:t>
            </w:r>
          </w:p>
        </w:tc>
        <w:tc>
          <w:tcPr>
            <w:tcW w:w="1890" w:type="dxa"/>
            <w:tcBorders>
              <w:top w:val="single" w:sz="8" w:space="0" w:color="auto"/>
              <w:left w:val="nil"/>
              <w:bottom w:val="single" w:sz="8" w:space="0" w:color="auto"/>
              <w:right w:val="single" w:sz="8" w:space="0" w:color="auto"/>
            </w:tcBorders>
            <w:shd w:val="clear" w:color="auto" w:fill="C2D69B" w:themeFill="accent3" w:themeFillTint="99"/>
            <w:vAlign w:val="bottom"/>
          </w:tcPr>
          <w:p w:rsidR="008B271C" w:rsidRPr="00A113D0" w:rsidRDefault="008B271C" w:rsidP="007E6953">
            <w:pPr>
              <w:spacing w:before="0"/>
              <w:ind w:left="0"/>
              <w:jc w:val="center"/>
              <w:rPr>
                <w:rFonts w:eastAsia="Calibri" w:cs="Arial"/>
                <w:b/>
                <w:sz w:val="18"/>
                <w:szCs w:val="18"/>
                <w:lang w:eastAsia="en-US"/>
              </w:rPr>
            </w:pPr>
            <w:r w:rsidRPr="00A113D0">
              <w:rPr>
                <w:rFonts w:eastAsia="Calibri" w:cs="Arial"/>
                <w:b/>
                <w:sz w:val="18"/>
                <w:szCs w:val="18"/>
                <w:lang w:eastAsia="en-US"/>
              </w:rPr>
              <w:t>Eligible population</w:t>
            </w:r>
          </w:p>
          <w:p w:rsidR="008B271C" w:rsidRPr="00A113D0" w:rsidRDefault="008B271C" w:rsidP="007E6953">
            <w:pPr>
              <w:spacing w:before="0"/>
              <w:ind w:left="0"/>
              <w:jc w:val="center"/>
              <w:rPr>
                <w:rFonts w:eastAsia="Calibri" w:cs="Arial"/>
                <w:b/>
                <w:sz w:val="18"/>
                <w:szCs w:val="18"/>
                <w:lang w:eastAsia="en-US"/>
              </w:rPr>
            </w:pPr>
            <w:r w:rsidRPr="00A113D0">
              <w:rPr>
                <w:rFonts w:eastAsia="Calibri" w:cs="Arial"/>
                <w:b/>
                <w:sz w:val="18"/>
                <w:szCs w:val="18"/>
                <w:lang w:eastAsia="en-US"/>
              </w:rPr>
              <w:t>(N)</w:t>
            </w:r>
          </w:p>
        </w:tc>
        <w:tc>
          <w:tcPr>
            <w:tcW w:w="18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8B271C" w:rsidRPr="00A113D0" w:rsidRDefault="008B271C" w:rsidP="007E6953">
            <w:pPr>
              <w:spacing w:before="0"/>
              <w:ind w:left="0"/>
              <w:jc w:val="center"/>
              <w:rPr>
                <w:rFonts w:eastAsia="Calibri" w:cs="Arial"/>
                <w:b/>
                <w:sz w:val="18"/>
                <w:szCs w:val="18"/>
                <w:lang w:eastAsia="en-US"/>
              </w:rPr>
            </w:pPr>
            <w:r w:rsidRPr="00A113D0">
              <w:rPr>
                <w:rFonts w:eastAsia="Calibri" w:cs="Arial"/>
                <w:b/>
                <w:sz w:val="18"/>
                <w:szCs w:val="18"/>
                <w:lang w:eastAsia="en-US"/>
              </w:rPr>
              <w:t>Response rate</w:t>
            </w:r>
          </w:p>
          <w:p w:rsidR="008B271C" w:rsidRPr="00A113D0" w:rsidRDefault="008B271C" w:rsidP="007E6953">
            <w:pPr>
              <w:spacing w:before="0"/>
              <w:ind w:left="0"/>
              <w:jc w:val="center"/>
              <w:rPr>
                <w:rFonts w:eastAsia="Calibri" w:cs="Arial"/>
                <w:b/>
                <w:sz w:val="18"/>
                <w:szCs w:val="18"/>
                <w:lang w:eastAsia="en-US"/>
              </w:rPr>
            </w:pPr>
            <w:r w:rsidRPr="00A113D0">
              <w:rPr>
                <w:rFonts w:eastAsia="Calibri" w:cs="Arial"/>
                <w:b/>
                <w:sz w:val="18"/>
                <w:szCs w:val="18"/>
                <w:lang w:eastAsia="en-US"/>
              </w:rPr>
              <w:t>(%)</w:t>
            </w:r>
          </w:p>
        </w:tc>
      </w:tr>
      <w:tr w:rsidR="008B271C" w:rsidRPr="00A113D0" w:rsidTr="00965798">
        <w:trPr>
          <w:trHeight w:val="270"/>
        </w:trPr>
        <w:tc>
          <w:tcPr>
            <w:tcW w:w="2552" w:type="dxa"/>
            <w:tcBorders>
              <w:top w:val="single" w:sz="8" w:space="0" w:color="auto"/>
              <w:left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General practitioners</w:t>
            </w:r>
          </w:p>
        </w:tc>
        <w:tc>
          <w:tcPr>
            <w:tcW w:w="1890" w:type="dxa"/>
            <w:tcBorders>
              <w:top w:val="single" w:sz="8" w:space="0" w:color="auto"/>
              <w:left w:val="nil"/>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88</w:t>
            </w:r>
          </w:p>
        </w:tc>
        <w:tc>
          <w:tcPr>
            <w:tcW w:w="1890" w:type="dxa"/>
            <w:tcBorders>
              <w:top w:val="single" w:sz="8" w:space="0" w:color="auto"/>
              <w:left w:val="nil"/>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328</w:t>
            </w:r>
            <w:r w:rsidRPr="00A113D0">
              <w:rPr>
                <w:rFonts w:cs="Arial"/>
                <w:sz w:val="18"/>
                <w:szCs w:val="18"/>
                <w:vertAlign w:val="superscript"/>
                <w:lang w:eastAsia="en-US"/>
              </w:rPr>
              <w:t>#</w:t>
            </w:r>
          </w:p>
        </w:tc>
        <w:tc>
          <w:tcPr>
            <w:tcW w:w="1890" w:type="dxa"/>
            <w:tcBorders>
              <w:top w:val="single" w:sz="8" w:space="0" w:color="auto"/>
              <w:left w:val="single" w:sz="8" w:space="0" w:color="auto"/>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27%</w:t>
            </w:r>
          </w:p>
        </w:tc>
      </w:tr>
      <w:tr w:rsidR="008B271C" w:rsidRPr="00A113D0" w:rsidTr="00965798">
        <w:trPr>
          <w:trHeight w:val="270"/>
        </w:trPr>
        <w:tc>
          <w:tcPr>
            <w:tcW w:w="2552" w:type="dxa"/>
            <w:tcBorders>
              <w:left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Practice nurses</w:t>
            </w:r>
          </w:p>
        </w:tc>
        <w:tc>
          <w:tcPr>
            <w:tcW w:w="1890" w:type="dxa"/>
            <w:tcBorders>
              <w:left w:val="nil"/>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88</w:t>
            </w:r>
          </w:p>
        </w:tc>
        <w:tc>
          <w:tcPr>
            <w:tcW w:w="1890" w:type="dxa"/>
            <w:tcBorders>
              <w:left w:val="nil"/>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404</w:t>
            </w:r>
            <w:r w:rsidRPr="00A113D0">
              <w:rPr>
                <w:rFonts w:cs="Arial"/>
                <w:sz w:val="18"/>
                <w:szCs w:val="18"/>
                <w:vertAlign w:val="superscript"/>
                <w:lang w:eastAsia="en-US"/>
              </w:rPr>
              <w:t>#</w:t>
            </w:r>
          </w:p>
        </w:tc>
        <w:tc>
          <w:tcPr>
            <w:tcW w:w="1890" w:type="dxa"/>
            <w:tcBorders>
              <w:left w:val="single" w:sz="8" w:space="0" w:color="auto"/>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22%</w:t>
            </w:r>
          </w:p>
        </w:tc>
      </w:tr>
      <w:tr w:rsidR="008B271C" w:rsidRPr="00A113D0" w:rsidTr="00965798">
        <w:trPr>
          <w:trHeight w:val="270"/>
        </w:trPr>
        <w:tc>
          <w:tcPr>
            <w:tcW w:w="2552" w:type="dxa"/>
            <w:tcBorders>
              <w:left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Other general practice staff*</w:t>
            </w:r>
          </w:p>
        </w:tc>
        <w:tc>
          <w:tcPr>
            <w:tcW w:w="1890" w:type="dxa"/>
            <w:tcBorders>
              <w:left w:val="nil"/>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8</w:t>
            </w:r>
          </w:p>
        </w:tc>
        <w:tc>
          <w:tcPr>
            <w:tcW w:w="1890" w:type="dxa"/>
            <w:tcBorders>
              <w:left w:val="nil"/>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w:t>
            </w:r>
          </w:p>
        </w:tc>
        <w:tc>
          <w:tcPr>
            <w:tcW w:w="1890" w:type="dxa"/>
            <w:tcBorders>
              <w:left w:val="single" w:sz="8" w:space="0" w:color="auto"/>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w:t>
            </w:r>
          </w:p>
        </w:tc>
      </w:tr>
      <w:tr w:rsidR="008B271C" w:rsidRPr="00A113D0" w:rsidTr="00965798">
        <w:trPr>
          <w:trHeight w:val="270"/>
        </w:trPr>
        <w:tc>
          <w:tcPr>
            <w:tcW w:w="2552" w:type="dxa"/>
            <w:tcBorders>
              <w:left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Endoscopy staff</w:t>
            </w:r>
          </w:p>
        </w:tc>
        <w:tc>
          <w:tcPr>
            <w:tcW w:w="1890" w:type="dxa"/>
            <w:tcBorders>
              <w:left w:val="nil"/>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21</w:t>
            </w:r>
          </w:p>
        </w:tc>
        <w:tc>
          <w:tcPr>
            <w:tcW w:w="1890" w:type="dxa"/>
            <w:tcBorders>
              <w:left w:val="nil"/>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27</w:t>
            </w:r>
          </w:p>
        </w:tc>
        <w:tc>
          <w:tcPr>
            <w:tcW w:w="1890" w:type="dxa"/>
            <w:tcBorders>
              <w:left w:val="single" w:sz="8" w:space="0" w:color="auto"/>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78%</w:t>
            </w:r>
          </w:p>
        </w:tc>
      </w:tr>
      <w:tr w:rsidR="008B271C" w:rsidRPr="00A113D0" w:rsidTr="00965798">
        <w:trPr>
          <w:trHeight w:val="270"/>
        </w:trPr>
        <w:tc>
          <w:tcPr>
            <w:tcW w:w="2552" w:type="dxa"/>
            <w:tcBorders>
              <w:left w:val="single" w:sz="8" w:space="0" w:color="auto"/>
              <w:bottom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Radiology staff</w:t>
            </w:r>
          </w:p>
        </w:tc>
        <w:tc>
          <w:tcPr>
            <w:tcW w:w="1890" w:type="dxa"/>
            <w:tcBorders>
              <w:left w:val="nil"/>
              <w:bottom w:val="single" w:sz="8" w:space="0" w:color="auto"/>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30</w:t>
            </w:r>
          </w:p>
        </w:tc>
        <w:tc>
          <w:tcPr>
            <w:tcW w:w="1890" w:type="dxa"/>
            <w:tcBorders>
              <w:left w:val="nil"/>
              <w:bottom w:val="single" w:sz="8" w:space="0" w:color="auto"/>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49</w:t>
            </w:r>
          </w:p>
        </w:tc>
        <w:tc>
          <w:tcPr>
            <w:tcW w:w="1890" w:type="dxa"/>
            <w:tcBorders>
              <w:left w:val="single" w:sz="8" w:space="0" w:color="auto"/>
              <w:bottom w:val="single" w:sz="8" w:space="0" w:color="auto"/>
              <w:right w:val="single" w:sz="8" w:space="0" w:color="auto"/>
            </w:tcBorders>
            <w:shd w:val="clear" w:color="auto" w:fill="FFFFFF"/>
            <w:vAlign w:val="bottom"/>
          </w:tcPr>
          <w:p w:rsidR="008B271C" w:rsidRPr="00A113D0" w:rsidRDefault="008B271C" w:rsidP="007E6953">
            <w:pPr>
              <w:spacing w:before="0"/>
              <w:ind w:left="0"/>
              <w:jc w:val="center"/>
              <w:rPr>
                <w:rFonts w:cs="Arial"/>
                <w:sz w:val="18"/>
                <w:szCs w:val="18"/>
                <w:lang w:eastAsia="en-US"/>
              </w:rPr>
            </w:pPr>
            <w:r w:rsidRPr="00A113D0">
              <w:rPr>
                <w:rFonts w:cs="Arial"/>
                <w:sz w:val="18"/>
                <w:szCs w:val="18"/>
                <w:lang w:eastAsia="en-US"/>
              </w:rPr>
              <w:t>61%</w:t>
            </w:r>
          </w:p>
        </w:tc>
      </w:tr>
    </w:tbl>
    <w:p w:rsidR="008B271C" w:rsidRPr="00965798" w:rsidRDefault="008B271C" w:rsidP="00965798">
      <w:pPr>
        <w:spacing w:before="80"/>
        <w:ind w:left="1134"/>
        <w:rPr>
          <w:sz w:val="18"/>
        </w:rPr>
      </w:pPr>
      <w:r w:rsidRPr="00965798">
        <w:rPr>
          <w:sz w:val="18"/>
          <w:vertAlign w:val="superscript"/>
        </w:rPr>
        <w:t xml:space="preserve"># </w:t>
      </w:r>
      <w:r w:rsidRPr="00965798">
        <w:rPr>
          <w:sz w:val="18"/>
        </w:rPr>
        <w:t xml:space="preserve">Figure based on PHO estimates </w:t>
      </w:r>
    </w:p>
    <w:p w:rsidR="008B271C" w:rsidRPr="00965798" w:rsidRDefault="008B271C" w:rsidP="00965798">
      <w:pPr>
        <w:spacing w:before="80"/>
        <w:ind w:left="1134"/>
        <w:rPr>
          <w:sz w:val="18"/>
        </w:rPr>
      </w:pPr>
      <w:r w:rsidRPr="00965798">
        <w:rPr>
          <w:sz w:val="18"/>
        </w:rPr>
        <w:t>* Small number of other general practice staff – combined with practice nurse sample for analysis</w:t>
      </w:r>
    </w:p>
    <w:p w:rsidR="00965798" w:rsidRDefault="00965798" w:rsidP="00965798">
      <w:pPr>
        <w:autoSpaceDE w:val="0"/>
        <w:autoSpaceDN w:val="0"/>
        <w:adjustRightInd w:val="0"/>
        <w:spacing w:before="120"/>
        <w:ind w:left="1701"/>
        <w:rPr>
          <w:lang w:eastAsia="ar-SA"/>
        </w:rPr>
      </w:pPr>
    </w:p>
    <w:p w:rsidR="0097166A" w:rsidRDefault="00041737" w:rsidP="0097166A">
      <w:pPr>
        <w:numPr>
          <w:ilvl w:val="1"/>
          <w:numId w:val="7"/>
        </w:numPr>
        <w:autoSpaceDE w:val="0"/>
        <w:autoSpaceDN w:val="0"/>
        <w:adjustRightInd w:val="0"/>
        <w:spacing w:before="120"/>
        <w:ind w:left="1701" w:hanging="567"/>
      </w:pPr>
      <w:r w:rsidRPr="00D64A3F">
        <w:rPr>
          <w:lang w:eastAsia="ar-SA"/>
        </w:rPr>
        <w:t xml:space="preserve">The </w:t>
      </w:r>
      <w:r>
        <w:rPr>
          <w:lang w:eastAsia="ar-SA"/>
        </w:rPr>
        <w:t xml:space="preserve">follow-up online provider </w:t>
      </w:r>
      <w:r w:rsidRPr="00D64A3F">
        <w:rPr>
          <w:lang w:eastAsia="ar-SA"/>
        </w:rPr>
        <w:t xml:space="preserve">survey was </w:t>
      </w:r>
      <w:r>
        <w:rPr>
          <w:lang w:eastAsia="ar-SA"/>
        </w:rPr>
        <w:t>undertaken from</w:t>
      </w:r>
      <w:r w:rsidRPr="00C6769F">
        <w:rPr>
          <w:lang w:eastAsia="ar-SA"/>
        </w:rPr>
        <w:t xml:space="preserve"> </w:t>
      </w:r>
      <w:r>
        <w:rPr>
          <w:lang w:eastAsia="ar-SA"/>
        </w:rPr>
        <w:t xml:space="preserve">14 </w:t>
      </w:r>
      <w:r w:rsidRPr="00C633FF">
        <w:rPr>
          <w:lang w:eastAsia="ar-SA"/>
        </w:rPr>
        <w:t>October to 20 December 2013</w:t>
      </w:r>
      <w:r w:rsidRPr="000204AE">
        <w:rPr>
          <w:lang w:eastAsia="ar-SA"/>
        </w:rPr>
        <w:t xml:space="preserve">.  </w:t>
      </w:r>
      <w:r>
        <w:rPr>
          <w:lang w:eastAsia="ar-SA"/>
        </w:rPr>
        <w:t>A</w:t>
      </w:r>
      <w:r w:rsidRPr="00D64A3F">
        <w:rPr>
          <w:lang w:eastAsia="ar-SA"/>
        </w:rPr>
        <w:t xml:space="preserve"> total of </w:t>
      </w:r>
      <w:r w:rsidRPr="00414A74">
        <w:rPr>
          <w:lang w:eastAsia="ar-SA"/>
        </w:rPr>
        <w:t xml:space="preserve">80 GPs, </w:t>
      </w:r>
      <w:r>
        <w:rPr>
          <w:lang w:eastAsia="ar-SA"/>
        </w:rPr>
        <w:t>72</w:t>
      </w:r>
      <w:r w:rsidRPr="00414A74">
        <w:rPr>
          <w:lang w:eastAsia="ar-SA"/>
        </w:rPr>
        <w:t xml:space="preserve"> practice nurses</w:t>
      </w:r>
      <w:r>
        <w:rPr>
          <w:lang w:eastAsia="ar-SA"/>
        </w:rPr>
        <w:t>,</w:t>
      </w:r>
      <w:r w:rsidRPr="00414A74">
        <w:rPr>
          <w:lang w:eastAsia="ar-SA"/>
        </w:rPr>
        <w:t xml:space="preserve"> 26 other general practice</w:t>
      </w:r>
      <w:r>
        <w:rPr>
          <w:lang w:eastAsia="ar-SA"/>
        </w:rPr>
        <w:t xml:space="preserve"> staff, </w:t>
      </w:r>
      <w:r w:rsidRPr="00D64A3F">
        <w:rPr>
          <w:lang w:eastAsia="ar-SA"/>
        </w:rPr>
        <w:t>1</w:t>
      </w:r>
      <w:r>
        <w:rPr>
          <w:lang w:eastAsia="ar-SA"/>
        </w:rPr>
        <w:t>8 endoscopy staff and 24</w:t>
      </w:r>
      <w:r w:rsidRPr="00D64A3F">
        <w:rPr>
          <w:lang w:eastAsia="ar-SA"/>
        </w:rPr>
        <w:t xml:space="preserve"> radiology staff took part in the survey.</w:t>
      </w:r>
      <w:r w:rsidR="0097166A">
        <w:rPr>
          <w:lang w:eastAsia="ar-SA"/>
        </w:rPr>
        <w:t xml:space="preserve"> </w:t>
      </w:r>
      <w:r w:rsidR="0097166A" w:rsidRPr="00C95C03">
        <w:t xml:space="preserve">Response rates for each survey are shown in Table </w:t>
      </w:r>
      <w:r w:rsidR="0097166A">
        <w:t>5</w:t>
      </w:r>
      <w:r w:rsidR="0097166A" w:rsidRPr="00C95C03">
        <w:t xml:space="preserve">. </w:t>
      </w:r>
    </w:p>
    <w:p w:rsidR="00965798" w:rsidRPr="00D64A3F" w:rsidRDefault="00965798" w:rsidP="00965798">
      <w:pPr>
        <w:autoSpaceDE w:val="0"/>
        <w:autoSpaceDN w:val="0"/>
        <w:adjustRightInd w:val="0"/>
        <w:spacing w:before="120"/>
        <w:ind w:left="1701"/>
        <w:rPr>
          <w:lang w:eastAsia="ar-SA"/>
        </w:rPr>
      </w:pPr>
    </w:p>
    <w:p w:rsidR="008B271C" w:rsidRPr="00A113D0" w:rsidRDefault="008B271C" w:rsidP="00965798">
      <w:pPr>
        <w:pStyle w:val="Table"/>
        <w:ind w:left="1134"/>
      </w:pPr>
      <w:bookmarkStart w:id="76" w:name="_Toc379980887"/>
      <w:bookmarkStart w:id="77" w:name="_Toc412540158"/>
      <w:r w:rsidRPr="00A113D0">
        <w:t xml:space="preserve">Table </w:t>
      </w:r>
      <w:r w:rsidR="00965798">
        <w:t>5</w:t>
      </w:r>
      <w:r w:rsidRPr="00A113D0">
        <w:t>: Achieved response rates</w:t>
      </w:r>
      <w:r>
        <w:t xml:space="preserve"> in 2013</w:t>
      </w:r>
      <w:bookmarkEnd w:id="76"/>
      <w:bookmarkEnd w:id="77"/>
    </w:p>
    <w:tbl>
      <w:tblPr>
        <w:tblW w:w="8222" w:type="dxa"/>
        <w:tblInd w:w="1242" w:type="dxa"/>
        <w:tblLayout w:type="fixed"/>
        <w:tblLook w:val="04A0" w:firstRow="1" w:lastRow="0" w:firstColumn="1" w:lastColumn="0" w:noHBand="0" w:noVBand="1"/>
      </w:tblPr>
      <w:tblGrid>
        <w:gridCol w:w="2552"/>
        <w:gridCol w:w="1890"/>
        <w:gridCol w:w="1890"/>
        <w:gridCol w:w="1890"/>
      </w:tblGrid>
      <w:tr w:rsidR="008B271C" w:rsidRPr="00A113D0" w:rsidTr="00965798">
        <w:trPr>
          <w:trHeight w:val="525"/>
          <w:tblHeader/>
        </w:trPr>
        <w:tc>
          <w:tcPr>
            <w:tcW w:w="2552"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tcPr>
          <w:p w:rsidR="008B271C" w:rsidRPr="00A113D0" w:rsidRDefault="008B271C" w:rsidP="007E6953">
            <w:pPr>
              <w:spacing w:before="0"/>
              <w:ind w:left="0"/>
              <w:rPr>
                <w:rFonts w:cs="Arial"/>
                <w:b/>
                <w:bCs/>
                <w:sz w:val="18"/>
                <w:szCs w:val="18"/>
                <w:lang w:eastAsia="en-US"/>
              </w:rPr>
            </w:pPr>
            <w:r w:rsidRPr="00A113D0">
              <w:rPr>
                <w:rFonts w:cs="Arial"/>
                <w:b/>
                <w:bCs/>
                <w:sz w:val="18"/>
                <w:szCs w:val="18"/>
                <w:lang w:eastAsia="en-US"/>
              </w:rPr>
              <w:t>Provider group</w:t>
            </w:r>
          </w:p>
        </w:tc>
        <w:tc>
          <w:tcPr>
            <w:tcW w:w="1890" w:type="dxa"/>
            <w:tcBorders>
              <w:top w:val="single" w:sz="8" w:space="0" w:color="auto"/>
              <w:left w:val="nil"/>
              <w:bottom w:val="single" w:sz="8" w:space="0" w:color="auto"/>
              <w:right w:val="single" w:sz="8" w:space="0" w:color="auto"/>
            </w:tcBorders>
            <w:shd w:val="clear" w:color="auto" w:fill="C2D69B" w:themeFill="accent3" w:themeFillTint="99"/>
            <w:vAlign w:val="bottom"/>
          </w:tcPr>
          <w:p w:rsidR="008B271C" w:rsidRPr="004E7A4C" w:rsidRDefault="008B271C" w:rsidP="007E6953">
            <w:pPr>
              <w:spacing w:before="0"/>
              <w:ind w:left="0"/>
              <w:jc w:val="center"/>
              <w:rPr>
                <w:rFonts w:cs="Arial"/>
                <w:b/>
                <w:bCs/>
                <w:sz w:val="18"/>
                <w:szCs w:val="18"/>
                <w:lang w:eastAsia="en-US"/>
              </w:rPr>
            </w:pPr>
            <w:r w:rsidRPr="004E7A4C">
              <w:rPr>
                <w:rFonts w:cs="Arial"/>
                <w:b/>
                <w:bCs/>
                <w:sz w:val="18"/>
                <w:szCs w:val="18"/>
                <w:lang w:eastAsia="en-US"/>
              </w:rPr>
              <w:t>Respondents</w:t>
            </w:r>
          </w:p>
          <w:p w:rsidR="008B271C" w:rsidRPr="004E7A4C" w:rsidRDefault="008B271C" w:rsidP="007E6953">
            <w:pPr>
              <w:spacing w:before="0"/>
              <w:ind w:left="0"/>
              <w:jc w:val="center"/>
              <w:rPr>
                <w:rFonts w:cs="Arial"/>
                <w:b/>
                <w:bCs/>
                <w:sz w:val="18"/>
                <w:szCs w:val="18"/>
                <w:lang w:eastAsia="en-US"/>
              </w:rPr>
            </w:pPr>
            <w:r w:rsidRPr="004E7A4C">
              <w:rPr>
                <w:rFonts w:cs="Arial"/>
                <w:b/>
                <w:bCs/>
                <w:sz w:val="18"/>
                <w:szCs w:val="18"/>
                <w:lang w:eastAsia="en-US"/>
              </w:rPr>
              <w:t>(n)</w:t>
            </w:r>
          </w:p>
        </w:tc>
        <w:tc>
          <w:tcPr>
            <w:tcW w:w="1890" w:type="dxa"/>
            <w:tcBorders>
              <w:top w:val="single" w:sz="8" w:space="0" w:color="auto"/>
              <w:left w:val="nil"/>
              <w:bottom w:val="single" w:sz="8" w:space="0" w:color="auto"/>
              <w:right w:val="single" w:sz="8" w:space="0" w:color="auto"/>
            </w:tcBorders>
            <w:shd w:val="clear" w:color="auto" w:fill="C2D69B" w:themeFill="accent3" w:themeFillTint="99"/>
            <w:vAlign w:val="bottom"/>
          </w:tcPr>
          <w:p w:rsidR="008B271C" w:rsidRPr="0039741F" w:rsidRDefault="008B271C" w:rsidP="007E6953">
            <w:pPr>
              <w:spacing w:before="0"/>
              <w:ind w:left="0"/>
              <w:jc w:val="center"/>
              <w:rPr>
                <w:rFonts w:eastAsia="Calibri" w:cs="Arial"/>
                <w:b/>
                <w:sz w:val="18"/>
                <w:szCs w:val="18"/>
                <w:lang w:eastAsia="en-US"/>
              </w:rPr>
            </w:pPr>
            <w:r w:rsidRPr="0039741F">
              <w:rPr>
                <w:rFonts w:eastAsia="Calibri" w:cs="Arial"/>
                <w:b/>
                <w:sz w:val="18"/>
                <w:szCs w:val="18"/>
                <w:lang w:eastAsia="en-US"/>
              </w:rPr>
              <w:t>Eligible population</w:t>
            </w:r>
          </w:p>
          <w:p w:rsidR="008B271C" w:rsidRPr="0039741F" w:rsidRDefault="008B271C" w:rsidP="007E6953">
            <w:pPr>
              <w:spacing w:before="0"/>
              <w:ind w:left="0"/>
              <w:jc w:val="center"/>
              <w:rPr>
                <w:rFonts w:eastAsia="Calibri" w:cs="Arial"/>
                <w:b/>
                <w:sz w:val="18"/>
                <w:szCs w:val="18"/>
                <w:lang w:eastAsia="en-US"/>
              </w:rPr>
            </w:pPr>
            <w:r w:rsidRPr="0039741F">
              <w:rPr>
                <w:rFonts w:eastAsia="Calibri" w:cs="Arial"/>
                <w:b/>
                <w:sz w:val="18"/>
                <w:szCs w:val="18"/>
                <w:lang w:eastAsia="en-US"/>
              </w:rPr>
              <w:t>(N)</w:t>
            </w:r>
          </w:p>
        </w:tc>
        <w:tc>
          <w:tcPr>
            <w:tcW w:w="18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8B271C" w:rsidRPr="0039741F" w:rsidRDefault="008B271C" w:rsidP="007E6953">
            <w:pPr>
              <w:spacing w:before="0"/>
              <w:ind w:left="0"/>
              <w:jc w:val="center"/>
              <w:rPr>
                <w:rFonts w:eastAsia="Calibri" w:cs="Arial"/>
                <w:b/>
                <w:sz w:val="18"/>
                <w:szCs w:val="18"/>
                <w:lang w:eastAsia="en-US"/>
              </w:rPr>
            </w:pPr>
            <w:r w:rsidRPr="0039741F">
              <w:rPr>
                <w:rFonts w:eastAsia="Calibri" w:cs="Arial"/>
                <w:b/>
                <w:sz w:val="18"/>
                <w:szCs w:val="18"/>
                <w:lang w:eastAsia="en-US"/>
              </w:rPr>
              <w:t>Response rate</w:t>
            </w:r>
          </w:p>
          <w:p w:rsidR="008B271C" w:rsidRPr="0039741F" w:rsidRDefault="008B271C" w:rsidP="007E6953">
            <w:pPr>
              <w:spacing w:before="0"/>
              <w:ind w:left="0"/>
              <w:jc w:val="center"/>
              <w:rPr>
                <w:rFonts w:eastAsia="Calibri" w:cs="Arial"/>
                <w:b/>
                <w:sz w:val="18"/>
                <w:szCs w:val="18"/>
                <w:lang w:eastAsia="en-US"/>
              </w:rPr>
            </w:pPr>
            <w:r w:rsidRPr="0039741F">
              <w:rPr>
                <w:rFonts w:eastAsia="Calibri" w:cs="Arial"/>
                <w:b/>
                <w:sz w:val="18"/>
                <w:szCs w:val="18"/>
                <w:lang w:eastAsia="en-US"/>
              </w:rPr>
              <w:t>(%)</w:t>
            </w:r>
          </w:p>
        </w:tc>
      </w:tr>
      <w:tr w:rsidR="008B271C" w:rsidRPr="00A113D0" w:rsidTr="00965798">
        <w:trPr>
          <w:trHeight w:val="270"/>
        </w:trPr>
        <w:tc>
          <w:tcPr>
            <w:tcW w:w="2552" w:type="dxa"/>
            <w:tcBorders>
              <w:top w:val="single" w:sz="8" w:space="0" w:color="auto"/>
              <w:left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General practitioners</w:t>
            </w:r>
          </w:p>
        </w:tc>
        <w:tc>
          <w:tcPr>
            <w:tcW w:w="1890" w:type="dxa"/>
            <w:tcBorders>
              <w:top w:val="single" w:sz="8" w:space="0" w:color="auto"/>
              <w:left w:val="nil"/>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80</w:t>
            </w:r>
          </w:p>
        </w:tc>
        <w:tc>
          <w:tcPr>
            <w:tcW w:w="1890" w:type="dxa"/>
            <w:tcBorders>
              <w:top w:val="single" w:sz="8" w:space="0" w:color="auto"/>
              <w:left w:val="nil"/>
              <w:right w:val="single" w:sz="8" w:space="0" w:color="auto"/>
            </w:tcBorders>
            <w:shd w:val="clear" w:color="auto" w:fill="FFFFFF"/>
            <w:vAlign w:val="bottom"/>
          </w:tcPr>
          <w:p w:rsidR="008B271C" w:rsidRPr="0039741F" w:rsidRDefault="008B271C" w:rsidP="007E6953">
            <w:pPr>
              <w:spacing w:before="0"/>
              <w:ind w:left="0"/>
              <w:jc w:val="center"/>
              <w:rPr>
                <w:rFonts w:cs="Arial"/>
                <w:sz w:val="18"/>
                <w:szCs w:val="18"/>
                <w:lang w:eastAsia="en-US"/>
              </w:rPr>
            </w:pPr>
            <w:r w:rsidRPr="0039741F">
              <w:rPr>
                <w:rFonts w:cs="Arial"/>
                <w:sz w:val="18"/>
                <w:szCs w:val="18"/>
                <w:lang w:eastAsia="en-US"/>
              </w:rPr>
              <w:t>328</w:t>
            </w:r>
            <w:r w:rsidRPr="0039741F">
              <w:rPr>
                <w:rFonts w:cs="Arial"/>
                <w:sz w:val="18"/>
                <w:szCs w:val="18"/>
                <w:vertAlign w:val="superscript"/>
                <w:lang w:eastAsia="en-US"/>
              </w:rPr>
              <w:t>#</w:t>
            </w:r>
          </w:p>
        </w:tc>
        <w:tc>
          <w:tcPr>
            <w:tcW w:w="1890" w:type="dxa"/>
            <w:tcBorders>
              <w:top w:val="single" w:sz="8" w:space="0" w:color="auto"/>
              <w:left w:val="single" w:sz="8" w:space="0" w:color="auto"/>
              <w:right w:val="single" w:sz="8" w:space="0" w:color="auto"/>
            </w:tcBorders>
            <w:shd w:val="clear" w:color="auto" w:fill="FFFFFF"/>
            <w:vAlign w:val="bottom"/>
          </w:tcPr>
          <w:p w:rsidR="008B271C" w:rsidRPr="0039741F" w:rsidRDefault="008B271C" w:rsidP="007E6953">
            <w:pPr>
              <w:spacing w:before="0"/>
              <w:ind w:left="0"/>
              <w:jc w:val="center"/>
              <w:rPr>
                <w:rFonts w:cs="Arial"/>
                <w:sz w:val="18"/>
                <w:szCs w:val="18"/>
                <w:lang w:eastAsia="en-US"/>
              </w:rPr>
            </w:pPr>
            <w:r w:rsidRPr="0039741F">
              <w:rPr>
                <w:rFonts w:cs="Arial"/>
                <w:sz w:val="18"/>
                <w:szCs w:val="18"/>
                <w:lang w:eastAsia="en-US"/>
              </w:rPr>
              <w:t>24%</w:t>
            </w:r>
          </w:p>
        </w:tc>
      </w:tr>
      <w:tr w:rsidR="008B271C" w:rsidRPr="00A113D0" w:rsidTr="00965798">
        <w:trPr>
          <w:trHeight w:val="270"/>
        </w:trPr>
        <w:tc>
          <w:tcPr>
            <w:tcW w:w="2552" w:type="dxa"/>
            <w:tcBorders>
              <w:left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Practice nurses</w:t>
            </w:r>
          </w:p>
        </w:tc>
        <w:tc>
          <w:tcPr>
            <w:tcW w:w="1890" w:type="dxa"/>
            <w:tcBorders>
              <w:left w:val="nil"/>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72</w:t>
            </w:r>
          </w:p>
        </w:tc>
        <w:tc>
          <w:tcPr>
            <w:tcW w:w="1890" w:type="dxa"/>
            <w:tcBorders>
              <w:left w:val="nil"/>
              <w:right w:val="single" w:sz="8" w:space="0" w:color="auto"/>
            </w:tcBorders>
            <w:shd w:val="clear" w:color="auto" w:fill="FFFFFF"/>
            <w:vAlign w:val="bottom"/>
          </w:tcPr>
          <w:p w:rsidR="008B271C" w:rsidRPr="0039741F" w:rsidRDefault="008B271C" w:rsidP="007E6953">
            <w:pPr>
              <w:spacing w:before="0"/>
              <w:ind w:left="0"/>
              <w:jc w:val="center"/>
              <w:rPr>
                <w:rFonts w:cs="Arial"/>
                <w:sz w:val="18"/>
                <w:szCs w:val="18"/>
                <w:lang w:eastAsia="en-US"/>
              </w:rPr>
            </w:pPr>
            <w:r w:rsidRPr="0039741F">
              <w:rPr>
                <w:rFonts w:cs="Arial"/>
                <w:sz w:val="18"/>
                <w:szCs w:val="18"/>
                <w:lang w:eastAsia="en-US"/>
              </w:rPr>
              <w:t>404</w:t>
            </w:r>
            <w:r w:rsidRPr="0039741F">
              <w:rPr>
                <w:rFonts w:cs="Arial"/>
                <w:sz w:val="18"/>
                <w:szCs w:val="18"/>
                <w:vertAlign w:val="superscript"/>
                <w:lang w:eastAsia="en-US"/>
              </w:rPr>
              <w:t>#</w:t>
            </w:r>
          </w:p>
        </w:tc>
        <w:tc>
          <w:tcPr>
            <w:tcW w:w="1890" w:type="dxa"/>
            <w:tcBorders>
              <w:left w:val="single" w:sz="8" w:space="0" w:color="auto"/>
              <w:right w:val="single" w:sz="8" w:space="0" w:color="auto"/>
            </w:tcBorders>
            <w:shd w:val="clear" w:color="auto" w:fill="FFFFFF"/>
            <w:vAlign w:val="bottom"/>
          </w:tcPr>
          <w:p w:rsidR="008B271C" w:rsidRPr="0039741F" w:rsidRDefault="008B271C" w:rsidP="007E6953">
            <w:pPr>
              <w:spacing w:before="0"/>
              <w:ind w:left="0"/>
              <w:jc w:val="center"/>
              <w:rPr>
                <w:rFonts w:cs="Arial"/>
                <w:sz w:val="18"/>
                <w:szCs w:val="18"/>
                <w:lang w:eastAsia="en-US"/>
              </w:rPr>
            </w:pPr>
            <w:r w:rsidRPr="0039741F">
              <w:rPr>
                <w:rFonts w:cs="Arial"/>
                <w:sz w:val="18"/>
                <w:szCs w:val="18"/>
                <w:lang w:eastAsia="en-US"/>
              </w:rPr>
              <w:t>18%</w:t>
            </w:r>
          </w:p>
        </w:tc>
      </w:tr>
      <w:tr w:rsidR="008B271C" w:rsidRPr="00A113D0" w:rsidTr="00965798">
        <w:trPr>
          <w:trHeight w:val="270"/>
        </w:trPr>
        <w:tc>
          <w:tcPr>
            <w:tcW w:w="2552" w:type="dxa"/>
            <w:tcBorders>
              <w:left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Other general practice staff*</w:t>
            </w:r>
          </w:p>
        </w:tc>
        <w:tc>
          <w:tcPr>
            <w:tcW w:w="1890" w:type="dxa"/>
            <w:tcBorders>
              <w:left w:val="nil"/>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26</w:t>
            </w:r>
          </w:p>
        </w:tc>
        <w:tc>
          <w:tcPr>
            <w:tcW w:w="1890" w:type="dxa"/>
            <w:tcBorders>
              <w:left w:val="nil"/>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w:t>
            </w:r>
          </w:p>
        </w:tc>
        <w:tc>
          <w:tcPr>
            <w:tcW w:w="1890" w:type="dxa"/>
            <w:tcBorders>
              <w:left w:val="single" w:sz="8" w:space="0" w:color="auto"/>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w:t>
            </w:r>
          </w:p>
        </w:tc>
      </w:tr>
      <w:tr w:rsidR="008B271C" w:rsidRPr="00A113D0" w:rsidTr="00965798">
        <w:trPr>
          <w:trHeight w:val="270"/>
        </w:trPr>
        <w:tc>
          <w:tcPr>
            <w:tcW w:w="2552" w:type="dxa"/>
            <w:tcBorders>
              <w:left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Endoscopy staff</w:t>
            </w:r>
          </w:p>
        </w:tc>
        <w:tc>
          <w:tcPr>
            <w:tcW w:w="1890" w:type="dxa"/>
            <w:tcBorders>
              <w:left w:val="nil"/>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18</w:t>
            </w:r>
          </w:p>
        </w:tc>
        <w:tc>
          <w:tcPr>
            <w:tcW w:w="1890" w:type="dxa"/>
            <w:tcBorders>
              <w:left w:val="nil"/>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26</w:t>
            </w:r>
          </w:p>
        </w:tc>
        <w:tc>
          <w:tcPr>
            <w:tcW w:w="1890" w:type="dxa"/>
            <w:tcBorders>
              <w:left w:val="single" w:sz="8" w:space="0" w:color="auto"/>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69%</w:t>
            </w:r>
          </w:p>
        </w:tc>
      </w:tr>
      <w:tr w:rsidR="008B271C" w:rsidRPr="00A113D0" w:rsidTr="00965798">
        <w:trPr>
          <w:trHeight w:val="270"/>
        </w:trPr>
        <w:tc>
          <w:tcPr>
            <w:tcW w:w="2552" w:type="dxa"/>
            <w:tcBorders>
              <w:left w:val="single" w:sz="8" w:space="0" w:color="auto"/>
              <w:bottom w:val="single" w:sz="8" w:space="0" w:color="auto"/>
              <w:right w:val="single" w:sz="8" w:space="0" w:color="auto"/>
            </w:tcBorders>
            <w:shd w:val="clear" w:color="auto" w:fill="auto"/>
            <w:noWrap/>
            <w:vAlign w:val="bottom"/>
          </w:tcPr>
          <w:p w:rsidR="008B271C" w:rsidRPr="00A113D0" w:rsidRDefault="008B271C" w:rsidP="007E6953">
            <w:pPr>
              <w:spacing w:before="0"/>
              <w:ind w:left="0"/>
              <w:rPr>
                <w:rFonts w:cs="Arial"/>
                <w:sz w:val="18"/>
                <w:szCs w:val="18"/>
                <w:lang w:eastAsia="en-US"/>
              </w:rPr>
            </w:pPr>
            <w:r w:rsidRPr="00A113D0">
              <w:rPr>
                <w:rFonts w:cs="Arial"/>
                <w:sz w:val="18"/>
                <w:szCs w:val="18"/>
                <w:lang w:eastAsia="en-US"/>
              </w:rPr>
              <w:t>Radiology staff</w:t>
            </w:r>
          </w:p>
        </w:tc>
        <w:tc>
          <w:tcPr>
            <w:tcW w:w="1890" w:type="dxa"/>
            <w:tcBorders>
              <w:left w:val="nil"/>
              <w:bottom w:val="single" w:sz="8" w:space="0" w:color="auto"/>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24</w:t>
            </w:r>
          </w:p>
        </w:tc>
        <w:tc>
          <w:tcPr>
            <w:tcW w:w="1890" w:type="dxa"/>
            <w:tcBorders>
              <w:left w:val="nil"/>
              <w:bottom w:val="single" w:sz="8" w:space="0" w:color="auto"/>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47</w:t>
            </w:r>
          </w:p>
        </w:tc>
        <w:tc>
          <w:tcPr>
            <w:tcW w:w="1890" w:type="dxa"/>
            <w:tcBorders>
              <w:left w:val="single" w:sz="8" w:space="0" w:color="auto"/>
              <w:bottom w:val="single" w:sz="8" w:space="0" w:color="auto"/>
              <w:right w:val="single" w:sz="8" w:space="0" w:color="auto"/>
            </w:tcBorders>
            <w:shd w:val="clear" w:color="auto" w:fill="FFFFFF"/>
            <w:vAlign w:val="bottom"/>
          </w:tcPr>
          <w:p w:rsidR="008B271C" w:rsidRPr="004E7A4C" w:rsidRDefault="008B271C" w:rsidP="007E6953">
            <w:pPr>
              <w:spacing w:before="0"/>
              <w:ind w:left="0"/>
              <w:jc w:val="center"/>
              <w:rPr>
                <w:rFonts w:cs="Arial"/>
                <w:sz w:val="18"/>
                <w:szCs w:val="18"/>
                <w:lang w:eastAsia="en-US"/>
              </w:rPr>
            </w:pPr>
            <w:r w:rsidRPr="004E7A4C">
              <w:rPr>
                <w:rFonts w:cs="Arial"/>
                <w:sz w:val="18"/>
                <w:szCs w:val="18"/>
                <w:lang w:eastAsia="en-US"/>
              </w:rPr>
              <w:t>51%</w:t>
            </w:r>
          </w:p>
        </w:tc>
      </w:tr>
    </w:tbl>
    <w:p w:rsidR="008B271C" w:rsidRPr="00965798" w:rsidRDefault="008B271C" w:rsidP="00965798">
      <w:pPr>
        <w:spacing w:before="80"/>
        <w:ind w:left="1134"/>
        <w:rPr>
          <w:sz w:val="18"/>
        </w:rPr>
      </w:pPr>
      <w:r w:rsidRPr="00965798">
        <w:rPr>
          <w:sz w:val="18"/>
          <w:vertAlign w:val="superscript"/>
        </w:rPr>
        <w:t xml:space="preserve"># </w:t>
      </w:r>
      <w:r w:rsidRPr="00965798">
        <w:rPr>
          <w:sz w:val="18"/>
        </w:rPr>
        <w:t xml:space="preserve">Figure based on PHO estimates </w:t>
      </w:r>
    </w:p>
    <w:p w:rsidR="008B271C" w:rsidRPr="00965798" w:rsidRDefault="008B271C" w:rsidP="00965798">
      <w:pPr>
        <w:spacing w:before="80"/>
        <w:ind w:left="1134"/>
        <w:rPr>
          <w:sz w:val="18"/>
        </w:rPr>
      </w:pPr>
      <w:r w:rsidRPr="00965798">
        <w:rPr>
          <w:sz w:val="18"/>
        </w:rPr>
        <w:t xml:space="preserve">* Other general practice staff </w:t>
      </w:r>
      <w:proofErr w:type="gramStart"/>
      <w:r w:rsidRPr="00965798">
        <w:rPr>
          <w:sz w:val="18"/>
        </w:rPr>
        <w:t>were</w:t>
      </w:r>
      <w:proofErr w:type="gramEnd"/>
      <w:r w:rsidRPr="00965798">
        <w:rPr>
          <w:sz w:val="18"/>
        </w:rPr>
        <w:t xml:space="preserve"> combined with the practice nurse sample for analysis</w:t>
      </w:r>
    </w:p>
    <w:p w:rsidR="00965798" w:rsidRDefault="00965798" w:rsidP="00965798">
      <w:pPr>
        <w:autoSpaceDE w:val="0"/>
        <w:autoSpaceDN w:val="0"/>
        <w:adjustRightInd w:val="0"/>
        <w:spacing w:before="120"/>
        <w:ind w:left="1701"/>
        <w:rPr>
          <w:lang w:eastAsia="ar-SA"/>
        </w:rPr>
      </w:pPr>
    </w:p>
    <w:p w:rsidR="00041737" w:rsidRPr="00154145" w:rsidRDefault="00041737" w:rsidP="00604AA9">
      <w:pPr>
        <w:numPr>
          <w:ilvl w:val="1"/>
          <w:numId w:val="7"/>
        </w:numPr>
        <w:autoSpaceDE w:val="0"/>
        <w:autoSpaceDN w:val="0"/>
        <w:adjustRightInd w:val="0"/>
        <w:spacing w:before="120"/>
        <w:ind w:left="1701" w:hanging="567"/>
        <w:rPr>
          <w:lang w:eastAsia="ar-SA"/>
        </w:rPr>
      </w:pPr>
      <w:r w:rsidRPr="00A113D0">
        <w:rPr>
          <w:lang w:eastAsia="ar-SA"/>
        </w:rPr>
        <w:t xml:space="preserve">Data were analysed by provider group. </w:t>
      </w:r>
      <w:r>
        <w:rPr>
          <w:lang w:eastAsia="ar-SA"/>
        </w:rPr>
        <w:t xml:space="preserve"> </w:t>
      </w:r>
      <w:r w:rsidRPr="00A113D0">
        <w:rPr>
          <w:lang w:eastAsia="ar-SA"/>
        </w:rPr>
        <w:t xml:space="preserve">The small numbers overall and for particular provider groups prevented detailed analysis due to statistical limitations in making comparisons with small numbers. </w:t>
      </w:r>
    </w:p>
    <w:p w:rsidR="00041737" w:rsidRDefault="00041737" w:rsidP="00604AA9">
      <w:pPr>
        <w:numPr>
          <w:ilvl w:val="1"/>
          <w:numId w:val="7"/>
        </w:numPr>
        <w:autoSpaceDE w:val="0"/>
        <w:autoSpaceDN w:val="0"/>
        <w:adjustRightInd w:val="0"/>
        <w:spacing w:before="120"/>
        <w:ind w:left="1701" w:hanging="567"/>
        <w:rPr>
          <w:lang w:eastAsia="ar-SA"/>
        </w:rPr>
      </w:pPr>
      <w:r w:rsidRPr="001F0DF7">
        <w:rPr>
          <w:lang w:eastAsia="ar-SA"/>
        </w:rPr>
        <w:t>Comparisons</w:t>
      </w:r>
      <w:r w:rsidRPr="000204AE">
        <w:rPr>
          <w:lang w:eastAsia="ar-SA"/>
        </w:rPr>
        <w:t xml:space="preserve"> have been made between the results in the 2013 follow-up provider survey and the 2011 baseline provider survey. Significant differences noted for </w:t>
      </w:r>
      <w:r w:rsidRPr="001B7215">
        <w:rPr>
          <w:lang w:eastAsia="ar-SA"/>
        </w:rPr>
        <w:t>endoscopy staff and radiology staff should be treated as indicative only due to th</w:t>
      </w:r>
      <w:r w:rsidR="00EF13B4">
        <w:rPr>
          <w:lang w:eastAsia="ar-SA"/>
        </w:rPr>
        <w:t>eir small sub-sample sizes</w:t>
      </w:r>
      <w:r w:rsidR="0011344C">
        <w:rPr>
          <w:lang w:eastAsia="ar-SA"/>
        </w:rPr>
        <w:t>.</w:t>
      </w:r>
    </w:p>
    <w:p w:rsidR="003A598E" w:rsidRDefault="00584232" w:rsidP="009433F2">
      <w:pPr>
        <w:keepNext/>
        <w:keepLines/>
        <w:numPr>
          <w:ilvl w:val="0"/>
          <w:numId w:val="7"/>
        </w:numPr>
        <w:autoSpaceDE w:val="0"/>
        <w:autoSpaceDN w:val="0"/>
        <w:adjustRightInd w:val="0"/>
        <w:spacing w:before="120"/>
        <w:ind w:left="1134" w:hanging="425"/>
      </w:pPr>
      <w:r>
        <w:rPr>
          <w:b/>
        </w:rPr>
        <w:lastRenderedPageBreak/>
        <w:t xml:space="preserve">The </w:t>
      </w:r>
      <w:r w:rsidR="000208A9" w:rsidRPr="00070D19">
        <w:rPr>
          <w:b/>
        </w:rPr>
        <w:t xml:space="preserve">2012 </w:t>
      </w:r>
      <w:r w:rsidR="00F03990">
        <w:rPr>
          <w:b/>
        </w:rPr>
        <w:t xml:space="preserve">and 2013 </w:t>
      </w:r>
      <w:r w:rsidR="000208A9" w:rsidRPr="00070D19">
        <w:rPr>
          <w:b/>
        </w:rPr>
        <w:t>immersion visit</w:t>
      </w:r>
      <w:r w:rsidR="000208A9">
        <w:t xml:space="preserve"> </w:t>
      </w:r>
      <w:r w:rsidRPr="00584232">
        <w:rPr>
          <w:b/>
        </w:rPr>
        <w:t>report</w:t>
      </w:r>
      <w:r w:rsidR="00F03990">
        <w:rPr>
          <w:b/>
        </w:rPr>
        <w:t>s</w:t>
      </w:r>
      <w:r w:rsidRPr="00584232">
        <w:rPr>
          <w:b/>
        </w:rPr>
        <w:t xml:space="preserve"> </w:t>
      </w:r>
      <w:r w:rsidR="00070D19">
        <w:t>(Litmus 2013a</w:t>
      </w:r>
      <w:r w:rsidR="00F03990">
        <w:t xml:space="preserve"> and 2014</w:t>
      </w:r>
      <w:r w:rsidR="00070D19">
        <w:t>).</w:t>
      </w:r>
    </w:p>
    <w:p w:rsidR="00070D19" w:rsidRPr="00070D19" w:rsidRDefault="003A598E" w:rsidP="009433F2">
      <w:pPr>
        <w:keepNext/>
        <w:keepLines/>
        <w:numPr>
          <w:ilvl w:val="1"/>
          <w:numId w:val="7"/>
        </w:numPr>
        <w:autoSpaceDE w:val="0"/>
        <w:autoSpaceDN w:val="0"/>
        <w:adjustRightInd w:val="0"/>
        <w:spacing w:before="0" w:after="120"/>
        <w:ind w:left="1701" w:hanging="567"/>
        <w:rPr>
          <w:rFonts w:cs="Arial"/>
        </w:rPr>
      </w:pPr>
      <w:r>
        <w:t xml:space="preserve">In September 2012, an immersion visit was undertaken to gain a detailed understanding of the early implementation of the BSP, from those who </w:t>
      </w:r>
      <w:r w:rsidR="00DE5FAA">
        <w:t>we</w:t>
      </w:r>
      <w:r>
        <w:t xml:space="preserve">re involved with its design, implementation and day-to-day operations.  Focus was placed on how the BSP was being implemented, what was working well and not so well, and in identifying key process improvements to enhance the BSP, as well as lessons for a national roll-out of a bowel screening programme, should it proceed.  </w:t>
      </w:r>
    </w:p>
    <w:p w:rsidR="00070D19" w:rsidRPr="00070D19" w:rsidRDefault="003A598E" w:rsidP="00604AA9">
      <w:pPr>
        <w:numPr>
          <w:ilvl w:val="1"/>
          <w:numId w:val="7"/>
        </w:numPr>
        <w:autoSpaceDE w:val="0"/>
        <w:autoSpaceDN w:val="0"/>
        <w:adjustRightInd w:val="0"/>
        <w:spacing w:before="0" w:after="120"/>
        <w:ind w:left="1701" w:hanging="567"/>
        <w:rPr>
          <w:rFonts w:cs="Arial"/>
        </w:rPr>
      </w:pPr>
      <w:r>
        <w:t xml:space="preserve">62 face-to-face, phone interviews and group discussions with providers across the screening pathway </w:t>
      </w:r>
      <w:r w:rsidR="00027785">
        <w:t xml:space="preserve">were undertaken </w:t>
      </w:r>
      <w:r>
        <w:t xml:space="preserve">(including representatives from </w:t>
      </w:r>
      <w:r w:rsidR="00E073CC">
        <w:t>Ministry of Health</w:t>
      </w:r>
      <w:r>
        <w:t xml:space="preserve">, </w:t>
      </w:r>
      <w:r w:rsidR="00C56750">
        <w:t>WDHB</w:t>
      </w:r>
      <w:r>
        <w:t xml:space="preserve">, </w:t>
      </w:r>
      <w:proofErr w:type="gramStart"/>
      <w:r>
        <w:t>LabPLUS</w:t>
      </w:r>
      <w:proofErr w:type="gramEnd"/>
      <w:r>
        <w:t xml:space="preserve">, New Zealand Post, Orangebox, Primary Health Organisations </w:t>
      </w:r>
      <w:r w:rsidR="00D15946">
        <w:t xml:space="preserve">(PHOs) </w:t>
      </w:r>
      <w:r>
        <w:t>and general practices)</w:t>
      </w:r>
      <w:r w:rsidRPr="00A113D0">
        <w:t xml:space="preserve">. </w:t>
      </w:r>
      <w:r>
        <w:t xml:space="preserve"> </w:t>
      </w:r>
    </w:p>
    <w:p w:rsidR="003A598E" w:rsidRPr="00070D19" w:rsidRDefault="003A598E" w:rsidP="00604AA9">
      <w:pPr>
        <w:numPr>
          <w:ilvl w:val="1"/>
          <w:numId w:val="7"/>
        </w:numPr>
        <w:autoSpaceDE w:val="0"/>
        <w:autoSpaceDN w:val="0"/>
        <w:adjustRightInd w:val="0"/>
        <w:spacing w:before="0" w:after="120"/>
        <w:ind w:left="1701" w:hanging="567"/>
      </w:pPr>
      <w:r>
        <w:t xml:space="preserve">In October 2013, </w:t>
      </w:r>
      <w:bookmarkStart w:id="78" w:name="_Toc319592062"/>
      <w:bookmarkStart w:id="79" w:name="_Toc325492246"/>
      <w:r w:rsidR="001E7D5E">
        <w:t>a second</w:t>
      </w:r>
      <w:r w:rsidR="00070D19">
        <w:t xml:space="preserve"> immersion visit was undertaken which </w:t>
      </w:r>
      <w:r>
        <w:t>focus</w:t>
      </w:r>
      <w:r w:rsidR="00070D19">
        <w:t>ed</w:t>
      </w:r>
      <w:r>
        <w:t xml:space="preserve"> on exploring the impact of the BSP on the </w:t>
      </w:r>
      <w:r w:rsidRPr="00A800A0">
        <w:t>investigation, surve</w:t>
      </w:r>
      <w:r>
        <w:t xml:space="preserve">illance and treatment stages, as well as </w:t>
      </w:r>
      <w:r w:rsidRPr="00070D19">
        <w:t>following</w:t>
      </w:r>
      <w:r w:rsidR="00AE492A">
        <w:t xml:space="preserve"> </w:t>
      </w:r>
      <w:r w:rsidRPr="00070D19">
        <w:t>up issues identified in the 2012 immersion visit report (Litmus 2013</w:t>
      </w:r>
      <w:r w:rsidR="00070D19">
        <w:t>a</w:t>
      </w:r>
      <w:r w:rsidRPr="00070D19">
        <w:t xml:space="preserve">). </w:t>
      </w:r>
    </w:p>
    <w:bookmarkEnd w:id="78"/>
    <w:bookmarkEnd w:id="79"/>
    <w:p w:rsidR="00070D19" w:rsidRDefault="003A598E" w:rsidP="00604AA9">
      <w:pPr>
        <w:numPr>
          <w:ilvl w:val="1"/>
          <w:numId w:val="7"/>
        </w:numPr>
        <w:autoSpaceDE w:val="0"/>
        <w:autoSpaceDN w:val="0"/>
        <w:adjustRightInd w:val="0"/>
        <w:spacing w:before="0" w:after="120"/>
        <w:ind w:left="1701" w:hanging="567"/>
      </w:pPr>
      <w:r w:rsidRPr="00FD585F">
        <w:t>30 face-to-face, phone interviews and</w:t>
      </w:r>
      <w:r>
        <w:t xml:space="preserve"> group discussions with providers across the screening pathway </w:t>
      </w:r>
      <w:r w:rsidR="004A26BE">
        <w:t xml:space="preserve">were undertaken </w:t>
      </w:r>
      <w:r>
        <w:t xml:space="preserve">(including representatives from </w:t>
      </w:r>
      <w:r w:rsidR="00E073CC">
        <w:t>Ministry of Health</w:t>
      </w:r>
      <w:r w:rsidR="00070D19">
        <w:t xml:space="preserve">, BSP </w:t>
      </w:r>
      <w:r w:rsidR="00070D19" w:rsidRPr="006D0F2A">
        <w:rPr>
          <w:lang w:eastAsia="en-NZ"/>
        </w:rPr>
        <w:t>Coordination Centre</w:t>
      </w:r>
      <w:r w:rsidR="00070D19">
        <w:rPr>
          <w:lang w:eastAsia="en-NZ"/>
        </w:rPr>
        <w:t xml:space="preserve">, Gastroenterologists (GE), </w:t>
      </w:r>
      <w:r w:rsidR="00027785">
        <w:rPr>
          <w:lang w:eastAsia="en-NZ"/>
        </w:rPr>
        <w:t>CTC</w:t>
      </w:r>
      <w:r w:rsidR="00070D19">
        <w:rPr>
          <w:lang w:eastAsia="ar-SA"/>
        </w:rPr>
        <w:t xml:space="preserve">, </w:t>
      </w:r>
      <w:r w:rsidR="00070D19" w:rsidRPr="006D0F2A">
        <w:rPr>
          <w:lang w:eastAsia="en-NZ"/>
        </w:rPr>
        <w:t>Laboratory</w:t>
      </w:r>
      <w:r w:rsidR="00070D19">
        <w:rPr>
          <w:lang w:eastAsia="en-NZ"/>
        </w:rPr>
        <w:t>, endoscopy nurses, BSP colonoscopy s</w:t>
      </w:r>
      <w:r w:rsidR="00070D19" w:rsidRPr="00D1180D">
        <w:rPr>
          <w:lang w:eastAsia="en-NZ"/>
        </w:rPr>
        <w:t>urgeons</w:t>
      </w:r>
      <w:r w:rsidR="00070D19">
        <w:rPr>
          <w:lang w:eastAsia="en-NZ"/>
        </w:rPr>
        <w:t>, non-BSP colonoscopy s</w:t>
      </w:r>
      <w:r w:rsidR="00070D19" w:rsidRPr="00D1180D">
        <w:rPr>
          <w:lang w:eastAsia="en-NZ"/>
        </w:rPr>
        <w:t xml:space="preserve">urgeons who </w:t>
      </w:r>
      <w:r w:rsidR="00070D19">
        <w:rPr>
          <w:lang w:eastAsia="en-NZ"/>
        </w:rPr>
        <w:t>do not scope in BSP, oncologist</w:t>
      </w:r>
      <w:r>
        <w:t>)</w:t>
      </w:r>
      <w:r w:rsidRPr="00A113D0">
        <w:t xml:space="preserve">. </w:t>
      </w:r>
      <w:r>
        <w:t xml:space="preserve"> </w:t>
      </w:r>
    </w:p>
    <w:p w:rsidR="00A1741A" w:rsidRDefault="00A1741A" w:rsidP="00604AA9">
      <w:pPr>
        <w:numPr>
          <w:ilvl w:val="1"/>
          <w:numId w:val="7"/>
        </w:numPr>
        <w:autoSpaceDE w:val="0"/>
        <w:autoSpaceDN w:val="0"/>
        <w:adjustRightInd w:val="0"/>
        <w:spacing w:before="0" w:after="120"/>
        <w:ind w:left="1701" w:hanging="567"/>
      </w:pPr>
      <w:r w:rsidRPr="00A1741A">
        <w:rPr>
          <w:rFonts w:cs="Arial"/>
        </w:rPr>
        <w:t xml:space="preserve">All interviews followed an informed consent process. </w:t>
      </w:r>
    </w:p>
    <w:p w:rsidR="00935E9F" w:rsidRDefault="000F63D2" w:rsidP="00604AA9">
      <w:pPr>
        <w:numPr>
          <w:ilvl w:val="0"/>
          <w:numId w:val="7"/>
        </w:numPr>
        <w:autoSpaceDE w:val="0"/>
        <w:autoSpaceDN w:val="0"/>
        <w:adjustRightInd w:val="0"/>
        <w:spacing w:before="120"/>
        <w:ind w:left="1134" w:hanging="425"/>
      </w:pPr>
      <w:r w:rsidRPr="000F63D2">
        <w:rPr>
          <w:b/>
        </w:rPr>
        <w:t>The r</w:t>
      </w:r>
      <w:r w:rsidR="00584232" w:rsidRPr="000F63D2">
        <w:rPr>
          <w:b/>
        </w:rPr>
        <w:t>ole of g</w:t>
      </w:r>
      <w:r w:rsidR="00970B2D" w:rsidRPr="000F63D2">
        <w:rPr>
          <w:b/>
        </w:rPr>
        <w:t xml:space="preserve">eneral </w:t>
      </w:r>
      <w:r w:rsidR="00584232" w:rsidRPr="000F63D2">
        <w:rPr>
          <w:b/>
        </w:rPr>
        <w:t>p</w:t>
      </w:r>
      <w:r w:rsidR="00970B2D" w:rsidRPr="000F63D2">
        <w:rPr>
          <w:b/>
        </w:rPr>
        <w:t xml:space="preserve">ractice </w:t>
      </w:r>
      <w:r w:rsidRPr="000F63D2">
        <w:rPr>
          <w:b/>
        </w:rPr>
        <w:t>report</w:t>
      </w:r>
      <w:r>
        <w:t xml:space="preserve"> </w:t>
      </w:r>
      <w:r w:rsidR="00933493">
        <w:t>(</w:t>
      </w:r>
      <w:r w:rsidR="00685F5B">
        <w:t xml:space="preserve">Litmus </w:t>
      </w:r>
      <w:r w:rsidR="00933493">
        <w:t xml:space="preserve">2014c) </w:t>
      </w:r>
    </w:p>
    <w:p w:rsidR="000F63D2" w:rsidRPr="000F63D2" w:rsidRDefault="000F63D2" w:rsidP="00604AA9">
      <w:pPr>
        <w:numPr>
          <w:ilvl w:val="1"/>
          <w:numId w:val="7"/>
        </w:numPr>
        <w:autoSpaceDE w:val="0"/>
        <w:autoSpaceDN w:val="0"/>
        <w:adjustRightInd w:val="0"/>
        <w:spacing w:before="0" w:after="120"/>
        <w:ind w:left="1701" w:hanging="567"/>
      </w:pPr>
      <w:r w:rsidRPr="000F63D2">
        <w:t>The</w:t>
      </w:r>
      <w:r w:rsidRPr="000F63D2">
        <w:rPr>
          <w:lang w:val="en-US"/>
        </w:rPr>
        <w:t xml:space="preserve"> role of general practice in informing BSP participants of a positive </w:t>
      </w:r>
      <w:r w:rsidR="00027785">
        <w:rPr>
          <w:lang w:val="en-US"/>
        </w:rPr>
        <w:t>iFOBT</w:t>
      </w:r>
      <w:r w:rsidRPr="000F63D2">
        <w:rPr>
          <w:lang w:val="en-US"/>
        </w:rPr>
        <w:t xml:space="preserve"> </w:t>
      </w:r>
      <w:r>
        <w:t xml:space="preserve">is a unique element of the BSP.  The findings from the first immersion visit (Litmus 2013a) found that while </w:t>
      </w:r>
      <w:r w:rsidRPr="000F63D2">
        <w:rPr>
          <w:lang w:val="en-US"/>
        </w:rPr>
        <w:t xml:space="preserve">GPs and practice nurses are generally supportive of the BSP, across general practice there is variation in BSP processes and practices.  </w:t>
      </w:r>
    </w:p>
    <w:p w:rsidR="000F63D2" w:rsidRDefault="000F63D2" w:rsidP="00604AA9">
      <w:pPr>
        <w:numPr>
          <w:ilvl w:val="1"/>
          <w:numId w:val="7"/>
        </w:numPr>
        <w:autoSpaceDE w:val="0"/>
        <w:autoSpaceDN w:val="0"/>
        <w:adjustRightInd w:val="0"/>
        <w:spacing w:before="0" w:after="120"/>
        <w:ind w:left="1701" w:hanging="567"/>
      </w:pPr>
      <w:r w:rsidRPr="000F63D2">
        <w:rPr>
          <w:lang w:val="en-US"/>
        </w:rPr>
        <w:t xml:space="preserve">Given this unique role and noted variation, it was agreed the role </w:t>
      </w:r>
      <w:r>
        <w:t xml:space="preserve">of general practice in the BSP needed to be more fully understood, particularly with regard to enhancing participants’ experience and in considering general practices’ role if the Pilot was rolled out nationally. </w:t>
      </w:r>
      <w:r w:rsidR="007E6B93">
        <w:t xml:space="preserve"> </w:t>
      </w:r>
      <w:r>
        <w:t xml:space="preserve">To identify the role and value of general practice in the BSP, a report was developed which drew on the quantitative data from the eligible population and provider </w:t>
      </w:r>
      <w:r w:rsidR="00027785">
        <w:t xml:space="preserve">surveys (Litmus 2014a &amp; b), </w:t>
      </w:r>
      <w:r>
        <w:t xml:space="preserve">interviews with </w:t>
      </w:r>
      <w:r w:rsidR="00AE492A">
        <w:t xml:space="preserve">ten </w:t>
      </w:r>
      <w:r>
        <w:t>general practices including GPs, practice nurses</w:t>
      </w:r>
      <w:r w:rsidR="00027785">
        <w:t xml:space="preserve">, </w:t>
      </w:r>
      <w:r>
        <w:t xml:space="preserve">practice managers </w:t>
      </w:r>
      <w:r w:rsidR="00027785">
        <w:t xml:space="preserve">and other practice staff </w:t>
      </w:r>
      <w:r>
        <w:t>as well as face-to-face interviews with five M</w:t>
      </w:r>
      <w:r w:rsidRPr="000F63D2">
        <w:rPr>
          <w:rFonts w:cs="Arial"/>
        </w:rPr>
        <w:t>ā</w:t>
      </w:r>
      <w:r>
        <w:t xml:space="preserve">ori and five Pacific BSP participants.  </w:t>
      </w:r>
    </w:p>
    <w:p w:rsidR="000F63D2" w:rsidRPr="005D5ADA" w:rsidRDefault="000F63D2" w:rsidP="00604AA9">
      <w:pPr>
        <w:numPr>
          <w:ilvl w:val="1"/>
          <w:numId w:val="7"/>
        </w:numPr>
        <w:autoSpaceDE w:val="0"/>
        <w:autoSpaceDN w:val="0"/>
        <w:adjustRightInd w:val="0"/>
        <w:spacing w:before="0" w:after="120"/>
        <w:ind w:left="1701" w:hanging="567"/>
      </w:pPr>
      <w:r w:rsidRPr="000F63D2">
        <w:rPr>
          <w:lang w:val="en-US"/>
        </w:rPr>
        <w:t>Fieldwork</w:t>
      </w:r>
      <w:r>
        <w:t xml:space="preserve"> was undertaken in October 2013.  </w:t>
      </w:r>
      <w:r w:rsidRPr="005D5ADA">
        <w:t xml:space="preserve">All interviews followed an informed consent process. </w:t>
      </w:r>
    </w:p>
    <w:p w:rsidR="00037FE3" w:rsidRPr="00C95C03" w:rsidRDefault="00037FE3" w:rsidP="00037FE3">
      <w:r w:rsidRPr="00C95C03">
        <w:rPr>
          <w:lang w:eastAsia="en-US"/>
        </w:rPr>
        <w:t xml:space="preserve">The New Zealand Health and Disability Multi-region Ethics Committee granted ethical approval for the suite of BSP evaluation activities (reference MEC/11/EXP/119). </w:t>
      </w:r>
    </w:p>
    <w:p w:rsidR="00BD73AD" w:rsidRDefault="00BD73AD" w:rsidP="009433F2">
      <w:pPr>
        <w:pStyle w:val="Heading2"/>
        <w:keepLines/>
      </w:pPr>
      <w:bookmarkStart w:id="80" w:name="_Toc390872202"/>
      <w:bookmarkStart w:id="81" w:name="_Toc412540023"/>
      <w:r>
        <w:lastRenderedPageBreak/>
        <w:t>2.</w:t>
      </w:r>
      <w:r w:rsidR="00307DEA">
        <w:t>5</w:t>
      </w:r>
      <w:r>
        <w:tab/>
        <w:t>Data differences</w:t>
      </w:r>
      <w:bookmarkEnd w:id="80"/>
      <w:bookmarkEnd w:id="81"/>
      <w:r>
        <w:t xml:space="preserve"> </w:t>
      </w:r>
    </w:p>
    <w:p w:rsidR="00DD5CEB" w:rsidRDefault="00DD5CEB" w:rsidP="009433F2">
      <w:pPr>
        <w:keepNext/>
        <w:keepLines/>
      </w:pPr>
      <w:bookmarkStart w:id="82" w:name="_Toc390872203"/>
      <w:r>
        <w:t>The epidemiology analysis and the costing analysis undertaken to support this study have different perspectives and have used data relating to different periods of time.  For full specification of the data sources for each analysis, see Appendices 1 and 2 which provide detailed explanations of methodology.</w:t>
      </w:r>
    </w:p>
    <w:p w:rsidR="00DD5CEB" w:rsidRDefault="00DD5CEB" w:rsidP="00DD5CEB">
      <w:r>
        <w:t xml:space="preserve">For the costing analysis, the focus is on measuring the level of activity undertaken by the pilot during specific ‘snap-shot’ periods of time, to enable understanding of the relationship between volume of activity and costs incurred.  For the epidemiology analysis, it is about tracing a cohort of individual participants through the pathway. </w:t>
      </w:r>
    </w:p>
    <w:p w:rsidR="00DD5CEB" w:rsidRDefault="00DD5CEB" w:rsidP="00DD5CEB">
      <w:r>
        <w:t>In summary, the approaches and differences in data sources are as follows:</w:t>
      </w:r>
    </w:p>
    <w:p w:rsidR="00DD5CEB" w:rsidRDefault="00DD5CEB" w:rsidP="00604AA9">
      <w:pPr>
        <w:numPr>
          <w:ilvl w:val="0"/>
          <w:numId w:val="7"/>
        </w:numPr>
        <w:autoSpaceDE w:val="0"/>
        <w:autoSpaceDN w:val="0"/>
        <w:adjustRightInd w:val="0"/>
        <w:spacing w:before="120"/>
        <w:ind w:left="1134" w:hanging="425"/>
      </w:pPr>
      <w:r>
        <w:t>The epidemiology analysis uses data extracted by the M</w:t>
      </w:r>
      <w:r w:rsidR="00EF13B4">
        <w:t>inistry of Health from the BSP R</w:t>
      </w:r>
      <w:r>
        <w:t>egister and WDHB.  It reports on the first 18</w:t>
      </w:r>
      <w:r w:rsidR="00AE492A">
        <w:t xml:space="preserve"> - </w:t>
      </w:r>
      <w:r>
        <w:t>22 months of the first screening round, presenting results for the cohort of participants who were invited to join the programme from 1 January 2012</w:t>
      </w:r>
      <w:r w:rsidR="00AE492A">
        <w:t xml:space="preserve"> - </w:t>
      </w:r>
      <w:r>
        <w:t>30 June 2013.  (The full screening round could not be analysed due to the timing of data extraction and the need to allow sufficient time to pass for those people who were invited in the latter half of 2013 to complete the full screening pathway.  The approach adopted allows four months from the time of invitation for the full screening pathway to be completed</w:t>
      </w:r>
      <w:r w:rsidR="001134E4">
        <w:t>).</w:t>
      </w:r>
    </w:p>
    <w:p w:rsidR="00DD5CEB" w:rsidRDefault="00DD5CEB" w:rsidP="00EB3FAD">
      <w:pPr>
        <w:numPr>
          <w:ilvl w:val="0"/>
          <w:numId w:val="7"/>
        </w:numPr>
        <w:autoSpaceDE w:val="0"/>
        <w:autoSpaceDN w:val="0"/>
        <w:adjustRightInd w:val="0"/>
        <w:spacing w:before="120" w:after="120"/>
        <w:ind w:left="1134" w:hanging="425"/>
      </w:pPr>
      <w:r w:rsidRPr="00EB3FAD">
        <w:t>For the costing analysis, a bottom-up costing model of the screening applies unit prices</w:t>
      </w:r>
      <w:r>
        <w:t xml:space="preserve"> for key inputs (or programme activities), to volumes of each input delivered.   The modelling forecasts cost estimates over different time periods (i.e. for the first screening round during years 1</w:t>
      </w:r>
      <w:r w:rsidR="00AE492A">
        <w:t xml:space="preserve"> </w:t>
      </w:r>
      <w:r>
        <w:t>-</w:t>
      </w:r>
      <w:r w:rsidR="00AE492A">
        <w:t xml:space="preserve"> </w:t>
      </w:r>
      <w:r>
        <w:t>2, and for the duration of the pilot, from years 1</w:t>
      </w:r>
      <w:r w:rsidR="00AE492A">
        <w:t xml:space="preserve"> </w:t>
      </w:r>
      <w:r>
        <w:t>-</w:t>
      </w:r>
      <w:r w:rsidR="00AE492A">
        <w:t xml:space="preserve"> </w:t>
      </w:r>
      <w:r>
        <w:t xml:space="preserve">4); these results are used subsequently as a basis for scaling up estimates of the operational cost of running a ‘steady-state’ bowel screening programme on a national basis.  The costing analysis is based on two </w:t>
      </w:r>
      <w:r w:rsidR="00EB3FAD">
        <w:t>primary</w:t>
      </w:r>
      <w:r>
        <w:t xml:space="preserve"> data sources:</w:t>
      </w:r>
    </w:p>
    <w:p w:rsidR="00DD5CEB" w:rsidRDefault="00DD5CEB" w:rsidP="00604AA9">
      <w:pPr>
        <w:numPr>
          <w:ilvl w:val="1"/>
          <w:numId w:val="7"/>
        </w:numPr>
        <w:autoSpaceDE w:val="0"/>
        <w:autoSpaceDN w:val="0"/>
        <w:adjustRightInd w:val="0"/>
        <w:spacing w:before="0" w:after="120"/>
        <w:ind w:left="1701" w:hanging="567"/>
      </w:pPr>
      <w:r>
        <w:rPr>
          <w:b/>
        </w:rPr>
        <w:t>Cost data:</w:t>
      </w:r>
      <w:r>
        <w:t xml:space="preserve"> detailed ‘snap-shot’ samples of actual cost data from the pilot (relating to costs incurred during the two six-month periods (1 July</w:t>
      </w:r>
      <w:r w:rsidR="001E6D36">
        <w:t xml:space="preserve"> - </w:t>
      </w:r>
      <w:r>
        <w:t>30 December 2012 and 1 January</w:t>
      </w:r>
      <w:r w:rsidR="001E6D36">
        <w:t xml:space="preserve"> - </w:t>
      </w:r>
      <w:r>
        <w:t>30 June 2013) and cost data from the Ministry of Health.</w:t>
      </w:r>
    </w:p>
    <w:p w:rsidR="00DD5CEB" w:rsidRDefault="00DD5CEB" w:rsidP="00604AA9">
      <w:pPr>
        <w:numPr>
          <w:ilvl w:val="1"/>
          <w:numId w:val="7"/>
        </w:numPr>
        <w:autoSpaceDE w:val="0"/>
        <w:autoSpaceDN w:val="0"/>
        <w:adjustRightInd w:val="0"/>
        <w:spacing w:before="0" w:after="120"/>
        <w:ind w:left="1701" w:hanging="567"/>
      </w:pPr>
      <w:r>
        <w:rPr>
          <w:b/>
        </w:rPr>
        <w:t>Volumes data:</w:t>
      </w:r>
      <w:r>
        <w:t xml:space="preserve"> information reported by the BSP to the Ministry of Health on a bi-annual basis, identifying activity volumes for the full two</w:t>
      </w:r>
      <w:r w:rsidR="001E6D36">
        <w:t xml:space="preserve"> </w:t>
      </w:r>
      <w:r>
        <w:t xml:space="preserve">year screening round and data from the Ministry of Health published BSP monitoring indicators for the period to </w:t>
      </w:r>
      <w:r w:rsidR="003E7029">
        <w:t>December</w:t>
      </w:r>
      <w:r>
        <w:t xml:space="preserve"> 2013.</w:t>
      </w:r>
    </w:p>
    <w:p w:rsidR="000208A9" w:rsidRDefault="000208A9" w:rsidP="000208A9">
      <w:pPr>
        <w:pStyle w:val="Heading2"/>
      </w:pPr>
      <w:bookmarkStart w:id="83" w:name="_Toc412540024"/>
      <w:r>
        <w:t>2.</w:t>
      </w:r>
      <w:r w:rsidR="00307DEA">
        <w:t>6</w:t>
      </w:r>
      <w:r>
        <w:tab/>
        <w:t>Limitations</w:t>
      </w:r>
      <w:bookmarkEnd w:id="82"/>
      <w:bookmarkEnd w:id="83"/>
    </w:p>
    <w:p w:rsidR="00EA55DB" w:rsidRDefault="00EA55DB" w:rsidP="00EA55DB">
      <w:r>
        <w:t>This report draws on a mix of qualitative information and quantitative data.  The evaluation team is confident that the results presented in the</w:t>
      </w:r>
      <w:r w:rsidR="00685F5B">
        <w:t xml:space="preserve"> interim</w:t>
      </w:r>
      <w:r>
        <w:t xml:space="preserve"> report </w:t>
      </w:r>
      <w:r w:rsidR="004A26BE">
        <w:t>accurately reflect</w:t>
      </w:r>
      <w:r>
        <w:t xml:space="preserve"> the information and data provided.  Table </w:t>
      </w:r>
      <w:r w:rsidR="0097166A">
        <w:t>6</w:t>
      </w:r>
      <w:r w:rsidR="0071497B">
        <w:t xml:space="preserve"> </w:t>
      </w:r>
      <w:r>
        <w:t xml:space="preserve">provides a commentary on the data and information used to inform this report and their quality.  </w:t>
      </w:r>
    </w:p>
    <w:p w:rsidR="001E6D36" w:rsidRDefault="001E6D36">
      <w:pPr>
        <w:spacing w:before="0"/>
        <w:ind w:left="0"/>
        <w:rPr>
          <w:b/>
          <w:sz w:val="20"/>
        </w:rPr>
      </w:pPr>
      <w:r>
        <w:br w:type="page"/>
      </w:r>
    </w:p>
    <w:p w:rsidR="00EA55DB" w:rsidRPr="000A0D15" w:rsidRDefault="00EA55DB" w:rsidP="002A084C">
      <w:pPr>
        <w:pStyle w:val="Table"/>
      </w:pPr>
      <w:bookmarkStart w:id="84" w:name="_Toc412540159"/>
      <w:r>
        <w:lastRenderedPageBreak/>
        <w:t xml:space="preserve">Table </w:t>
      </w:r>
      <w:r w:rsidR="0097166A">
        <w:t>6</w:t>
      </w:r>
      <w:r w:rsidRPr="000A0D15">
        <w:t>: List of data and information used and their quality</w:t>
      </w:r>
      <w:bookmarkEnd w:id="84"/>
    </w:p>
    <w:tbl>
      <w:tblPr>
        <w:tblStyle w:val="MediumShading1-Accent3"/>
        <w:tblW w:w="8930" w:type="dxa"/>
        <w:tblInd w:w="817" w:type="dxa"/>
        <w:tblBorders>
          <w:insideH w:val="none" w:sz="0" w:space="0" w:color="auto"/>
        </w:tblBorders>
        <w:tblLook w:val="04A0" w:firstRow="1" w:lastRow="0" w:firstColumn="1" w:lastColumn="0" w:noHBand="0" w:noVBand="1"/>
      </w:tblPr>
      <w:tblGrid>
        <w:gridCol w:w="1800"/>
        <w:gridCol w:w="15"/>
        <w:gridCol w:w="18"/>
        <w:gridCol w:w="1239"/>
        <w:gridCol w:w="93"/>
        <w:gridCol w:w="5765"/>
      </w:tblGrid>
      <w:tr w:rsidR="00EA55DB" w:rsidTr="00672B79">
        <w:trPr>
          <w:cnfStyle w:val="100000000000" w:firstRow="1" w:lastRow="0" w:firstColumn="0" w:lastColumn="0" w:oddVBand="0" w:evenVBand="0" w:oddHBand="0" w:evenHBand="0" w:firstRowFirstColumn="0" w:firstRowLastColumn="0" w:lastRowFirstColumn="0" w:lastRowLastColumn="0"/>
          <w:trHeight w:val="528"/>
          <w:tblHeader/>
        </w:trPr>
        <w:tc>
          <w:tcPr>
            <w:cnfStyle w:val="001000000000" w:firstRow="0" w:lastRow="0" w:firstColumn="1" w:lastColumn="0" w:oddVBand="0" w:evenVBand="0" w:oddHBand="0" w:evenHBand="0" w:firstRowFirstColumn="0" w:firstRowLastColumn="0" w:lastRowFirstColumn="0" w:lastRowLastColumn="0"/>
            <w:tcW w:w="1833" w:type="dxa"/>
            <w:gridSpan w:val="3"/>
            <w:hideMark/>
          </w:tcPr>
          <w:p w:rsidR="00EA55DB" w:rsidRDefault="00EA55DB" w:rsidP="007D3D26">
            <w:pPr>
              <w:spacing w:before="0"/>
              <w:ind w:left="0"/>
              <w:rPr>
                <w:rFonts w:cs="Arial"/>
                <w:bCs w:val="0"/>
                <w:sz w:val="20"/>
                <w:szCs w:val="18"/>
              </w:rPr>
            </w:pPr>
            <w:r>
              <w:rPr>
                <w:rFonts w:cs="Arial"/>
                <w:sz w:val="20"/>
                <w:szCs w:val="18"/>
              </w:rPr>
              <w:t>Data sources</w:t>
            </w:r>
          </w:p>
        </w:tc>
        <w:tc>
          <w:tcPr>
            <w:tcW w:w="1332" w:type="dxa"/>
            <w:gridSpan w:val="2"/>
            <w:hideMark/>
          </w:tcPr>
          <w:p w:rsidR="00EA55DB" w:rsidRDefault="00EA55DB" w:rsidP="007D3D26">
            <w:pPr>
              <w:spacing w:before="0"/>
              <w:ind w:left="0"/>
              <w:cnfStyle w:val="100000000000" w:firstRow="1" w:lastRow="0" w:firstColumn="0" w:lastColumn="0" w:oddVBand="0" w:evenVBand="0" w:oddHBand="0" w:evenHBand="0" w:firstRowFirstColumn="0" w:firstRowLastColumn="0" w:lastRowFirstColumn="0" w:lastRowLastColumn="0"/>
              <w:rPr>
                <w:rFonts w:cs="Arial"/>
                <w:bCs w:val="0"/>
                <w:sz w:val="20"/>
                <w:szCs w:val="18"/>
              </w:rPr>
            </w:pPr>
            <w:r>
              <w:rPr>
                <w:rFonts w:cs="Arial"/>
                <w:sz w:val="20"/>
                <w:szCs w:val="18"/>
              </w:rPr>
              <w:t xml:space="preserve">Quality rating </w:t>
            </w:r>
          </w:p>
        </w:tc>
        <w:tc>
          <w:tcPr>
            <w:tcW w:w="5765" w:type="dxa"/>
            <w:hideMark/>
          </w:tcPr>
          <w:p w:rsidR="00EA55DB" w:rsidRDefault="00EA55DB" w:rsidP="007D3D26">
            <w:pPr>
              <w:spacing w:before="0"/>
              <w:ind w:left="0"/>
              <w:cnfStyle w:val="100000000000" w:firstRow="1" w:lastRow="0" w:firstColumn="0" w:lastColumn="0" w:oddVBand="0" w:evenVBand="0" w:oddHBand="0" w:evenHBand="0" w:firstRowFirstColumn="0" w:firstRowLastColumn="0" w:lastRowFirstColumn="0" w:lastRowLastColumn="0"/>
              <w:rPr>
                <w:rFonts w:cs="Arial"/>
                <w:bCs w:val="0"/>
                <w:sz w:val="20"/>
                <w:szCs w:val="18"/>
              </w:rPr>
            </w:pPr>
            <w:r>
              <w:rPr>
                <w:rFonts w:cs="Arial"/>
                <w:sz w:val="20"/>
                <w:szCs w:val="18"/>
              </w:rPr>
              <w:t>Comments on quality</w:t>
            </w:r>
          </w:p>
        </w:tc>
      </w:tr>
      <w:tr w:rsidR="00685F5B" w:rsidRPr="00591BEB" w:rsidTr="00C76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gridSpan w:val="3"/>
          </w:tcPr>
          <w:p w:rsidR="00685F5B" w:rsidRPr="00E00829" w:rsidRDefault="00685F5B" w:rsidP="007D3D26">
            <w:pPr>
              <w:spacing w:before="0"/>
              <w:ind w:left="0"/>
              <w:rPr>
                <w:rFonts w:cs="Arial"/>
                <w:b w:val="0"/>
                <w:bCs w:val="0"/>
                <w:sz w:val="20"/>
                <w:szCs w:val="18"/>
              </w:rPr>
            </w:pPr>
            <w:r w:rsidRPr="00E00829">
              <w:rPr>
                <w:rFonts w:cs="Arial"/>
                <w:b w:val="0"/>
                <w:sz w:val="20"/>
                <w:szCs w:val="18"/>
              </w:rPr>
              <w:t>BSP epidemiology analysis</w:t>
            </w:r>
          </w:p>
        </w:tc>
        <w:tc>
          <w:tcPr>
            <w:tcW w:w="1332" w:type="dxa"/>
            <w:gridSpan w:val="2"/>
          </w:tcPr>
          <w:p w:rsidR="00685F5B" w:rsidRDefault="00591BEB" w:rsidP="007D3D26">
            <w:pPr>
              <w:spacing w:before="0"/>
              <w:ind w:left="0"/>
              <w:cnfStyle w:val="000000100000" w:firstRow="0" w:lastRow="0" w:firstColumn="0" w:lastColumn="0" w:oddVBand="0" w:evenVBand="0" w:oddHBand="1" w:evenHBand="0" w:firstRowFirstColumn="0" w:firstRowLastColumn="0" w:lastRowFirstColumn="0" w:lastRowLastColumn="0"/>
              <w:rPr>
                <w:rFonts w:cs="Arial"/>
                <w:bCs/>
                <w:sz w:val="20"/>
                <w:szCs w:val="18"/>
              </w:rPr>
            </w:pPr>
            <w:r>
              <w:rPr>
                <w:rFonts w:cs="Arial"/>
                <w:bCs/>
                <w:sz w:val="20"/>
                <w:szCs w:val="18"/>
              </w:rPr>
              <w:t xml:space="preserve">Low </w:t>
            </w:r>
          </w:p>
        </w:tc>
        <w:tc>
          <w:tcPr>
            <w:tcW w:w="5765" w:type="dxa"/>
          </w:tcPr>
          <w:p w:rsidR="00685F5B" w:rsidRPr="00BB65A8" w:rsidRDefault="00672B79" w:rsidP="00591BEB">
            <w:pPr>
              <w:spacing w:before="0"/>
              <w:ind w:left="0"/>
              <w:cnfStyle w:val="000000100000" w:firstRow="0" w:lastRow="0" w:firstColumn="0" w:lastColumn="0" w:oddVBand="0" w:evenVBand="0" w:oddHBand="1" w:evenHBand="0" w:firstRowFirstColumn="0" w:firstRowLastColumn="0" w:lastRowFirstColumn="0" w:lastRowLastColumn="0"/>
              <w:rPr>
                <w:rFonts w:cs="Arial"/>
                <w:bCs/>
                <w:sz w:val="20"/>
                <w:szCs w:val="18"/>
              </w:rPr>
            </w:pPr>
            <w:r>
              <w:rPr>
                <w:rFonts w:cs="Arial"/>
                <w:bCs/>
                <w:sz w:val="20"/>
                <w:szCs w:val="18"/>
              </w:rPr>
              <w:t>It is</w:t>
            </w:r>
            <w:r w:rsidR="00591BEB" w:rsidRPr="00591BEB">
              <w:rPr>
                <w:rFonts w:cs="Arial"/>
                <w:bCs/>
                <w:sz w:val="20"/>
                <w:szCs w:val="18"/>
              </w:rPr>
              <w:t xml:space="preserve"> recommend that the Ministry of Health comprehensively review the BSP Register and implement a robust data quality assurance programme. The evaluation has identified data quality issues that must be addressed as a high priority for the final evaluation and </w:t>
            </w:r>
            <w:r>
              <w:rPr>
                <w:rFonts w:cs="Arial"/>
                <w:bCs/>
                <w:sz w:val="20"/>
                <w:szCs w:val="18"/>
              </w:rPr>
              <w:t xml:space="preserve">to monitor </w:t>
            </w:r>
            <w:r w:rsidR="00591BEB" w:rsidRPr="00591BEB">
              <w:rPr>
                <w:rFonts w:cs="Arial"/>
                <w:bCs/>
                <w:sz w:val="20"/>
                <w:szCs w:val="18"/>
              </w:rPr>
              <w:t xml:space="preserve">a national programme. Data quality issues </w:t>
            </w:r>
            <w:r>
              <w:rPr>
                <w:rFonts w:cs="Arial"/>
                <w:bCs/>
                <w:sz w:val="20"/>
                <w:szCs w:val="18"/>
              </w:rPr>
              <w:t xml:space="preserve">identified </w:t>
            </w:r>
            <w:r w:rsidR="00591BEB" w:rsidRPr="00591BEB">
              <w:rPr>
                <w:rFonts w:cs="Arial"/>
                <w:bCs/>
                <w:sz w:val="20"/>
                <w:szCs w:val="18"/>
              </w:rPr>
              <w:t xml:space="preserve">include data definition, data inconsistencies, errors and data capture. </w:t>
            </w:r>
            <w:r w:rsidR="00EF13B4">
              <w:rPr>
                <w:rFonts w:cs="Arial"/>
                <w:bCs/>
                <w:sz w:val="20"/>
                <w:szCs w:val="18"/>
              </w:rPr>
              <w:br/>
            </w:r>
          </w:p>
        </w:tc>
      </w:tr>
      <w:tr w:rsidR="00DD5CEB" w:rsidTr="00C76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DD5CEB" w:rsidRPr="00E00829" w:rsidRDefault="00DD5CEB" w:rsidP="00AE7C12">
            <w:pPr>
              <w:spacing w:before="0"/>
              <w:ind w:left="0"/>
              <w:rPr>
                <w:rFonts w:cs="Arial"/>
                <w:b w:val="0"/>
                <w:sz w:val="20"/>
                <w:szCs w:val="18"/>
              </w:rPr>
            </w:pPr>
            <w:r w:rsidRPr="00E00829">
              <w:rPr>
                <w:rFonts w:cs="Arial"/>
                <w:b w:val="0"/>
                <w:sz w:val="20"/>
                <w:szCs w:val="18"/>
              </w:rPr>
              <w:t>The BSP costing analysis report</w:t>
            </w:r>
          </w:p>
        </w:tc>
        <w:tc>
          <w:tcPr>
            <w:tcW w:w="1365" w:type="dxa"/>
            <w:gridSpan w:val="4"/>
          </w:tcPr>
          <w:p w:rsidR="00DD5CEB" w:rsidRPr="00E00829" w:rsidRDefault="00DD5CEB" w:rsidP="00C769A0">
            <w:pPr>
              <w:spacing w:before="0"/>
              <w:ind w:left="0"/>
              <w:cnfStyle w:val="000000010000" w:firstRow="0" w:lastRow="0" w:firstColumn="0" w:lastColumn="0" w:oddVBand="0" w:evenVBand="0" w:oddHBand="0" w:evenHBand="1" w:firstRowFirstColumn="0" w:firstRowLastColumn="0" w:lastRowFirstColumn="0" w:lastRowLastColumn="0"/>
              <w:rPr>
                <w:rFonts w:cs="Arial"/>
                <w:bCs/>
                <w:sz w:val="20"/>
                <w:szCs w:val="18"/>
              </w:rPr>
            </w:pPr>
            <w:r w:rsidRPr="00E00829">
              <w:rPr>
                <w:rFonts w:cs="Arial"/>
                <w:bCs/>
                <w:sz w:val="20"/>
                <w:szCs w:val="18"/>
              </w:rPr>
              <w:t>Low</w:t>
            </w:r>
            <w:r w:rsidR="00C769A0">
              <w:rPr>
                <w:rFonts w:cs="Arial"/>
                <w:bCs/>
                <w:sz w:val="20"/>
                <w:szCs w:val="18"/>
              </w:rPr>
              <w:t>-</w:t>
            </w:r>
            <w:r w:rsidRPr="00E00829">
              <w:rPr>
                <w:rFonts w:cs="Arial"/>
                <w:bCs/>
                <w:sz w:val="20"/>
                <w:szCs w:val="18"/>
              </w:rPr>
              <w:t>medium</w:t>
            </w:r>
          </w:p>
        </w:tc>
        <w:tc>
          <w:tcPr>
            <w:tcW w:w="5765" w:type="dxa"/>
          </w:tcPr>
          <w:p w:rsidR="00DD5CEB" w:rsidRPr="00DD5CEB" w:rsidRDefault="00DD5CEB" w:rsidP="00AE7C12">
            <w:pPr>
              <w:spacing w:before="0"/>
              <w:ind w:left="0"/>
              <w:cnfStyle w:val="000000010000" w:firstRow="0" w:lastRow="0" w:firstColumn="0" w:lastColumn="0" w:oddVBand="0" w:evenVBand="0" w:oddHBand="0" w:evenHBand="1" w:firstRowFirstColumn="0" w:firstRowLastColumn="0" w:lastRowFirstColumn="0" w:lastRowLastColumn="0"/>
              <w:rPr>
                <w:rFonts w:cs="Arial"/>
                <w:bCs/>
                <w:sz w:val="20"/>
                <w:szCs w:val="18"/>
              </w:rPr>
            </w:pPr>
            <w:r w:rsidRPr="00DD5CEB">
              <w:rPr>
                <w:rFonts w:cs="Arial"/>
                <w:bCs/>
                <w:sz w:val="20"/>
                <w:szCs w:val="18"/>
              </w:rPr>
              <w:t>Detailed costing data was made available by the pilot and our analysts received significant guidance from pilot staff to ensure we developed a strong understanding of the nature of contracting mechanisms and the unit cost of key inputs.</w:t>
            </w:r>
          </w:p>
          <w:p w:rsidR="00DD5CEB" w:rsidRDefault="00DD5CEB" w:rsidP="00AE7C12">
            <w:pPr>
              <w:spacing w:before="0"/>
              <w:ind w:left="0"/>
              <w:cnfStyle w:val="000000010000" w:firstRow="0" w:lastRow="0" w:firstColumn="0" w:lastColumn="0" w:oddVBand="0" w:evenVBand="0" w:oddHBand="0" w:evenHBand="1" w:firstRowFirstColumn="0" w:firstRowLastColumn="0" w:lastRowFirstColumn="0" w:lastRowLastColumn="0"/>
              <w:rPr>
                <w:rFonts w:cs="Arial"/>
                <w:bCs/>
                <w:sz w:val="20"/>
                <w:szCs w:val="18"/>
              </w:rPr>
            </w:pPr>
            <w:r w:rsidRPr="00DD5CEB">
              <w:rPr>
                <w:rFonts w:cs="Arial"/>
                <w:bCs/>
                <w:sz w:val="20"/>
                <w:szCs w:val="18"/>
              </w:rPr>
              <w:t xml:space="preserve">However, issues identified by the epidemiology analysis team in relation to volumes data from the BSP </w:t>
            </w:r>
            <w:r w:rsidR="00EB35F4">
              <w:rPr>
                <w:rFonts w:cs="Arial"/>
                <w:bCs/>
                <w:sz w:val="20"/>
                <w:szCs w:val="18"/>
              </w:rPr>
              <w:t>R</w:t>
            </w:r>
            <w:r w:rsidRPr="00DD5CEB">
              <w:rPr>
                <w:rFonts w:cs="Arial"/>
                <w:bCs/>
                <w:sz w:val="20"/>
                <w:szCs w:val="18"/>
              </w:rPr>
              <w:t>egister are also relevant for the costing analysis; any data inconsistencies and errors in volumes reported may have a significant impact on the reliability of costing forecasts.</w:t>
            </w:r>
          </w:p>
          <w:p w:rsidR="00DD5CEB" w:rsidRPr="00BB65A8" w:rsidRDefault="00DD5CEB" w:rsidP="00AE7C12">
            <w:pPr>
              <w:spacing w:before="0"/>
              <w:ind w:left="0"/>
              <w:cnfStyle w:val="000000010000" w:firstRow="0" w:lastRow="0" w:firstColumn="0" w:lastColumn="0" w:oddVBand="0" w:evenVBand="0" w:oddHBand="0" w:evenHBand="1" w:firstRowFirstColumn="0" w:firstRowLastColumn="0" w:lastRowFirstColumn="0" w:lastRowLastColumn="0"/>
              <w:rPr>
                <w:rFonts w:cs="Arial"/>
                <w:bCs/>
                <w:sz w:val="20"/>
                <w:szCs w:val="18"/>
              </w:rPr>
            </w:pPr>
          </w:p>
        </w:tc>
      </w:tr>
      <w:tr w:rsidR="00EA55DB" w:rsidTr="00C76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gridSpan w:val="3"/>
          </w:tcPr>
          <w:p w:rsidR="00685F5B" w:rsidRPr="00E00829" w:rsidRDefault="00685F5B" w:rsidP="007D3D26">
            <w:pPr>
              <w:spacing w:before="0"/>
              <w:ind w:left="0"/>
              <w:rPr>
                <w:rFonts w:cs="Arial"/>
                <w:b w:val="0"/>
                <w:bCs w:val="0"/>
                <w:sz w:val="20"/>
                <w:szCs w:val="20"/>
              </w:rPr>
            </w:pPr>
            <w:r w:rsidRPr="00E00829">
              <w:rPr>
                <w:b w:val="0"/>
                <w:sz w:val="20"/>
                <w:szCs w:val="20"/>
              </w:rPr>
              <w:t>2011 Baseline and 2013 follow-up survey of eligible BSP population (Litmus 2012 and 2014a)</w:t>
            </w:r>
          </w:p>
        </w:tc>
        <w:tc>
          <w:tcPr>
            <w:tcW w:w="1332" w:type="dxa"/>
            <w:gridSpan w:val="2"/>
            <w:hideMark/>
          </w:tcPr>
          <w:p w:rsidR="00EA55DB" w:rsidRDefault="00EA55DB" w:rsidP="007D3D26">
            <w:pPr>
              <w:spacing w:before="0"/>
              <w:ind w:left="0"/>
              <w:cnfStyle w:val="000000100000" w:firstRow="0" w:lastRow="0" w:firstColumn="0" w:lastColumn="0" w:oddVBand="0" w:evenVBand="0" w:oddHBand="1" w:evenHBand="0" w:firstRowFirstColumn="0" w:firstRowLastColumn="0" w:lastRowFirstColumn="0" w:lastRowLastColumn="0"/>
              <w:rPr>
                <w:rFonts w:cs="Arial"/>
                <w:bCs/>
                <w:sz w:val="20"/>
                <w:szCs w:val="18"/>
              </w:rPr>
            </w:pPr>
            <w:r>
              <w:rPr>
                <w:rFonts w:cs="Arial"/>
                <w:bCs/>
                <w:sz w:val="20"/>
                <w:szCs w:val="18"/>
              </w:rPr>
              <w:t>Medium</w:t>
            </w:r>
            <w:r w:rsidR="001E065B">
              <w:rPr>
                <w:rFonts w:cs="Arial"/>
                <w:bCs/>
                <w:sz w:val="20"/>
                <w:szCs w:val="18"/>
              </w:rPr>
              <w:t>-high</w:t>
            </w:r>
            <w:r>
              <w:rPr>
                <w:rFonts w:cs="Arial"/>
                <w:bCs/>
                <w:sz w:val="20"/>
                <w:szCs w:val="18"/>
              </w:rPr>
              <w:t xml:space="preserve"> </w:t>
            </w:r>
          </w:p>
        </w:tc>
        <w:tc>
          <w:tcPr>
            <w:tcW w:w="5765" w:type="dxa"/>
          </w:tcPr>
          <w:p w:rsidR="00EA55DB" w:rsidRPr="00BB65A8" w:rsidRDefault="00EA55DB" w:rsidP="007D3D26">
            <w:pPr>
              <w:spacing w:before="0"/>
              <w:ind w:left="0"/>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BB65A8">
              <w:rPr>
                <w:rFonts w:cs="Arial"/>
                <w:bCs/>
                <w:sz w:val="20"/>
                <w:szCs w:val="18"/>
              </w:rPr>
              <w:t>In the absence of any other population-level data on awareness and knowledge around bowel cancer and bowel screening, the telephone surveys conducted as part of the BSP evaluation provide useful information.</w:t>
            </w:r>
            <w:r>
              <w:rPr>
                <w:rFonts w:cs="Arial"/>
                <w:bCs/>
                <w:sz w:val="20"/>
                <w:szCs w:val="18"/>
              </w:rPr>
              <w:t xml:space="preserve"> </w:t>
            </w:r>
            <w:r w:rsidR="00685F5B">
              <w:rPr>
                <w:rFonts w:cs="Arial"/>
                <w:bCs/>
                <w:sz w:val="20"/>
                <w:szCs w:val="18"/>
              </w:rPr>
              <w:t xml:space="preserve"> </w:t>
            </w:r>
            <w:r>
              <w:rPr>
                <w:rFonts w:cs="Arial"/>
                <w:bCs/>
                <w:sz w:val="20"/>
                <w:szCs w:val="18"/>
              </w:rPr>
              <w:t xml:space="preserve">Data limitations: </w:t>
            </w:r>
          </w:p>
          <w:p w:rsidR="00EA55DB" w:rsidRPr="00BB65A8" w:rsidRDefault="00EA55DB" w:rsidP="00604AA9">
            <w:pPr>
              <w:pStyle w:val="ListParagraph"/>
              <w:numPr>
                <w:ilvl w:val="0"/>
                <w:numId w:val="11"/>
              </w:numPr>
              <w:spacing w:before="0" w:after="200"/>
              <w:ind w:left="357" w:hanging="357"/>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BB65A8">
              <w:rPr>
                <w:rFonts w:cs="Arial"/>
                <w:bCs/>
                <w:sz w:val="20"/>
                <w:szCs w:val="18"/>
              </w:rPr>
              <w:t>Relatively small sample sizes limit the possibility of extensive sub-group analysis and the reliability of comparisons over time.</w:t>
            </w:r>
          </w:p>
          <w:p w:rsidR="00EA55DB" w:rsidRPr="00BB65A8" w:rsidRDefault="00EA55DB" w:rsidP="00604AA9">
            <w:pPr>
              <w:pStyle w:val="ListParagraph"/>
              <w:numPr>
                <w:ilvl w:val="0"/>
                <w:numId w:val="11"/>
              </w:numPr>
              <w:spacing w:before="0" w:after="200"/>
              <w:ind w:left="357" w:hanging="357"/>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BB65A8">
              <w:rPr>
                <w:rFonts w:cs="Arial"/>
                <w:bCs/>
                <w:sz w:val="20"/>
                <w:szCs w:val="18"/>
              </w:rPr>
              <w:t>People who were less easily identifiable as Māori or Pacific may be less well represented, relative to those who were more easily identifiable as Māori or Pacific.</w:t>
            </w:r>
          </w:p>
          <w:p w:rsidR="00EA55DB" w:rsidRPr="00BB65A8" w:rsidRDefault="00EA55DB" w:rsidP="00604AA9">
            <w:pPr>
              <w:pStyle w:val="ListParagraph"/>
              <w:numPr>
                <w:ilvl w:val="0"/>
                <w:numId w:val="11"/>
              </w:numPr>
              <w:spacing w:before="0" w:after="200"/>
              <w:ind w:left="357" w:hanging="357"/>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BB65A8">
              <w:rPr>
                <w:rFonts w:cs="Arial"/>
                <w:bCs/>
                <w:sz w:val="20"/>
                <w:szCs w:val="18"/>
              </w:rPr>
              <w:t>Non-respondents may have differed from respondents in unknown ways, which would affect the survey results.  Weighting will have helped to mitigate the problem.</w:t>
            </w:r>
          </w:p>
          <w:p w:rsidR="00EA55DB" w:rsidRDefault="00EA55DB" w:rsidP="00604AA9">
            <w:pPr>
              <w:pStyle w:val="ListParagraph"/>
              <w:numPr>
                <w:ilvl w:val="0"/>
                <w:numId w:val="11"/>
              </w:numPr>
              <w:spacing w:before="0" w:after="120"/>
              <w:ind w:left="357" w:hanging="357"/>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BB65A8">
              <w:rPr>
                <w:rFonts w:cs="Arial"/>
                <w:bCs/>
                <w:sz w:val="20"/>
                <w:szCs w:val="18"/>
              </w:rPr>
              <w:t xml:space="preserve">The response rates achieved for the two WDHB surveys (using a conservative measure) were reasonable, but not exceptional. </w:t>
            </w:r>
          </w:p>
        </w:tc>
      </w:tr>
      <w:tr w:rsidR="00EA55DB" w:rsidTr="00C76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gridSpan w:val="3"/>
          </w:tcPr>
          <w:p w:rsidR="00EA55DB" w:rsidRPr="00E00829" w:rsidRDefault="00685F5B" w:rsidP="007D3D26">
            <w:pPr>
              <w:spacing w:before="0"/>
              <w:ind w:left="0"/>
              <w:rPr>
                <w:b w:val="0"/>
                <w:sz w:val="20"/>
              </w:rPr>
            </w:pPr>
            <w:r w:rsidRPr="00E00829">
              <w:rPr>
                <w:b w:val="0"/>
                <w:sz w:val="20"/>
              </w:rPr>
              <w:t xml:space="preserve">The 2011 baseline and the 2013 follow-up survey with providers (Litmus 2012a and 2014b).  </w:t>
            </w:r>
          </w:p>
          <w:p w:rsidR="00E00829" w:rsidRPr="00E00829" w:rsidRDefault="00E00829" w:rsidP="007D3D26">
            <w:pPr>
              <w:spacing w:before="0"/>
              <w:ind w:left="0"/>
              <w:rPr>
                <w:b w:val="0"/>
                <w:sz w:val="20"/>
              </w:rPr>
            </w:pPr>
          </w:p>
        </w:tc>
        <w:tc>
          <w:tcPr>
            <w:tcW w:w="1332" w:type="dxa"/>
            <w:gridSpan w:val="2"/>
            <w:hideMark/>
          </w:tcPr>
          <w:p w:rsidR="00EA55DB" w:rsidRDefault="00EA55DB" w:rsidP="007D3D26">
            <w:pPr>
              <w:spacing w:before="0"/>
              <w:ind w:left="0"/>
              <w:cnfStyle w:val="000000010000" w:firstRow="0" w:lastRow="0" w:firstColumn="0" w:lastColumn="0" w:oddVBand="0" w:evenVBand="0" w:oddHBand="0" w:evenHBand="1" w:firstRowFirstColumn="0" w:firstRowLastColumn="0" w:lastRowFirstColumn="0" w:lastRowLastColumn="0"/>
              <w:rPr>
                <w:rFonts w:cs="Arial"/>
                <w:bCs/>
                <w:sz w:val="20"/>
                <w:szCs w:val="18"/>
              </w:rPr>
            </w:pPr>
            <w:r>
              <w:rPr>
                <w:rFonts w:cs="Arial"/>
                <w:bCs/>
                <w:sz w:val="20"/>
                <w:szCs w:val="18"/>
              </w:rPr>
              <w:t xml:space="preserve">Medium </w:t>
            </w:r>
          </w:p>
        </w:tc>
        <w:tc>
          <w:tcPr>
            <w:tcW w:w="5765" w:type="dxa"/>
          </w:tcPr>
          <w:p w:rsidR="00EA55DB" w:rsidRDefault="00EA55DB" w:rsidP="00604AA9">
            <w:pPr>
              <w:pStyle w:val="ListParagraph"/>
              <w:numPr>
                <w:ilvl w:val="0"/>
                <w:numId w:val="11"/>
              </w:numPr>
              <w:spacing w:before="0" w:after="200"/>
              <w:ind w:left="357" w:hanging="357"/>
              <w:cnfStyle w:val="000000010000" w:firstRow="0" w:lastRow="0" w:firstColumn="0" w:lastColumn="0" w:oddVBand="0" w:evenVBand="0" w:oddHBand="0" w:evenHBand="1" w:firstRowFirstColumn="0" w:firstRowLastColumn="0" w:lastRowFirstColumn="0" w:lastRowLastColumn="0"/>
              <w:rPr>
                <w:rFonts w:cs="Arial"/>
                <w:bCs/>
                <w:sz w:val="20"/>
                <w:szCs w:val="18"/>
              </w:rPr>
            </w:pPr>
            <w:r w:rsidRPr="00BB65A8">
              <w:rPr>
                <w:rFonts w:cs="Arial"/>
                <w:bCs/>
                <w:sz w:val="20"/>
                <w:szCs w:val="18"/>
              </w:rPr>
              <w:t xml:space="preserve">The key methodological limitations of the provider surveys are the low GP and practice nurse response rates and an inability to establish whether GP and practice nurse samples are representative of the wider population of WDHB GPs and practice nurses. Consequently, GP and practice nurse findings are indicative and not definitive.  </w:t>
            </w:r>
          </w:p>
        </w:tc>
      </w:tr>
      <w:tr w:rsidR="00685F5B" w:rsidRPr="00685F5B" w:rsidTr="00C769A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33" w:type="dxa"/>
            <w:gridSpan w:val="3"/>
          </w:tcPr>
          <w:p w:rsidR="00685F5B" w:rsidRPr="00E00829" w:rsidRDefault="00685F5B" w:rsidP="00027785">
            <w:pPr>
              <w:spacing w:before="0"/>
              <w:ind w:left="0"/>
              <w:rPr>
                <w:b w:val="0"/>
                <w:sz w:val="20"/>
              </w:rPr>
            </w:pPr>
            <w:r w:rsidRPr="00E00829">
              <w:rPr>
                <w:b w:val="0"/>
                <w:sz w:val="20"/>
              </w:rPr>
              <w:t>Qualitative interviews with the eligible population</w:t>
            </w:r>
            <w:r w:rsidR="00027785" w:rsidRPr="00E00829">
              <w:rPr>
                <w:b w:val="0"/>
                <w:sz w:val="20"/>
              </w:rPr>
              <w:t xml:space="preserve"> -</w:t>
            </w:r>
            <w:r w:rsidRPr="00E00829">
              <w:rPr>
                <w:b w:val="0"/>
                <w:sz w:val="20"/>
              </w:rPr>
              <w:t xml:space="preserve"> participants (Litmus 2013) </w:t>
            </w:r>
          </w:p>
        </w:tc>
        <w:tc>
          <w:tcPr>
            <w:tcW w:w="1332" w:type="dxa"/>
            <w:gridSpan w:val="2"/>
          </w:tcPr>
          <w:p w:rsidR="00685F5B" w:rsidRPr="00685F5B" w:rsidRDefault="00E951A5" w:rsidP="007D3D26">
            <w:pPr>
              <w:spacing w:before="0"/>
              <w:ind w:left="0"/>
              <w:cnfStyle w:val="000000100000" w:firstRow="0" w:lastRow="0" w:firstColumn="0" w:lastColumn="0" w:oddVBand="0" w:evenVBand="0" w:oddHBand="1" w:evenHBand="0" w:firstRowFirstColumn="0" w:firstRowLastColumn="0" w:lastRowFirstColumn="0" w:lastRowLastColumn="0"/>
              <w:rPr>
                <w:rFonts w:cs="Arial"/>
                <w:bCs/>
                <w:sz w:val="20"/>
                <w:szCs w:val="18"/>
              </w:rPr>
            </w:pPr>
            <w:r>
              <w:rPr>
                <w:rFonts w:cs="Arial"/>
                <w:bCs/>
                <w:sz w:val="20"/>
                <w:szCs w:val="18"/>
              </w:rPr>
              <w:t>Medium</w:t>
            </w:r>
            <w:r w:rsidR="00685F5B" w:rsidRPr="00685F5B">
              <w:rPr>
                <w:rFonts w:cs="Arial"/>
                <w:bCs/>
                <w:sz w:val="20"/>
                <w:szCs w:val="18"/>
              </w:rPr>
              <w:t xml:space="preserve"> </w:t>
            </w:r>
          </w:p>
          <w:p w:rsidR="00685F5B" w:rsidRPr="00685F5B" w:rsidRDefault="00685F5B" w:rsidP="007D3D26">
            <w:pPr>
              <w:spacing w:before="0"/>
              <w:ind w:left="0"/>
              <w:cnfStyle w:val="000000100000" w:firstRow="0" w:lastRow="0" w:firstColumn="0" w:lastColumn="0" w:oddVBand="0" w:evenVBand="0" w:oddHBand="1" w:evenHBand="0" w:firstRowFirstColumn="0" w:firstRowLastColumn="0" w:lastRowFirstColumn="0" w:lastRowLastColumn="0"/>
              <w:rPr>
                <w:rFonts w:cs="Arial"/>
                <w:bCs/>
                <w:sz w:val="20"/>
                <w:szCs w:val="18"/>
              </w:rPr>
            </w:pPr>
          </w:p>
          <w:p w:rsidR="00685F5B" w:rsidRPr="00685F5B" w:rsidRDefault="00E951A5" w:rsidP="00E951A5">
            <w:pPr>
              <w:spacing w:before="0"/>
              <w:ind w:left="0"/>
              <w:cnfStyle w:val="000000100000" w:firstRow="0" w:lastRow="0" w:firstColumn="0" w:lastColumn="0" w:oddVBand="0" w:evenVBand="0" w:oddHBand="1" w:evenHBand="0" w:firstRowFirstColumn="0" w:firstRowLastColumn="0" w:lastRowFirstColumn="0" w:lastRowLastColumn="0"/>
              <w:rPr>
                <w:rFonts w:cs="Arial"/>
                <w:bCs/>
                <w:sz w:val="20"/>
                <w:szCs w:val="18"/>
              </w:rPr>
            </w:pPr>
            <w:r>
              <w:rPr>
                <w:rFonts w:cs="Arial"/>
                <w:bCs/>
                <w:sz w:val="20"/>
                <w:szCs w:val="18"/>
              </w:rPr>
              <w:t xml:space="preserve"> </w:t>
            </w:r>
          </w:p>
        </w:tc>
        <w:tc>
          <w:tcPr>
            <w:tcW w:w="5765" w:type="dxa"/>
          </w:tcPr>
          <w:p w:rsidR="00E951A5" w:rsidRDefault="00E951A5" w:rsidP="00604AA9">
            <w:pPr>
              <w:pStyle w:val="ListParagraph"/>
              <w:numPr>
                <w:ilvl w:val="0"/>
                <w:numId w:val="10"/>
              </w:numPr>
              <w:tabs>
                <w:tab w:val="num" w:pos="2126"/>
                <w:tab w:val="num" w:pos="6663"/>
              </w:tabs>
              <w:spacing w:before="0" w:after="200"/>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E951A5">
              <w:rPr>
                <w:rFonts w:cs="Arial"/>
                <w:bCs/>
                <w:sz w:val="20"/>
                <w:szCs w:val="18"/>
              </w:rPr>
              <w:t xml:space="preserve">Findings are dependent on participants’ recall of the order of events and experiences on the BSP screening pathway.  </w:t>
            </w:r>
          </w:p>
          <w:p w:rsidR="00E951A5" w:rsidRPr="00E951A5" w:rsidRDefault="00E951A5" w:rsidP="00604AA9">
            <w:pPr>
              <w:pStyle w:val="ListParagraph"/>
              <w:numPr>
                <w:ilvl w:val="0"/>
                <w:numId w:val="10"/>
              </w:numPr>
              <w:tabs>
                <w:tab w:val="num" w:pos="2126"/>
                <w:tab w:val="num" w:pos="6663"/>
              </w:tabs>
              <w:spacing w:before="0" w:after="200"/>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E951A5">
              <w:rPr>
                <w:rFonts w:cs="Arial"/>
                <w:bCs/>
                <w:sz w:val="20"/>
                <w:szCs w:val="18"/>
              </w:rPr>
              <w:t>Undertaking 12 interviews with participants means the diversity of Māori, Pacific and other people may not be covered.  On completion of the 12 interviews, no new substantive themes were being identified suggesting that saturation may have been reached.</w:t>
            </w:r>
          </w:p>
          <w:p w:rsidR="00685F5B" w:rsidRDefault="00E951A5" w:rsidP="00604AA9">
            <w:pPr>
              <w:pStyle w:val="ListParagraph"/>
              <w:numPr>
                <w:ilvl w:val="0"/>
                <w:numId w:val="10"/>
              </w:numPr>
              <w:tabs>
                <w:tab w:val="num" w:pos="2126"/>
                <w:tab w:val="num" w:pos="6663"/>
              </w:tabs>
              <w:spacing w:before="0" w:after="200"/>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E951A5">
              <w:rPr>
                <w:rFonts w:cs="Arial"/>
                <w:bCs/>
                <w:sz w:val="20"/>
                <w:szCs w:val="18"/>
              </w:rPr>
              <w:t xml:space="preserve">Due to the small sample size, Asian people were not included therefore not all experiences of those participating in the BSP have been explored.  </w:t>
            </w:r>
          </w:p>
          <w:p w:rsidR="00E00829" w:rsidRPr="00E951A5" w:rsidRDefault="00E00829" w:rsidP="00E00829">
            <w:pPr>
              <w:pStyle w:val="ListParagraph"/>
              <w:spacing w:before="0" w:after="200"/>
              <w:ind w:left="360"/>
              <w:cnfStyle w:val="000000100000" w:firstRow="0" w:lastRow="0" w:firstColumn="0" w:lastColumn="0" w:oddVBand="0" w:evenVBand="0" w:oddHBand="1" w:evenHBand="0" w:firstRowFirstColumn="0" w:firstRowLastColumn="0" w:lastRowFirstColumn="0" w:lastRowLastColumn="0"/>
              <w:rPr>
                <w:rFonts w:cs="Arial"/>
                <w:bCs/>
                <w:sz w:val="20"/>
                <w:szCs w:val="18"/>
              </w:rPr>
            </w:pPr>
          </w:p>
        </w:tc>
      </w:tr>
      <w:tr w:rsidR="00E951A5" w:rsidRPr="00685F5B" w:rsidTr="00C769A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15" w:type="dxa"/>
            <w:gridSpan w:val="2"/>
          </w:tcPr>
          <w:p w:rsidR="00E951A5" w:rsidRPr="00E00829" w:rsidRDefault="00E951A5" w:rsidP="00E951A5">
            <w:pPr>
              <w:spacing w:before="0"/>
              <w:ind w:left="0"/>
              <w:rPr>
                <w:b w:val="0"/>
                <w:sz w:val="20"/>
              </w:rPr>
            </w:pPr>
            <w:r w:rsidRPr="00E00829">
              <w:rPr>
                <w:b w:val="0"/>
                <w:sz w:val="20"/>
              </w:rPr>
              <w:lastRenderedPageBreak/>
              <w:t xml:space="preserve">Qualitative interviews with the eligible population - non-participants) (Litmus 2013) </w:t>
            </w:r>
          </w:p>
        </w:tc>
        <w:tc>
          <w:tcPr>
            <w:tcW w:w="1350" w:type="dxa"/>
            <w:gridSpan w:val="3"/>
          </w:tcPr>
          <w:p w:rsidR="00E951A5" w:rsidRPr="00E00829" w:rsidRDefault="00E951A5" w:rsidP="00E951A5">
            <w:pPr>
              <w:spacing w:before="0"/>
              <w:ind w:left="0"/>
              <w:cnfStyle w:val="000000010000" w:firstRow="0" w:lastRow="0" w:firstColumn="0" w:lastColumn="0" w:oddVBand="0" w:evenVBand="0" w:oddHBand="0" w:evenHBand="1" w:firstRowFirstColumn="0" w:firstRowLastColumn="0" w:lastRowFirstColumn="0" w:lastRowLastColumn="0"/>
              <w:rPr>
                <w:rFonts w:cs="Arial"/>
                <w:bCs/>
                <w:sz w:val="20"/>
                <w:szCs w:val="18"/>
              </w:rPr>
            </w:pPr>
            <w:r w:rsidRPr="00E00829">
              <w:rPr>
                <w:rFonts w:cs="Arial"/>
                <w:bCs/>
                <w:sz w:val="20"/>
                <w:szCs w:val="18"/>
              </w:rPr>
              <w:t xml:space="preserve">Medium </w:t>
            </w:r>
          </w:p>
        </w:tc>
        <w:tc>
          <w:tcPr>
            <w:tcW w:w="5765" w:type="dxa"/>
          </w:tcPr>
          <w:p w:rsidR="00E951A5" w:rsidRPr="00E951A5" w:rsidRDefault="00E951A5" w:rsidP="00604AA9">
            <w:pPr>
              <w:pStyle w:val="ListParagraph"/>
              <w:numPr>
                <w:ilvl w:val="0"/>
                <w:numId w:val="10"/>
              </w:numPr>
              <w:tabs>
                <w:tab w:val="num" w:pos="2126"/>
                <w:tab w:val="num" w:pos="6663"/>
              </w:tabs>
              <w:spacing w:before="0" w:after="200"/>
              <w:cnfStyle w:val="000000010000" w:firstRow="0" w:lastRow="0" w:firstColumn="0" w:lastColumn="0" w:oddVBand="0" w:evenVBand="0" w:oddHBand="0" w:evenHBand="1" w:firstRowFirstColumn="0" w:firstRowLastColumn="0" w:lastRowFirstColumn="0" w:lastRowLastColumn="0"/>
              <w:rPr>
                <w:rFonts w:cs="Arial"/>
                <w:bCs/>
                <w:sz w:val="20"/>
                <w:szCs w:val="18"/>
              </w:rPr>
            </w:pPr>
            <w:r w:rsidRPr="00E951A5">
              <w:rPr>
                <w:rFonts w:cs="Arial"/>
                <w:bCs/>
                <w:sz w:val="20"/>
                <w:szCs w:val="18"/>
              </w:rPr>
              <w:t xml:space="preserve">Sample size: undertaking six interviews with Māori and six with Pacific people means that not all reasons and barriers for non-participation have been identified.  However, it is anticipated that significant themes have been identified. </w:t>
            </w:r>
          </w:p>
          <w:p w:rsidR="00E951A5" w:rsidRPr="00E951A5" w:rsidRDefault="00E951A5" w:rsidP="001E6D36">
            <w:pPr>
              <w:pStyle w:val="ListParagraph"/>
              <w:numPr>
                <w:ilvl w:val="0"/>
                <w:numId w:val="10"/>
              </w:numPr>
              <w:tabs>
                <w:tab w:val="num" w:pos="2126"/>
                <w:tab w:val="num" w:pos="6663"/>
              </w:tabs>
              <w:spacing w:before="0" w:after="200"/>
              <w:cnfStyle w:val="000000010000" w:firstRow="0" w:lastRow="0" w:firstColumn="0" w:lastColumn="0" w:oddVBand="0" w:evenVBand="0" w:oddHBand="0" w:evenHBand="1" w:firstRowFirstColumn="0" w:firstRowLastColumn="0" w:lastRowFirstColumn="0" w:lastRowLastColumn="0"/>
              <w:rPr>
                <w:rFonts w:cs="Arial"/>
                <w:bCs/>
                <w:sz w:val="20"/>
                <w:szCs w:val="18"/>
              </w:rPr>
            </w:pPr>
            <w:r w:rsidRPr="00E951A5">
              <w:rPr>
                <w:rFonts w:cs="Arial"/>
                <w:bCs/>
                <w:sz w:val="20"/>
                <w:szCs w:val="18"/>
              </w:rPr>
              <w:t xml:space="preserve">Targeted sub-groups: </w:t>
            </w:r>
            <w:r w:rsidR="001E6D36">
              <w:rPr>
                <w:rFonts w:cs="Arial"/>
                <w:bCs/>
                <w:sz w:val="20"/>
                <w:szCs w:val="18"/>
              </w:rPr>
              <w:t>t</w:t>
            </w:r>
            <w:r w:rsidR="001E6D36" w:rsidRPr="00E951A5">
              <w:rPr>
                <w:rFonts w:cs="Arial"/>
                <w:bCs/>
                <w:sz w:val="20"/>
                <w:szCs w:val="18"/>
              </w:rPr>
              <w:t xml:space="preserve">his </w:t>
            </w:r>
            <w:r w:rsidRPr="00E951A5">
              <w:rPr>
                <w:rFonts w:cs="Arial"/>
                <w:bCs/>
                <w:sz w:val="20"/>
                <w:szCs w:val="18"/>
              </w:rPr>
              <w:t xml:space="preserve">approach offers no understanding of the reasons/ barriers for Pākehā and Asian men not participating.  Further, it also does not address the diversity of Māori or Pacific people eligible to participate.  </w:t>
            </w:r>
          </w:p>
        </w:tc>
      </w:tr>
      <w:tr w:rsidR="00685F5B" w:rsidRPr="00685F5B" w:rsidTr="00C769A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33" w:type="dxa"/>
            <w:gridSpan w:val="3"/>
          </w:tcPr>
          <w:p w:rsidR="00685F5B" w:rsidRPr="00E00829" w:rsidRDefault="00685F5B" w:rsidP="007E6B93">
            <w:pPr>
              <w:spacing w:before="0"/>
              <w:ind w:left="0"/>
              <w:rPr>
                <w:b w:val="0"/>
                <w:sz w:val="20"/>
              </w:rPr>
            </w:pPr>
            <w:r w:rsidRPr="00E00829">
              <w:rPr>
                <w:b w:val="0"/>
                <w:sz w:val="20"/>
              </w:rPr>
              <w:t>The 201</w:t>
            </w:r>
            <w:r w:rsidR="007E6B93" w:rsidRPr="00E00829">
              <w:rPr>
                <w:b w:val="0"/>
                <w:sz w:val="20"/>
              </w:rPr>
              <w:t>2</w:t>
            </w:r>
            <w:r w:rsidRPr="00E00829">
              <w:rPr>
                <w:b w:val="0"/>
                <w:sz w:val="20"/>
              </w:rPr>
              <w:t xml:space="preserve"> immersion visit report (Litmus 2013a)</w:t>
            </w:r>
          </w:p>
        </w:tc>
        <w:tc>
          <w:tcPr>
            <w:tcW w:w="1239" w:type="dxa"/>
          </w:tcPr>
          <w:p w:rsidR="00685F5B" w:rsidRPr="00685F5B" w:rsidRDefault="00E429D7" w:rsidP="007D3D26">
            <w:pPr>
              <w:spacing w:before="0"/>
              <w:ind w:left="0"/>
              <w:cnfStyle w:val="000000100000" w:firstRow="0" w:lastRow="0" w:firstColumn="0" w:lastColumn="0" w:oddVBand="0" w:evenVBand="0" w:oddHBand="1" w:evenHBand="0" w:firstRowFirstColumn="0" w:firstRowLastColumn="0" w:lastRowFirstColumn="0" w:lastRowLastColumn="0"/>
              <w:rPr>
                <w:rFonts w:cs="Arial"/>
                <w:bCs/>
                <w:sz w:val="20"/>
                <w:szCs w:val="18"/>
              </w:rPr>
            </w:pPr>
            <w:r>
              <w:rPr>
                <w:rFonts w:cs="Arial"/>
                <w:bCs/>
                <w:sz w:val="20"/>
                <w:szCs w:val="18"/>
              </w:rPr>
              <w:t>Medium</w:t>
            </w:r>
            <w:r w:rsidR="001E065B">
              <w:rPr>
                <w:rFonts w:cs="Arial"/>
                <w:bCs/>
                <w:sz w:val="20"/>
                <w:szCs w:val="18"/>
              </w:rPr>
              <w:t>-high</w:t>
            </w:r>
          </w:p>
        </w:tc>
        <w:tc>
          <w:tcPr>
            <w:tcW w:w="5858" w:type="dxa"/>
            <w:gridSpan w:val="2"/>
          </w:tcPr>
          <w:p w:rsidR="00685F5B" w:rsidRPr="00E951A5" w:rsidRDefault="00E429D7" w:rsidP="00604AA9">
            <w:pPr>
              <w:pStyle w:val="ListParagraph"/>
              <w:numPr>
                <w:ilvl w:val="0"/>
                <w:numId w:val="10"/>
              </w:numPr>
              <w:tabs>
                <w:tab w:val="num" w:pos="2126"/>
                <w:tab w:val="num" w:pos="6663"/>
              </w:tabs>
              <w:spacing w:before="0" w:after="200"/>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E429D7">
              <w:rPr>
                <w:rFonts w:cs="Arial"/>
                <w:bCs/>
                <w:sz w:val="20"/>
                <w:szCs w:val="18"/>
              </w:rPr>
              <w:t xml:space="preserve">The perspective of primary care on the BSP is limited to the participants from six general practices from </w:t>
            </w:r>
            <w:r w:rsidR="00C50739">
              <w:rPr>
                <w:rFonts w:cs="Arial"/>
                <w:bCs/>
                <w:sz w:val="20"/>
                <w:szCs w:val="18"/>
              </w:rPr>
              <w:t>Waitemata</w:t>
            </w:r>
            <w:r w:rsidRPr="00E429D7">
              <w:rPr>
                <w:rFonts w:cs="Arial"/>
                <w:bCs/>
                <w:sz w:val="20"/>
                <w:szCs w:val="18"/>
              </w:rPr>
              <w:t xml:space="preserve"> Primary Health Organisation (PHO) and Procare. </w:t>
            </w:r>
          </w:p>
        </w:tc>
      </w:tr>
      <w:tr w:rsidR="00E429D7" w:rsidRPr="00685F5B" w:rsidTr="00C769A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33" w:type="dxa"/>
            <w:gridSpan w:val="3"/>
          </w:tcPr>
          <w:p w:rsidR="00E429D7" w:rsidRPr="00E00829" w:rsidRDefault="00E429D7" w:rsidP="00E429D7">
            <w:pPr>
              <w:spacing w:before="0"/>
              <w:ind w:left="0"/>
              <w:rPr>
                <w:b w:val="0"/>
                <w:sz w:val="20"/>
              </w:rPr>
            </w:pPr>
            <w:r w:rsidRPr="00E00829">
              <w:rPr>
                <w:b w:val="0"/>
                <w:sz w:val="20"/>
              </w:rPr>
              <w:t>The 2013 immersion visit report (Litmus 2014)</w:t>
            </w:r>
          </w:p>
        </w:tc>
        <w:tc>
          <w:tcPr>
            <w:tcW w:w="1239" w:type="dxa"/>
          </w:tcPr>
          <w:p w:rsidR="00E429D7" w:rsidRPr="00685F5B" w:rsidRDefault="00E429D7" w:rsidP="007D3D26">
            <w:pPr>
              <w:spacing w:before="0"/>
              <w:ind w:left="0"/>
              <w:cnfStyle w:val="000000010000" w:firstRow="0" w:lastRow="0" w:firstColumn="0" w:lastColumn="0" w:oddVBand="0" w:evenVBand="0" w:oddHBand="0" w:evenHBand="1" w:firstRowFirstColumn="0" w:firstRowLastColumn="0" w:lastRowFirstColumn="0" w:lastRowLastColumn="0"/>
              <w:rPr>
                <w:rFonts w:cs="Arial"/>
                <w:bCs/>
                <w:sz w:val="20"/>
                <w:szCs w:val="18"/>
              </w:rPr>
            </w:pPr>
            <w:r>
              <w:rPr>
                <w:rFonts w:cs="Arial"/>
                <w:bCs/>
                <w:sz w:val="20"/>
                <w:szCs w:val="18"/>
              </w:rPr>
              <w:t xml:space="preserve">High </w:t>
            </w:r>
          </w:p>
        </w:tc>
        <w:tc>
          <w:tcPr>
            <w:tcW w:w="5858" w:type="dxa"/>
            <w:gridSpan w:val="2"/>
          </w:tcPr>
          <w:p w:rsidR="00E429D7" w:rsidRDefault="00E429D7" w:rsidP="00604AA9">
            <w:pPr>
              <w:pStyle w:val="ListParagraph"/>
              <w:numPr>
                <w:ilvl w:val="0"/>
                <w:numId w:val="10"/>
              </w:numPr>
              <w:tabs>
                <w:tab w:val="num" w:pos="2126"/>
                <w:tab w:val="num" w:pos="6663"/>
              </w:tabs>
              <w:spacing w:before="0" w:after="200"/>
              <w:cnfStyle w:val="000000010000" w:firstRow="0" w:lastRow="0" w:firstColumn="0" w:lastColumn="0" w:oddVBand="0" w:evenVBand="0" w:oddHBand="0" w:evenHBand="1" w:firstRowFirstColumn="0" w:firstRowLastColumn="0" w:lastRowFirstColumn="0" w:lastRowLastColumn="0"/>
              <w:rPr>
                <w:lang w:val="en-US"/>
              </w:rPr>
            </w:pPr>
            <w:r w:rsidRPr="007E6B93">
              <w:rPr>
                <w:rFonts w:cs="Arial"/>
                <w:bCs/>
                <w:sz w:val="20"/>
                <w:szCs w:val="18"/>
              </w:rPr>
              <w:t xml:space="preserve">Good coverage of providers involved in </w:t>
            </w:r>
            <w:r w:rsidRPr="00E429D7">
              <w:rPr>
                <w:rFonts w:cs="Arial"/>
                <w:bCs/>
                <w:sz w:val="20"/>
                <w:szCs w:val="18"/>
              </w:rPr>
              <w:t>investigation, surveillance and treatment stages of the BSP screening pathway</w:t>
            </w:r>
            <w:r>
              <w:rPr>
                <w:rFonts w:cs="Arial"/>
                <w:bCs/>
                <w:sz w:val="20"/>
                <w:szCs w:val="18"/>
              </w:rPr>
              <w:t xml:space="preserve">. </w:t>
            </w:r>
          </w:p>
        </w:tc>
      </w:tr>
      <w:tr w:rsidR="00E951A5" w:rsidTr="00C769A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33" w:type="dxa"/>
            <w:gridSpan w:val="3"/>
          </w:tcPr>
          <w:p w:rsidR="00EA55DB" w:rsidRPr="00E00829" w:rsidRDefault="00EA55DB" w:rsidP="007D3D26">
            <w:pPr>
              <w:spacing w:before="0"/>
              <w:ind w:left="0"/>
              <w:rPr>
                <w:rFonts w:cs="Arial"/>
                <w:b w:val="0"/>
                <w:bCs w:val="0"/>
                <w:sz w:val="20"/>
                <w:szCs w:val="18"/>
              </w:rPr>
            </w:pPr>
            <w:r w:rsidRPr="00E00829">
              <w:rPr>
                <w:rFonts w:cs="Arial"/>
                <w:b w:val="0"/>
                <w:sz w:val="20"/>
                <w:szCs w:val="18"/>
              </w:rPr>
              <w:t>Immersion interviews with general practice and WDHB staff</w:t>
            </w:r>
            <w:r w:rsidR="00685F5B" w:rsidRPr="00E00829">
              <w:rPr>
                <w:rFonts w:cs="Arial"/>
                <w:b w:val="0"/>
                <w:sz w:val="20"/>
                <w:szCs w:val="18"/>
              </w:rPr>
              <w:t xml:space="preserve"> (Litmus 2014c)</w:t>
            </w:r>
          </w:p>
        </w:tc>
        <w:tc>
          <w:tcPr>
            <w:tcW w:w="1239" w:type="dxa"/>
            <w:hideMark/>
          </w:tcPr>
          <w:p w:rsidR="00EA55DB" w:rsidRDefault="00EA55DB" w:rsidP="007D3D26">
            <w:pPr>
              <w:spacing w:before="0"/>
              <w:ind w:left="0"/>
              <w:cnfStyle w:val="000000100000" w:firstRow="0" w:lastRow="0" w:firstColumn="0" w:lastColumn="0" w:oddVBand="0" w:evenVBand="0" w:oddHBand="1" w:evenHBand="0" w:firstRowFirstColumn="0" w:firstRowLastColumn="0" w:lastRowFirstColumn="0" w:lastRowLastColumn="0"/>
              <w:rPr>
                <w:rFonts w:cs="Arial"/>
                <w:bCs/>
                <w:sz w:val="20"/>
                <w:szCs w:val="18"/>
              </w:rPr>
            </w:pPr>
            <w:r>
              <w:rPr>
                <w:rFonts w:cs="Arial"/>
                <w:bCs/>
                <w:sz w:val="20"/>
                <w:szCs w:val="18"/>
              </w:rPr>
              <w:t>Medium</w:t>
            </w:r>
          </w:p>
        </w:tc>
        <w:tc>
          <w:tcPr>
            <w:tcW w:w="5858" w:type="dxa"/>
            <w:gridSpan w:val="2"/>
            <w:hideMark/>
          </w:tcPr>
          <w:p w:rsidR="00EA55DB" w:rsidRPr="00934830" w:rsidRDefault="00EA55DB" w:rsidP="00604AA9">
            <w:pPr>
              <w:pStyle w:val="ListParagraph"/>
              <w:numPr>
                <w:ilvl w:val="0"/>
                <w:numId w:val="11"/>
              </w:numPr>
              <w:spacing w:before="0" w:after="200"/>
              <w:ind w:left="357" w:hanging="357"/>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934830">
              <w:rPr>
                <w:rFonts w:cs="Arial"/>
                <w:bCs/>
                <w:sz w:val="20"/>
                <w:szCs w:val="18"/>
              </w:rPr>
              <w:t xml:space="preserve">The perspective of primary care on the BSP is limited to the participants from ten general practices from </w:t>
            </w:r>
            <w:r w:rsidR="00C50739">
              <w:rPr>
                <w:rFonts w:cs="Arial"/>
                <w:bCs/>
                <w:sz w:val="20"/>
                <w:szCs w:val="18"/>
              </w:rPr>
              <w:t>Waitemata</w:t>
            </w:r>
            <w:r w:rsidRPr="00934830">
              <w:rPr>
                <w:rFonts w:cs="Arial"/>
                <w:bCs/>
                <w:sz w:val="20"/>
                <w:szCs w:val="18"/>
              </w:rPr>
              <w:t xml:space="preserve"> PHO and Procare. </w:t>
            </w:r>
          </w:p>
          <w:p w:rsidR="00EA55DB" w:rsidRDefault="00EA55DB" w:rsidP="00604AA9">
            <w:pPr>
              <w:pStyle w:val="ListParagraph"/>
              <w:numPr>
                <w:ilvl w:val="0"/>
                <w:numId w:val="11"/>
              </w:numPr>
              <w:spacing w:before="0" w:after="200"/>
              <w:ind w:left="357" w:hanging="357"/>
              <w:cnfStyle w:val="000000100000" w:firstRow="0" w:lastRow="0" w:firstColumn="0" w:lastColumn="0" w:oddVBand="0" w:evenVBand="0" w:oddHBand="1" w:evenHBand="0" w:firstRowFirstColumn="0" w:firstRowLastColumn="0" w:lastRowFirstColumn="0" w:lastRowLastColumn="0"/>
              <w:rPr>
                <w:rFonts w:cs="Arial"/>
                <w:bCs/>
                <w:sz w:val="20"/>
                <w:szCs w:val="18"/>
              </w:rPr>
            </w:pPr>
            <w:r w:rsidRPr="00934830">
              <w:rPr>
                <w:rFonts w:cs="Arial"/>
                <w:bCs/>
                <w:sz w:val="20"/>
                <w:szCs w:val="18"/>
              </w:rPr>
              <w:t xml:space="preserve">Variations in processes and opinion on general practice were noted across the </w:t>
            </w:r>
            <w:r>
              <w:rPr>
                <w:rFonts w:cs="Arial"/>
                <w:bCs/>
                <w:sz w:val="20"/>
                <w:szCs w:val="18"/>
              </w:rPr>
              <w:t xml:space="preserve">ten </w:t>
            </w:r>
            <w:r w:rsidRPr="00934830">
              <w:rPr>
                <w:rFonts w:cs="Arial"/>
                <w:bCs/>
                <w:sz w:val="20"/>
                <w:szCs w:val="18"/>
              </w:rPr>
              <w:t>practices.</w:t>
            </w:r>
          </w:p>
        </w:tc>
      </w:tr>
      <w:tr w:rsidR="00E951A5" w:rsidTr="00C76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gridSpan w:val="3"/>
          </w:tcPr>
          <w:p w:rsidR="00EA55DB" w:rsidRPr="00E00829" w:rsidRDefault="00EA55DB" w:rsidP="007D3D26">
            <w:pPr>
              <w:spacing w:before="0"/>
              <w:ind w:left="0"/>
              <w:rPr>
                <w:rFonts w:cs="Arial"/>
                <w:b w:val="0"/>
                <w:bCs w:val="0"/>
                <w:sz w:val="20"/>
                <w:szCs w:val="18"/>
              </w:rPr>
            </w:pPr>
            <w:r w:rsidRPr="00E00829">
              <w:rPr>
                <w:rFonts w:cs="Arial"/>
                <w:b w:val="0"/>
                <w:sz w:val="20"/>
                <w:szCs w:val="18"/>
              </w:rPr>
              <w:t xml:space="preserve">Qualitative interviews with BSP participants </w:t>
            </w:r>
            <w:r w:rsidR="00685F5B" w:rsidRPr="00E00829">
              <w:rPr>
                <w:rFonts w:cs="Arial"/>
                <w:b w:val="0"/>
                <w:sz w:val="20"/>
                <w:szCs w:val="18"/>
              </w:rPr>
              <w:t>(Litmus 2014c)</w:t>
            </w:r>
          </w:p>
        </w:tc>
        <w:tc>
          <w:tcPr>
            <w:tcW w:w="1239" w:type="dxa"/>
            <w:hideMark/>
          </w:tcPr>
          <w:p w:rsidR="00EA55DB" w:rsidRDefault="00EA55DB" w:rsidP="007D3D26">
            <w:pPr>
              <w:spacing w:before="0"/>
              <w:ind w:left="0"/>
              <w:cnfStyle w:val="000000010000" w:firstRow="0" w:lastRow="0" w:firstColumn="0" w:lastColumn="0" w:oddVBand="0" w:evenVBand="0" w:oddHBand="0" w:evenHBand="1" w:firstRowFirstColumn="0" w:firstRowLastColumn="0" w:lastRowFirstColumn="0" w:lastRowLastColumn="0"/>
              <w:rPr>
                <w:rFonts w:cs="Arial"/>
                <w:bCs/>
                <w:sz w:val="20"/>
                <w:szCs w:val="18"/>
              </w:rPr>
            </w:pPr>
            <w:r>
              <w:rPr>
                <w:rFonts w:cs="Arial"/>
                <w:bCs/>
                <w:sz w:val="20"/>
                <w:szCs w:val="18"/>
              </w:rPr>
              <w:t>Medium</w:t>
            </w:r>
          </w:p>
        </w:tc>
        <w:tc>
          <w:tcPr>
            <w:tcW w:w="5858" w:type="dxa"/>
            <w:gridSpan w:val="2"/>
            <w:hideMark/>
          </w:tcPr>
          <w:p w:rsidR="00EA55DB" w:rsidRPr="00934830" w:rsidRDefault="00EA55DB" w:rsidP="00604AA9">
            <w:pPr>
              <w:pStyle w:val="ListParagraph"/>
              <w:numPr>
                <w:ilvl w:val="0"/>
                <w:numId w:val="11"/>
              </w:numPr>
              <w:spacing w:before="0" w:after="200"/>
              <w:ind w:left="357" w:hanging="357"/>
              <w:cnfStyle w:val="000000010000" w:firstRow="0" w:lastRow="0" w:firstColumn="0" w:lastColumn="0" w:oddVBand="0" w:evenVBand="0" w:oddHBand="0" w:evenHBand="1" w:firstRowFirstColumn="0" w:firstRowLastColumn="0" w:lastRowFirstColumn="0" w:lastRowLastColumn="0"/>
              <w:rPr>
                <w:rFonts w:cs="Arial"/>
                <w:bCs/>
                <w:sz w:val="20"/>
                <w:szCs w:val="18"/>
              </w:rPr>
            </w:pPr>
            <w:r w:rsidRPr="00934830">
              <w:rPr>
                <w:rFonts w:cs="Arial"/>
                <w:bCs/>
                <w:sz w:val="20"/>
                <w:szCs w:val="18"/>
              </w:rPr>
              <w:t xml:space="preserve">Findings are dependent on participants’ recall of the order of events and experiences on the BSP screening pathway.  </w:t>
            </w:r>
          </w:p>
          <w:p w:rsidR="00EA55DB" w:rsidRPr="00934830" w:rsidRDefault="00EA55DB" w:rsidP="00604AA9">
            <w:pPr>
              <w:pStyle w:val="ListParagraph"/>
              <w:numPr>
                <w:ilvl w:val="0"/>
                <w:numId w:val="11"/>
              </w:numPr>
              <w:spacing w:before="0" w:after="200"/>
              <w:ind w:left="357" w:hanging="357"/>
              <w:cnfStyle w:val="000000010000" w:firstRow="0" w:lastRow="0" w:firstColumn="0" w:lastColumn="0" w:oddVBand="0" w:evenVBand="0" w:oddHBand="0" w:evenHBand="1" w:firstRowFirstColumn="0" w:firstRowLastColumn="0" w:lastRowFirstColumn="0" w:lastRowLastColumn="0"/>
              <w:rPr>
                <w:rFonts w:cs="Arial"/>
                <w:bCs/>
                <w:sz w:val="20"/>
                <w:szCs w:val="18"/>
              </w:rPr>
            </w:pPr>
            <w:r w:rsidRPr="00934830">
              <w:rPr>
                <w:rFonts w:cs="Arial"/>
                <w:bCs/>
                <w:sz w:val="20"/>
                <w:szCs w:val="18"/>
              </w:rPr>
              <w:t xml:space="preserve">Undertaking </w:t>
            </w:r>
            <w:r>
              <w:rPr>
                <w:rFonts w:cs="Arial"/>
                <w:bCs/>
                <w:sz w:val="20"/>
                <w:szCs w:val="18"/>
              </w:rPr>
              <w:t xml:space="preserve">ten </w:t>
            </w:r>
            <w:r w:rsidRPr="00934830">
              <w:rPr>
                <w:rFonts w:cs="Arial"/>
                <w:bCs/>
                <w:sz w:val="20"/>
                <w:szCs w:val="18"/>
              </w:rPr>
              <w:t xml:space="preserve">qualitative interviews means the diversity of Māori and Pacific BSP participants may not be covered, and Asian people and European were not included therefore not all experiences of those participating in the BSP have been explored.  </w:t>
            </w:r>
          </w:p>
          <w:p w:rsidR="00EA55DB" w:rsidRDefault="00EA55DB" w:rsidP="00604AA9">
            <w:pPr>
              <w:pStyle w:val="ListParagraph"/>
              <w:numPr>
                <w:ilvl w:val="0"/>
                <w:numId w:val="11"/>
              </w:numPr>
              <w:spacing w:before="0" w:after="200"/>
              <w:ind w:left="357" w:hanging="357"/>
              <w:cnfStyle w:val="000000010000" w:firstRow="0" w:lastRow="0" w:firstColumn="0" w:lastColumn="0" w:oddVBand="0" w:evenVBand="0" w:oddHBand="0" w:evenHBand="1" w:firstRowFirstColumn="0" w:firstRowLastColumn="0" w:lastRowFirstColumn="0" w:lastRowLastColumn="0"/>
              <w:rPr>
                <w:rFonts w:cs="Arial"/>
                <w:bCs/>
                <w:sz w:val="20"/>
                <w:szCs w:val="18"/>
              </w:rPr>
            </w:pPr>
            <w:r>
              <w:rPr>
                <w:rFonts w:cs="Arial"/>
                <w:bCs/>
                <w:sz w:val="20"/>
                <w:szCs w:val="18"/>
              </w:rPr>
              <w:t>Two</w:t>
            </w:r>
            <w:r w:rsidRPr="00934830">
              <w:rPr>
                <w:rFonts w:cs="Arial"/>
                <w:bCs/>
                <w:sz w:val="20"/>
                <w:szCs w:val="18"/>
              </w:rPr>
              <w:t xml:space="preserve"> Māori and </w:t>
            </w:r>
            <w:r>
              <w:rPr>
                <w:rFonts w:cs="Arial"/>
                <w:bCs/>
                <w:sz w:val="20"/>
                <w:szCs w:val="18"/>
              </w:rPr>
              <w:t>five</w:t>
            </w:r>
            <w:r w:rsidRPr="00934830">
              <w:rPr>
                <w:rFonts w:cs="Arial"/>
                <w:bCs/>
                <w:sz w:val="20"/>
                <w:szCs w:val="18"/>
              </w:rPr>
              <w:t xml:space="preserve"> Pacific participants </w:t>
            </w:r>
            <w:r>
              <w:rPr>
                <w:rFonts w:cs="Arial"/>
                <w:bCs/>
                <w:sz w:val="20"/>
                <w:szCs w:val="18"/>
              </w:rPr>
              <w:t>were</w:t>
            </w:r>
            <w:r w:rsidRPr="00934830">
              <w:rPr>
                <w:rFonts w:cs="Arial"/>
                <w:bCs/>
                <w:sz w:val="20"/>
                <w:szCs w:val="18"/>
              </w:rPr>
              <w:t xml:space="preserve"> informed about their</w:t>
            </w:r>
            <w:r>
              <w:rPr>
                <w:rFonts w:cs="Arial"/>
                <w:bCs/>
                <w:sz w:val="20"/>
                <w:szCs w:val="18"/>
              </w:rPr>
              <w:t xml:space="preserve"> iFOBT</w:t>
            </w:r>
            <w:r w:rsidRPr="00934830">
              <w:rPr>
                <w:rFonts w:cs="Arial"/>
                <w:bCs/>
                <w:sz w:val="20"/>
                <w:szCs w:val="18"/>
              </w:rPr>
              <w:t xml:space="preserve"> results </w:t>
            </w:r>
            <w:r w:rsidR="00027785">
              <w:rPr>
                <w:rFonts w:cs="Arial"/>
                <w:bCs/>
                <w:sz w:val="20"/>
                <w:szCs w:val="18"/>
              </w:rPr>
              <w:t xml:space="preserve">by </w:t>
            </w:r>
            <w:r w:rsidRPr="00934830">
              <w:rPr>
                <w:rFonts w:cs="Arial"/>
                <w:bCs/>
                <w:sz w:val="20"/>
                <w:szCs w:val="18"/>
              </w:rPr>
              <w:t>the</w:t>
            </w:r>
            <w:r>
              <w:rPr>
                <w:rFonts w:cs="Arial"/>
                <w:bCs/>
                <w:sz w:val="20"/>
                <w:szCs w:val="18"/>
              </w:rPr>
              <w:t xml:space="preserve"> Endoscopy Unit</w:t>
            </w:r>
            <w:r w:rsidRPr="00934830">
              <w:rPr>
                <w:rFonts w:cs="Arial"/>
                <w:bCs/>
                <w:sz w:val="20"/>
                <w:szCs w:val="18"/>
              </w:rPr>
              <w:t xml:space="preserve">.  Participants were not screened as it was assumed that most would have received their positive iFOBT result via their general practice.  </w:t>
            </w:r>
            <w:r>
              <w:rPr>
                <w:rFonts w:cs="Arial"/>
                <w:bCs/>
                <w:sz w:val="20"/>
                <w:szCs w:val="18"/>
              </w:rPr>
              <w:t>Further, the</w:t>
            </w:r>
            <w:r w:rsidRPr="00934830">
              <w:rPr>
                <w:rFonts w:cs="Arial"/>
                <w:bCs/>
                <w:sz w:val="20"/>
                <w:szCs w:val="18"/>
              </w:rPr>
              <w:t xml:space="preserve"> pool from which to draw the purposive sample was </w:t>
            </w:r>
            <w:r w:rsidR="00027785">
              <w:rPr>
                <w:rFonts w:cs="Arial"/>
                <w:bCs/>
                <w:sz w:val="20"/>
                <w:szCs w:val="18"/>
              </w:rPr>
              <w:t>too small to screen</w:t>
            </w:r>
            <w:r w:rsidRPr="00934830">
              <w:rPr>
                <w:rFonts w:cs="Arial"/>
                <w:bCs/>
                <w:sz w:val="20"/>
                <w:szCs w:val="18"/>
              </w:rPr>
              <w:t xml:space="preserve"> participants</w:t>
            </w:r>
            <w:r w:rsidR="00027785">
              <w:rPr>
                <w:rFonts w:cs="Arial"/>
                <w:bCs/>
                <w:sz w:val="20"/>
                <w:szCs w:val="18"/>
              </w:rPr>
              <w:t xml:space="preserve"> out</w:t>
            </w:r>
            <w:r w:rsidRPr="00934830">
              <w:rPr>
                <w:rFonts w:cs="Arial"/>
                <w:bCs/>
                <w:sz w:val="20"/>
                <w:szCs w:val="18"/>
              </w:rPr>
              <w:t xml:space="preserve">.  </w:t>
            </w:r>
            <w:r>
              <w:rPr>
                <w:rFonts w:cs="Arial"/>
                <w:bCs/>
                <w:sz w:val="20"/>
                <w:szCs w:val="18"/>
              </w:rPr>
              <w:t>T</w:t>
            </w:r>
            <w:r w:rsidRPr="00934830">
              <w:rPr>
                <w:rFonts w:cs="Arial"/>
                <w:bCs/>
                <w:sz w:val="20"/>
                <w:szCs w:val="18"/>
              </w:rPr>
              <w:t xml:space="preserve">he sample achieved enabled the exploration of participants’ experience of hearing about their results via the </w:t>
            </w:r>
            <w:r>
              <w:rPr>
                <w:rFonts w:cs="Arial"/>
                <w:bCs/>
                <w:sz w:val="20"/>
                <w:szCs w:val="18"/>
              </w:rPr>
              <w:t>Endoscopy Unit</w:t>
            </w:r>
            <w:r w:rsidRPr="00934830">
              <w:rPr>
                <w:rFonts w:cs="Arial"/>
                <w:bCs/>
                <w:sz w:val="20"/>
                <w:szCs w:val="18"/>
              </w:rPr>
              <w:t xml:space="preserve"> and whether they would have preferred to have received their results from their general practice. </w:t>
            </w:r>
          </w:p>
        </w:tc>
      </w:tr>
    </w:tbl>
    <w:p w:rsidR="00FE335B" w:rsidRDefault="00FE335B">
      <w:pPr>
        <w:spacing w:before="0"/>
        <w:ind w:left="0"/>
      </w:pPr>
      <w:r>
        <w:br w:type="page"/>
      </w:r>
    </w:p>
    <w:p w:rsidR="009E487D" w:rsidRDefault="005B025D" w:rsidP="005B025D">
      <w:pPr>
        <w:pStyle w:val="Heading1"/>
      </w:pPr>
      <w:bookmarkStart w:id="85" w:name="_Toc390872205"/>
      <w:bookmarkStart w:id="86" w:name="_Toc412540025"/>
      <w:r>
        <w:lastRenderedPageBreak/>
        <w:t>3.</w:t>
      </w:r>
      <w:r>
        <w:tab/>
      </w:r>
      <w:r w:rsidR="0046313F">
        <w:t>E</w:t>
      </w:r>
      <w:r w:rsidR="009E487D">
        <w:t>valuation findings</w:t>
      </w:r>
      <w:bookmarkEnd w:id="85"/>
      <w:bookmarkEnd w:id="86"/>
    </w:p>
    <w:p w:rsidR="00A8645C" w:rsidRDefault="0056762E" w:rsidP="0056762E">
      <w:pPr>
        <w:pStyle w:val="Heading2"/>
      </w:pPr>
      <w:bookmarkStart w:id="87" w:name="_Toc390872206"/>
      <w:bookmarkStart w:id="88" w:name="_Toc412540026"/>
      <w:bookmarkStart w:id="89" w:name="_Toc390786671"/>
      <w:r>
        <w:t>3.1</w:t>
      </w:r>
      <w:r>
        <w:tab/>
        <w:t>Participation and outcomes</w:t>
      </w:r>
      <w:bookmarkEnd w:id="87"/>
      <w:bookmarkEnd w:id="88"/>
      <w:r>
        <w:t xml:space="preserve"> </w:t>
      </w:r>
      <w:bookmarkEnd w:id="89"/>
    </w:p>
    <w:p w:rsidR="00A12D1B" w:rsidRPr="00A12D1B" w:rsidRDefault="00A12D1B" w:rsidP="0056762E">
      <w:pPr>
        <w:pBdr>
          <w:top w:val="single" w:sz="4" w:space="0" w:color="auto"/>
          <w:left w:val="single" w:sz="4" w:space="4" w:color="auto"/>
          <w:bottom w:val="single" w:sz="4" w:space="1" w:color="auto"/>
          <w:right w:val="single" w:sz="4" w:space="4" w:color="auto"/>
        </w:pBdr>
        <w:spacing w:before="60" w:after="120"/>
        <w:ind w:left="720"/>
        <w:rPr>
          <w:rFonts w:cs="Arial"/>
          <w:b/>
        </w:rPr>
      </w:pPr>
      <w:r w:rsidRPr="00A12D1B">
        <w:rPr>
          <w:rFonts w:cs="Arial"/>
          <w:b/>
        </w:rPr>
        <w:t xml:space="preserve">Evaluation objectives </w:t>
      </w:r>
      <w:r>
        <w:rPr>
          <w:rFonts w:cs="Arial"/>
          <w:b/>
        </w:rPr>
        <w:t>addressed in section</w:t>
      </w:r>
    </w:p>
    <w:p w:rsidR="0056762E" w:rsidRDefault="0056762E" w:rsidP="0056762E">
      <w:pPr>
        <w:pBdr>
          <w:top w:val="single" w:sz="4" w:space="0" w:color="auto"/>
          <w:left w:val="single" w:sz="4" w:space="4" w:color="auto"/>
          <w:bottom w:val="single" w:sz="4" w:space="1" w:color="auto"/>
          <w:right w:val="single" w:sz="4" w:space="4" w:color="auto"/>
        </w:pBdr>
        <w:spacing w:before="60" w:after="120"/>
        <w:ind w:left="720"/>
        <w:rPr>
          <w:rFonts w:cs="Arial"/>
          <w:i/>
        </w:rPr>
      </w:pPr>
      <w:proofErr w:type="gramStart"/>
      <w:r w:rsidRPr="00C04E8F">
        <w:rPr>
          <w:rFonts w:cs="Arial"/>
          <w:i/>
        </w:rPr>
        <w:t xml:space="preserve">Participation and coverage - </w:t>
      </w:r>
      <w:r w:rsidRPr="00C04E8F">
        <w:rPr>
          <w:rFonts w:cs="Arial"/>
        </w:rPr>
        <w:t>To determine the level of participation and coverage for the eligible and invited populations, including sub-populations (defined by sex, age, ethnicity, socioeconomic status and rural representation)</w:t>
      </w:r>
      <w:r w:rsidR="002F1247">
        <w:rPr>
          <w:rFonts w:cs="Arial"/>
        </w:rPr>
        <w:t>.</w:t>
      </w:r>
      <w:proofErr w:type="gramEnd"/>
      <w:r w:rsidRPr="00C04E8F">
        <w:rPr>
          <w:rFonts w:cs="Arial"/>
          <w:i/>
        </w:rPr>
        <w:t xml:space="preserve"> </w:t>
      </w:r>
    </w:p>
    <w:p w:rsidR="0056762E" w:rsidRPr="00C04E8F" w:rsidRDefault="00497141" w:rsidP="0056762E">
      <w:pPr>
        <w:pBdr>
          <w:top w:val="single" w:sz="4" w:space="0" w:color="auto"/>
          <w:left w:val="single" w:sz="4" w:space="4" w:color="auto"/>
          <w:bottom w:val="single" w:sz="4" w:space="1" w:color="auto"/>
          <w:right w:val="single" w:sz="4" w:space="4" w:color="auto"/>
        </w:pBdr>
        <w:spacing w:before="60" w:after="120"/>
        <w:ind w:left="720"/>
        <w:rPr>
          <w:rFonts w:cs="Arial"/>
        </w:rPr>
      </w:pPr>
      <w:proofErr w:type="gramStart"/>
      <w:r>
        <w:rPr>
          <w:rFonts w:cs="Arial"/>
          <w:i/>
        </w:rPr>
        <w:t>i</w:t>
      </w:r>
      <w:r w:rsidR="0056762E" w:rsidRPr="00C04E8F">
        <w:rPr>
          <w:rFonts w:cs="Arial"/>
          <w:i/>
        </w:rPr>
        <w:t>FOBT</w:t>
      </w:r>
      <w:proofErr w:type="gramEnd"/>
      <w:r w:rsidR="0056762E" w:rsidRPr="00C04E8F">
        <w:rPr>
          <w:rFonts w:cs="Arial"/>
          <w:i/>
        </w:rPr>
        <w:t xml:space="preserve"> experience - </w:t>
      </w:r>
      <w:r w:rsidR="0056762E" w:rsidRPr="00C04E8F">
        <w:rPr>
          <w:rFonts w:cs="Arial"/>
        </w:rPr>
        <w:t xml:space="preserve">To assess the performance and acceptability of the chosen </w:t>
      </w:r>
      <w:r>
        <w:rPr>
          <w:rFonts w:cs="Arial"/>
        </w:rPr>
        <w:t>i</w:t>
      </w:r>
      <w:r w:rsidR="0056762E" w:rsidRPr="00C04E8F">
        <w:rPr>
          <w:rFonts w:cs="Arial"/>
        </w:rPr>
        <w:t>FOBT in the New Zealand context including the positivity rates in New Zealand, positive predictive values for adenomas and cancers, technical repeat rates and false positive rates</w:t>
      </w:r>
      <w:r w:rsidR="002F1247">
        <w:rPr>
          <w:rFonts w:cs="Arial"/>
        </w:rPr>
        <w:t>.</w:t>
      </w:r>
      <w:r w:rsidR="0056762E" w:rsidRPr="00C04E8F">
        <w:rPr>
          <w:rFonts w:cs="Arial"/>
        </w:rPr>
        <w:t xml:space="preserve"> </w:t>
      </w:r>
    </w:p>
    <w:p w:rsidR="0056762E" w:rsidRPr="00C04E8F" w:rsidRDefault="0056762E" w:rsidP="0056762E">
      <w:pPr>
        <w:pBdr>
          <w:top w:val="single" w:sz="4" w:space="0" w:color="auto"/>
          <w:left w:val="single" w:sz="4" w:space="4" w:color="auto"/>
          <w:bottom w:val="single" w:sz="4" w:space="1" w:color="auto"/>
          <w:right w:val="single" w:sz="4" w:space="4" w:color="auto"/>
        </w:pBdr>
        <w:spacing w:before="60" w:after="120"/>
        <w:ind w:left="720"/>
        <w:rPr>
          <w:rFonts w:cs="Arial"/>
        </w:rPr>
      </w:pPr>
      <w:proofErr w:type="gramStart"/>
      <w:r>
        <w:rPr>
          <w:rFonts w:cs="Arial"/>
          <w:i/>
        </w:rPr>
        <w:t>S</w:t>
      </w:r>
      <w:r w:rsidRPr="00C04E8F">
        <w:rPr>
          <w:rFonts w:cs="Arial"/>
          <w:i/>
        </w:rPr>
        <w:t xml:space="preserve">creening effectiveness - </w:t>
      </w:r>
      <w:r w:rsidRPr="00C04E8F">
        <w:rPr>
          <w:rFonts w:cs="Arial"/>
        </w:rPr>
        <w:t>To assess the early indicators of the effectiveness of bowel screening, including the number and stage of cancers detected, the number and size of adenomas detected, and colonoscopy completion rates</w:t>
      </w:r>
      <w:r w:rsidR="002F1247">
        <w:rPr>
          <w:rFonts w:cs="Arial"/>
        </w:rPr>
        <w:t>.</w:t>
      </w:r>
      <w:proofErr w:type="gramEnd"/>
    </w:p>
    <w:p w:rsidR="0046313F" w:rsidRDefault="0046313F" w:rsidP="00A8645C">
      <w:r w:rsidRPr="0046313F">
        <w:rPr>
          <w:rFonts w:cs="Arial"/>
          <w:lang w:eastAsia="en-NZ"/>
        </w:rPr>
        <w:t>Section 3.1 present</w:t>
      </w:r>
      <w:r>
        <w:rPr>
          <w:rFonts w:cs="Arial"/>
          <w:lang w:eastAsia="en-NZ"/>
        </w:rPr>
        <w:t>s</w:t>
      </w:r>
      <w:r w:rsidRPr="0046313F">
        <w:rPr>
          <w:rFonts w:cs="Arial"/>
          <w:lang w:eastAsia="en-NZ"/>
        </w:rPr>
        <w:t xml:space="preserve"> the findings from the epidemiology report (</w:t>
      </w:r>
      <w:r w:rsidRPr="0046313F">
        <w:t xml:space="preserve">Read, Shanthakumar, </w:t>
      </w:r>
      <w:proofErr w:type="gramStart"/>
      <w:r w:rsidRPr="0046313F">
        <w:t>Borman</w:t>
      </w:r>
      <w:proofErr w:type="gramEnd"/>
      <w:r w:rsidRPr="0046313F">
        <w:t xml:space="preserve"> 2014)</w:t>
      </w:r>
      <w:r w:rsidR="0096253F">
        <w:t>.  T</w:t>
      </w:r>
      <w:r w:rsidR="0006297A">
        <w:t>he full report</w:t>
      </w:r>
      <w:r w:rsidR="009E1267">
        <w:t xml:space="preserve"> and its appendices are </w:t>
      </w:r>
      <w:r w:rsidR="0006297A">
        <w:t>in</w:t>
      </w:r>
      <w:r w:rsidR="009E1267">
        <w:t xml:space="preserve"> </w:t>
      </w:r>
      <w:hyperlink w:anchor="_Appendix_1:_" w:history="1">
        <w:r w:rsidR="009E1267" w:rsidRPr="00D31124">
          <w:rPr>
            <w:rStyle w:val="Hyperlink"/>
          </w:rPr>
          <w:t>A</w:t>
        </w:r>
        <w:r w:rsidR="0006297A" w:rsidRPr="00D31124">
          <w:rPr>
            <w:rStyle w:val="Hyperlink"/>
          </w:rPr>
          <w:t xml:space="preserve">ppendix </w:t>
        </w:r>
        <w:r w:rsidR="009E1267" w:rsidRPr="00D31124">
          <w:rPr>
            <w:rStyle w:val="Hyperlink"/>
          </w:rPr>
          <w:t>1</w:t>
        </w:r>
      </w:hyperlink>
      <w:r w:rsidR="0006297A">
        <w:t>.</w:t>
      </w:r>
    </w:p>
    <w:p w:rsidR="0006297A" w:rsidRDefault="0006297A" w:rsidP="005B025D">
      <w:pPr>
        <w:pStyle w:val="Heading2"/>
        <w:spacing w:before="480"/>
      </w:pPr>
      <w:bookmarkStart w:id="90" w:name="_Toc390786669"/>
      <w:bookmarkStart w:id="91" w:name="_Toc391031822"/>
      <w:bookmarkStart w:id="92" w:name="_Toc391845279"/>
      <w:bookmarkStart w:id="93" w:name="_Toc391847739"/>
      <w:bookmarkStart w:id="94" w:name="_Toc393226008"/>
      <w:bookmarkStart w:id="95" w:name="_Toc393398295"/>
      <w:bookmarkStart w:id="96" w:name="_Toc397182464"/>
      <w:bookmarkStart w:id="97" w:name="_Toc397510511"/>
      <w:bookmarkStart w:id="98" w:name="_Toc406591704"/>
      <w:bookmarkStart w:id="99" w:name="_Toc406594637"/>
      <w:bookmarkStart w:id="100" w:name="_Toc406602083"/>
      <w:bookmarkStart w:id="101" w:name="_Toc406753453"/>
      <w:bookmarkStart w:id="102" w:name="_Toc412540027"/>
      <w:r w:rsidRPr="00744428">
        <w:t>Acknowledgements</w:t>
      </w:r>
      <w:bookmarkEnd w:id="90"/>
      <w:bookmarkEnd w:id="91"/>
      <w:bookmarkEnd w:id="92"/>
      <w:bookmarkEnd w:id="93"/>
      <w:bookmarkEnd w:id="94"/>
      <w:bookmarkEnd w:id="95"/>
      <w:bookmarkEnd w:id="96"/>
      <w:bookmarkEnd w:id="97"/>
      <w:bookmarkEnd w:id="98"/>
      <w:bookmarkEnd w:id="99"/>
      <w:bookmarkEnd w:id="100"/>
      <w:bookmarkEnd w:id="101"/>
      <w:bookmarkEnd w:id="102"/>
    </w:p>
    <w:p w:rsidR="003B7E5A" w:rsidRPr="00744428" w:rsidRDefault="003B7E5A" w:rsidP="003B7E5A">
      <w:pPr>
        <w:rPr>
          <w:rFonts w:cs="Arial"/>
        </w:rPr>
      </w:pPr>
      <w:bookmarkStart w:id="103" w:name="_Toc390872207"/>
      <w:bookmarkStart w:id="104" w:name="_Toc390872247"/>
      <w:bookmarkStart w:id="105" w:name="_Toc390873442"/>
      <w:bookmarkStart w:id="106" w:name="_Toc390888910"/>
      <w:bookmarkStart w:id="107" w:name="_Toc390888986"/>
      <w:bookmarkStart w:id="108" w:name="_Toc390931231"/>
      <w:bookmarkStart w:id="109" w:name="_Toc391031823"/>
      <w:bookmarkStart w:id="110" w:name="_Toc391845280"/>
      <w:bookmarkStart w:id="111" w:name="_Toc391847740"/>
      <w:bookmarkStart w:id="112" w:name="_Toc393226009"/>
      <w:bookmarkStart w:id="113" w:name="_Toc393398296"/>
      <w:bookmarkStart w:id="114" w:name="_Toc397182465"/>
      <w:bookmarkStart w:id="115" w:name="_Toc397510512"/>
      <w:r w:rsidRPr="00744428">
        <w:rPr>
          <w:rFonts w:cs="Arial"/>
        </w:rPr>
        <w:t xml:space="preserve">This report was prepared by Dr Deborah Read and the Centre for Public Health Research (CPHR), Massey University for Litmus who are funded by the Ministry of Health to evaluate the bowel </w:t>
      </w:r>
      <w:r>
        <w:rPr>
          <w:rFonts w:cs="Arial"/>
        </w:rPr>
        <w:t xml:space="preserve">cancer </w:t>
      </w:r>
      <w:r w:rsidRPr="00744428">
        <w:rPr>
          <w:rFonts w:cs="Arial"/>
        </w:rPr>
        <w:t>screening pilot.</w:t>
      </w:r>
    </w:p>
    <w:p w:rsidR="003B7E5A" w:rsidRPr="00744428" w:rsidRDefault="003B7E5A" w:rsidP="003B7E5A">
      <w:pPr>
        <w:rPr>
          <w:rFonts w:cs="Arial"/>
        </w:rPr>
      </w:pPr>
      <w:r w:rsidRPr="00744428">
        <w:rPr>
          <w:rFonts w:cs="Arial"/>
        </w:rPr>
        <w:t xml:space="preserve">The team thank the Ministry of Health for providing data from the </w:t>
      </w:r>
      <w:r w:rsidR="009E39AE">
        <w:rPr>
          <w:rFonts w:cs="Arial"/>
        </w:rPr>
        <w:t>BSP</w:t>
      </w:r>
      <w:r>
        <w:rPr>
          <w:rFonts w:cs="Arial"/>
        </w:rPr>
        <w:t xml:space="preserve"> </w:t>
      </w:r>
      <w:r w:rsidRPr="00744428">
        <w:rPr>
          <w:rFonts w:cs="Arial"/>
        </w:rPr>
        <w:t>Register and Waitemata District Health Board (WDHB)</w:t>
      </w:r>
      <w:r>
        <w:rPr>
          <w:rFonts w:cs="Arial"/>
        </w:rPr>
        <w:t xml:space="preserve">, and </w:t>
      </w:r>
      <w:r w:rsidRPr="00A97429">
        <w:rPr>
          <w:rFonts w:cs="Arial"/>
        </w:rPr>
        <w:t>Litmus for providing the literature</w:t>
      </w:r>
      <w:r>
        <w:rPr>
          <w:rFonts w:cs="Arial"/>
        </w:rPr>
        <w:t>.</w:t>
      </w:r>
    </w:p>
    <w:p w:rsidR="003B7E5A" w:rsidRPr="00744428" w:rsidRDefault="003B7E5A" w:rsidP="003B7E5A">
      <w:pPr>
        <w:rPr>
          <w:rFonts w:cs="Arial"/>
          <w:b/>
        </w:rPr>
      </w:pPr>
      <w:r w:rsidRPr="00744428">
        <w:rPr>
          <w:rFonts w:cs="Arial"/>
        </w:rPr>
        <w:t>We acknowledge and thank Professor</w:t>
      </w:r>
      <w:r>
        <w:rPr>
          <w:rFonts w:cs="Arial"/>
        </w:rPr>
        <w:t>s</w:t>
      </w:r>
      <w:r w:rsidRPr="00744428">
        <w:rPr>
          <w:rFonts w:cs="Arial"/>
        </w:rPr>
        <w:t xml:space="preserve"> John Potter </w:t>
      </w:r>
      <w:r>
        <w:rPr>
          <w:rFonts w:cs="Arial"/>
        </w:rPr>
        <w:t>and Steve Haslett</w:t>
      </w:r>
      <w:r w:rsidRPr="00697D47">
        <w:rPr>
          <w:rStyle w:val="FootnoteReference"/>
        </w:rPr>
        <w:footnoteReference w:id="26"/>
      </w:r>
      <w:r>
        <w:rPr>
          <w:rFonts w:cs="Arial"/>
        </w:rPr>
        <w:t xml:space="preserve"> </w:t>
      </w:r>
      <w:r w:rsidRPr="00744428">
        <w:rPr>
          <w:rFonts w:cs="Arial"/>
        </w:rPr>
        <w:t>for providing peer review.</w:t>
      </w:r>
    </w:p>
    <w:p w:rsidR="0046313F" w:rsidRDefault="0046313F" w:rsidP="005B025D">
      <w:pPr>
        <w:pStyle w:val="Heading2"/>
        <w:spacing w:before="480"/>
      </w:pPr>
      <w:bookmarkStart w:id="116" w:name="_Toc406591705"/>
      <w:bookmarkStart w:id="117" w:name="_Toc406594638"/>
      <w:bookmarkStart w:id="118" w:name="_Toc406602084"/>
      <w:bookmarkStart w:id="119" w:name="_Toc406753454"/>
      <w:bookmarkStart w:id="120" w:name="_Toc412540028"/>
      <w:r>
        <w:t>I</w:t>
      </w:r>
      <w:r w:rsidRPr="008B73E1">
        <w:t>ntroduction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3B7E5A" w:rsidRPr="00744428" w:rsidRDefault="003B7E5A" w:rsidP="003B7E5A">
      <w:pPr>
        <w:rPr>
          <w:rFonts w:cs="Arial"/>
          <w:lang w:eastAsia="en-NZ"/>
        </w:rPr>
      </w:pPr>
      <w:bookmarkStart w:id="121" w:name="_Toc390786672"/>
      <w:bookmarkStart w:id="122" w:name="_Toc391031824"/>
      <w:bookmarkStart w:id="123" w:name="_Toc391845281"/>
      <w:bookmarkStart w:id="124" w:name="_Toc391847741"/>
      <w:bookmarkStart w:id="125" w:name="_Toc393226010"/>
      <w:bookmarkStart w:id="126" w:name="_Toc393398297"/>
      <w:bookmarkStart w:id="127" w:name="_Toc397182466"/>
      <w:bookmarkStart w:id="128" w:name="_Toc397510513"/>
      <w:bookmarkStart w:id="129" w:name="_Toc390786673"/>
      <w:bookmarkStart w:id="130" w:name="_Toc390872208"/>
      <w:bookmarkStart w:id="131" w:name="_Toc390872248"/>
      <w:bookmarkStart w:id="132" w:name="_Toc390873443"/>
      <w:bookmarkStart w:id="133" w:name="_Toc390888911"/>
      <w:bookmarkStart w:id="134" w:name="_Toc390888987"/>
      <w:bookmarkStart w:id="135" w:name="_Toc390931232"/>
      <w:r w:rsidRPr="00744428">
        <w:rPr>
          <w:rFonts w:cs="Arial"/>
          <w:lang w:eastAsia="en-NZ"/>
        </w:rPr>
        <w:t>Colorectal cancer incidence and mortality is high in New Zealand by international standards (National Cancer Institute 2013). In 2010 colorectal</w:t>
      </w:r>
      <w:r w:rsidRPr="00744428">
        <w:rPr>
          <w:rFonts w:cs="Arial"/>
        </w:rPr>
        <w:t xml:space="preserve"> cancer </w:t>
      </w:r>
      <w:proofErr w:type="gramStart"/>
      <w:r w:rsidRPr="00744428">
        <w:rPr>
          <w:rFonts w:cs="Arial"/>
        </w:rPr>
        <w:t>was</w:t>
      </w:r>
      <w:proofErr w:type="gramEnd"/>
      <w:r w:rsidRPr="00744428">
        <w:rPr>
          <w:rFonts w:cs="Arial"/>
        </w:rPr>
        <w:t xml:space="preserve"> one of the two most common cancers registered and the second most common cause of death from cancer (Ministry of Health 2013). Although the age-standar</w:t>
      </w:r>
      <w:r>
        <w:rPr>
          <w:rFonts w:cs="Arial"/>
        </w:rPr>
        <w:t>d</w:t>
      </w:r>
      <w:r w:rsidRPr="00744428">
        <w:rPr>
          <w:rFonts w:cs="Arial"/>
        </w:rPr>
        <w:t>ised registration rate is less for Māori than non-Māori, Robson et al (2006) found differences in stage at diagnosis and survival. Early detection and removal of colorectal cancer or its precursor lesion, adenoma, by population screening can reduce colorectal cancer mortality (</w:t>
      </w:r>
      <w:r>
        <w:rPr>
          <w:rFonts w:cs="Arial"/>
        </w:rPr>
        <w:t xml:space="preserve">Towler </w:t>
      </w:r>
      <w:r w:rsidRPr="00744428">
        <w:rPr>
          <w:rFonts w:cs="Arial"/>
        </w:rPr>
        <w:t>et al 199</w:t>
      </w:r>
      <w:r>
        <w:rPr>
          <w:rFonts w:cs="Arial"/>
        </w:rPr>
        <w:t>8</w:t>
      </w:r>
      <w:r w:rsidRPr="00744428">
        <w:rPr>
          <w:rFonts w:cs="Arial"/>
        </w:rPr>
        <w:t>).</w:t>
      </w:r>
    </w:p>
    <w:p w:rsidR="003B7E5A" w:rsidRPr="00744428" w:rsidRDefault="003B7E5A" w:rsidP="003B7E5A">
      <w:pPr>
        <w:rPr>
          <w:rFonts w:cs="Arial"/>
        </w:rPr>
      </w:pPr>
      <w:r w:rsidRPr="00744428">
        <w:rPr>
          <w:rFonts w:cs="Arial"/>
        </w:rPr>
        <w:t xml:space="preserve">The Ministry of Health has funded Waitemata District Health Board (WDHB) to run a </w:t>
      </w:r>
      <w:r>
        <w:rPr>
          <w:rFonts w:cs="Arial"/>
        </w:rPr>
        <w:t>b</w:t>
      </w:r>
      <w:r w:rsidRPr="00744428">
        <w:rPr>
          <w:rFonts w:cs="Arial"/>
        </w:rPr>
        <w:t xml:space="preserve">owel </w:t>
      </w:r>
      <w:r>
        <w:rPr>
          <w:rFonts w:cs="Arial"/>
        </w:rPr>
        <w:t>cancer s</w:t>
      </w:r>
      <w:r w:rsidRPr="00744428">
        <w:rPr>
          <w:rFonts w:cs="Arial"/>
        </w:rPr>
        <w:t xml:space="preserve">creening </w:t>
      </w:r>
      <w:r>
        <w:rPr>
          <w:rFonts w:cs="Arial"/>
        </w:rPr>
        <w:t>p</w:t>
      </w:r>
      <w:r w:rsidRPr="00744428">
        <w:rPr>
          <w:rFonts w:cs="Arial"/>
        </w:rPr>
        <w:t xml:space="preserve">ilot (BSP) </w:t>
      </w:r>
      <w:r>
        <w:rPr>
          <w:rFonts w:cs="Arial"/>
        </w:rPr>
        <w:t xml:space="preserve">programme </w:t>
      </w:r>
      <w:r w:rsidRPr="00744428">
        <w:rPr>
          <w:rFonts w:cs="Arial"/>
        </w:rPr>
        <w:t>over four years from 2012–1</w:t>
      </w:r>
      <w:r>
        <w:rPr>
          <w:rFonts w:cs="Arial"/>
        </w:rPr>
        <w:t>5</w:t>
      </w:r>
      <w:r w:rsidRPr="00744428">
        <w:rPr>
          <w:rFonts w:cs="Arial"/>
        </w:rPr>
        <w:t xml:space="preserve">.  </w:t>
      </w:r>
      <w:r w:rsidRPr="00744428">
        <w:rPr>
          <w:rFonts w:cs="Arial"/>
          <w:lang w:eastAsia="en-NZ"/>
        </w:rPr>
        <w:t xml:space="preserve">The BSP began with a ‘soft launch’ in late 2011, with full operation starting </w:t>
      </w:r>
      <w:r>
        <w:rPr>
          <w:rFonts w:cs="Arial"/>
          <w:lang w:eastAsia="en-NZ"/>
        </w:rPr>
        <w:t>from</w:t>
      </w:r>
      <w:r w:rsidRPr="00744428">
        <w:rPr>
          <w:rFonts w:cs="Arial"/>
          <w:lang w:eastAsia="en-NZ"/>
        </w:rPr>
        <w:t xml:space="preserve"> </w:t>
      </w:r>
      <w:r>
        <w:rPr>
          <w:rFonts w:cs="Arial"/>
          <w:lang w:eastAsia="en-NZ"/>
        </w:rPr>
        <w:t xml:space="preserve">1 </w:t>
      </w:r>
      <w:r w:rsidRPr="00744428">
        <w:rPr>
          <w:rFonts w:cs="Arial"/>
          <w:lang w:eastAsia="en-NZ"/>
        </w:rPr>
        <w:t>January 2012.</w:t>
      </w:r>
    </w:p>
    <w:p w:rsidR="003B7E5A" w:rsidRPr="00744428" w:rsidRDefault="003B7E5A" w:rsidP="003B7E5A">
      <w:pPr>
        <w:rPr>
          <w:rFonts w:cs="Arial"/>
          <w:lang w:eastAsia="en-NZ"/>
        </w:rPr>
      </w:pPr>
      <w:r w:rsidRPr="00744428">
        <w:rPr>
          <w:rFonts w:cs="Arial"/>
          <w:lang w:eastAsia="en-NZ"/>
        </w:rPr>
        <w:lastRenderedPageBreak/>
        <w:t>The BSP offers eligible people</w:t>
      </w:r>
      <w:r>
        <w:rPr>
          <w:rFonts w:cs="Arial"/>
          <w:lang w:eastAsia="en-NZ"/>
        </w:rPr>
        <w:t>,</w:t>
      </w:r>
      <w:r w:rsidRPr="00744428">
        <w:rPr>
          <w:rFonts w:cs="Arial"/>
          <w:lang w:eastAsia="en-NZ"/>
        </w:rPr>
        <w:t xml:space="preserve"> aged between 50-74 years living in the WDHB area</w:t>
      </w:r>
      <w:r>
        <w:rPr>
          <w:rFonts w:cs="Arial"/>
          <w:lang w:eastAsia="en-NZ"/>
        </w:rPr>
        <w:t>,</w:t>
      </w:r>
      <w:r w:rsidRPr="00744428">
        <w:rPr>
          <w:rFonts w:cs="Arial"/>
          <w:lang w:eastAsia="en-NZ"/>
        </w:rPr>
        <w:t xml:space="preserve"> colorectal cancer screening by a single </w:t>
      </w:r>
      <w:r>
        <w:rPr>
          <w:rFonts w:cs="Arial"/>
          <w:lang w:eastAsia="en-NZ"/>
        </w:rPr>
        <w:t xml:space="preserve">sample </w:t>
      </w:r>
      <w:r w:rsidRPr="00744428">
        <w:rPr>
          <w:rFonts w:cs="Arial"/>
          <w:lang w:eastAsia="en-NZ"/>
        </w:rPr>
        <w:t>immunochemical faecal occult blood test</w:t>
      </w:r>
      <w:r>
        <w:rPr>
          <w:rFonts w:cs="Arial"/>
          <w:lang w:eastAsia="en-NZ"/>
        </w:rPr>
        <w:t xml:space="preserve"> (iFOBT)</w:t>
      </w:r>
      <w:r w:rsidRPr="00744428">
        <w:rPr>
          <w:rFonts w:cs="Arial"/>
          <w:lang w:eastAsia="en-NZ"/>
        </w:rPr>
        <w:t xml:space="preserve">, with colonoscopy as the diagnostic test. Colonoscopy with polypectomy also provides a therapeutic intervention that can prevent </w:t>
      </w:r>
      <w:r w:rsidRPr="00744428">
        <w:rPr>
          <w:rFonts w:cs="Arial"/>
        </w:rPr>
        <w:t xml:space="preserve">colorectal </w:t>
      </w:r>
      <w:r w:rsidRPr="00744428">
        <w:rPr>
          <w:rFonts w:cs="Arial"/>
          <w:lang w:eastAsia="en-NZ"/>
        </w:rPr>
        <w:t>cancer.</w:t>
      </w:r>
    </w:p>
    <w:p w:rsidR="003B7E5A" w:rsidRDefault="003B7E5A" w:rsidP="003B7E5A">
      <w:pPr>
        <w:rPr>
          <w:rFonts w:cs="Arial"/>
        </w:rPr>
      </w:pPr>
      <w:r w:rsidRPr="00744428">
        <w:rPr>
          <w:rFonts w:cs="Arial"/>
        </w:rPr>
        <w:t>Epidemiological analysis of data from the first screening round was carried out to inform the evaluation of the BSP by Litmus</w:t>
      </w:r>
      <w:r>
        <w:rPr>
          <w:rFonts w:cs="Arial"/>
        </w:rPr>
        <w:t>,</w:t>
      </w:r>
      <w:r w:rsidRPr="00744428">
        <w:rPr>
          <w:rFonts w:cs="Arial"/>
        </w:rPr>
        <w:t xml:space="preserve"> the results of which will contribute to a decision in 2016 on whether or not to implement a national bowel screening programme.</w:t>
      </w:r>
    </w:p>
    <w:p w:rsidR="0006297A" w:rsidRDefault="0006297A" w:rsidP="0006297A">
      <w:pPr>
        <w:pStyle w:val="Heading2"/>
      </w:pPr>
      <w:bookmarkStart w:id="136" w:name="_Toc406591706"/>
      <w:bookmarkStart w:id="137" w:name="_Toc406594639"/>
      <w:bookmarkStart w:id="138" w:name="_Toc406602085"/>
      <w:bookmarkStart w:id="139" w:name="_Toc406753455"/>
      <w:bookmarkStart w:id="140" w:name="_Toc412540029"/>
      <w:r w:rsidRPr="008B73E1">
        <w:t>Methods</w:t>
      </w:r>
      <w:bookmarkEnd w:id="121"/>
      <w:bookmarkEnd w:id="122"/>
      <w:bookmarkEnd w:id="123"/>
      <w:bookmarkEnd w:id="124"/>
      <w:bookmarkEnd w:id="125"/>
      <w:bookmarkEnd w:id="126"/>
      <w:bookmarkEnd w:id="127"/>
      <w:bookmarkEnd w:id="128"/>
      <w:bookmarkEnd w:id="136"/>
      <w:bookmarkEnd w:id="137"/>
      <w:bookmarkEnd w:id="138"/>
      <w:bookmarkEnd w:id="139"/>
      <w:bookmarkEnd w:id="140"/>
    </w:p>
    <w:p w:rsidR="003B7E5A" w:rsidRPr="00744428" w:rsidRDefault="003B7E5A" w:rsidP="003B7E5A">
      <w:pPr>
        <w:rPr>
          <w:rFonts w:cs="Arial"/>
        </w:rPr>
      </w:pPr>
      <w:bookmarkStart w:id="141" w:name="_Toc391031825"/>
      <w:bookmarkStart w:id="142" w:name="_Toc391845282"/>
      <w:bookmarkStart w:id="143" w:name="_Toc391847742"/>
      <w:bookmarkStart w:id="144" w:name="_Toc393226011"/>
      <w:bookmarkStart w:id="145" w:name="_Toc393398298"/>
      <w:bookmarkStart w:id="146" w:name="_Toc397182467"/>
      <w:bookmarkStart w:id="147" w:name="_Toc397510514"/>
      <w:r w:rsidRPr="00744428">
        <w:rPr>
          <w:rFonts w:cs="Arial"/>
        </w:rPr>
        <w:t xml:space="preserve">The scope of the epidemiological analysis was approved by the Ministry of Health. It was based on the evaluation of the United Kingdom </w:t>
      </w:r>
      <w:r>
        <w:rPr>
          <w:rFonts w:cs="Arial"/>
        </w:rPr>
        <w:t xml:space="preserve">(UK) </w:t>
      </w:r>
      <w:r w:rsidRPr="00744428">
        <w:rPr>
          <w:rFonts w:cs="Arial"/>
        </w:rPr>
        <w:t xml:space="preserve">bowel cancer screening pilot (Weller </w:t>
      </w:r>
      <w:r>
        <w:rPr>
          <w:rFonts w:cs="Arial"/>
        </w:rPr>
        <w:t xml:space="preserve">et al </w:t>
      </w:r>
      <w:r w:rsidRPr="00744428">
        <w:rPr>
          <w:rFonts w:cs="Arial"/>
        </w:rPr>
        <w:t>2007).</w:t>
      </w:r>
    </w:p>
    <w:p w:rsidR="003B7E5A" w:rsidRPr="00744428" w:rsidRDefault="003B7E5A" w:rsidP="003B7E5A">
      <w:pPr>
        <w:rPr>
          <w:rFonts w:cs="Arial"/>
        </w:rPr>
      </w:pPr>
      <w:r w:rsidRPr="00744428">
        <w:rPr>
          <w:rFonts w:cs="Arial"/>
        </w:rPr>
        <w:t xml:space="preserve">The data were extracted by the Ministry of Health from the BSP </w:t>
      </w:r>
      <w:r>
        <w:rPr>
          <w:rFonts w:cs="Arial"/>
        </w:rPr>
        <w:t>R</w:t>
      </w:r>
      <w:r w:rsidRPr="00744428">
        <w:rPr>
          <w:rFonts w:cs="Arial"/>
        </w:rPr>
        <w:t>egister and WDHB.</w:t>
      </w:r>
    </w:p>
    <w:p w:rsidR="003B7E5A" w:rsidRPr="00744428" w:rsidRDefault="003B7E5A" w:rsidP="003B7E5A">
      <w:pPr>
        <w:rPr>
          <w:rFonts w:cs="Arial"/>
        </w:rPr>
      </w:pPr>
      <w:r w:rsidRPr="00744428">
        <w:rPr>
          <w:rFonts w:cs="Arial"/>
        </w:rPr>
        <w:t xml:space="preserve">The results represent the first 18-22 months of the first </w:t>
      </w:r>
      <w:r>
        <w:rPr>
          <w:rFonts w:cs="Arial"/>
        </w:rPr>
        <w:t xml:space="preserve">(or prevalence) </w:t>
      </w:r>
      <w:r w:rsidRPr="00744428">
        <w:rPr>
          <w:rFonts w:cs="Arial"/>
        </w:rPr>
        <w:t xml:space="preserve">screening round. The first screening round commenced on 1 January 2012 and was completed on 31 December 2013. The full screening round could not be analysed due to the timing of data extraction  and the need to allow sufficient time to pass for those people who were invited in </w:t>
      </w:r>
      <w:r w:rsidRPr="00F7666E">
        <w:rPr>
          <w:rFonts w:cs="Arial"/>
        </w:rPr>
        <w:t xml:space="preserve">the latter half of 2013 to complete the full screening pathway. Figure 1 </w:t>
      </w:r>
      <w:r w:rsidR="00E27715">
        <w:rPr>
          <w:rFonts w:cs="Arial"/>
        </w:rPr>
        <w:t xml:space="preserve">of </w:t>
      </w:r>
      <w:r w:rsidRPr="00F7666E">
        <w:rPr>
          <w:rFonts w:cs="Arial"/>
        </w:rPr>
        <w:t>Appendix</w:t>
      </w:r>
      <w:r>
        <w:rPr>
          <w:rFonts w:cs="Arial"/>
        </w:rPr>
        <w:t xml:space="preserve"> </w:t>
      </w:r>
      <w:r w:rsidR="00E27715">
        <w:rPr>
          <w:rFonts w:cs="Arial"/>
        </w:rPr>
        <w:t>1 in the epidemiological report</w:t>
      </w:r>
      <w:r w:rsidR="00E27715">
        <w:rPr>
          <w:rStyle w:val="FootnoteReference"/>
          <w:rFonts w:cs="Arial"/>
        </w:rPr>
        <w:footnoteReference w:id="27"/>
      </w:r>
      <w:r w:rsidR="00E27715">
        <w:rPr>
          <w:rFonts w:cs="Arial"/>
        </w:rPr>
        <w:t xml:space="preserve">  </w:t>
      </w:r>
      <w:r w:rsidRPr="00744428">
        <w:rPr>
          <w:rFonts w:cs="Arial"/>
        </w:rPr>
        <w:t>shows the possible pathway process of a participant in the BSP</w:t>
      </w:r>
      <w:r>
        <w:rPr>
          <w:rFonts w:cs="Arial"/>
        </w:rPr>
        <w:t>.</w:t>
      </w:r>
    </w:p>
    <w:p w:rsidR="003B7E5A" w:rsidRPr="00744428" w:rsidRDefault="003B7E5A" w:rsidP="003B7E5A">
      <w:pPr>
        <w:rPr>
          <w:rFonts w:cs="Arial"/>
        </w:rPr>
      </w:pPr>
      <w:r w:rsidRPr="00744428">
        <w:rPr>
          <w:rFonts w:cs="Arial"/>
        </w:rPr>
        <w:t>For details of the methodology, including definitions, and results</w:t>
      </w:r>
      <w:r>
        <w:rPr>
          <w:rFonts w:cs="Arial"/>
        </w:rPr>
        <w:t xml:space="preserve">, </w:t>
      </w:r>
      <w:r w:rsidRPr="00744428">
        <w:rPr>
          <w:rFonts w:cs="Arial"/>
        </w:rPr>
        <w:t xml:space="preserve">see </w:t>
      </w:r>
      <w:r>
        <w:rPr>
          <w:rFonts w:cs="Arial"/>
        </w:rPr>
        <w:t xml:space="preserve">the </w:t>
      </w:r>
      <w:r w:rsidRPr="00744428">
        <w:rPr>
          <w:rFonts w:cs="Arial"/>
        </w:rPr>
        <w:t>Appendix.</w:t>
      </w:r>
    </w:p>
    <w:p w:rsidR="003B7E5A" w:rsidRPr="00744428" w:rsidRDefault="003B7E5A" w:rsidP="003B7E5A">
      <w:pPr>
        <w:rPr>
          <w:rFonts w:cs="Arial"/>
        </w:rPr>
      </w:pPr>
      <w:r w:rsidRPr="00744428">
        <w:rPr>
          <w:rFonts w:cs="Arial"/>
        </w:rPr>
        <w:t>This analysis allows four months from the time of invitation for the full screening pathway to be completed.</w:t>
      </w:r>
    </w:p>
    <w:p w:rsidR="003B7E5A" w:rsidRPr="00744428" w:rsidRDefault="003B7E5A" w:rsidP="003B7E5A">
      <w:pPr>
        <w:rPr>
          <w:rFonts w:cs="Arial"/>
        </w:rPr>
      </w:pPr>
      <w:r w:rsidRPr="00744428">
        <w:rPr>
          <w:rFonts w:cs="Arial"/>
        </w:rPr>
        <w:t xml:space="preserve">Logistic regression has been used to investigate associations between demographic variables and screening outcomes. The results are given </w:t>
      </w:r>
      <w:r>
        <w:rPr>
          <w:rFonts w:cs="Arial"/>
        </w:rPr>
        <w:t xml:space="preserve">in the Appendix </w:t>
      </w:r>
      <w:r w:rsidRPr="00744428">
        <w:rPr>
          <w:rFonts w:cs="Arial"/>
        </w:rPr>
        <w:t xml:space="preserve">as odds ratios, both </w:t>
      </w:r>
      <w:r>
        <w:rPr>
          <w:rFonts w:cs="Arial"/>
        </w:rPr>
        <w:t xml:space="preserve">unadjusted </w:t>
      </w:r>
      <w:r w:rsidRPr="00744428">
        <w:rPr>
          <w:rFonts w:cs="Arial"/>
        </w:rPr>
        <w:t xml:space="preserve">and adjusted for all other demographic variables, with 95% confidence intervals. </w:t>
      </w:r>
    </w:p>
    <w:p w:rsidR="003B7E5A" w:rsidRPr="00744428" w:rsidRDefault="003B7E5A" w:rsidP="003B7E5A">
      <w:pPr>
        <w:rPr>
          <w:rFonts w:cs="Arial"/>
        </w:rPr>
      </w:pPr>
      <w:r w:rsidRPr="00744428">
        <w:rPr>
          <w:rFonts w:cs="Arial"/>
        </w:rPr>
        <w:t xml:space="preserve">Key findings are presented </w:t>
      </w:r>
      <w:r>
        <w:rPr>
          <w:rFonts w:cs="Arial"/>
        </w:rPr>
        <w:t>and on</w:t>
      </w:r>
      <w:r w:rsidRPr="00744428">
        <w:rPr>
          <w:rFonts w:cs="Arial"/>
        </w:rPr>
        <w:t xml:space="preserve">ly counts and percentages together with the adjusted odds ratios are discussed. Adjusted odds ratios allow for the effects of all demographic variables other than the one under consideration. For example, when considering participation by age group, the results have been adjusted to take account of </w:t>
      </w:r>
      <w:r>
        <w:rPr>
          <w:rFonts w:cs="Arial"/>
        </w:rPr>
        <w:t xml:space="preserve">the potential effects of </w:t>
      </w:r>
      <w:r w:rsidRPr="00744428">
        <w:rPr>
          <w:rFonts w:cs="Arial"/>
        </w:rPr>
        <w:t>sex, ethnicity and deprivation (NZDep</w:t>
      </w:r>
      <w:r>
        <w:rPr>
          <w:rFonts w:cs="Arial"/>
        </w:rPr>
        <w:t>2006</w:t>
      </w:r>
      <w:r w:rsidRPr="00744428">
        <w:rPr>
          <w:rFonts w:cs="Arial"/>
        </w:rPr>
        <w:t xml:space="preserve">). </w:t>
      </w:r>
    </w:p>
    <w:p w:rsidR="003B7E5A" w:rsidRPr="00744428" w:rsidRDefault="003B7E5A" w:rsidP="003B7E5A">
      <w:pPr>
        <w:rPr>
          <w:rFonts w:cs="Arial"/>
        </w:rPr>
      </w:pPr>
      <w:r w:rsidRPr="00744428">
        <w:rPr>
          <w:rFonts w:cs="Arial"/>
        </w:rPr>
        <w:t xml:space="preserve">Unless otherwise stated, the results </w:t>
      </w:r>
      <w:r>
        <w:rPr>
          <w:rFonts w:cs="Arial"/>
        </w:rPr>
        <w:t xml:space="preserve">discussed here </w:t>
      </w:r>
      <w:r w:rsidRPr="00744428">
        <w:rPr>
          <w:rFonts w:cs="Arial"/>
        </w:rPr>
        <w:t>are statistically significant</w:t>
      </w:r>
      <w:r w:rsidRPr="00697D47">
        <w:rPr>
          <w:rStyle w:val="FootnoteReference"/>
        </w:rPr>
        <w:footnoteReference w:id="28"/>
      </w:r>
      <w:r w:rsidRPr="00744428">
        <w:rPr>
          <w:rFonts w:cs="Arial"/>
        </w:rPr>
        <w:t>.</w:t>
      </w:r>
    </w:p>
    <w:p w:rsidR="003B7E5A" w:rsidRDefault="003B7E5A" w:rsidP="003B7E5A">
      <w:pPr>
        <w:rPr>
          <w:rFonts w:cs="Arial"/>
        </w:rPr>
      </w:pPr>
      <w:r w:rsidRPr="00950901">
        <w:rPr>
          <w:rFonts w:cs="Arial"/>
        </w:rPr>
        <w:t>Results for the self-selected population are presented separately</w:t>
      </w:r>
      <w:r>
        <w:rPr>
          <w:rFonts w:cs="Arial"/>
        </w:rPr>
        <w:t>.</w:t>
      </w:r>
    </w:p>
    <w:p w:rsidR="003B7E5A" w:rsidRPr="00950901" w:rsidRDefault="003B7E5A" w:rsidP="003B7E5A">
      <w:pPr>
        <w:rPr>
          <w:rFonts w:cs="Arial"/>
        </w:rPr>
      </w:pPr>
      <w:r>
        <w:rPr>
          <w:rFonts w:cs="Arial"/>
        </w:rPr>
        <w:t>The results sections for participation and the various outcomes are each followed by a discussion section that focuses on relevant comparisons with population-based screening programmes in other countries.</w:t>
      </w:r>
    </w:p>
    <w:p w:rsidR="0056762E" w:rsidRDefault="0056762E" w:rsidP="008C130E">
      <w:pPr>
        <w:pStyle w:val="Heading2"/>
      </w:pPr>
      <w:bookmarkStart w:id="148" w:name="_Toc406591707"/>
      <w:bookmarkStart w:id="149" w:name="_Toc406594640"/>
      <w:bookmarkStart w:id="150" w:name="_Toc406602086"/>
      <w:bookmarkStart w:id="151" w:name="_Toc406753456"/>
      <w:bookmarkStart w:id="152" w:name="_Toc412540030"/>
      <w:r w:rsidRPr="008B73E1">
        <w:lastRenderedPageBreak/>
        <w:t>Participation</w:t>
      </w:r>
      <w:bookmarkEnd w:id="129"/>
      <w:bookmarkEnd w:id="130"/>
      <w:bookmarkEnd w:id="131"/>
      <w:bookmarkEnd w:id="132"/>
      <w:bookmarkEnd w:id="133"/>
      <w:bookmarkEnd w:id="134"/>
      <w:bookmarkEnd w:id="135"/>
      <w:bookmarkEnd w:id="141"/>
      <w:bookmarkEnd w:id="142"/>
      <w:bookmarkEnd w:id="143"/>
      <w:bookmarkEnd w:id="144"/>
      <w:bookmarkEnd w:id="145"/>
      <w:bookmarkEnd w:id="146"/>
      <w:bookmarkEnd w:id="147"/>
      <w:bookmarkEnd w:id="148"/>
      <w:bookmarkEnd w:id="149"/>
      <w:bookmarkEnd w:id="150"/>
      <w:bookmarkEnd w:id="151"/>
      <w:bookmarkEnd w:id="152"/>
      <w:r>
        <w:t xml:space="preserve"> </w:t>
      </w:r>
    </w:p>
    <w:p w:rsidR="003B7E5A" w:rsidRPr="00BA0F5F" w:rsidRDefault="003B7E5A" w:rsidP="008C130E">
      <w:pPr>
        <w:pStyle w:val="Heading3"/>
        <w:rPr>
          <w:rFonts w:cs="Arial"/>
        </w:rPr>
      </w:pPr>
      <w:bookmarkStart w:id="153" w:name="_Toc390786674"/>
      <w:r w:rsidRPr="0078238E">
        <w:rPr>
          <w:rStyle w:val="Heading2Char"/>
        </w:rPr>
        <w:t>Immunochemical faecal occult blood test (iFOBT) uptake</w:t>
      </w:r>
      <w:bookmarkEnd w:id="153"/>
      <w:r>
        <w:rPr>
          <w:rFonts w:cs="Arial"/>
        </w:rPr>
        <w:t xml:space="preserve"> </w:t>
      </w:r>
    </w:p>
    <w:p w:rsidR="003B7E5A" w:rsidRDefault="003B7E5A" w:rsidP="003B7E5A">
      <w:pPr>
        <w:rPr>
          <w:rFonts w:cs="Arial"/>
        </w:rPr>
      </w:pPr>
      <w:r w:rsidRPr="00744428">
        <w:rPr>
          <w:rFonts w:cs="Arial"/>
        </w:rPr>
        <w:t xml:space="preserve">During the first 18 months of the first screening round, 86,753 eligible people aged 50-74 years living in the WDHB </w:t>
      </w:r>
      <w:r>
        <w:rPr>
          <w:rFonts w:cs="Arial"/>
        </w:rPr>
        <w:t xml:space="preserve">area </w:t>
      </w:r>
      <w:r w:rsidRPr="00744428">
        <w:rPr>
          <w:rFonts w:cs="Arial"/>
        </w:rPr>
        <w:t xml:space="preserve">were invited to participate. This is the denominator population used in the analysis. </w:t>
      </w:r>
      <w:r>
        <w:rPr>
          <w:rFonts w:cs="Arial"/>
        </w:rPr>
        <w:t xml:space="preserve">For all demographic information about the eligible population see the </w:t>
      </w:r>
      <w:r w:rsidRPr="002336ED">
        <w:rPr>
          <w:rFonts w:cs="Arial"/>
        </w:rPr>
        <w:t>Appendix</w:t>
      </w:r>
      <w:r w:rsidR="002336ED" w:rsidRPr="002336ED">
        <w:rPr>
          <w:rFonts w:cs="Arial"/>
        </w:rPr>
        <w:t xml:space="preserve"> 1</w:t>
      </w:r>
      <w:r w:rsidRPr="002336ED">
        <w:rPr>
          <w:rFonts w:cs="Arial"/>
        </w:rPr>
        <w:t>, Table 1</w:t>
      </w:r>
      <w:r w:rsidR="003B665B">
        <w:rPr>
          <w:rStyle w:val="FootnoteReference"/>
          <w:rFonts w:cs="Arial"/>
        </w:rPr>
        <w:footnoteReference w:id="29"/>
      </w:r>
      <w:r w:rsidRPr="002336ED">
        <w:rPr>
          <w:rFonts w:cs="Arial"/>
        </w:rPr>
        <w:t>.</w:t>
      </w:r>
      <w:r w:rsidRPr="00744428">
        <w:rPr>
          <w:rFonts w:cs="Arial"/>
        </w:rPr>
        <w:t xml:space="preserve"> </w:t>
      </w:r>
      <w:r>
        <w:rPr>
          <w:rFonts w:cs="Arial"/>
        </w:rPr>
        <w:t xml:space="preserve">Details of the </w:t>
      </w:r>
      <w:r w:rsidRPr="00744428">
        <w:rPr>
          <w:rFonts w:cs="Arial"/>
        </w:rPr>
        <w:t>exclusion criteria applied to determine the eligible population</w:t>
      </w:r>
      <w:r>
        <w:rPr>
          <w:rFonts w:cs="Arial"/>
        </w:rPr>
        <w:t xml:space="preserve"> are also in the Appendix</w:t>
      </w:r>
      <w:r w:rsidRPr="00697D47">
        <w:rPr>
          <w:rStyle w:val="FootnoteReference"/>
        </w:rPr>
        <w:footnoteReference w:id="30"/>
      </w:r>
      <w:r w:rsidRPr="00744428">
        <w:rPr>
          <w:rFonts w:cs="Arial"/>
        </w:rPr>
        <w:t>.</w:t>
      </w:r>
    </w:p>
    <w:p w:rsidR="003B7E5A" w:rsidRPr="00744428" w:rsidRDefault="003B7E5A" w:rsidP="003B7E5A">
      <w:pPr>
        <w:rPr>
          <w:rFonts w:cs="Arial"/>
        </w:rPr>
      </w:pPr>
      <w:r>
        <w:rPr>
          <w:rFonts w:cs="Arial"/>
        </w:rPr>
        <w:t xml:space="preserve">About </w:t>
      </w:r>
      <w:r w:rsidRPr="00744428">
        <w:rPr>
          <w:rFonts w:cs="Arial"/>
        </w:rPr>
        <w:t>55%</w:t>
      </w:r>
      <w:r>
        <w:rPr>
          <w:rFonts w:cs="Arial"/>
        </w:rPr>
        <w:t xml:space="preserve"> (n=47,310)</w:t>
      </w:r>
      <w:r w:rsidRPr="00744428">
        <w:rPr>
          <w:rFonts w:cs="Arial"/>
        </w:rPr>
        <w:t xml:space="preserve"> of those who received an invitation responded by returning a completed kit.  The majority (n=46,409; 98%) returned an adequate kit resulting in a participation rate of 53.5%. About 17% of participants required </w:t>
      </w:r>
      <w:r>
        <w:rPr>
          <w:rFonts w:cs="Arial"/>
        </w:rPr>
        <w:t xml:space="preserve">more than one attempt, and some </w:t>
      </w:r>
      <w:r w:rsidRPr="00744428">
        <w:rPr>
          <w:rFonts w:cs="Arial"/>
        </w:rPr>
        <w:t>up to five attempts</w:t>
      </w:r>
      <w:r>
        <w:rPr>
          <w:rFonts w:cs="Arial"/>
        </w:rPr>
        <w:t>,</w:t>
      </w:r>
      <w:r w:rsidRPr="00744428">
        <w:rPr>
          <w:rFonts w:cs="Arial"/>
        </w:rPr>
        <w:t xml:space="preserve"> to achieve an adequate kit</w:t>
      </w:r>
      <w:r w:rsidRPr="00697D47">
        <w:rPr>
          <w:rStyle w:val="FootnoteReference"/>
        </w:rPr>
        <w:footnoteReference w:id="31"/>
      </w:r>
      <w:r>
        <w:rPr>
          <w:rFonts w:cs="Arial"/>
        </w:rPr>
        <w:t>.</w:t>
      </w:r>
    </w:p>
    <w:p w:rsidR="003B7E5A" w:rsidRDefault="003B7E5A" w:rsidP="003B7E5A">
      <w:pPr>
        <w:rPr>
          <w:rFonts w:cs="Arial"/>
        </w:rPr>
      </w:pPr>
      <w:r>
        <w:rPr>
          <w:rFonts w:cs="Arial"/>
        </w:rPr>
        <w:t xml:space="preserve">The </w:t>
      </w:r>
      <w:r w:rsidRPr="00AC386C">
        <w:rPr>
          <w:rFonts w:cs="Arial"/>
          <w:i/>
        </w:rPr>
        <w:t>European guidelines for quality assurance in colorectal cancer screening and diagnosis</w:t>
      </w:r>
      <w:r>
        <w:rPr>
          <w:rFonts w:cs="Arial"/>
        </w:rPr>
        <w:t xml:space="preserve">  (European guidelines) regard less than 3% </w:t>
      </w:r>
      <w:r w:rsidR="00E27715">
        <w:rPr>
          <w:rFonts w:cs="Arial"/>
        </w:rPr>
        <w:t xml:space="preserve">spoilt </w:t>
      </w:r>
      <w:r>
        <w:rPr>
          <w:rFonts w:cs="Arial"/>
        </w:rPr>
        <w:t>kits</w:t>
      </w:r>
      <w:r w:rsidR="00E27715">
        <w:rPr>
          <w:rStyle w:val="FootnoteReference"/>
          <w:rFonts w:cs="Arial"/>
        </w:rPr>
        <w:footnoteReference w:id="32"/>
      </w:r>
      <w:r>
        <w:rPr>
          <w:rFonts w:cs="Arial"/>
        </w:rPr>
        <w:t xml:space="preserve"> as acceptable and less than 1% as desirable (Moss et al 2010). The BSP meets the acceptable level.</w:t>
      </w:r>
    </w:p>
    <w:p w:rsidR="003B7E5A" w:rsidRDefault="003B7E5A" w:rsidP="003B7E5A">
      <w:pPr>
        <w:rPr>
          <w:rFonts w:cs="Arial"/>
        </w:rPr>
      </w:pPr>
      <w:r w:rsidRPr="00744428">
        <w:rPr>
          <w:rFonts w:cs="Arial"/>
        </w:rPr>
        <w:t xml:space="preserve">At least </w:t>
      </w:r>
      <w:r w:rsidRPr="00A34445">
        <w:rPr>
          <w:rFonts w:cs="Arial"/>
        </w:rPr>
        <w:t>1,4</w:t>
      </w:r>
      <w:r>
        <w:rPr>
          <w:rFonts w:cs="Arial"/>
        </w:rPr>
        <w:t xml:space="preserve">56 </w:t>
      </w:r>
      <w:r w:rsidRPr="00744428">
        <w:rPr>
          <w:rFonts w:cs="Arial"/>
        </w:rPr>
        <w:t xml:space="preserve">of those invited did not respond because of an </w:t>
      </w:r>
      <w:r>
        <w:rPr>
          <w:rFonts w:cs="Arial"/>
        </w:rPr>
        <w:t>‘i</w:t>
      </w:r>
      <w:r w:rsidRPr="00744428">
        <w:rPr>
          <w:rFonts w:cs="Arial"/>
        </w:rPr>
        <w:t>nvalid</w:t>
      </w:r>
      <w:r>
        <w:rPr>
          <w:rFonts w:cs="Arial"/>
        </w:rPr>
        <w:t>/not found’</w:t>
      </w:r>
      <w:r w:rsidRPr="00744428">
        <w:rPr>
          <w:rFonts w:cs="Arial"/>
        </w:rPr>
        <w:t xml:space="preserve"> address. </w:t>
      </w:r>
      <w:r>
        <w:rPr>
          <w:rFonts w:cs="Arial"/>
        </w:rPr>
        <w:t>This represents 3.3% of non-responders.</w:t>
      </w:r>
    </w:p>
    <w:p w:rsidR="003B7E5A" w:rsidRDefault="003B7E5A" w:rsidP="003B7E5A">
      <w:pPr>
        <w:rPr>
          <w:rFonts w:cs="Arial"/>
          <w:b/>
        </w:rPr>
      </w:pPr>
      <w:r>
        <w:rPr>
          <w:rFonts w:cs="Arial"/>
        </w:rPr>
        <w:t xml:space="preserve">For all results see the </w:t>
      </w:r>
      <w:r w:rsidRPr="002336ED">
        <w:rPr>
          <w:rFonts w:cs="Arial"/>
        </w:rPr>
        <w:t>Appendix</w:t>
      </w:r>
      <w:r w:rsidR="002336ED" w:rsidRPr="002336ED">
        <w:rPr>
          <w:rFonts w:cs="Arial"/>
        </w:rPr>
        <w:t xml:space="preserve"> 1</w:t>
      </w:r>
      <w:r w:rsidRPr="002336ED">
        <w:rPr>
          <w:rFonts w:cs="Arial"/>
        </w:rPr>
        <w:t>, Table 2a.</w:t>
      </w:r>
      <w:r w:rsidRPr="00744428">
        <w:rPr>
          <w:rFonts w:cs="Arial"/>
        </w:rPr>
        <w:t xml:space="preserve"> </w:t>
      </w:r>
    </w:p>
    <w:p w:rsidR="003B7E5A" w:rsidRPr="00744428" w:rsidRDefault="003B7E5A" w:rsidP="003B7E5A">
      <w:pPr>
        <w:rPr>
          <w:rFonts w:cs="Arial"/>
          <w:b/>
        </w:rPr>
      </w:pPr>
      <w:r w:rsidRPr="00744428">
        <w:rPr>
          <w:rFonts w:cs="Arial"/>
          <w:b/>
        </w:rPr>
        <w:t>Participation increased with increasing age</w:t>
      </w:r>
    </w:p>
    <w:p w:rsidR="003B7E5A" w:rsidRPr="00744428" w:rsidRDefault="003B7E5A" w:rsidP="003B7E5A">
      <w:pPr>
        <w:rPr>
          <w:rFonts w:cs="Arial"/>
        </w:rPr>
      </w:pPr>
      <w:r w:rsidRPr="00744428">
        <w:rPr>
          <w:rFonts w:cs="Arial"/>
        </w:rPr>
        <w:t>People aged 65-69 and 70-74 years were more than twice as likely to participate as people aged 50-54 years</w:t>
      </w:r>
      <w:r>
        <w:rPr>
          <w:rFonts w:cs="Arial"/>
        </w:rPr>
        <w:t xml:space="preserve"> </w:t>
      </w:r>
      <w:r w:rsidRPr="00570207">
        <w:rPr>
          <w:rFonts w:cs="Arial"/>
        </w:rPr>
        <w:t xml:space="preserve">(Figure </w:t>
      </w:r>
      <w:r w:rsidR="008F002C" w:rsidRPr="00570207">
        <w:rPr>
          <w:rFonts w:cs="Arial"/>
        </w:rPr>
        <w:t>8</w:t>
      </w:r>
      <w:r w:rsidRPr="00570207">
        <w:rPr>
          <w:rFonts w:cs="Arial"/>
        </w:rPr>
        <w:t>).</w:t>
      </w:r>
    </w:p>
    <w:p w:rsidR="003B7E5A" w:rsidRPr="00744428" w:rsidRDefault="003B7E5A" w:rsidP="003B7E5A">
      <w:pPr>
        <w:rPr>
          <w:rFonts w:cs="Arial"/>
          <w:b/>
        </w:rPr>
      </w:pPr>
      <w:r w:rsidRPr="00744428">
        <w:rPr>
          <w:rFonts w:cs="Arial"/>
          <w:b/>
        </w:rPr>
        <w:t>Participation differed by sex</w:t>
      </w:r>
      <w:r>
        <w:rPr>
          <w:rFonts w:cs="Arial"/>
          <w:b/>
        </w:rPr>
        <w:t xml:space="preserve"> and</w:t>
      </w:r>
      <w:r w:rsidRPr="00744428">
        <w:rPr>
          <w:rFonts w:cs="Arial"/>
          <w:b/>
        </w:rPr>
        <w:t xml:space="preserve"> ethnicity</w:t>
      </w:r>
    </w:p>
    <w:p w:rsidR="003B7E5A" w:rsidRDefault="003B7E5A" w:rsidP="003B7E5A">
      <w:pPr>
        <w:rPr>
          <w:rFonts w:cs="Arial"/>
        </w:rPr>
      </w:pPr>
      <w:r w:rsidRPr="00744428">
        <w:rPr>
          <w:rFonts w:cs="Arial"/>
        </w:rPr>
        <w:t xml:space="preserve">Males were slightly less likely to participate than </w:t>
      </w:r>
      <w:r w:rsidRPr="00570207">
        <w:rPr>
          <w:rFonts w:cs="Arial"/>
        </w:rPr>
        <w:t xml:space="preserve">females (Figure </w:t>
      </w:r>
      <w:r w:rsidR="008F002C" w:rsidRPr="00570207">
        <w:rPr>
          <w:rFonts w:cs="Arial"/>
        </w:rPr>
        <w:t>9</w:t>
      </w:r>
      <w:r w:rsidRPr="00570207">
        <w:rPr>
          <w:rFonts w:cs="Arial"/>
        </w:rPr>
        <w:t>).</w:t>
      </w:r>
      <w:r w:rsidRPr="00744428">
        <w:rPr>
          <w:rFonts w:cs="Arial"/>
        </w:rPr>
        <w:t xml:space="preserve"> This difference decreased with increasing age.</w:t>
      </w:r>
    </w:p>
    <w:p w:rsidR="003B7E5A" w:rsidRPr="00744428" w:rsidRDefault="003B7E5A" w:rsidP="003B7E5A">
      <w:pPr>
        <w:rPr>
          <w:rFonts w:cs="Arial"/>
        </w:rPr>
      </w:pPr>
      <w:r w:rsidRPr="00744428">
        <w:rPr>
          <w:rFonts w:cs="Arial"/>
        </w:rPr>
        <w:t xml:space="preserve">Participation was highest among Europeans (60.3%), followed by Asians (51.3%), </w:t>
      </w:r>
      <w:r>
        <w:rPr>
          <w:rFonts w:cs="Arial"/>
        </w:rPr>
        <w:t>‘O</w:t>
      </w:r>
      <w:r w:rsidRPr="00744428">
        <w:rPr>
          <w:rFonts w:cs="Arial"/>
        </w:rPr>
        <w:t>ther</w:t>
      </w:r>
      <w:r>
        <w:rPr>
          <w:rFonts w:cs="Arial"/>
        </w:rPr>
        <w:t>’</w:t>
      </w:r>
      <w:r w:rsidRPr="00744428">
        <w:rPr>
          <w:rFonts w:cs="Arial"/>
        </w:rPr>
        <w:t xml:space="preserve"> (43.1%), Māori (42.0%) and Pacific people (23.8%).</w:t>
      </w:r>
    </w:p>
    <w:p w:rsidR="003B7E5A" w:rsidRPr="00744428" w:rsidRDefault="003B7E5A" w:rsidP="003B7E5A">
      <w:pPr>
        <w:rPr>
          <w:rFonts w:cs="Arial"/>
        </w:rPr>
      </w:pPr>
      <w:r w:rsidRPr="00744428">
        <w:rPr>
          <w:rFonts w:cs="Arial"/>
        </w:rPr>
        <w:t>Asians were slightly less likely to participate than Europeans</w:t>
      </w:r>
      <w:r>
        <w:rPr>
          <w:rFonts w:cs="Arial"/>
        </w:rPr>
        <w:t xml:space="preserve"> (Figure </w:t>
      </w:r>
      <w:r w:rsidR="008F002C">
        <w:rPr>
          <w:rFonts w:cs="Arial"/>
        </w:rPr>
        <w:t>6</w:t>
      </w:r>
      <w:r>
        <w:rPr>
          <w:rFonts w:cs="Arial"/>
        </w:rPr>
        <w:t>)</w:t>
      </w:r>
      <w:r w:rsidRPr="00744428">
        <w:rPr>
          <w:rFonts w:cs="Arial"/>
        </w:rPr>
        <w:t xml:space="preserve">. </w:t>
      </w:r>
      <w:r>
        <w:rPr>
          <w:rFonts w:cs="Arial"/>
        </w:rPr>
        <w:t>Participation</w:t>
      </w:r>
      <w:r w:rsidRPr="00744428">
        <w:rPr>
          <w:rFonts w:cs="Arial"/>
        </w:rPr>
        <w:t xml:space="preserve"> was </w:t>
      </w:r>
      <w:r>
        <w:rPr>
          <w:rFonts w:cs="Arial"/>
        </w:rPr>
        <w:t>close</w:t>
      </w:r>
      <w:r w:rsidRPr="00744428">
        <w:rPr>
          <w:rFonts w:cs="Arial"/>
        </w:rPr>
        <w:t xml:space="preserve"> </w:t>
      </w:r>
      <w:r>
        <w:rPr>
          <w:rFonts w:cs="Arial"/>
        </w:rPr>
        <w:t xml:space="preserve">to that of Europeans </w:t>
      </w:r>
      <w:r w:rsidRPr="00744428">
        <w:rPr>
          <w:rFonts w:cs="Arial"/>
        </w:rPr>
        <w:t xml:space="preserve">for </w:t>
      </w:r>
      <w:r>
        <w:rPr>
          <w:rFonts w:cs="Arial"/>
        </w:rPr>
        <w:t>those</w:t>
      </w:r>
      <w:r w:rsidRPr="00744428">
        <w:rPr>
          <w:rFonts w:cs="Arial"/>
        </w:rPr>
        <w:t xml:space="preserve"> aged </w:t>
      </w:r>
      <w:r>
        <w:rPr>
          <w:rFonts w:cs="Arial"/>
        </w:rPr>
        <w:t>50</w:t>
      </w:r>
      <w:r w:rsidRPr="00744428">
        <w:rPr>
          <w:rFonts w:cs="Arial"/>
        </w:rPr>
        <w:t>-</w:t>
      </w:r>
      <w:r>
        <w:rPr>
          <w:rFonts w:cs="Arial"/>
        </w:rPr>
        <w:t>59</w:t>
      </w:r>
      <w:r w:rsidRPr="00744428">
        <w:rPr>
          <w:rFonts w:cs="Arial"/>
        </w:rPr>
        <w:t xml:space="preserve"> years</w:t>
      </w:r>
      <w:r>
        <w:rPr>
          <w:rFonts w:cs="Arial"/>
        </w:rPr>
        <w:t xml:space="preserve"> but Asians aged 70-74 years were about half as likely to participate as Europeans of the same age.</w:t>
      </w:r>
    </w:p>
    <w:p w:rsidR="003B7E5A" w:rsidRPr="00744428" w:rsidRDefault="003B7E5A" w:rsidP="003B7E5A">
      <w:pPr>
        <w:rPr>
          <w:rFonts w:cs="Arial"/>
        </w:rPr>
      </w:pPr>
      <w:r w:rsidRPr="00744428">
        <w:rPr>
          <w:rFonts w:cs="Arial"/>
        </w:rPr>
        <w:t>Pacific people were about four times less likely to participate than Europeans</w:t>
      </w:r>
      <w:r>
        <w:rPr>
          <w:rFonts w:cs="Arial"/>
        </w:rPr>
        <w:t xml:space="preserve"> (Figure </w:t>
      </w:r>
      <w:r w:rsidR="008F002C">
        <w:rPr>
          <w:rFonts w:cs="Arial"/>
        </w:rPr>
        <w:t>6</w:t>
      </w:r>
      <w:r>
        <w:rPr>
          <w:rFonts w:cs="Arial"/>
        </w:rPr>
        <w:t>)</w:t>
      </w:r>
      <w:r w:rsidRPr="00744428">
        <w:rPr>
          <w:rFonts w:cs="Arial"/>
        </w:rPr>
        <w:t xml:space="preserve">. </w:t>
      </w:r>
      <w:r>
        <w:rPr>
          <w:rFonts w:cs="Arial"/>
        </w:rPr>
        <w:t xml:space="preserve">In the 70-74 year age group, </w:t>
      </w:r>
      <w:r w:rsidRPr="00744428">
        <w:rPr>
          <w:rFonts w:cs="Arial"/>
        </w:rPr>
        <w:t xml:space="preserve">Pacific people </w:t>
      </w:r>
      <w:r>
        <w:rPr>
          <w:rFonts w:cs="Arial"/>
        </w:rPr>
        <w:t>were seven times less likely to participate than</w:t>
      </w:r>
      <w:r w:rsidRPr="00744428">
        <w:rPr>
          <w:rFonts w:cs="Arial"/>
        </w:rPr>
        <w:t xml:space="preserve"> Europeans of the same age.</w:t>
      </w:r>
      <w:r>
        <w:rPr>
          <w:rFonts w:cs="Arial"/>
        </w:rPr>
        <w:t xml:space="preserve"> </w:t>
      </w:r>
    </w:p>
    <w:p w:rsidR="003B7E5A" w:rsidRDefault="003B7E5A" w:rsidP="003B7E5A">
      <w:pPr>
        <w:rPr>
          <w:rFonts w:cs="Arial"/>
        </w:rPr>
      </w:pPr>
      <w:r w:rsidRPr="00744428">
        <w:rPr>
          <w:rFonts w:cs="Arial"/>
        </w:rPr>
        <w:lastRenderedPageBreak/>
        <w:t xml:space="preserve">Māori </w:t>
      </w:r>
      <w:r>
        <w:rPr>
          <w:rFonts w:cs="Arial"/>
        </w:rPr>
        <w:t>were almost half as likely to participate as</w:t>
      </w:r>
      <w:r w:rsidRPr="00744428">
        <w:rPr>
          <w:rFonts w:cs="Arial"/>
        </w:rPr>
        <w:t xml:space="preserve"> Europeans</w:t>
      </w:r>
      <w:r>
        <w:rPr>
          <w:rFonts w:cs="Arial"/>
        </w:rPr>
        <w:t xml:space="preserve"> (Figure </w:t>
      </w:r>
      <w:r w:rsidR="008F002C">
        <w:rPr>
          <w:rFonts w:cs="Arial"/>
        </w:rPr>
        <w:t>6</w:t>
      </w:r>
      <w:r>
        <w:rPr>
          <w:rFonts w:cs="Arial"/>
        </w:rPr>
        <w:t>).</w:t>
      </w:r>
      <w:r w:rsidRPr="00744428">
        <w:rPr>
          <w:rFonts w:cs="Arial"/>
        </w:rPr>
        <w:t xml:space="preserve"> </w:t>
      </w:r>
      <w:r>
        <w:rPr>
          <w:rFonts w:cs="Arial"/>
        </w:rPr>
        <w:t>This difference was similar for each age group.</w:t>
      </w:r>
    </w:p>
    <w:p w:rsidR="003B7E5A" w:rsidRPr="00744428" w:rsidRDefault="003B7E5A" w:rsidP="003B7E5A">
      <w:pPr>
        <w:rPr>
          <w:rFonts w:cs="Arial"/>
        </w:rPr>
      </w:pPr>
      <w:r>
        <w:rPr>
          <w:rFonts w:cs="Arial"/>
        </w:rPr>
        <w:t xml:space="preserve">Figures </w:t>
      </w:r>
      <w:r w:rsidR="00E035F8">
        <w:rPr>
          <w:rFonts w:cs="Arial"/>
        </w:rPr>
        <w:t>4</w:t>
      </w:r>
      <w:r>
        <w:rPr>
          <w:rFonts w:cs="Arial"/>
        </w:rPr>
        <w:t xml:space="preserve"> and </w:t>
      </w:r>
      <w:r w:rsidR="00E035F8">
        <w:rPr>
          <w:rFonts w:cs="Arial"/>
        </w:rPr>
        <w:t>5</w:t>
      </w:r>
      <w:r>
        <w:rPr>
          <w:rFonts w:cs="Arial"/>
        </w:rPr>
        <w:t xml:space="preserve"> </w:t>
      </w:r>
      <w:proofErr w:type="gramStart"/>
      <w:r>
        <w:rPr>
          <w:rFonts w:cs="Arial"/>
        </w:rPr>
        <w:t>show</w:t>
      </w:r>
      <w:proofErr w:type="gramEnd"/>
      <w:r>
        <w:rPr>
          <w:rFonts w:cs="Arial"/>
        </w:rPr>
        <w:t xml:space="preserve"> the participation of females and males respectively, for each age and ethnic group.  European females and males aged 60-74 years, and Asian and </w:t>
      </w:r>
      <w:r w:rsidRPr="00744428">
        <w:rPr>
          <w:rFonts w:cs="Arial"/>
        </w:rPr>
        <w:t>Māori</w:t>
      </w:r>
      <w:r>
        <w:rPr>
          <w:rFonts w:cs="Arial"/>
        </w:rPr>
        <w:t xml:space="preserve"> males aged 70-74 years met the Ministry’s 60% participation target.</w:t>
      </w:r>
    </w:p>
    <w:p w:rsidR="003B7E5A" w:rsidRDefault="003B7E5A" w:rsidP="008C130E">
      <w:pPr>
        <w:pStyle w:val="Figure"/>
      </w:pPr>
      <w:bookmarkStart w:id="154" w:name="_Toc390786716"/>
      <w:bookmarkStart w:id="155" w:name="_Toc412540131"/>
      <w:r>
        <w:t xml:space="preserve">Figure </w:t>
      </w:r>
      <w:r w:rsidR="008F002C">
        <w:t>4</w:t>
      </w:r>
      <w:r>
        <w:t>: Female p</w:t>
      </w:r>
      <w:r w:rsidRPr="00E2795C">
        <w:t>articipation by age and ethnicity</w:t>
      </w:r>
      <w:bookmarkEnd w:id="154"/>
      <w:bookmarkEnd w:id="155"/>
    </w:p>
    <w:p w:rsidR="003B7E5A" w:rsidRPr="00E91D27" w:rsidRDefault="003B7E5A" w:rsidP="003B7E5A">
      <w:pPr>
        <w:rPr>
          <w:rFonts w:cs="Arial"/>
          <w:sz w:val="28"/>
          <w:szCs w:val="28"/>
        </w:rPr>
      </w:pPr>
      <w:r w:rsidRPr="00E91D27">
        <w:rPr>
          <w:rFonts w:cs="Arial"/>
          <w:noProof/>
          <w:sz w:val="28"/>
          <w:szCs w:val="28"/>
          <w:lang w:eastAsia="en-NZ"/>
        </w:rPr>
        <w:drawing>
          <wp:inline distT="0" distB="0" distL="0" distR="0" wp14:anchorId="699AAC1F" wp14:editId="6DCA1CD1">
            <wp:extent cx="54864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B7E5A" w:rsidRPr="000C78CB" w:rsidRDefault="003B7E5A" w:rsidP="003B7E5A">
      <w:pPr>
        <w:rPr>
          <w:rFonts w:cs="Arial"/>
          <w:sz w:val="20"/>
          <w:szCs w:val="20"/>
        </w:rPr>
      </w:pPr>
      <w:r w:rsidRPr="000C78CB">
        <w:rPr>
          <w:rFonts w:cs="Arial"/>
          <w:sz w:val="20"/>
          <w:szCs w:val="20"/>
        </w:rPr>
        <w:t xml:space="preserve">Source: BSP </w:t>
      </w:r>
      <w:r>
        <w:rPr>
          <w:rFonts w:cs="Arial"/>
          <w:sz w:val="20"/>
          <w:szCs w:val="20"/>
        </w:rPr>
        <w:t>R</w:t>
      </w:r>
      <w:r w:rsidRPr="000C78CB">
        <w:rPr>
          <w:rFonts w:cs="Arial"/>
          <w:sz w:val="20"/>
          <w:szCs w:val="20"/>
        </w:rPr>
        <w:t>egister</w:t>
      </w:r>
    </w:p>
    <w:p w:rsidR="003B7E5A" w:rsidRDefault="003B7E5A" w:rsidP="008C130E">
      <w:pPr>
        <w:pStyle w:val="Figure"/>
      </w:pPr>
      <w:bookmarkStart w:id="156" w:name="_Toc390786717"/>
      <w:bookmarkStart w:id="157" w:name="_Toc412540132"/>
      <w:r>
        <w:lastRenderedPageBreak/>
        <w:t xml:space="preserve">Figure </w:t>
      </w:r>
      <w:r w:rsidR="008F002C">
        <w:t>5</w:t>
      </w:r>
      <w:r>
        <w:t>: Male participation by age and ethnicity</w:t>
      </w:r>
      <w:bookmarkEnd w:id="156"/>
      <w:bookmarkEnd w:id="157"/>
    </w:p>
    <w:p w:rsidR="003B7E5A" w:rsidRPr="00E91D27" w:rsidRDefault="003B7E5A" w:rsidP="003B7E5A">
      <w:pPr>
        <w:rPr>
          <w:rFonts w:cs="Arial"/>
          <w:sz w:val="28"/>
          <w:szCs w:val="28"/>
        </w:rPr>
      </w:pPr>
      <w:r w:rsidRPr="00E91D27">
        <w:rPr>
          <w:rFonts w:cs="Arial"/>
          <w:noProof/>
          <w:sz w:val="28"/>
          <w:szCs w:val="28"/>
          <w:lang w:eastAsia="en-NZ"/>
        </w:rPr>
        <w:drawing>
          <wp:inline distT="0" distB="0" distL="0" distR="0" wp14:anchorId="7DC06BEB" wp14:editId="59F90916">
            <wp:extent cx="5486400" cy="32004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7E5A" w:rsidRDefault="003B7E5A" w:rsidP="003B7E5A">
      <w:pPr>
        <w:rPr>
          <w:rFonts w:cs="Arial"/>
          <w:sz w:val="20"/>
          <w:szCs w:val="20"/>
        </w:rPr>
      </w:pPr>
      <w:r w:rsidRPr="000C78CB">
        <w:rPr>
          <w:rFonts w:cs="Arial"/>
          <w:sz w:val="20"/>
          <w:szCs w:val="20"/>
        </w:rPr>
        <w:t xml:space="preserve">Source: BSP </w:t>
      </w:r>
      <w:r>
        <w:rPr>
          <w:rFonts w:cs="Arial"/>
          <w:sz w:val="20"/>
          <w:szCs w:val="20"/>
        </w:rPr>
        <w:t>R</w:t>
      </w:r>
      <w:r w:rsidRPr="000C78CB">
        <w:rPr>
          <w:rFonts w:cs="Arial"/>
          <w:sz w:val="20"/>
          <w:szCs w:val="20"/>
        </w:rPr>
        <w:t>egister</w:t>
      </w:r>
    </w:p>
    <w:p w:rsidR="003B7E5A" w:rsidRPr="00B71866" w:rsidRDefault="003B7E5A" w:rsidP="003B7E5A">
      <w:pPr>
        <w:rPr>
          <w:rFonts w:cs="Arial"/>
          <w:b/>
        </w:rPr>
      </w:pPr>
      <w:r w:rsidRPr="00B71866">
        <w:rPr>
          <w:rFonts w:cs="Arial"/>
          <w:b/>
        </w:rPr>
        <w:t>Participation declined with increasing deprivation</w:t>
      </w:r>
    </w:p>
    <w:p w:rsidR="003B7E5A" w:rsidRPr="00744428" w:rsidRDefault="003B7E5A" w:rsidP="003B7E5A">
      <w:pPr>
        <w:rPr>
          <w:rFonts w:cs="Arial"/>
        </w:rPr>
      </w:pPr>
      <w:r w:rsidRPr="00744428">
        <w:rPr>
          <w:rFonts w:cs="Arial"/>
        </w:rPr>
        <w:t>Participation among people from the most deprived quintile</w:t>
      </w:r>
      <w:r>
        <w:rPr>
          <w:rFonts w:cs="Arial"/>
        </w:rPr>
        <w:t xml:space="preserve"> area</w:t>
      </w:r>
      <w:r w:rsidRPr="00744428">
        <w:rPr>
          <w:rFonts w:cs="Arial"/>
        </w:rPr>
        <w:t xml:space="preserve"> (NZDep Index 9-10) was </w:t>
      </w:r>
      <w:r>
        <w:rPr>
          <w:rFonts w:cs="Arial"/>
        </w:rPr>
        <w:t xml:space="preserve">more than </w:t>
      </w:r>
      <w:r w:rsidRPr="00744428">
        <w:rPr>
          <w:rFonts w:cs="Arial"/>
        </w:rPr>
        <w:t xml:space="preserve">1.5 times less likely than people from the least deprived quintile </w:t>
      </w:r>
      <w:r>
        <w:rPr>
          <w:rFonts w:cs="Arial"/>
        </w:rPr>
        <w:t xml:space="preserve">area </w:t>
      </w:r>
      <w:r w:rsidRPr="00744428">
        <w:rPr>
          <w:rFonts w:cs="Arial"/>
        </w:rPr>
        <w:t>(NZDep Index 1-2)</w:t>
      </w:r>
      <w:r>
        <w:rPr>
          <w:rFonts w:cs="Arial"/>
        </w:rPr>
        <w:t xml:space="preserve"> (Figure </w:t>
      </w:r>
      <w:r w:rsidR="008F002C">
        <w:rPr>
          <w:rFonts w:cs="Arial"/>
        </w:rPr>
        <w:t>7</w:t>
      </w:r>
      <w:r>
        <w:rPr>
          <w:rFonts w:cs="Arial"/>
        </w:rPr>
        <w:t>)</w:t>
      </w:r>
      <w:r w:rsidRPr="00744428">
        <w:rPr>
          <w:rFonts w:cs="Arial"/>
        </w:rPr>
        <w:t>.</w:t>
      </w:r>
    </w:p>
    <w:p w:rsidR="003B7E5A" w:rsidRPr="00787677" w:rsidRDefault="003B7E5A" w:rsidP="003B7E5A">
      <w:pPr>
        <w:autoSpaceDE w:val="0"/>
        <w:autoSpaceDN w:val="0"/>
        <w:adjustRightInd w:val="0"/>
        <w:rPr>
          <w:rFonts w:cs="Arial"/>
          <w:b/>
          <w:i/>
        </w:rPr>
      </w:pPr>
      <w:r w:rsidRPr="00787677">
        <w:rPr>
          <w:rFonts w:cs="Arial"/>
          <w:b/>
          <w:i/>
        </w:rPr>
        <w:t xml:space="preserve">Discussion </w:t>
      </w:r>
    </w:p>
    <w:p w:rsidR="003B7E5A" w:rsidRPr="00744428" w:rsidRDefault="003B7E5A" w:rsidP="003B7E5A">
      <w:pPr>
        <w:autoSpaceDE w:val="0"/>
        <w:autoSpaceDN w:val="0"/>
        <w:adjustRightInd w:val="0"/>
        <w:rPr>
          <w:rFonts w:cs="Arial"/>
        </w:rPr>
      </w:pPr>
      <w:r w:rsidRPr="006F6E46">
        <w:rPr>
          <w:rFonts w:cs="Arial"/>
        </w:rPr>
        <w:t>The success of screening depends on participation. The overall participation rate of 5</w:t>
      </w:r>
      <w:r>
        <w:rPr>
          <w:rFonts w:cs="Arial"/>
        </w:rPr>
        <w:t>3.5</w:t>
      </w:r>
      <w:r w:rsidRPr="006F6E46">
        <w:rPr>
          <w:rFonts w:cs="Arial"/>
        </w:rPr>
        <w:t>% is below the Ministry’s tar</w:t>
      </w:r>
      <w:r>
        <w:rPr>
          <w:rFonts w:cs="Arial"/>
        </w:rPr>
        <w:t>get of 60% by the end of the BSP,</w:t>
      </w:r>
      <w:r w:rsidRPr="006F6E46">
        <w:rPr>
          <w:rFonts w:cs="Arial"/>
        </w:rPr>
        <w:t xml:space="preserve"> but higher than the Australian pilot of 45.4%</w:t>
      </w:r>
      <w:r w:rsidRPr="00697D47">
        <w:rPr>
          <w:rStyle w:val="FootnoteReference"/>
        </w:rPr>
        <w:footnoteReference w:id="33"/>
      </w:r>
      <w:r w:rsidRPr="006F6E46">
        <w:rPr>
          <w:rFonts w:cs="Arial"/>
        </w:rPr>
        <w:t xml:space="preserve"> and </w:t>
      </w:r>
      <w:r>
        <w:rPr>
          <w:rFonts w:cs="Arial"/>
        </w:rPr>
        <w:t xml:space="preserve">the early stages </w:t>
      </w:r>
      <w:r w:rsidRPr="006F6E46">
        <w:rPr>
          <w:rFonts w:cs="Arial"/>
        </w:rPr>
        <w:t xml:space="preserve">of implementation in Canada (16.1%) </w:t>
      </w:r>
      <w:proofErr w:type="gramStart"/>
      <w:r w:rsidRPr="006F6E46">
        <w:rPr>
          <w:rFonts w:cs="Arial"/>
        </w:rPr>
        <w:t>(</w:t>
      </w:r>
      <w:r>
        <w:rPr>
          <w:rFonts w:cs="Arial"/>
        </w:rPr>
        <w:t>BCSPMESC</w:t>
      </w:r>
      <w:r w:rsidRPr="006F6E46">
        <w:rPr>
          <w:rFonts w:cs="Arial"/>
        </w:rPr>
        <w:t xml:space="preserve"> 2005</w:t>
      </w:r>
      <w:r>
        <w:rPr>
          <w:rFonts w:cs="Arial"/>
        </w:rPr>
        <w:t xml:space="preserve">; </w:t>
      </w:r>
      <w:r w:rsidRPr="006F6E46">
        <w:rPr>
          <w:rFonts w:cs="Arial"/>
        </w:rPr>
        <w:t>Major et al 2013).</w:t>
      </w:r>
      <w:proofErr w:type="gramEnd"/>
      <w:r w:rsidRPr="006F6E46">
        <w:rPr>
          <w:rFonts w:cs="Arial"/>
        </w:rPr>
        <w:t xml:space="preserve"> The Australian pilot did not include 50-54 year olds</w:t>
      </w:r>
      <w:r>
        <w:rPr>
          <w:rFonts w:cs="Arial"/>
        </w:rPr>
        <w:t xml:space="preserve"> and </w:t>
      </w:r>
      <w:r w:rsidRPr="006F6E46">
        <w:rPr>
          <w:rFonts w:cs="Arial"/>
        </w:rPr>
        <w:t xml:space="preserve">no exclusion criteria </w:t>
      </w:r>
      <w:r>
        <w:rPr>
          <w:rFonts w:cs="Arial"/>
        </w:rPr>
        <w:t>applied to</w:t>
      </w:r>
      <w:r w:rsidRPr="006F6E46">
        <w:rPr>
          <w:rFonts w:cs="Arial"/>
        </w:rPr>
        <w:t xml:space="preserve"> people </w:t>
      </w:r>
      <w:r>
        <w:rPr>
          <w:rFonts w:cs="Arial"/>
        </w:rPr>
        <w:t>living</w:t>
      </w:r>
      <w:r w:rsidRPr="006F6E46">
        <w:rPr>
          <w:rFonts w:cs="Arial"/>
        </w:rPr>
        <w:t xml:space="preserve"> in a </w:t>
      </w:r>
      <w:r>
        <w:rPr>
          <w:rFonts w:cs="Arial"/>
        </w:rPr>
        <w:t>p</w:t>
      </w:r>
      <w:r w:rsidRPr="006F6E46">
        <w:rPr>
          <w:rFonts w:cs="Arial"/>
        </w:rPr>
        <w:t>ilot site in</w:t>
      </w:r>
      <w:r>
        <w:rPr>
          <w:rFonts w:cs="Arial"/>
        </w:rPr>
        <w:t xml:space="preserve"> </w:t>
      </w:r>
      <w:r w:rsidRPr="006F6E46">
        <w:rPr>
          <w:rFonts w:cs="Arial"/>
        </w:rPr>
        <w:t>the relevant age group</w:t>
      </w:r>
      <w:r>
        <w:rPr>
          <w:rFonts w:cs="Arial"/>
        </w:rPr>
        <w:t xml:space="preserve"> </w:t>
      </w:r>
      <w:r w:rsidRPr="00ED7A2D">
        <w:rPr>
          <w:rFonts w:cs="Arial"/>
        </w:rPr>
        <w:t>(</w:t>
      </w:r>
      <w:r>
        <w:rPr>
          <w:rFonts w:cs="Arial"/>
        </w:rPr>
        <w:t>BCSPMESC</w:t>
      </w:r>
      <w:r w:rsidRPr="006F6E46">
        <w:rPr>
          <w:rFonts w:cs="Arial"/>
        </w:rPr>
        <w:t xml:space="preserve"> 2005</w:t>
      </w:r>
      <w:r w:rsidRPr="00ED7A2D">
        <w:rPr>
          <w:rFonts w:cs="Arial"/>
        </w:rPr>
        <w:t>).</w:t>
      </w:r>
      <w:r>
        <w:rPr>
          <w:rFonts w:cs="Arial"/>
        </w:rPr>
        <w:t xml:space="preserve"> </w:t>
      </w:r>
    </w:p>
    <w:p w:rsidR="003B7E5A" w:rsidRDefault="003B7E5A" w:rsidP="003B7E5A">
      <w:pPr>
        <w:rPr>
          <w:rFonts w:cs="Arial"/>
        </w:rPr>
      </w:pPr>
      <w:r>
        <w:rPr>
          <w:rFonts w:cs="Arial"/>
        </w:rPr>
        <w:t xml:space="preserve">The BSP participation rate is similar to the first round of the UK pilot in Scotland (53%), but below that in England </w:t>
      </w:r>
      <w:r w:rsidRPr="00744428">
        <w:rPr>
          <w:rFonts w:cs="Arial"/>
        </w:rPr>
        <w:t xml:space="preserve">of </w:t>
      </w:r>
      <w:r>
        <w:rPr>
          <w:rFonts w:cs="Arial"/>
        </w:rPr>
        <w:t>61%</w:t>
      </w:r>
      <w:r w:rsidRPr="00697D47">
        <w:rPr>
          <w:rStyle w:val="FootnoteReference"/>
        </w:rPr>
        <w:footnoteReference w:id="34"/>
      </w:r>
      <w:r w:rsidRPr="00744428">
        <w:rPr>
          <w:rFonts w:cs="Arial"/>
        </w:rPr>
        <w:t xml:space="preserve"> (</w:t>
      </w:r>
      <w:r>
        <w:rPr>
          <w:rFonts w:cs="Arial"/>
        </w:rPr>
        <w:t xml:space="preserve">Steele et al 2010; </w:t>
      </w:r>
      <w:r w:rsidRPr="00744428">
        <w:rPr>
          <w:rFonts w:cs="Arial"/>
        </w:rPr>
        <w:t xml:space="preserve">Weller </w:t>
      </w:r>
      <w:r>
        <w:rPr>
          <w:rFonts w:cs="Arial"/>
        </w:rPr>
        <w:t xml:space="preserve">et al </w:t>
      </w:r>
      <w:r w:rsidRPr="00744428">
        <w:rPr>
          <w:rFonts w:cs="Arial"/>
        </w:rPr>
        <w:t>2007)</w:t>
      </w:r>
      <w:r>
        <w:rPr>
          <w:rFonts w:cs="Arial"/>
        </w:rPr>
        <w:t xml:space="preserve">. Participation in the UK pilot may have been higher if the older age group (70-74 years) had been included. </w:t>
      </w:r>
    </w:p>
    <w:p w:rsidR="003B7E5A" w:rsidRPr="00744428" w:rsidRDefault="003B7E5A" w:rsidP="003B7E5A">
      <w:pPr>
        <w:rPr>
          <w:rFonts w:cs="Arial"/>
        </w:rPr>
      </w:pPr>
      <w:r>
        <w:rPr>
          <w:rFonts w:cs="Arial"/>
        </w:rPr>
        <w:t>Participation has been found to be higher when the iFOBT is used rather than the guaiac faecal occult blood test (Hol et al 2009). Both Australia and Canada used the iFOBT.</w:t>
      </w:r>
    </w:p>
    <w:p w:rsidR="003B7E5A" w:rsidRDefault="003B7E5A" w:rsidP="003B7E5A">
      <w:pPr>
        <w:autoSpaceDE w:val="0"/>
        <w:autoSpaceDN w:val="0"/>
        <w:adjustRightInd w:val="0"/>
        <w:rPr>
          <w:rFonts w:cs="Arial"/>
        </w:rPr>
      </w:pPr>
      <w:r>
        <w:rPr>
          <w:rFonts w:cs="Arial"/>
        </w:rPr>
        <w:lastRenderedPageBreak/>
        <w:t>The European guidelines set a minimum uptake level of 45% as acceptable and recommend at least 65% as desirable (Moss et al 2010). The BSP meets the acceptable level.</w:t>
      </w:r>
    </w:p>
    <w:p w:rsidR="003B7E5A" w:rsidRDefault="003B7E5A" w:rsidP="003B7E5A">
      <w:pPr>
        <w:autoSpaceDE w:val="0"/>
        <w:autoSpaceDN w:val="0"/>
        <w:adjustRightInd w:val="0"/>
        <w:rPr>
          <w:rFonts w:cs="Arial"/>
        </w:rPr>
      </w:pPr>
      <w:r>
        <w:rPr>
          <w:rFonts w:cs="Arial"/>
        </w:rPr>
        <w:t>Lower participation among males and those from more deprived areas was also found in the Australian pilot. Participation tended to be lower for Aboriginal and Torres Strait Islander people and for people who spoke a language other than English (BCSPMESC 2005).</w:t>
      </w:r>
    </w:p>
    <w:p w:rsidR="003B7E5A" w:rsidRDefault="003B7E5A" w:rsidP="003B7E5A">
      <w:pPr>
        <w:autoSpaceDE w:val="0"/>
        <w:autoSpaceDN w:val="0"/>
        <w:adjustRightInd w:val="0"/>
        <w:rPr>
          <w:rFonts w:cs="Arial"/>
        </w:rPr>
      </w:pPr>
      <w:r w:rsidRPr="00E9026A">
        <w:rPr>
          <w:rFonts w:cs="Arial"/>
        </w:rPr>
        <w:t xml:space="preserve">Lower participation among younger age groups, males, those from more deprived areas and </w:t>
      </w:r>
      <w:r w:rsidRPr="00711E7D">
        <w:rPr>
          <w:rFonts w:cs="Arial"/>
        </w:rPr>
        <w:t>from the Indian sub-continent</w:t>
      </w:r>
      <w:r w:rsidRPr="00E9026A">
        <w:rPr>
          <w:rFonts w:cs="Arial"/>
        </w:rPr>
        <w:t xml:space="preserve"> were also found in </w:t>
      </w:r>
      <w:r>
        <w:rPr>
          <w:rFonts w:cs="Arial"/>
        </w:rPr>
        <w:t>the UK pilot, and among younger age groups and males in Canada (Weller et al 2003; Major et al 2013).</w:t>
      </w:r>
      <w:r w:rsidRPr="00E9026A">
        <w:rPr>
          <w:rFonts w:cs="Arial"/>
        </w:rPr>
        <w:t xml:space="preserve"> </w:t>
      </w:r>
    </w:p>
    <w:p w:rsidR="003B7E5A" w:rsidRPr="00BA0F5F" w:rsidRDefault="003B7E5A" w:rsidP="008C130E">
      <w:pPr>
        <w:pStyle w:val="Heading3"/>
        <w:rPr>
          <w:rFonts w:cs="Arial"/>
        </w:rPr>
      </w:pPr>
      <w:bookmarkStart w:id="158" w:name="_Toc390786675"/>
      <w:r w:rsidRPr="0078238E">
        <w:rPr>
          <w:rStyle w:val="Heading2Char"/>
        </w:rPr>
        <w:t xml:space="preserve">Colonoscopy </w:t>
      </w:r>
      <w:r>
        <w:rPr>
          <w:rStyle w:val="Heading2Char"/>
        </w:rPr>
        <w:t>u</w:t>
      </w:r>
      <w:r w:rsidRPr="0078238E">
        <w:rPr>
          <w:rStyle w:val="Heading2Char"/>
        </w:rPr>
        <w:t>ptake</w:t>
      </w:r>
      <w:bookmarkEnd w:id="158"/>
      <w:r>
        <w:rPr>
          <w:rFonts w:cs="Arial"/>
        </w:rPr>
        <w:t xml:space="preserve"> </w:t>
      </w:r>
    </w:p>
    <w:p w:rsidR="003B7E5A" w:rsidRPr="00744428" w:rsidRDefault="003B7E5A" w:rsidP="003B7E5A">
      <w:pPr>
        <w:rPr>
          <w:rFonts w:cs="Arial"/>
        </w:rPr>
      </w:pPr>
      <w:r w:rsidRPr="00744428">
        <w:rPr>
          <w:rFonts w:cs="Arial"/>
        </w:rPr>
        <w:t xml:space="preserve">Of the participants who returned an adequate kit in the first 22 months of the first screening round, 6.1% (n=2,843) had a publicly funded colonoscopy. The outcomes in this report are </w:t>
      </w:r>
      <w:r>
        <w:rPr>
          <w:rFonts w:cs="Arial"/>
        </w:rPr>
        <w:t xml:space="preserve">only </w:t>
      </w:r>
      <w:r w:rsidRPr="00744428">
        <w:rPr>
          <w:rFonts w:cs="Arial"/>
        </w:rPr>
        <w:t>for this group</w:t>
      </w:r>
      <w:r>
        <w:rPr>
          <w:rFonts w:cs="Arial"/>
        </w:rPr>
        <w:t xml:space="preserve"> (n=2,843)</w:t>
      </w:r>
      <w:r w:rsidRPr="00744428">
        <w:rPr>
          <w:rFonts w:cs="Arial"/>
        </w:rPr>
        <w:t xml:space="preserve"> due to uncertainty about data quality, including data completeness, for those participants who opted for a privately funded colonoscopy.</w:t>
      </w:r>
      <w:r>
        <w:rPr>
          <w:rFonts w:cs="Arial"/>
        </w:rPr>
        <w:t xml:space="preserve"> Information on private colonoscopy was not included in the UK pilot evaluation (Weller et al 2003).</w:t>
      </w:r>
    </w:p>
    <w:p w:rsidR="003B7E5A" w:rsidRPr="00744428" w:rsidRDefault="003B7E5A" w:rsidP="003B7E5A">
      <w:pPr>
        <w:rPr>
          <w:rFonts w:cs="Arial"/>
          <w:highlight w:val="yellow"/>
        </w:rPr>
      </w:pPr>
      <w:r>
        <w:rPr>
          <w:rFonts w:cs="Arial"/>
        </w:rPr>
        <w:t>Almost 11%</w:t>
      </w:r>
      <w:r w:rsidRPr="00744428">
        <w:rPr>
          <w:rFonts w:cs="Arial"/>
        </w:rPr>
        <w:t xml:space="preserve"> (n=356) of those with a positive iFOBT were subsequently recorded as </w:t>
      </w:r>
      <w:r>
        <w:rPr>
          <w:rFonts w:cs="Arial"/>
        </w:rPr>
        <w:t xml:space="preserve">being </w:t>
      </w:r>
      <w:r w:rsidRPr="00744428">
        <w:rPr>
          <w:rFonts w:cs="Arial"/>
        </w:rPr>
        <w:t xml:space="preserve">outside the public system. At least 184 of these participants had a privately funded colonoscopy. </w:t>
      </w:r>
      <w:r>
        <w:rPr>
          <w:rFonts w:cs="Arial"/>
        </w:rPr>
        <w:t>T</w:t>
      </w:r>
      <w:r w:rsidRPr="00744428">
        <w:rPr>
          <w:rFonts w:cs="Arial"/>
        </w:rPr>
        <w:t xml:space="preserve">he data are uncertain </w:t>
      </w:r>
      <w:r>
        <w:rPr>
          <w:rFonts w:cs="Arial"/>
        </w:rPr>
        <w:t>f</w:t>
      </w:r>
      <w:r w:rsidRPr="00744428">
        <w:rPr>
          <w:rFonts w:cs="Arial"/>
        </w:rPr>
        <w:t xml:space="preserve">or the other 171 participants. </w:t>
      </w:r>
      <w:r w:rsidRPr="003D37EA">
        <w:rPr>
          <w:rFonts w:cs="Arial"/>
        </w:rPr>
        <w:t>It is not clear whether they indicated intent to have privately funded colonoscopy but had not yet done so, had private colonoscopy locally but the results were not available or had not been entered into th</w:t>
      </w:r>
      <w:r>
        <w:rPr>
          <w:rFonts w:cs="Arial"/>
        </w:rPr>
        <w:t xml:space="preserve">e BSP, or were going overseas </w:t>
      </w:r>
      <w:r w:rsidR="003D209D">
        <w:rPr>
          <w:rFonts w:cs="Arial"/>
        </w:rPr>
        <w:t>e</w:t>
      </w:r>
      <w:r w:rsidR="003D209D" w:rsidRPr="003D37EA">
        <w:rPr>
          <w:rFonts w:cs="Arial"/>
        </w:rPr>
        <w:t>.g.</w:t>
      </w:r>
      <w:r>
        <w:rPr>
          <w:rFonts w:cs="Arial"/>
        </w:rPr>
        <w:t>,</w:t>
      </w:r>
      <w:r w:rsidRPr="003D37EA">
        <w:rPr>
          <w:rFonts w:cs="Arial"/>
        </w:rPr>
        <w:t xml:space="preserve"> Asia or outside the WDHB area for colonoscopy.</w:t>
      </w:r>
      <w:r>
        <w:rPr>
          <w:rFonts w:cs="Arial"/>
        </w:rPr>
        <w:t xml:space="preserve"> </w:t>
      </w:r>
    </w:p>
    <w:p w:rsidR="003B7E5A" w:rsidRPr="00744428" w:rsidRDefault="003B7E5A" w:rsidP="003B7E5A">
      <w:pPr>
        <w:rPr>
          <w:rFonts w:cs="Arial"/>
        </w:rPr>
      </w:pPr>
      <w:r w:rsidRPr="00744428">
        <w:rPr>
          <w:rFonts w:cs="Arial"/>
        </w:rPr>
        <w:t xml:space="preserve">The number of participants with a positive iFOBT who declined colonoscopy is uncertain due to data quality issues. For example, two participants who ‘declined’ were also entered as having had a publicly funded colonoscopy with histopathology results. </w:t>
      </w:r>
      <w:r>
        <w:rPr>
          <w:rFonts w:cs="Arial"/>
        </w:rPr>
        <w:t>R</w:t>
      </w:r>
      <w:r w:rsidRPr="00744428">
        <w:rPr>
          <w:rFonts w:cs="Arial"/>
        </w:rPr>
        <w:t xml:space="preserve">easons for declining </w:t>
      </w:r>
      <w:r>
        <w:rPr>
          <w:rFonts w:cs="Arial"/>
        </w:rPr>
        <w:t xml:space="preserve">that were entered in the free text </w:t>
      </w:r>
      <w:r w:rsidRPr="00744428">
        <w:rPr>
          <w:rFonts w:cs="Arial"/>
        </w:rPr>
        <w:t>indicate</w:t>
      </w:r>
      <w:r>
        <w:rPr>
          <w:rFonts w:cs="Arial"/>
        </w:rPr>
        <w:t>d</w:t>
      </w:r>
      <w:r w:rsidRPr="00744428">
        <w:rPr>
          <w:rFonts w:cs="Arial"/>
        </w:rPr>
        <w:t xml:space="preserve"> a few people were ineligible to be part of the BSP based on residence and previous colonoscopy.</w:t>
      </w:r>
    </w:p>
    <w:p w:rsidR="003B7E5A" w:rsidRPr="00744428" w:rsidRDefault="003B7E5A" w:rsidP="003B7E5A">
      <w:pPr>
        <w:rPr>
          <w:rFonts w:cs="Arial"/>
        </w:rPr>
      </w:pPr>
      <w:r w:rsidRPr="00744428">
        <w:rPr>
          <w:rFonts w:cs="Arial"/>
        </w:rPr>
        <w:t>Of those participants who had a positive iFOBT in the first 22 months of the first screening round</w:t>
      </w:r>
      <w:r>
        <w:rPr>
          <w:rFonts w:cs="Arial"/>
        </w:rPr>
        <w:t xml:space="preserve"> (n=3,303),</w:t>
      </w:r>
      <w:r w:rsidRPr="00744428">
        <w:rPr>
          <w:rFonts w:cs="Arial"/>
        </w:rPr>
        <w:t xml:space="preserve"> 86</w:t>
      </w:r>
      <w:r>
        <w:rPr>
          <w:rFonts w:cs="Arial"/>
        </w:rPr>
        <w:t xml:space="preserve">.1 </w:t>
      </w:r>
      <w:r w:rsidRPr="00744428">
        <w:rPr>
          <w:rFonts w:cs="Arial"/>
        </w:rPr>
        <w:t xml:space="preserve">% had a colonoscopy in the public system. The colonoscopy was not completed in </w:t>
      </w:r>
      <w:r>
        <w:rPr>
          <w:rFonts w:cs="Arial"/>
        </w:rPr>
        <w:t>0.6</w:t>
      </w:r>
      <w:r w:rsidRPr="00744428">
        <w:rPr>
          <w:rFonts w:cs="Arial"/>
        </w:rPr>
        <w:t>% of cases. Seventy-six percent (n=2,161) of colonoscopies had abnormal results.</w:t>
      </w:r>
    </w:p>
    <w:p w:rsidR="003B7E5A" w:rsidRDefault="003B7E5A" w:rsidP="003B7E5A">
      <w:pPr>
        <w:rPr>
          <w:rFonts w:cs="Arial"/>
        </w:rPr>
      </w:pPr>
      <w:r w:rsidRPr="00744428">
        <w:rPr>
          <w:rFonts w:cs="Arial"/>
        </w:rPr>
        <w:t>Thirty-nine (1</w:t>
      </w:r>
      <w:r>
        <w:rPr>
          <w:rFonts w:cs="Arial"/>
        </w:rPr>
        <w:t>.2</w:t>
      </w:r>
      <w:r w:rsidRPr="00744428">
        <w:rPr>
          <w:rFonts w:cs="Arial"/>
        </w:rPr>
        <w:t>%) participants with a positive iFOBT had CT</w:t>
      </w:r>
      <w:r w:rsidR="00183345">
        <w:rPr>
          <w:rFonts w:cs="Arial"/>
        </w:rPr>
        <w:t>C</w:t>
      </w:r>
      <w:r w:rsidRPr="00697D47">
        <w:rPr>
          <w:rStyle w:val="FootnoteReference"/>
        </w:rPr>
        <w:footnoteReference w:id="35"/>
      </w:r>
      <w:r w:rsidRPr="00744428">
        <w:rPr>
          <w:rFonts w:cs="Arial"/>
        </w:rPr>
        <w:t>.</w:t>
      </w:r>
    </w:p>
    <w:p w:rsidR="003B7E5A" w:rsidRDefault="003B7E5A" w:rsidP="003B7E5A">
      <w:pPr>
        <w:rPr>
          <w:rFonts w:cs="Arial"/>
        </w:rPr>
      </w:pPr>
      <w:r>
        <w:rPr>
          <w:rFonts w:cs="Arial"/>
        </w:rPr>
        <w:t xml:space="preserve">For all results see the </w:t>
      </w:r>
      <w:r w:rsidRPr="002336ED">
        <w:rPr>
          <w:rFonts w:cs="Arial"/>
        </w:rPr>
        <w:t>Appendix</w:t>
      </w:r>
      <w:r w:rsidR="002336ED" w:rsidRPr="002336ED">
        <w:rPr>
          <w:rFonts w:cs="Arial"/>
        </w:rPr>
        <w:t xml:space="preserve"> 1</w:t>
      </w:r>
      <w:r w:rsidRPr="002336ED">
        <w:rPr>
          <w:rFonts w:cs="Arial"/>
        </w:rPr>
        <w:t>, Table 2b.</w:t>
      </w:r>
      <w:r w:rsidRPr="00744428">
        <w:rPr>
          <w:rFonts w:cs="Arial"/>
        </w:rPr>
        <w:t xml:space="preserve"> </w:t>
      </w:r>
    </w:p>
    <w:p w:rsidR="003B7E5A" w:rsidRPr="00744428" w:rsidRDefault="003B7E5A" w:rsidP="003B7E5A">
      <w:pPr>
        <w:rPr>
          <w:rFonts w:cs="Arial"/>
        </w:rPr>
      </w:pPr>
      <w:r w:rsidRPr="00744428">
        <w:rPr>
          <w:rFonts w:cs="Arial"/>
          <w:b/>
        </w:rPr>
        <w:t>Colonoscopy uptake differed by sex</w:t>
      </w:r>
      <w:r>
        <w:rPr>
          <w:rFonts w:cs="Arial"/>
          <w:b/>
        </w:rPr>
        <w:t xml:space="preserve"> and Asian</w:t>
      </w:r>
      <w:r w:rsidRPr="00A41B53">
        <w:rPr>
          <w:rFonts w:cs="Arial"/>
          <w:b/>
        </w:rPr>
        <w:t xml:space="preserve"> ethnicity</w:t>
      </w:r>
    </w:p>
    <w:p w:rsidR="003B7E5A" w:rsidRDefault="003B7E5A" w:rsidP="003B7E5A">
      <w:pPr>
        <w:rPr>
          <w:rFonts w:cs="Arial"/>
        </w:rPr>
      </w:pPr>
      <w:r w:rsidRPr="00744428">
        <w:rPr>
          <w:rFonts w:cs="Arial"/>
        </w:rPr>
        <w:t xml:space="preserve">Males were </w:t>
      </w:r>
      <w:r>
        <w:rPr>
          <w:rFonts w:cs="Arial"/>
        </w:rPr>
        <w:t>slightly</w:t>
      </w:r>
      <w:r w:rsidRPr="00744428">
        <w:rPr>
          <w:rFonts w:cs="Arial"/>
        </w:rPr>
        <w:t xml:space="preserve"> more likely to have a colonoscopy than females</w:t>
      </w:r>
      <w:r>
        <w:rPr>
          <w:rFonts w:cs="Arial"/>
        </w:rPr>
        <w:t>. Males aged 70-74 years were more than twice as likely to have a colonoscopy as females of the same age.</w:t>
      </w:r>
    </w:p>
    <w:p w:rsidR="003B7E5A" w:rsidRDefault="003B7E5A" w:rsidP="003B7E5A">
      <w:pPr>
        <w:rPr>
          <w:rFonts w:cs="Arial"/>
        </w:rPr>
      </w:pPr>
      <w:r>
        <w:rPr>
          <w:rFonts w:cs="Arial"/>
        </w:rPr>
        <w:t>Asians</w:t>
      </w:r>
      <w:r w:rsidRPr="00744428">
        <w:rPr>
          <w:rFonts w:cs="Arial"/>
        </w:rPr>
        <w:t xml:space="preserve"> </w:t>
      </w:r>
      <w:r>
        <w:rPr>
          <w:rFonts w:cs="Arial"/>
        </w:rPr>
        <w:t xml:space="preserve">aged 50-59 years </w:t>
      </w:r>
      <w:r w:rsidRPr="00744428">
        <w:rPr>
          <w:rFonts w:cs="Arial"/>
        </w:rPr>
        <w:t>w</w:t>
      </w:r>
      <w:r>
        <w:rPr>
          <w:rFonts w:cs="Arial"/>
        </w:rPr>
        <w:t>ere</w:t>
      </w:r>
      <w:r w:rsidRPr="00744428">
        <w:rPr>
          <w:rFonts w:cs="Arial"/>
        </w:rPr>
        <w:t xml:space="preserve"> </w:t>
      </w:r>
      <w:r>
        <w:rPr>
          <w:rFonts w:cs="Arial"/>
        </w:rPr>
        <w:t>half as l</w:t>
      </w:r>
      <w:r w:rsidRPr="00744428">
        <w:rPr>
          <w:rFonts w:cs="Arial"/>
        </w:rPr>
        <w:t xml:space="preserve">ikely </w:t>
      </w:r>
      <w:r>
        <w:rPr>
          <w:rFonts w:cs="Arial"/>
        </w:rPr>
        <w:t>to have a colonoscopy as Europeans of the same age.</w:t>
      </w:r>
      <w:r w:rsidRPr="00744428">
        <w:rPr>
          <w:rFonts w:cs="Arial"/>
        </w:rPr>
        <w:t xml:space="preserve"> </w:t>
      </w:r>
    </w:p>
    <w:p w:rsidR="003B7E5A" w:rsidRPr="00A41B53" w:rsidRDefault="003B7E5A" w:rsidP="003B7E5A">
      <w:pPr>
        <w:rPr>
          <w:rFonts w:cs="Arial"/>
          <w:b/>
        </w:rPr>
      </w:pPr>
      <w:r w:rsidRPr="00A41B53">
        <w:rPr>
          <w:rFonts w:cs="Arial"/>
          <w:b/>
        </w:rPr>
        <w:lastRenderedPageBreak/>
        <w:t>Colonoscopy uptake increa</w:t>
      </w:r>
      <w:r>
        <w:rPr>
          <w:rFonts w:cs="Arial"/>
          <w:b/>
        </w:rPr>
        <w:t>sed with increasing deprivation</w:t>
      </w:r>
    </w:p>
    <w:p w:rsidR="003B7E5A" w:rsidRDefault="003B7E5A" w:rsidP="003B7E5A">
      <w:pPr>
        <w:rPr>
          <w:rFonts w:cs="Arial"/>
        </w:rPr>
      </w:pPr>
      <w:r>
        <w:rPr>
          <w:rFonts w:cs="Arial"/>
        </w:rPr>
        <w:t>Colonoscopy uptake among people from the most deprived quintile areas (NZDep Index 7-8 and 9-10) was twice as likely as people from the least deprived quintile area (NZDep Index 1-2).</w:t>
      </w:r>
    </w:p>
    <w:p w:rsidR="003B7E5A" w:rsidRPr="00EE4397" w:rsidRDefault="003B7E5A" w:rsidP="003B7E5A">
      <w:pPr>
        <w:rPr>
          <w:rFonts w:cs="Arial"/>
          <w:i/>
        </w:rPr>
      </w:pPr>
      <w:r w:rsidRPr="00EE4397">
        <w:rPr>
          <w:rFonts w:cs="Arial"/>
          <w:b/>
          <w:i/>
        </w:rPr>
        <w:t>Discussion</w:t>
      </w:r>
      <w:r w:rsidRPr="00EE4397">
        <w:rPr>
          <w:rFonts w:cs="Arial"/>
          <w:i/>
        </w:rPr>
        <w:t xml:space="preserve"> </w:t>
      </w:r>
    </w:p>
    <w:p w:rsidR="003B7E5A" w:rsidRPr="00744428" w:rsidRDefault="003B7E5A" w:rsidP="003B7E5A">
      <w:pPr>
        <w:rPr>
          <w:rFonts w:cs="Arial"/>
        </w:rPr>
      </w:pPr>
      <w:r w:rsidRPr="00744428">
        <w:rPr>
          <w:rFonts w:cs="Arial"/>
        </w:rPr>
        <w:t>The colonoscopy uptake rate of 86</w:t>
      </w:r>
      <w:r>
        <w:rPr>
          <w:rFonts w:cs="Arial"/>
        </w:rPr>
        <w:t>.1</w:t>
      </w:r>
      <w:r w:rsidRPr="00744428">
        <w:rPr>
          <w:rFonts w:cs="Arial"/>
        </w:rPr>
        <w:t xml:space="preserve">% </w:t>
      </w:r>
      <w:r>
        <w:rPr>
          <w:rFonts w:cs="Arial"/>
        </w:rPr>
        <w:t>is</w:t>
      </w:r>
      <w:r w:rsidRPr="00DF430E">
        <w:rPr>
          <w:rFonts w:cs="Arial"/>
        </w:rPr>
        <w:t xml:space="preserve"> consistent with th</w:t>
      </w:r>
      <w:r>
        <w:rPr>
          <w:rFonts w:cs="Arial"/>
        </w:rPr>
        <w:t xml:space="preserve">e 87% achieved in Scotland (Steele et al 2010). The BSP </w:t>
      </w:r>
      <w:r w:rsidRPr="00744428">
        <w:rPr>
          <w:rFonts w:cs="Arial"/>
        </w:rPr>
        <w:t xml:space="preserve">colonoscopy </w:t>
      </w:r>
      <w:r>
        <w:rPr>
          <w:rFonts w:cs="Arial"/>
        </w:rPr>
        <w:t xml:space="preserve">uptake rate is an under-estimate because of the exclusion of private colonoscopy data. The BSP rate is higher than uptake in England and Canada, both of which report 80.5%, although private colonoscopy data were not available to Weller </w:t>
      </w:r>
      <w:r w:rsidRPr="00EE4397">
        <w:rPr>
          <w:rFonts w:cs="Arial"/>
          <w:i/>
        </w:rPr>
        <w:t>et al</w:t>
      </w:r>
      <w:r>
        <w:rPr>
          <w:rFonts w:cs="Arial"/>
        </w:rPr>
        <w:t xml:space="preserve"> so uptake in England may have been higher (Weller et al 2007; Major et al 2013). The high rate of missing data on the Australian register meant the reported colonoscopy uptake was only 55% in the pilot (BCSPMESC 2005). Uptake in the Australian National Bowel Cancer Screening Program is now 76.3% but this is an under-estimate because of missing data (AIHW 2010).</w:t>
      </w:r>
    </w:p>
    <w:p w:rsidR="003B7E5A" w:rsidRDefault="003B7E5A" w:rsidP="003B7E5A">
      <w:pPr>
        <w:rPr>
          <w:rFonts w:cs="Arial"/>
        </w:rPr>
      </w:pPr>
      <w:r>
        <w:rPr>
          <w:rFonts w:cs="Arial"/>
        </w:rPr>
        <w:t>The European guidelines set the acceptable colonoscopy compliance rate at 85% (Moss et al 2010). Uptake in the BSP meets this standard.</w:t>
      </w:r>
    </w:p>
    <w:p w:rsidR="003B7E5A" w:rsidRDefault="003B7E5A" w:rsidP="003B7E5A">
      <w:pPr>
        <w:rPr>
          <w:rFonts w:cs="Arial"/>
        </w:rPr>
      </w:pPr>
      <w:r>
        <w:rPr>
          <w:rFonts w:cs="Arial"/>
        </w:rPr>
        <w:t>Given the participation of younger Asians in the BSP was only slightly less, and their iFOBT positive rate was slightly higher, than younger Europeans, their lower colonoscopy uptake may reflect that they are returning to Asia or are more likely to go to the private system for their colonoscopy. This requires further investigation.</w:t>
      </w:r>
    </w:p>
    <w:p w:rsidR="003B7E5A" w:rsidRDefault="003B7E5A" w:rsidP="008C130E">
      <w:pPr>
        <w:pStyle w:val="Heading2"/>
      </w:pPr>
      <w:r>
        <w:br w:type="column"/>
      </w:r>
      <w:bookmarkStart w:id="159" w:name="_Toc390786676"/>
      <w:bookmarkStart w:id="160" w:name="_Toc406591708"/>
      <w:bookmarkStart w:id="161" w:name="_Toc406594641"/>
      <w:bookmarkStart w:id="162" w:name="_Toc406602087"/>
      <w:bookmarkStart w:id="163" w:name="_Toc406753457"/>
      <w:bookmarkStart w:id="164" w:name="_Toc412540031"/>
      <w:r>
        <w:lastRenderedPageBreak/>
        <w:t>Outcomes</w:t>
      </w:r>
      <w:bookmarkEnd w:id="159"/>
      <w:bookmarkEnd w:id="160"/>
      <w:bookmarkEnd w:id="161"/>
      <w:bookmarkEnd w:id="162"/>
      <w:bookmarkEnd w:id="163"/>
      <w:bookmarkEnd w:id="164"/>
    </w:p>
    <w:p w:rsidR="003B7E5A" w:rsidRPr="008447A6" w:rsidRDefault="003B7E5A" w:rsidP="003B7E5A">
      <w:pPr>
        <w:rPr>
          <w:rFonts w:cs="Arial"/>
        </w:rPr>
      </w:pPr>
      <w:r w:rsidRPr="008447A6">
        <w:rPr>
          <w:rFonts w:cs="Arial"/>
        </w:rPr>
        <w:t>For a summary of the outcomes</w:t>
      </w:r>
      <w:r>
        <w:rPr>
          <w:rFonts w:cs="Arial"/>
        </w:rPr>
        <w:t xml:space="preserve"> of the BSP</w:t>
      </w:r>
      <w:r w:rsidRPr="008447A6">
        <w:rPr>
          <w:rFonts w:cs="Arial"/>
        </w:rPr>
        <w:t xml:space="preserve">, see Figure </w:t>
      </w:r>
      <w:r>
        <w:rPr>
          <w:rFonts w:cs="Arial"/>
        </w:rPr>
        <w:t>1.</w:t>
      </w:r>
    </w:p>
    <w:p w:rsidR="003B7E5A" w:rsidRDefault="003B7E5A" w:rsidP="008C130E">
      <w:pPr>
        <w:pStyle w:val="Heading3"/>
        <w:rPr>
          <w:rFonts w:cs="Arial"/>
        </w:rPr>
      </w:pPr>
      <w:bookmarkStart w:id="165" w:name="_Toc390786677"/>
      <w:r w:rsidRPr="0078238E">
        <w:rPr>
          <w:rStyle w:val="Heading2Char"/>
        </w:rPr>
        <w:t>Immunochemical faecal occult blood test (iFOBT) positivity</w:t>
      </w:r>
      <w:bookmarkEnd w:id="165"/>
      <w:r>
        <w:rPr>
          <w:rFonts w:cs="Arial"/>
        </w:rPr>
        <w:t xml:space="preserve"> </w:t>
      </w:r>
    </w:p>
    <w:p w:rsidR="003B7E5A" w:rsidRDefault="003B7E5A" w:rsidP="003B7E5A">
      <w:pPr>
        <w:rPr>
          <w:rFonts w:cs="Arial"/>
        </w:rPr>
      </w:pPr>
      <w:r w:rsidRPr="00744428">
        <w:rPr>
          <w:rFonts w:cs="Arial"/>
        </w:rPr>
        <w:t>Of the participants who returned an adequate kit in the first 22 months of the first screening round</w:t>
      </w:r>
      <w:r>
        <w:rPr>
          <w:rFonts w:cs="Arial"/>
        </w:rPr>
        <w:t xml:space="preserve"> (n=</w:t>
      </w:r>
      <w:r w:rsidRPr="00744428">
        <w:rPr>
          <w:rFonts w:cs="Arial"/>
        </w:rPr>
        <w:t>46,409</w:t>
      </w:r>
      <w:r>
        <w:rPr>
          <w:rFonts w:cs="Arial"/>
        </w:rPr>
        <w:t>)</w:t>
      </w:r>
      <w:r w:rsidRPr="00744428">
        <w:rPr>
          <w:rFonts w:cs="Arial"/>
        </w:rPr>
        <w:t>, 7.1% had a positive iFOBT result.</w:t>
      </w:r>
    </w:p>
    <w:p w:rsidR="003B7E5A" w:rsidRDefault="003B7E5A" w:rsidP="003B7E5A">
      <w:pPr>
        <w:rPr>
          <w:rFonts w:cs="Arial"/>
        </w:rPr>
      </w:pPr>
      <w:r>
        <w:rPr>
          <w:rFonts w:cs="Arial"/>
        </w:rPr>
        <w:t xml:space="preserve">For all results see the </w:t>
      </w:r>
      <w:r w:rsidRPr="002336ED">
        <w:rPr>
          <w:rFonts w:cs="Arial"/>
        </w:rPr>
        <w:t>Appendix</w:t>
      </w:r>
      <w:r w:rsidR="002336ED" w:rsidRPr="002336ED">
        <w:rPr>
          <w:rFonts w:cs="Arial"/>
        </w:rPr>
        <w:t xml:space="preserve"> 1</w:t>
      </w:r>
      <w:r w:rsidRPr="002336ED">
        <w:rPr>
          <w:rFonts w:cs="Arial"/>
        </w:rPr>
        <w:t>, Table 3a.</w:t>
      </w:r>
      <w:r w:rsidRPr="00744428">
        <w:rPr>
          <w:rFonts w:cs="Arial"/>
        </w:rPr>
        <w:t xml:space="preserve"> </w:t>
      </w:r>
    </w:p>
    <w:p w:rsidR="003B7E5A" w:rsidRPr="00744428" w:rsidRDefault="003B7E5A" w:rsidP="003B7E5A">
      <w:pPr>
        <w:rPr>
          <w:rFonts w:cs="Arial"/>
          <w:b/>
        </w:rPr>
      </w:pPr>
      <w:r w:rsidRPr="00744428">
        <w:rPr>
          <w:rFonts w:cs="Arial"/>
          <w:b/>
        </w:rPr>
        <w:t xml:space="preserve">Positivity increased with increasing age  </w:t>
      </w:r>
    </w:p>
    <w:p w:rsidR="003B7E5A" w:rsidRPr="00744428" w:rsidRDefault="003B7E5A" w:rsidP="003B7E5A">
      <w:pPr>
        <w:rPr>
          <w:rFonts w:cs="Arial"/>
        </w:rPr>
      </w:pPr>
      <w:r w:rsidRPr="00744428">
        <w:rPr>
          <w:rFonts w:cs="Arial"/>
        </w:rPr>
        <w:t>Participants aged 70-74 years were more than twice as likely to have a positive iFOBT result as participants aged 50-54 years</w:t>
      </w:r>
      <w:r>
        <w:rPr>
          <w:rFonts w:cs="Arial"/>
        </w:rPr>
        <w:t xml:space="preserve"> (Figure </w:t>
      </w:r>
      <w:r w:rsidR="008F002C">
        <w:rPr>
          <w:rFonts w:cs="Arial"/>
        </w:rPr>
        <w:t>8</w:t>
      </w:r>
      <w:r>
        <w:rPr>
          <w:rFonts w:cs="Arial"/>
        </w:rPr>
        <w:t>).</w:t>
      </w:r>
    </w:p>
    <w:p w:rsidR="003B7E5A" w:rsidRPr="00744428" w:rsidRDefault="003B7E5A" w:rsidP="003B7E5A">
      <w:pPr>
        <w:rPr>
          <w:rFonts w:cs="Arial"/>
          <w:b/>
        </w:rPr>
      </w:pPr>
      <w:r w:rsidRPr="00744428">
        <w:rPr>
          <w:rFonts w:cs="Arial"/>
          <w:b/>
        </w:rPr>
        <w:t>Positivity differed by sex</w:t>
      </w:r>
      <w:r>
        <w:rPr>
          <w:rFonts w:cs="Arial"/>
          <w:b/>
        </w:rPr>
        <w:t xml:space="preserve"> and</w:t>
      </w:r>
      <w:r w:rsidRPr="00744428">
        <w:rPr>
          <w:rFonts w:cs="Arial"/>
          <w:b/>
        </w:rPr>
        <w:t xml:space="preserve"> </w:t>
      </w:r>
      <w:r w:rsidRPr="00A3052F">
        <w:rPr>
          <w:rFonts w:cs="Arial"/>
          <w:b/>
        </w:rPr>
        <w:t xml:space="preserve">Māori </w:t>
      </w:r>
      <w:r w:rsidRPr="00744428">
        <w:rPr>
          <w:rFonts w:cs="Arial"/>
          <w:b/>
        </w:rPr>
        <w:t>ethnicity</w:t>
      </w:r>
    </w:p>
    <w:p w:rsidR="003B7E5A" w:rsidRPr="00744428" w:rsidRDefault="003B7E5A" w:rsidP="003B7E5A">
      <w:pPr>
        <w:rPr>
          <w:rFonts w:cs="Arial"/>
        </w:rPr>
      </w:pPr>
      <w:r w:rsidRPr="00744428">
        <w:rPr>
          <w:rFonts w:cs="Arial"/>
        </w:rPr>
        <w:t>Males were over 1.5 times more likely to have a positive iFOBT result than females</w:t>
      </w:r>
      <w:r>
        <w:rPr>
          <w:rFonts w:cs="Arial"/>
        </w:rPr>
        <w:t xml:space="preserve"> (Figure </w:t>
      </w:r>
      <w:r w:rsidR="008F002C">
        <w:rPr>
          <w:rFonts w:cs="Arial"/>
        </w:rPr>
        <w:t>9</w:t>
      </w:r>
      <w:r>
        <w:rPr>
          <w:rFonts w:cs="Arial"/>
        </w:rPr>
        <w:t>). This difference was found for each age group.</w:t>
      </w:r>
    </w:p>
    <w:p w:rsidR="003B7E5A" w:rsidRPr="00744428" w:rsidRDefault="003B7E5A" w:rsidP="003B7E5A">
      <w:pPr>
        <w:rPr>
          <w:rFonts w:cs="Arial"/>
        </w:rPr>
      </w:pPr>
      <w:r w:rsidRPr="00744428">
        <w:rPr>
          <w:rFonts w:cs="Arial"/>
        </w:rPr>
        <w:t>Māori were slightly more likely to have a positive iFOBT result than Europeans</w:t>
      </w:r>
      <w:r>
        <w:rPr>
          <w:rFonts w:cs="Arial"/>
        </w:rPr>
        <w:t xml:space="preserve"> (Figure </w:t>
      </w:r>
      <w:r w:rsidR="008F002C">
        <w:rPr>
          <w:rFonts w:cs="Arial"/>
        </w:rPr>
        <w:t>6</w:t>
      </w:r>
      <w:r>
        <w:rPr>
          <w:rFonts w:cs="Arial"/>
        </w:rPr>
        <w:t>).</w:t>
      </w:r>
    </w:p>
    <w:p w:rsidR="003B7E5A" w:rsidRDefault="003B7E5A" w:rsidP="008C130E">
      <w:pPr>
        <w:pStyle w:val="Figure"/>
      </w:pPr>
      <w:bookmarkStart w:id="166" w:name="_Toc390786718"/>
      <w:bookmarkStart w:id="167" w:name="_Toc412540133"/>
      <w:r>
        <w:t xml:space="preserve">Figure </w:t>
      </w:r>
      <w:r w:rsidR="008F002C">
        <w:t>6</w:t>
      </w:r>
      <w:r>
        <w:t>: Participation and iFOBT positivity by ethnicity</w:t>
      </w:r>
      <w:bookmarkEnd w:id="166"/>
      <w:bookmarkEnd w:id="167"/>
    </w:p>
    <w:p w:rsidR="003B7E5A" w:rsidRDefault="003B7E5A" w:rsidP="003B7E5A">
      <w:pPr>
        <w:rPr>
          <w:rFonts w:cs="Arial"/>
          <w:sz w:val="28"/>
          <w:szCs w:val="28"/>
        </w:rPr>
      </w:pPr>
      <w:r>
        <w:rPr>
          <w:rFonts w:cs="Arial"/>
          <w:noProof/>
          <w:sz w:val="28"/>
          <w:szCs w:val="28"/>
          <w:lang w:eastAsia="en-NZ"/>
        </w:rPr>
        <w:drawing>
          <wp:inline distT="0" distB="0" distL="0" distR="0" wp14:anchorId="41DE6E6E" wp14:editId="0D3F38D9">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7E5A" w:rsidRPr="001579D8" w:rsidRDefault="003B7E5A" w:rsidP="003B7E5A">
      <w:pPr>
        <w:rPr>
          <w:rFonts w:cs="Arial"/>
          <w:sz w:val="20"/>
          <w:szCs w:val="20"/>
        </w:rPr>
      </w:pPr>
      <w:r w:rsidRPr="001579D8">
        <w:rPr>
          <w:rFonts w:cs="Arial"/>
          <w:sz w:val="20"/>
          <w:szCs w:val="20"/>
        </w:rPr>
        <w:t xml:space="preserve">Source: BSP </w:t>
      </w:r>
      <w:r>
        <w:rPr>
          <w:rFonts w:cs="Arial"/>
          <w:sz w:val="20"/>
          <w:szCs w:val="20"/>
        </w:rPr>
        <w:t>R</w:t>
      </w:r>
      <w:r w:rsidRPr="001579D8">
        <w:rPr>
          <w:rFonts w:cs="Arial"/>
          <w:sz w:val="20"/>
          <w:szCs w:val="20"/>
        </w:rPr>
        <w:t>egister</w:t>
      </w:r>
    </w:p>
    <w:p w:rsidR="003B7E5A" w:rsidRDefault="003B7E5A" w:rsidP="003B7E5A">
      <w:pPr>
        <w:rPr>
          <w:rFonts w:cs="Arial"/>
          <w:b/>
        </w:rPr>
      </w:pPr>
    </w:p>
    <w:p w:rsidR="003B7E5A" w:rsidRDefault="003B7E5A" w:rsidP="003B7E5A">
      <w:pPr>
        <w:rPr>
          <w:rFonts w:cs="Arial"/>
          <w:b/>
        </w:rPr>
      </w:pPr>
      <w:r w:rsidRPr="00A3052F">
        <w:rPr>
          <w:rFonts w:cs="Arial"/>
          <w:b/>
        </w:rPr>
        <w:lastRenderedPageBreak/>
        <w:t xml:space="preserve">Positivity </w:t>
      </w:r>
      <w:r>
        <w:rPr>
          <w:rFonts w:cs="Arial"/>
          <w:b/>
        </w:rPr>
        <w:t>increased</w:t>
      </w:r>
      <w:r w:rsidRPr="00A3052F">
        <w:rPr>
          <w:rFonts w:cs="Arial"/>
          <w:b/>
        </w:rPr>
        <w:t xml:space="preserve"> with increasing deprivation</w:t>
      </w:r>
    </w:p>
    <w:p w:rsidR="003B7E5A" w:rsidRDefault="003B7E5A" w:rsidP="003B7E5A">
      <w:pPr>
        <w:rPr>
          <w:rFonts w:cs="Arial"/>
        </w:rPr>
      </w:pPr>
      <w:r>
        <w:rPr>
          <w:rFonts w:cs="Arial"/>
        </w:rPr>
        <w:t xml:space="preserve">Positivity among people from the most deprived quintile area (NZDep Index 9-10) was about 1.5 times more likely than people from the least deprived quintile area (NZDep Index 1-2) (Figure </w:t>
      </w:r>
      <w:r w:rsidR="008F002C">
        <w:rPr>
          <w:rFonts w:cs="Arial"/>
        </w:rPr>
        <w:t>7</w:t>
      </w:r>
      <w:r>
        <w:rPr>
          <w:rFonts w:cs="Arial"/>
        </w:rPr>
        <w:t>).</w:t>
      </w:r>
    </w:p>
    <w:p w:rsidR="003B7E5A" w:rsidRPr="008C130E" w:rsidRDefault="003B7E5A" w:rsidP="008C130E">
      <w:pPr>
        <w:pStyle w:val="Figure"/>
      </w:pPr>
      <w:bookmarkStart w:id="168" w:name="_Toc390786719"/>
      <w:bookmarkStart w:id="169" w:name="_Toc412540134"/>
      <w:r w:rsidRPr="0056371F">
        <w:t xml:space="preserve">Figure </w:t>
      </w:r>
      <w:r w:rsidR="008F002C">
        <w:t>7</w:t>
      </w:r>
      <w:r>
        <w:t xml:space="preserve">: </w:t>
      </w:r>
      <w:r w:rsidRPr="000C78CB">
        <w:t xml:space="preserve">Participation and iFOBT </w:t>
      </w:r>
      <w:r>
        <w:t>p</w:t>
      </w:r>
      <w:r w:rsidRPr="000C78CB">
        <w:t xml:space="preserve">ositivity by </w:t>
      </w:r>
      <w:r>
        <w:t>d</w:t>
      </w:r>
      <w:r w:rsidRPr="000C78CB">
        <w:t xml:space="preserve">eprivation </w:t>
      </w:r>
      <w:r>
        <w:t>q</w:t>
      </w:r>
      <w:r w:rsidRPr="000C78CB">
        <w:t>uintiles</w:t>
      </w:r>
      <w:bookmarkEnd w:id="168"/>
      <w:bookmarkEnd w:id="169"/>
    </w:p>
    <w:p w:rsidR="003B7E5A" w:rsidRDefault="003B7E5A" w:rsidP="003B7E5A">
      <w:pPr>
        <w:rPr>
          <w:rFonts w:cs="Arial"/>
          <w:sz w:val="28"/>
          <w:szCs w:val="28"/>
        </w:rPr>
      </w:pPr>
    </w:p>
    <w:p w:rsidR="003B7E5A" w:rsidRPr="00E91D27" w:rsidRDefault="003B7E5A" w:rsidP="003B7E5A">
      <w:pPr>
        <w:rPr>
          <w:rFonts w:cs="Arial"/>
          <w:sz w:val="28"/>
          <w:szCs w:val="28"/>
        </w:rPr>
      </w:pPr>
      <w:r w:rsidRPr="00E91D27">
        <w:rPr>
          <w:rFonts w:cs="Arial"/>
          <w:noProof/>
          <w:sz w:val="28"/>
          <w:szCs w:val="28"/>
          <w:lang w:eastAsia="en-NZ"/>
        </w:rPr>
        <w:drawing>
          <wp:inline distT="0" distB="0" distL="0" distR="0" wp14:anchorId="4D7489DD" wp14:editId="0AD9C37F">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7E5A" w:rsidRPr="000C78CB" w:rsidRDefault="003B7E5A" w:rsidP="003B7E5A">
      <w:pPr>
        <w:rPr>
          <w:rFonts w:cs="Arial"/>
          <w:sz w:val="20"/>
          <w:szCs w:val="20"/>
        </w:rPr>
      </w:pPr>
      <w:r w:rsidRPr="000C78CB">
        <w:rPr>
          <w:rFonts w:cs="Arial"/>
          <w:sz w:val="20"/>
          <w:szCs w:val="20"/>
        </w:rPr>
        <w:t xml:space="preserve">Source: BSP </w:t>
      </w:r>
      <w:r>
        <w:rPr>
          <w:rFonts w:cs="Arial"/>
          <w:sz w:val="20"/>
          <w:szCs w:val="20"/>
        </w:rPr>
        <w:t>R</w:t>
      </w:r>
      <w:r w:rsidRPr="000C78CB">
        <w:rPr>
          <w:rFonts w:cs="Arial"/>
          <w:sz w:val="20"/>
          <w:szCs w:val="20"/>
        </w:rPr>
        <w:t>egister</w:t>
      </w:r>
    </w:p>
    <w:p w:rsidR="003B7E5A" w:rsidRPr="00E756FE" w:rsidRDefault="003B7E5A" w:rsidP="003B7E5A">
      <w:pPr>
        <w:rPr>
          <w:rFonts w:cs="Arial"/>
          <w:i/>
        </w:rPr>
      </w:pPr>
      <w:r w:rsidRPr="00E756FE">
        <w:rPr>
          <w:rFonts w:cs="Arial"/>
          <w:b/>
          <w:i/>
        </w:rPr>
        <w:t>Discussion</w:t>
      </w:r>
      <w:r w:rsidRPr="00E756FE">
        <w:rPr>
          <w:rFonts w:cs="Arial"/>
          <w:i/>
        </w:rPr>
        <w:t xml:space="preserve"> </w:t>
      </w:r>
    </w:p>
    <w:p w:rsidR="003B7E5A" w:rsidRDefault="003B7E5A" w:rsidP="003B7E5A">
      <w:pPr>
        <w:rPr>
          <w:rFonts w:cs="Arial"/>
        </w:rPr>
      </w:pPr>
      <w:r w:rsidRPr="00744428">
        <w:rPr>
          <w:rFonts w:cs="Arial"/>
        </w:rPr>
        <w:t>Comparison of the positivity rate with other population-based screening programmes is limited by the use el</w:t>
      </w:r>
      <w:r>
        <w:rPr>
          <w:rFonts w:cs="Arial"/>
        </w:rPr>
        <w:t>sewhere of a guaiac rather than iFOBT</w:t>
      </w:r>
      <w:r w:rsidRPr="00744428">
        <w:rPr>
          <w:rFonts w:cs="Arial"/>
        </w:rPr>
        <w:t xml:space="preserve"> and varying i</w:t>
      </w:r>
      <w:r>
        <w:rPr>
          <w:rFonts w:cs="Arial"/>
        </w:rPr>
        <w:t>FOBT</w:t>
      </w:r>
      <w:r w:rsidRPr="00744428">
        <w:rPr>
          <w:rFonts w:cs="Arial"/>
        </w:rPr>
        <w:t xml:space="preserve"> cut-off levels.</w:t>
      </w:r>
      <w:r>
        <w:rPr>
          <w:rFonts w:cs="Arial"/>
        </w:rPr>
        <w:t xml:space="preserve"> The iFOBT is more sensitive for advanced adenomas and cancer than the guaiac faecal occult blood test (Lansdorp-Vogelaar and von Karsa 2010). Guittet et al (2009) found the increase in sensitivity of the iFOBT for colorectal cancer was confined to rectal cancer, which was attributed to the lower amount of bleeding of rectal cancer.</w:t>
      </w:r>
    </w:p>
    <w:p w:rsidR="003B7E5A" w:rsidRDefault="003D209D" w:rsidP="003B7E5A">
      <w:pPr>
        <w:rPr>
          <w:rFonts w:cs="Arial"/>
        </w:rPr>
      </w:pPr>
      <w:r w:rsidRPr="003F7304">
        <w:rPr>
          <w:rFonts w:cs="Arial"/>
        </w:rPr>
        <w:t>The positivity rate</w:t>
      </w:r>
      <w:r>
        <w:rPr>
          <w:rFonts w:cs="Arial"/>
        </w:rPr>
        <w:t>s</w:t>
      </w:r>
      <w:r w:rsidRPr="003F7304">
        <w:rPr>
          <w:rFonts w:cs="Arial"/>
        </w:rPr>
        <w:t xml:space="preserve"> for the iFOBT</w:t>
      </w:r>
      <w:r>
        <w:rPr>
          <w:rFonts w:cs="Arial"/>
        </w:rPr>
        <w:t>s</w:t>
      </w:r>
      <w:r w:rsidRPr="003F7304">
        <w:rPr>
          <w:rFonts w:cs="Arial"/>
        </w:rPr>
        <w:t xml:space="preserve"> used in the Australian bowel cancer screening pilot </w:t>
      </w:r>
      <w:r>
        <w:rPr>
          <w:rFonts w:cs="Arial"/>
        </w:rPr>
        <w:t xml:space="preserve">of 55-74 year olds </w:t>
      </w:r>
      <w:r w:rsidRPr="003F7304">
        <w:rPr>
          <w:rFonts w:cs="Arial"/>
        </w:rPr>
        <w:t>w</w:t>
      </w:r>
      <w:r>
        <w:rPr>
          <w:rFonts w:cs="Arial"/>
        </w:rPr>
        <w:t>ere 8.2% for Magstream and 9.9% for InSure (</w:t>
      </w:r>
      <w:r w:rsidRPr="003F7304">
        <w:rPr>
          <w:rFonts w:cs="Arial"/>
          <w:color w:val="000000"/>
          <w:lang w:eastAsia="en-NZ"/>
        </w:rPr>
        <w:t>BCSPMESC</w:t>
      </w:r>
      <w:r>
        <w:rPr>
          <w:rFonts w:cs="Arial"/>
          <w:color w:val="000000"/>
          <w:lang w:eastAsia="en-NZ"/>
        </w:rPr>
        <w:t xml:space="preserve"> 2005). </w:t>
      </w:r>
      <w:r w:rsidR="003B7E5A">
        <w:rPr>
          <w:rFonts w:cs="Arial"/>
        </w:rPr>
        <w:t xml:space="preserve">The BSP positivity rate is similar to the rate (6.6%) seen when </w:t>
      </w:r>
      <w:r w:rsidR="003B7E5A">
        <w:rPr>
          <w:rFonts w:cs="Arial"/>
          <w:color w:val="000000"/>
          <w:lang w:eastAsia="en-NZ"/>
        </w:rPr>
        <w:t>50 year olds were included in the Australian National Bowel Cancer Screening Programme (NBCSP) in 2008 (AIHW 2010).</w:t>
      </w:r>
    </w:p>
    <w:p w:rsidR="003B7E5A" w:rsidRDefault="003B7E5A" w:rsidP="003B7E5A">
      <w:pPr>
        <w:rPr>
          <w:rFonts w:cs="Arial"/>
        </w:rPr>
      </w:pPr>
      <w:r>
        <w:rPr>
          <w:rFonts w:cs="Arial"/>
        </w:rPr>
        <w:t xml:space="preserve">If the positivity rate is too low, the screening programme will fail to adequately identify adenomas and cancer, whereas if it is too high there will be pressure on colonoscopy capacity. </w:t>
      </w:r>
    </w:p>
    <w:p w:rsidR="003B7E5A" w:rsidRDefault="003B7E5A" w:rsidP="003B7E5A">
      <w:pPr>
        <w:rPr>
          <w:rFonts w:cs="Arial"/>
        </w:rPr>
      </w:pPr>
      <w:r>
        <w:rPr>
          <w:rFonts w:cs="Arial"/>
        </w:rPr>
        <w:t xml:space="preserve">The BSP positivity rate was within the range (4.4-11.1%) of positive iFOBT rates reported in the first round of population-based screening programmes (Moss et al 2010; Major et al </w:t>
      </w:r>
      <w:r>
        <w:rPr>
          <w:rFonts w:cs="Arial"/>
        </w:rPr>
        <w:lastRenderedPageBreak/>
        <w:t>2013). The positivity rate from the first screening round in the Netherlands using an iFOBT with the same cut-off level and a population of the same age range as the BSP was lower – 5.7% (Hol et al 2009).</w:t>
      </w:r>
    </w:p>
    <w:p w:rsidR="003B7E5A" w:rsidRDefault="003B7E5A" w:rsidP="003B7E5A">
      <w:pPr>
        <w:rPr>
          <w:rFonts w:cs="Arial"/>
        </w:rPr>
      </w:pPr>
      <w:r>
        <w:rPr>
          <w:rFonts w:cs="Arial"/>
        </w:rPr>
        <w:t>A higher positivity rate with increasing age, and in males compared with females, has also been reported in Australia, the UK and Canada (BCSPMESC 2005; Weller et al 2007; Major et al 2013). This reflects the natural history of the disease.</w:t>
      </w:r>
    </w:p>
    <w:p w:rsidR="003B7E5A" w:rsidRPr="00744428" w:rsidRDefault="003B7E5A" w:rsidP="003B7E5A">
      <w:pPr>
        <w:rPr>
          <w:rFonts w:cs="Arial"/>
        </w:rPr>
      </w:pPr>
      <w:r w:rsidRPr="00744428">
        <w:rPr>
          <w:rFonts w:cs="Arial"/>
        </w:rPr>
        <w:t xml:space="preserve">A higher positivity rate </w:t>
      </w:r>
      <w:r>
        <w:rPr>
          <w:rFonts w:cs="Arial"/>
        </w:rPr>
        <w:t xml:space="preserve">in </w:t>
      </w:r>
      <w:r w:rsidRPr="00B3072D">
        <w:rPr>
          <w:rFonts w:cs="Arial"/>
        </w:rPr>
        <w:t>more deprived areas</w:t>
      </w:r>
      <w:r w:rsidRPr="00744428">
        <w:rPr>
          <w:rFonts w:cs="Arial"/>
        </w:rPr>
        <w:t xml:space="preserve"> was also found in </w:t>
      </w:r>
      <w:r>
        <w:rPr>
          <w:rFonts w:cs="Arial"/>
        </w:rPr>
        <w:t>England</w:t>
      </w:r>
      <w:r w:rsidRPr="00744428">
        <w:rPr>
          <w:rFonts w:cs="Arial"/>
        </w:rPr>
        <w:t xml:space="preserve"> (Weller </w:t>
      </w:r>
      <w:r>
        <w:rPr>
          <w:rFonts w:cs="Arial"/>
        </w:rPr>
        <w:t xml:space="preserve">et al </w:t>
      </w:r>
      <w:r w:rsidRPr="00744428">
        <w:rPr>
          <w:rFonts w:cs="Arial"/>
        </w:rPr>
        <w:t>2007).</w:t>
      </w:r>
    </w:p>
    <w:p w:rsidR="003B7E5A" w:rsidRDefault="003B7E5A" w:rsidP="008C130E">
      <w:pPr>
        <w:rPr>
          <w:rFonts w:cs="Arial"/>
          <w:b/>
        </w:rPr>
      </w:pPr>
      <w:bookmarkStart w:id="170" w:name="_Toc390786678"/>
      <w:r w:rsidRPr="008C130E">
        <w:rPr>
          <w:rFonts w:cs="Arial"/>
          <w:b/>
        </w:rPr>
        <w:t>Detection rates of adenoma, advanced adenoma and colorectal cancer</w:t>
      </w:r>
      <w:bookmarkEnd w:id="170"/>
      <w:r>
        <w:rPr>
          <w:rFonts w:cs="Arial"/>
          <w:b/>
        </w:rPr>
        <w:t xml:space="preserve"> </w:t>
      </w:r>
    </w:p>
    <w:p w:rsidR="003B7E5A" w:rsidRPr="00744428" w:rsidRDefault="003B7E5A" w:rsidP="003B7E5A">
      <w:pPr>
        <w:rPr>
          <w:rFonts w:cs="Arial"/>
        </w:rPr>
      </w:pPr>
      <w:r>
        <w:rPr>
          <w:rFonts w:cs="Arial"/>
        </w:rPr>
        <w:t>Following colonoscopy, t</w:t>
      </w:r>
      <w:r w:rsidRPr="00744428">
        <w:rPr>
          <w:rFonts w:cs="Arial"/>
        </w:rPr>
        <w:t>here were 1</w:t>
      </w:r>
      <w:r>
        <w:rPr>
          <w:rFonts w:cs="Arial"/>
        </w:rPr>
        <w:t>,</w:t>
      </w:r>
      <w:r w:rsidRPr="00744428">
        <w:rPr>
          <w:rFonts w:cs="Arial"/>
        </w:rPr>
        <w:t>593 participants who had at least one adenoma and no cancer detected. There were 887 participants who had at least one advanced adenoma and no cancer detected. Ninety-five participants had cancer detected.</w:t>
      </w:r>
      <w:r>
        <w:rPr>
          <w:rFonts w:cs="Arial"/>
        </w:rPr>
        <w:t xml:space="preserve"> </w:t>
      </w:r>
      <w:r w:rsidRPr="00744428">
        <w:rPr>
          <w:rFonts w:cs="Arial"/>
        </w:rPr>
        <w:t>Some of these participants would have had more than one type of pathology; only the most serious type was recorded.</w:t>
      </w:r>
    </w:p>
    <w:p w:rsidR="003B7E5A" w:rsidRDefault="003B7E5A" w:rsidP="003B7E5A">
      <w:pPr>
        <w:rPr>
          <w:rFonts w:cs="Arial"/>
        </w:rPr>
      </w:pPr>
      <w:r w:rsidRPr="00744428">
        <w:rPr>
          <w:rFonts w:cs="Arial"/>
        </w:rPr>
        <w:t xml:space="preserve">The overall detection rate of adenoma was 3.4%, advanced adenoma </w:t>
      </w:r>
      <w:r>
        <w:rPr>
          <w:rFonts w:cs="Arial"/>
        </w:rPr>
        <w:t xml:space="preserve">was </w:t>
      </w:r>
      <w:r w:rsidRPr="00744428">
        <w:rPr>
          <w:rFonts w:cs="Arial"/>
        </w:rPr>
        <w:t xml:space="preserve">1.9%, and cancer </w:t>
      </w:r>
      <w:r>
        <w:rPr>
          <w:rFonts w:cs="Arial"/>
        </w:rPr>
        <w:t xml:space="preserve">was </w:t>
      </w:r>
      <w:r w:rsidRPr="00744428">
        <w:rPr>
          <w:rFonts w:cs="Arial"/>
        </w:rPr>
        <w:t xml:space="preserve">0.2%. </w:t>
      </w:r>
    </w:p>
    <w:p w:rsidR="003B7E5A" w:rsidRDefault="003B7E5A" w:rsidP="003B7E5A">
      <w:pPr>
        <w:rPr>
          <w:rFonts w:cs="Arial"/>
        </w:rPr>
      </w:pPr>
      <w:r>
        <w:rPr>
          <w:rFonts w:cs="Arial"/>
        </w:rPr>
        <w:t xml:space="preserve">For all results see the </w:t>
      </w:r>
      <w:r w:rsidRPr="002336ED">
        <w:rPr>
          <w:rFonts w:cs="Arial"/>
        </w:rPr>
        <w:t>Appendix</w:t>
      </w:r>
      <w:r w:rsidR="002336ED" w:rsidRPr="002336ED">
        <w:rPr>
          <w:rFonts w:cs="Arial"/>
        </w:rPr>
        <w:t xml:space="preserve"> 1</w:t>
      </w:r>
      <w:r w:rsidRPr="002336ED">
        <w:rPr>
          <w:rFonts w:cs="Arial"/>
        </w:rPr>
        <w:t>, Table 3a.</w:t>
      </w:r>
      <w:r w:rsidRPr="00744428">
        <w:rPr>
          <w:rFonts w:cs="Arial"/>
        </w:rPr>
        <w:t xml:space="preserve"> </w:t>
      </w:r>
    </w:p>
    <w:p w:rsidR="003B7E5A" w:rsidRPr="005C472B" w:rsidRDefault="003B7E5A" w:rsidP="003B7E5A">
      <w:pPr>
        <w:rPr>
          <w:rFonts w:cs="Arial"/>
          <w:b/>
        </w:rPr>
      </w:pPr>
      <w:r>
        <w:rPr>
          <w:rFonts w:cs="Arial"/>
          <w:b/>
        </w:rPr>
        <w:t>D</w:t>
      </w:r>
      <w:r w:rsidRPr="00E82C2A">
        <w:rPr>
          <w:rFonts w:cs="Arial"/>
          <w:b/>
        </w:rPr>
        <w:t>etection rates increased with increasing age</w:t>
      </w:r>
    </w:p>
    <w:p w:rsidR="003B7E5A" w:rsidRDefault="003B7E5A" w:rsidP="003B7E5A">
      <w:pPr>
        <w:rPr>
          <w:rFonts w:cs="Arial"/>
        </w:rPr>
      </w:pPr>
      <w:r>
        <w:rPr>
          <w:rFonts w:cs="Arial"/>
        </w:rPr>
        <w:t>This trend reflects the natural history of adenomas and colorectal cancer.</w:t>
      </w:r>
    </w:p>
    <w:p w:rsidR="003B7E5A" w:rsidRPr="00744428" w:rsidRDefault="003B7E5A" w:rsidP="003B7E5A">
      <w:pPr>
        <w:rPr>
          <w:rFonts w:cs="Arial"/>
        </w:rPr>
      </w:pPr>
      <w:r>
        <w:rPr>
          <w:rFonts w:cs="Arial"/>
        </w:rPr>
        <w:t xml:space="preserve">The </w:t>
      </w:r>
      <w:r w:rsidRPr="00744428">
        <w:rPr>
          <w:rFonts w:cs="Arial"/>
        </w:rPr>
        <w:t xml:space="preserve">70-74 year old participants were almost three times more likely to have an adenoma or advanced adenoma detected than 50-54 year old participants.  </w:t>
      </w:r>
    </w:p>
    <w:p w:rsidR="003B7E5A" w:rsidRDefault="003B7E5A" w:rsidP="003B7E5A">
      <w:pPr>
        <w:rPr>
          <w:rFonts w:cs="Arial"/>
        </w:rPr>
      </w:pPr>
      <w:r>
        <w:rPr>
          <w:rFonts w:cs="Arial"/>
        </w:rPr>
        <w:t xml:space="preserve">The </w:t>
      </w:r>
      <w:r w:rsidRPr="00744428">
        <w:rPr>
          <w:rFonts w:cs="Arial"/>
        </w:rPr>
        <w:t>70-74 year old participants were almost four times more likely to have cancer detected than 50-54 year old participants.</w:t>
      </w:r>
    </w:p>
    <w:p w:rsidR="003B7E5A" w:rsidRDefault="003B7E5A" w:rsidP="003B7E5A">
      <w:pPr>
        <w:rPr>
          <w:rFonts w:cs="Arial"/>
        </w:rPr>
      </w:pPr>
      <w:r>
        <w:rPr>
          <w:rFonts w:cs="Arial"/>
        </w:rPr>
        <w:t xml:space="preserve">Figure </w:t>
      </w:r>
      <w:r w:rsidR="008F002C">
        <w:rPr>
          <w:rFonts w:cs="Arial"/>
        </w:rPr>
        <w:t>8</w:t>
      </w:r>
      <w:r>
        <w:rPr>
          <w:rFonts w:cs="Arial"/>
        </w:rPr>
        <w:t xml:space="preserve"> shows increasing participation, iFOBT positivity, and combined advanced adenoma</w:t>
      </w:r>
      <w:r w:rsidRPr="00697D47">
        <w:rPr>
          <w:rStyle w:val="FootnoteReference"/>
        </w:rPr>
        <w:footnoteReference w:id="36"/>
      </w:r>
      <w:r>
        <w:rPr>
          <w:rFonts w:cs="Arial"/>
        </w:rPr>
        <w:t xml:space="preserve"> and colorectal cancer with age. </w:t>
      </w:r>
    </w:p>
    <w:p w:rsidR="003B7E5A" w:rsidRPr="00E82C2A" w:rsidRDefault="003B7E5A" w:rsidP="003B7E5A">
      <w:pPr>
        <w:rPr>
          <w:rFonts w:cs="Arial"/>
          <w:b/>
        </w:rPr>
      </w:pPr>
      <w:r w:rsidRPr="00E82C2A">
        <w:rPr>
          <w:rFonts w:cs="Arial"/>
          <w:b/>
        </w:rPr>
        <w:t>Detection rates differed by sex</w:t>
      </w:r>
      <w:r>
        <w:rPr>
          <w:rFonts w:cs="Arial"/>
          <w:b/>
        </w:rPr>
        <w:t xml:space="preserve">, and </w:t>
      </w:r>
      <w:r w:rsidRPr="00E82C2A">
        <w:rPr>
          <w:rFonts w:cs="Arial"/>
          <w:b/>
        </w:rPr>
        <w:t xml:space="preserve">Māori and Asian ethnicity </w:t>
      </w:r>
    </w:p>
    <w:p w:rsidR="003B7E5A" w:rsidRDefault="003B7E5A" w:rsidP="003B7E5A">
      <w:pPr>
        <w:rPr>
          <w:rFonts w:cs="Arial"/>
        </w:rPr>
      </w:pPr>
      <w:r w:rsidRPr="00744428">
        <w:rPr>
          <w:rFonts w:cs="Arial"/>
        </w:rPr>
        <w:t>Males were about twice as likely to have an adenoma, advanced adenoma, or cancer detected than females</w:t>
      </w:r>
      <w:r>
        <w:rPr>
          <w:rFonts w:cs="Arial"/>
        </w:rPr>
        <w:t xml:space="preserve"> (Figure </w:t>
      </w:r>
      <w:r w:rsidR="008F002C">
        <w:rPr>
          <w:rFonts w:cs="Arial"/>
        </w:rPr>
        <w:t>9</w:t>
      </w:r>
      <w:r>
        <w:rPr>
          <w:rFonts w:cs="Arial"/>
        </w:rPr>
        <w:t>)</w:t>
      </w:r>
      <w:r w:rsidRPr="00744428">
        <w:rPr>
          <w:rFonts w:cs="Arial"/>
        </w:rPr>
        <w:t xml:space="preserve">. </w:t>
      </w:r>
      <w:r>
        <w:rPr>
          <w:rFonts w:cs="Arial"/>
        </w:rPr>
        <w:t xml:space="preserve">The difference between males and females existed at every age group for adenoma and advanced adenoma, and in the 65-69 and 70-74 year age groups for cancer. </w:t>
      </w:r>
    </w:p>
    <w:p w:rsidR="003B7E5A" w:rsidRDefault="003B7E5A" w:rsidP="003B7E5A">
      <w:pPr>
        <w:rPr>
          <w:rFonts w:cs="Arial"/>
        </w:rPr>
      </w:pPr>
      <w:r w:rsidRPr="00744428">
        <w:rPr>
          <w:rFonts w:cs="Arial"/>
        </w:rPr>
        <w:t xml:space="preserve">The difference between males and females for adenoma and advanced adenoma decreased with increasing age.  </w:t>
      </w:r>
    </w:p>
    <w:p w:rsidR="003B7E5A" w:rsidRDefault="003B7E5A" w:rsidP="008C130E">
      <w:pPr>
        <w:pStyle w:val="Figure"/>
      </w:pPr>
      <w:bookmarkStart w:id="171" w:name="_Toc390786720"/>
      <w:bookmarkStart w:id="172" w:name="_Toc412540135"/>
      <w:r>
        <w:lastRenderedPageBreak/>
        <w:t xml:space="preserve">Figure </w:t>
      </w:r>
      <w:r w:rsidR="008F002C">
        <w:t>8</w:t>
      </w:r>
      <w:r>
        <w:t>: Participation, iFOBT positivity, and combined advanced adenoma and colorectal cancer by age</w:t>
      </w:r>
      <w:bookmarkEnd w:id="171"/>
      <w:bookmarkEnd w:id="172"/>
    </w:p>
    <w:p w:rsidR="003B7E5A" w:rsidRDefault="003B7E5A" w:rsidP="003B7E5A">
      <w:pPr>
        <w:rPr>
          <w:rFonts w:cs="Arial"/>
          <w:sz w:val="28"/>
          <w:szCs w:val="28"/>
        </w:rPr>
      </w:pPr>
      <w:r>
        <w:rPr>
          <w:rFonts w:cs="Arial"/>
          <w:noProof/>
          <w:sz w:val="28"/>
          <w:szCs w:val="28"/>
          <w:lang w:eastAsia="en-NZ"/>
        </w:rPr>
        <w:drawing>
          <wp:inline distT="0" distB="0" distL="0" distR="0" wp14:anchorId="5F2D9B4D" wp14:editId="73ABD3B4">
            <wp:extent cx="5495925" cy="32099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7E5A" w:rsidRDefault="003B7E5A" w:rsidP="003B7E5A">
      <w:pPr>
        <w:rPr>
          <w:rFonts w:cs="Arial"/>
          <w:sz w:val="20"/>
          <w:szCs w:val="20"/>
        </w:rPr>
      </w:pPr>
      <w:r w:rsidRPr="000C78CB">
        <w:rPr>
          <w:rFonts w:cs="Arial"/>
          <w:sz w:val="20"/>
          <w:szCs w:val="20"/>
        </w:rPr>
        <w:t xml:space="preserve">Source: BSP </w:t>
      </w:r>
      <w:r>
        <w:rPr>
          <w:rFonts w:cs="Arial"/>
          <w:sz w:val="20"/>
          <w:szCs w:val="20"/>
        </w:rPr>
        <w:t>R</w:t>
      </w:r>
      <w:r w:rsidRPr="000C78CB">
        <w:rPr>
          <w:rFonts w:cs="Arial"/>
          <w:sz w:val="20"/>
          <w:szCs w:val="20"/>
        </w:rPr>
        <w:t>egister</w:t>
      </w:r>
    </w:p>
    <w:p w:rsidR="003B7E5A" w:rsidRPr="008C130E" w:rsidRDefault="003B7E5A" w:rsidP="008C130E">
      <w:pPr>
        <w:pStyle w:val="Figure"/>
      </w:pPr>
      <w:bookmarkStart w:id="173" w:name="_Toc390786721"/>
      <w:bookmarkStart w:id="174" w:name="_Toc412540136"/>
      <w:r w:rsidRPr="008C130E">
        <w:t xml:space="preserve">Figure </w:t>
      </w:r>
      <w:r w:rsidR="008F002C">
        <w:t>9</w:t>
      </w:r>
      <w:r w:rsidRPr="008C130E">
        <w:t>: Participation, iFOBT positivity, and neoplasia</w:t>
      </w:r>
      <w:r w:rsidRPr="00697D47">
        <w:rPr>
          <w:rStyle w:val="FootnoteReference"/>
        </w:rPr>
        <w:footnoteReference w:id="37"/>
      </w:r>
      <w:r w:rsidRPr="008C130E">
        <w:t xml:space="preserve"> by sex</w:t>
      </w:r>
      <w:bookmarkEnd w:id="173"/>
      <w:bookmarkEnd w:id="174"/>
      <w:r w:rsidRPr="008C130E">
        <w:t xml:space="preserve"> </w:t>
      </w:r>
    </w:p>
    <w:p w:rsidR="003B7E5A" w:rsidRPr="008C130E" w:rsidRDefault="003B7E5A" w:rsidP="008C130E">
      <w:r w:rsidRPr="008C130E">
        <w:rPr>
          <w:noProof/>
          <w:lang w:eastAsia="en-NZ"/>
        </w:rPr>
        <w:drawing>
          <wp:inline distT="0" distB="0" distL="0" distR="0" wp14:anchorId="21E58E76" wp14:editId="7E971842">
            <wp:extent cx="5486400" cy="3200400"/>
            <wp:effectExtent l="0" t="0" r="1905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7E5A" w:rsidRDefault="003B7E5A" w:rsidP="003B7E5A">
      <w:pPr>
        <w:rPr>
          <w:rFonts w:cs="Arial"/>
          <w:sz w:val="20"/>
          <w:szCs w:val="20"/>
        </w:rPr>
      </w:pPr>
      <w:r w:rsidRPr="004921E0">
        <w:rPr>
          <w:rFonts w:cs="Arial"/>
          <w:sz w:val="20"/>
          <w:szCs w:val="20"/>
        </w:rPr>
        <w:t xml:space="preserve">Source: BSP </w:t>
      </w:r>
      <w:r>
        <w:rPr>
          <w:rFonts w:cs="Arial"/>
          <w:sz w:val="20"/>
          <w:szCs w:val="20"/>
        </w:rPr>
        <w:t>R</w:t>
      </w:r>
      <w:r w:rsidRPr="004921E0">
        <w:rPr>
          <w:rFonts w:cs="Arial"/>
          <w:sz w:val="20"/>
          <w:szCs w:val="20"/>
        </w:rPr>
        <w:t>egister</w:t>
      </w:r>
    </w:p>
    <w:p w:rsidR="003B7E5A" w:rsidRDefault="003B7E5A" w:rsidP="003B7E5A">
      <w:pPr>
        <w:rPr>
          <w:rFonts w:cs="Arial"/>
        </w:rPr>
      </w:pPr>
      <w:r w:rsidRPr="00744428">
        <w:rPr>
          <w:rFonts w:cs="Arial"/>
        </w:rPr>
        <w:lastRenderedPageBreak/>
        <w:t>Māori</w:t>
      </w:r>
      <w:r>
        <w:rPr>
          <w:rFonts w:cs="Arial"/>
        </w:rPr>
        <w:t xml:space="preserve"> aged 60-69 years were 1.5 times more likely to have an adenoma detected than Europeans of the same age.</w:t>
      </w:r>
    </w:p>
    <w:p w:rsidR="003B7E5A" w:rsidRPr="00744428" w:rsidRDefault="003B7E5A" w:rsidP="003B7E5A">
      <w:pPr>
        <w:rPr>
          <w:rFonts w:cs="Arial"/>
        </w:rPr>
      </w:pPr>
      <w:r w:rsidRPr="00744428">
        <w:rPr>
          <w:rFonts w:cs="Arial"/>
        </w:rPr>
        <w:t xml:space="preserve">Māori </w:t>
      </w:r>
      <w:r>
        <w:rPr>
          <w:rFonts w:cs="Arial"/>
        </w:rPr>
        <w:t>we</w:t>
      </w:r>
      <w:r w:rsidRPr="00744428">
        <w:rPr>
          <w:rFonts w:cs="Arial"/>
        </w:rPr>
        <w:t xml:space="preserve">re </w:t>
      </w:r>
      <w:r>
        <w:rPr>
          <w:rFonts w:cs="Arial"/>
        </w:rPr>
        <w:t>almost 1.5 times</w:t>
      </w:r>
      <w:r w:rsidRPr="00744428">
        <w:rPr>
          <w:rFonts w:cs="Arial"/>
        </w:rPr>
        <w:t xml:space="preserve"> more likely to have an advanced adenoma detected than Europeans.</w:t>
      </w:r>
    </w:p>
    <w:p w:rsidR="003B7E5A" w:rsidRDefault="003B7E5A" w:rsidP="003B7E5A">
      <w:pPr>
        <w:rPr>
          <w:rFonts w:cs="Arial"/>
        </w:rPr>
      </w:pPr>
      <w:r w:rsidRPr="00744428">
        <w:rPr>
          <w:rFonts w:cs="Arial"/>
        </w:rPr>
        <w:t xml:space="preserve">Asians </w:t>
      </w:r>
      <w:r>
        <w:rPr>
          <w:rFonts w:cs="Arial"/>
        </w:rPr>
        <w:t>were</w:t>
      </w:r>
      <w:r w:rsidRPr="00744428">
        <w:rPr>
          <w:rFonts w:cs="Arial"/>
        </w:rPr>
        <w:t xml:space="preserve"> </w:t>
      </w:r>
      <w:r>
        <w:rPr>
          <w:rFonts w:cs="Arial"/>
        </w:rPr>
        <w:t xml:space="preserve">over </w:t>
      </w:r>
      <w:r w:rsidRPr="00744428">
        <w:rPr>
          <w:rFonts w:cs="Arial"/>
        </w:rPr>
        <w:t>1.5 times less likely to have an advanced adenoma detected than Europeans.</w:t>
      </w:r>
    </w:p>
    <w:p w:rsidR="003B7E5A" w:rsidRPr="008C130E" w:rsidRDefault="008F002C" w:rsidP="008C130E">
      <w:pPr>
        <w:pStyle w:val="Figure"/>
      </w:pPr>
      <w:bookmarkStart w:id="175" w:name="_Toc390786722"/>
      <w:bookmarkStart w:id="176" w:name="_Toc412540137"/>
      <w:r>
        <w:t>Figure 10</w:t>
      </w:r>
      <w:r w:rsidR="003B7E5A" w:rsidRPr="008C130E">
        <w:t>: Participation and neoplasia by ethnicity</w:t>
      </w:r>
      <w:bookmarkEnd w:id="175"/>
      <w:bookmarkEnd w:id="176"/>
      <w:r w:rsidR="003B7E5A" w:rsidRPr="008C130E">
        <w:t xml:space="preserve"> </w:t>
      </w:r>
    </w:p>
    <w:p w:rsidR="003B7E5A" w:rsidRPr="00E91D27" w:rsidRDefault="003B7E5A" w:rsidP="003B7E5A">
      <w:pPr>
        <w:rPr>
          <w:rFonts w:cs="Arial"/>
          <w:sz w:val="28"/>
          <w:szCs w:val="28"/>
        </w:rPr>
      </w:pPr>
      <w:r w:rsidRPr="00E91D27">
        <w:rPr>
          <w:rFonts w:cs="Arial"/>
          <w:noProof/>
          <w:sz w:val="28"/>
          <w:szCs w:val="28"/>
          <w:lang w:eastAsia="en-NZ"/>
        </w:rPr>
        <w:drawing>
          <wp:inline distT="0" distB="0" distL="0" distR="0" wp14:anchorId="058AA28D" wp14:editId="328AB764">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7E5A" w:rsidRDefault="003B7E5A" w:rsidP="003B7E5A">
      <w:pPr>
        <w:rPr>
          <w:rFonts w:cs="Arial"/>
          <w:sz w:val="20"/>
          <w:szCs w:val="20"/>
        </w:rPr>
      </w:pPr>
      <w:r w:rsidRPr="004921E0">
        <w:rPr>
          <w:rFonts w:cs="Arial"/>
          <w:sz w:val="20"/>
          <w:szCs w:val="20"/>
        </w:rPr>
        <w:t xml:space="preserve">Source: BSP </w:t>
      </w:r>
      <w:r>
        <w:rPr>
          <w:rFonts w:cs="Arial"/>
          <w:sz w:val="20"/>
          <w:szCs w:val="20"/>
        </w:rPr>
        <w:t>R</w:t>
      </w:r>
      <w:r w:rsidRPr="004921E0">
        <w:rPr>
          <w:rFonts w:cs="Arial"/>
          <w:sz w:val="20"/>
          <w:szCs w:val="20"/>
        </w:rPr>
        <w:t>egister</w:t>
      </w:r>
    </w:p>
    <w:p w:rsidR="008C130E" w:rsidRDefault="008C130E" w:rsidP="003B7E5A">
      <w:pPr>
        <w:rPr>
          <w:rFonts w:cs="Arial"/>
        </w:rPr>
      </w:pPr>
    </w:p>
    <w:p w:rsidR="003B7E5A" w:rsidRDefault="003B7E5A" w:rsidP="003B7E5A">
      <w:pPr>
        <w:rPr>
          <w:rFonts w:cs="Arial"/>
          <w:i/>
        </w:rPr>
      </w:pPr>
      <w:r w:rsidRPr="00987CB6">
        <w:rPr>
          <w:rFonts w:cs="Arial"/>
        </w:rPr>
        <w:t xml:space="preserve">Figure </w:t>
      </w:r>
      <w:r w:rsidR="008F002C">
        <w:rPr>
          <w:rFonts w:cs="Arial"/>
        </w:rPr>
        <w:t>10</w:t>
      </w:r>
      <w:r>
        <w:rPr>
          <w:rFonts w:cs="Arial"/>
        </w:rPr>
        <w:t xml:space="preserve"> shows </w:t>
      </w:r>
      <w:r w:rsidRPr="00987CB6">
        <w:rPr>
          <w:rFonts w:cs="Arial"/>
        </w:rPr>
        <w:t xml:space="preserve">Pacific people were less likely </w:t>
      </w:r>
      <w:r>
        <w:rPr>
          <w:rFonts w:cs="Arial"/>
        </w:rPr>
        <w:t xml:space="preserve">than Europeans </w:t>
      </w:r>
      <w:r w:rsidRPr="00987CB6">
        <w:rPr>
          <w:rFonts w:cs="Arial"/>
        </w:rPr>
        <w:t>to have neoplasia detected.</w:t>
      </w:r>
      <w:r>
        <w:rPr>
          <w:rFonts w:cs="Arial"/>
        </w:rPr>
        <w:t xml:space="preserve"> There was a suggestion that </w:t>
      </w:r>
      <w:r w:rsidRPr="00987CB6">
        <w:rPr>
          <w:rFonts w:cs="Arial"/>
        </w:rPr>
        <w:t>Asians were less likely and Māori were more likely than Europeans to have neoplasia detected</w:t>
      </w:r>
      <w:r>
        <w:rPr>
          <w:rFonts w:cs="Arial"/>
        </w:rPr>
        <w:t>, but this was not statistically significant.</w:t>
      </w:r>
    </w:p>
    <w:p w:rsidR="003B7E5A" w:rsidRDefault="003B7E5A" w:rsidP="003B7E5A">
      <w:pPr>
        <w:rPr>
          <w:rFonts w:cs="Arial"/>
        </w:rPr>
      </w:pPr>
      <w:r>
        <w:rPr>
          <w:rFonts w:cs="Arial"/>
        </w:rPr>
        <w:t>Figure</w:t>
      </w:r>
      <w:r w:rsidR="008F002C">
        <w:rPr>
          <w:rFonts w:cs="Arial"/>
        </w:rPr>
        <w:t xml:space="preserve"> 11</w:t>
      </w:r>
      <w:r>
        <w:rPr>
          <w:rFonts w:cs="Arial"/>
        </w:rPr>
        <w:t xml:space="preserve"> shows Asians were less likely than Europeans to have either advanced adenoma or colorectal cancer detected. </w:t>
      </w:r>
    </w:p>
    <w:p w:rsidR="008C130E" w:rsidRDefault="008C130E">
      <w:pPr>
        <w:spacing w:before="0"/>
        <w:ind w:left="0"/>
        <w:rPr>
          <w:rFonts w:cs="Arial"/>
        </w:rPr>
      </w:pPr>
      <w:bookmarkStart w:id="177" w:name="_Toc390786723"/>
      <w:r>
        <w:rPr>
          <w:rFonts w:cs="Arial"/>
        </w:rPr>
        <w:br w:type="page"/>
      </w:r>
    </w:p>
    <w:p w:rsidR="003B7E5A" w:rsidRPr="008C130E" w:rsidRDefault="003B7E5A" w:rsidP="008C130E">
      <w:pPr>
        <w:pStyle w:val="Figure"/>
      </w:pPr>
      <w:bookmarkStart w:id="178" w:name="_Toc412540138"/>
      <w:r w:rsidRPr="008C130E">
        <w:lastRenderedPageBreak/>
        <w:t xml:space="preserve">Figure </w:t>
      </w:r>
      <w:r w:rsidR="008F002C">
        <w:t>11</w:t>
      </w:r>
      <w:r w:rsidRPr="008C130E">
        <w:t>: Combined advanced adenoma and colorectal cancer by ethnicity</w:t>
      </w:r>
      <w:bookmarkEnd w:id="177"/>
      <w:bookmarkEnd w:id="178"/>
    </w:p>
    <w:p w:rsidR="003B7E5A" w:rsidRPr="008C130E" w:rsidRDefault="003B7E5A" w:rsidP="008C130E">
      <w:r w:rsidRPr="008C130E">
        <w:rPr>
          <w:noProof/>
          <w:lang w:eastAsia="en-NZ"/>
        </w:rPr>
        <w:drawing>
          <wp:inline distT="0" distB="0" distL="0" distR="0" wp14:anchorId="0EAA4BB3" wp14:editId="3626D9BC">
            <wp:extent cx="5486400" cy="32004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B7E5A" w:rsidRPr="000C78CB" w:rsidRDefault="003B7E5A" w:rsidP="003B7E5A">
      <w:pPr>
        <w:rPr>
          <w:rFonts w:cs="Arial"/>
          <w:sz w:val="20"/>
          <w:szCs w:val="20"/>
        </w:rPr>
      </w:pPr>
      <w:r>
        <w:rPr>
          <w:rFonts w:cs="Arial"/>
          <w:sz w:val="20"/>
          <w:szCs w:val="20"/>
        </w:rPr>
        <w:t>Source: BSP R</w:t>
      </w:r>
      <w:r w:rsidRPr="000C78CB">
        <w:rPr>
          <w:rFonts w:cs="Arial"/>
          <w:sz w:val="20"/>
          <w:szCs w:val="20"/>
        </w:rPr>
        <w:t>egister</w:t>
      </w:r>
    </w:p>
    <w:p w:rsidR="003B7E5A" w:rsidRDefault="003B7E5A" w:rsidP="003B7E5A">
      <w:pPr>
        <w:rPr>
          <w:rFonts w:cs="Arial"/>
        </w:rPr>
      </w:pPr>
      <w:r w:rsidRPr="00E82C2A">
        <w:rPr>
          <w:rFonts w:cs="Arial"/>
          <w:b/>
        </w:rPr>
        <w:t xml:space="preserve">Detection rates </w:t>
      </w:r>
      <w:r>
        <w:rPr>
          <w:rFonts w:cs="Arial"/>
          <w:b/>
        </w:rPr>
        <w:t>increased with increasing</w:t>
      </w:r>
      <w:r w:rsidRPr="00E82C2A">
        <w:rPr>
          <w:rFonts w:cs="Arial"/>
          <w:b/>
        </w:rPr>
        <w:t xml:space="preserve"> deprivation</w:t>
      </w:r>
    </w:p>
    <w:p w:rsidR="003B7E5A" w:rsidRPr="00744428" w:rsidRDefault="003B7E5A" w:rsidP="003B7E5A">
      <w:pPr>
        <w:rPr>
          <w:rFonts w:cs="Arial"/>
        </w:rPr>
      </w:pPr>
      <w:r w:rsidRPr="00744428">
        <w:rPr>
          <w:rFonts w:cs="Arial"/>
        </w:rPr>
        <w:t xml:space="preserve">Participants from the </w:t>
      </w:r>
      <w:r>
        <w:rPr>
          <w:rFonts w:cs="Arial"/>
        </w:rPr>
        <w:t xml:space="preserve">two </w:t>
      </w:r>
      <w:r w:rsidRPr="00744428">
        <w:rPr>
          <w:rFonts w:cs="Arial"/>
        </w:rPr>
        <w:t xml:space="preserve">most deprived </w:t>
      </w:r>
      <w:r>
        <w:rPr>
          <w:rFonts w:cs="Arial"/>
        </w:rPr>
        <w:t xml:space="preserve">quintile </w:t>
      </w:r>
      <w:r w:rsidRPr="00744428">
        <w:rPr>
          <w:rFonts w:cs="Arial"/>
        </w:rPr>
        <w:t>areas</w:t>
      </w:r>
      <w:r>
        <w:rPr>
          <w:rFonts w:cs="Arial"/>
        </w:rPr>
        <w:t xml:space="preserve"> (NZDep 7-8 and 9-10)</w:t>
      </w:r>
      <w:r w:rsidRPr="00744428">
        <w:rPr>
          <w:rFonts w:cs="Arial"/>
        </w:rPr>
        <w:t xml:space="preserve"> </w:t>
      </w:r>
      <w:r>
        <w:rPr>
          <w:rFonts w:cs="Arial"/>
        </w:rPr>
        <w:t>were</w:t>
      </w:r>
      <w:r w:rsidRPr="00744428">
        <w:rPr>
          <w:rFonts w:cs="Arial"/>
        </w:rPr>
        <w:t xml:space="preserve"> </w:t>
      </w:r>
      <w:r>
        <w:rPr>
          <w:rFonts w:cs="Arial"/>
        </w:rPr>
        <w:t>about 1.5 times more</w:t>
      </w:r>
      <w:r w:rsidRPr="00744428">
        <w:rPr>
          <w:rFonts w:cs="Arial"/>
        </w:rPr>
        <w:t xml:space="preserve"> likely to have an adenoma </w:t>
      </w:r>
      <w:r>
        <w:rPr>
          <w:rFonts w:cs="Arial"/>
        </w:rPr>
        <w:t xml:space="preserve">or advanced adenoma </w:t>
      </w:r>
      <w:r w:rsidRPr="00744428">
        <w:rPr>
          <w:rFonts w:cs="Arial"/>
        </w:rPr>
        <w:t xml:space="preserve">detected than participants from the least deprived </w:t>
      </w:r>
      <w:r>
        <w:rPr>
          <w:rFonts w:cs="Arial"/>
        </w:rPr>
        <w:t xml:space="preserve">quintile </w:t>
      </w:r>
      <w:r w:rsidRPr="00744428">
        <w:rPr>
          <w:rFonts w:cs="Arial"/>
        </w:rPr>
        <w:t>area</w:t>
      </w:r>
      <w:r>
        <w:rPr>
          <w:rFonts w:cs="Arial"/>
        </w:rPr>
        <w:t xml:space="preserve"> (NZDep Index 1-2)</w:t>
      </w:r>
      <w:r w:rsidRPr="00744428">
        <w:rPr>
          <w:rFonts w:cs="Arial"/>
        </w:rPr>
        <w:t>.</w:t>
      </w:r>
    </w:p>
    <w:p w:rsidR="003B7E5A" w:rsidRPr="00744428" w:rsidRDefault="003B7E5A" w:rsidP="003B7E5A">
      <w:pPr>
        <w:rPr>
          <w:rFonts w:cs="Arial"/>
        </w:rPr>
      </w:pPr>
      <w:r w:rsidRPr="00744428">
        <w:rPr>
          <w:rFonts w:cs="Arial"/>
        </w:rPr>
        <w:t>The results, adjusted for age, sex and ethnicity</w:t>
      </w:r>
      <w:r>
        <w:rPr>
          <w:rFonts w:cs="Arial"/>
        </w:rPr>
        <w:t>,</w:t>
      </w:r>
      <w:r w:rsidRPr="00744428">
        <w:rPr>
          <w:rFonts w:cs="Arial"/>
        </w:rPr>
        <w:t xml:space="preserve"> </w:t>
      </w:r>
      <w:r>
        <w:rPr>
          <w:rFonts w:cs="Arial"/>
        </w:rPr>
        <w:t xml:space="preserve">also </w:t>
      </w:r>
      <w:r w:rsidRPr="00744428">
        <w:rPr>
          <w:rFonts w:cs="Arial"/>
        </w:rPr>
        <w:t>suggest cancer w</w:t>
      </w:r>
      <w:r>
        <w:rPr>
          <w:rFonts w:cs="Arial"/>
        </w:rPr>
        <w:t>as</w:t>
      </w:r>
      <w:r w:rsidRPr="00744428">
        <w:rPr>
          <w:rFonts w:cs="Arial"/>
        </w:rPr>
        <w:t xml:space="preserve"> more likely to be detected among participants living in the most deprived </w:t>
      </w:r>
      <w:r>
        <w:rPr>
          <w:rFonts w:cs="Arial"/>
        </w:rPr>
        <w:t xml:space="preserve">quintile </w:t>
      </w:r>
      <w:r w:rsidRPr="00744428">
        <w:rPr>
          <w:rFonts w:cs="Arial"/>
        </w:rPr>
        <w:t xml:space="preserve">area compared with the least deprived </w:t>
      </w:r>
      <w:r>
        <w:rPr>
          <w:rFonts w:cs="Arial"/>
        </w:rPr>
        <w:t xml:space="preserve">quintile </w:t>
      </w:r>
      <w:r w:rsidRPr="00744428">
        <w:rPr>
          <w:rFonts w:cs="Arial"/>
        </w:rPr>
        <w:t xml:space="preserve">area. However, the results </w:t>
      </w:r>
      <w:r>
        <w:rPr>
          <w:rFonts w:cs="Arial"/>
        </w:rPr>
        <w:t>we</w:t>
      </w:r>
      <w:r w:rsidRPr="00744428">
        <w:rPr>
          <w:rFonts w:cs="Arial"/>
        </w:rPr>
        <w:t>re not statistically significant.</w:t>
      </w:r>
      <w:r>
        <w:rPr>
          <w:rFonts w:cs="Arial"/>
        </w:rPr>
        <w:t xml:space="preserve"> When cancer and advanced adenoma were combined, there was a trend of more disease with increasing deprivation (Figure 1</w:t>
      </w:r>
      <w:r w:rsidR="008F002C">
        <w:rPr>
          <w:rFonts w:cs="Arial"/>
        </w:rPr>
        <w:t>2</w:t>
      </w:r>
      <w:r>
        <w:rPr>
          <w:rFonts w:cs="Arial"/>
        </w:rPr>
        <w:t xml:space="preserve">). </w:t>
      </w:r>
      <w:r w:rsidRPr="008560B9">
        <w:rPr>
          <w:rFonts w:cs="Arial"/>
        </w:rPr>
        <w:t xml:space="preserve">The trend was </w:t>
      </w:r>
      <w:r>
        <w:rPr>
          <w:rFonts w:cs="Arial"/>
        </w:rPr>
        <w:t>similar</w:t>
      </w:r>
      <w:r w:rsidRPr="008560B9">
        <w:rPr>
          <w:rFonts w:cs="Arial"/>
        </w:rPr>
        <w:t xml:space="preserve"> for neoplasia (Figure</w:t>
      </w:r>
      <w:r>
        <w:rPr>
          <w:rFonts w:cs="Arial"/>
        </w:rPr>
        <w:t xml:space="preserve"> 1</w:t>
      </w:r>
      <w:r w:rsidR="008F002C">
        <w:rPr>
          <w:rFonts w:cs="Arial"/>
        </w:rPr>
        <w:t>3</w:t>
      </w:r>
      <w:r>
        <w:rPr>
          <w:rFonts w:cs="Arial"/>
        </w:rPr>
        <w:t>).</w:t>
      </w:r>
      <w:r w:rsidRPr="00375EDF">
        <w:rPr>
          <w:rFonts w:cs="Arial"/>
          <w:highlight w:val="yellow"/>
        </w:rPr>
        <w:t xml:space="preserve"> </w:t>
      </w:r>
    </w:p>
    <w:p w:rsidR="003B7E5A" w:rsidRPr="00744428" w:rsidRDefault="003B7E5A" w:rsidP="003B7E5A">
      <w:pPr>
        <w:rPr>
          <w:rFonts w:cs="Arial"/>
        </w:rPr>
      </w:pPr>
      <w:r w:rsidRPr="00744428">
        <w:rPr>
          <w:rFonts w:cs="Arial"/>
        </w:rPr>
        <w:t>The detection rates may be an under</w:t>
      </w:r>
      <w:r>
        <w:rPr>
          <w:rFonts w:cs="Arial"/>
        </w:rPr>
        <w:t>-</w:t>
      </w:r>
      <w:r w:rsidRPr="00744428">
        <w:rPr>
          <w:rFonts w:cs="Arial"/>
        </w:rPr>
        <w:t xml:space="preserve">estimate since the dataset only allows four months for completion of the pathway. However, on average, completion occurred within three months. The UK </w:t>
      </w:r>
      <w:r w:rsidR="009E39AE">
        <w:rPr>
          <w:rFonts w:cs="Arial"/>
        </w:rPr>
        <w:t>BSP</w:t>
      </w:r>
      <w:r w:rsidRPr="00744428">
        <w:rPr>
          <w:rFonts w:cs="Arial"/>
        </w:rPr>
        <w:t xml:space="preserve"> evaluation allowed a three month lag period.</w:t>
      </w:r>
    </w:p>
    <w:p w:rsidR="003B7E5A" w:rsidRPr="00744428" w:rsidRDefault="003B7E5A" w:rsidP="003B7E5A">
      <w:pPr>
        <w:rPr>
          <w:rFonts w:cs="Arial"/>
        </w:rPr>
      </w:pPr>
      <w:r w:rsidRPr="00744428">
        <w:rPr>
          <w:rFonts w:cs="Arial"/>
        </w:rPr>
        <w:t xml:space="preserve">Absence of private colonoscopy data </w:t>
      </w:r>
      <w:r>
        <w:rPr>
          <w:rFonts w:cs="Arial"/>
        </w:rPr>
        <w:t xml:space="preserve">also </w:t>
      </w:r>
      <w:r w:rsidRPr="00744428">
        <w:rPr>
          <w:rFonts w:cs="Arial"/>
        </w:rPr>
        <w:t>means that detection rates for the various outcomes are under</w:t>
      </w:r>
      <w:r>
        <w:rPr>
          <w:rFonts w:cs="Arial"/>
        </w:rPr>
        <w:t>-</w:t>
      </w:r>
      <w:r w:rsidRPr="00744428">
        <w:rPr>
          <w:rFonts w:cs="Arial"/>
        </w:rPr>
        <w:t>estimates.</w:t>
      </w:r>
    </w:p>
    <w:p w:rsidR="008C130E" w:rsidRDefault="008C130E">
      <w:pPr>
        <w:spacing w:before="0"/>
        <w:ind w:left="0"/>
        <w:rPr>
          <w:b/>
        </w:rPr>
      </w:pPr>
      <w:bookmarkStart w:id="179" w:name="_Toc390786724"/>
      <w:r>
        <w:br w:type="page"/>
      </w:r>
    </w:p>
    <w:p w:rsidR="003B7E5A" w:rsidRDefault="008F002C" w:rsidP="008C130E">
      <w:pPr>
        <w:pStyle w:val="Figure"/>
      </w:pPr>
      <w:bookmarkStart w:id="180" w:name="_Toc412540139"/>
      <w:r>
        <w:lastRenderedPageBreak/>
        <w:t>Figure 12</w:t>
      </w:r>
      <w:r w:rsidR="003B7E5A">
        <w:t>: Combined advanced adenoma and colorectal cancer by d</w:t>
      </w:r>
      <w:r w:rsidR="003B7E5A" w:rsidRPr="0056371F">
        <w:t xml:space="preserve">eprivation </w:t>
      </w:r>
      <w:r w:rsidR="003B7E5A">
        <w:t>q</w:t>
      </w:r>
      <w:r w:rsidR="003B7E5A" w:rsidRPr="0056371F">
        <w:t>uintiles</w:t>
      </w:r>
      <w:bookmarkEnd w:id="179"/>
      <w:bookmarkEnd w:id="180"/>
    </w:p>
    <w:p w:rsidR="003B7E5A" w:rsidRDefault="003B7E5A" w:rsidP="003B7E5A">
      <w:pPr>
        <w:rPr>
          <w:rFonts w:cs="Arial"/>
        </w:rPr>
      </w:pPr>
      <w:r w:rsidRPr="00E91D27">
        <w:rPr>
          <w:rFonts w:cs="Arial"/>
          <w:noProof/>
          <w:sz w:val="28"/>
          <w:szCs w:val="28"/>
          <w:lang w:eastAsia="en-NZ"/>
        </w:rPr>
        <w:drawing>
          <wp:inline distT="0" distB="0" distL="0" distR="0" wp14:anchorId="0B7BD49F" wp14:editId="28988AA4">
            <wp:extent cx="5486400" cy="3200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7E5A" w:rsidRDefault="003B7E5A" w:rsidP="003B7E5A">
      <w:pPr>
        <w:rPr>
          <w:rFonts w:cs="Arial"/>
          <w:sz w:val="20"/>
          <w:szCs w:val="20"/>
        </w:rPr>
      </w:pPr>
      <w:r w:rsidRPr="004921E0">
        <w:rPr>
          <w:rFonts w:cs="Arial"/>
          <w:sz w:val="20"/>
          <w:szCs w:val="20"/>
        </w:rPr>
        <w:t xml:space="preserve">Source: BSP </w:t>
      </w:r>
      <w:r>
        <w:rPr>
          <w:rFonts w:cs="Arial"/>
          <w:sz w:val="20"/>
          <w:szCs w:val="20"/>
        </w:rPr>
        <w:t>R</w:t>
      </w:r>
      <w:r w:rsidRPr="004921E0">
        <w:rPr>
          <w:rFonts w:cs="Arial"/>
          <w:sz w:val="20"/>
          <w:szCs w:val="20"/>
        </w:rPr>
        <w:t>egister</w:t>
      </w:r>
    </w:p>
    <w:p w:rsidR="003B7E5A" w:rsidRDefault="003B7E5A" w:rsidP="008C130E">
      <w:pPr>
        <w:pStyle w:val="Figure"/>
      </w:pPr>
      <w:bookmarkStart w:id="181" w:name="_Toc390786725"/>
      <w:bookmarkStart w:id="182" w:name="_Toc412540140"/>
      <w:r>
        <w:t>Figure 1</w:t>
      </w:r>
      <w:r w:rsidR="008F002C">
        <w:t>3</w:t>
      </w:r>
      <w:r>
        <w:t>: Participation and neoplasia by deprivation quintiles</w:t>
      </w:r>
      <w:bookmarkEnd w:id="181"/>
      <w:bookmarkEnd w:id="182"/>
    </w:p>
    <w:p w:rsidR="003B7E5A" w:rsidRPr="00E91D27" w:rsidRDefault="003B7E5A" w:rsidP="003B7E5A">
      <w:pPr>
        <w:rPr>
          <w:rFonts w:cs="Arial"/>
          <w:sz w:val="28"/>
          <w:szCs w:val="28"/>
        </w:rPr>
      </w:pPr>
      <w:r w:rsidRPr="00E91D27">
        <w:rPr>
          <w:rFonts w:cs="Arial"/>
          <w:noProof/>
          <w:sz w:val="28"/>
          <w:szCs w:val="28"/>
          <w:lang w:eastAsia="en-NZ"/>
        </w:rPr>
        <w:drawing>
          <wp:inline distT="0" distB="0" distL="0" distR="0" wp14:anchorId="7F0B75DD" wp14:editId="75B599A4">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7E5A" w:rsidRPr="004921E0" w:rsidRDefault="003B7E5A" w:rsidP="003B7E5A">
      <w:pPr>
        <w:rPr>
          <w:rFonts w:cs="Arial"/>
          <w:sz w:val="20"/>
          <w:szCs w:val="20"/>
        </w:rPr>
      </w:pPr>
      <w:r w:rsidRPr="004921E0">
        <w:rPr>
          <w:rFonts w:cs="Arial"/>
          <w:sz w:val="20"/>
          <w:szCs w:val="20"/>
        </w:rPr>
        <w:t xml:space="preserve">Source: BSP </w:t>
      </w:r>
      <w:r>
        <w:rPr>
          <w:rFonts w:cs="Arial"/>
          <w:sz w:val="20"/>
          <w:szCs w:val="20"/>
        </w:rPr>
        <w:t>R</w:t>
      </w:r>
      <w:r w:rsidRPr="004921E0">
        <w:rPr>
          <w:rFonts w:cs="Arial"/>
          <w:sz w:val="20"/>
          <w:szCs w:val="20"/>
        </w:rPr>
        <w:t>egister</w:t>
      </w:r>
    </w:p>
    <w:p w:rsidR="008C130E" w:rsidRDefault="008C130E">
      <w:pPr>
        <w:spacing w:before="0"/>
        <w:ind w:left="0"/>
        <w:rPr>
          <w:rFonts w:cs="Arial"/>
          <w:b/>
          <w:i/>
        </w:rPr>
      </w:pPr>
      <w:r>
        <w:rPr>
          <w:rFonts w:cs="Arial"/>
          <w:b/>
          <w:i/>
        </w:rPr>
        <w:br w:type="page"/>
      </w:r>
    </w:p>
    <w:p w:rsidR="003B7E5A" w:rsidRPr="00D3122B" w:rsidRDefault="003B7E5A" w:rsidP="003B7E5A">
      <w:pPr>
        <w:rPr>
          <w:rFonts w:cs="Arial"/>
          <w:i/>
        </w:rPr>
      </w:pPr>
      <w:r w:rsidRPr="00D3122B">
        <w:rPr>
          <w:rFonts w:cs="Arial"/>
          <w:b/>
          <w:i/>
        </w:rPr>
        <w:lastRenderedPageBreak/>
        <w:t>Discussion</w:t>
      </w:r>
      <w:r w:rsidRPr="00D3122B">
        <w:rPr>
          <w:rFonts w:cs="Arial"/>
          <w:i/>
        </w:rPr>
        <w:t xml:space="preserve"> </w:t>
      </w:r>
    </w:p>
    <w:p w:rsidR="003B7E5A" w:rsidRDefault="003B7E5A" w:rsidP="003B7E5A">
      <w:pPr>
        <w:rPr>
          <w:rFonts w:cs="Arial"/>
        </w:rPr>
      </w:pPr>
      <w:r w:rsidRPr="00744428">
        <w:rPr>
          <w:rFonts w:cs="Arial"/>
        </w:rPr>
        <w:t xml:space="preserve">The </w:t>
      </w:r>
      <w:r>
        <w:rPr>
          <w:rFonts w:cs="Arial"/>
        </w:rPr>
        <w:t xml:space="preserve">BSP </w:t>
      </w:r>
      <w:r w:rsidRPr="00744428">
        <w:rPr>
          <w:rFonts w:cs="Arial"/>
        </w:rPr>
        <w:t>detection rate</w:t>
      </w:r>
      <w:r>
        <w:rPr>
          <w:rFonts w:cs="Arial"/>
        </w:rPr>
        <w:t xml:space="preserve"> for adenoma</w:t>
      </w:r>
      <w:r w:rsidRPr="00744428">
        <w:rPr>
          <w:rFonts w:cs="Arial"/>
        </w:rPr>
        <w:t xml:space="preserve"> </w:t>
      </w:r>
      <w:r>
        <w:rPr>
          <w:rFonts w:cs="Arial"/>
        </w:rPr>
        <w:t>(</w:t>
      </w:r>
      <w:r w:rsidRPr="00744428">
        <w:rPr>
          <w:rFonts w:cs="Arial"/>
        </w:rPr>
        <w:t>3.4%</w:t>
      </w:r>
      <w:r>
        <w:rPr>
          <w:rFonts w:cs="Arial"/>
        </w:rPr>
        <w:t xml:space="preserve">) is above the range (1.33-2.23%), and for cancer (0.2%) is at the lower end of the range (0.18-0.95%) reported in the first screening round of population-based programmes that use the iFOBT (Moss et al 2010). </w:t>
      </w:r>
    </w:p>
    <w:p w:rsidR="003B7E5A" w:rsidRDefault="003B7E5A" w:rsidP="003B7E5A">
      <w:pPr>
        <w:rPr>
          <w:rFonts w:cs="Arial"/>
        </w:rPr>
      </w:pPr>
      <w:r>
        <w:rPr>
          <w:rFonts w:cs="Arial"/>
        </w:rPr>
        <w:t>Reliable detection rates are not available for Australia as a whole due to missing histopathology outcome data in the register</w:t>
      </w:r>
      <w:r w:rsidRPr="00697D47">
        <w:rPr>
          <w:rStyle w:val="FootnoteReference"/>
        </w:rPr>
        <w:footnoteReference w:id="38"/>
      </w:r>
      <w:r>
        <w:rPr>
          <w:rFonts w:cs="Arial"/>
        </w:rPr>
        <w:t xml:space="preserve"> (AIHW 2010).</w:t>
      </w:r>
    </w:p>
    <w:p w:rsidR="003B7E5A" w:rsidRDefault="003B7E5A" w:rsidP="003B7E5A">
      <w:pPr>
        <w:rPr>
          <w:rFonts w:cs="Arial"/>
        </w:rPr>
      </w:pPr>
      <w:r>
        <w:rPr>
          <w:rFonts w:cs="Arial"/>
        </w:rPr>
        <w:t xml:space="preserve">The UK </w:t>
      </w:r>
      <w:r w:rsidRPr="00D3122B">
        <w:rPr>
          <w:rFonts w:cs="Arial"/>
          <w:i/>
        </w:rPr>
        <w:t>Quality assurance standards for colonoscopy</w:t>
      </w:r>
      <w:r>
        <w:rPr>
          <w:rFonts w:cs="Arial"/>
        </w:rPr>
        <w:t xml:space="preserve"> give a standard of adenoma detected in at least 35% of colonoscopies and cancer detected in at least 2 per 1,000 screened (Chilton and Rutter 2011). The BSP almost meets the detection standard for adenoma and just meets that for cancer.</w:t>
      </w:r>
    </w:p>
    <w:p w:rsidR="003B7E5A" w:rsidRDefault="003B7E5A" w:rsidP="003B7E5A">
      <w:pPr>
        <w:rPr>
          <w:rFonts w:cs="Arial"/>
        </w:rPr>
      </w:pPr>
      <w:r>
        <w:rPr>
          <w:rFonts w:cs="Arial"/>
        </w:rPr>
        <w:t>In a Dutch randomised population-based trial of 50-74 year olds, Hol et al (2009) found the detection rate for advanced adenoma and cancer at an iFOBT cut-off level of 75ng haemoglobin/ml was twice as high as the guaiac faecal occult blood test. This is the cut-off level of the iFOBT used in the BSP (Hol et al 2009).</w:t>
      </w:r>
    </w:p>
    <w:p w:rsidR="003B7E5A" w:rsidRPr="0029672B" w:rsidRDefault="003B7E5A" w:rsidP="008C130E">
      <w:pPr>
        <w:pStyle w:val="Heading2"/>
        <w:rPr>
          <w:rFonts w:cs="Arial"/>
        </w:rPr>
      </w:pPr>
      <w:bookmarkStart w:id="183" w:name="_Toc390786679"/>
      <w:bookmarkStart w:id="184" w:name="_Toc406591709"/>
      <w:bookmarkStart w:id="185" w:name="_Toc406594642"/>
      <w:bookmarkStart w:id="186" w:name="_Toc406602088"/>
      <w:bookmarkStart w:id="187" w:name="_Toc406753458"/>
      <w:bookmarkStart w:id="188" w:name="_Toc412540032"/>
      <w:r w:rsidRPr="0078238E">
        <w:rPr>
          <w:rStyle w:val="Heading2Char"/>
        </w:rPr>
        <w:t>Positive Predictive Values</w:t>
      </w:r>
      <w:bookmarkEnd w:id="183"/>
      <w:bookmarkEnd w:id="184"/>
      <w:bookmarkEnd w:id="185"/>
      <w:bookmarkEnd w:id="186"/>
      <w:bookmarkEnd w:id="187"/>
      <w:bookmarkEnd w:id="188"/>
      <w:r>
        <w:rPr>
          <w:rFonts w:cs="Arial"/>
        </w:rPr>
        <w:t xml:space="preserve"> </w:t>
      </w:r>
    </w:p>
    <w:p w:rsidR="003B7E5A" w:rsidRDefault="003B7E5A" w:rsidP="003B7E5A">
      <w:pPr>
        <w:autoSpaceDE w:val="0"/>
        <w:autoSpaceDN w:val="0"/>
        <w:adjustRightInd w:val="0"/>
        <w:rPr>
          <w:rFonts w:cs="Arial"/>
        </w:rPr>
      </w:pPr>
      <w:r w:rsidRPr="00744428">
        <w:rPr>
          <w:rFonts w:cs="Arial"/>
        </w:rPr>
        <w:t>The positive predictive value</w:t>
      </w:r>
      <w:r>
        <w:rPr>
          <w:rFonts w:cs="Arial"/>
        </w:rPr>
        <w:t xml:space="preserve"> (PPV)</w:t>
      </w:r>
      <w:r w:rsidRPr="00744428">
        <w:rPr>
          <w:rFonts w:cs="Arial"/>
        </w:rPr>
        <w:t xml:space="preserve"> of a positive iFOBT for adenoma was 48</w:t>
      </w:r>
      <w:r>
        <w:rPr>
          <w:rFonts w:cs="Arial"/>
        </w:rPr>
        <w:t>.2</w:t>
      </w:r>
      <w:r w:rsidRPr="00744428">
        <w:rPr>
          <w:rFonts w:cs="Arial"/>
        </w:rPr>
        <w:t>%, advanced adenoma was 2</w:t>
      </w:r>
      <w:r>
        <w:rPr>
          <w:rFonts w:cs="Arial"/>
        </w:rPr>
        <w:t>6.9</w:t>
      </w:r>
      <w:r w:rsidRPr="00744428">
        <w:rPr>
          <w:rFonts w:cs="Arial"/>
        </w:rPr>
        <w:t xml:space="preserve">%, and cancer was </w:t>
      </w:r>
      <w:r>
        <w:rPr>
          <w:rFonts w:cs="Arial"/>
        </w:rPr>
        <w:t>2.9</w:t>
      </w:r>
      <w:r w:rsidRPr="00744428">
        <w:rPr>
          <w:rFonts w:cs="Arial"/>
        </w:rPr>
        <w:t xml:space="preserve">%.  </w:t>
      </w:r>
      <w:r>
        <w:rPr>
          <w:rFonts w:cs="Arial"/>
        </w:rPr>
        <w:t xml:space="preserve">That is, </w:t>
      </w:r>
      <w:r w:rsidRPr="00D54EF2">
        <w:rPr>
          <w:rFonts w:cs="Arial"/>
        </w:rPr>
        <w:t>51</w:t>
      </w:r>
      <w:r>
        <w:rPr>
          <w:rFonts w:cs="Arial"/>
        </w:rPr>
        <w:t>.1</w:t>
      </w:r>
      <w:r w:rsidRPr="00D54EF2">
        <w:rPr>
          <w:rFonts w:cs="Arial"/>
        </w:rPr>
        <w:t xml:space="preserve">% of people who </w:t>
      </w:r>
      <w:r>
        <w:rPr>
          <w:rFonts w:cs="Arial"/>
        </w:rPr>
        <w:t>had a pos</w:t>
      </w:r>
      <w:r w:rsidRPr="00D54EF2">
        <w:rPr>
          <w:rFonts w:cs="Arial"/>
        </w:rPr>
        <w:t>itive iFOBT had an adenoma or cancer</w:t>
      </w:r>
      <w:r>
        <w:rPr>
          <w:rFonts w:cs="Arial"/>
        </w:rPr>
        <w:t xml:space="preserve"> detected, and 29.7</w:t>
      </w:r>
      <w:r w:rsidRPr="00D54EF2">
        <w:rPr>
          <w:rFonts w:cs="Arial"/>
        </w:rPr>
        <w:t>% had an advanced adenoma or cancer detected</w:t>
      </w:r>
      <w:r>
        <w:rPr>
          <w:rFonts w:cs="Arial"/>
        </w:rPr>
        <w:t>.</w:t>
      </w:r>
      <w:r w:rsidRPr="00D54EF2">
        <w:rPr>
          <w:rFonts w:cs="Arial"/>
        </w:rPr>
        <w:t xml:space="preserve"> </w:t>
      </w:r>
    </w:p>
    <w:p w:rsidR="003B7E5A" w:rsidRPr="001B5C55" w:rsidRDefault="003B7E5A" w:rsidP="003B7E5A">
      <w:pPr>
        <w:rPr>
          <w:rFonts w:cs="Arial"/>
        </w:rPr>
      </w:pPr>
      <w:r>
        <w:rPr>
          <w:rFonts w:cs="Arial"/>
        </w:rPr>
        <w:t xml:space="preserve">For all results see the </w:t>
      </w:r>
      <w:r w:rsidRPr="002336ED">
        <w:rPr>
          <w:rFonts w:cs="Arial"/>
        </w:rPr>
        <w:t>Appendix</w:t>
      </w:r>
      <w:r w:rsidR="002336ED" w:rsidRPr="002336ED">
        <w:rPr>
          <w:rFonts w:cs="Arial"/>
        </w:rPr>
        <w:t xml:space="preserve"> 1</w:t>
      </w:r>
      <w:r w:rsidRPr="002336ED">
        <w:rPr>
          <w:rFonts w:cs="Arial"/>
        </w:rPr>
        <w:t>, Table 3b.</w:t>
      </w:r>
    </w:p>
    <w:p w:rsidR="003B7E5A" w:rsidRPr="00BA0EE5" w:rsidRDefault="003B7E5A" w:rsidP="003B7E5A">
      <w:pPr>
        <w:rPr>
          <w:rFonts w:cs="Arial"/>
          <w:b/>
        </w:rPr>
      </w:pPr>
      <w:r w:rsidRPr="00BA0EE5">
        <w:rPr>
          <w:rFonts w:cs="Arial"/>
          <w:b/>
        </w:rPr>
        <w:t>There were some age, sex and ethnic differences in the effectiveness of a positive iFOBT in detecting neoplasia</w:t>
      </w:r>
    </w:p>
    <w:p w:rsidR="003B7E5A" w:rsidRPr="00744428" w:rsidRDefault="003B7E5A" w:rsidP="003B7E5A">
      <w:pPr>
        <w:rPr>
          <w:rFonts w:cs="Arial"/>
        </w:rPr>
      </w:pPr>
      <w:r>
        <w:rPr>
          <w:rFonts w:cs="Arial"/>
        </w:rPr>
        <w:t>The PPV</w:t>
      </w:r>
      <w:r w:rsidRPr="00744428">
        <w:rPr>
          <w:rFonts w:cs="Arial"/>
        </w:rPr>
        <w:t xml:space="preserve"> was </w:t>
      </w:r>
      <w:r>
        <w:rPr>
          <w:rFonts w:cs="Arial"/>
        </w:rPr>
        <w:t>higher for</w:t>
      </w:r>
      <w:r w:rsidRPr="00744428">
        <w:rPr>
          <w:rFonts w:cs="Arial"/>
        </w:rPr>
        <w:t xml:space="preserve"> adenoma (1.8 times) and advanced adenoma (1.5 times) among 70-74 year old participants than 50-54 year old participants.</w:t>
      </w:r>
    </w:p>
    <w:p w:rsidR="003B7E5A" w:rsidRPr="00744428" w:rsidRDefault="003B7E5A" w:rsidP="003B7E5A">
      <w:pPr>
        <w:rPr>
          <w:rFonts w:cs="Arial"/>
        </w:rPr>
      </w:pPr>
      <w:r>
        <w:rPr>
          <w:rFonts w:cs="Arial"/>
        </w:rPr>
        <w:t>The PPV for</w:t>
      </w:r>
      <w:r w:rsidRPr="00744428">
        <w:rPr>
          <w:rFonts w:cs="Arial"/>
        </w:rPr>
        <w:t xml:space="preserve"> adenoma and advanced adenoma </w:t>
      </w:r>
      <w:r>
        <w:rPr>
          <w:rFonts w:cs="Arial"/>
        </w:rPr>
        <w:t>was higher for</w:t>
      </w:r>
      <w:r w:rsidRPr="00744428">
        <w:rPr>
          <w:rFonts w:cs="Arial"/>
        </w:rPr>
        <w:t xml:space="preserve"> males than females. The difference in effectiveness between males and females </w:t>
      </w:r>
      <w:r>
        <w:rPr>
          <w:rFonts w:cs="Arial"/>
        </w:rPr>
        <w:t>was for the younger age groups (50-54, 55-59 and 60-64 years for adenoma, and 50-54 and 55-59 years for advanced adenoma)</w:t>
      </w:r>
      <w:r w:rsidRPr="00744428">
        <w:rPr>
          <w:rFonts w:cs="Arial"/>
        </w:rPr>
        <w:t>.</w:t>
      </w:r>
    </w:p>
    <w:p w:rsidR="003B7E5A" w:rsidRPr="00744428" w:rsidRDefault="003B7E5A" w:rsidP="003B7E5A">
      <w:pPr>
        <w:rPr>
          <w:rFonts w:cs="Arial"/>
        </w:rPr>
      </w:pPr>
      <w:r>
        <w:rPr>
          <w:rFonts w:cs="Arial"/>
        </w:rPr>
        <w:t>The PPV</w:t>
      </w:r>
      <w:r w:rsidRPr="00744428">
        <w:rPr>
          <w:rFonts w:cs="Arial"/>
        </w:rPr>
        <w:t xml:space="preserve"> was </w:t>
      </w:r>
      <w:r>
        <w:rPr>
          <w:rFonts w:cs="Arial"/>
        </w:rPr>
        <w:t xml:space="preserve">about twice </w:t>
      </w:r>
      <w:r w:rsidRPr="00744428">
        <w:rPr>
          <w:rFonts w:cs="Arial"/>
        </w:rPr>
        <w:t>as</w:t>
      </w:r>
      <w:r>
        <w:rPr>
          <w:rFonts w:cs="Arial"/>
        </w:rPr>
        <w:t xml:space="preserve"> high for</w:t>
      </w:r>
      <w:r w:rsidRPr="00744428">
        <w:rPr>
          <w:rFonts w:cs="Arial"/>
        </w:rPr>
        <w:t xml:space="preserve"> </w:t>
      </w:r>
      <w:r>
        <w:rPr>
          <w:rFonts w:cs="Arial"/>
        </w:rPr>
        <w:t>both adenoma and advanced adenoma</w:t>
      </w:r>
      <w:r w:rsidRPr="00744428">
        <w:rPr>
          <w:rFonts w:cs="Arial"/>
        </w:rPr>
        <w:t xml:space="preserve"> among 65-69 </w:t>
      </w:r>
      <w:r>
        <w:rPr>
          <w:rFonts w:cs="Arial"/>
        </w:rPr>
        <w:t xml:space="preserve">and 70-74 </w:t>
      </w:r>
      <w:r w:rsidRPr="00744428">
        <w:rPr>
          <w:rFonts w:cs="Arial"/>
        </w:rPr>
        <w:t xml:space="preserve">year old </w:t>
      </w:r>
      <w:r>
        <w:rPr>
          <w:rFonts w:cs="Arial"/>
        </w:rPr>
        <w:t>females</w:t>
      </w:r>
      <w:r w:rsidRPr="00744428">
        <w:rPr>
          <w:rFonts w:cs="Arial"/>
        </w:rPr>
        <w:t xml:space="preserve"> as 50-54 year old </w:t>
      </w:r>
      <w:r>
        <w:rPr>
          <w:rFonts w:cs="Arial"/>
        </w:rPr>
        <w:t>females.</w:t>
      </w:r>
    </w:p>
    <w:p w:rsidR="003B7E5A" w:rsidRPr="00744428" w:rsidRDefault="003B7E5A" w:rsidP="003B7E5A">
      <w:pPr>
        <w:rPr>
          <w:rFonts w:cs="Arial"/>
        </w:rPr>
      </w:pPr>
      <w:r>
        <w:rPr>
          <w:rFonts w:cs="Arial"/>
        </w:rPr>
        <w:t>The PPV for adenoma was</w:t>
      </w:r>
      <w:r w:rsidRPr="00744428">
        <w:rPr>
          <w:rFonts w:cs="Arial"/>
        </w:rPr>
        <w:t xml:space="preserve"> about </w:t>
      </w:r>
      <w:r>
        <w:rPr>
          <w:rFonts w:cs="Arial"/>
        </w:rPr>
        <w:t>1.5 times less</w:t>
      </w:r>
      <w:r w:rsidRPr="00744428">
        <w:rPr>
          <w:rFonts w:cs="Arial"/>
        </w:rPr>
        <w:t xml:space="preserve"> </w:t>
      </w:r>
      <w:r>
        <w:rPr>
          <w:rFonts w:cs="Arial"/>
        </w:rPr>
        <w:t>for</w:t>
      </w:r>
      <w:r w:rsidRPr="00744428">
        <w:rPr>
          <w:rFonts w:cs="Arial"/>
        </w:rPr>
        <w:t xml:space="preserve"> </w:t>
      </w:r>
      <w:r>
        <w:rPr>
          <w:rFonts w:cs="Arial"/>
        </w:rPr>
        <w:t>Asians</w:t>
      </w:r>
      <w:r w:rsidRPr="00744428">
        <w:rPr>
          <w:rFonts w:cs="Arial"/>
        </w:rPr>
        <w:t xml:space="preserve"> </w:t>
      </w:r>
      <w:r>
        <w:rPr>
          <w:rFonts w:cs="Arial"/>
        </w:rPr>
        <w:t>than that for</w:t>
      </w:r>
      <w:r w:rsidRPr="00744428">
        <w:rPr>
          <w:rFonts w:cs="Arial"/>
        </w:rPr>
        <w:t xml:space="preserve"> Europeans.</w:t>
      </w:r>
    </w:p>
    <w:p w:rsidR="003B7E5A" w:rsidRPr="00744428" w:rsidRDefault="003B7E5A" w:rsidP="003B7E5A">
      <w:pPr>
        <w:rPr>
          <w:rFonts w:cs="Arial"/>
        </w:rPr>
      </w:pPr>
      <w:r>
        <w:rPr>
          <w:rFonts w:cs="Arial"/>
        </w:rPr>
        <w:t>The PPV for adenoma for Pacific people was</w:t>
      </w:r>
      <w:r w:rsidRPr="00744428">
        <w:rPr>
          <w:rFonts w:cs="Arial"/>
        </w:rPr>
        <w:t xml:space="preserve"> about half </w:t>
      </w:r>
      <w:r>
        <w:rPr>
          <w:rFonts w:cs="Arial"/>
        </w:rPr>
        <w:t xml:space="preserve">that for </w:t>
      </w:r>
      <w:r w:rsidRPr="00744428">
        <w:rPr>
          <w:rFonts w:cs="Arial"/>
        </w:rPr>
        <w:t>Europeans.</w:t>
      </w:r>
    </w:p>
    <w:p w:rsidR="003B7E5A" w:rsidRPr="00744428" w:rsidRDefault="003B7E5A" w:rsidP="003B7E5A">
      <w:pPr>
        <w:rPr>
          <w:rFonts w:cs="Arial"/>
        </w:rPr>
      </w:pPr>
      <w:r>
        <w:rPr>
          <w:rFonts w:cs="Arial"/>
        </w:rPr>
        <w:t xml:space="preserve">The PPV for </w:t>
      </w:r>
      <w:r w:rsidRPr="00744428">
        <w:rPr>
          <w:rFonts w:cs="Arial"/>
        </w:rPr>
        <w:t xml:space="preserve">advanced adenoma </w:t>
      </w:r>
      <w:r>
        <w:rPr>
          <w:rFonts w:cs="Arial"/>
        </w:rPr>
        <w:t>for Asians was</w:t>
      </w:r>
      <w:r w:rsidRPr="00744428">
        <w:rPr>
          <w:rFonts w:cs="Arial"/>
        </w:rPr>
        <w:t xml:space="preserve"> about half </w:t>
      </w:r>
      <w:r>
        <w:rPr>
          <w:rFonts w:cs="Arial"/>
        </w:rPr>
        <w:t xml:space="preserve">that for </w:t>
      </w:r>
      <w:r w:rsidRPr="00744428">
        <w:rPr>
          <w:rFonts w:cs="Arial"/>
        </w:rPr>
        <w:t>Europeans</w:t>
      </w:r>
      <w:r>
        <w:rPr>
          <w:rFonts w:cs="Arial"/>
        </w:rPr>
        <w:t>.</w:t>
      </w:r>
    </w:p>
    <w:p w:rsidR="003B7E5A" w:rsidRPr="00744428" w:rsidRDefault="003B7E5A" w:rsidP="003B7E5A">
      <w:pPr>
        <w:rPr>
          <w:rFonts w:cs="Arial"/>
        </w:rPr>
      </w:pPr>
      <w:r>
        <w:rPr>
          <w:rFonts w:cs="Arial"/>
        </w:rPr>
        <w:lastRenderedPageBreak/>
        <w:t>The PPV for cancer</w:t>
      </w:r>
      <w:r w:rsidRPr="00744428">
        <w:rPr>
          <w:rFonts w:cs="Arial"/>
        </w:rPr>
        <w:t xml:space="preserve"> was </w:t>
      </w:r>
      <w:r>
        <w:rPr>
          <w:rFonts w:cs="Arial"/>
        </w:rPr>
        <w:t xml:space="preserve">more than three times </w:t>
      </w:r>
      <w:r w:rsidRPr="00744428">
        <w:rPr>
          <w:rFonts w:cs="Arial"/>
        </w:rPr>
        <w:t xml:space="preserve">as </w:t>
      </w:r>
      <w:r>
        <w:rPr>
          <w:rFonts w:cs="Arial"/>
        </w:rPr>
        <w:t>high for</w:t>
      </w:r>
      <w:r w:rsidRPr="00744428">
        <w:rPr>
          <w:rFonts w:cs="Arial"/>
        </w:rPr>
        <w:t xml:space="preserve"> 65-69 </w:t>
      </w:r>
      <w:r>
        <w:rPr>
          <w:rFonts w:cs="Arial"/>
        </w:rPr>
        <w:t xml:space="preserve">and 70-74 </w:t>
      </w:r>
      <w:r w:rsidRPr="00744428">
        <w:rPr>
          <w:rFonts w:cs="Arial"/>
        </w:rPr>
        <w:t xml:space="preserve">year old </w:t>
      </w:r>
      <w:r>
        <w:rPr>
          <w:rFonts w:cs="Arial"/>
        </w:rPr>
        <w:t>males</w:t>
      </w:r>
      <w:r w:rsidRPr="00744428">
        <w:rPr>
          <w:rFonts w:cs="Arial"/>
        </w:rPr>
        <w:t xml:space="preserve"> as 50-54 year old </w:t>
      </w:r>
      <w:r>
        <w:rPr>
          <w:rFonts w:cs="Arial"/>
        </w:rPr>
        <w:t>males.</w:t>
      </w:r>
    </w:p>
    <w:p w:rsidR="003B7E5A" w:rsidRPr="00D3122B" w:rsidRDefault="003B7E5A" w:rsidP="003B7E5A">
      <w:pPr>
        <w:rPr>
          <w:rFonts w:cs="Arial"/>
          <w:i/>
        </w:rPr>
      </w:pPr>
      <w:r w:rsidRPr="00D3122B">
        <w:rPr>
          <w:rFonts w:cs="Arial"/>
          <w:b/>
          <w:i/>
        </w:rPr>
        <w:t>Discussion</w:t>
      </w:r>
      <w:r w:rsidRPr="00D3122B">
        <w:rPr>
          <w:rFonts w:cs="Arial"/>
          <w:i/>
        </w:rPr>
        <w:t xml:space="preserve"> </w:t>
      </w:r>
    </w:p>
    <w:p w:rsidR="003B7E5A" w:rsidRDefault="003B7E5A" w:rsidP="003B7E5A">
      <w:pPr>
        <w:rPr>
          <w:rFonts w:cs="Arial"/>
        </w:rPr>
      </w:pPr>
      <w:r>
        <w:rPr>
          <w:rFonts w:cs="Arial"/>
        </w:rPr>
        <w:t>The PPV for adenoma was found to be higher for programmes using the iFOBT compared with the guaiac faecal occult blood test in Canada (Major et al 2013). The PPV for cancer did not differ between the test types (Hol et al 2009; Major et al 2013).</w:t>
      </w:r>
    </w:p>
    <w:p w:rsidR="003B7E5A" w:rsidRDefault="003B7E5A" w:rsidP="003B7E5A">
      <w:pPr>
        <w:rPr>
          <w:rFonts w:cs="Arial"/>
        </w:rPr>
      </w:pPr>
      <w:r>
        <w:rPr>
          <w:rFonts w:cs="Arial"/>
        </w:rPr>
        <w:t>Differences in the international prevalence of colorectal cancer will lead to differences in the PPVs.</w:t>
      </w:r>
    </w:p>
    <w:p w:rsidR="003B7E5A" w:rsidRPr="00661613" w:rsidRDefault="003B7E5A" w:rsidP="003B7E5A">
      <w:pPr>
        <w:autoSpaceDE w:val="0"/>
        <w:autoSpaceDN w:val="0"/>
        <w:adjustRightInd w:val="0"/>
        <w:rPr>
          <w:rFonts w:cs="Arial"/>
        </w:rPr>
      </w:pPr>
      <w:r>
        <w:rPr>
          <w:rFonts w:cs="Arial"/>
        </w:rPr>
        <w:t>The PPV of a positive iFOBT was higher in the BSP than the Australian pilot for advanced adenoma (26.9% vs 13.9%) but lower for cancer (2.9% vs 5.3%). However the Australian register had a high rate of missing colonoscopy data (BCSPMESC 2005)</w:t>
      </w:r>
      <w:r>
        <w:rPr>
          <w:rFonts w:ascii="TimesNewRoman" w:hAnsi="TimesNewRoman" w:cs="TimesNewRoman"/>
          <w:sz w:val="24"/>
          <w:szCs w:val="24"/>
        </w:rPr>
        <w:t>.</w:t>
      </w:r>
    </w:p>
    <w:p w:rsidR="003B7E5A" w:rsidRDefault="003B7E5A" w:rsidP="003B7E5A">
      <w:pPr>
        <w:rPr>
          <w:rFonts w:cs="Arial"/>
        </w:rPr>
      </w:pPr>
      <w:r>
        <w:rPr>
          <w:rFonts w:cs="Arial"/>
        </w:rPr>
        <w:t>The BSP PPV of a positive iFOBT for cancer of 2.9%</w:t>
      </w:r>
      <w:r w:rsidRPr="00697D47">
        <w:rPr>
          <w:rStyle w:val="FootnoteReference"/>
        </w:rPr>
        <w:footnoteReference w:id="39"/>
      </w:r>
      <w:r>
        <w:rPr>
          <w:rFonts w:cs="Arial"/>
        </w:rPr>
        <w:t xml:space="preserve"> is below the range (4.5-8.6%) reported in the first screening round of population-based programmes, whereas the PPV for adenoma of 48.2% is above the reported range (19.6-40.3%) (Moss et al 2010). However, the more recently reported PPV for adenoma and cancer (50.6% and 4.3% respectively) from the three Canadian provincial programmes that use the iFOBT is outside of these ranges, and higher than in the BSP (Major et al 2013).</w:t>
      </w:r>
    </w:p>
    <w:p w:rsidR="003B7E5A" w:rsidRDefault="003B7E5A" w:rsidP="008C130E">
      <w:pPr>
        <w:pStyle w:val="Heading2"/>
        <w:rPr>
          <w:rFonts w:cs="Arial"/>
        </w:rPr>
      </w:pPr>
      <w:bookmarkStart w:id="189" w:name="_Toc390786680"/>
      <w:bookmarkStart w:id="190" w:name="_Toc406591710"/>
      <w:bookmarkStart w:id="191" w:name="_Toc406594643"/>
      <w:bookmarkStart w:id="192" w:name="_Toc406602089"/>
      <w:bookmarkStart w:id="193" w:name="_Toc406753459"/>
      <w:bookmarkStart w:id="194" w:name="_Toc412540033"/>
      <w:r w:rsidRPr="0078238E">
        <w:rPr>
          <w:rStyle w:val="Heading2Char"/>
        </w:rPr>
        <w:t>Colorectal cancer</w:t>
      </w:r>
      <w:bookmarkEnd w:id="189"/>
      <w:bookmarkEnd w:id="190"/>
      <w:bookmarkEnd w:id="191"/>
      <w:bookmarkEnd w:id="192"/>
      <w:bookmarkEnd w:id="193"/>
      <w:bookmarkEnd w:id="194"/>
      <w:r>
        <w:rPr>
          <w:rFonts w:cs="Arial"/>
        </w:rPr>
        <w:t xml:space="preserve"> </w:t>
      </w:r>
    </w:p>
    <w:p w:rsidR="003B7E5A" w:rsidRPr="00744428" w:rsidRDefault="00FA6C28" w:rsidP="003B7E5A">
      <w:pPr>
        <w:rPr>
          <w:rFonts w:cs="Arial"/>
        </w:rPr>
      </w:pPr>
      <w:r>
        <w:rPr>
          <w:rFonts w:cs="Arial"/>
        </w:rPr>
        <w:t>Ninety-five participants has cancer detected (2 per 1,000 screened). Eighty were European, 12 were Asian, 2 were Māori and none was Pacific.</w:t>
      </w:r>
    </w:p>
    <w:p w:rsidR="003B7E5A" w:rsidRPr="00744428" w:rsidRDefault="003B7E5A" w:rsidP="003B7E5A">
      <w:pPr>
        <w:rPr>
          <w:rFonts w:cs="Arial"/>
        </w:rPr>
      </w:pPr>
      <w:r>
        <w:rPr>
          <w:rFonts w:cs="Arial"/>
        </w:rPr>
        <w:t>The c</w:t>
      </w:r>
      <w:r w:rsidRPr="00744428">
        <w:rPr>
          <w:rFonts w:cs="Arial"/>
        </w:rPr>
        <w:t xml:space="preserve">ancer detection rate increased with increasing age.  Participants aged 65-69 and 70-74 years were between </w:t>
      </w:r>
      <w:r>
        <w:rPr>
          <w:rFonts w:cs="Arial"/>
        </w:rPr>
        <w:t>three</w:t>
      </w:r>
      <w:r w:rsidRPr="00744428">
        <w:rPr>
          <w:rFonts w:cs="Arial"/>
        </w:rPr>
        <w:t xml:space="preserve"> and </w:t>
      </w:r>
      <w:r>
        <w:rPr>
          <w:rFonts w:cs="Arial"/>
        </w:rPr>
        <w:t>four</w:t>
      </w:r>
      <w:r w:rsidRPr="00744428">
        <w:rPr>
          <w:rFonts w:cs="Arial"/>
        </w:rPr>
        <w:t xml:space="preserve"> times more likely to have cancer than participants aged 50-54 years.</w:t>
      </w:r>
    </w:p>
    <w:p w:rsidR="003B7E5A" w:rsidRDefault="003B7E5A" w:rsidP="003B7E5A">
      <w:pPr>
        <w:rPr>
          <w:rFonts w:cs="Arial"/>
        </w:rPr>
      </w:pPr>
      <w:r w:rsidRPr="00744428">
        <w:rPr>
          <w:rFonts w:cs="Arial"/>
        </w:rPr>
        <w:t>Males were almost twice as likely to have cancer as females.</w:t>
      </w:r>
      <w:r>
        <w:rPr>
          <w:rFonts w:cs="Arial"/>
        </w:rPr>
        <w:t xml:space="preserve"> </w:t>
      </w:r>
    </w:p>
    <w:p w:rsidR="003B7E5A" w:rsidRPr="00744428" w:rsidRDefault="003B7E5A" w:rsidP="003B7E5A">
      <w:pPr>
        <w:rPr>
          <w:rFonts w:cs="Arial"/>
        </w:rPr>
      </w:pPr>
      <w:r>
        <w:rPr>
          <w:rFonts w:cs="Arial"/>
        </w:rPr>
        <w:t xml:space="preserve">Males </w:t>
      </w:r>
      <w:r w:rsidRPr="00744428">
        <w:rPr>
          <w:rFonts w:cs="Arial"/>
        </w:rPr>
        <w:t xml:space="preserve">aged 65-69 and 70-74 years were </w:t>
      </w:r>
      <w:r>
        <w:rPr>
          <w:rFonts w:cs="Arial"/>
        </w:rPr>
        <w:t>more than 2.5</w:t>
      </w:r>
      <w:r w:rsidRPr="00744428">
        <w:rPr>
          <w:rFonts w:cs="Arial"/>
        </w:rPr>
        <w:t xml:space="preserve"> times more likely to have cancer than </w:t>
      </w:r>
      <w:r>
        <w:rPr>
          <w:rFonts w:cs="Arial"/>
        </w:rPr>
        <w:t>females of the same age.</w:t>
      </w:r>
    </w:p>
    <w:p w:rsidR="003B7E5A" w:rsidRPr="00744428" w:rsidRDefault="003B7E5A" w:rsidP="003B7E5A">
      <w:pPr>
        <w:rPr>
          <w:rFonts w:cs="Arial"/>
        </w:rPr>
      </w:pPr>
      <w:r>
        <w:rPr>
          <w:rFonts w:cs="Arial"/>
        </w:rPr>
        <w:t xml:space="preserve">Males </w:t>
      </w:r>
      <w:r w:rsidRPr="00744428">
        <w:rPr>
          <w:rFonts w:cs="Arial"/>
        </w:rPr>
        <w:t xml:space="preserve">aged 65-69 and 70-74 years were </w:t>
      </w:r>
      <w:r>
        <w:rPr>
          <w:rFonts w:cs="Arial"/>
        </w:rPr>
        <w:t>about six</w:t>
      </w:r>
      <w:r w:rsidRPr="00744428">
        <w:rPr>
          <w:rFonts w:cs="Arial"/>
        </w:rPr>
        <w:t xml:space="preserve"> times more likely to have cancer than</w:t>
      </w:r>
      <w:r>
        <w:rPr>
          <w:rFonts w:cs="Arial"/>
        </w:rPr>
        <w:t xml:space="preserve"> 50-54 year old males.</w:t>
      </w:r>
    </w:p>
    <w:p w:rsidR="003B7E5A" w:rsidRPr="00744428" w:rsidRDefault="003B7E5A" w:rsidP="003B7E5A">
      <w:pPr>
        <w:rPr>
          <w:rFonts w:cs="Arial"/>
        </w:rPr>
      </w:pPr>
      <w:r w:rsidRPr="00744428">
        <w:rPr>
          <w:rFonts w:cs="Arial"/>
        </w:rPr>
        <w:t xml:space="preserve">The extent of spread of a cancer is known as its stage. There are various staging systems; the BSP has adopted </w:t>
      </w:r>
      <w:r>
        <w:rPr>
          <w:rFonts w:cs="Arial"/>
        </w:rPr>
        <w:t>Tumour Node Metastasis (</w:t>
      </w:r>
      <w:r w:rsidRPr="00744428">
        <w:rPr>
          <w:rFonts w:cs="Arial"/>
        </w:rPr>
        <w:t>TMN</w:t>
      </w:r>
      <w:r>
        <w:rPr>
          <w:rFonts w:cs="Arial"/>
        </w:rPr>
        <w:t>)</w:t>
      </w:r>
      <w:r w:rsidRPr="00744428">
        <w:rPr>
          <w:rFonts w:cs="Arial"/>
        </w:rPr>
        <w:t xml:space="preserve"> staging. The staging ranges from Stage 1, the least advanced, to Stage 4, the most advanced.</w:t>
      </w:r>
      <w:r>
        <w:rPr>
          <w:rFonts w:cs="Arial"/>
        </w:rPr>
        <w:t xml:space="preserve"> </w:t>
      </w:r>
    </w:p>
    <w:p w:rsidR="003B7E5A" w:rsidRPr="00744428" w:rsidRDefault="003B7E5A" w:rsidP="003B7E5A">
      <w:pPr>
        <w:rPr>
          <w:rFonts w:cs="Arial"/>
        </w:rPr>
      </w:pPr>
      <w:r w:rsidRPr="00744428">
        <w:rPr>
          <w:rFonts w:cs="Arial"/>
        </w:rPr>
        <w:t xml:space="preserve">Most cancers were Stage </w:t>
      </w:r>
      <w:r>
        <w:rPr>
          <w:rFonts w:cs="Arial"/>
        </w:rPr>
        <w:t>I</w:t>
      </w:r>
      <w:r w:rsidRPr="00744428">
        <w:rPr>
          <w:rFonts w:cs="Arial"/>
        </w:rPr>
        <w:t xml:space="preserve"> (42.6 per 100,000 participants), followed by Stage </w:t>
      </w:r>
      <w:r>
        <w:rPr>
          <w:rFonts w:cs="Arial"/>
        </w:rPr>
        <w:t>II</w:t>
      </w:r>
      <w:r w:rsidRPr="00744428">
        <w:rPr>
          <w:rFonts w:cs="Arial"/>
        </w:rPr>
        <w:t xml:space="preserve"> (18.4 per 100,000 participants), Stage </w:t>
      </w:r>
      <w:r>
        <w:rPr>
          <w:rFonts w:cs="Arial"/>
        </w:rPr>
        <w:t>III</w:t>
      </w:r>
      <w:r w:rsidRPr="00744428">
        <w:rPr>
          <w:rFonts w:cs="Arial"/>
        </w:rPr>
        <w:t xml:space="preserve"> (12.7 per 100,000 participants) and Stage </w:t>
      </w:r>
      <w:r>
        <w:rPr>
          <w:rFonts w:cs="Arial"/>
        </w:rPr>
        <w:t>IV</w:t>
      </w:r>
      <w:r w:rsidRPr="00744428">
        <w:rPr>
          <w:rFonts w:cs="Arial"/>
        </w:rPr>
        <w:t xml:space="preserve"> (8.1 per 100,000 participants)</w:t>
      </w:r>
      <w:r>
        <w:rPr>
          <w:rFonts w:cs="Arial"/>
        </w:rPr>
        <w:t xml:space="preserve"> (</w:t>
      </w:r>
      <w:r w:rsidRPr="002336ED">
        <w:rPr>
          <w:rFonts w:cs="Arial"/>
        </w:rPr>
        <w:t>Appendix</w:t>
      </w:r>
      <w:r w:rsidR="002336ED" w:rsidRPr="002336ED">
        <w:rPr>
          <w:rFonts w:cs="Arial"/>
        </w:rPr>
        <w:t xml:space="preserve"> 1</w:t>
      </w:r>
      <w:r w:rsidRPr="002336ED">
        <w:rPr>
          <w:rFonts w:cs="Arial"/>
        </w:rPr>
        <w:t>, Table 4</w:t>
      </w:r>
      <w:r>
        <w:rPr>
          <w:rFonts w:cs="Arial"/>
        </w:rPr>
        <w:t>)</w:t>
      </w:r>
      <w:r w:rsidRPr="00744428">
        <w:rPr>
          <w:rFonts w:cs="Arial"/>
        </w:rPr>
        <w:t>.</w:t>
      </w:r>
    </w:p>
    <w:p w:rsidR="003B7E5A" w:rsidRPr="004F5180" w:rsidRDefault="003B7E5A" w:rsidP="003B7E5A">
      <w:pPr>
        <w:rPr>
          <w:rFonts w:cs="Arial"/>
        </w:rPr>
      </w:pPr>
      <w:r w:rsidRPr="004F5180">
        <w:rPr>
          <w:rFonts w:cs="Arial"/>
        </w:rPr>
        <w:lastRenderedPageBreak/>
        <w:t>Almost 39% (n=37) of those participants with cancer detected had Stage I (</w:t>
      </w:r>
      <w:r w:rsidR="003D209D" w:rsidRPr="004F5180">
        <w:rPr>
          <w:rFonts w:cs="Arial"/>
        </w:rPr>
        <w:t>i.e.</w:t>
      </w:r>
      <w:r w:rsidRPr="004F5180">
        <w:rPr>
          <w:rFonts w:cs="Arial"/>
        </w:rPr>
        <w:t>, confined to the bowel inner lining or muscle wall) and 8.4% (n=8) had Stage IV (</w:t>
      </w:r>
      <w:r w:rsidR="003D209D" w:rsidRPr="004F5180">
        <w:rPr>
          <w:rFonts w:cs="Arial"/>
        </w:rPr>
        <w:t>i.e.</w:t>
      </w:r>
      <w:r w:rsidRPr="004F5180">
        <w:rPr>
          <w:rFonts w:cs="Arial"/>
        </w:rPr>
        <w:t>, spread to a distant part of the body).</w:t>
      </w:r>
    </w:p>
    <w:p w:rsidR="003B7E5A" w:rsidRPr="00B06E50" w:rsidRDefault="003B7E5A" w:rsidP="003B7E5A">
      <w:pPr>
        <w:rPr>
          <w:rFonts w:cs="Arial"/>
          <w:i/>
        </w:rPr>
      </w:pPr>
      <w:r w:rsidRPr="00B06E50">
        <w:rPr>
          <w:rFonts w:cs="Arial"/>
          <w:b/>
          <w:i/>
        </w:rPr>
        <w:t>Discussion</w:t>
      </w:r>
      <w:r w:rsidRPr="00B06E50">
        <w:rPr>
          <w:rFonts w:cs="Arial"/>
          <w:i/>
        </w:rPr>
        <w:t xml:space="preserve"> </w:t>
      </w:r>
    </w:p>
    <w:p w:rsidR="003B7E5A" w:rsidRDefault="003B7E5A" w:rsidP="003B7E5A">
      <w:pPr>
        <w:rPr>
          <w:rFonts w:cs="Arial"/>
        </w:rPr>
      </w:pPr>
      <w:r>
        <w:rPr>
          <w:rFonts w:cs="Arial"/>
        </w:rPr>
        <w:t>The cancer detection rate and the proportion of early-stage cancers was found to be higher for programmes using the iFOBT compared with the guaiac faecal occult blood test in Canada (Major et al 2013).</w:t>
      </w:r>
    </w:p>
    <w:p w:rsidR="003B7E5A" w:rsidRDefault="003B7E5A" w:rsidP="003B7E5A">
      <w:pPr>
        <w:rPr>
          <w:rFonts w:cs="Arial"/>
        </w:rPr>
      </w:pPr>
      <w:r w:rsidRPr="00744428">
        <w:rPr>
          <w:rFonts w:cs="Arial"/>
        </w:rPr>
        <w:t xml:space="preserve">The </w:t>
      </w:r>
      <w:r>
        <w:rPr>
          <w:rFonts w:cs="Arial"/>
        </w:rPr>
        <w:t xml:space="preserve">BSP cancer </w:t>
      </w:r>
      <w:r w:rsidRPr="00744428">
        <w:rPr>
          <w:rFonts w:cs="Arial"/>
        </w:rPr>
        <w:t>detection rate</w:t>
      </w:r>
      <w:r>
        <w:rPr>
          <w:rFonts w:cs="Arial"/>
        </w:rPr>
        <w:t xml:space="preserve"> (2.0 per 1,000)</w:t>
      </w:r>
      <w:r w:rsidRPr="00697D47">
        <w:rPr>
          <w:rStyle w:val="FootnoteReference"/>
        </w:rPr>
        <w:footnoteReference w:id="40"/>
      </w:r>
      <w:r>
        <w:rPr>
          <w:rFonts w:cs="Arial"/>
        </w:rPr>
        <w:t xml:space="preserve"> is at the lower end of the range (1.8-9.5 per 1,000) reported in the first screening round of population-based programmes that use the iFOBT (Moss et al 2010). </w:t>
      </w:r>
    </w:p>
    <w:p w:rsidR="003B7E5A" w:rsidRDefault="003B7E5A" w:rsidP="003B7E5A">
      <w:pPr>
        <w:rPr>
          <w:rFonts w:cs="Arial"/>
        </w:rPr>
      </w:pPr>
      <w:r>
        <w:rPr>
          <w:rFonts w:cs="Arial"/>
        </w:rPr>
        <w:t xml:space="preserve">The detection rate for cancer from the three Canadian provincial programmes that use the iFOBT was also higher (2.8 per 1,000), as was the proportion of Stage I or II cancers (76.1% compared with 62.1% in the BSP) (Major et al 2013). </w:t>
      </w:r>
    </w:p>
    <w:p w:rsidR="003B7E5A" w:rsidRDefault="003B7E5A" w:rsidP="003B7E5A">
      <w:pPr>
        <w:autoSpaceDE w:val="0"/>
        <w:autoSpaceDN w:val="0"/>
        <w:adjustRightInd w:val="0"/>
        <w:rPr>
          <w:rFonts w:cs="Arial"/>
        </w:rPr>
      </w:pPr>
      <w:r>
        <w:rPr>
          <w:rFonts w:cs="Arial"/>
        </w:rPr>
        <w:t>A review of colorectal cancer cases diagnosed in the first two years that the Australian NBCSP was operating found 40% of NBCSP-detected cancers were Stage I and 3% were Stage IV (Ananda et al 2009).</w:t>
      </w:r>
    </w:p>
    <w:p w:rsidR="003B7E5A" w:rsidRDefault="003B7E5A" w:rsidP="003B7E5A">
      <w:pPr>
        <w:autoSpaceDE w:val="0"/>
        <w:autoSpaceDN w:val="0"/>
        <w:adjustRightInd w:val="0"/>
        <w:rPr>
          <w:rFonts w:cs="Arial"/>
        </w:rPr>
      </w:pPr>
      <w:r>
        <w:rPr>
          <w:rFonts w:cs="Arial"/>
        </w:rPr>
        <w:t>The UK pilot used the guaiac faecal occult blood test so the results are not directly comparable. The cancer</w:t>
      </w:r>
      <w:r w:rsidRPr="00842392">
        <w:rPr>
          <w:rFonts w:cs="Arial"/>
        </w:rPr>
        <w:t xml:space="preserve"> detection </w:t>
      </w:r>
      <w:r>
        <w:rPr>
          <w:rFonts w:cs="Arial"/>
        </w:rPr>
        <w:t xml:space="preserve">rate was </w:t>
      </w:r>
      <w:r w:rsidRPr="00842392">
        <w:rPr>
          <w:rFonts w:cs="Arial"/>
        </w:rPr>
        <w:t>1.26 per 1</w:t>
      </w:r>
      <w:r>
        <w:rPr>
          <w:rFonts w:cs="Arial"/>
        </w:rPr>
        <w:t>,</w:t>
      </w:r>
      <w:r w:rsidRPr="00842392">
        <w:rPr>
          <w:rFonts w:cs="Arial"/>
        </w:rPr>
        <w:t>000 screened in England and 1.99 per 1</w:t>
      </w:r>
      <w:r>
        <w:rPr>
          <w:rFonts w:cs="Arial"/>
        </w:rPr>
        <w:t>,</w:t>
      </w:r>
      <w:r w:rsidRPr="00842392">
        <w:rPr>
          <w:rFonts w:cs="Arial"/>
        </w:rPr>
        <w:t>000 screened in Scotland</w:t>
      </w:r>
      <w:r>
        <w:rPr>
          <w:rFonts w:cs="Arial"/>
        </w:rPr>
        <w:t xml:space="preserve"> </w:t>
      </w:r>
      <w:r w:rsidRPr="0017034B">
        <w:rPr>
          <w:rFonts w:cs="Arial"/>
        </w:rPr>
        <w:t>(Weller et al 2006).</w:t>
      </w:r>
      <w:r>
        <w:rPr>
          <w:rFonts w:cs="Arial"/>
        </w:rPr>
        <w:t xml:space="preserve"> Staging results for the UK pilot after the first invitation round were 48% at Dukes’ A and 1% at Dukes’ D (UK Colorectal Cancer Screening Pilot Group 2004). After three rounds of invitation for prevalence screening in Scotland, the proportion of cancers detected at Stage I (Dukes’ A) was 46.5% and 6% were Stage IV (Dukes’ D) (Steele et al 2010). </w:t>
      </w:r>
      <w:r w:rsidRPr="00744428">
        <w:rPr>
          <w:rFonts w:cs="Arial"/>
        </w:rPr>
        <w:t xml:space="preserve">Reports of screening programmes that refer to staging </w:t>
      </w:r>
      <w:r>
        <w:rPr>
          <w:rFonts w:cs="Arial"/>
        </w:rPr>
        <w:t xml:space="preserve">have </w:t>
      </w:r>
      <w:r w:rsidRPr="00744428">
        <w:rPr>
          <w:rFonts w:cs="Arial"/>
        </w:rPr>
        <w:t>mostly used the Dukes</w:t>
      </w:r>
      <w:r>
        <w:rPr>
          <w:rFonts w:cs="Arial"/>
        </w:rPr>
        <w:t>’</w:t>
      </w:r>
      <w:r w:rsidRPr="00744428">
        <w:rPr>
          <w:rFonts w:cs="Arial"/>
        </w:rPr>
        <w:t xml:space="preserve"> </w:t>
      </w:r>
      <w:r>
        <w:rPr>
          <w:rFonts w:cs="Arial"/>
        </w:rPr>
        <w:t xml:space="preserve">staging </w:t>
      </w:r>
      <w:r w:rsidRPr="00744428">
        <w:rPr>
          <w:rFonts w:cs="Arial"/>
        </w:rPr>
        <w:t>system (Colorectal Cancer Screening Advisory Group 2006</w:t>
      </w:r>
      <w:r>
        <w:rPr>
          <w:rFonts w:cs="Arial"/>
        </w:rPr>
        <w:t>).</w:t>
      </w:r>
    </w:p>
    <w:p w:rsidR="003B7E5A" w:rsidRPr="008C130E" w:rsidRDefault="003B7E5A" w:rsidP="008C130E">
      <w:pPr>
        <w:pStyle w:val="Heading2"/>
      </w:pPr>
      <w:bookmarkStart w:id="195" w:name="_Toc390786681"/>
      <w:bookmarkStart w:id="196" w:name="_Toc406591711"/>
      <w:bookmarkStart w:id="197" w:name="_Toc406594644"/>
      <w:bookmarkStart w:id="198" w:name="_Toc406602090"/>
      <w:bookmarkStart w:id="199" w:name="_Toc406753460"/>
      <w:bookmarkStart w:id="200" w:name="_Toc412540034"/>
      <w:r w:rsidRPr="008C130E">
        <w:rPr>
          <w:rStyle w:val="Heading2Char"/>
          <w:b/>
        </w:rPr>
        <w:t>The self-selected population</w:t>
      </w:r>
      <w:bookmarkEnd w:id="195"/>
      <w:bookmarkEnd w:id="196"/>
      <w:bookmarkEnd w:id="197"/>
      <w:bookmarkEnd w:id="198"/>
      <w:bookmarkEnd w:id="199"/>
      <w:bookmarkEnd w:id="200"/>
      <w:r w:rsidRPr="008C130E">
        <w:t xml:space="preserve"> </w:t>
      </w:r>
    </w:p>
    <w:p w:rsidR="003B7E5A" w:rsidRPr="00A8661C" w:rsidRDefault="003B7E5A" w:rsidP="003B7E5A">
      <w:pPr>
        <w:rPr>
          <w:rFonts w:cs="Arial"/>
        </w:rPr>
      </w:pPr>
      <w:r w:rsidRPr="00A8661C">
        <w:rPr>
          <w:rFonts w:cs="Arial"/>
        </w:rPr>
        <w:t xml:space="preserve">The self-selected population comprised people in the eligible population who were not </w:t>
      </w:r>
      <w:r>
        <w:rPr>
          <w:rFonts w:cs="Arial"/>
        </w:rPr>
        <w:t xml:space="preserve">on </w:t>
      </w:r>
      <w:r w:rsidRPr="00A8661C">
        <w:rPr>
          <w:rFonts w:cs="Arial"/>
        </w:rPr>
        <w:t xml:space="preserve">the BSP </w:t>
      </w:r>
      <w:r>
        <w:rPr>
          <w:rFonts w:cs="Arial"/>
        </w:rPr>
        <w:t>R</w:t>
      </w:r>
      <w:r w:rsidRPr="00A8661C">
        <w:rPr>
          <w:rFonts w:cs="Arial"/>
        </w:rPr>
        <w:t>egister (</w:t>
      </w:r>
      <w:r w:rsidR="003D209D" w:rsidRPr="00A8661C">
        <w:rPr>
          <w:rFonts w:cs="Arial"/>
        </w:rPr>
        <w:t>e.g.</w:t>
      </w:r>
      <w:r w:rsidRPr="00A8661C">
        <w:rPr>
          <w:rFonts w:cs="Arial"/>
        </w:rPr>
        <w:t>, no N</w:t>
      </w:r>
      <w:r>
        <w:rPr>
          <w:rFonts w:cs="Arial"/>
        </w:rPr>
        <w:t xml:space="preserve">ational </w:t>
      </w:r>
      <w:r w:rsidRPr="00A8661C">
        <w:rPr>
          <w:rFonts w:cs="Arial"/>
        </w:rPr>
        <w:t>H</w:t>
      </w:r>
      <w:r>
        <w:rPr>
          <w:rFonts w:cs="Arial"/>
        </w:rPr>
        <w:t xml:space="preserve">ealth </w:t>
      </w:r>
      <w:r w:rsidRPr="00A8661C">
        <w:rPr>
          <w:rFonts w:cs="Arial"/>
        </w:rPr>
        <w:t>I</w:t>
      </w:r>
      <w:r>
        <w:rPr>
          <w:rFonts w:cs="Arial"/>
        </w:rPr>
        <w:t>ndex</w:t>
      </w:r>
      <w:r w:rsidRPr="00A8661C">
        <w:rPr>
          <w:rFonts w:cs="Arial"/>
        </w:rPr>
        <w:t>, moved into the area) but</w:t>
      </w:r>
      <w:r>
        <w:rPr>
          <w:rFonts w:cs="Arial"/>
        </w:rPr>
        <w:t xml:space="preserve"> who</w:t>
      </w:r>
      <w:r w:rsidRPr="00A8661C">
        <w:rPr>
          <w:rFonts w:cs="Arial"/>
        </w:rPr>
        <w:t xml:space="preserve"> requested screening</w:t>
      </w:r>
      <w:r>
        <w:rPr>
          <w:rFonts w:cs="Arial"/>
        </w:rPr>
        <w:t>,</w:t>
      </w:r>
      <w:r w:rsidRPr="00A8661C">
        <w:rPr>
          <w:rFonts w:cs="Arial"/>
        </w:rPr>
        <w:t xml:space="preserve"> and </w:t>
      </w:r>
      <w:r w:rsidRPr="00652862">
        <w:rPr>
          <w:rFonts w:cs="Arial"/>
        </w:rPr>
        <w:t xml:space="preserve">people </w:t>
      </w:r>
      <w:r>
        <w:rPr>
          <w:rFonts w:cs="Arial"/>
        </w:rPr>
        <w:t xml:space="preserve">on the Register </w:t>
      </w:r>
      <w:r w:rsidRPr="00652862">
        <w:rPr>
          <w:rFonts w:cs="Arial"/>
        </w:rPr>
        <w:t xml:space="preserve">who requested screening before they received an invitation. The latter group </w:t>
      </w:r>
      <w:r>
        <w:rPr>
          <w:rFonts w:cs="Arial"/>
        </w:rPr>
        <w:t xml:space="preserve">included </w:t>
      </w:r>
      <w:r w:rsidRPr="00A8661C">
        <w:rPr>
          <w:rFonts w:cs="Arial"/>
        </w:rPr>
        <w:t>Māori</w:t>
      </w:r>
      <w:r>
        <w:rPr>
          <w:rFonts w:cs="Arial"/>
        </w:rPr>
        <w:t xml:space="preserve"> and Pacific people who </w:t>
      </w:r>
      <w:r w:rsidRPr="00652862">
        <w:rPr>
          <w:rFonts w:cs="Arial"/>
        </w:rPr>
        <w:t>may have attended</w:t>
      </w:r>
      <w:r>
        <w:rPr>
          <w:rFonts w:cs="Arial"/>
        </w:rPr>
        <w:t xml:space="preserve"> </w:t>
      </w:r>
      <w:r w:rsidRPr="00A8661C">
        <w:rPr>
          <w:rFonts w:cs="Arial"/>
        </w:rPr>
        <w:t xml:space="preserve">a community education session or </w:t>
      </w:r>
      <w:proofErr w:type="gramStart"/>
      <w:r w:rsidRPr="00A8661C">
        <w:rPr>
          <w:rFonts w:cs="Arial"/>
        </w:rPr>
        <w:t>hui</w:t>
      </w:r>
      <w:proofErr w:type="gramEnd"/>
      <w:r w:rsidRPr="00A8661C">
        <w:rPr>
          <w:rFonts w:cs="Arial"/>
        </w:rPr>
        <w:t xml:space="preserve"> and express</w:t>
      </w:r>
      <w:r>
        <w:rPr>
          <w:rFonts w:cs="Arial"/>
        </w:rPr>
        <w:t>ed</w:t>
      </w:r>
      <w:r w:rsidRPr="00A8661C">
        <w:rPr>
          <w:rFonts w:cs="Arial"/>
        </w:rPr>
        <w:t xml:space="preserve"> an interest to take part in the BSP.  Health promoters </w:t>
      </w:r>
      <w:r>
        <w:rPr>
          <w:rFonts w:cs="Arial"/>
        </w:rPr>
        <w:t xml:space="preserve">then </w:t>
      </w:r>
      <w:r w:rsidRPr="00A8661C">
        <w:rPr>
          <w:rFonts w:cs="Arial"/>
        </w:rPr>
        <w:t>notif</w:t>
      </w:r>
      <w:r>
        <w:rPr>
          <w:rFonts w:cs="Arial"/>
        </w:rPr>
        <w:t>ied</w:t>
      </w:r>
      <w:r w:rsidRPr="00A8661C">
        <w:rPr>
          <w:rFonts w:cs="Arial"/>
        </w:rPr>
        <w:t xml:space="preserve"> the Coordination Centre and an invitation letter and iFOBT kit </w:t>
      </w:r>
      <w:r>
        <w:rPr>
          <w:rFonts w:cs="Arial"/>
        </w:rPr>
        <w:t>was</w:t>
      </w:r>
      <w:r w:rsidRPr="00A8661C">
        <w:rPr>
          <w:rFonts w:cs="Arial"/>
        </w:rPr>
        <w:t xml:space="preserve"> sent out.  </w:t>
      </w:r>
    </w:p>
    <w:p w:rsidR="003B7E5A" w:rsidRDefault="003B7E5A" w:rsidP="003B7E5A">
      <w:pPr>
        <w:rPr>
          <w:rFonts w:cs="Arial"/>
        </w:rPr>
      </w:pPr>
      <w:r>
        <w:rPr>
          <w:rFonts w:cs="Arial"/>
        </w:rPr>
        <w:t>There were 1,895 eligible</w:t>
      </w:r>
      <w:r w:rsidRPr="00697D47">
        <w:rPr>
          <w:rStyle w:val="FootnoteReference"/>
        </w:rPr>
        <w:footnoteReference w:id="41"/>
      </w:r>
      <w:r>
        <w:rPr>
          <w:rFonts w:cs="Arial"/>
        </w:rPr>
        <w:t xml:space="preserve"> people in this group – 1,555 Europeans, 183 Asians, 43 Pacific and 71 </w:t>
      </w:r>
      <w:r w:rsidRPr="00A8661C">
        <w:rPr>
          <w:rFonts w:cs="Arial"/>
        </w:rPr>
        <w:t>Māori</w:t>
      </w:r>
      <w:r>
        <w:rPr>
          <w:rFonts w:cs="Arial"/>
        </w:rPr>
        <w:t xml:space="preserve">. Ethnicity data were missing for 31 people. </w:t>
      </w:r>
      <w:r w:rsidRPr="00EF07FF">
        <w:rPr>
          <w:rFonts w:cs="Arial"/>
        </w:rPr>
        <w:t>The Register records some people as being both self-registered and self-referred (see Appendix – Data Quality). There were 1,580 self-referred people of whom 41 were Pacific and 60 Māori.</w:t>
      </w:r>
    </w:p>
    <w:p w:rsidR="003B7E5A" w:rsidRPr="00BE6BEC" w:rsidRDefault="003B7E5A" w:rsidP="003B7E5A">
      <w:pPr>
        <w:rPr>
          <w:rFonts w:cs="Arial"/>
        </w:rPr>
      </w:pPr>
      <w:r>
        <w:rPr>
          <w:rFonts w:cs="Arial"/>
        </w:rPr>
        <w:lastRenderedPageBreak/>
        <w:t>Eighty-eight percent (n=</w:t>
      </w:r>
      <w:r w:rsidRPr="00BE6BEC">
        <w:rPr>
          <w:rFonts w:cs="Arial"/>
        </w:rPr>
        <w:t>1,676</w:t>
      </w:r>
      <w:r>
        <w:rPr>
          <w:rFonts w:cs="Arial"/>
        </w:rPr>
        <w:t xml:space="preserve">) </w:t>
      </w:r>
      <w:r w:rsidRPr="00BE6BEC">
        <w:rPr>
          <w:rFonts w:cs="Arial"/>
        </w:rPr>
        <w:t xml:space="preserve">returned an adequate kit </w:t>
      </w:r>
      <w:r>
        <w:rPr>
          <w:rFonts w:cs="Arial"/>
        </w:rPr>
        <w:t>compared with</w:t>
      </w:r>
      <w:r w:rsidRPr="00BE6BEC">
        <w:rPr>
          <w:rFonts w:cs="Arial"/>
        </w:rPr>
        <w:t xml:space="preserve"> 98% of the non-self-selec</w:t>
      </w:r>
      <w:r>
        <w:rPr>
          <w:rFonts w:cs="Arial"/>
        </w:rPr>
        <w:t>t</w:t>
      </w:r>
      <w:r w:rsidRPr="00BE6BEC">
        <w:rPr>
          <w:rFonts w:cs="Arial"/>
        </w:rPr>
        <w:t>ed population</w:t>
      </w:r>
      <w:r>
        <w:rPr>
          <w:rFonts w:cs="Arial"/>
        </w:rPr>
        <w:t>.</w:t>
      </w:r>
    </w:p>
    <w:p w:rsidR="003B7E5A" w:rsidRDefault="003B7E5A" w:rsidP="003B7E5A">
      <w:pPr>
        <w:rPr>
          <w:rFonts w:cs="Arial"/>
        </w:rPr>
      </w:pPr>
      <w:r>
        <w:rPr>
          <w:rFonts w:cs="Arial"/>
        </w:rPr>
        <w:t xml:space="preserve">For all results see the </w:t>
      </w:r>
      <w:r w:rsidRPr="002336ED">
        <w:rPr>
          <w:rFonts w:cs="Arial"/>
        </w:rPr>
        <w:t>Appendix</w:t>
      </w:r>
      <w:r w:rsidR="002336ED" w:rsidRPr="002336ED">
        <w:rPr>
          <w:rFonts w:cs="Arial"/>
        </w:rPr>
        <w:t xml:space="preserve"> 1</w:t>
      </w:r>
      <w:r w:rsidRPr="002336ED">
        <w:rPr>
          <w:rFonts w:cs="Arial"/>
        </w:rPr>
        <w:t>, Table 5.</w:t>
      </w:r>
    </w:p>
    <w:p w:rsidR="003B7E5A" w:rsidRDefault="003B7E5A" w:rsidP="003B7E5A">
      <w:pPr>
        <w:rPr>
          <w:rFonts w:cs="Arial"/>
        </w:rPr>
      </w:pPr>
      <w:r w:rsidRPr="00744428">
        <w:rPr>
          <w:rFonts w:cs="Arial"/>
        </w:rPr>
        <w:t>P</w:t>
      </w:r>
      <w:r>
        <w:rPr>
          <w:rFonts w:cs="Arial"/>
        </w:rPr>
        <w:t>articipation was highest among p</w:t>
      </w:r>
      <w:r w:rsidRPr="00744428">
        <w:rPr>
          <w:rFonts w:cs="Arial"/>
        </w:rPr>
        <w:t>eople aged 65-69</w:t>
      </w:r>
      <w:r>
        <w:rPr>
          <w:rFonts w:cs="Arial"/>
        </w:rPr>
        <w:t xml:space="preserve"> and 70-74 years. People aged 70-74 years were five times more likely to participate than those aged 50-54 years.</w:t>
      </w:r>
      <w:r w:rsidRPr="00744428">
        <w:rPr>
          <w:rFonts w:cs="Arial"/>
        </w:rPr>
        <w:t xml:space="preserve"> </w:t>
      </w:r>
      <w:r>
        <w:rPr>
          <w:rFonts w:cs="Arial"/>
        </w:rPr>
        <w:t>Unlike the non-self-selected population, there was no statistically significant difference in participation by sex.</w:t>
      </w:r>
    </w:p>
    <w:p w:rsidR="003B7E5A" w:rsidRDefault="003B7E5A" w:rsidP="003B7E5A">
      <w:pPr>
        <w:rPr>
          <w:rFonts w:cs="Arial"/>
        </w:rPr>
      </w:pPr>
      <w:r>
        <w:rPr>
          <w:rFonts w:cs="Arial"/>
        </w:rPr>
        <w:t>Almost 85% of the self-selected group who returned an adequate kit were European.</w:t>
      </w:r>
    </w:p>
    <w:p w:rsidR="003B7E5A" w:rsidRDefault="003B7E5A" w:rsidP="003B7E5A">
      <w:pPr>
        <w:rPr>
          <w:rFonts w:cs="Arial"/>
        </w:rPr>
      </w:pPr>
      <w:r>
        <w:rPr>
          <w:rFonts w:cs="Arial"/>
        </w:rPr>
        <w:t xml:space="preserve">Asians were almost half </w:t>
      </w:r>
      <w:proofErr w:type="gramStart"/>
      <w:r>
        <w:rPr>
          <w:rFonts w:cs="Arial"/>
        </w:rPr>
        <w:t>as likely to participate than</w:t>
      </w:r>
      <w:proofErr w:type="gramEnd"/>
      <w:r>
        <w:rPr>
          <w:rFonts w:cs="Arial"/>
        </w:rPr>
        <w:t xml:space="preserve"> Europeans</w:t>
      </w:r>
      <w:r w:rsidRPr="00744428">
        <w:rPr>
          <w:rFonts w:cs="Arial"/>
        </w:rPr>
        <w:t xml:space="preserve"> and Pacific people</w:t>
      </w:r>
      <w:r>
        <w:rPr>
          <w:rFonts w:cs="Arial"/>
        </w:rPr>
        <w:t xml:space="preserve"> were almost three times less likely to participate than Europeans. Whilst </w:t>
      </w:r>
      <w:r w:rsidRPr="00744428">
        <w:rPr>
          <w:rFonts w:cs="Arial"/>
        </w:rPr>
        <w:t>Māori</w:t>
      </w:r>
      <w:r>
        <w:rPr>
          <w:rFonts w:cs="Arial"/>
        </w:rPr>
        <w:t xml:space="preserve"> were also less likely to participate than Europeans, this difference was not statistically significant. The differences between </w:t>
      </w:r>
      <w:r w:rsidRPr="00744428">
        <w:rPr>
          <w:rFonts w:cs="Arial"/>
        </w:rPr>
        <w:t xml:space="preserve">Māori </w:t>
      </w:r>
      <w:r>
        <w:rPr>
          <w:rFonts w:cs="Arial"/>
        </w:rPr>
        <w:t xml:space="preserve">and European, and Pacific and European participation were less than with the non-self-selected population. This may reflect the fact that </w:t>
      </w:r>
      <w:r w:rsidRPr="00744428">
        <w:rPr>
          <w:rFonts w:cs="Arial"/>
        </w:rPr>
        <w:t>Māori</w:t>
      </w:r>
      <w:r>
        <w:rPr>
          <w:rFonts w:cs="Arial"/>
        </w:rPr>
        <w:t xml:space="preserve"> and Pacific were able to self-refer. </w:t>
      </w:r>
    </w:p>
    <w:p w:rsidR="003B7E5A" w:rsidRPr="00744428" w:rsidRDefault="003B7E5A" w:rsidP="003B7E5A">
      <w:pPr>
        <w:rPr>
          <w:rFonts w:cs="Arial"/>
        </w:rPr>
      </w:pPr>
      <w:r>
        <w:rPr>
          <w:rFonts w:cs="Arial"/>
        </w:rPr>
        <w:t>People living in the NZDep 5-6 quintile area were almost twice as likely to participate as those living in the least deprived quintile area.</w:t>
      </w:r>
    </w:p>
    <w:p w:rsidR="003B7E5A" w:rsidRPr="00744428" w:rsidRDefault="003B7E5A" w:rsidP="003B7E5A">
      <w:pPr>
        <w:rPr>
          <w:rFonts w:cs="Arial"/>
        </w:rPr>
      </w:pPr>
      <w:r w:rsidRPr="00744428">
        <w:rPr>
          <w:rFonts w:cs="Arial"/>
        </w:rPr>
        <w:t>Of th</w:t>
      </w:r>
      <w:r>
        <w:rPr>
          <w:rFonts w:cs="Arial"/>
        </w:rPr>
        <w:t>ose who returned an adequate kit</w:t>
      </w:r>
      <w:r w:rsidRPr="00744428">
        <w:rPr>
          <w:rFonts w:cs="Arial"/>
        </w:rPr>
        <w:t xml:space="preserve">, </w:t>
      </w:r>
      <w:r>
        <w:rPr>
          <w:rFonts w:cs="Arial"/>
        </w:rPr>
        <w:t xml:space="preserve">9.3% </w:t>
      </w:r>
      <w:r w:rsidRPr="00744428">
        <w:rPr>
          <w:rFonts w:cs="Arial"/>
        </w:rPr>
        <w:t>had a positive iFOBT result.</w:t>
      </w:r>
      <w:r>
        <w:rPr>
          <w:rFonts w:cs="Arial"/>
        </w:rPr>
        <w:t xml:space="preserve"> </w:t>
      </w:r>
      <w:r w:rsidRPr="00B76FF1">
        <w:rPr>
          <w:rFonts w:cs="Arial"/>
        </w:rPr>
        <w:t>The positivity rate was higher than in the non-self-selected eligible population.</w:t>
      </w:r>
    </w:p>
    <w:p w:rsidR="003B7E5A" w:rsidRDefault="003B7E5A" w:rsidP="003B7E5A">
      <w:pPr>
        <w:rPr>
          <w:rFonts w:cs="Arial"/>
        </w:rPr>
      </w:pPr>
      <w:r>
        <w:rPr>
          <w:rFonts w:cs="Arial"/>
        </w:rPr>
        <w:t>Almost 90</w:t>
      </w:r>
      <w:r w:rsidRPr="00744428">
        <w:rPr>
          <w:rFonts w:cs="Arial"/>
        </w:rPr>
        <w:t xml:space="preserve">% </w:t>
      </w:r>
      <w:r>
        <w:rPr>
          <w:rFonts w:cs="Arial"/>
        </w:rPr>
        <w:t xml:space="preserve">(n=140) </w:t>
      </w:r>
      <w:r w:rsidRPr="00744428">
        <w:rPr>
          <w:rFonts w:cs="Arial"/>
        </w:rPr>
        <w:t>had a publicly funded colonoscopy</w:t>
      </w:r>
      <w:r>
        <w:rPr>
          <w:rFonts w:cs="Arial"/>
        </w:rPr>
        <w:t>.</w:t>
      </w:r>
    </w:p>
    <w:p w:rsidR="003B7E5A" w:rsidRPr="00252064" w:rsidRDefault="003B7E5A" w:rsidP="003B7E5A">
      <w:pPr>
        <w:rPr>
          <w:rFonts w:cs="Arial"/>
          <w:b/>
        </w:rPr>
      </w:pPr>
      <w:r w:rsidRPr="00744428">
        <w:rPr>
          <w:rFonts w:cs="Arial"/>
        </w:rPr>
        <w:t xml:space="preserve">There were </w:t>
      </w:r>
      <w:r>
        <w:rPr>
          <w:rFonts w:cs="Arial"/>
        </w:rPr>
        <w:t>79</w:t>
      </w:r>
      <w:r w:rsidRPr="00744428">
        <w:rPr>
          <w:rFonts w:cs="Arial"/>
        </w:rPr>
        <w:t xml:space="preserve"> p</w:t>
      </w:r>
      <w:r>
        <w:rPr>
          <w:rFonts w:cs="Arial"/>
        </w:rPr>
        <w:t>eople</w:t>
      </w:r>
      <w:r w:rsidRPr="00744428">
        <w:rPr>
          <w:rFonts w:cs="Arial"/>
        </w:rPr>
        <w:t xml:space="preserve"> who had at least one adenoma and no cancer detected. There were </w:t>
      </w:r>
      <w:r>
        <w:rPr>
          <w:rFonts w:cs="Arial"/>
        </w:rPr>
        <w:t>47</w:t>
      </w:r>
      <w:r w:rsidRPr="00744428">
        <w:rPr>
          <w:rFonts w:cs="Arial"/>
        </w:rPr>
        <w:t xml:space="preserve"> p</w:t>
      </w:r>
      <w:r>
        <w:rPr>
          <w:rFonts w:cs="Arial"/>
        </w:rPr>
        <w:t>eople</w:t>
      </w:r>
      <w:r w:rsidRPr="00744428">
        <w:rPr>
          <w:rFonts w:cs="Arial"/>
        </w:rPr>
        <w:t xml:space="preserve"> who had at least one advanced adenoma and no cancer detected. </w:t>
      </w:r>
      <w:r>
        <w:rPr>
          <w:rFonts w:cs="Arial"/>
        </w:rPr>
        <w:t xml:space="preserve">One Pacific person and three </w:t>
      </w:r>
      <w:r w:rsidRPr="00744428">
        <w:rPr>
          <w:rFonts w:cs="Arial"/>
        </w:rPr>
        <w:t>Māori</w:t>
      </w:r>
      <w:r>
        <w:rPr>
          <w:rFonts w:cs="Arial"/>
        </w:rPr>
        <w:t xml:space="preserve"> people had an adenoma, one of whom had an advanced adenoma. Eleven</w:t>
      </w:r>
      <w:r w:rsidRPr="00744428">
        <w:rPr>
          <w:rFonts w:cs="Arial"/>
        </w:rPr>
        <w:t xml:space="preserve"> p</w:t>
      </w:r>
      <w:r>
        <w:rPr>
          <w:rFonts w:cs="Arial"/>
        </w:rPr>
        <w:t>eople from this group,</w:t>
      </w:r>
      <w:r w:rsidRPr="00744428">
        <w:rPr>
          <w:rFonts w:cs="Arial"/>
        </w:rPr>
        <w:t xml:space="preserve"> </w:t>
      </w:r>
      <w:r>
        <w:rPr>
          <w:rFonts w:cs="Arial"/>
        </w:rPr>
        <w:t xml:space="preserve">all European, </w:t>
      </w:r>
      <w:r w:rsidRPr="00744428">
        <w:rPr>
          <w:rFonts w:cs="Arial"/>
        </w:rPr>
        <w:t>had cancer detected</w:t>
      </w:r>
      <w:r>
        <w:rPr>
          <w:rFonts w:cs="Arial"/>
        </w:rPr>
        <w:t xml:space="preserve">. </w:t>
      </w:r>
    </w:p>
    <w:p w:rsidR="003B7E5A" w:rsidRPr="00744428" w:rsidRDefault="003B7E5A" w:rsidP="003B7E5A">
      <w:pPr>
        <w:rPr>
          <w:rFonts w:cs="Arial"/>
        </w:rPr>
      </w:pPr>
      <w:r w:rsidRPr="00744428">
        <w:rPr>
          <w:rFonts w:cs="Arial"/>
        </w:rPr>
        <w:t xml:space="preserve">The overall detection rate of adenoma was </w:t>
      </w:r>
      <w:r>
        <w:rPr>
          <w:rFonts w:cs="Arial"/>
        </w:rPr>
        <w:t>4.7</w:t>
      </w:r>
      <w:r w:rsidRPr="00744428">
        <w:rPr>
          <w:rFonts w:cs="Arial"/>
        </w:rPr>
        <w:t xml:space="preserve">%, advanced adenoma </w:t>
      </w:r>
      <w:r>
        <w:rPr>
          <w:rFonts w:cs="Arial"/>
        </w:rPr>
        <w:t>was 2.8</w:t>
      </w:r>
      <w:r w:rsidRPr="00744428">
        <w:rPr>
          <w:rFonts w:cs="Arial"/>
        </w:rPr>
        <w:t xml:space="preserve">%, and cancer </w:t>
      </w:r>
      <w:r>
        <w:rPr>
          <w:rFonts w:cs="Arial"/>
        </w:rPr>
        <w:t>was 0.7</w:t>
      </w:r>
      <w:r w:rsidRPr="00744428">
        <w:rPr>
          <w:rFonts w:cs="Arial"/>
        </w:rPr>
        <w:t xml:space="preserve">%.  </w:t>
      </w:r>
      <w:r w:rsidRPr="00BE1BCF">
        <w:rPr>
          <w:rFonts w:cs="Arial"/>
        </w:rPr>
        <w:t>These detection rates are higher than those found in the non-self-selected eligible population.</w:t>
      </w:r>
    </w:p>
    <w:p w:rsidR="003B7E5A" w:rsidRDefault="003B7E5A" w:rsidP="003B7E5A">
      <w:pPr>
        <w:rPr>
          <w:rFonts w:cs="Arial"/>
        </w:rPr>
      </w:pPr>
      <w:r>
        <w:rPr>
          <w:rFonts w:cs="Arial"/>
        </w:rPr>
        <w:t>Outcomes did not significantly differ by ethnicity.</w:t>
      </w:r>
    </w:p>
    <w:p w:rsidR="003B7E5A" w:rsidRDefault="003B7E5A" w:rsidP="003B7E5A">
      <w:pPr>
        <w:rPr>
          <w:rFonts w:cs="Arial"/>
        </w:rPr>
      </w:pPr>
      <w:r>
        <w:rPr>
          <w:rFonts w:cs="Arial"/>
        </w:rPr>
        <w:t>A positive iFOBT result and detection of adenoma were more likely among males compared with females, and the 70-74 year age group than the 50-54 year age group.</w:t>
      </w:r>
    </w:p>
    <w:p w:rsidR="003B7E5A" w:rsidRDefault="003B7E5A" w:rsidP="003B7E5A">
      <w:pPr>
        <w:rPr>
          <w:rFonts w:cs="Arial"/>
        </w:rPr>
      </w:pPr>
      <w:r>
        <w:rPr>
          <w:rFonts w:cs="Arial"/>
        </w:rPr>
        <w:t>Positivity</w:t>
      </w:r>
      <w:r w:rsidRPr="00776D18">
        <w:rPr>
          <w:rFonts w:cs="Arial"/>
        </w:rPr>
        <w:t xml:space="preserve"> </w:t>
      </w:r>
      <w:r>
        <w:rPr>
          <w:rFonts w:cs="Arial"/>
        </w:rPr>
        <w:t>was 3.5 times more likely in the most deprived quintile area (NZDep 9-10) compared with the least deprived quintile area (NZDep1-2). Advanced adenoma was between three and seven times more likely in the two most deprived quintile areas (NZDep 7-8 and 9-10) compared with the least deprived quintile area.</w:t>
      </w:r>
    </w:p>
    <w:p w:rsidR="003B7E5A" w:rsidRPr="00416004" w:rsidRDefault="003B7E5A" w:rsidP="003B7E5A">
      <w:pPr>
        <w:rPr>
          <w:rFonts w:cs="Arial"/>
          <w:b/>
          <w:i/>
        </w:rPr>
      </w:pPr>
      <w:r w:rsidRPr="00416004">
        <w:rPr>
          <w:rFonts w:cs="Arial"/>
          <w:b/>
          <w:i/>
        </w:rPr>
        <w:t>Discussion</w:t>
      </w:r>
    </w:p>
    <w:p w:rsidR="003B7E5A" w:rsidRDefault="003B7E5A" w:rsidP="003B7E5A">
      <w:pPr>
        <w:rPr>
          <w:rFonts w:cs="Arial"/>
        </w:rPr>
      </w:pPr>
      <w:r>
        <w:rPr>
          <w:rFonts w:cs="Arial"/>
        </w:rPr>
        <w:t xml:space="preserve">The lack of difference in participation between males and females, and higher participation among people living in the middle deprivation areas rather than the least deprived areas, may explain the higher positivity and detection rates for all outcomes for the self-selected group. It is also possible that this group included people who were symptomatic, and therefore motivated to self-register or self-refer. </w:t>
      </w:r>
    </w:p>
    <w:p w:rsidR="003B7E5A" w:rsidRPr="008C130E" w:rsidRDefault="003B7E5A" w:rsidP="008C130E">
      <w:pPr>
        <w:pStyle w:val="Heading2"/>
      </w:pPr>
      <w:bookmarkStart w:id="201" w:name="_Toc390786682"/>
      <w:bookmarkStart w:id="202" w:name="_Toc406591712"/>
      <w:bookmarkStart w:id="203" w:name="_Toc406594645"/>
      <w:bookmarkStart w:id="204" w:name="_Toc406602091"/>
      <w:bookmarkStart w:id="205" w:name="_Toc406753461"/>
      <w:bookmarkStart w:id="206" w:name="_Toc412540035"/>
      <w:r w:rsidRPr="008C130E">
        <w:rPr>
          <w:rStyle w:val="Heading2Char"/>
          <w:b/>
        </w:rPr>
        <w:lastRenderedPageBreak/>
        <w:t>Adverse events</w:t>
      </w:r>
      <w:bookmarkEnd w:id="201"/>
      <w:bookmarkEnd w:id="202"/>
      <w:bookmarkEnd w:id="203"/>
      <w:bookmarkEnd w:id="204"/>
      <w:bookmarkEnd w:id="205"/>
      <w:bookmarkEnd w:id="206"/>
      <w:r w:rsidRPr="008C130E">
        <w:t xml:space="preserve"> </w:t>
      </w:r>
    </w:p>
    <w:p w:rsidR="003B7E5A" w:rsidRDefault="003B7E5A" w:rsidP="003B7E5A">
      <w:pPr>
        <w:rPr>
          <w:rFonts w:cs="Arial"/>
        </w:rPr>
      </w:pPr>
      <w:r w:rsidRPr="00744428">
        <w:rPr>
          <w:rFonts w:cs="Arial"/>
        </w:rPr>
        <w:t>Data for readmissions for adverse events within 14</w:t>
      </w:r>
      <w:r>
        <w:rPr>
          <w:rFonts w:cs="Arial"/>
        </w:rPr>
        <w:t xml:space="preserve"> to 30</w:t>
      </w:r>
      <w:r w:rsidRPr="00697D47">
        <w:rPr>
          <w:rStyle w:val="FootnoteReference"/>
        </w:rPr>
        <w:footnoteReference w:id="42"/>
      </w:r>
      <w:r w:rsidRPr="00744428">
        <w:rPr>
          <w:rFonts w:cs="Arial"/>
        </w:rPr>
        <w:t xml:space="preserve"> days of colonoscopy were supplied </w:t>
      </w:r>
      <w:r>
        <w:rPr>
          <w:rFonts w:cs="Arial"/>
        </w:rPr>
        <w:t xml:space="preserve">as a spreadsheet from the WDHB </w:t>
      </w:r>
      <w:r w:rsidRPr="00744428">
        <w:rPr>
          <w:rFonts w:cs="Arial"/>
        </w:rPr>
        <w:t xml:space="preserve">separately from data </w:t>
      </w:r>
      <w:r>
        <w:rPr>
          <w:rFonts w:cs="Arial"/>
        </w:rPr>
        <w:t>provided by</w:t>
      </w:r>
      <w:r w:rsidRPr="00744428">
        <w:rPr>
          <w:rFonts w:cs="Arial"/>
        </w:rPr>
        <w:t xml:space="preserve"> the BSP </w:t>
      </w:r>
      <w:r>
        <w:rPr>
          <w:rFonts w:cs="Arial"/>
        </w:rPr>
        <w:t>R</w:t>
      </w:r>
      <w:r w:rsidRPr="00744428">
        <w:rPr>
          <w:rFonts w:cs="Arial"/>
        </w:rPr>
        <w:t xml:space="preserve">egister. Due to lack of matching with the </w:t>
      </w:r>
      <w:r>
        <w:rPr>
          <w:rFonts w:cs="Arial"/>
        </w:rPr>
        <w:t>R</w:t>
      </w:r>
      <w:r w:rsidRPr="00744428">
        <w:rPr>
          <w:rFonts w:cs="Arial"/>
        </w:rPr>
        <w:t>egister data,</w:t>
      </w:r>
      <w:r>
        <w:rPr>
          <w:rFonts w:cs="Arial"/>
        </w:rPr>
        <w:t xml:space="preserve"> these data may include some self-selected people, whose results for other analyses have been presented separately. The rates are based on all colonoscopies recorded in the BSP Register so include privately funded colonoscopies</w:t>
      </w:r>
      <w:r w:rsidRPr="00697D47">
        <w:rPr>
          <w:rStyle w:val="FootnoteReference"/>
        </w:rPr>
        <w:footnoteReference w:id="43"/>
      </w:r>
      <w:r>
        <w:rPr>
          <w:rFonts w:cs="Arial"/>
        </w:rPr>
        <w:t xml:space="preserve">. The data for both the denominator (all colonoscopies) and the numerator (readmissions) may be incomplete. </w:t>
      </w:r>
    </w:p>
    <w:p w:rsidR="003B7E5A" w:rsidRPr="00744428" w:rsidRDefault="003B7E5A" w:rsidP="003B7E5A">
      <w:pPr>
        <w:rPr>
          <w:rFonts w:cs="Arial"/>
        </w:rPr>
      </w:pPr>
      <w:r>
        <w:rPr>
          <w:rFonts w:cs="Arial"/>
        </w:rPr>
        <w:t>The post-colonoscopy complications of particular concern in colorectal cancer screening are perforation and bleeding. They are more common following colonoscopy with polypectomy (Chilton and Rutter 2011).</w:t>
      </w:r>
    </w:p>
    <w:p w:rsidR="003B7E5A" w:rsidRPr="00744428" w:rsidRDefault="003B7E5A" w:rsidP="003B7E5A">
      <w:pPr>
        <w:rPr>
          <w:rFonts w:cs="Arial"/>
        </w:rPr>
      </w:pPr>
      <w:r w:rsidRPr="00744428">
        <w:rPr>
          <w:rFonts w:cs="Arial"/>
        </w:rPr>
        <w:t xml:space="preserve">Forty-nine participants were </w:t>
      </w:r>
      <w:r w:rsidRPr="00A725C6">
        <w:rPr>
          <w:rFonts w:cs="Arial"/>
        </w:rPr>
        <w:t>readmitted (Appendix</w:t>
      </w:r>
      <w:r w:rsidR="00A725C6" w:rsidRPr="00A725C6">
        <w:rPr>
          <w:rFonts w:cs="Arial"/>
        </w:rPr>
        <w:t xml:space="preserve"> 1</w:t>
      </w:r>
      <w:r w:rsidRPr="00A725C6">
        <w:rPr>
          <w:rFonts w:cs="Arial"/>
        </w:rPr>
        <w:t>, Table 6).</w:t>
      </w:r>
      <w:r w:rsidRPr="00744428">
        <w:rPr>
          <w:rFonts w:cs="Arial"/>
        </w:rPr>
        <w:t xml:space="preserve"> The most common cause</w:t>
      </w:r>
      <w:r>
        <w:rPr>
          <w:rFonts w:cs="Arial"/>
        </w:rPr>
        <w:t>s</w:t>
      </w:r>
      <w:r w:rsidRPr="00744428">
        <w:rPr>
          <w:rFonts w:cs="Arial"/>
        </w:rPr>
        <w:t xml:space="preserve"> </w:t>
      </w:r>
      <w:r w:rsidRPr="00EF07FF">
        <w:rPr>
          <w:rFonts w:cs="Arial"/>
        </w:rPr>
        <w:t>for readmission were bleeding (n=31), abdominal pain (n=7) and perforation (n=5). All</w:t>
      </w:r>
      <w:r w:rsidRPr="00FC211D">
        <w:rPr>
          <w:rFonts w:cs="Arial"/>
        </w:rPr>
        <w:t xml:space="preserve"> readmissions for bleeding were associated with polypectomy.</w:t>
      </w:r>
    </w:p>
    <w:p w:rsidR="003B7E5A" w:rsidRPr="00744428" w:rsidRDefault="003B7E5A" w:rsidP="003B7E5A">
      <w:pPr>
        <w:rPr>
          <w:rFonts w:cs="Arial"/>
        </w:rPr>
      </w:pPr>
      <w:r w:rsidRPr="00744428">
        <w:rPr>
          <w:rFonts w:cs="Arial"/>
        </w:rPr>
        <w:t xml:space="preserve">The perforation rate was 1.2 per 1,000 </w:t>
      </w:r>
      <w:r>
        <w:rPr>
          <w:rFonts w:cs="Arial"/>
        </w:rPr>
        <w:t>colonoscopies</w:t>
      </w:r>
      <w:r w:rsidRPr="00744428">
        <w:rPr>
          <w:rFonts w:cs="Arial"/>
        </w:rPr>
        <w:t xml:space="preserve"> and the bleeding rate was 7.7 per 1,000 </w:t>
      </w:r>
      <w:r>
        <w:rPr>
          <w:rFonts w:cs="Arial"/>
        </w:rPr>
        <w:t>colonoscopies</w:t>
      </w:r>
      <w:r w:rsidRPr="00744428">
        <w:rPr>
          <w:rFonts w:cs="Arial"/>
        </w:rPr>
        <w:t xml:space="preserve">.  </w:t>
      </w:r>
      <w:r w:rsidRPr="00A725C6">
        <w:rPr>
          <w:rFonts w:cs="Arial"/>
        </w:rPr>
        <w:t>The rate for all other complications was 3.0 per 1,000 colonoscopies.</w:t>
      </w:r>
      <w:r>
        <w:rPr>
          <w:rFonts w:cs="Arial"/>
        </w:rPr>
        <w:t xml:space="preserve"> </w:t>
      </w:r>
      <w:r w:rsidRPr="00744428">
        <w:rPr>
          <w:rFonts w:cs="Arial"/>
        </w:rPr>
        <w:t xml:space="preserve"> There were no colonoscopy-related deaths.</w:t>
      </w:r>
    </w:p>
    <w:p w:rsidR="003B7E5A" w:rsidRPr="00416004" w:rsidRDefault="003B7E5A" w:rsidP="003B7E5A">
      <w:pPr>
        <w:rPr>
          <w:rFonts w:cs="Arial"/>
          <w:i/>
        </w:rPr>
      </w:pPr>
      <w:r w:rsidRPr="00416004">
        <w:rPr>
          <w:rFonts w:cs="Arial"/>
          <w:b/>
          <w:i/>
        </w:rPr>
        <w:t>Discussion</w:t>
      </w:r>
      <w:r w:rsidRPr="00416004">
        <w:rPr>
          <w:rFonts w:cs="Arial"/>
          <w:i/>
        </w:rPr>
        <w:t xml:space="preserve"> </w:t>
      </w:r>
    </w:p>
    <w:p w:rsidR="003B7E5A" w:rsidRDefault="003B7E5A" w:rsidP="003B7E5A">
      <w:pPr>
        <w:rPr>
          <w:rFonts w:cs="Arial"/>
        </w:rPr>
      </w:pPr>
      <w:r>
        <w:rPr>
          <w:rFonts w:cs="Arial"/>
        </w:rPr>
        <w:t>Different definitions for adverse events, particularly for bleeding and follow up periods, make direct comparisons with other reported data difficult.</w:t>
      </w:r>
    </w:p>
    <w:p w:rsidR="003B7E5A" w:rsidRDefault="003B7E5A" w:rsidP="003B7E5A">
      <w:pPr>
        <w:rPr>
          <w:rFonts w:cs="Arial"/>
        </w:rPr>
      </w:pPr>
      <w:r>
        <w:rPr>
          <w:rFonts w:cs="Arial"/>
        </w:rPr>
        <w:t>During the first screening round of the UK pilot, the admission rate for bleeding</w:t>
      </w:r>
      <w:r w:rsidRPr="00697D47">
        <w:rPr>
          <w:rStyle w:val="FootnoteReference"/>
        </w:rPr>
        <w:footnoteReference w:id="44"/>
      </w:r>
      <w:r>
        <w:rPr>
          <w:rFonts w:cs="Arial"/>
        </w:rPr>
        <w:t xml:space="preserve"> or abdominal pain was 2.4 per 1,000 colonoscopies. The perforation rate was 0.5 per 1,000 colonoscopies. The follow up period for adverse events post-colonoscopy was not reported (UK Colorectal Cancer Screening Pilot Group 2004).</w:t>
      </w:r>
    </w:p>
    <w:p w:rsidR="003B7E5A" w:rsidRDefault="003B7E5A" w:rsidP="003B7E5A">
      <w:pPr>
        <w:rPr>
          <w:rFonts w:cs="Arial"/>
        </w:rPr>
      </w:pPr>
      <w:r>
        <w:rPr>
          <w:rFonts w:cs="Arial"/>
        </w:rPr>
        <w:t xml:space="preserve">Adverse event data from the first three years of the National Health Service Bowel Cancer Screening Programme in England found the perforation rate was 0.9 per 1,000 colonoscopies and the bleeding rate was 4.1 per 1,000. There were no colonoscopy-related deaths. The period of follow up was 30 days and included events that did not result in admission (Lee et al 2012). The bleeding rate, although it appears to include an unpublished number of bleeding events that did not result in admission, was lower than that reported in the </w:t>
      </w:r>
      <w:r w:rsidRPr="003C2EDB">
        <w:rPr>
          <w:rFonts w:cs="Arial"/>
        </w:rPr>
        <w:t xml:space="preserve">BSP. </w:t>
      </w:r>
      <w:r w:rsidRPr="00391101">
        <w:rPr>
          <w:rFonts w:cs="Arial"/>
        </w:rPr>
        <w:t>This will be affected by the number of polypectomies, but BSP data were not available to explore this</w:t>
      </w:r>
      <w:r>
        <w:rPr>
          <w:rFonts w:cs="Arial"/>
        </w:rPr>
        <w:t>.</w:t>
      </w:r>
    </w:p>
    <w:p w:rsidR="003B7E5A" w:rsidRDefault="003B7E5A" w:rsidP="003B7E5A">
      <w:pPr>
        <w:rPr>
          <w:rFonts w:cs="Arial"/>
        </w:rPr>
      </w:pPr>
      <w:r>
        <w:rPr>
          <w:rFonts w:cs="Arial"/>
        </w:rPr>
        <w:t xml:space="preserve">The UK </w:t>
      </w:r>
      <w:r w:rsidRPr="00F2207C">
        <w:rPr>
          <w:rFonts w:cs="Arial"/>
          <w:i/>
        </w:rPr>
        <w:t>Quality assurance standards for colonoscopy</w:t>
      </w:r>
      <w:r>
        <w:rPr>
          <w:rFonts w:cs="Arial"/>
        </w:rPr>
        <w:t xml:space="preserve"> give a standard for perforation of less than 1 in 1,000 colonoscopies and less than 1 in 500 colonoscopies where polypectomy is carried out. The standard for bleeding is less than 1 in 100 colonoscopies where polypectomy is carried out (Chilton and Rutter 2011). The data supplied did not allow reliable calculation of rates for colonoscopies with polypectomy. The BSP monitoring indicator for perforation or bleeding is less than 10 in 1,000 colonoscopies (excluding </w:t>
      </w:r>
      <w:r>
        <w:rPr>
          <w:rFonts w:cs="Arial"/>
        </w:rPr>
        <w:lastRenderedPageBreak/>
        <w:t>privately funded colonoscopies). This has not been exceeded (personal communication, Ministry of Health).</w:t>
      </w:r>
    </w:p>
    <w:p w:rsidR="003B7E5A" w:rsidRDefault="003B7E5A" w:rsidP="008C130E">
      <w:pPr>
        <w:pStyle w:val="Heading2"/>
      </w:pPr>
      <w:bookmarkStart w:id="207" w:name="_Toc390786683"/>
      <w:bookmarkStart w:id="208" w:name="_Toc406591713"/>
      <w:bookmarkStart w:id="209" w:name="_Toc406594646"/>
      <w:bookmarkStart w:id="210" w:name="_Toc406602092"/>
      <w:bookmarkStart w:id="211" w:name="_Toc406753462"/>
      <w:bookmarkStart w:id="212" w:name="_Toc412540036"/>
      <w:r>
        <w:t>Conclusions</w:t>
      </w:r>
      <w:bookmarkEnd w:id="207"/>
      <w:bookmarkEnd w:id="208"/>
      <w:bookmarkEnd w:id="209"/>
      <w:bookmarkEnd w:id="210"/>
      <w:bookmarkEnd w:id="211"/>
      <w:bookmarkEnd w:id="212"/>
    </w:p>
    <w:p w:rsidR="003B7E5A" w:rsidRDefault="003B7E5A" w:rsidP="003B7E5A">
      <w:pPr>
        <w:rPr>
          <w:rFonts w:cs="Arial"/>
        </w:rPr>
      </w:pPr>
      <w:r>
        <w:rPr>
          <w:rFonts w:cs="Arial"/>
        </w:rPr>
        <w:t>The findings are largely similar to those found in other population-based colorectal screening programmes. Where there are differences (</w:t>
      </w:r>
      <w:r w:rsidR="003D209D">
        <w:rPr>
          <w:rFonts w:cs="Arial"/>
        </w:rPr>
        <w:t>e.g.</w:t>
      </w:r>
      <w:r>
        <w:rPr>
          <w:rFonts w:cs="Arial"/>
        </w:rPr>
        <w:t>,</w:t>
      </w:r>
      <w:r w:rsidRPr="009A56D4">
        <w:rPr>
          <w:rFonts w:cs="Arial"/>
        </w:rPr>
        <w:t xml:space="preserve"> </w:t>
      </w:r>
      <w:r>
        <w:rPr>
          <w:rFonts w:cs="Arial"/>
        </w:rPr>
        <w:t>lower PPV of a positive iFOBT for cancer) or the findings cannot be directly compared (</w:t>
      </w:r>
      <w:r w:rsidR="003D209D">
        <w:rPr>
          <w:rFonts w:cs="Arial"/>
        </w:rPr>
        <w:t>e.g.</w:t>
      </w:r>
      <w:r>
        <w:rPr>
          <w:rFonts w:cs="Arial"/>
        </w:rPr>
        <w:t>, adverse events), these have been noted in the discussion above.</w:t>
      </w:r>
    </w:p>
    <w:p w:rsidR="003B7E5A" w:rsidRDefault="003B7E5A" w:rsidP="003B7E5A">
      <w:pPr>
        <w:rPr>
          <w:rFonts w:cs="Arial"/>
        </w:rPr>
      </w:pPr>
      <w:r>
        <w:rPr>
          <w:rFonts w:cs="Arial"/>
        </w:rPr>
        <w:t>We recommend that the Ministry of Health comprehensively review the BSP Register and implement a robust data quality assurance programme. The evaluation has identified data quality issues that must be addressed as a high priority for the final evaluation and a national programme. Data quality issues include data definition</w:t>
      </w:r>
      <w:r w:rsidR="00FA6C28">
        <w:rPr>
          <w:rFonts w:cs="Arial"/>
        </w:rPr>
        <w:t>s</w:t>
      </w:r>
      <w:r>
        <w:rPr>
          <w:rFonts w:cs="Arial"/>
        </w:rPr>
        <w:t>, data inconsistencies, errors and data capture. Examples are given in the Appendix</w:t>
      </w:r>
      <w:r w:rsidR="007750B0">
        <w:rPr>
          <w:rFonts w:cs="Arial"/>
        </w:rPr>
        <w:t xml:space="preserve"> of the complete epidemiology report</w:t>
      </w:r>
      <w:r>
        <w:rPr>
          <w:rFonts w:cs="Arial"/>
        </w:rPr>
        <w:t>.</w:t>
      </w:r>
    </w:p>
    <w:p w:rsidR="003B7E5A" w:rsidRDefault="003B7E5A" w:rsidP="003B7E5A">
      <w:pPr>
        <w:rPr>
          <w:rFonts w:cs="Arial"/>
        </w:rPr>
      </w:pPr>
      <w:r>
        <w:rPr>
          <w:rFonts w:cs="Arial"/>
        </w:rPr>
        <w:t xml:space="preserve">A further high priority is to address the low participation among people living in the most deprived areas. More disease was found in this population group, irrespective of age, sex and ethnicity. </w:t>
      </w:r>
    </w:p>
    <w:p w:rsidR="003B7E5A" w:rsidRDefault="003B7E5A" w:rsidP="003B7E5A">
      <w:pPr>
        <w:rPr>
          <w:rFonts w:cs="Arial"/>
          <w:b/>
          <w:sz w:val="28"/>
          <w:szCs w:val="28"/>
        </w:rPr>
      </w:pPr>
      <w:r>
        <w:rPr>
          <w:rFonts w:cs="Arial"/>
        </w:rPr>
        <w:t xml:space="preserve">Further strategies are also needed to promote the BSP among the other low-uptake groups: Māori, males, Pacific people, and younger age groups. Māori were slightly more likely to have a positive iFOBT result than Europeans and there was suggestive evidence they were more likely to have disease. Males of all ages were more likely to have adenomas and advanced adenomas, and at older ages to have cancer, than females. </w:t>
      </w:r>
      <w:r w:rsidRPr="00987CB6">
        <w:rPr>
          <w:rFonts w:cs="Arial"/>
        </w:rPr>
        <w:t>Pacific people</w:t>
      </w:r>
      <w:r>
        <w:rPr>
          <w:rFonts w:cs="Arial"/>
        </w:rPr>
        <w:t>’s</w:t>
      </w:r>
      <w:r w:rsidRPr="00987CB6">
        <w:rPr>
          <w:rFonts w:cs="Arial"/>
        </w:rPr>
        <w:t xml:space="preserve"> </w:t>
      </w:r>
      <w:r>
        <w:rPr>
          <w:rFonts w:cs="Arial"/>
        </w:rPr>
        <w:t xml:space="preserve">participation was the lowest, although they </w:t>
      </w:r>
      <w:r w:rsidRPr="00987CB6">
        <w:rPr>
          <w:rFonts w:cs="Arial"/>
        </w:rPr>
        <w:t xml:space="preserve">were less likely </w:t>
      </w:r>
      <w:r>
        <w:rPr>
          <w:rFonts w:cs="Arial"/>
        </w:rPr>
        <w:t xml:space="preserve">than Europeans </w:t>
      </w:r>
      <w:r w:rsidRPr="00987CB6">
        <w:rPr>
          <w:rFonts w:cs="Arial"/>
        </w:rPr>
        <w:t xml:space="preserve">to have </w:t>
      </w:r>
      <w:r>
        <w:rPr>
          <w:rFonts w:cs="Arial"/>
        </w:rPr>
        <w:t>disease, irrespective of their age, sex and deprivation</w:t>
      </w:r>
      <w:r w:rsidRPr="00987CB6">
        <w:rPr>
          <w:rFonts w:cs="Arial"/>
        </w:rPr>
        <w:t>.</w:t>
      </w:r>
    </w:p>
    <w:p w:rsidR="003B7E5A" w:rsidRPr="00744428" w:rsidRDefault="003B7E5A" w:rsidP="003B7E5A">
      <w:pPr>
        <w:rPr>
          <w:rFonts w:cs="Arial"/>
        </w:rPr>
      </w:pPr>
      <w:r w:rsidRPr="00744428">
        <w:rPr>
          <w:rFonts w:cs="Arial"/>
        </w:rPr>
        <w:t>Data on ethnicity are obtained from the N</w:t>
      </w:r>
      <w:r>
        <w:rPr>
          <w:rFonts w:cs="Arial"/>
        </w:rPr>
        <w:t xml:space="preserve">ational </w:t>
      </w:r>
      <w:r w:rsidRPr="00744428">
        <w:rPr>
          <w:rFonts w:cs="Arial"/>
        </w:rPr>
        <w:t>H</w:t>
      </w:r>
      <w:r>
        <w:rPr>
          <w:rFonts w:cs="Arial"/>
        </w:rPr>
        <w:t xml:space="preserve">ealth </w:t>
      </w:r>
      <w:r w:rsidRPr="00744428">
        <w:rPr>
          <w:rFonts w:cs="Arial"/>
        </w:rPr>
        <w:t>I</w:t>
      </w:r>
      <w:r>
        <w:rPr>
          <w:rFonts w:cs="Arial"/>
        </w:rPr>
        <w:t>ndex</w:t>
      </w:r>
      <w:r w:rsidRPr="00744428">
        <w:rPr>
          <w:rFonts w:cs="Arial"/>
        </w:rPr>
        <w:t xml:space="preserve"> and the screening consent form. Data were missing for </w:t>
      </w:r>
      <w:r>
        <w:rPr>
          <w:rFonts w:cs="Arial"/>
        </w:rPr>
        <w:t>9.9</w:t>
      </w:r>
      <w:r w:rsidRPr="00744428">
        <w:rPr>
          <w:rFonts w:cs="Arial"/>
        </w:rPr>
        <w:t>% of non-responders. Although the number of participants with missing ethnicity data was small (n=159)</w:t>
      </w:r>
      <w:r w:rsidRPr="00697D47">
        <w:rPr>
          <w:rStyle w:val="FootnoteReference"/>
        </w:rPr>
        <w:footnoteReference w:id="45"/>
      </w:r>
      <w:r>
        <w:rPr>
          <w:rFonts w:cs="Arial"/>
        </w:rPr>
        <w:t xml:space="preserve">, </w:t>
      </w:r>
      <w:r w:rsidRPr="00744428">
        <w:rPr>
          <w:rFonts w:cs="Arial"/>
        </w:rPr>
        <w:t xml:space="preserve">given the BSP’s </w:t>
      </w:r>
      <w:r>
        <w:rPr>
          <w:rFonts w:cs="Arial"/>
        </w:rPr>
        <w:t xml:space="preserve">aim of </w:t>
      </w:r>
      <w:r w:rsidRPr="00744428">
        <w:rPr>
          <w:rFonts w:cs="Arial"/>
        </w:rPr>
        <w:t xml:space="preserve">equity, </w:t>
      </w:r>
      <w:r>
        <w:rPr>
          <w:rFonts w:cs="Arial"/>
        </w:rPr>
        <w:t xml:space="preserve">we </w:t>
      </w:r>
      <w:r w:rsidRPr="00744428">
        <w:rPr>
          <w:rFonts w:cs="Arial"/>
        </w:rPr>
        <w:t xml:space="preserve">recommend  checks for missing ethnicity data in the BSP </w:t>
      </w:r>
      <w:r>
        <w:rPr>
          <w:rFonts w:cs="Arial"/>
        </w:rPr>
        <w:t>R</w:t>
      </w:r>
      <w:r w:rsidRPr="00744428">
        <w:rPr>
          <w:rFonts w:cs="Arial"/>
        </w:rPr>
        <w:t>egister for participants who progress in the pathway beyond the iFOBT</w:t>
      </w:r>
      <w:r>
        <w:rPr>
          <w:rFonts w:cs="Arial"/>
        </w:rPr>
        <w:t>,</w:t>
      </w:r>
      <w:r w:rsidRPr="00744428">
        <w:rPr>
          <w:rFonts w:cs="Arial"/>
        </w:rPr>
        <w:t xml:space="preserve"> with subsequent data collection at pre-assessment and entry into the </w:t>
      </w:r>
      <w:r>
        <w:rPr>
          <w:rFonts w:cs="Arial"/>
        </w:rPr>
        <w:t>R</w:t>
      </w:r>
      <w:r w:rsidRPr="00744428">
        <w:rPr>
          <w:rFonts w:cs="Arial"/>
        </w:rPr>
        <w:t>egister.</w:t>
      </w:r>
    </w:p>
    <w:p w:rsidR="0056762E" w:rsidRDefault="0056762E" w:rsidP="0056762E">
      <w:pPr>
        <w:rPr>
          <w:rFonts w:cs="Arial"/>
          <w:b/>
          <w:sz w:val="28"/>
          <w:szCs w:val="28"/>
        </w:rPr>
      </w:pPr>
      <w:r>
        <w:rPr>
          <w:rFonts w:cs="Arial"/>
          <w:b/>
          <w:sz w:val="28"/>
          <w:szCs w:val="28"/>
        </w:rPr>
        <w:br w:type="page"/>
      </w:r>
    </w:p>
    <w:p w:rsidR="009F5C99" w:rsidRDefault="009F5C99" w:rsidP="009E487D">
      <w:pPr>
        <w:pStyle w:val="Heading2"/>
      </w:pPr>
      <w:bookmarkStart w:id="213" w:name="_Toc390872211"/>
      <w:bookmarkStart w:id="214" w:name="_Toc412540037"/>
      <w:r>
        <w:lastRenderedPageBreak/>
        <w:t>3.</w:t>
      </w:r>
      <w:r w:rsidR="00926BA4">
        <w:t>2</w:t>
      </w:r>
      <w:r>
        <w:tab/>
        <w:t>Programme design</w:t>
      </w:r>
      <w:bookmarkEnd w:id="213"/>
      <w:bookmarkEnd w:id="214"/>
      <w:r>
        <w:t xml:space="preserve"> </w:t>
      </w:r>
    </w:p>
    <w:p w:rsidR="00A12D1B" w:rsidRPr="00A12D1B" w:rsidRDefault="00A12D1B" w:rsidP="00A12D1B">
      <w:pPr>
        <w:pBdr>
          <w:top w:val="single" w:sz="4" w:space="0" w:color="auto"/>
          <w:left w:val="single" w:sz="4" w:space="4" w:color="auto"/>
          <w:bottom w:val="single" w:sz="4" w:space="1" w:color="auto"/>
          <w:right w:val="single" w:sz="4" w:space="4" w:color="auto"/>
        </w:pBdr>
        <w:spacing w:before="60" w:after="120"/>
        <w:ind w:left="720"/>
        <w:rPr>
          <w:rFonts w:cs="Arial"/>
          <w:b/>
        </w:rPr>
      </w:pPr>
      <w:r w:rsidRPr="00A12D1B">
        <w:rPr>
          <w:rFonts w:cs="Arial"/>
          <w:b/>
        </w:rPr>
        <w:t xml:space="preserve">Evaluation objective </w:t>
      </w:r>
      <w:r>
        <w:rPr>
          <w:rFonts w:cs="Arial"/>
          <w:b/>
        </w:rPr>
        <w:t>addressed in section</w:t>
      </w:r>
    </w:p>
    <w:p w:rsidR="009F5C99" w:rsidRDefault="009F5C99" w:rsidP="009F5C99">
      <w:pPr>
        <w:pBdr>
          <w:top w:val="single" w:sz="4" w:space="0" w:color="auto"/>
          <w:left w:val="single" w:sz="4" w:space="4" w:color="auto"/>
          <w:bottom w:val="single" w:sz="4" w:space="1" w:color="auto"/>
          <w:right w:val="single" w:sz="4" w:space="4" w:color="auto"/>
        </w:pBdr>
        <w:spacing w:before="60" w:after="120"/>
        <w:ind w:left="720"/>
        <w:rPr>
          <w:rFonts w:cs="Arial"/>
        </w:rPr>
      </w:pPr>
      <w:r>
        <w:rPr>
          <w:rFonts w:cs="Arial"/>
          <w:i/>
        </w:rPr>
        <w:t xml:space="preserve">Programme design - </w:t>
      </w:r>
      <w:r>
        <w:rPr>
          <w:rFonts w:cs="Arial"/>
        </w:rPr>
        <w:t>To pilot the use of a Population Register closely linked with primary health care services to invite the target population, along with a Coordination Centre and associated information system to manage the Screening Pathway</w:t>
      </w:r>
      <w:r w:rsidR="00C87A89">
        <w:rPr>
          <w:rFonts w:cs="Arial"/>
        </w:rPr>
        <w:t>.</w:t>
      </w:r>
    </w:p>
    <w:p w:rsidR="009F5C99" w:rsidRDefault="009F5C99" w:rsidP="009F5C99">
      <w:r>
        <w:t xml:space="preserve">This section addresses the evaluation objective on Programme design, in particular the use of a Population Register.  The evaluative findings in this section draw on the </w:t>
      </w:r>
      <w:r>
        <w:rPr>
          <w:lang w:eastAsia="en-NZ"/>
        </w:rPr>
        <w:t>two immersion reports (</w:t>
      </w:r>
      <w:r>
        <w:t>Litmus 2013a and 2014)</w:t>
      </w:r>
      <w:r w:rsidR="00A1741A">
        <w:t xml:space="preserve"> and </w:t>
      </w:r>
      <w:r w:rsidR="00A1741A" w:rsidRPr="0046313F">
        <w:rPr>
          <w:rFonts w:cs="Arial"/>
          <w:lang w:eastAsia="en-NZ"/>
        </w:rPr>
        <w:t>the epidemiology report (</w:t>
      </w:r>
      <w:r w:rsidR="00A1741A" w:rsidRPr="0046313F">
        <w:t xml:space="preserve">Read, Shanthakumar, </w:t>
      </w:r>
      <w:proofErr w:type="gramStart"/>
      <w:r w:rsidR="00A1741A" w:rsidRPr="0046313F">
        <w:t>Borman</w:t>
      </w:r>
      <w:proofErr w:type="gramEnd"/>
      <w:r w:rsidR="00A1741A" w:rsidRPr="0046313F">
        <w:t xml:space="preserve"> 2014)</w:t>
      </w:r>
      <w:r w:rsidR="00A1741A">
        <w:t xml:space="preserve">.  </w:t>
      </w:r>
      <w:r w:rsidR="002B6578">
        <w:t>F</w:t>
      </w:r>
      <w:r>
        <w:t xml:space="preserve">indings on the role of primary care </w:t>
      </w:r>
      <w:r w:rsidR="002B6578">
        <w:t xml:space="preserve">and other providers </w:t>
      </w:r>
      <w:r w:rsidR="00A91866">
        <w:t xml:space="preserve">are </w:t>
      </w:r>
      <w:r w:rsidR="002B6578" w:rsidRPr="00A91866">
        <w:t xml:space="preserve">in </w:t>
      </w:r>
      <w:r w:rsidR="00C178F3">
        <w:t>section 3.6</w:t>
      </w:r>
      <w:r w:rsidR="002B6578" w:rsidRPr="00A91866">
        <w:t>.</w:t>
      </w:r>
    </w:p>
    <w:p w:rsidR="0056360F" w:rsidRDefault="0056360F" w:rsidP="0056360F">
      <w:r>
        <w:t xml:space="preserve">The key evaluation findings against the objective are presented first followed by a summary of supporting evidence. </w:t>
      </w:r>
    </w:p>
    <w:p w:rsidR="009F5C99" w:rsidRPr="002B6578" w:rsidRDefault="009F5C99" w:rsidP="009F5C99">
      <w:pPr>
        <w:pStyle w:val="Heading3"/>
      </w:pPr>
      <w:r w:rsidRPr="002B6578">
        <w:t>Key evaluation findings</w:t>
      </w:r>
    </w:p>
    <w:p w:rsidR="009E2473" w:rsidRDefault="009E2473" w:rsidP="009E2473">
      <w:pPr>
        <w:rPr>
          <w:lang w:eastAsia="ar-SA"/>
        </w:rPr>
      </w:pPr>
      <w:r>
        <w:rPr>
          <w:lang w:eastAsia="ar-SA"/>
        </w:rPr>
        <w:t>H</w:t>
      </w:r>
      <w:r w:rsidRPr="00DC7A7C">
        <w:rPr>
          <w:lang w:eastAsia="ar-SA"/>
        </w:rPr>
        <w:t>aving</w:t>
      </w:r>
      <w:r w:rsidRPr="00A46722">
        <w:rPr>
          <w:lang w:eastAsia="ar-SA"/>
        </w:rPr>
        <w:t xml:space="preserve"> an eligible population database </w:t>
      </w:r>
      <w:r>
        <w:rPr>
          <w:lang w:eastAsia="ar-SA"/>
        </w:rPr>
        <w:t>(the Register) was identified by stakeholders a</w:t>
      </w:r>
      <w:r w:rsidRPr="00A46722">
        <w:rPr>
          <w:lang w:eastAsia="ar-SA"/>
        </w:rPr>
        <w:t xml:space="preserve">s </w:t>
      </w:r>
      <w:proofErr w:type="gramStart"/>
      <w:r w:rsidRPr="00A46722">
        <w:rPr>
          <w:lang w:eastAsia="ar-SA"/>
        </w:rPr>
        <w:t>a strength</w:t>
      </w:r>
      <w:proofErr w:type="gramEnd"/>
      <w:r w:rsidRPr="00A46722">
        <w:rPr>
          <w:lang w:eastAsia="ar-SA"/>
        </w:rPr>
        <w:t xml:space="preserve"> of the </w:t>
      </w:r>
      <w:r>
        <w:rPr>
          <w:lang w:eastAsia="ar-SA"/>
        </w:rPr>
        <w:t>BSP</w:t>
      </w:r>
      <w:r w:rsidRPr="00A46722">
        <w:rPr>
          <w:lang w:eastAsia="ar-SA"/>
        </w:rPr>
        <w:t xml:space="preserve"> </w:t>
      </w:r>
      <w:r>
        <w:rPr>
          <w:lang w:eastAsia="ar-SA"/>
        </w:rPr>
        <w:t>enabling the identification of the eligible population, the distribution of kits and monitoring of participation, and informing targeted participant follow-up and CAR activities.</w:t>
      </w:r>
    </w:p>
    <w:p w:rsidR="009E2473" w:rsidRDefault="009E2473" w:rsidP="009E2473">
      <w:pPr>
        <w:rPr>
          <w:lang w:eastAsia="ar-SA"/>
        </w:rPr>
      </w:pPr>
      <w:r>
        <w:rPr>
          <w:lang w:eastAsia="ar-SA"/>
        </w:rPr>
        <w:t xml:space="preserve">While the concept of a Register has utility in the BSP, a number of critical limitations with the Register are impacting adversely on the BSP: </w:t>
      </w:r>
    </w:p>
    <w:p w:rsidR="004269B8" w:rsidRPr="00742FF4" w:rsidRDefault="004269B8" w:rsidP="004269B8">
      <w:pPr>
        <w:pStyle w:val="Bullet"/>
        <w:numPr>
          <w:ilvl w:val="0"/>
          <w:numId w:val="10"/>
        </w:numPr>
        <w:tabs>
          <w:tab w:val="num" w:pos="6663"/>
        </w:tabs>
        <w:ind w:left="1069"/>
      </w:pPr>
      <w:r w:rsidRPr="00742FF4">
        <w:t xml:space="preserve">Ensuring access to the BSP:  </w:t>
      </w:r>
      <w:r w:rsidR="009074CB">
        <w:t>i</w:t>
      </w:r>
      <w:r w:rsidR="00863DCC" w:rsidRPr="00742FF4">
        <w:t xml:space="preserve">t is estimated </w:t>
      </w:r>
      <w:r w:rsidR="00742FF4" w:rsidRPr="00742FF4">
        <w:t xml:space="preserve">based on returned mail and the WDHB population survey (Litmus 2014a) that </w:t>
      </w:r>
      <w:r w:rsidR="00863DCC" w:rsidRPr="00742FF4">
        <w:t xml:space="preserve">between 5% and 15% of </w:t>
      </w:r>
      <w:r w:rsidRPr="00742FF4">
        <w:t>eligible participants did not receive a letter</w:t>
      </w:r>
      <w:r w:rsidR="00863DCC" w:rsidRPr="00742FF4">
        <w:t xml:space="preserve"> or kit in screening round one </w:t>
      </w:r>
      <w:r w:rsidRPr="00742FF4">
        <w:t>due to incorrect address details on the Register</w:t>
      </w:r>
      <w:r w:rsidR="007E6953">
        <w:t xml:space="preserve"> or migration into WDHB region</w:t>
      </w:r>
      <w:r w:rsidRPr="00742FF4">
        <w:t xml:space="preserve">.  </w:t>
      </w:r>
    </w:p>
    <w:p w:rsidR="008A486D" w:rsidRPr="008A486D" w:rsidRDefault="008A486D" w:rsidP="008A486D">
      <w:pPr>
        <w:pStyle w:val="Bullet"/>
        <w:numPr>
          <w:ilvl w:val="0"/>
          <w:numId w:val="10"/>
        </w:numPr>
        <w:tabs>
          <w:tab w:val="num" w:pos="6663"/>
        </w:tabs>
        <w:ind w:left="1069"/>
        <w:rPr>
          <w:lang w:eastAsia="ar-SA"/>
        </w:rPr>
      </w:pPr>
      <w:r w:rsidRPr="008A486D">
        <w:rPr>
          <w:lang w:val="en-US"/>
        </w:rPr>
        <w:t xml:space="preserve">Data and IT resource at WDHB and Ministry of Health: feedback indicates that in the early implementation stages there was insufficient </w:t>
      </w:r>
      <w:r w:rsidRPr="008A486D">
        <w:rPr>
          <w:lang w:eastAsia="ar-SA"/>
        </w:rPr>
        <w:t>dedicated data and IT resource at WDHB</w:t>
      </w:r>
      <w:r w:rsidRPr="008A486D">
        <w:rPr>
          <w:rStyle w:val="FootnoteReference"/>
        </w:rPr>
        <w:footnoteReference w:id="46"/>
      </w:r>
      <w:r w:rsidRPr="008A486D">
        <w:rPr>
          <w:lang w:eastAsia="ar-SA"/>
        </w:rPr>
        <w:t xml:space="preserve"> and the Ministry </w:t>
      </w:r>
      <w:r w:rsidR="00F97FA3">
        <w:rPr>
          <w:lang w:eastAsia="ar-SA"/>
        </w:rPr>
        <w:t xml:space="preserve">of Health </w:t>
      </w:r>
      <w:r w:rsidRPr="008A486D">
        <w:rPr>
          <w:lang w:eastAsia="ar-SA"/>
        </w:rPr>
        <w:t xml:space="preserve">which contributed to a lack of timely updates to the Register resulting in challenges to ensure data quality.   </w:t>
      </w:r>
    </w:p>
    <w:p w:rsidR="008A486D" w:rsidRPr="008A486D" w:rsidRDefault="008A486D" w:rsidP="008A486D">
      <w:pPr>
        <w:pStyle w:val="Bullet"/>
        <w:numPr>
          <w:ilvl w:val="0"/>
          <w:numId w:val="10"/>
        </w:numPr>
        <w:tabs>
          <w:tab w:val="num" w:pos="6663"/>
        </w:tabs>
        <w:ind w:left="1069"/>
        <w:rPr>
          <w:lang w:eastAsia="ar-SA"/>
        </w:rPr>
      </w:pPr>
      <w:r w:rsidRPr="008A486D">
        <w:rPr>
          <w:lang w:eastAsia="ar-SA"/>
        </w:rPr>
        <w:t xml:space="preserve">Assessing participation and outcomes:  evaluation of participation and outcomes from the BSP is being adversely effected by a lack of clear data definitions and data quality assurances of the Register.  </w:t>
      </w:r>
    </w:p>
    <w:p w:rsidR="008A486D" w:rsidRPr="00672B79" w:rsidRDefault="008A486D" w:rsidP="008A486D">
      <w:pPr>
        <w:pStyle w:val="Bullet"/>
        <w:numPr>
          <w:ilvl w:val="0"/>
          <w:numId w:val="0"/>
        </w:numPr>
        <w:ind w:left="1134" w:hanging="567"/>
        <w:rPr>
          <w:highlight w:val="cyan"/>
          <w:lang w:eastAsia="ar-SA"/>
        </w:rPr>
      </w:pPr>
    </w:p>
    <w:p w:rsidR="009F5C99" w:rsidRPr="009F5C99" w:rsidRDefault="009F5C99" w:rsidP="009F5C99">
      <w:pPr>
        <w:pStyle w:val="Heading3"/>
      </w:pPr>
      <w:r w:rsidRPr="009F5C99">
        <w:t>The BSP Population Register</w:t>
      </w:r>
    </w:p>
    <w:p w:rsidR="005D7DFE" w:rsidRDefault="005D7DFE" w:rsidP="005D7DFE">
      <w:r w:rsidRPr="005D7DFE">
        <w:t>A built-for-purpose information system</w:t>
      </w:r>
      <w:r>
        <w:t xml:space="preserve"> (the BSP Population Register) </w:t>
      </w:r>
      <w:r w:rsidRPr="005D7DFE">
        <w:t>was developed to support the BSP.  The</w:t>
      </w:r>
      <w:r w:rsidRPr="00985640">
        <w:t xml:space="preserve"> </w:t>
      </w:r>
      <w:r>
        <w:t xml:space="preserve">decision to build a bespoke system was made following an evaluation of other Ministry information systems, including the breast and cervical screening </w:t>
      </w:r>
      <w:r w:rsidRPr="00985640">
        <w:t>system</w:t>
      </w:r>
      <w:r>
        <w:t xml:space="preserve">s.  </w:t>
      </w:r>
      <w:r w:rsidR="00EA7827" w:rsidRPr="00EE0D66">
        <w:rPr>
          <w:lang w:eastAsia="ar-SA"/>
        </w:rPr>
        <w:t>The BSP</w:t>
      </w:r>
      <w:r w:rsidR="00EA7827">
        <w:rPr>
          <w:lang w:eastAsia="ar-SA"/>
        </w:rPr>
        <w:t xml:space="preserve"> Population</w:t>
      </w:r>
      <w:r w:rsidR="00EA7827" w:rsidRPr="00EE0D66">
        <w:rPr>
          <w:lang w:eastAsia="ar-SA"/>
        </w:rPr>
        <w:t xml:space="preserve"> Register is owned and overseen by </w:t>
      </w:r>
      <w:r w:rsidR="00E073CC">
        <w:rPr>
          <w:lang w:eastAsia="ar-SA"/>
        </w:rPr>
        <w:t>Ministry of Health</w:t>
      </w:r>
      <w:r w:rsidR="00E32D91">
        <w:rPr>
          <w:lang w:eastAsia="ar-SA"/>
        </w:rPr>
        <w:t>.</w:t>
      </w:r>
      <w:r w:rsidR="00EA7827" w:rsidRPr="00EE0D66">
        <w:rPr>
          <w:lang w:eastAsia="ar-SA"/>
        </w:rPr>
        <w:t xml:space="preserve"> </w:t>
      </w:r>
      <w:r w:rsidR="00EA7827">
        <w:rPr>
          <w:lang w:eastAsia="ar-SA"/>
        </w:rPr>
        <w:t xml:space="preserve"> </w:t>
      </w:r>
      <w:r w:rsidR="00EA7827" w:rsidRPr="00EE0D66">
        <w:rPr>
          <w:lang w:eastAsia="ar-SA"/>
        </w:rPr>
        <w:t>WDHB’s work</w:t>
      </w:r>
      <w:r w:rsidR="00EA7827" w:rsidRPr="00624AEA">
        <w:rPr>
          <w:lang w:eastAsia="ar-SA"/>
        </w:rPr>
        <w:t xml:space="preserve"> on the Register is based at the </w:t>
      </w:r>
      <w:r w:rsidR="00EA7827">
        <w:rPr>
          <w:lang w:eastAsia="ar-SA"/>
        </w:rPr>
        <w:t xml:space="preserve">BSP </w:t>
      </w:r>
      <w:r w:rsidR="00EA7827" w:rsidRPr="00624AEA">
        <w:rPr>
          <w:lang w:eastAsia="ar-SA"/>
        </w:rPr>
        <w:t>Coordination Centre and</w:t>
      </w:r>
      <w:r w:rsidR="00EA7827">
        <w:rPr>
          <w:lang w:eastAsia="ar-SA"/>
        </w:rPr>
        <w:t xml:space="preserve"> managed by the BSP Data Manager.</w:t>
      </w:r>
    </w:p>
    <w:p w:rsidR="005D7DFE" w:rsidRDefault="005D7DFE" w:rsidP="009433F2">
      <w:pPr>
        <w:keepNext/>
        <w:keepLines/>
      </w:pPr>
      <w:r w:rsidRPr="005D7DFE">
        <w:rPr>
          <w:lang w:eastAsia="ar-SA"/>
        </w:rPr>
        <w:lastRenderedPageBreak/>
        <w:t>National Health Index (NHI) numbers were selected as the primary source of eligible</w:t>
      </w:r>
      <w:r>
        <w:rPr>
          <w:b/>
        </w:rPr>
        <w:t xml:space="preserve"> </w:t>
      </w:r>
      <w:r w:rsidRPr="005D7DFE">
        <w:rPr>
          <w:lang w:eastAsia="ar-SA"/>
        </w:rPr>
        <w:t>participant information for the Register</w:t>
      </w:r>
      <w:r w:rsidR="00AB1FFE">
        <w:rPr>
          <w:lang w:eastAsia="ar-SA"/>
        </w:rPr>
        <w:t>.</w:t>
      </w:r>
      <w:r w:rsidRPr="00697D47">
        <w:rPr>
          <w:rStyle w:val="FootnoteReference"/>
        </w:rPr>
        <w:footnoteReference w:id="47"/>
      </w:r>
      <w:r w:rsidRPr="005D7DFE">
        <w:rPr>
          <w:lang w:eastAsia="ar-SA"/>
        </w:rPr>
        <w:t xml:space="preserve"> </w:t>
      </w:r>
      <w:r>
        <w:rPr>
          <w:lang w:eastAsia="ar-SA"/>
        </w:rPr>
        <w:t xml:space="preserve">The NHI number is a unique number that is assigned to every person who uses health and disability support services in New Zealand.  The NHI is an index of information associated with that unique number (including name, address, </w:t>
      </w:r>
      <w:proofErr w:type="gramStart"/>
      <w:r>
        <w:rPr>
          <w:lang w:eastAsia="ar-SA"/>
        </w:rPr>
        <w:t>date</w:t>
      </w:r>
      <w:proofErr w:type="gramEnd"/>
      <w:r>
        <w:rPr>
          <w:lang w:eastAsia="ar-SA"/>
        </w:rPr>
        <w:t xml:space="preserve"> of birth, sex, New Zealand resident status and ethnicity).</w:t>
      </w:r>
      <w:r w:rsidRPr="00697D47">
        <w:rPr>
          <w:rStyle w:val="FootnoteReference"/>
        </w:rPr>
        <w:footnoteReference w:id="48"/>
      </w:r>
      <w:r>
        <w:rPr>
          <w:lang w:eastAsia="ar-SA"/>
        </w:rPr>
        <w:t xml:space="preserve">  NHI information provides a comprehensive, population-based dataset from which eligible participants can</w:t>
      </w:r>
      <w:r>
        <w:t xml:space="preserve"> be identified and subsequently invited to take part in the BSP.  </w:t>
      </w:r>
    </w:p>
    <w:p w:rsidR="00366569" w:rsidRDefault="009F5C99" w:rsidP="009F5C99">
      <w:pPr>
        <w:rPr>
          <w:lang w:eastAsia="ar-SA"/>
        </w:rPr>
      </w:pPr>
      <w:r w:rsidRPr="003F090D">
        <w:rPr>
          <w:lang w:eastAsia="ar-SA"/>
        </w:rPr>
        <w:t>In 2012 h</w:t>
      </w:r>
      <w:r w:rsidRPr="00DC7A7C">
        <w:rPr>
          <w:lang w:eastAsia="ar-SA"/>
        </w:rPr>
        <w:t>aving</w:t>
      </w:r>
      <w:r w:rsidRPr="00A46722">
        <w:rPr>
          <w:lang w:eastAsia="ar-SA"/>
        </w:rPr>
        <w:t xml:space="preserve"> an eligible population database </w:t>
      </w:r>
      <w:r>
        <w:rPr>
          <w:lang w:eastAsia="ar-SA"/>
        </w:rPr>
        <w:t>was identified a</w:t>
      </w:r>
      <w:r w:rsidRPr="00A46722">
        <w:rPr>
          <w:lang w:eastAsia="ar-SA"/>
        </w:rPr>
        <w:t xml:space="preserve">s </w:t>
      </w:r>
      <w:proofErr w:type="gramStart"/>
      <w:r w:rsidRPr="00A46722">
        <w:rPr>
          <w:lang w:eastAsia="ar-SA"/>
        </w:rPr>
        <w:t>a strength</w:t>
      </w:r>
      <w:proofErr w:type="gramEnd"/>
      <w:r w:rsidRPr="00A46722">
        <w:rPr>
          <w:lang w:eastAsia="ar-SA"/>
        </w:rPr>
        <w:t xml:space="preserve"> of the </w:t>
      </w:r>
      <w:r>
        <w:rPr>
          <w:lang w:eastAsia="ar-SA"/>
        </w:rPr>
        <w:t>BSP</w:t>
      </w:r>
      <w:r w:rsidRPr="00A46722">
        <w:rPr>
          <w:lang w:eastAsia="ar-SA"/>
        </w:rPr>
        <w:t xml:space="preserve"> </w:t>
      </w:r>
      <w:r>
        <w:rPr>
          <w:lang w:eastAsia="ar-SA"/>
        </w:rPr>
        <w:t>enabling the identification</w:t>
      </w:r>
      <w:r w:rsidR="00AB1FFE">
        <w:rPr>
          <w:lang w:eastAsia="ar-SA"/>
        </w:rPr>
        <w:t>,</w:t>
      </w:r>
      <w:r>
        <w:rPr>
          <w:lang w:eastAsia="ar-SA"/>
        </w:rPr>
        <w:t xml:space="preserve"> </w:t>
      </w:r>
      <w:r w:rsidR="005D7DFE">
        <w:rPr>
          <w:lang w:eastAsia="ar-SA"/>
        </w:rPr>
        <w:t>distribution of kits and</w:t>
      </w:r>
      <w:r>
        <w:rPr>
          <w:lang w:eastAsia="ar-SA"/>
        </w:rPr>
        <w:t xml:space="preserve"> monitoring of the eligible population, and informing targeted participant follow-up and CAR strategies.  </w:t>
      </w:r>
    </w:p>
    <w:p w:rsidR="00366569" w:rsidRDefault="009E64EF" w:rsidP="009F5C99">
      <w:pPr>
        <w:rPr>
          <w:lang w:eastAsia="ar-SA"/>
        </w:rPr>
      </w:pPr>
      <w:r>
        <w:rPr>
          <w:lang w:eastAsia="ar-SA"/>
        </w:rPr>
        <w:t>In screening round one u</w:t>
      </w:r>
      <w:r w:rsidRPr="0071497B">
        <w:rPr>
          <w:lang w:eastAsia="ar-SA"/>
        </w:rPr>
        <w:t>sing the Register</w:t>
      </w:r>
      <w:r w:rsidR="00366569" w:rsidRPr="0071497B">
        <w:rPr>
          <w:lang w:eastAsia="ar-SA"/>
        </w:rPr>
        <w:t>, 136,575 pre</w:t>
      </w:r>
      <w:r w:rsidR="00A1741A" w:rsidRPr="0071497B">
        <w:rPr>
          <w:lang w:eastAsia="ar-SA"/>
        </w:rPr>
        <w:t xml:space="preserve">-invitation </w:t>
      </w:r>
      <w:r w:rsidR="00366569" w:rsidRPr="0071497B">
        <w:rPr>
          <w:lang w:eastAsia="ar-SA"/>
        </w:rPr>
        <w:t xml:space="preserve">letters </w:t>
      </w:r>
      <w:r>
        <w:rPr>
          <w:lang w:eastAsia="ar-SA"/>
        </w:rPr>
        <w:t xml:space="preserve">and </w:t>
      </w:r>
      <w:r w:rsidRPr="0071497B">
        <w:rPr>
          <w:lang w:eastAsia="ar-SA"/>
        </w:rPr>
        <w:t>143,637 iFOBT kits</w:t>
      </w:r>
      <w:r w:rsidRPr="00697D47">
        <w:rPr>
          <w:rStyle w:val="FootnoteReference"/>
        </w:rPr>
        <w:footnoteReference w:id="49"/>
      </w:r>
      <w:r w:rsidRPr="0071497B">
        <w:rPr>
          <w:lang w:eastAsia="ar-SA"/>
        </w:rPr>
        <w:t xml:space="preserve"> </w:t>
      </w:r>
      <w:r>
        <w:rPr>
          <w:lang w:eastAsia="ar-SA"/>
        </w:rPr>
        <w:t>w</w:t>
      </w:r>
      <w:r w:rsidRPr="0071497B">
        <w:rPr>
          <w:lang w:eastAsia="ar-SA"/>
        </w:rPr>
        <w:t>ere distributed</w:t>
      </w:r>
      <w:r w:rsidR="00366569" w:rsidRPr="0071497B">
        <w:rPr>
          <w:lang w:eastAsia="ar-SA"/>
        </w:rPr>
        <w:t xml:space="preserve">, </w:t>
      </w:r>
      <w:r>
        <w:rPr>
          <w:lang w:eastAsia="ar-SA"/>
        </w:rPr>
        <w:t xml:space="preserve">and </w:t>
      </w:r>
      <w:r w:rsidR="00366569" w:rsidRPr="0071497B">
        <w:rPr>
          <w:lang w:eastAsia="ar-SA"/>
        </w:rPr>
        <w:t>83,</w:t>
      </w:r>
      <w:r w:rsidR="00AC7E05">
        <w:rPr>
          <w:lang w:eastAsia="ar-SA"/>
        </w:rPr>
        <w:t>498</w:t>
      </w:r>
      <w:r w:rsidR="00366569" w:rsidRPr="0071497B">
        <w:rPr>
          <w:lang w:eastAsia="ar-SA"/>
        </w:rPr>
        <w:t xml:space="preserve"> reminder letters were sent at four weeks</w:t>
      </w:r>
      <w:r w:rsidRPr="00697D47">
        <w:rPr>
          <w:rStyle w:val="FootnoteReference"/>
        </w:rPr>
        <w:footnoteReference w:id="50"/>
      </w:r>
      <w:r w:rsidR="00366569" w:rsidRPr="0071497B">
        <w:rPr>
          <w:lang w:eastAsia="ar-SA"/>
        </w:rPr>
        <w:t xml:space="preserve"> </w:t>
      </w:r>
      <w:r>
        <w:rPr>
          <w:lang w:eastAsia="ar-SA"/>
        </w:rPr>
        <w:t>(</w:t>
      </w:r>
      <w:r w:rsidR="00AC7E05">
        <w:rPr>
          <w:lang w:eastAsia="ar-SA"/>
        </w:rPr>
        <w:t>Artus et al</w:t>
      </w:r>
      <w:r w:rsidR="009D465F" w:rsidRPr="0071497B">
        <w:rPr>
          <w:lang w:eastAsia="ar-SA"/>
        </w:rPr>
        <w:t xml:space="preserve"> 2014).</w:t>
      </w:r>
    </w:p>
    <w:p w:rsidR="009F5C99" w:rsidRDefault="00366569" w:rsidP="009F5C99">
      <w:pPr>
        <w:rPr>
          <w:lang w:val="en-US"/>
        </w:rPr>
      </w:pPr>
      <w:r>
        <w:rPr>
          <w:lang w:eastAsia="ar-SA"/>
        </w:rPr>
        <w:t xml:space="preserve">Over the course of the </w:t>
      </w:r>
      <w:r w:rsidR="00AB1FFE">
        <w:rPr>
          <w:lang w:eastAsia="ar-SA"/>
        </w:rPr>
        <w:t xml:space="preserve">first </w:t>
      </w:r>
      <w:r>
        <w:rPr>
          <w:lang w:eastAsia="ar-SA"/>
        </w:rPr>
        <w:t>screening round</w:t>
      </w:r>
      <w:r w:rsidR="00E32D91">
        <w:rPr>
          <w:lang w:eastAsia="ar-SA"/>
        </w:rPr>
        <w:t>, a</w:t>
      </w:r>
      <w:r w:rsidR="009F5C99">
        <w:rPr>
          <w:lang w:eastAsia="ar-SA"/>
        </w:rPr>
        <w:t xml:space="preserve"> number of issues with </w:t>
      </w:r>
      <w:r w:rsidR="009F5C99" w:rsidRPr="00944A62">
        <w:rPr>
          <w:lang w:val="en-US"/>
        </w:rPr>
        <w:t>the Register</w:t>
      </w:r>
      <w:r w:rsidR="009F5C99">
        <w:rPr>
          <w:lang w:val="en-US"/>
        </w:rPr>
        <w:t xml:space="preserve"> were </w:t>
      </w:r>
      <w:r>
        <w:rPr>
          <w:lang w:val="en-US"/>
        </w:rPr>
        <w:t>h</w:t>
      </w:r>
      <w:r w:rsidR="009E64EF">
        <w:rPr>
          <w:lang w:val="en-US"/>
        </w:rPr>
        <w:t>ighlighted</w:t>
      </w:r>
      <w:r w:rsidR="009F5C99">
        <w:rPr>
          <w:lang w:val="en-US"/>
        </w:rPr>
        <w:t xml:space="preserve">, specifically: </w:t>
      </w:r>
    </w:p>
    <w:p w:rsidR="00E0335C" w:rsidRPr="00E0335C" w:rsidRDefault="00E0335C" w:rsidP="009F5C99">
      <w:pPr>
        <w:rPr>
          <w:b/>
          <w:lang w:val="en-US"/>
        </w:rPr>
      </w:pPr>
      <w:r w:rsidRPr="00E0335C">
        <w:rPr>
          <w:b/>
          <w:lang w:val="en-US"/>
        </w:rPr>
        <w:t>Incorrect participant address and contact details</w:t>
      </w:r>
    </w:p>
    <w:p w:rsidR="00276B7D" w:rsidRDefault="009F5C99" w:rsidP="00863DCC">
      <w:pPr>
        <w:pStyle w:val="Bullet"/>
        <w:numPr>
          <w:ilvl w:val="0"/>
          <w:numId w:val="10"/>
        </w:numPr>
        <w:tabs>
          <w:tab w:val="num" w:pos="6663"/>
        </w:tabs>
        <w:ind w:left="1069"/>
        <w:rPr>
          <w:lang w:eastAsia="ar-SA"/>
        </w:rPr>
      </w:pPr>
      <w:r w:rsidRPr="00995633">
        <w:t>Incorrect</w:t>
      </w:r>
      <w:r w:rsidRPr="00995633">
        <w:rPr>
          <w:lang w:eastAsia="ar-SA"/>
        </w:rPr>
        <w:t xml:space="preserve"> participant address</w:t>
      </w:r>
      <w:r w:rsidR="00863DCC">
        <w:rPr>
          <w:lang w:eastAsia="ar-SA"/>
        </w:rPr>
        <w:t xml:space="preserve">es </w:t>
      </w:r>
      <w:r w:rsidR="00C87A89">
        <w:rPr>
          <w:lang w:eastAsia="ar-SA"/>
        </w:rPr>
        <w:t xml:space="preserve">are </w:t>
      </w:r>
      <w:r w:rsidRPr="00995633">
        <w:rPr>
          <w:lang w:eastAsia="ar-SA"/>
        </w:rPr>
        <w:t xml:space="preserve">due to </w:t>
      </w:r>
      <w:r w:rsidR="005F6DB2">
        <w:rPr>
          <w:lang w:eastAsia="ar-SA"/>
        </w:rPr>
        <w:t>NHI</w:t>
      </w:r>
      <w:r w:rsidRPr="00995633">
        <w:rPr>
          <w:lang w:eastAsia="ar-SA"/>
        </w:rPr>
        <w:t xml:space="preserve"> details uploaded to the Register being out of date</w:t>
      </w:r>
      <w:r w:rsidR="00863DCC">
        <w:rPr>
          <w:lang w:eastAsia="ar-SA"/>
        </w:rPr>
        <w:t xml:space="preserve">.  As a result, </w:t>
      </w:r>
      <w:r w:rsidR="009E0DA0">
        <w:rPr>
          <w:lang w:eastAsia="ar-SA"/>
        </w:rPr>
        <w:t xml:space="preserve">around 5% of pre-invitation letters </w:t>
      </w:r>
      <w:r w:rsidR="00863DCC">
        <w:rPr>
          <w:lang w:eastAsia="ar-SA"/>
        </w:rPr>
        <w:t xml:space="preserve">are </w:t>
      </w:r>
      <w:r w:rsidR="009E0DA0">
        <w:rPr>
          <w:lang w:eastAsia="ar-SA"/>
        </w:rPr>
        <w:t>returned to the BSP Coordination Centre</w:t>
      </w:r>
      <w:r w:rsidR="00742FF4">
        <w:rPr>
          <w:lang w:eastAsia="ar-SA"/>
        </w:rPr>
        <w:t xml:space="preserve"> as not living </w:t>
      </w:r>
      <w:r w:rsidR="00863DCC">
        <w:rPr>
          <w:lang w:eastAsia="ar-SA"/>
        </w:rPr>
        <w:t>at this address</w:t>
      </w:r>
      <w:r w:rsidR="00863DCC" w:rsidRPr="00697D47">
        <w:rPr>
          <w:rStyle w:val="FootnoteReference"/>
        </w:rPr>
        <w:footnoteReference w:id="51"/>
      </w:r>
      <w:r>
        <w:rPr>
          <w:lang w:eastAsia="ar-SA"/>
        </w:rPr>
        <w:t xml:space="preserve">. </w:t>
      </w:r>
      <w:r w:rsidR="00276B7D">
        <w:rPr>
          <w:lang w:eastAsia="ar-SA"/>
        </w:rPr>
        <w:t xml:space="preserve"> </w:t>
      </w:r>
      <w:r w:rsidR="00742FF4">
        <w:rPr>
          <w:lang w:eastAsia="ar-SA"/>
        </w:rPr>
        <w:t>To resolve this issue, t</w:t>
      </w:r>
      <w:r w:rsidR="00276B7D" w:rsidRPr="00995633">
        <w:rPr>
          <w:lang w:eastAsia="ar-SA"/>
        </w:rPr>
        <w:t xml:space="preserve">he BSP Coordination Centre </w:t>
      </w:r>
      <w:r w:rsidR="00276B7D">
        <w:rPr>
          <w:lang w:eastAsia="ar-SA"/>
        </w:rPr>
        <w:t xml:space="preserve">uses </w:t>
      </w:r>
      <w:r w:rsidR="00276B7D" w:rsidRPr="00995633">
        <w:rPr>
          <w:lang w:eastAsia="ar-SA"/>
        </w:rPr>
        <w:t xml:space="preserve">WDHB’s </w:t>
      </w:r>
      <w:r w:rsidR="00276B7D">
        <w:rPr>
          <w:lang w:eastAsia="ar-SA"/>
        </w:rPr>
        <w:t>iPIM</w:t>
      </w:r>
      <w:r w:rsidR="005F6DB2">
        <w:rPr>
          <w:lang w:eastAsia="ar-SA"/>
        </w:rPr>
        <w:t>s</w:t>
      </w:r>
      <w:r w:rsidR="00276B7D">
        <w:rPr>
          <w:lang w:eastAsia="ar-SA"/>
        </w:rPr>
        <w:t>, looks up the White Pages and contacts general practices</w:t>
      </w:r>
      <w:r w:rsidR="00276B7D" w:rsidRPr="00995633">
        <w:rPr>
          <w:lang w:eastAsia="ar-SA"/>
        </w:rPr>
        <w:t xml:space="preserve"> to find correct contact details for returned mail. </w:t>
      </w:r>
    </w:p>
    <w:p w:rsidR="009E0DA0" w:rsidRDefault="00276B7D" w:rsidP="009E0DA0">
      <w:pPr>
        <w:spacing w:before="120"/>
        <w:ind w:left="1069"/>
        <w:rPr>
          <w:lang w:eastAsia="ar-SA"/>
        </w:rPr>
      </w:pPr>
      <w:r>
        <w:t>The population survey (Litmus 201</w:t>
      </w:r>
      <w:r w:rsidR="00AC7E05">
        <w:t>4a</w:t>
      </w:r>
      <w:r w:rsidR="00742FF4">
        <w:t xml:space="preserve">) </w:t>
      </w:r>
      <w:r>
        <w:t>identified that 21% of respondents said they had not received a letter or the kit</w:t>
      </w:r>
      <w:r w:rsidR="009D465F">
        <w:t xml:space="preserve"> by October 2013</w:t>
      </w:r>
      <w:r w:rsidR="00863DCC" w:rsidRPr="00697D47">
        <w:rPr>
          <w:rStyle w:val="FootnoteReference"/>
        </w:rPr>
        <w:footnoteReference w:id="52"/>
      </w:r>
      <w:r>
        <w:t xml:space="preserve">. </w:t>
      </w:r>
      <w:r w:rsidR="00863DCC">
        <w:t xml:space="preserve"> </w:t>
      </w:r>
      <w:r w:rsidR="009E0DA0" w:rsidRPr="004B48F1">
        <w:rPr>
          <w:lang w:eastAsia="ar-SA"/>
        </w:rPr>
        <w:t xml:space="preserve">At the time of the survey around 6% of people eligible to participate in the BSP had not received </w:t>
      </w:r>
      <w:r w:rsidR="009E0DA0">
        <w:rPr>
          <w:lang w:eastAsia="ar-SA"/>
        </w:rPr>
        <w:t>the</w:t>
      </w:r>
      <w:r w:rsidR="00863DCC">
        <w:rPr>
          <w:lang w:eastAsia="ar-SA"/>
        </w:rPr>
        <w:t>ir letter or kit</w:t>
      </w:r>
      <w:r w:rsidR="009E0DA0" w:rsidRPr="004B48F1">
        <w:rPr>
          <w:lang w:eastAsia="ar-SA"/>
        </w:rPr>
        <w:t xml:space="preserve"> (due to the birthdate invite strategy)</w:t>
      </w:r>
      <w:r w:rsidR="009E0DA0">
        <w:rPr>
          <w:lang w:eastAsia="ar-SA"/>
        </w:rPr>
        <w:t>.</w:t>
      </w:r>
      <w:r w:rsidR="00863DCC">
        <w:rPr>
          <w:lang w:eastAsia="ar-SA"/>
        </w:rPr>
        <w:t xml:space="preserve">  </w:t>
      </w:r>
      <w:r w:rsidR="009E64EF">
        <w:rPr>
          <w:lang w:eastAsia="ar-SA"/>
        </w:rPr>
        <w:t xml:space="preserve">Further, the Register was not being updated to include eligible people mitigating into the WDHB area.  </w:t>
      </w:r>
      <w:r w:rsidR="00863DCC">
        <w:rPr>
          <w:lang w:eastAsia="ar-SA"/>
        </w:rPr>
        <w:t xml:space="preserve">On this basis, it is estimated between 5% and 15% of eligible participants </w:t>
      </w:r>
      <w:r w:rsidR="00742FF4">
        <w:rPr>
          <w:lang w:eastAsia="ar-SA"/>
        </w:rPr>
        <w:t xml:space="preserve">may </w:t>
      </w:r>
      <w:r w:rsidR="00863DCC">
        <w:rPr>
          <w:lang w:eastAsia="ar-SA"/>
        </w:rPr>
        <w:t>not have received their pre-invitation letter or kit</w:t>
      </w:r>
      <w:r w:rsidR="00742FF4">
        <w:rPr>
          <w:lang w:eastAsia="ar-SA"/>
        </w:rPr>
        <w:t xml:space="preserve"> due to incorrect address details</w:t>
      </w:r>
      <w:r w:rsidR="009E64EF">
        <w:rPr>
          <w:lang w:eastAsia="ar-SA"/>
        </w:rPr>
        <w:t xml:space="preserve"> or migration into the area</w:t>
      </w:r>
      <w:r w:rsidR="00863DCC">
        <w:rPr>
          <w:lang w:eastAsia="ar-SA"/>
        </w:rPr>
        <w:t xml:space="preserve">. </w:t>
      </w:r>
    </w:p>
    <w:p w:rsidR="009E64EF" w:rsidRDefault="009E64EF" w:rsidP="009E64EF">
      <w:pPr>
        <w:pStyle w:val="Bullet"/>
        <w:numPr>
          <w:ilvl w:val="0"/>
          <w:numId w:val="10"/>
        </w:numPr>
        <w:tabs>
          <w:tab w:val="num" w:pos="6663"/>
        </w:tabs>
        <w:ind w:left="1069"/>
      </w:pPr>
      <w:r w:rsidRPr="00995633">
        <w:rPr>
          <w:lang w:eastAsia="ar-SA"/>
        </w:rPr>
        <w:t>Planned regular updates from PHO data to update NHI information and ensure eligible people moving into WDHB are offered bowel screening</w:t>
      </w:r>
      <w:r>
        <w:rPr>
          <w:lang w:eastAsia="ar-SA"/>
        </w:rPr>
        <w:t xml:space="preserve"> have not occurred</w:t>
      </w:r>
      <w:r w:rsidRPr="00995633">
        <w:rPr>
          <w:lang w:eastAsia="ar-SA"/>
        </w:rPr>
        <w:t xml:space="preserve">.  </w:t>
      </w:r>
      <w:r>
        <w:t>When PHO uploads occur directly to the Register, it updates only the GP/participant match and not participants’ contact details.</w:t>
      </w:r>
    </w:p>
    <w:p w:rsidR="00EA7827" w:rsidRDefault="00276B7D" w:rsidP="00604AA9">
      <w:pPr>
        <w:pStyle w:val="Bullet"/>
        <w:numPr>
          <w:ilvl w:val="0"/>
          <w:numId w:val="10"/>
        </w:numPr>
        <w:tabs>
          <w:tab w:val="num" w:pos="6663"/>
        </w:tabs>
        <w:ind w:left="1069"/>
        <w:rPr>
          <w:lang w:eastAsia="ar-SA"/>
        </w:rPr>
      </w:pPr>
      <w:r w:rsidRPr="00FE327E">
        <w:t xml:space="preserve">The success of the active follow-up phone calls </w:t>
      </w:r>
      <w:r>
        <w:t xml:space="preserve">by CAR workers </w:t>
      </w:r>
      <w:r w:rsidRPr="00FE327E">
        <w:t xml:space="preserve">is constrained </w:t>
      </w:r>
      <w:r>
        <w:t xml:space="preserve">as the BSP Register does not </w:t>
      </w:r>
      <w:r w:rsidR="00AB1FFE">
        <w:t xml:space="preserve">contain </w:t>
      </w:r>
      <w:r>
        <w:t>phone numbers</w:t>
      </w:r>
      <w:r w:rsidR="00E0335C">
        <w:t xml:space="preserve">. CAR workers try to find </w:t>
      </w:r>
      <w:r w:rsidRPr="00FE327E">
        <w:t>phone number</w:t>
      </w:r>
      <w:r w:rsidR="00E0335C">
        <w:t>s</w:t>
      </w:r>
      <w:r w:rsidRPr="00FE327E">
        <w:t xml:space="preserve"> via the </w:t>
      </w:r>
      <w:r>
        <w:t>W</w:t>
      </w:r>
      <w:r w:rsidRPr="00FE327E">
        <w:t xml:space="preserve">hite </w:t>
      </w:r>
      <w:r>
        <w:t>P</w:t>
      </w:r>
      <w:r w:rsidRPr="00FE327E">
        <w:t>ages</w:t>
      </w:r>
      <w:r w:rsidR="00D40D38">
        <w:t>,</w:t>
      </w:r>
      <w:r w:rsidRPr="00FE327E">
        <w:t xml:space="preserve"> WDHB</w:t>
      </w:r>
      <w:r w:rsidR="00E32D91">
        <w:t>’s</w:t>
      </w:r>
      <w:r w:rsidRPr="00FE327E">
        <w:t xml:space="preserve"> </w:t>
      </w:r>
      <w:r w:rsidR="00E32D91">
        <w:rPr>
          <w:lang w:eastAsia="ar-SA"/>
        </w:rPr>
        <w:t>iPIMs</w:t>
      </w:r>
      <w:r w:rsidR="00A10D10">
        <w:rPr>
          <w:lang w:eastAsia="ar-SA"/>
        </w:rPr>
        <w:t>,</w:t>
      </w:r>
      <w:r w:rsidRPr="00FE327E">
        <w:t xml:space="preserve"> </w:t>
      </w:r>
      <w:r w:rsidR="00D40D38">
        <w:t xml:space="preserve">and contacting general practice </w:t>
      </w:r>
      <w:r w:rsidR="00E0335C">
        <w:t xml:space="preserve">which is time consuming. </w:t>
      </w:r>
    </w:p>
    <w:p w:rsidR="00E0335C" w:rsidRDefault="00E0335C" w:rsidP="00E0335C">
      <w:pPr>
        <w:pStyle w:val="Bullet"/>
        <w:numPr>
          <w:ilvl w:val="0"/>
          <w:numId w:val="0"/>
        </w:numPr>
        <w:ind w:left="709"/>
        <w:rPr>
          <w:b/>
        </w:rPr>
      </w:pPr>
      <w:r w:rsidRPr="00A33636">
        <w:rPr>
          <w:b/>
        </w:rPr>
        <w:lastRenderedPageBreak/>
        <w:t>Data quality</w:t>
      </w:r>
      <w:r w:rsidRPr="00E0335C">
        <w:rPr>
          <w:b/>
        </w:rPr>
        <w:t xml:space="preserve"> </w:t>
      </w:r>
    </w:p>
    <w:p w:rsidR="009F5C99" w:rsidRPr="00995633" w:rsidRDefault="009F5C99" w:rsidP="00604AA9">
      <w:pPr>
        <w:pStyle w:val="Bullet"/>
        <w:numPr>
          <w:ilvl w:val="0"/>
          <w:numId w:val="10"/>
        </w:numPr>
        <w:tabs>
          <w:tab w:val="num" w:pos="6663"/>
        </w:tabs>
        <w:ind w:left="1069"/>
        <w:rPr>
          <w:lang w:eastAsia="ar-SA"/>
        </w:rPr>
      </w:pPr>
      <w:r w:rsidRPr="00995633">
        <w:rPr>
          <w:lang w:eastAsia="ar-SA"/>
        </w:rPr>
        <w:t xml:space="preserve">A </w:t>
      </w:r>
      <w:r w:rsidRPr="00995633">
        <w:t>few</w:t>
      </w:r>
      <w:r w:rsidRPr="00995633">
        <w:rPr>
          <w:lang w:eastAsia="ar-SA"/>
        </w:rPr>
        <w:t xml:space="preserve"> coding issues have been identified with a small number of laboratory results due to mismatched codes.  The BSP Coordination Centre is aware of the issue and is monitoring to ensure appropriate corrective action.  </w:t>
      </w:r>
    </w:p>
    <w:p w:rsidR="00E32D91" w:rsidRDefault="009F5C99" w:rsidP="009F5C99">
      <w:pPr>
        <w:pStyle w:val="Bullet"/>
        <w:keepNext/>
        <w:keepLines/>
        <w:numPr>
          <w:ilvl w:val="0"/>
          <w:numId w:val="0"/>
        </w:numPr>
        <w:tabs>
          <w:tab w:val="num" w:pos="6663"/>
        </w:tabs>
        <w:ind w:left="1069"/>
        <w:rPr>
          <w:lang w:eastAsia="ar-SA"/>
        </w:rPr>
      </w:pPr>
      <w:r w:rsidRPr="00995633">
        <w:rPr>
          <w:lang w:eastAsia="ar-SA"/>
        </w:rPr>
        <w:t xml:space="preserve">Histopathology and treatment data are only now being entered </w:t>
      </w:r>
      <w:r w:rsidR="00E0335C">
        <w:rPr>
          <w:lang w:eastAsia="ar-SA"/>
        </w:rPr>
        <w:t xml:space="preserve">manually </w:t>
      </w:r>
      <w:r w:rsidRPr="00995633">
        <w:rPr>
          <w:lang w:eastAsia="ar-SA"/>
        </w:rPr>
        <w:t xml:space="preserve">on to the Register.  </w:t>
      </w:r>
      <w:r>
        <w:rPr>
          <w:lang w:eastAsia="ar-SA"/>
        </w:rPr>
        <w:t xml:space="preserve">Before late 2013, WDHB Clinical Director maintained </w:t>
      </w:r>
      <w:r w:rsidRPr="001154D0">
        <w:rPr>
          <w:lang w:eastAsia="ar-SA"/>
        </w:rPr>
        <w:t>a spreadsheet of all cancers identified and treated</w:t>
      </w:r>
      <w:r>
        <w:rPr>
          <w:lang w:eastAsia="ar-SA"/>
        </w:rPr>
        <w:t xml:space="preserve">.  </w:t>
      </w:r>
      <w:r w:rsidR="00EA7827">
        <w:rPr>
          <w:lang w:eastAsia="ar-SA"/>
        </w:rPr>
        <w:t>The</w:t>
      </w:r>
      <w:r w:rsidR="00EA7827" w:rsidRPr="00EA7827">
        <w:rPr>
          <w:lang w:eastAsia="ar-SA"/>
        </w:rPr>
        <w:t xml:space="preserve"> </w:t>
      </w:r>
      <w:r w:rsidR="00EA7827">
        <w:rPr>
          <w:lang w:eastAsia="ar-SA"/>
        </w:rPr>
        <w:t>WDHB Clinical Director</w:t>
      </w:r>
      <w:r w:rsidRPr="001154D0">
        <w:rPr>
          <w:lang w:eastAsia="ar-SA"/>
        </w:rPr>
        <w:t xml:space="preserve"> would provide this to the Ministry </w:t>
      </w:r>
      <w:r w:rsidR="00F97FA3">
        <w:rPr>
          <w:lang w:eastAsia="ar-SA"/>
        </w:rPr>
        <w:t xml:space="preserve">of Health </w:t>
      </w:r>
      <w:r w:rsidRPr="001154D0">
        <w:rPr>
          <w:lang w:eastAsia="ar-SA"/>
        </w:rPr>
        <w:t xml:space="preserve">for analysis and reporting purposes.  </w:t>
      </w:r>
      <w:r>
        <w:rPr>
          <w:lang w:eastAsia="ar-SA"/>
        </w:rPr>
        <w:t>Some types of polyps could not be entered (e.g. serrated polyps) as there was no field</w:t>
      </w:r>
      <w:r w:rsidR="000B753F">
        <w:rPr>
          <w:lang w:eastAsia="ar-SA"/>
        </w:rPr>
        <w:t xml:space="preserve"> for this in the Register</w:t>
      </w:r>
      <w:r>
        <w:rPr>
          <w:lang w:eastAsia="ar-SA"/>
        </w:rPr>
        <w:t xml:space="preserve">.  Following updates to the Register in late 2013, </w:t>
      </w:r>
      <w:r w:rsidR="00A10D10">
        <w:rPr>
          <w:lang w:eastAsia="ar-SA"/>
        </w:rPr>
        <w:t>these</w:t>
      </w:r>
      <w:r w:rsidR="00A10D10" w:rsidRPr="001154D0">
        <w:rPr>
          <w:lang w:eastAsia="ar-SA"/>
        </w:rPr>
        <w:t xml:space="preserve"> </w:t>
      </w:r>
      <w:r w:rsidRPr="001154D0">
        <w:rPr>
          <w:lang w:eastAsia="ar-SA"/>
        </w:rPr>
        <w:t xml:space="preserve">data can </w:t>
      </w:r>
      <w:r>
        <w:rPr>
          <w:lang w:eastAsia="ar-SA"/>
        </w:rPr>
        <w:t>now be entered</w:t>
      </w:r>
      <w:r w:rsidRPr="001154D0">
        <w:rPr>
          <w:lang w:eastAsia="ar-SA"/>
        </w:rPr>
        <w:t xml:space="preserve">.  </w:t>
      </w:r>
    </w:p>
    <w:p w:rsidR="009F5C99" w:rsidRPr="00995633" w:rsidRDefault="009F5C99" w:rsidP="009F5C99">
      <w:pPr>
        <w:pStyle w:val="Bullet"/>
        <w:keepNext/>
        <w:keepLines/>
        <w:numPr>
          <w:ilvl w:val="0"/>
          <w:numId w:val="0"/>
        </w:numPr>
        <w:tabs>
          <w:tab w:val="num" w:pos="6663"/>
        </w:tabs>
        <w:ind w:left="1069"/>
        <w:rPr>
          <w:lang w:eastAsia="ar-SA"/>
        </w:rPr>
      </w:pPr>
      <w:r w:rsidRPr="00995633">
        <w:rPr>
          <w:lang w:eastAsia="ar-SA"/>
        </w:rPr>
        <w:t xml:space="preserve">Other issues noted with histopathology and treatment data are: </w:t>
      </w:r>
    </w:p>
    <w:p w:rsidR="009F5C99" w:rsidRDefault="009F5C99" w:rsidP="00604AA9">
      <w:pPr>
        <w:pStyle w:val="ListParagraph"/>
        <w:numPr>
          <w:ilvl w:val="1"/>
          <w:numId w:val="10"/>
        </w:numPr>
        <w:spacing w:before="120"/>
        <w:ind w:left="1560" w:hanging="426"/>
        <w:rPr>
          <w:lang w:eastAsia="ar-SA"/>
        </w:rPr>
      </w:pPr>
      <w:r>
        <w:rPr>
          <w:lang w:eastAsia="ar-SA"/>
        </w:rPr>
        <w:t xml:space="preserve">The histopathology details the most significant findings </w:t>
      </w:r>
      <w:r w:rsidR="000B753F">
        <w:rPr>
          <w:lang w:eastAsia="ar-SA"/>
        </w:rPr>
        <w:t xml:space="preserve">from the colonoscopy/CTC </w:t>
      </w:r>
      <w:r>
        <w:rPr>
          <w:lang w:eastAsia="ar-SA"/>
        </w:rPr>
        <w:t>but not all the findings (e.g. if 20 polyps are found</w:t>
      </w:r>
      <w:r w:rsidR="00A10D10">
        <w:rPr>
          <w:lang w:eastAsia="ar-SA"/>
        </w:rPr>
        <w:t>,</w:t>
      </w:r>
      <w:r>
        <w:rPr>
          <w:lang w:eastAsia="ar-SA"/>
        </w:rPr>
        <w:t xml:space="preserve"> only the most </w:t>
      </w:r>
      <w:r w:rsidR="00A10D10">
        <w:rPr>
          <w:lang w:eastAsia="ar-SA"/>
        </w:rPr>
        <w:t xml:space="preserve">important </w:t>
      </w:r>
      <w:r>
        <w:rPr>
          <w:lang w:eastAsia="ar-SA"/>
        </w:rPr>
        <w:t>are listed).</w:t>
      </w:r>
    </w:p>
    <w:p w:rsidR="009F5C99" w:rsidRPr="00B40C4B" w:rsidRDefault="009F5C99" w:rsidP="00604AA9">
      <w:pPr>
        <w:pStyle w:val="ListParagraph"/>
        <w:numPr>
          <w:ilvl w:val="1"/>
          <w:numId w:val="10"/>
        </w:numPr>
        <w:spacing w:before="120"/>
        <w:ind w:left="1560" w:hanging="426"/>
        <w:rPr>
          <w:lang w:eastAsia="ar-SA"/>
        </w:rPr>
      </w:pPr>
      <w:r w:rsidRPr="00B40C4B">
        <w:rPr>
          <w:lang w:eastAsia="ar-SA"/>
        </w:rPr>
        <w:t xml:space="preserve">There is no field on the </w:t>
      </w:r>
      <w:r>
        <w:rPr>
          <w:lang w:eastAsia="ar-SA"/>
        </w:rPr>
        <w:t>Register</w:t>
      </w:r>
      <w:r w:rsidRPr="00B40C4B">
        <w:rPr>
          <w:lang w:eastAsia="ar-SA"/>
        </w:rPr>
        <w:t xml:space="preserve"> to record the date</w:t>
      </w:r>
      <w:r>
        <w:rPr>
          <w:lang w:eastAsia="ar-SA"/>
        </w:rPr>
        <w:t xml:space="preserve"> when the histology letter is sent out so it is not possible to monitor the timeliness of results being sent to the participant and their GP.  This</w:t>
      </w:r>
      <w:r w:rsidRPr="00B40C4B">
        <w:rPr>
          <w:lang w:eastAsia="ar-SA"/>
        </w:rPr>
        <w:t xml:space="preserve"> letter is generated from the WDHB transcription system because it is </w:t>
      </w:r>
      <w:r>
        <w:rPr>
          <w:lang w:eastAsia="ar-SA"/>
        </w:rPr>
        <w:t>a</w:t>
      </w:r>
      <w:r w:rsidRPr="00B40C4B">
        <w:rPr>
          <w:lang w:eastAsia="ar-SA"/>
        </w:rPr>
        <w:t xml:space="preserve"> letter</w:t>
      </w:r>
      <w:r>
        <w:rPr>
          <w:lang w:eastAsia="ar-SA"/>
        </w:rPr>
        <w:t xml:space="preserve"> which needs to be </w:t>
      </w:r>
      <w:r w:rsidRPr="00B40C4B">
        <w:rPr>
          <w:lang w:eastAsia="ar-SA"/>
        </w:rPr>
        <w:t xml:space="preserve">modified </w:t>
      </w:r>
      <w:r>
        <w:rPr>
          <w:lang w:eastAsia="ar-SA"/>
        </w:rPr>
        <w:t>for each participant</w:t>
      </w:r>
      <w:r w:rsidRPr="00B40C4B">
        <w:rPr>
          <w:lang w:eastAsia="ar-SA"/>
        </w:rPr>
        <w:t xml:space="preserve">.  It is labour intensive </w:t>
      </w:r>
      <w:r>
        <w:rPr>
          <w:lang w:eastAsia="ar-SA"/>
        </w:rPr>
        <w:t xml:space="preserve">to access this </w:t>
      </w:r>
      <w:r w:rsidRPr="00B40C4B">
        <w:rPr>
          <w:lang w:eastAsia="ar-SA"/>
        </w:rPr>
        <w:t>data as it is a manual process</w:t>
      </w:r>
      <w:r>
        <w:rPr>
          <w:lang w:eastAsia="ar-SA"/>
        </w:rPr>
        <w:t>.</w:t>
      </w:r>
    </w:p>
    <w:p w:rsidR="009F5C99" w:rsidRPr="00995633" w:rsidRDefault="009F5C99" w:rsidP="00604AA9">
      <w:pPr>
        <w:pStyle w:val="Bullet"/>
        <w:numPr>
          <w:ilvl w:val="0"/>
          <w:numId w:val="10"/>
        </w:numPr>
        <w:tabs>
          <w:tab w:val="num" w:pos="6663"/>
        </w:tabs>
        <w:ind w:left="1069"/>
        <w:rPr>
          <w:lang w:eastAsia="ar-SA"/>
        </w:rPr>
      </w:pPr>
      <w:r w:rsidRPr="00995633">
        <w:rPr>
          <w:lang w:eastAsia="ar-SA"/>
        </w:rPr>
        <w:t xml:space="preserve">The inflexibility of some of the </w:t>
      </w:r>
      <w:r w:rsidR="00D40D38">
        <w:rPr>
          <w:lang w:eastAsia="ar-SA"/>
        </w:rPr>
        <w:t xml:space="preserve">iFOBT </w:t>
      </w:r>
      <w:r w:rsidRPr="00995633">
        <w:rPr>
          <w:lang w:eastAsia="ar-SA"/>
        </w:rPr>
        <w:t xml:space="preserve">pathology result fields </w:t>
      </w:r>
      <w:proofErr w:type="gramStart"/>
      <w:r w:rsidRPr="00995633">
        <w:rPr>
          <w:lang w:eastAsia="ar-SA"/>
        </w:rPr>
        <w:t>are</w:t>
      </w:r>
      <w:proofErr w:type="gramEnd"/>
      <w:r w:rsidRPr="00995633">
        <w:rPr>
          <w:lang w:eastAsia="ar-SA"/>
        </w:rPr>
        <w:t xml:space="preserve"> frustrating for LabPLUS.  The Register only allows the entry of a result or an error code.  In some cases there can be an error (i</w:t>
      </w:r>
      <w:r>
        <w:rPr>
          <w:lang w:eastAsia="ar-SA"/>
        </w:rPr>
        <w:t>.</w:t>
      </w:r>
      <w:r w:rsidRPr="00995633">
        <w:rPr>
          <w:lang w:eastAsia="ar-SA"/>
        </w:rPr>
        <w:t>e</w:t>
      </w:r>
      <w:r>
        <w:rPr>
          <w:lang w:eastAsia="ar-SA"/>
        </w:rPr>
        <w:t>.</w:t>
      </w:r>
      <w:r w:rsidRPr="00995633">
        <w:rPr>
          <w:lang w:eastAsia="ar-SA"/>
        </w:rPr>
        <w:t xml:space="preserve"> a completed expired test kit) and a result as the kit was tested.  In this case, LabPLUS wants to note the error and the result but cannot. </w:t>
      </w:r>
    </w:p>
    <w:p w:rsidR="009F5C99" w:rsidRDefault="009F5C99" w:rsidP="00604AA9">
      <w:pPr>
        <w:pStyle w:val="Bullet"/>
        <w:numPr>
          <w:ilvl w:val="0"/>
          <w:numId w:val="10"/>
        </w:numPr>
        <w:tabs>
          <w:tab w:val="num" w:pos="6663"/>
        </w:tabs>
        <w:ind w:left="1069"/>
        <w:rPr>
          <w:lang w:eastAsia="ar-SA"/>
        </w:rPr>
      </w:pPr>
      <w:r w:rsidRPr="00995633">
        <w:rPr>
          <w:lang w:eastAsia="ar-SA"/>
        </w:rPr>
        <w:t xml:space="preserve">Validation or auditing of data on to the Register at WDHB and the Ministry </w:t>
      </w:r>
      <w:r w:rsidR="00F97FA3">
        <w:rPr>
          <w:lang w:eastAsia="ar-SA"/>
        </w:rPr>
        <w:t xml:space="preserve">of Health </w:t>
      </w:r>
      <w:r w:rsidR="00A1741A">
        <w:rPr>
          <w:lang w:eastAsia="ar-SA"/>
        </w:rPr>
        <w:t>were</w:t>
      </w:r>
      <w:r w:rsidRPr="00995633">
        <w:rPr>
          <w:lang w:eastAsia="ar-SA"/>
        </w:rPr>
        <w:t xml:space="preserve"> not consistently undertaken</w:t>
      </w:r>
      <w:r w:rsidR="00A1741A">
        <w:rPr>
          <w:lang w:eastAsia="ar-SA"/>
        </w:rPr>
        <w:t xml:space="preserve"> due to limited workforce capacity</w:t>
      </w:r>
      <w:r w:rsidRPr="00995633">
        <w:rPr>
          <w:lang w:eastAsia="ar-SA"/>
        </w:rPr>
        <w:t xml:space="preserve">.  </w:t>
      </w:r>
    </w:p>
    <w:p w:rsidR="00E0335C" w:rsidRPr="00E0335C" w:rsidRDefault="00E0335C" w:rsidP="00E0335C">
      <w:pPr>
        <w:pStyle w:val="Bullet"/>
        <w:numPr>
          <w:ilvl w:val="0"/>
          <w:numId w:val="0"/>
        </w:numPr>
        <w:ind w:left="709"/>
        <w:rPr>
          <w:b/>
        </w:rPr>
      </w:pPr>
      <w:r>
        <w:rPr>
          <w:b/>
        </w:rPr>
        <w:t xml:space="preserve">Lack of data and IT resource </w:t>
      </w:r>
    </w:p>
    <w:p w:rsidR="00E0335C" w:rsidRDefault="00E0335C" w:rsidP="00604AA9">
      <w:pPr>
        <w:pStyle w:val="Bullet"/>
        <w:numPr>
          <w:ilvl w:val="0"/>
          <w:numId w:val="10"/>
        </w:numPr>
        <w:tabs>
          <w:tab w:val="num" w:pos="6663"/>
        </w:tabs>
        <w:ind w:left="1069"/>
        <w:rPr>
          <w:lang w:eastAsia="ar-SA"/>
        </w:rPr>
      </w:pPr>
      <w:r w:rsidRPr="00995633">
        <w:rPr>
          <w:lang w:eastAsia="ar-SA"/>
        </w:rPr>
        <w:t>Understanding of the Register sits with a small number of peopl</w:t>
      </w:r>
      <w:r w:rsidR="00A1741A">
        <w:rPr>
          <w:lang w:eastAsia="ar-SA"/>
        </w:rPr>
        <w:t xml:space="preserve">e in WDHB and </w:t>
      </w:r>
      <w:r w:rsidR="00E073CC">
        <w:rPr>
          <w:lang w:eastAsia="ar-SA"/>
        </w:rPr>
        <w:t>Ministry of Health</w:t>
      </w:r>
      <w:r w:rsidRPr="00995633">
        <w:rPr>
          <w:lang w:eastAsia="ar-SA"/>
        </w:rPr>
        <w:t xml:space="preserve">, and some of the assumptions underpinning the definition of variables are not known.  There is documentation </w:t>
      </w:r>
      <w:r w:rsidR="0090061F">
        <w:rPr>
          <w:lang w:eastAsia="ar-SA"/>
        </w:rPr>
        <w:t>about</w:t>
      </w:r>
      <w:r w:rsidR="0090061F" w:rsidRPr="00995633">
        <w:rPr>
          <w:lang w:eastAsia="ar-SA"/>
        </w:rPr>
        <w:t xml:space="preserve"> </w:t>
      </w:r>
      <w:r w:rsidRPr="00995633">
        <w:rPr>
          <w:lang w:eastAsia="ar-SA"/>
        </w:rPr>
        <w:t>the Register at the M</w:t>
      </w:r>
      <w:r w:rsidR="00A65C0E">
        <w:rPr>
          <w:lang w:eastAsia="ar-SA"/>
        </w:rPr>
        <w:t>inistry and WDHB, although the</w:t>
      </w:r>
      <w:r w:rsidR="00FA6C28">
        <w:rPr>
          <w:lang w:eastAsia="ar-SA"/>
        </w:rPr>
        <w:t>re</w:t>
      </w:r>
      <w:r w:rsidRPr="00995633">
        <w:rPr>
          <w:lang w:eastAsia="ar-SA"/>
        </w:rPr>
        <w:t xml:space="preserve"> are incomplete areas. </w:t>
      </w:r>
    </w:p>
    <w:p w:rsidR="00672B79" w:rsidRPr="008A486D" w:rsidRDefault="009F5C99" w:rsidP="00672B79">
      <w:pPr>
        <w:pStyle w:val="Bullet"/>
        <w:numPr>
          <w:ilvl w:val="0"/>
          <w:numId w:val="10"/>
        </w:numPr>
        <w:tabs>
          <w:tab w:val="num" w:pos="6663"/>
        </w:tabs>
        <w:ind w:left="1069"/>
      </w:pPr>
      <w:r w:rsidRPr="008A486D">
        <w:rPr>
          <w:lang w:eastAsia="ar-SA"/>
        </w:rPr>
        <w:t>Not enough dedicated data and IT resource</w:t>
      </w:r>
      <w:r w:rsidR="001253F2" w:rsidRPr="008A486D">
        <w:rPr>
          <w:lang w:eastAsia="ar-SA"/>
        </w:rPr>
        <w:t>s</w:t>
      </w:r>
      <w:r w:rsidRPr="008A486D">
        <w:rPr>
          <w:lang w:eastAsia="ar-SA"/>
        </w:rPr>
        <w:t xml:space="preserve"> at WDHB</w:t>
      </w:r>
      <w:r w:rsidR="005A661E" w:rsidRPr="008A486D">
        <w:rPr>
          <w:rStyle w:val="FootnoteReference"/>
        </w:rPr>
        <w:footnoteReference w:id="53"/>
      </w:r>
      <w:r w:rsidRPr="008A486D">
        <w:rPr>
          <w:lang w:eastAsia="ar-SA"/>
        </w:rPr>
        <w:t xml:space="preserve"> and the Ministry </w:t>
      </w:r>
      <w:r w:rsidR="00F97FA3">
        <w:rPr>
          <w:lang w:eastAsia="ar-SA"/>
        </w:rPr>
        <w:t xml:space="preserve">of Health </w:t>
      </w:r>
      <w:r w:rsidR="00672B79" w:rsidRPr="008A486D">
        <w:rPr>
          <w:lang w:eastAsia="ar-SA"/>
        </w:rPr>
        <w:t>which contributed to a lack of timely updates to the Register resulting in challenges ensuring data quality</w:t>
      </w:r>
      <w:r w:rsidR="008A486D" w:rsidRPr="008A486D">
        <w:rPr>
          <w:lang w:eastAsia="ar-SA"/>
        </w:rPr>
        <w:t xml:space="preserve">. </w:t>
      </w:r>
      <w:r w:rsidR="00672B79" w:rsidRPr="008A486D">
        <w:rPr>
          <w:lang w:eastAsia="ar-SA"/>
        </w:rPr>
        <w:t xml:space="preserve"> </w:t>
      </w:r>
    </w:p>
    <w:p w:rsidR="009F5C99" w:rsidRDefault="009F5C99" w:rsidP="009F5C99">
      <w:pPr>
        <w:rPr>
          <w:lang w:eastAsia="ar-SA"/>
        </w:rPr>
      </w:pPr>
      <w:r>
        <w:rPr>
          <w:lang w:eastAsia="ar-SA"/>
        </w:rPr>
        <w:t>In October 2</w:t>
      </w:r>
      <w:r w:rsidR="002B6578">
        <w:rPr>
          <w:lang w:eastAsia="ar-SA"/>
        </w:rPr>
        <w:t>013, a new full time data manager was</w:t>
      </w:r>
      <w:r>
        <w:rPr>
          <w:lang w:eastAsia="ar-SA"/>
        </w:rPr>
        <w:t xml:space="preserve"> employed at the BSP Coordination Centre which may help to address these issues.  The Ministry</w:t>
      </w:r>
      <w:r w:rsidR="0090061F">
        <w:rPr>
          <w:lang w:eastAsia="ar-SA"/>
        </w:rPr>
        <w:t xml:space="preserve"> </w:t>
      </w:r>
      <w:r w:rsidR="00F97FA3">
        <w:rPr>
          <w:lang w:eastAsia="ar-SA"/>
        </w:rPr>
        <w:t xml:space="preserve">of Health </w:t>
      </w:r>
      <w:r w:rsidR="0090061F">
        <w:rPr>
          <w:lang w:eastAsia="ar-SA"/>
        </w:rPr>
        <w:t>now</w:t>
      </w:r>
      <w:r>
        <w:rPr>
          <w:lang w:eastAsia="ar-SA"/>
        </w:rPr>
        <w:t xml:space="preserve"> has access to SAS to manipulate the Register data.  </w:t>
      </w:r>
    </w:p>
    <w:p w:rsidR="00366569" w:rsidRDefault="00767260" w:rsidP="000E040D">
      <w:pPr>
        <w:pStyle w:val="Heading3"/>
      </w:pPr>
      <w:r>
        <w:t>Conclusions and r</w:t>
      </w:r>
      <w:r w:rsidR="009E2473">
        <w:t>ecommendation</w:t>
      </w:r>
      <w:r w:rsidR="00A40063">
        <w:t>s</w:t>
      </w:r>
      <w:r w:rsidR="009E2473">
        <w:t xml:space="preserve"> </w:t>
      </w:r>
    </w:p>
    <w:p w:rsidR="000E040D" w:rsidRDefault="00366569" w:rsidP="000E040D">
      <w:pPr>
        <w:rPr>
          <w:lang w:eastAsia="ar-SA"/>
        </w:rPr>
      </w:pPr>
      <w:r>
        <w:rPr>
          <w:lang w:eastAsia="ar-SA"/>
        </w:rPr>
        <w:t>D</w:t>
      </w:r>
      <w:r w:rsidRPr="006E3075">
        <w:rPr>
          <w:lang w:eastAsia="ar-SA"/>
        </w:rPr>
        <w:t>ata quality and completeness of Register data</w:t>
      </w:r>
      <w:r>
        <w:rPr>
          <w:lang w:eastAsia="ar-SA"/>
        </w:rPr>
        <w:t xml:space="preserve"> are essential</w:t>
      </w:r>
      <w:r w:rsidR="000E040D">
        <w:rPr>
          <w:lang w:eastAsia="ar-SA"/>
        </w:rPr>
        <w:t xml:space="preserve"> to ensure the effectiveness of the BSP </w:t>
      </w:r>
      <w:r w:rsidR="00A65C0E">
        <w:rPr>
          <w:lang w:eastAsia="ar-SA"/>
        </w:rPr>
        <w:t xml:space="preserve">processes </w:t>
      </w:r>
      <w:r w:rsidR="000E040D">
        <w:rPr>
          <w:lang w:eastAsia="ar-SA"/>
        </w:rPr>
        <w:t>and to enable appropriate monitoring</w:t>
      </w:r>
      <w:r w:rsidR="00A65C0E">
        <w:rPr>
          <w:lang w:eastAsia="ar-SA"/>
        </w:rPr>
        <w:t xml:space="preserve"> and evaluation</w:t>
      </w:r>
      <w:r w:rsidRPr="006E3075">
        <w:rPr>
          <w:lang w:eastAsia="ar-SA"/>
        </w:rPr>
        <w:t xml:space="preserve">.  </w:t>
      </w:r>
      <w:r w:rsidR="000E040D">
        <w:rPr>
          <w:lang w:eastAsia="ar-SA"/>
        </w:rPr>
        <w:t xml:space="preserve">Given the noted limitations of the Register, a comprehensive review is strongly recommended together with the implementation of a robust </w:t>
      </w:r>
      <w:r w:rsidR="0000009B">
        <w:rPr>
          <w:lang w:eastAsia="ar-SA"/>
        </w:rPr>
        <w:t>data-quality-</w:t>
      </w:r>
      <w:r w:rsidR="000E040D">
        <w:rPr>
          <w:lang w:eastAsia="ar-SA"/>
        </w:rPr>
        <w:t xml:space="preserve">assurance programme. </w:t>
      </w:r>
    </w:p>
    <w:p w:rsidR="00463B7A" w:rsidRDefault="00463B7A" w:rsidP="000E040D">
      <w:pPr>
        <w:rPr>
          <w:lang w:eastAsia="ar-SA"/>
        </w:rPr>
      </w:pPr>
    </w:p>
    <w:p w:rsidR="00366569" w:rsidRDefault="000E040D" w:rsidP="000E040D">
      <w:pPr>
        <w:rPr>
          <w:lang w:eastAsia="ar-SA"/>
        </w:rPr>
      </w:pPr>
      <w:r>
        <w:rPr>
          <w:lang w:eastAsia="ar-SA"/>
        </w:rPr>
        <w:lastRenderedPageBreak/>
        <w:t>K</w:t>
      </w:r>
      <w:r w:rsidR="00366569">
        <w:rPr>
          <w:lang w:eastAsia="ar-SA"/>
        </w:rPr>
        <w:t xml:space="preserve">ey improvements </w:t>
      </w:r>
      <w:r>
        <w:rPr>
          <w:lang w:eastAsia="ar-SA"/>
        </w:rPr>
        <w:t>r</w:t>
      </w:r>
      <w:r w:rsidR="00366569">
        <w:rPr>
          <w:lang w:eastAsia="ar-SA"/>
        </w:rPr>
        <w:t>equired to enhance the Register’s effectiveness</w:t>
      </w:r>
      <w:r>
        <w:rPr>
          <w:lang w:eastAsia="ar-SA"/>
        </w:rPr>
        <w:t xml:space="preserve"> are</w:t>
      </w:r>
      <w:r w:rsidR="00366569">
        <w:rPr>
          <w:lang w:eastAsia="ar-SA"/>
        </w:rPr>
        <w:t xml:space="preserve">: </w:t>
      </w:r>
    </w:p>
    <w:p w:rsidR="00366569" w:rsidRPr="00E579F3" w:rsidRDefault="00366569" w:rsidP="00604AA9">
      <w:pPr>
        <w:pStyle w:val="Bullet"/>
        <w:numPr>
          <w:ilvl w:val="0"/>
          <w:numId w:val="10"/>
        </w:numPr>
        <w:tabs>
          <w:tab w:val="num" w:pos="2126"/>
          <w:tab w:val="num" w:pos="6663"/>
        </w:tabs>
        <w:ind w:left="1069"/>
        <w:rPr>
          <w:lang w:eastAsia="ar-SA"/>
        </w:rPr>
      </w:pPr>
      <w:r>
        <w:rPr>
          <w:lang w:eastAsia="ar-SA"/>
        </w:rPr>
        <w:t xml:space="preserve">developing </w:t>
      </w:r>
      <w:r w:rsidRPr="00E579F3">
        <w:rPr>
          <w:lang w:eastAsia="ar-SA"/>
        </w:rPr>
        <w:t xml:space="preserve">a strategy to enhance accuracy of participant contact details and to identify eligible participants moving into WDHB </w:t>
      </w:r>
    </w:p>
    <w:p w:rsidR="00366569" w:rsidRPr="00E579F3" w:rsidRDefault="00366569" w:rsidP="00604AA9">
      <w:pPr>
        <w:pStyle w:val="Bullet"/>
        <w:numPr>
          <w:ilvl w:val="0"/>
          <w:numId w:val="10"/>
        </w:numPr>
        <w:tabs>
          <w:tab w:val="num" w:pos="2126"/>
          <w:tab w:val="num" w:pos="6663"/>
        </w:tabs>
        <w:ind w:left="1069"/>
        <w:rPr>
          <w:lang w:eastAsia="ar-SA"/>
        </w:rPr>
      </w:pPr>
      <w:r>
        <w:rPr>
          <w:lang w:eastAsia="ar-SA"/>
        </w:rPr>
        <w:t>ensuring</w:t>
      </w:r>
      <w:r w:rsidRPr="00E579F3">
        <w:rPr>
          <w:lang w:eastAsia="ar-SA"/>
        </w:rPr>
        <w:t xml:space="preserve"> the knowledge management system </w:t>
      </w:r>
      <w:r>
        <w:rPr>
          <w:lang w:eastAsia="ar-SA"/>
        </w:rPr>
        <w:t xml:space="preserve">and data dictionary </w:t>
      </w:r>
      <w:r w:rsidRPr="00E579F3">
        <w:rPr>
          <w:lang w:eastAsia="ar-SA"/>
        </w:rPr>
        <w:t>on the Register is complete and clearly specifies variable definitions and assumptions underpinning data generated</w:t>
      </w:r>
    </w:p>
    <w:p w:rsidR="00366569" w:rsidRPr="00E579F3" w:rsidRDefault="00366569" w:rsidP="00604AA9">
      <w:pPr>
        <w:pStyle w:val="Bullet"/>
        <w:numPr>
          <w:ilvl w:val="0"/>
          <w:numId w:val="10"/>
        </w:numPr>
        <w:tabs>
          <w:tab w:val="num" w:pos="2126"/>
          <w:tab w:val="num" w:pos="6663"/>
        </w:tabs>
        <w:ind w:left="1069"/>
        <w:rPr>
          <w:lang w:eastAsia="ar-SA"/>
        </w:rPr>
      </w:pPr>
      <w:r>
        <w:rPr>
          <w:lang w:eastAsia="ar-SA"/>
        </w:rPr>
        <w:t>ensuring</w:t>
      </w:r>
      <w:r w:rsidRPr="00E579F3">
        <w:rPr>
          <w:lang w:eastAsia="ar-SA"/>
        </w:rPr>
        <w:t xml:space="preserve"> the Register has all the data fields necessary to meet quality and other reporting requirements, particularl</w:t>
      </w:r>
      <w:r w:rsidR="008A486D">
        <w:rPr>
          <w:lang w:eastAsia="ar-SA"/>
        </w:rPr>
        <w:t xml:space="preserve">y with regard to histopathology, </w:t>
      </w:r>
      <w:r w:rsidRPr="00E579F3">
        <w:rPr>
          <w:lang w:eastAsia="ar-SA"/>
        </w:rPr>
        <w:t>treatment data</w:t>
      </w:r>
      <w:r w:rsidR="008A486D">
        <w:rPr>
          <w:lang w:eastAsia="ar-SA"/>
        </w:rPr>
        <w:t xml:space="preserve"> and adverse events</w:t>
      </w:r>
    </w:p>
    <w:p w:rsidR="00366569" w:rsidRPr="008A486D" w:rsidRDefault="00FB11DD" w:rsidP="00604AA9">
      <w:pPr>
        <w:pStyle w:val="Bullet"/>
        <w:numPr>
          <w:ilvl w:val="0"/>
          <w:numId w:val="10"/>
        </w:numPr>
        <w:tabs>
          <w:tab w:val="num" w:pos="6663"/>
        </w:tabs>
        <w:ind w:left="1069"/>
        <w:rPr>
          <w:lang w:eastAsia="ar-SA"/>
        </w:rPr>
      </w:pPr>
      <w:r w:rsidRPr="008A486D">
        <w:rPr>
          <w:lang w:eastAsia="ar-SA"/>
        </w:rPr>
        <w:t xml:space="preserve">reviewing </w:t>
      </w:r>
      <w:r w:rsidR="00366569" w:rsidRPr="008A486D">
        <w:rPr>
          <w:lang w:eastAsia="ar-SA"/>
        </w:rPr>
        <w:t>the process</w:t>
      </w:r>
      <w:r w:rsidRPr="008A486D">
        <w:rPr>
          <w:lang w:eastAsia="ar-SA"/>
        </w:rPr>
        <w:t xml:space="preserve">, </w:t>
      </w:r>
      <w:r w:rsidR="00366569" w:rsidRPr="008A486D">
        <w:rPr>
          <w:lang w:eastAsia="ar-SA"/>
        </w:rPr>
        <w:t xml:space="preserve">frequency </w:t>
      </w:r>
      <w:r w:rsidRPr="008A486D">
        <w:rPr>
          <w:lang w:eastAsia="ar-SA"/>
        </w:rPr>
        <w:t xml:space="preserve">and responsibilities for data </w:t>
      </w:r>
      <w:r w:rsidR="008A486D" w:rsidRPr="008A486D">
        <w:rPr>
          <w:lang w:eastAsia="ar-SA"/>
        </w:rPr>
        <w:t>quality of</w:t>
      </w:r>
      <w:r w:rsidR="00366569" w:rsidRPr="008A486D">
        <w:rPr>
          <w:lang w:eastAsia="ar-SA"/>
        </w:rPr>
        <w:t xml:space="preserve"> the Register at WDHB and the Ministry</w:t>
      </w:r>
      <w:r w:rsidR="00F97FA3">
        <w:rPr>
          <w:lang w:eastAsia="ar-SA"/>
        </w:rPr>
        <w:t xml:space="preserve"> of Health</w:t>
      </w:r>
    </w:p>
    <w:p w:rsidR="00366569" w:rsidRPr="00E579F3" w:rsidRDefault="00366569" w:rsidP="00604AA9">
      <w:pPr>
        <w:pStyle w:val="Bullet"/>
        <w:numPr>
          <w:ilvl w:val="0"/>
          <w:numId w:val="10"/>
        </w:numPr>
        <w:tabs>
          <w:tab w:val="num" w:pos="2126"/>
          <w:tab w:val="num" w:pos="6663"/>
        </w:tabs>
        <w:ind w:left="1069"/>
        <w:rPr>
          <w:lang w:eastAsia="ar-SA"/>
        </w:rPr>
      </w:pPr>
      <w:proofErr w:type="gramStart"/>
      <w:r>
        <w:rPr>
          <w:lang w:eastAsia="ar-SA"/>
        </w:rPr>
        <w:t>ensuring</w:t>
      </w:r>
      <w:proofErr w:type="gramEnd"/>
      <w:r w:rsidRPr="00E579F3">
        <w:rPr>
          <w:lang w:eastAsia="ar-SA"/>
        </w:rPr>
        <w:t xml:space="preserve"> adequate IT support at the Ministry </w:t>
      </w:r>
      <w:r w:rsidR="00F97FA3">
        <w:rPr>
          <w:lang w:eastAsia="ar-SA"/>
        </w:rPr>
        <w:t xml:space="preserve">of Health </w:t>
      </w:r>
      <w:r w:rsidRPr="00E579F3">
        <w:rPr>
          <w:lang w:eastAsia="ar-SA"/>
        </w:rPr>
        <w:t xml:space="preserve">to undertake updates and refinements to the Register as needed. </w:t>
      </w:r>
    </w:p>
    <w:p w:rsidR="00366569" w:rsidRDefault="00366569" w:rsidP="009F5C99">
      <w:pPr>
        <w:rPr>
          <w:lang w:eastAsia="ar-SA"/>
        </w:rPr>
      </w:pPr>
    </w:p>
    <w:p w:rsidR="005A661E" w:rsidRDefault="005A661E">
      <w:pPr>
        <w:spacing w:before="0"/>
        <w:ind w:left="0"/>
        <w:rPr>
          <w:b/>
          <w:sz w:val="28"/>
          <w:szCs w:val="28"/>
        </w:rPr>
      </w:pPr>
      <w:r>
        <w:br w:type="page"/>
      </w:r>
    </w:p>
    <w:p w:rsidR="001B4015" w:rsidRDefault="009E487D" w:rsidP="009E487D">
      <w:pPr>
        <w:pStyle w:val="Heading2"/>
      </w:pPr>
      <w:bookmarkStart w:id="215" w:name="_Toc390872212"/>
      <w:bookmarkStart w:id="216" w:name="_Toc412540038"/>
      <w:r>
        <w:lastRenderedPageBreak/>
        <w:t>3.</w:t>
      </w:r>
      <w:r w:rsidR="00926BA4">
        <w:t>3</w:t>
      </w:r>
      <w:r>
        <w:tab/>
      </w:r>
      <w:r w:rsidR="001B4015" w:rsidRPr="008C525B">
        <w:t>Acceptability to the target population</w:t>
      </w:r>
      <w:bookmarkEnd w:id="215"/>
      <w:bookmarkEnd w:id="216"/>
      <w:r w:rsidR="001B4015" w:rsidRPr="008C525B">
        <w:t xml:space="preserve"> </w:t>
      </w:r>
    </w:p>
    <w:p w:rsidR="00A12D1B" w:rsidRPr="00A12D1B" w:rsidRDefault="00A12D1B" w:rsidP="00A12D1B">
      <w:pPr>
        <w:pBdr>
          <w:top w:val="single" w:sz="4" w:space="0" w:color="auto"/>
          <w:left w:val="single" w:sz="4" w:space="4" w:color="auto"/>
          <w:bottom w:val="single" w:sz="4" w:space="1" w:color="auto"/>
          <w:right w:val="single" w:sz="4" w:space="4" w:color="auto"/>
        </w:pBdr>
        <w:spacing w:before="60" w:after="120"/>
        <w:ind w:left="720"/>
        <w:rPr>
          <w:rFonts w:cs="Arial"/>
          <w:b/>
        </w:rPr>
      </w:pPr>
      <w:r w:rsidRPr="00A12D1B">
        <w:rPr>
          <w:rFonts w:cs="Arial"/>
          <w:b/>
        </w:rPr>
        <w:t xml:space="preserve">Evaluation objective </w:t>
      </w:r>
      <w:r>
        <w:rPr>
          <w:rFonts w:cs="Arial"/>
          <w:b/>
        </w:rPr>
        <w:t>addressed in section</w:t>
      </w:r>
    </w:p>
    <w:p w:rsidR="00C53507" w:rsidRDefault="00C53507" w:rsidP="00406DC9">
      <w:pPr>
        <w:pBdr>
          <w:top w:val="single" w:sz="4" w:space="0" w:color="auto"/>
          <w:left w:val="single" w:sz="4" w:space="4" w:color="auto"/>
          <w:bottom w:val="single" w:sz="4" w:space="1" w:color="auto"/>
          <w:right w:val="single" w:sz="4" w:space="4" w:color="auto"/>
        </w:pBdr>
        <w:spacing w:before="60" w:after="120"/>
        <w:ind w:left="720"/>
        <w:rPr>
          <w:rFonts w:cs="Arial"/>
        </w:rPr>
      </w:pPr>
      <w:r>
        <w:rPr>
          <w:rFonts w:cs="Arial"/>
          <w:i/>
        </w:rPr>
        <w:t xml:space="preserve">Acceptability to the target population - </w:t>
      </w:r>
      <w:r>
        <w:rPr>
          <w:rFonts w:cs="Arial"/>
        </w:rPr>
        <w:t>To pilot provision of information and support to the target population to facilitate informed participation and evaluate the knowledge, attitudes and satisfaction of groups of participants (defined by sex, age, ethnicity, socioeconomic status and geographical residence) in the screening pilot, including identifying factors associated with non-participation</w:t>
      </w:r>
      <w:r w:rsidR="00C87A89">
        <w:rPr>
          <w:rFonts w:cs="Arial"/>
        </w:rPr>
        <w:t>.</w:t>
      </w:r>
    </w:p>
    <w:p w:rsidR="00DD0FE3" w:rsidRDefault="00CE1A89" w:rsidP="009E487D">
      <w:r>
        <w:t xml:space="preserve">This section addresses the </w:t>
      </w:r>
      <w:r w:rsidR="00041737">
        <w:t xml:space="preserve">evaluation </w:t>
      </w:r>
      <w:r>
        <w:t xml:space="preserve">objective </w:t>
      </w:r>
      <w:r w:rsidR="00041737">
        <w:t>on</w:t>
      </w:r>
      <w:r>
        <w:t xml:space="preserve"> the acceptability of the BSP amongst the eligible population</w:t>
      </w:r>
      <w:r w:rsidR="00041737">
        <w:t xml:space="preserve">. </w:t>
      </w:r>
      <w:r w:rsidR="00C522B5">
        <w:t xml:space="preserve"> </w:t>
      </w:r>
      <w:r w:rsidR="00041737">
        <w:t xml:space="preserve">The evaluative findings draw on the quantitative and qualitative </w:t>
      </w:r>
      <w:r w:rsidR="00041737" w:rsidRPr="00041737">
        <w:t xml:space="preserve">research with the eligible BSP population living in WDHB (Litmus </w:t>
      </w:r>
      <w:r w:rsidR="00A65C0E">
        <w:t xml:space="preserve">2012, </w:t>
      </w:r>
      <w:r w:rsidR="00DD0FE3">
        <w:t>2013 and 2014a)</w:t>
      </w:r>
      <w:r w:rsidR="004D1B46">
        <w:t>.</w:t>
      </w:r>
    </w:p>
    <w:p w:rsidR="0056360F" w:rsidRDefault="0056360F" w:rsidP="0056360F">
      <w:r>
        <w:t xml:space="preserve">The key evaluation findings against the objective are presented first followed by a summary of supporting evidence. </w:t>
      </w:r>
    </w:p>
    <w:p w:rsidR="00041737" w:rsidRPr="00D97639" w:rsidRDefault="00406DC9" w:rsidP="00041737">
      <w:pPr>
        <w:pStyle w:val="Heading3"/>
      </w:pPr>
      <w:r w:rsidRPr="00D97639">
        <w:t>Key evaluation findings</w:t>
      </w:r>
    </w:p>
    <w:p w:rsidR="009E2473" w:rsidRPr="00D97639" w:rsidRDefault="009E2473" w:rsidP="009E2473">
      <w:r w:rsidRPr="00D97639">
        <w:t xml:space="preserve">The acceptability of the BSP </w:t>
      </w:r>
      <w:r>
        <w:t>(defined by awareness, attitudes</w:t>
      </w:r>
      <w:r w:rsidR="00F765C8">
        <w:t xml:space="preserve"> and</w:t>
      </w:r>
      <w:r>
        <w:t xml:space="preserve"> knowledge) </w:t>
      </w:r>
      <w:r w:rsidRPr="00D97639">
        <w:t xml:space="preserve">varies amongst the </w:t>
      </w:r>
      <w:r>
        <w:t>eligible</w:t>
      </w:r>
      <w:r w:rsidRPr="00D97639">
        <w:t xml:space="preserve"> population</w:t>
      </w:r>
      <w:r>
        <w:t xml:space="preserve"> reflecting </w:t>
      </w:r>
      <w:r w:rsidRPr="00D97639">
        <w:t xml:space="preserve">it is not a homogenous group.  Acceptability of the BSP </w:t>
      </w:r>
      <w:r>
        <w:t xml:space="preserve">is higher amongst the eligible </w:t>
      </w:r>
      <w:proofErr w:type="gramStart"/>
      <w:r>
        <w:t>O</w:t>
      </w:r>
      <w:r w:rsidRPr="00D97639">
        <w:t>ther</w:t>
      </w:r>
      <w:proofErr w:type="gramEnd"/>
      <w:r w:rsidRPr="00D97639">
        <w:t xml:space="preserve"> ethnic group</w:t>
      </w:r>
      <w:r w:rsidRPr="00697D47">
        <w:rPr>
          <w:rStyle w:val="FootnoteReference"/>
        </w:rPr>
        <w:footnoteReference w:id="54"/>
      </w:r>
      <w:r w:rsidRPr="00D97639">
        <w:t xml:space="preserve">, and lower amongst </w:t>
      </w:r>
      <w:r>
        <w:t xml:space="preserve">eligible </w:t>
      </w:r>
      <w:r w:rsidRPr="00D97639">
        <w:t>M</w:t>
      </w:r>
      <w:r w:rsidRPr="00D97639">
        <w:rPr>
          <w:rFonts w:cs="Arial"/>
        </w:rPr>
        <w:t>ā</w:t>
      </w:r>
      <w:r w:rsidRPr="00D97639">
        <w:t xml:space="preserve">ori and Pacific people. </w:t>
      </w:r>
    </w:p>
    <w:p w:rsidR="00F765C8" w:rsidRDefault="00C12C6F" w:rsidP="00F765C8">
      <w:pPr>
        <w:spacing w:before="120"/>
      </w:pPr>
      <w:r w:rsidRPr="00D97639">
        <w:t>Since the launch of the BSP, awareness of the BSP</w:t>
      </w:r>
      <w:r>
        <w:t xml:space="preserve"> has significantly increased </w:t>
      </w:r>
      <w:r w:rsidR="003F63ED">
        <w:t xml:space="preserve">amongst the eligible </w:t>
      </w:r>
      <w:proofErr w:type="gramStart"/>
      <w:r w:rsidR="003F63ED">
        <w:t>O</w:t>
      </w:r>
      <w:r w:rsidR="003F63ED" w:rsidRPr="00D97639">
        <w:t>ther</w:t>
      </w:r>
      <w:proofErr w:type="gramEnd"/>
      <w:r w:rsidR="003F63ED" w:rsidRPr="00D97639">
        <w:t xml:space="preserve"> ethnic group</w:t>
      </w:r>
      <w:r>
        <w:t>.  K</w:t>
      </w:r>
      <w:r w:rsidRPr="00D97639">
        <w:t xml:space="preserve">nowledge </w:t>
      </w:r>
      <w:r>
        <w:t xml:space="preserve">about bowel cancer </w:t>
      </w:r>
      <w:r w:rsidRPr="00D97639">
        <w:t xml:space="preserve">risk factors, symptoms and bowel cancer tests </w:t>
      </w:r>
      <w:r>
        <w:t>has also increased.</w:t>
      </w:r>
      <w:r w:rsidRPr="00D97639">
        <w:t xml:space="preserve">  </w:t>
      </w:r>
      <w:r w:rsidR="00F765C8">
        <w:t xml:space="preserve">Perceptions of the </w:t>
      </w:r>
      <w:r w:rsidR="00F765C8" w:rsidRPr="00D97639">
        <w:t xml:space="preserve">iFOBT </w:t>
      </w:r>
      <w:r w:rsidR="00F765C8">
        <w:t xml:space="preserve">have also become more positive with significant increases in disagreement that the iFOBT is painful, embarrassing, inconvenient, messy and inaccurate.  </w:t>
      </w:r>
      <w:r w:rsidR="003F63ED">
        <w:t xml:space="preserve"> </w:t>
      </w:r>
    </w:p>
    <w:p w:rsidR="009E2473" w:rsidRDefault="009F7472" w:rsidP="00857761">
      <w:pPr>
        <w:spacing w:before="120"/>
        <w:rPr>
          <w:rFonts w:cs="Arial"/>
          <w:lang w:eastAsia="en-US"/>
        </w:rPr>
      </w:pPr>
      <w:r>
        <w:t xml:space="preserve">Compared to the </w:t>
      </w:r>
      <w:proofErr w:type="gramStart"/>
      <w:r>
        <w:t>O</w:t>
      </w:r>
      <w:r w:rsidR="009E2473" w:rsidRPr="00D97639">
        <w:t>ther</w:t>
      </w:r>
      <w:proofErr w:type="gramEnd"/>
      <w:r w:rsidR="009E2473" w:rsidRPr="00D97639">
        <w:t xml:space="preserve"> ethnic group, M</w:t>
      </w:r>
      <w:r w:rsidR="009E2473" w:rsidRPr="00D97639">
        <w:rPr>
          <w:rFonts w:cs="Arial"/>
        </w:rPr>
        <w:t>ā</w:t>
      </w:r>
      <w:r w:rsidR="009E2473" w:rsidRPr="00D97639">
        <w:t xml:space="preserve">ori and Pacific people have lower awareness of bowel cancer risk factors, symptoms and bowel cancer tests including the </w:t>
      </w:r>
      <w:r w:rsidR="00D31124">
        <w:t>iFOBT</w:t>
      </w:r>
      <w:r w:rsidR="009E2473" w:rsidRPr="00D97639">
        <w:t xml:space="preserve"> which may reflect their lower levels of participation.</w:t>
      </w:r>
      <w:r w:rsidR="009E2473">
        <w:t xml:space="preserve">  Other barriers to participation include a dislike of bowel screening, a preference </w:t>
      </w:r>
      <w:r w:rsidR="009E2473">
        <w:rPr>
          <w:lang w:eastAsia="en-US"/>
        </w:rPr>
        <w:t xml:space="preserve">for seeing their doctor, not being concerned, a </w:t>
      </w:r>
      <w:r w:rsidR="004269B8">
        <w:rPr>
          <w:lang w:eastAsia="en-US"/>
        </w:rPr>
        <w:t>fatalistic</w:t>
      </w:r>
      <w:r w:rsidR="009E2473">
        <w:rPr>
          <w:lang w:eastAsia="en-US"/>
        </w:rPr>
        <w:t xml:space="preserve"> att</w:t>
      </w:r>
      <w:r w:rsidR="00A65C0E">
        <w:rPr>
          <w:lang w:eastAsia="en-US"/>
        </w:rPr>
        <w:t xml:space="preserve">itude of ‘what will be will be’ or </w:t>
      </w:r>
      <w:r w:rsidR="009E2473">
        <w:rPr>
          <w:lang w:eastAsia="en-US"/>
        </w:rPr>
        <w:t>not wanting to know</w:t>
      </w:r>
      <w:r w:rsidR="00A65C0E">
        <w:rPr>
          <w:lang w:eastAsia="en-US"/>
        </w:rPr>
        <w:t xml:space="preserve">, </w:t>
      </w:r>
      <w:r w:rsidR="007E6953">
        <w:rPr>
          <w:lang w:eastAsia="en-US"/>
        </w:rPr>
        <w:t xml:space="preserve">and </w:t>
      </w:r>
      <w:r w:rsidR="009E2473">
        <w:rPr>
          <w:lang w:eastAsia="en-US"/>
        </w:rPr>
        <w:t xml:space="preserve">not wanting to do the </w:t>
      </w:r>
      <w:r w:rsidR="009E2473">
        <w:rPr>
          <w:rFonts w:cs="Arial"/>
          <w:lang w:eastAsia="en-US"/>
        </w:rPr>
        <w:t>test at home</w:t>
      </w:r>
      <w:r w:rsidR="007E6953">
        <w:rPr>
          <w:rFonts w:cs="Arial"/>
          <w:lang w:eastAsia="en-US"/>
        </w:rPr>
        <w:t xml:space="preserve">.  </w:t>
      </w:r>
      <w:r w:rsidR="009E2473">
        <w:rPr>
          <w:rFonts w:cs="Arial"/>
          <w:lang w:eastAsia="en-US"/>
        </w:rPr>
        <w:t xml:space="preserve">Pacific </w:t>
      </w:r>
      <w:r w:rsidR="007E6953">
        <w:rPr>
          <w:rFonts w:cs="Arial"/>
          <w:lang w:eastAsia="en-US"/>
        </w:rPr>
        <w:t>people also perceive</w:t>
      </w:r>
      <w:r w:rsidR="009E2473">
        <w:rPr>
          <w:rFonts w:cs="Arial"/>
          <w:lang w:eastAsia="en-US"/>
        </w:rPr>
        <w:t xml:space="preserve"> </w:t>
      </w:r>
      <w:r w:rsidR="00A65C0E">
        <w:rPr>
          <w:rFonts w:cs="Arial"/>
          <w:lang w:eastAsia="en-US"/>
        </w:rPr>
        <w:t xml:space="preserve">the </w:t>
      </w:r>
      <w:r w:rsidR="009E2473">
        <w:rPr>
          <w:rFonts w:cs="Arial"/>
          <w:lang w:eastAsia="en-US"/>
        </w:rPr>
        <w:t xml:space="preserve">iFOBT as messy. </w:t>
      </w:r>
    </w:p>
    <w:p w:rsidR="009E2473" w:rsidRDefault="009E2473" w:rsidP="009E2473">
      <w:pPr>
        <w:rPr>
          <w:lang w:eastAsia="ar-SA"/>
        </w:rPr>
      </w:pPr>
      <w:r w:rsidRPr="00595020">
        <w:rPr>
          <w:rFonts w:cs="Arial"/>
          <w:lang w:eastAsia="en-US"/>
        </w:rPr>
        <w:t xml:space="preserve">BSP </w:t>
      </w:r>
      <w:r w:rsidRPr="00595020">
        <w:t>participants’</w:t>
      </w:r>
      <w:r w:rsidRPr="00595020">
        <w:rPr>
          <w:rFonts w:cs="Arial"/>
          <w:lang w:eastAsia="en-US"/>
        </w:rPr>
        <w:t xml:space="preserve"> experience of the BSP is mainly positive</w:t>
      </w:r>
      <w:r>
        <w:rPr>
          <w:rFonts w:cs="Arial"/>
          <w:lang w:eastAsia="en-US"/>
        </w:rPr>
        <w:t xml:space="preserve">.  </w:t>
      </w:r>
      <w:r>
        <w:rPr>
          <w:lang w:eastAsia="ar-SA"/>
        </w:rPr>
        <w:t>P</w:t>
      </w:r>
      <w:r>
        <w:rPr>
          <w:rFonts w:cs="Arial"/>
          <w:lang w:eastAsia="ar-SA"/>
        </w:rPr>
        <w:t>ā</w:t>
      </w:r>
      <w:r>
        <w:rPr>
          <w:lang w:eastAsia="ar-SA"/>
        </w:rPr>
        <w:t>keh</w:t>
      </w:r>
      <w:r>
        <w:rPr>
          <w:rFonts w:cs="Arial"/>
          <w:lang w:eastAsia="ar-SA"/>
        </w:rPr>
        <w:t>ā</w:t>
      </w:r>
      <w:r>
        <w:rPr>
          <w:lang w:eastAsia="ar-SA"/>
        </w:rPr>
        <w:t>, M</w:t>
      </w:r>
      <w:r>
        <w:rPr>
          <w:rFonts w:cs="Arial"/>
          <w:lang w:eastAsia="ar-SA"/>
        </w:rPr>
        <w:t>ā</w:t>
      </w:r>
      <w:r>
        <w:rPr>
          <w:lang w:eastAsia="ar-SA"/>
        </w:rPr>
        <w:t xml:space="preserve">ori and Pacific BSP participants interviewed </w:t>
      </w:r>
      <w:r>
        <w:t xml:space="preserve">consistently described their </w:t>
      </w:r>
      <w:r>
        <w:rPr>
          <w:lang w:eastAsia="ar-SA"/>
        </w:rPr>
        <w:t xml:space="preserve">experience of the BSP as convenient, </w:t>
      </w:r>
      <w:r w:rsidR="009A43A9">
        <w:rPr>
          <w:lang w:eastAsia="ar-SA"/>
        </w:rPr>
        <w:t xml:space="preserve">the iFOBT as </w:t>
      </w:r>
      <w:r>
        <w:rPr>
          <w:lang w:eastAsia="ar-SA"/>
        </w:rPr>
        <w:t xml:space="preserve">easy to do with timely results and progression along the pathway.  For those with a positive iFOBT, the communication about their results was reassuring, and their colonoscopy experience was timely and respectful.  </w:t>
      </w:r>
    </w:p>
    <w:p w:rsidR="00406DC9" w:rsidRDefault="00406DC9" w:rsidP="00406DC9">
      <w:pPr>
        <w:pStyle w:val="Heading3"/>
      </w:pPr>
      <w:r>
        <w:t>Awareness, knowledge and attitudes</w:t>
      </w:r>
      <w:r w:rsidR="002D7133">
        <w:t xml:space="preserve"> </w:t>
      </w:r>
    </w:p>
    <w:p w:rsidR="0052545B" w:rsidRPr="002D40E8" w:rsidRDefault="0052545B" w:rsidP="0052545B">
      <w:pPr>
        <w:spacing w:before="120"/>
      </w:pPr>
      <w:r w:rsidRPr="002D40E8">
        <w:t xml:space="preserve">The following </w:t>
      </w:r>
      <w:r w:rsidR="00D143A2">
        <w:t>insights were</w:t>
      </w:r>
      <w:r w:rsidRPr="002D40E8">
        <w:t xml:space="preserve"> identified from </w:t>
      </w:r>
      <w:r w:rsidR="004D1B46">
        <w:t>two</w:t>
      </w:r>
      <w:r w:rsidR="000333FD">
        <w:t xml:space="preserve"> survey</w:t>
      </w:r>
      <w:r w:rsidR="004D1B46">
        <w:t>s</w:t>
      </w:r>
      <w:r w:rsidR="000333FD">
        <w:t xml:space="preserve"> of t</w:t>
      </w:r>
      <w:r w:rsidRPr="002D40E8">
        <w:t xml:space="preserve">he </w:t>
      </w:r>
      <w:r w:rsidR="00052CD5" w:rsidRPr="00041737">
        <w:t>eligible BSP population living in WDHB</w:t>
      </w:r>
      <w:r w:rsidR="00052CD5">
        <w:t xml:space="preserve"> (Litmus</w:t>
      </w:r>
      <w:r w:rsidR="004D1B46">
        <w:t xml:space="preserve"> 201</w:t>
      </w:r>
      <w:r w:rsidR="00AB471E">
        <w:t>2</w:t>
      </w:r>
      <w:r w:rsidR="004D1B46">
        <w:t xml:space="preserve"> and</w:t>
      </w:r>
      <w:r w:rsidR="00052CD5">
        <w:t xml:space="preserve"> 2014a)</w:t>
      </w:r>
      <w:r w:rsidRPr="002D40E8">
        <w:t xml:space="preserve">. </w:t>
      </w:r>
    </w:p>
    <w:p w:rsidR="008D1426" w:rsidRDefault="009B57ED" w:rsidP="0052545B">
      <w:r w:rsidRPr="002D40E8">
        <w:rPr>
          <w:b/>
        </w:rPr>
        <w:t xml:space="preserve">Increasing but continuing variance in awareness of bowel cancer symptoms and risk factors: </w:t>
      </w:r>
      <w:r w:rsidRPr="002D40E8">
        <w:t>The perceived risk of getting bowel cancer continues to be low</w:t>
      </w:r>
      <w:r w:rsidR="000333FD">
        <w:t xml:space="preserve"> (9% feel they are quite/ very likely to get bowel cancer</w:t>
      </w:r>
      <w:r w:rsidR="00297FC2">
        <w:t xml:space="preserve"> in 2011 and 2013</w:t>
      </w:r>
      <w:r w:rsidR="001D5D9B">
        <w:t xml:space="preserve"> surveys</w:t>
      </w:r>
      <w:r w:rsidR="000333FD">
        <w:t>)</w:t>
      </w:r>
      <w:r w:rsidRPr="002D40E8">
        <w:t xml:space="preserve">.  </w:t>
      </w:r>
    </w:p>
    <w:p w:rsidR="008D1426" w:rsidRDefault="009B57ED" w:rsidP="0052545B">
      <w:r w:rsidRPr="002D40E8">
        <w:lastRenderedPageBreak/>
        <w:t>Positively, there is an increase in respondents’ reported confidence in recognising</w:t>
      </w:r>
      <w:r>
        <w:t xml:space="preserve"> the </w:t>
      </w:r>
      <w:r w:rsidRPr="00C95C03">
        <w:t xml:space="preserve">symptoms of bowel cancer. </w:t>
      </w:r>
      <w:r>
        <w:t xml:space="preserve"> More than half of </w:t>
      </w:r>
      <w:r w:rsidRPr="00C95C03">
        <w:t xml:space="preserve">respondents are </w:t>
      </w:r>
      <w:r>
        <w:t xml:space="preserve">now </w:t>
      </w:r>
      <w:r w:rsidRPr="00C95C03">
        <w:t>confident that they would recognise a symptom</w:t>
      </w:r>
      <w:r w:rsidR="00706816">
        <w:t xml:space="preserve"> (52% confiden</w:t>
      </w:r>
      <w:r w:rsidR="001D5D9B">
        <w:t>t</w:t>
      </w:r>
      <w:r w:rsidR="00706816">
        <w:t>/ very confident in 2013 compared to 44% in 2011)</w:t>
      </w:r>
      <w:r w:rsidR="00D8273A">
        <w:t>. I</w:t>
      </w:r>
      <w:r>
        <w:t xml:space="preserve">n particular </w:t>
      </w:r>
      <w:r w:rsidR="00D8273A">
        <w:t xml:space="preserve">there have been increases in </w:t>
      </w:r>
      <w:r w:rsidR="00CE10A6">
        <w:t>unprompted a</w:t>
      </w:r>
      <w:r>
        <w:t>wareness of</w:t>
      </w:r>
      <w:r w:rsidR="008D1426">
        <w:t>:</w:t>
      </w:r>
    </w:p>
    <w:p w:rsidR="008D1426" w:rsidRPr="008D1426" w:rsidRDefault="009B57ED" w:rsidP="008D1426">
      <w:pPr>
        <w:numPr>
          <w:ilvl w:val="0"/>
          <w:numId w:val="6"/>
        </w:numPr>
        <w:autoSpaceDE w:val="0"/>
        <w:autoSpaceDN w:val="0"/>
        <w:adjustRightInd w:val="0"/>
        <w:spacing w:before="120"/>
        <w:ind w:left="1134" w:hanging="425"/>
        <w:rPr>
          <w:b/>
        </w:rPr>
      </w:pPr>
      <w:r>
        <w:t xml:space="preserve">blood in bowel motions </w:t>
      </w:r>
      <w:r w:rsidR="00706816">
        <w:t>(83%</w:t>
      </w:r>
      <w:r w:rsidR="0068365C">
        <w:t xml:space="preserve"> aware</w:t>
      </w:r>
      <w:r w:rsidR="00706816">
        <w:t xml:space="preserve"> in 2013 compared to 72% in 2011) </w:t>
      </w:r>
    </w:p>
    <w:p w:rsidR="008D1426" w:rsidRPr="008D1426" w:rsidRDefault="008D1426" w:rsidP="008D1426">
      <w:pPr>
        <w:numPr>
          <w:ilvl w:val="0"/>
          <w:numId w:val="6"/>
        </w:numPr>
        <w:autoSpaceDE w:val="0"/>
        <w:autoSpaceDN w:val="0"/>
        <w:adjustRightInd w:val="0"/>
        <w:spacing w:before="120"/>
        <w:ind w:left="1134" w:hanging="425"/>
        <w:rPr>
          <w:b/>
        </w:rPr>
      </w:pPr>
      <w:proofErr w:type="gramStart"/>
      <w:r>
        <w:t>a</w:t>
      </w:r>
      <w:proofErr w:type="gramEnd"/>
      <w:r w:rsidR="009B57ED" w:rsidRPr="002D40E8">
        <w:t xml:space="preserve"> change</w:t>
      </w:r>
      <w:r w:rsidR="009B57ED">
        <w:t xml:space="preserve"> in toilet habits</w:t>
      </w:r>
      <w:r w:rsidR="00706816">
        <w:t xml:space="preserve"> (56% </w:t>
      </w:r>
      <w:r w:rsidR="0068365C">
        <w:t xml:space="preserve">aware </w:t>
      </w:r>
      <w:r w:rsidR="00706816">
        <w:t>in 2013 compared to 46% in 2011)</w:t>
      </w:r>
      <w:r w:rsidR="009B57ED">
        <w:t xml:space="preserve">.  </w:t>
      </w:r>
    </w:p>
    <w:p w:rsidR="009B57ED" w:rsidRPr="00C95C03" w:rsidRDefault="009B57ED" w:rsidP="008D1426">
      <w:pPr>
        <w:rPr>
          <w:b/>
        </w:rPr>
      </w:pPr>
      <w:r>
        <w:t xml:space="preserve">Confusion continues about whether </w:t>
      </w:r>
      <w:r w:rsidRPr="00C95C03">
        <w:t xml:space="preserve">the bowel not completely emptying </w:t>
      </w:r>
      <w:r>
        <w:t>is a symptom</w:t>
      </w:r>
      <w:r w:rsidRPr="00C95C03">
        <w:t xml:space="preserve"> of bowel cancer</w:t>
      </w:r>
      <w:r w:rsidR="00CE10A6">
        <w:t xml:space="preserve"> (4</w:t>
      </w:r>
      <w:r w:rsidR="00706816">
        <w:t xml:space="preserve">% </w:t>
      </w:r>
      <w:r w:rsidR="00CE10A6">
        <w:t xml:space="preserve">unprompted and 56% prompted </w:t>
      </w:r>
      <w:r w:rsidR="00706816">
        <w:t>in 2013)</w:t>
      </w:r>
      <w:r w:rsidRPr="00C95C03">
        <w:t xml:space="preserve">. </w:t>
      </w:r>
    </w:p>
    <w:p w:rsidR="008D1426" w:rsidRDefault="00AD2822" w:rsidP="00052CD5">
      <w:pPr>
        <w:spacing w:before="120"/>
      </w:pPr>
      <w:r>
        <w:t xml:space="preserve">Between </w:t>
      </w:r>
      <w:r w:rsidR="009B57ED">
        <w:t>2011</w:t>
      </w:r>
      <w:r w:rsidR="009A43A9">
        <w:t xml:space="preserve"> </w:t>
      </w:r>
      <w:r>
        <w:t>and 2013</w:t>
      </w:r>
      <w:r w:rsidR="001D5D9B">
        <w:t xml:space="preserve"> surveys</w:t>
      </w:r>
      <w:r w:rsidR="009B57ED">
        <w:t xml:space="preserve">, there </w:t>
      </w:r>
      <w:r>
        <w:t xml:space="preserve">was </w:t>
      </w:r>
      <w:r w:rsidR="009B57ED">
        <w:t xml:space="preserve">a </w:t>
      </w:r>
      <w:r w:rsidR="009B57ED">
        <w:rPr>
          <w:rFonts w:cs="Arial"/>
          <w:lang w:eastAsia="en-NZ"/>
        </w:rPr>
        <w:t xml:space="preserve">statistically </w:t>
      </w:r>
      <w:r w:rsidR="009B57ED">
        <w:t>significant increase in recognition that</w:t>
      </w:r>
      <w:r w:rsidR="009074CB">
        <w:t xml:space="preserve"> the following </w:t>
      </w:r>
      <w:r w:rsidR="008D1426">
        <w:t xml:space="preserve">are </w:t>
      </w:r>
      <w:r w:rsidR="008D1426" w:rsidRPr="00C95C03">
        <w:t xml:space="preserve">risk factors </w:t>
      </w:r>
      <w:r w:rsidR="008D1426">
        <w:t xml:space="preserve">for </w:t>
      </w:r>
      <w:r w:rsidR="008D1426" w:rsidRPr="00C95C03">
        <w:t>bowel cancer</w:t>
      </w:r>
      <w:r w:rsidR="008D1426">
        <w:t xml:space="preserve">: </w:t>
      </w:r>
    </w:p>
    <w:p w:rsidR="008D1426" w:rsidRDefault="009B57ED" w:rsidP="008D1426">
      <w:pPr>
        <w:numPr>
          <w:ilvl w:val="0"/>
          <w:numId w:val="6"/>
        </w:numPr>
        <w:autoSpaceDE w:val="0"/>
        <w:autoSpaceDN w:val="0"/>
        <w:adjustRightInd w:val="0"/>
        <w:spacing w:before="120"/>
        <w:ind w:left="1134" w:hanging="425"/>
      </w:pPr>
      <w:r>
        <w:t xml:space="preserve">a diet low in fibre </w:t>
      </w:r>
      <w:r w:rsidR="00706816">
        <w:t>(7</w:t>
      </w:r>
      <w:r w:rsidR="00B039EA">
        <w:t>2% strongly/ somewhat agreed</w:t>
      </w:r>
      <w:r w:rsidR="00297FC2">
        <w:t xml:space="preserve"> in 2013</w:t>
      </w:r>
      <w:r w:rsidR="00B039EA">
        <w:t xml:space="preserve">) </w:t>
      </w:r>
    </w:p>
    <w:p w:rsidR="008D1426" w:rsidRDefault="008D1426" w:rsidP="008D1426">
      <w:pPr>
        <w:numPr>
          <w:ilvl w:val="0"/>
          <w:numId w:val="6"/>
        </w:numPr>
        <w:autoSpaceDE w:val="0"/>
        <w:autoSpaceDN w:val="0"/>
        <w:adjustRightInd w:val="0"/>
        <w:spacing w:before="120"/>
        <w:ind w:left="1134" w:hanging="425"/>
      </w:pPr>
      <w:proofErr w:type="gramStart"/>
      <w:r>
        <w:t>a</w:t>
      </w:r>
      <w:proofErr w:type="gramEnd"/>
      <w:r>
        <w:t xml:space="preserve"> </w:t>
      </w:r>
      <w:r w:rsidR="009B57ED" w:rsidRPr="00C95C03">
        <w:t xml:space="preserve">family history of bowel cancer </w:t>
      </w:r>
      <w:r w:rsidR="00B039EA">
        <w:t>(73% strongly/ somewhat agreed)</w:t>
      </w:r>
      <w:r w:rsidR="009B57ED">
        <w:t xml:space="preserve">.  </w:t>
      </w:r>
    </w:p>
    <w:p w:rsidR="009B57ED" w:rsidRPr="00C95C03" w:rsidRDefault="009B57ED" w:rsidP="008D1426">
      <w:r>
        <w:t xml:space="preserve">The </w:t>
      </w:r>
      <w:r w:rsidRPr="00C95C03">
        <w:t>influence of exercise</w:t>
      </w:r>
      <w:r>
        <w:t xml:space="preserve">, red meat </w:t>
      </w:r>
      <w:r w:rsidRPr="00C95C03">
        <w:t>and a diet containing sufficient fruit and vegetables</w:t>
      </w:r>
      <w:r>
        <w:t xml:space="preserve"> continues to be less well recognised as risk factors</w:t>
      </w:r>
      <w:r w:rsidR="00406DC9">
        <w:t xml:space="preserve"> for bowel cancer</w:t>
      </w:r>
      <w:r>
        <w:t xml:space="preserve">, and some disagree they are risk factors.  There continues to be </w:t>
      </w:r>
      <w:r w:rsidRPr="00C95C03">
        <w:t xml:space="preserve">an opportunity for improving people’s </w:t>
      </w:r>
      <w:r>
        <w:t>knowledge</w:t>
      </w:r>
      <w:r w:rsidRPr="00C95C03">
        <w:t xml:space="preserve"> of the </w:t>
      </w:r>
      <w:r>
        <w:t xml:space="preserve">full range of </w:t>
      </w:r>
      <w:r w:rsidRPr="00C95C03">
        <w:t>risk factors for bowel cancer and symptoms of the disease.</w:t>
      </w:r>
    </w:p>
    <w:p w:rsidR="008D1426" w:rsidRDefault="009B57ED" w:rsidP="00052CD5">
      <w:r>
        <w:rPr>
          <w:b/>
        </w:rPr>
        <w:t>Increased</w:t>
      </w:r>
      <w:r w:rsidRPr="00C95C03">
        <w:rPr>
          <w:b/>
        </w:rPr>
        <w:t xml:space="preserve"> awareness </w:t>
      </w:r>
      <w:r w:rsidR="009F2337">
        <w:rPr>
          <w:b/>
        </w:rPr>
        <w:t xml:space="preserve">and improved perceptions </w:t>
      </w:r>
      <w:r>
        <w:rPr>
          <w:b/>
        </w:rPr>
        <w:t xml:space="preserve">of </w:t>
      </w:r>
      <w:r w:rsidR="009F2337">
        <w:rPr>
          <w:b/>
        </w:rPr>
        <w:t>i</w:t>
      </w:r>
      <w:r w:rsidRPr="00C95C03">
        <w:rPr>
          <w:b/>
        </w:rPr>
        <w:t xml:space="preserve">FOBT: </w:t>
      </w:r>
      <w:r>
        <w:t xml:space="preserve">Reflecting the BSP launch and distribution of BSP letters and kits, there is a </w:t>
      </w:r>
      <w:r>
        <w:rPr>
          <w:rFonts w:cs="Arial"/>
          <w:lang w:eastAsia="en-NZ"/>
        </w:rPr>
        <w:t xml:space="preserve">statistically </w:t>
      </w:r>
      <w:r>
        <w:t>significant increase in awareness of the</w:t>
      </w:r>
      <w:r w:rsidR="003C5E89">
        <w:t xml:space="preserve"> WDHB</w:t>
      </w:r>
      <w:r>
        <w:t xml:space="preserve"> </w:t>
      </w:r>
      <w:r w:rsidR="00B039EA">
        <w:t>i</w:t>
      </w:r>
      <w:r>
        <w:t>FOBT</w:t>
      </w:r>
      <w:r w:rsidR="00C47F02">
        <w:t xml:space="preserve"> from 49% in 2011 to 90% in 2013</w:t>
      </w:r>
      <w:r w:rsidR="001247F4">
        <w:t xml:space="preserve">.  </w:t>
      </w:r>
    </w:p>
    <w:p w:rsidR="00B039EA" w:rsidRDefault="009B57ED" w:rsidP="00052CD5">
      <w:pPr>
        <w:rPr>
          <w:rFonts w:cs="Arial"/>
          <w:lang w:eastAsia="en-US"/>
        </w:rPr>
      </w:pPr>
      <w:r>
        <w:t>Since 2011</w:t>
      </w:r>
      <w:r w:rsidR="00650C4B">
        <w:t>,</w:t>
      </w:r>
      <w:r>
        <w:t xml:space="preserve"> p</w:t>
      </w:r>
      <w:r w:rsidRPr="002D0CA8">
        <w:rPr>
          <w:rFonts w:cs="Arial"/>
          <w:lang w:eastAsia="en-US"/>
        </w:rPr>
        <w:t xml:space="preserve">erceptions </w:t>
      </w:r>
      <w:r w:rsidRPr="002D40E8">
        <w:rPr>
          <w:rFonts w:cs="Arial"/>
          <w:lang w:eastAsia="en-US"/>
        </w:rPr>
        <w:t xml:space="preserve">of the </w:t>
      </w:r>
      <w:r w:rsidR="009F2337">
        <w:rPr>
          <w:rFonts w:cs="Arial"/>
          <w:lang w:eastAsia="en-US"/>
        </w:rPr>
        <w:t>i</w:t>
      </w:r>
      <w:r w:rsidRPr="002D40E8">
        <w:rPr>
          <w:rFonts w:cs="Arial"/>
          <w:lang w:eastAsia="en-US"/>
        </w:rPr>
        <w:t xml:space="preserve">FOBT have changed with a </w:t>
      </w:r>
      <w:r>
        <w:rPr>
          <w:rFonts w:cs="Arial"/>
          <w:lang w:eastAsia="en-NZ"/>
        </w:rPr>
        <w:t xml:space="preserve">statistically </w:t>
      </w:r>
      <w:r w:rsidRPr="002D40E8">
        <w:rPr>
          <w:rFonts w:cs="Arial"/>
          <w:lang w:eastAsia="en-US"/>
        </w:rPr>
        <w:t xml:space="preserve">significant increase in disagreement that the </w:t>
      </w:r>
      <w:r w:rsidR="009F2337">
        <w:rPr>
          <w:rFonts w:cs="Arial"/>
          <w:lang w:eastAsia="en-US"/>
        </w:rPr>
        <w:t>i</w:t>
      </w:r>
      <w:r w:rsidRPr="002D40E8">
        <w:rPr>
          <w:rFonts w:cs="Arial"/>
          <w:lang w:eastAsia="en-US"/>
        </w:rPr>
        <w:t>FOBT is</w:t>
      </w:r>
      <w:r w:rsidR="00B039EA">
        <w:rPr>
          <w:rFonts w:cs="Arial"/>
          <w:lang w:eastAsia="en-US"/>
        </w:rPr>
        <w:t>:</w:t>
      </w:r>
    </w:p>
    <w:p w:rsidR="00CE10A6" w:rsidRDefault="00CE10A6" w:rsidP="00604AA9">
      <w:pPr>
        <w:numPr>
          <w:ilvl w:val="0"/>
          <w:numId w:val="6"/>
        </w:numPr>
        <w:autoSpaceDE w:val="0"/>
        <w:autoSpaceDN w:val="0"/>
        <w:adjustRightInd w:val="0"/>
        <w:spacing w:before="120"/>
        <w:ind w:left="1134" w:hanging="425"/>
        <w:rPr>
          <w:rFonts w:cs="Arial"/>
          <w:lang w:eastAsia="en-US"/>
        </w:rPr>
      </w:pPr>
      <w:r w:rsidRPr="002D0CA8">
        <w:rPr>
          <w:rFonts w:cs="Arial"/>
          <w:lang w:eastAsia="en-US"/>
        </w:rPr>
        <w:t>painful</w:t>
      </w:r>
      <w:r>
        <w:rPr>
          <w:rFonts w:cs="Arial"/>
          <w:lang w:eastAsia="en-US"/>
        </w:rPr>
        <w:t xml:space="preserve"> (94% strongly/ somewhat disagree up from 86% in 2011)</w:t>
      </w:r>
    </w:p>
    <w:p w:rsidR="00414853" w:rsidRDefault="00414853" w:rsidP="00414853">
      <w:pPr>
        <w:numPr>
          <w:ilvl w:val="0"/>
          <w:numId w:val="6"/>
        </w:numPr>
        <w:autoSpaceDE w:val="0"/>
        <w:autoSpaceDN w:val="0"/>
        <w:adjustRightInd w:val="0"/>
        <w:spacing w:before="120"/>
        <w:ind w:left="1134" w:hanging="425"/>
        <w:rPr>
          <w:rFonts w:cs="Arial"/>
          <w:lang w:eastAsia="en-US"/>
        </w:rPr>
      </w:pPr>
      <w:r w:rsidRPr="002D0CA8">
        <w:rPr>
          <w:rFonts w:cs="Arial"/>
          <w:lang w:eastAsia="en-US"/>
        </w:rPr>
        <w:t>embarrassing</w:t>
      </w:r>
      <w:r>
        <w:rPr>
          <w:rFonts w:cs="Arial"/>
          <w:lang w:eastAsia="en-US"/>
        </w:rPr>
        <w:t xml:space="preserve"> (84% strongly/ somewhat disagree up from 77% in 2011)</w:t>
      </w:r>
    </w:p>
    <w:p w:rsidR="00CE10A6" w:rsidRDefault="00CE10A6" w:rsidP="00604AA9">
      <w:pPr>
        <w:numPr>
          <w:ilvl w:val="0"/>
          <w:numId w:val="6"/>
        </w:numPr>
        <w:autoSpaceDE w:val="0"/>
        <w:autoSpaceDN w:val="0"/>
        <w:adjustRightInd w:val="0"/>
        <w:spacing w:before="120"/>
        <w:ind w:left="1134" w:hanging="425"/>
        <w:rPr>
          <w:rFonts w:cs="Arial"/>
          <w:lang w:eastAsia="en-US"/>
        </w:rPr>
      </w:pPr>
      <w:r w:rsidRPr="002D0CA8">
        <w:rPr>
          <w:rFonts w:cs="Arial"/>
          <w:lang w:eastAsia="en-US"/>
        </w:rPr>
        <w:t xml:space="preserve">inconvenient </w:t>
      </w:r>
      <w:r>
        <w:rPr>
          <w:rFonts w:cs="Arial"/>
          <w:lang w:eastAsia="en-US"/>
        </w:rPr>
        <w:t>(79% strongly/ somewhat disagree up from 65% in 2011)</w:t>
      </w:r>
    </w:p>
    <w:p w:rsidR="00B039EA" w:rsidRDefault="009B57ED" w:rsidP="00604AA9">
      <w:pPr>
        <w:numPr>
          <w:ilvl w:val="0"/>
          <w:numId w:val="6"/>
        </w:numPr>
        <w:autoSpaceDE w:val="0"/>
        <w:autoSpaceDN w:val="0"/>
        <w:adjustRightInd w:val="0"/>
        <w:spacing w:before="120"/>
        <w:ind w:left="1134" w:hanging="425"/>
        <w:rPr>
          <w:rFonts w:cs="Arial"/>
          <w:lang w:eastAsia="en-US"/>
        </w:rPr>
      </w:pPr>
      <w:r w:rsidRPr="002D0CA8">
        <w:rPr>
          <w:rFonts w:cs="Arial"/>
          <w:lang w:eastAsia="en-US"/>
        </w:rPr>
        <w:t>messy</w:t>
      </w:r>
      <w:r w:rsidR="00B039EA">
        <w:rPr>
          <w:rFonts w:cs="Arial"/>
          <w:lang w:eastAsia="en-US"/>
        </w:rPr>
        <w:t xml:space="preserve"> (65% strongly/ somewhat disagree up from </w:t>
      </w:r>
      <w:r w:rsidR="00987E21">
        <w:rPr>
          <w:rFonts w:cs="Arial"/>
          <w:lang w:eastAsia="en-US"/>
        </w:rPr>
        <w:t>4</w:t>
      </w:r>
      <w:r w:rsidR="00B039EA">
        <w:rPr>
          <w:rFonts w:cs="Arial"/>
          <w:lang w:eastAsia="en-US"/>
        </w:rPr>
        <w:t>6% in 2011)</w:t>
      </w:r>
    </w:p>
    <w:p w:rsidR="00B039EA" w:rsidRDefault="009B57ED" w:rsidP="00604AA9">
      <w:pPr>
        <w:numPr>
          <w:ilvl w:val="0"/>
          <w:numId w:val="6"/>
        </w:numPr>
        <w:autoSpaceDE w:val="0"/>
        <w:autoSpaceDN w:val="0"/>
        <w:adjustRightInd w:val="0"/>
        <w:spacing w:before="120"/>
        <w:ind w:left="1134" w:hanging="425"/>
        <w:rPr>
          <w:rFonts w:cs="Arial"/>
          <w:lang w:eastAsia="en-US"/>
        </w:rPr>
      </w:pPr>
      <w:proofErr w:type="gramStart"/>
      <w:r w:rsidRPr="002D0CA8">
        <w:rPr>
          <w:rFonts w:cs="Arial"/>
          <w:lang w:eastAsia="en-US"/>
        </w:rPr>
        <w:t>inaccurate</w:t>
      </w:r>
      <w:proofErr w:type="gramEnd"/>
      <w:r w:rsidR="00B039EA">
        <w:rPr>
          <w:rFonts w:cs="Arial"/>
          <w:lang w:eastAsia="en-US"/>
        </w:rPr>
        <w:t xml:space="preserve"> (53% strongly/ somewhat disagree in 2013 up from 3</w:t>
      </w:r>
      <w:r w:rsidR="00987E21">
        <w:rPr>
          <w:rFonts w:cs="Arial"/>
          <w:lang w:eastAsia="en-US"/>
        </w:rPr>
        <w:t>3</w:t>
      </w:r>
      <w:r w:rsidR="00B039EA">
        <w:rPr>
          <w:rFonts w:cs="Arial"/>
          <w:lang w:eastAsia="en-US"/>
        </w:rPr>
        <w:t>% in 201</w:t>
      </w:r>
      <w:r w:rsidR="00987E21">
        <w:rPr>
          <w:rFonts w:cs="Arial"/>
          <w:lang w:eastAsia="en-US"/>
        </w:rPr>
        <w:t>1</w:t>
      </w:r>
      <w:r w:rsidR="00B039EA">
        <w:rPr>
          <w:rFonts w:cs="Arial"/>
          <w:lang w:eastAsia="en-US"/>
        </w:rPr>
        <w:t>)</w:t>
      </w:r>
      <w:r w:rsidRPr="002D0CA8">
        <w:rPr>
          <w:rFonts w:cs="Arial"/>
          <w:lang w:eastAsia="en-US"/>
        </w:rPr>
        <w:t xml:space="preserve">.  </w:t>
      </w:r>
    </w:p>
    <w:p w:rsidR="009B57ED" w:rsidRDefault="009B57ED" w:rsidP="00B039EA">
      <w:pPr>
        <w:rPr>
          <w:lang w:eastAsia="en-US"/>
        </w:rPr>
      </w:pPr>
      <w:r>
        <w:rPr>
          <w:lang w:eastAsia="en-US"/>
        </w:rPr>
        <w:t>At an individual level</w:t>
      </w:r>
      <w:r w:rsidR="00CE10A6">
        <w:rPr>
          <w:lang w:eastAsia="en-US"/>
        </w:rPr>
        <w:t>,</w:t>
      </w:r>
      <w:r>
        <w:rPr>
          <w:lang w:eastAsia="en-US"/>
        </w:rPr>
        <w:t xml:space="preserve"> there is a marked shift in more favourable attitudes towards the </w:t>
      </w:r>
      <w:r w:rsidR="009F2337">
        <w:rPr>
          <w:lang w:eastAsia="en-US"/>
        </w:rPr>
        <w:t>i</w:t>
      </w:r>
      <w:r>
        <w:rPr>
          <w:lang w:eastAsia="en-US"/>
        </w:rPr>
        <w:t>FOBT.  Some</w:t>
      </w:r>
      <w:r w:rsidRPr="002D0CA8">
        <w:rPr>
          <w:lang w:eastAsia="en-US"/>
        </w:rPr>
        <w:t xml:space="preserve"> respondents however continue to be unsure about the accuracy of the </w:t>
      </w:r>
      <w:r w:rsidR="009F2337">
        <w:rPr>
          <w:lang w:eastAsia="en-US"/>
        </w:rPr>
        <w:t>i</w:t>
      </w:r>
      <w:r w:rsidRPr="002D0CA8">
        <w:rPr>
          <w:lang w:eastAsia="en-US"/>
        </w:rPr>
        <w:t>FOBT</w:t>
      </w:r>
      <w:r>
        <w:rPr>
          <w:lang w:eastAsia="en-US"/>
        </w:rPr>
        <w:t>, and those who have not returned the BSP iFOBT kit are more likely to find them embarrassing</w:t>
      </w:r>
      <w:r w:rsidRPr="002D0CA8">
        <w:rPr>
          <w:lang w:eastAsia="en-US"/>
        </w:rPr>
        <w:t xml:space="preserve">.  </w:t>
      </w:r>
    </w:p>
    <w:p w:rsidR="008D1426" w:rsidRDefault="009B57ED" w:rsidP="00052CD5">
      <w:pPr>
        <w:rPr>
          <w:lang w:eastAsia="en-US"/>
        </w:rPr>
      </w:pPr>
      <w:r w:rsidRPr="002D0CA8">
        <w:rPr>
          <w:lang w:eastAsia="en-US"/>
        </w:rPr>
        <w:t xml:space="preserve">In contrast, </w:t>
      </w:r>
      <w:r w:rsidR="00AB471E">
        <w:rPr>
          <w:lang w:eastAsia="en-US"/>
        </w:rPr>
        <w:t>people</w:t>
      </w:r>
      <w:r w:rsidRPr="002D0CA8">
        <w:rPr>
          <w:lang w:eastAsia="en-US"/>
        </w:rPr>
        <w:t xml:space="preserve"> are </w:t>
      </w:r>
      <w:r>
        <w:rPr>
          <w:lang w:eastAsia="en-US"/>
        </w:rPr>
        <w:t>less</w:t>
      </w:r>
      <w:r w:rsidRPr="002D0CA8">
        <w:rPr>
          <w:lang w:eastAsia="en-US"/>
        </w:rPr>
        <w:t xml:space="preserve"> likely</w:t>
      </w:r>
      <w:r w:rsidR="00AB471E">
        <w:rPr>
          <w:lang w:eastAsia="en-US"/>
        </w:rPr>
        <w:t xml:space="preserve"> in 2013</w:t>
      </w:r>
      <w:r w:rsidRPr="002D0CA8">
        <w:rPr>
          <w:lang w:eastAsia="en-US"/>
        </w:rPr>
        <w:t xml:space="preserve"> to consider colonoscopies to be inaccurate</w:t>
      </w:r>
      <w:r w:rsidR="00987E21">
        <w:rPr>
          <w:lang w:eastAsia="en-US"/>
        </w:rPr>
        <w:t xml:space="preserve"> (72% </w:t>
      </w:r>
      <w:r w:rsidR="00987E21">
        <w:rPr>
          <w:rFonts w:cs="Arial"/>
          <w:lang w:eastAsia="en-US"/>
        </w:rPr>
        <w:t>strongly/ somewhat disagree</w:t>
      </w:r>
      <w:r w:rsidR="008D1426">
        <w:rPr>
          <w:rFonts w:cs="Arial"/>
          <w:lang w:eastAsia="en-US"/>
        </w:rPr>
        <w:t xml:space="preserve"> up from 66% in 2011</w:t>
      </w:r>
      <w:r w:rsidR="00987E21">
        <w:rPr>
          <w:rFonts w:cs="Arial"/>
          <w:lang w:eastAsia="en-US"/>
        </w:rPr>
        <w:t>)</w:t>
      </w:r>
      <w:r w:rsidRPr="002D0CA8">
        <w:rPr>
          <w:lang w:eastAsia="en-US"/>
        </w:rPr>
        <w:t>, but more likely to view them as</w:t>
      </w:r>
      <w:r w:rsidR="008D1426">
        <w:rPr>
          <w:lang w:eastAsia="en-US"/>
        </w:rPr>
        <w:t>:</w:t>
      </w:r>
    </w:p>
    <w:p w:rsidR="008D1426" w:rsidRDefault="003C1FD1" w:rsidP="008D1426">
      <w:pPr>
        <w:numPr>
          <w:ilvl w:val="0"/>
          <w:numId w:val="6"/>
        </w:numPr>
        <w:autoSpaceDE w:val="0"/>
        <w:autoSpaceDN w:val="0"/>
        <w:adjustRightInd w:val="0"/>
        <w:spacing w:before="120"/>
        <w:ind w:left="1134" w:hanging="425"/>
        <w:rPr>
          <w:lang w:eastAsia="en-US"/>
        </w:rPr>
      </w:pPr>
      <w:r>
        <w:rPr>
          <w:lang w:eastAsia="en-US"/>
        </w:rPr>
        <w:t>messy (54%</w:t>
      </w:r>
      <w:r w:rsidRPr="003C1FD1">
        <w:rPr>
          <w:rFonts w:cs="Arial"/>
          <w:lang w:eastAsia="en-US"/>
        </w:rPr>
        <w:t xml:space="preserve"> </w:t>
      </w:r>
      <w:r>
        <w:rPr>
          <w:rFonts w:cs="Arial"/>
          <w:lang w:eastAsia="en-US"/>
        </w:rPr>
        <w:t>strongly/ somewhat disagree</w:t>
      </w:r>
      <w:r w:rsidR="008D1426">
        <w:rPr>
          <w:lang w:eastAsia="en-US"/>
        </w:rPr>
        <w:t>)</w:t>
      </w:r>
    </w:p>
    <w:p w:rsidR="008D1426" w:rsidRDefault="009B57ED" w:rsidP="008D1426">
      <w:pPr>
        <w:numPr>
          <w:ilvl w:val="0"/>
          <w:numId w:val="6"/>
        </w:numPr>
        <w:autoSpaceDE w:val="0"/>
        <w:autoSpaceDN w:val="0"/>
        <w:adjustRightInd w:val="0"/>
        <w:spacing w:before="120"/>
        <w:ind w:left="1134" w:hanging="425"/>
        <w:rPr>
          <w:lang w:eastAsia="en-US"/>
        </w:rPr>
      </w:pPr>
      <w:r w:rsidRPr="002D0CA8">
        <w:rPr>
          <w:lang w:eastAsia="en-US"/>
        </w:rPr>
        <w:t>embarrassing</w:t>
      </w:r>
      <w:r w:rsidR="00987E21">
        <w:rPr>
          <w:lang w:eastAsia="en-US"/>
        </w:rPr>
        <w:t xml:space="preserve"> (51% </w:t>
      </w:r>
      <w:r w:rsidR="00987E21">
        <w:rPr>
          <w:rFonts w:cs="Arial"/>
          <w:lang w:eastAsia="en-US"/>
        </w:rPr>
        <w:t>strongly/ somewhat disagree</w:t>
      </w:r>
      <w:r w:rsidR="00987E21">
        <w:rPr>
          <w:lang w:eastAsia="en-US"/>
        </w:rPr>
        <w:t>)</w:t>
      </w:r>
      <w:r w:rsidRPr="002D0CA8">
        <w:rPr>
          <w:lang w:eastAsia="en-US"/>
        </w:rPr>
        <w:t xml:space="preserve"> </w:t>
      </w:r>
    </w:p>
    <w:p w:rsidR="008D1426" w:rsidRDefault="009B57ED" w:rsidP="008D1426">
      <w:pPr>
        <w:numPr>
          <w:ilvl w:val="0"/>
          <w:numId w:val="6"/>
        </w:numPr>
        <w:autoSpaceDE w:val="0"/>
        <w:autoSpaceDN w:val="0"/>
        <w:adjustRightInd w:val="0"/>
        <w:spacing w:before="120"/>
        <w:ind w:left="1134" w:hanging="425"/>
        <w:rPr>
          <w:lang w:eastAsia="en-US"/>
        </w:rPr>
      </w:pPr>
      <w:r w:rsidRPr="002D0CA8">
        <w:rPr>
          <w:lang w:eastAsia="en-US"/>
        </w:rPr>
        <w:t>painful</w:t>
      </w:r>
      <w:r w:rsidR="00987E21">
        <w:rPr>
          <w:lang w:eastAsia="en-US"/>
        </w:rPr>
        <w:t xml:space="preserve"> (44% </w:t>
      </w:r>
      <w:r w:rsidR="00987E21">
        <w:rPr>
          <w:rFonts w:cs="Arial"/>
          <w:lang w:eastAsia="en-US"/>
        </w:rPr>
        <w:t>strongly/ somewhat disagree)</w:t>
      </w:r>
      <w:r w:rsidRPr="002D0CA8">
        <w:rPr>
          <w:lang w:eastAsia="en-US"/>
        </w:rPr>
        <w:t xml:space="preserve"> </w:t>
      </w:r>
    </w:p>
    <w:p w:rsidR="008D1426" w:rsidRDefault="009B57ED" w:rsidP="008D1426">
      <w:pPr>
        <w:numPr>
          <w:ilvl w:val="0"/>
          <w:numId w:val="6"/>
        </w:numPr>
        <w:autoSpaceDE w:val="0"/>
        <w:autoSpaceDN w:val="0"/>
        <w:adjustRightInd w:val="0"/>
        <w:spacing w:before="120"/>
        <w:ind w:left="1134" w:hanging="425"/>
        <w:rPr>
          <w:lang w:eastAsia="en-US"/>
        </w:rPr>
      </w:pPr>
      <w:proofErr w:type="gramStart"/>
      <w:r w:rsidRPr="002D0CA8">
        <w:rPr>
          <w:lang w:eastAsia="en-US"/>
        </w:rPr>
        <w:t>inconvenient</w:t>
      </w:r>
      <w:proofErr w:type="gramEnd"/>
      <w:r w:rsidR="00987E21">
        <w:rPr>
          <w:lang w:eastAsia="en-US"/>
        </w:rPr>
        <w:t xml:space="preserve"> (49% </w:t>
      </w:r>
      <w:r w:rsidR="00987E21">
        <w:rPr>
          <w:rFonts w:cs="Arial"/>
          <w:lang w:eastAsia="en-US"/>
        </w:rPr>
        <w:t>strongly/ somewhat disagree</w:t>
      </w:r>
      <w:r w:rsidR="00987E21">
        <w:rPr>
          <w:lang w:eastAsia="en-US"/>
        </w:rPr>
        <w:t>)</w:t>
      </w:r>
      <w:r w:rsidRPr="002D0CA8">
        <w:rPr>
          <w:lang w:eastAsia="en-US"/>
        </w:rPr>
        <w:t xml:space="preserve">.  </w:t>
      </w:r>
    </w:p>
    <w:p w:rsidR="009B57ED" w:rsidRDefault="009B57ED" w:rsidP="008D1426">
      <w:pPr>
        <w:rPr>
          <w:lang w:eastAsia="en-US"/>
        </w:rPr>
      </w:pPr>
      <w:r>
        <w:rPr>
          <w:lang w:eastAsia="en-US"/>
        </w:rPr>
        <w:t xml:space="preserve">Those who have never had a colonoscopy are more likely to view </w:t>
      </w:r>
      <w:r w:rsidRPr="002D40E8">
        <w:rPr>
          <w:lang w:eastAsia="en-US"/>
        </w:rPr>
        <w:t xml:space="preserve">it as painful and embarrassing. </w:t>
      </w:r>
    </w:p>
    <w:p w:rsidR="008D1426" w:rsidRDefault="009B57ED" w:rsidP="00052CD5">
      <w:r w:rsidRPr="002D40E8">
        <w:rPr>
          <w:b/>
        </w:rPr>
        <w:lastRenderedPageBreak/>
        <w:t xml:space="preserve">Recognised importance of bowel screening: </w:t>
      </w:r>
      <w:r w:rsidRPr="002D40E8">
        <w:t>Responses to attitudinal questions about bowel screening indicate the ongoing recognition of the importance of checking for bowel cancer.  Since the launch of the BSP, there is stronger agreement that</w:t>
      </w:r>
      <w:r w:rsidR="008D1426">
        <w:t>:</w:t>
      </w:r>
    </w:p>
    <w:p w:rsidR="008D1426" w:rsidRDefault="000F4C7B" w:rsidP="008D1426">
      <w:pPr>
        <w:numPr>
          <w:ilvl w:val="0"/>
          <w:numId w:val="6"/>
        </w:numPr>
        <w:autoSpaceDE w:val="0"/>
        <w:autoSpaceDN w:val="0"/>
        <w:adjustRightInd w:val="0"/>
        <w:spacing w:before="120"/>
        <w:ind w:left="1134" w:hanging="425"/>
      </w:pPr>
      <w:proofErr w:type="gramStart"/>
      <w:r>
        <w:t>early</w:t>
      </w:r>
      <w:proofErr w:type="gramEnd"/>
      <w:r>
        <w:t xml:space="preserve"> treatment </w:t>
      </w:r>
      <w:r w:rsidR="007C7D67">
        <w:t>of bowel cancer increases the odds of survival (97% strongly/ somewhat agree</w:t>
      </w:r>
      <w:r w:rsidR="009A43A9">
        <w:t xml:space="preserve"> in 2013 up from 94%</w:t>
      </w:r>
      <w:r w:rsidR="007C7D67">
        <w:t>)</w:t>
      </w:r>
    </w:p>
    <w:p w:rsidR="008D1426" w:rsidRDefault="009B57ED" w:rsidP="008D1426">
      <w:pPr>
        <w:numPr>
          <w:ilvl w:val="0"/>
          <w:numId w:val="6"/>
        </w:numPr>
        <w:autoSpaceDE w:val="0"/>
        <w:autoSpaceDN w:val="0"/>
        <w:adjustRightInd w:val="0"/>
        <w:spacing w:before="120"/>
        <w:ind w:left="1134" w:hanging="425"/>
      </w:pPr>
      <w:r w:rsidRPr="002D40E8">
        <w:t xml:space="preserve">testing is important even when there are no symptoms </w:t>
      </w:r>
      <w:r w:rsidR="000F4C7B">
        <w:t>(87% strongly/ somewhat agree</w:t>
      </w:r>
      <w:r w:rsidR="003D4555">
        <w:t xml:space="preserve"> up from 77% in 2011</w:t>
      </w:r>
      <w:r w:rsidR="000F4C7B">
        <w:t xml:space="preserve">) </w:t>
      </w:r>
    </w:p>
    <w:p w:rsidR="008D1426" w:rsidRDefault="009E64EF" w:rsidP="008D1426">
      <w:pPr>
        <w:numPr>
          <w:ilvl w:val="0"/>
          <w:numId w:val="6"/>
        </w:numPr>
        <w:autoSpaceDE w:val="0"/>
        <w:autoSpaceDN w:val="0"/>
        <w:adjustRightInd w:val="0"/>
        <w:spacing w:before="120"/>
        <w:ind w:left="1134" w:hanging="425"/>
      </w:pPr>
      <w:proofErr w:type="gramStart"/>
      <w:r w:rsidRPr="002D40E8">
        <w:t>testing</w:t>
      </w:r>
      <w:proofErr w:type="gramEnd"/>
      <w:r w:rsidRPr="002D40E8">
        <w:t xml:space="preserve"> is important even when there </w:t>
      </w:r>
      <w:r>
        <w:t xml:space="preserve">is </w:t>
      </w:r>
      <w:r w:rsidR="009B57ED" w:rsidRPr="002D40E8">
        <w:t>no family history of bowel cancer</w:t>
      </w:r>
      <w:r w:rsidR="000F4C7B">
        <w:t xml:space="preserve"> (84% strongly/ somewhat agree</w:t>
      </w:r>
      <w:r w:rsidR="003D4555">
        <w:t xml:space="preserve"> up from 68% in 2011</w:t>
      </w:r>
      <w:r w:rsidR="000F4C7B">
        <w:t>)</w:t>
      </w:r>
      <w:r w:rsidR="009B57ED" w:rsidRPr="002D40E8">
        <w:t xml:space="preserve">.  </w:t>
      </w:r>
    </w:p>
    <w:p w:rsidR="009B57ED" w:rsidRPr="002D40E8" w:rsidRDefault="009B57ED" w:rsidP="008D1426">
      <w:r w:rsidRPr="002D40E8">
        <w:t xml:space="preserve">Greater acceptance of the </w:t>
      </w:r>
      <w:r w:rsidR="0052545B">
        <w:t>i</w:t>
      </w:r>
      <w:r w:rsidRPr="002D40E8">
        <w:t>FOBT is noted with rejection that the test is ‘more trouble than it’s worth’</w:t>
      </w:r>
      <w:r w:rsidR="000F4C7B">
        <w:t xml:space="preserve"> (84% strongly/ somewhat </w:t>
      </w:r>
      <w:r w:rsidR="007C7D67">
        <w:t>dis</w:t>
      </w:r>
      <w:r w:rsidR="000F4C7B">
        <w:t>agree up from 75% in 2011)</w:t>
      </w:r>
      <w:r w:rsidRPr="002D40E8">
        <w:t>.</w:t>
      </w:r>
    </w:p>
    <w:p w:rsidR="009B57ED" w:rsidRPr="002D0CA8" w:rsidRDefault="009B57ED" w:rsidP="00052CD5">
      <w:r w:rsidRPr="00BB1EF4">
        <w:rPr>
          <w:b/>
        </w:rPr>
        <w:t xml:space="preserve">Increased awareness of the BSP:  </w:t>
      </w:r>
      <w:r w:rsidR="00E00829" w:rsidRPr="00BB1EF4">
        <w:t>Awareness of the BSP is</w:t>
      </w:r>
      <w:r w:rsidRPr="00BB1EF4">
        <w:t xml:space="preserve"> high </w:t>
      </w:r>
      <w:r w:rsidR="007C7D67" w:rsidRPr="00BB1EF4">
        <w:t>(</w:t>
      </w:r>
      <w:r w:rsidR="00C47F02" w:rsidRPr="00BB1EF4">
        <w:t>88%</w:t>
      </w:r>
      <w:r w:rsidR="00BB1EF4" w:rsidRPr="00BB1EF4">
        <w:t>)</w:t>
      </w:r>
      <w:r w:rsidR="002048B0" w:rsidRPr="00BB1EF4">
        <w:t>.  T</w:t>
      </w:r>
      <w:r w:rsidRPr="00BB1EF4">
        <w:t>he BSP kit and</w:t>
      </w:r>
      <w:r w:rsidRPr="002D40E8">
        <w:t xml:space="preserve"> letter are the main sources of information about the </w:t>
      </w:r>
      <w:r w:rsidR="00EB35F4">
        <w:t>p</w:t>
      </w:r>
      <w:r w:rsidRPr="002D40E8">
        <w:t xml:space="preserve">ilot.  </w:t>
      </w:r>
      <w:r>
        <w:t>T</w:t>
      </w:r>
      <w:r w:rsidRPr="002D0CA8">
        <w:t xml:space="preserve">hose who have received an invitation letter and kit have the highest level of awareness.  </w:t>
      </w:r>
    </w:p>
    <w:p w:rsidR="009B57ED" w:rsidRDefault="009B57ED" w:rsidP="00052CD5">
      <w:r>
        <w:rPr>
          <w:b/>
        </w:rPr>
        <w:t>P</w:t>
      </w:r>
      <w:r w:rsidRPr="00C95C03">
        <w:rPr>
          <w:b/>
        </w:rPr>
        <w:t xml:space="preserve">articipation in the BSP: </w:t>
      </w:r>
      <w:r w:rsidRPr="002D0CA8">
        <w:t xml:space="preserve">Nearly three quarters of </w:t>
      </w:r>
      <w:r w:rsidR="00550A87">
        <w:t xml:space="preserve">survey </w:t>
      </w:r>
      <w:r w:rsidRPr="002D0CA8">
        <w:t>respondents</w:t>
      </w:r>
      <w:r w:rsidR="00550A87">
        <w:t xml:space="preserve"> stated they</w:t>
      </w:r>
      <w:r w:rsidRPr="002D0CA8">
        <w:t xml:space="preserve"> had received the BSP letter and kit</w:t>
      </w:r>
      <w:r w:rsidR="007C7D67">
        <w:t xml:space="preserve"> (71%), while 21% </w:t>
      </w:r>
      <w:r w:rsidRPr="002D0CA8">
        <w:t xml:space="preserve">had </w:t>
      </w:r>
      <w:r w:rsidR="007C7D67">
        <w:t>received neither</w:t>
      </w:r>
      <w:r w:rsidR="00D143A2" w:rsidRPr="00697D47">
        <w:rPr>
          <w:rStyle w:val="FootnoteReference"/>
        </w:rPr>
        <w:footnoteReference w:id="55"/>
      </w:r>
      <w:r w:rsidRPr="002D0CA8">
        <w:t xml:space="preserve">.  </w:t>
      </w:r>
      <w:r>
        <w:t>The level of respondents not receiving a kit is higher than expected given the timing of the survey. Potential reasons for not receiving a BSP kit include distribution strategy, migration into WDHB region, and the BSP Register containing incorrect contact details</w:t>
      </w:r>
      <w:r w:rsidR="009F7472">
        <w:t xml:space="preserve"> (refer section 3.2)</w:t>
      </w:r>
      <w:r>
        <w:t>.</w:t>
      </w:r>
    </w:p>
    <w:p w:rsidR="009B57ED" w:rsidRDefault="009B57ED" w:rsidP="00052CD5">
      <w:r w:rsidRPr="002D0CA8">
        <w:t xml:space="preserve">Of those who had received a BSP kit, three quarters </w:t>
      </w:r>
      <w:r w:rsidR="007C7D67">
        <w:t xml:space="preserve">(73%) </w:t>
      </w:r>
      <w:r w:rsidRPr="002D0CA8">
        <w:t xml:space="preserve">said they had completed and returned </w:t>
      </w:r>
      <w:r w:rsidRPr="002D40E8">
        <w:t xml:space="preserve">it, with older people and those in the </w:t>
      </w:r>
      <w:proofErr w:type="gramStart"/>
      <w:r w:rsidRPr="002D40E8">
        <w:t>Other</w:t>
      </w:r>
      <w:proofErr w:type="gramEnd"/>
      <w:r w:rsidRPr="002D40E8">
        <w:t xml:space="preserve"> ethnic group being more likely to complete.  Based on the total sample, this equates to </w:t>
      </w:r>
      <w:r w:rsidR="007C7D67">
        <w:t>52%</w:t>
      </w:r>
      <w:r w:rsidRPr="002D40E8">
        <w:t xml:space="preserve"> respondents participating in the BSP, similar to the BSP Register participation rate </w:t>
      </w:r>
      <w:r w:rsidR="007C7D67">
        <w:t>at the time of the survey</w:t>
      </w:r>
      <w:r w:rsidRPr="002D40E8">
        <w:t xml:space="preserve">.  </w:t>
      </w:r>
      <w:r w:rsidRPr="002D40E8">
        <w:rPr>
          <w:lang w:eastAsia="en-US"/>
        </w:rPr>
        <w:t>Reasons for taking part reflect the</w:t>
      </w:r>
      <w:r w:rsidRPr="002D0CA8">
        <w:rPr>
          <w:lang w:eastAsia="en-US"/>
        </w:rPr>
        <w:t xml:space="preserve"> importance of health checks, wanting to know their bowel cancer status and for peace of mind</w:t>
      </w:r>
      <w:r>
        <w:rPr>
          <w:lang w:eastAsia="en-US"/>
        </w:rPr>
        <w:t>.</w:t>
      </w:r>
      <w:r w:rsidR="00262BDF">
        <w:rPr>
          <w:lang w:eastAsia="en-US"/>
        </w:rPr>
        <w:t xml:space="preserve">  </w:t>
      </w:r>
    </w:p>
    <w:p w:rsidR="009B57ED" w:rsidRDefault="009B57ED" w:rsidP="00052CD5">
      <w:pPr>
        <w:rPr>
          <w:lang w:eastAsia="en-US"/>
        </w:rPr>
      </w:pPr>
      <w:r>
        <w:rPr>
          <w:lang w:eastAsia="en-US"/>
        </w:rPr>
        <w:t>Two-</w:t>
      </w:r>
      <w:r w:rsidRPr="002D0CA8">
        <w:rPr>
          <w:lang w:eastAsia="en-US"/>
        </w:rPr>
        <w:t xml:space="preserve">thirds of those respondents who had not received a BSP kit self-reported they would </w:t>
      </w:r>
      <w:r w:rsidRPr="002D40E8">
        <w:rPr>
          <w:lang w:eastAsia="en-US"/>
        </w:rPr>
        <w:t>be very likely to take part in a bowel cancer screening programme if they received an iFOBT kit in the mail</w:t>
      </w:r>
      <w:r w:rsidR="007C7D67">
        <w:rPr>
          <w:lang w:eastAsia="en-US"/>
        </w:rPr>
        <w:t xml:space="preserve"> (64%)</w:t>
      </w:r>
      <w:r w:rsidRPr="002D40E8">
        <w:rPr>
          <w:lang w:eastAsia="en-US"/>
        </w:rPr>
        <w:t xml:space="preserve">.  Those not wanting to take part cite a preference for seeing their doctor, a lack of concern, a </w:t>
      </w:r>
      <w:r w:rsidR="0091546E">
        <w:rPr>
          <w:lang w:eastAsia="en-US"/>
        </w:rPr>
        <w:t>fatalistic</w:t>
      </w:r>
      <w:r w:rsidRPr="002D40E8">
        <w:rPr>
          <w:lang w:eastAsia="en-US"/>
        </w:rPr>
        <w:t xml:space="preserve"> attitude of ‘what will be will be’ and that they do other bowel tests.</w:t>
      </w:r>
      <w:r w:rsidRPr="002D0CA8">
        <w:rPr>
          <w:lang w:eastAsia="en-US"/>
        </w:rPr>
        <w:t xml:space="preserve">  </w:t>
      </w:r>
    </w:p>
    <w:p w:rsidR="000825CD" w:rsidRDefault="000825CD" w:rsidP="000825CD">
      <w:proofErr w:type="gramStart"/>
      <w:r w:rsidRPr="00052CD5">
        <w:t>Variation in responses by M</w:t>
      </w:r>
      <w:r w:rsidRPr="00052CD5">
        <w:rPr>
          <w:rFonts w:cs="Arial"/>
        </w:rPr>
        <w:t>ā</w:t>
      </w:r>
      <w:r w:rsidRPr="00052CD5">
        <w:t>ori and Pacific respondents</w:t>
      </w:r>
      <w:r>
        <w:t xml:space="preserve"> were</w:t>
      </w:r>
      <w:proofErr w:type="gramEnd"/>
      <w:r>
        <w:t xml:space="preserve"> noted and offer insight into </w:t>
      </w:r>
      <w:r w:rsidR="00025B6C">
        <w:t xml:space="preserve">possible </w:t>
      </w:r>
      <w:r>
        <w:t xml:space="preserve">reasons </w:t>
      </w:r>
      <w:r w:rsidR="00025B6C">
        <w:t>underlying</w:t>
      </w:r>
      <w:r>
        <w:t xml:space="preserve"> their lower levels of participation in the BSP</w:t>
      </w:r>
      <w:r w:rsidRPr="00697D47">
        <w:rPr>
          <w:rStyle w:val="FootnoteReference"/>
        </w:rPr>
        <w:footnoteReference w:id="56"/>
      </w:r>
      <w:r>
        <w:t>.</w:t>
      </w:r>
    </w:p>
    <w:p w:rsidR="000825CD" w:rsidRPr="000825CD" w:rsidRDefault="000825CD" w:rsidP="000825CD">
      <w:pPr>
        <w:pStyle w:val="Heading4"/>
      </w:pPr>
      <w:r>
        <w:t>M</w:t>
      </w:r>
      <w:r>
        <w:rPr>
          <w:rFonts w:cs="Arial"/>
        </w:rPr>
        <w:t>ā</w:t>
      </w:r>
      <w:r>
        <w:t>ori responses</w:t>
      </w:r>
    </w:p>
    <w:p w:rsidR="003E4A6F" w:rsidRDefault="009B57ED" w:rsidP="000825CD">
      <w:r w:rsidRPr="007D5CD1">
        <w:t>M</w:t>
      </w:r>
      <w:r w:rsidRPr="007D5CD1">
        <w:rPr>
          <w:rFonts w:cs="Arial"/>
        </w:rPr>
        <w:t>ā</w:t>
      </w:r>
      <w:r w:rsidRPr="007D5CD1">
        <w:t>ori h</w:t>
      </w:r>
      <w:r w:rsidRPr="009E1B12">
        <w:t xml:space="preserve">ave low awareness of the prevalence of bowel cancer and the risk factors of </w:t>
      </w:r>
      <w:r w:rsidRPr="002D40E8">
        <w:t xml:space="preserve">bowel cancer, in particular, having a close family relative with bowel cancer and a diet low in fibre.  Awareness of bowel cancer symptoms is also low particularly with </w:t>
      </w:r>
      <w:r w:rsidR="007E6953" w:rsidRPr="002D40E8">
        <w:t xml:space="preserve">regard </w:t>
      </w:r>
      <w:r w:rsidR="007E6953">
        <w:t>to</w:t>
      </w:r>
      <w:r w:rsidRPr="002D40E8">
        <w:t xml:space="preserve"> a change of bowel habits</w:t>
      </w:r>
      <w:r w:rsidR="00E83FC9">
        <w:t xml:space="preserve"> (28% unprompted mentioned by M</w:t>
      </w:r>
      <w:r w:rsidR="00E83FC9">
        <w:rPr>
          <w:rFonts w:cs="Arial"/>
        </w:rPr>
        <w:t>ā</w:t>
      </w:r>
      <w:r w:rsidR="00E83FC9">
        <w:t xml:space="preserve">ori compared to </w:t>
      </w:r>
      <w:r w:rsidR="00351438">
        <w:t>60</w:t>
      </w:r>
      <w:r w:rsidR="00E83FC9">
        <w:t xml:space="preserve">% </w:t>
      </w:r>
      <w:proofErr w:type="gramStart"/>
      <w:r w:rsidR="009F7472">
        <w:t>O</w:t>
      </w:r>
      <w:r w:rsidR="00E83FC9">
        <w:t>ther</w:t>
      </w:r>
      <w:proofErr w:type="gramEnd"/>
      <w:r w:rsidR="00E83FC9">
        <w:t xml:space="preserve"> ethnicity</w:t>
      </w:r>
      <w:r w:rsidR="00351438">
        <w:t xml:space="preserve"> in 2013</w:t>
      </w:r>
      <w:r w:rsidR="00E83FC9">
        <w:t>)</w:t>
      </w:r>
      <w:r w:rsidRPr="002D40E8">
        <w:t xml:space="preserve">.  </w:t>
      </w:r>
    </w:p>
    <w:p w:rsidR="009B57ED" w:rsidRPr="00C13B9B" w:rsidRDefault="009B57ED" w:rsidP="000825CD">
      <w:pPr>
        <w:rPr>
          <w:rFonts w:cs="Arial"/>
        </w:rPr>
      </w:pPr>
      <w:r w:rsidRPr="002D40E8">
        <w:lastRenderedPageBreak/>
        <w:t xml:space="preserve">Although awareness of bowel cancer tests including the </w:t>
      </w:r>
      <w:r w:rsidR="007D5CD1">
        <w:t>i</w:t>
      </w:r>
      <w:r w:rsidRPr="002D40E8">
        <w:t xml:space="preserve">FOBT and colonoscopies has increased since 2011, it remains lower than the </w:t>
      </w:r>
      <w:proofErr w:type="gramStart"/>
      <w:r w:rsidRPr="002D40E8">
        <w:t>Other</w:t>
      </w:r>
      <w:proofErr w:type="gramEnd"/>
      <w:r>
        <w:t xml:space="preserve"> ethnic group.  Likewise awareness of the </w:t>
      </w:r>
      <w:r w:rsidRPr="00C13B9B">
        <w:rPr>
          <w:rFonts w:cs="Arial"/>
        </w:rPr>
        <w:t xml:space="preserve">BSP </w:t>
      </w:r>
      <w:r>
        <w:rPr>
          <w:rFonts w:cs="Arial"/>
        </w:rPr>
        <w:t xml:space="preserve">has increased </w:t>
      </w:r>
      <w:r w:rsidR="00E83FC9">
        <w:rPr>
          <w:rFonts w:cs="Arial"/>
        </w:rPr>
        <w:t>(75% aware</w:t>
      </w:r>
      <w:r w:rsidR="00351438">
        <w:rPr>
          <w:rFonts w:cs="Arial"/>
        </w:rPr>
        <w:t xml:space="preserve"> in 2013 up from 18% in 2011</w:t>
      </w:r>
      <w:r w:rsidR="00E83FC9">
        <w:rPr>
          <w:rFonts w:cs="Arial"/>
        </w:rPr>
        <w:t xml:space="preserve">) </w:t>
      </w:r>
      <w:r>
        <w:rPr>
          <w:rFonts w:cs="Arial"/>
        </w:rPr>
        <w:t>but is also comparatively low</w:t>
      </w:r>
      <w:r w:rsidR="009F7472">
        <w:rPr>
          <w:rFonts w:cs="Arial"/>
        </w:rPr>
        <w:t xml:space="preserve"> (90% of </w:t>
      </w:r>
      <w:proofErr w:type="gramStart"/>
      <w:r w:rsidR="009F7472">
        <w:rPr>
          <w:rFonts w:cs="Arial"/>
        </w:rPr>
        <w:t>O</w:t>
      </w:r>
      <w:r w:rsidR="00E83FC9">
        <w:rPr>
          <w:rFonts w:cs="Arial"/>
        </w:rPr>
        <w:t>ther</w:t>
      </w:r>
      <w:proofErr w:type="gramEnd"/>
      <w:r w:rsidR="00E83FC9">
        <w:rPr>
          <w:rFonts w:cs="Arial"/>
        </w:rPr>
        <w:t xml:space="preserve"> ethnicity</w:t>
      </w:r>
      <w:r w:rsidR="00351438">
        <w:rPr>
          <w:rFonts w:cs="Arial"/>
        </w:rPr>
        <w:t xml:space="preserve"> in 2013</w:t>
      </w:r>
      <w:r w:rsidR="00E83FC9">
        <w:rPr>
          <w:rFonts w:cs="Arial"/>
        </w:rPr>
        <w:t>)</w:t>
      </w:r>
      <w:r>
        <w:rPr>
          <w:rFonts w:cs="Arial"/>
        </w:rPr>
        <w:t xml:space="preserve">. </w:t>
      </w:r>
    </w:p>
    <w:p w:rsidR="009B57ED" w:rsidRDefault="009B57ED" w:rsidP="000825CD">
      <w:pPr>
        <w:rPr>
          <w:rFonts w:cs="Arial"/>
          <w:lang w:eastAsia="en-US"/>
        </w:rPr>
      </w:pPr>
      <w:r>
        <w:t>M</w:t>
      </w:r>
      <w:r w:rsidRPr="00C645B1">
        <w:rPr>
          <w:rFonts w:cs="Arial"/>
        </w:rPr>
        <w:t>ā</w:t>
      </w:r>
      <w:r>
        <w:t>ori are the least likely to have their doctor suggest a bowel cancer test.  M</w:t>
      </w:r>
      <w:r>
        <w:rPr>
          <w:rFonts w:cs="Arial"/>
        </w:rPr>
        <w:t>ā</w:t>
      </w:r>
      <w:r>
        <w:t xml:space="preserve">ori who have not participated </w:t>
      </w:r>
      <w:r w:rsidR="00D143A2" w:rsidRPr="002D40E8">
        <w:rPr>
          <w:lang w:eastAsia="en-US"/>
        </w:rPr>
        <w:t xml:space="preserve">cite a preference for seeing their doctor, </w:t>
      </w:r>
      <w:r w:rsidR="009F2337">
        <w:rPr>
          <w:lang w:eastAsia="en-US"/>
        </w:rPr>
        <w:t xml:space="preserve">not being </w:t>
      </w:r>
      <w:r w:rsidR="00D143A2" w:rsidRPr="002D40E8">
        <w:rPr>
          <w:lang w:eastAsia="en-US"/>
        </w:rPr>
        <w:t>concern</w:t>
      </w:r>
      <w:r w:rsidR="009F2337">
        <w:rPr>
          <w:lang w:eastAsia="en-US"/>
        </w:rPr>
        <w:t>ed</w:t>
      </w:r>
      <w:r w:rsidR="00D143A2" w:rsidRPr="002D40E8">
        <w:rPr>
          <w:lang w:eastAsia="en-US"/>
        </w:rPr>
        <w:t xml:space="preserve">, a </w:t>
      </w:r>
      <w:r w:rsidR="004269B8">
        <w:rPr>
          <w:lang w:eastAsia="en-US"/>
        </w:rPr>
        <w:t>fatalistic</w:t>
      </w:r>
      <w:r w:rsidR="00D143A2" w:rsidRPr="002D40E8">
        <w:rPr>
          <w:lang w:eastAsia="en-US"/>
        </w:rPr>
        <w:t xml:space="preserve"> attitude of ‘what will be will be’ </w:t>
      </w:r>
      <w:r w:rsidR="009F2337">
        <w:rPr>
          <w:lang w:eastAsia="en-US"/>
        </w:rPr>
        <w:t xml:space="preserve">or not wanting to know </w:t>
      </w:r>
      <w:r w:rsidR="00D143A2" w:rsidRPr="002D40E8">
        <w:rPr>
          <w:lang w:eastAsia="en-US"/>
        </w:rPr>
        <w:t xml:space="preserve">and </w:t>
      </w:r>
      <w:r w:rsidR="009F2337">
        <w:rPr>
          <w:lang w:eastAsia="en-US"/>
        </w:rPr>
        <w:t xml:space="preserve">not wanting to do the </w:t>
      </w:r>
      <w:r>
        <w:rPr>
          <w:rFonts w:cs="Arial"/>
          <w:lang w:eastAsia="en-US"/>
        </w:rPr>
        <w:t>test at home.</w:t>
      </w:r>
    </w:p>
    <w:p w:rsidR="0032017F" w:rsidRDefault="009B57ED" w:rsidP="000825CD">
      <w:r>
        <w:rPr>
          <w:rFonts w:cs="Arial"/>
          <w:lang w:eastAsia="en-US"/>
        </w:rPr>
        <w:t>The survey suggests that</w:t>
      </w:r>
      <w:r w:rsidR="008947A4">
        <w:rPr>
          <w:rFonts w:cs="Arial"/>
          <w:lang w:eastAsia="en-US"/>
        </w:rPr>
        <w:t>,</w:t>
      </w:r>
      <w:r>
        <w:rPr>
          <w:rFonts w:cs="Arial"/>
          <w:lang w:eastAsia="en-US"/>
        </w:rPr>
        <w:t xml:space="preserve"> for Māori</w:t>
      </w:r>
      <w:r w:rsidR="008947A4">
        <w:rPr>
          <w:rFonts w:cs="Arial"/>
          <w:lang w:eastAsia="en-US"/>
        </w:rPr>
        <w:t>,</w:t>
      </w:r>
      <w:r>
        <w:rPr>
          <w:rFonts w:cs="Arial"/>
          <w:lang w:eastAsia="en-US"/>
        </w:rPr>
        <w:t xml:space="preserve"> low awareness and knowledge are likely drivers to lower participation.  </w:t>
      </w:r>
      <w:r w:rsidRPr="00DA7968">
        <w:t>For Māori, these patterns could be a reflection of the lower levels of health literacy amongst this group.</w:t>
      </w:r>
      <w:r w:rsidRPr="00697D47">
        <w:rPr>
          <w:rStyle w:val="FootnoteReference"/>
        </w:rPr>
        <w:footnoteReference w:id="57"/>
      </w:r>
    </w:p>
    <w:p w:rsidR="000825CD" w:rsidRPr="000825CD" w:rsidRDefault="000825CD" w:rsidP="000825CD">
      <w:pPr>
        <w:pStyle w:val="Heading4"/>
      </w:pPr>
      <w:r>
        <w:t>Pacific people’s responses</w:t>
      </w:r>
    </w:p>
    <w:p w:rsidR="009B57ED" w:rsidRPr="002D40E8" w:rsidRDefault="009B57ED" w:rsidP="000825CD">
      <w:pPr>
        <w:rPr>
          <w:rFonts w:cs="Arial"/>
          <w:lang w:eastAsia="en-US"/>
        </w:rPr>
      </w:pPr>
      <w:r w:rsidRPr="000825CD">
        <w:t>Pacific people</w:t>
      </w:r>
      <w:r w:rsidRPr="00697D47">
        <w:rPr>
          <w:rStyle w:val="FootnoteReference"/>
        </w:rPr>
        <w:footnoteReference w:id="58"/>
      </w:r>
      <w:r w:rsidRPr="002D40E8">
        <w:t xml:space="preserve"> are less aware of the risk factors for bowel cancer, in particular, having a close family relative with bowel cancer </w:t>
      </w:r>
      <w:r w:rsidR="00695F46">
        <w:t>(48% strongly/ s</w:t>
      </w:r>
      <w:r w:rsidR="009F7472">
        <w:t>omewhat agreed compared to 76% O</w:t>
      </w:r>
      <w:r w:rsidR="00695F46">
        <w:t xml:space="preserve">ther ethnicity) </w:t>
      </w:r>
      <w:r w:rsidRPr="002D40E8">
        <w:t>and a diet high in fibre</w:t>
      </w:r>
      <w:r w:rsidR="009F7472">
        <w:t xml:space="preserve"> (41% compared to 74% O</w:t>
      </w:r>
      <w:r w:rsidR="00695F46">
        <w:t>ther ethnicity)</w:t>
      </w:r>
      <w:r w:rsidRPr="002D40E8">
        <w:t xml:space="preserve">; although they are more aware than others of the risks associated with being overweight.  One third </w:t>
      </w:r>
      <w:proofErr w:type="gramStart"/>
      <w:r w:rsidRPr="002D40E8">
        <w:t>do</w:t>
      </w:r>
      <w:proofErr w:type="gramEnd"/>
      <w:r w:rsidRPr="002D40E8">
        <w:t xml:space="preserve"> not know any bowel cancer symptoms</w:t>
      </w:r>
      <w:r w:rsidR="00695F46">
        <w:t xml:space="preserve"> (35%)</w:t>
      </w:r>
      <w:r w:rsidR="009F2337">
        <w:t>, although this has decreased from half before the introduction of the BSP</w:t>
      </w:r>
      <w:r w:rsidR="00695F46">
        <w:t xml:space="preserve"> (55%)</w:t>
      </w:r>
      <w:r w:rsidRPr="002D40E8">
        <w:t>.</w:t>
      </w:r>
    </w:p>
    <w:p w:rsidR="009B57ED" w:rsidRDefault="009B57ED" w:rsidP="000825CD">
      <w:r>
        <w:t>Pacific people are not confident that they can identify bowel cancer symptoms, although they continue to be significantly more likely to feel they may develop bowel cancer.  Pacific people have low awareness of bowel cancer symptoms and when prom</w:t>
      </w:r>
      <w:r w:rsidR="00D2685B">
        <w:t>p</w:t>
      </w:r>
      <w:r>
        <w:t xml:space="preserve">ted some disagree that changes noted are related to bowel cancer.  Pacific people are also less likely to note a family history of bowel cancer. </w:t>
      </w:r>
    </w:p>
    <w:p w:rsidR="009B57ED" w:rsidRPr="002D40E8" w:rsidRDefault="009B57ED" w:rsidP="000825CD">
      <w:pPr>
        <w:rPr>
          <w:rFonts w:cs="Arial"/>
          <w:lang w:eastAsia="en-US"/>
        </w:rPr>
      </w:pPr>
      <w:r w:rsidRPr="002D40E8">
        <w:t xml:space="preserve">Pacific people have a low level of awareness of bowel cancer tests including </w:t>
      </w:r>
      <w:r w:rsidR="001D6B41">
        <w:t>i</w:t>
      </w:r>
      <w:r w:rsidRPr="002D40E8">
        <w:t>FOBT</w:t>
      </w:r>
      <w:r w:rsidR="00695F46">
        <w:t xml:space="preserve"> (37%</w:t>
      </w:r>
      <w:r w:rsidR="00414853">
        <w:t xml:space="preserve"> aware of any tests compared to 76% of </w:t>
      </w:r>
      <w:proofErr w:type="gramStart"/>
      <w:r w:rsidR="00414853">
        <w:t>Other</w:t>
      </w:r>
      <w:proofErr w:type="gramEnd"/>
      <w:r w:rsidR="00414853">
        <w:t xml:space="preserve"> ethnicity</w:t>
      </w:r>
      <w:r w:rsidR="00695F46">
        <w:t>)</w:t>
      </w:r>
      <w:r w:rsidRPr="002D40E8">
        <w:t xml:space="preserve">.  Further, when told about bowel cancer tests they are </w:t>
      </w:r>
      <w:r w:rsidRPr="002D40E8">
        <w:rPr>
          <w:rFonts w:cs="Arial"/>
          <w:lang w:eastAsia="en-US"/>
        </w:rPr>
        <w:t xml:space="preserve">more likely to perceive </w:t>
      </w:r>
      <w:r w:rsidR="00D2685B">
        <w:rPr>
          <w:rFonts w:cs="Arial"/>
          <w:lang w:eastAsia="en-US"/>
        </w:rPr>
        <w:t xml:space="preserve">an iFOBT </w:t>
      </w:r>
      <w:r w:rsidRPr="002D40E8">
        <w:rPr>
          <w:rFonts w:cs="Arial"/>
          <w:lang w:eastAsia="en-US"/>
        </w:rPr>
        <w:t xml:space="preserve">as inconvenient, embarrassing, inaccurate and painful, and colonoscopies as inaccurate, messy and painful. </w:t>
      </w:r>
      <w:r w:rsidR="00695F46">
        <w:rPr>
          <w:rFonts w:cs="Arial"/>
          <w:lang w:eastAsia="en-US"/>
        </w:rPr>
        <w:t xml:space="preserve"> Pacific people are less likely to have ever done an iFOBT (31% ha</w:t>
      </w:r>
      <w:r w:rsidR="009F7472">
        <w:rPr>
          <w:rFonts w:cs="Arial"/>
          <w:lang w:eastAsia="en-US"/>
        </w:rPr>
        <w:t xml:space="preserve">ve done a test compared to 51% </w:t>
      </w:r>
      <w:proofErr w:type="gramStart"/>
      <w:r w:rsidR="009F7472">
        <w:rPr>
          <w:rFonts w:cs="Arial"/>
          <w:lang w:eastAsia="en-US"/>
        </w:rPr>
        <w:t>O</w:t>
      </w:r>
      <w:r w:rsidR="00695F46">
        <w:rPr>
          <w:rFonts w:cs="Arial"/>
          <w:lang w:eastAsia="en-US"/>
        </w:rPr>
        <w:t>ther</w:t>
      </w:r>
      <w:proofErr w:type="gramEnd"/>
      <w:r w:rsidR="00695F46">
        <w:rPr>
          <w:rFonts w:cs="Arial"/>
          <w:lang w:eastAsia="en-US"/>
        </w:rPr>
        <w:t xml:space="preserve"> ethnicity).</w:t>
      </w:r>
    </w:p>
    <w:p w:rsidR="009B57ED" w:rsidRDefault="009B57ED" w:rsidP="000825CD">
      <w:pPr>
        <w:rPr>
          <w:rFonts w:cs="Arial"/>
          <w:lang w:eastAsia="en-US"/>
        </w:rPr>
      </w:pPr>
      <w:r w:rsidRPr="002D40E8">
        <w:rPr>
          <w:rFonts w:cs="Arial"/>
          <w:lang w:eastAsia="en-US"/>
        </w:rPr>
        <w:t xml:space="preserve">Compared to 2011, there is a </w:t>
      </w:r>
      <w:r w:rsidR="00C47F02">
        <w:rPr>
          <w:rFonts w:cs="Arial"/>
          <w:lang w:eastAsia="en-US"/>
        </w:rPr>
        <w:t>s</w:t>
      </w:r>
      <w:r w:rsidRPr="002D40E8">
        <w:rPr>
          <w:rFonts w:cs="Arial"/>
          <w:lang w:eastAsia="en-US"/>
        </w:rPr>
        <w:t>ignificant increase in Pacific people saying their GP has suggested they do a bowel cancer test.  The latter may reflect the increasing activities</w:t>
      </w:r>
      <w:r>
        <w:rPr>
          <w:rFonts w:cs="Arial"/>
          <w:lang w:eastAsia="en-US"/>
        </w:rPr>
        <w:t xml:space="preserve"> to encourage and support Pacific people to participate in the BSP.  </w:t>
      </w:r>
    </w:p>
    <w:p w:rsidR="009B57ED" w:rsidRDefault="009B57ED" w:rsidP="000825CD">
      <w:pPr>
        <w:rPr>
          <w:rFonts w:cs="Arial"/>
        </w:rPr>
      </w:pPr>
      <w:r w:rsidRPr="002D0CA8">
        <w:rPr>
          <w:rFonts w:cs="Arial"/>
        </w:rPr>
        <w:t>Pacific respondents’</w:t>
      </w:r>
      <w:r>
        <w:rPr>
          <w:rFonts w:cs="Arial"/>
        </w:rPr>
        <w:t xml:space="preserve"> </w:t>
      </w:r>
      <w:r w:rsidRPr="002D0CA8">
        <w:rPr>
          <w:rFonts w:cs="Arial"/>
        </w:rPr>
        <w:t xml:space="preserve">awareness of the BSP </w:t>
      </w:r>
      <w:r>
        <w:rPr>
          <w:rFonts w:cs="Arial"/>
        </w:rPr>
        <w:t xml:space="preserve">is </w:t>
      </w:r>
      <w:r w:rsidR="00D2685B">
        <w:rPr>
          <w:rFonts w:cs="Arial"/>
        </w:rPr>
        <w:t xml:space="preserve">lower than the </w:t>
      </w:r>
      <w:proofErr w:type="gramStart"/>
      <w:r w:rsidR="00D2685B">
        <w:rPr>
          <w:rFonts w:cs="Arial"/>
        </w:rPr>
        <w:t>Other</w:t>
      </w:r>
      <w:proofErr w:type="gramEnd"/>
      <w:r w:rsidR="00D2685B">
        <w:rPr>
          <w:rFonts w:cs="Arial"/>
        </w:rPr>
        <w:t xml:space="preserve"> ethnicity</w:t>
      </w:r>
      <w:r w:rsidR="00695F46">
        <w:rPr>
          <w:rFonts w:cs="Arial"/>
        </w:rPr>
        <w:t xml:space="preserve"> (72% compared to 90% </w:t>
      </w:r>
      <w:r w:rsidR="00D2685B">
        <w:rPr>
          <w:rFonts w:cs="Arial"/>
        </w:rPr>
        <w:t>O</w:t>
      </w:r>
      <w:r w:rsidR="00695F46">
        <w:rPr>
          <w:rFonts w:cs="Arial"/>
        </w:rPr>
        <w:t>ther</w:t>
      </w:r>
      <w:r w:rsidR="00D2685B">
        <w:rPr>
          <w:rFonts w:cs="Arial"/>
        </w:rPr>
        <w:t xml:space="preserve"> ethnicity</w:t>
      </w:r>
      <w:r w:rsidR="00695F46">
        <w:rPr>
          <w:rFonts w:cs="Arial"/>
        </w:rPr>
        <w:t>),</w:t>
      </w:r>
      <w:r w:rsidRPr="002D0CA8">
        <w:rPr>
          <w:rFonts w:cs="Arial"/>
        </w:rPr>
        <w:t xml:space="preserve"> </w:t>
      </w:r>
      <w:r>
        <w:rPr>
          <w:rFonts w:cs="Arial"/>
        </w:rPr>
        <w:t>although it has increased since 2011</w:t>
      </w:r>
      <w:r w:rsidR="00695F46">
        <w:rPr>
          <w:rFonts w:cs="Arial"/>
        </w:rPr>
        <w:t xml:space="preserve"> (21%)</w:t>
      </w:r>
      <w:r>
        <w:rPr>
          <w:rFonts w:cs="Arial"/>
        </w:rPr>
        <w:t xml:space="preserve">. </w:t>
      </w:r>
      <w:r w:rsidRPr="002D0CA8">
        <w:rPr>
          <w:rFonts w:cs="Arial"/>
        </w:rPr>
        <w:t xml:space="preserve">Pacific </w:t>
      </w:r>
      <w:r>
        <w:rPr>
          <w:rFonts w:cs="Arial"/>
        </w:rPr>
        <w:t>respondents</w:t>
      </w:r>
      <w:r w:rsidRPr="002D0CA8">
        <w:rPr>
          <w:rFonts w:cs="Arial"/>
        </w:rPr>
        <w:t xml:space="preserve"> are </w:t>
      </w:r>
      <w:r>
        <w:rPr>
          <w:rFonts w:cs="Arial"/>
        </w:rPr>
        <w:t xml:space="preserve">also the </w:t>
      </w:r>
      <w:r w:rsidRPr="002D0CA8">
        <w:rPr>
          <w:rFonts w:cs="Arial"/>
        </w:rPr>
        <w:t>le</w:t>
      </w:r>
      <w:r>
        <w:rPr>
          <w:rFonts w:cs="Arial"/>
        </w:rPr>
        <w:t>ast</w:t>
      </w:r>
      <w:r w:rsidRPr="002D0CA8">
        <w:rPr>
          <w:rFonts w:cs="Arial"/>
        </w:rPr>
        <w:t xml:space="preserve"> likely to have completed the </w:t>
      </w:r>
      <w:r>
        <w:rPr>
          <w:rFonts w:cs="Arial"/>
        </w:rPr>
        <w:t xml:space="preserve">BSP kit, although they have high levels of agreement that it is important to check for bowel cancer even without symptoms.  Reasons for not completing reflect those mentioned </w:t>
      </w:r>
      <w:r w:rsidR="009F2337">
        <w:rPr>
          <w:rFonts w:cs="Arial"/>
        </w:rPr>
        <w:t xml:space="preserve">by Māori </w:t>
      </w:r>
      <w:r>
        <w:rPr>
          <w:rFonts w:cs="Arial"/>
        </w:rPr>
        <w:t>as wel</w:t>
      </w:r>
      <w:r w:rsidR="009F2337">
        <w:rPr>
          <w:rFonts w:cs="Arial"/>
        </w:rPr>
        <w:t>l as perceiving the kit as messy</w:t>
      </w:r>
      <w:r>
        <w:rPr>
          <w:rFonts w:cs="Arial"/>
        </w:rPr>
        <w:t xml:space="preserve">. </w:t>
      </w:r>
    </w:p>
    <w:p w:rsidR="009B57ED" w:rsidRDefault="009B57ED" w:rsidP="009433F2">
      <w:pPr>
        <w:keepNext/>
        <w:keepLines/>
        <w:rPr>
          <w:rFonts w:cs="Arial"/>
        </w:rPr>
      </w:pPr>
      <w:r w:rsidRPr="002D40E8">
        <w:rPr>
          <w:rFonts w:cs="Arial"/>
        </w:rPr>
        <w:lastRenderedPageBreak/>
        <w:t>For Pacific people the survey suggests that like Māori, the lack of awareness and</w:t>
      </w:r>
      <w:r>
        <w:rPr>
          <w:rFonts w:cs="Arial"/>
        </w:rPr>
        <w:t xml:space="preserve"> knowledge about the prevalence of bowel cancer, symptoms, risk factors and the BSP contribute to non-participation.  Pacific people also hold negative views of the iFOBT (and colonoscopies) which are likely to be impeding their participation. </w:t>
      </w:r>
    </w:p>
    <w:p w:rsidR="00333150" w:rsidRPr="009E70CC" w:rsidRDefault="00333150" w:rsidP="000825CD">
      <w:pPr>
        <w:pStyle w:val="Heading4"/>
      </w:pPr>
      <w:r w:rsidRPr="009E70CC">
        <w:t>People living in most deprived areas</w:t>
      </w:r>
    </w:p>
    <w:p w:rsidR="00333150" w:rsidRDefault="00333150" w:rsidP="00333150">
      <w:r w:rsidRPr="005B025D">
        <w:t xml:space="preserve">As noted in section </w:t>
      </w:r>
      <w:r w:rsidR="009E70CC" w:rsidRPr="005B025D">
        <w:t>3.1</w:t>
      </w:r>
      <w:r w:rsidRPr="005B025D">
        <w:t xml:space="preserve">, low participation is evident amongst people living in the most derived areas and more disease was found in this population group.  In the population survey, those respondents with a </w:t>
      </w:r>
      <w:r w:rsidRPr="005B025D">
        <w:rPr>
          <w:i/>
        </w:rPr>
        <w:t>household income of less than $25,000 per annum</w:t>
      </w:r>
      <w:r w:rsidRPr="005B025D">
        <w:t xml:space="preserve"> are</w:t>
      </w:r>
      <w:r w:rsidRPr="00333150">
        <w:t xml:space="preserve"> more likely to agree that being overweight is a risk factor for bowel cancer than those on over $100,000 per annum.  In contrast, they were less aware of other risk factors, and less likely to mention the WDHB BSP test. </w:t>
      </w:r>
    </w:p>
    <w:p w:rsidR="002D7133" w:rsidRPr="00935D46" w:rsidRDefault="002D7133" w:rsidP="002D7133">
      <w:pPr>
        <w:pStyle w:val="Heading3"/>
        <w:rPr>
          <w:lang w:eastAsia="ar-SA"/>
        </w:rPr>
      </w:pPr>
      <w:r w:rsidRPr="00935D46">
        <w:rPr>
          <w:lang w:eastAsia="ar-SA"/>
        </w:rPr>
        <w:t xml:space="preserve">Participant experience </w:t>
      </w:r>
    </w:p>
    <w:p w:rsidR="002D7133" w:rsidRPr="00935D46" w:rsidRDefault="002D7133" w:rsidP="002D7133">
      <w:r w:rsidRPr="00935D46">
        <w:t>The qualitative research with BSP participants (Litmus 2013</w:t>
      </w:r>
      <w:r w:rsidR="00935D46">
        <w:t xml:space="preserve"> and 2014c</w:t>
      </w:r>
      <w:r w:rsidRPr="00935D46">
        <w:t>) and the customer research undertaken by WDHB</w:t>
      </w:r>
      <w:r w:rsidR="00614D5E">
        <w:t xml:space="preserve"> </w:t>
      </w:r>
      <w:r w:rsidR="00D2685B">
        <w:t>(W</w:t>
      </w:r>
      <w:r w:rsidR="00D2685B" w:rsidRPr="00995633">
        <w:t>DHB 2013</w:t>
      </w:r>
      <w:r w:rsidR="00D2685B">
        <w:t xml:space="preserve">) </w:t>
      </w:r>
      <w:r w:rsidRPr="00935D46">
        <w:t>shows that BSP participants</w:t>
      </w:r>
      <w:r w:rsidR="001D6B41">
        <w:t>’</w:t>
      </w:r>
      <w:r w:rsidRPr="00935D46">
        <w:t xml:space="preserve"> experience of the BSP is </w:t>
      </w:r>
      <w:r w:rsidR="001D6B41">
        <w:t>mainly positive</w:t>
      </w:r>
      <w:r w:rsidRPr="00935D46">
        <w:t xml:space="preserve">. </w:t>
      </w:r>
      <w:r w:rsidR="00614D5E">
        <w:t xml:space="preserve"> In the WDHB BSP participant survey </w:t>
      </w:r>
      <w:r w:rsidR="00614D5E" w:rsidRPr="00995633">
        <w:t xml:space="preserve">90% rate </w:t>
      </w:r>
      <w:r w:rsidR="00614D5E">
        <w:t xml:space="preserve">their </w:t>
      </w:r>
      <w:r w:rsidR="00614D5E" w:rsidRPr="00995633">
        <w:t xml:space="preserve">treatment overall </w:t>
      </w:r>
      <w:r w:rsidR="00614D5E">
        <w:t xml:space="preserve">in the endoscopy unit </w:t>
      </w:r>
      <w:r w:rsidR="00614D5E" w:rsidRPr="00995633">
        <w:t xml:space="preserve">as very </w:t>
      </w:r>
      <w:r w:rsidR="00614D5E">
        <w:t>good, 8% as good and 2% average (W</w:t>
      </w:r>
      <w:r w:rsidR="00614D5E" w:rsidRPr="00995633">
        <w:t>DHB 2013</w:t>
      </w:r>
      <w:r w:rsidR="00614D5E">
        <w:t>)</w:t>
      </w:r>
      <w:r w:rsidR="001D2490">
        <w:t>.</w:t>
      </w:r>
    </w:p>
    <w:p w:rsidR="00B828BA" w:rsidRPr="001D6B41" w:rsidRDefault="001D6B41" w:rsidP="00B828BA">
      <w:pPr>
        <w:rPr>
          <w:lang w:eastAsia="ar-SA"/>
        </w:rPr>
      </w:pPr>
      <w:r w:rsidRPr="001D6B41">
        <w:rPr>
          <w:lang w:eastAsia="ar-SA"/>
        </w:rPr>
        <w:t>P</w:t>
      </w:r>
      <w:r>
        <w:rPr>
          <w:rFonts w:cs="Arial"/>
          <w:lang w:eastAsia="ar-SA"/>
        </w:rPr>
        <w:t>ā</w:t>
      </w:r>
      <w:r w:rsidRPr="001D6B41">
        <w:rPr>
          <w:lang w:eastAsia="ar-SA"/>
        </w:rPr>
        <w:t>keh</w:t>
      </w:r>
      <w:r>
        <w:rPr>
          <w:rFonts w:cs="Arial"/>
          <w:lang w:eastAsia="ar-SA"/>
        </w:rPr>
        <w:t>ā</w:t>
      </w:r>
      <w:r w:rsidRPr="001D6B41">
        <w:rPr>
          <w:lang w:eastAsia="ar-SA"/>
        </w:rPr>
        <w:t>, M</w:t>
      </w:r>
      <w:r>
        <w:rPr>
          <w:rFonts w:cs="Arial"/>
          <w:lang w:eastAsia="ar-SA"/>
        </w:rPr>
        <w:t>ā</w:t>
      </w:r>
      <w:r w:rsidRPr="001D6B41">
        <w:rPr>
          <w:lang w:eastAsia="ar-SA"/>
        </w:rPr>
        <w:t>ori and Pacific BSP p</w:t>
      </w:r>
      <w:r w:rsidR="00B828BA" w:rsidRPr="001D6B41">
        <w:rPr>
          <w:lang w:eastAsia="ar-SA"/>
        </w:rPr>
        <w:t xml:space="preserve">articipants </w:t>
      </w:r>
      <w:r>
        <w:rPr>
          <w:lang w:eastAsia="ar-SA"/>
        </w:rPr>
        <w:t>interviewed (</w:t>
      </w:r>
      <w:r w:rsidRPr="00935D46">
        <w:t>Litmus 2013</w:t>
      </w:r>
      <w:r>
        <w:t xml:space="preserve"> and 2014c</w:t>
      </w:r>
      <w:r w:rsidRPr="00935D46">
        <w:t xml:space="preserve">) </w:t>
      </w:r>
      <w:r>
        <w:t xml:space="preserve">consistently described their </w:t>
      </w:r>
      <w:r w:rsidR="00B828BA" w:rsidRPr="001D6B41">
        <w:rPr>
          <w:lang w:eastAsia="ar-SA"/>
        </w:rPr>
        <w:t xml:space="preserve">experience of the BSP as convenient, </w:t>
      </w:r>
      <w:r w:rsidR="003D4555">
        <w:rPr>
          <w:lang w:eastAsia="ar-SA"/>
        </w:rPr>
        <w:t xml:space="preserve">the iFOBT as </w:t>
      </w:r>
      <w:r w:rsidR="00B828BA" w:rsidRPr="001D6B41">
        <w:rPr>
          <w:lang w:eastAsia="ar-SA"/>
        </w:rPr>
        <w:t>easy to do with timely results and progression along the pathway.  For those with a positive iFOBT, the communication about their results was reassuring,</w:t>
      </w:r>
      <w:r>
        <w:rPr>
          <w:lang w:eastAsia="ar-SA"/>
        </w:rPr>
        <w:t xml:space="preserve"> and </w:t>
      </w:r>
      <w:r w:rsidR="00B828BA" w:rsidRPr="001D6B41">
        <w:rPr>
          <w:lang w:eastAsia="ar-SA"/>
        </w:rPr>
        <w:t xml:space="preserve">their colonoscopy was timely and </w:t>
      </w:r>
      <w:r w:rsidR="001D2490">
        <w:rPr>
          <w:lang w:eastAsia="ar-SA"/>
        </w:rPr>
        <w:t xml:space="preserve">undertaken </w:t>
      </w:r>
      <w:r w:rsidR="00B828BA" w:rsidRPr="001D6B41">
        <w:rPr>
          <w:lang w:eastAsia="ar-SA"/>
        </w:rPr>
        <w:t>respectful</w:t>
      </w:r>
      <w:r w:rsidR="001D2490">
        <w:rPr>
          <w:lang w:eastAsia="ar-SA"/>
        </w:rPr>
        <w:t>ly</w:t>
      </w:r>
      <w:r w:rsidR="00B828BA" w:rsidRPr="001D6B41">
        <w:rPr>
          <w:lang w:eastAsia="ar-SA"/>
        </w:rPr>
        <w:t xml:space="preserve">.  </w:t>
      </w:r>
    </w:p>
    <w:p w:rsidR="00B828BA" w:rsidRDefault="00B828BA" w:rsidP="00B828BA">
      <w:pPr>
        <w:rPr>
          <w:lang w:eastAsia="ar-SA"/>
        </w:rPr>
      </w:pPr>
      <w:r>
        <w:rPr>
          <w:lang w:eastAsia="ar-SA"/>
        </w:rPr>
        <w:t xml:space="preserve">Three key factors underpinned the completion and return of the iFOBT by BSP participants interviewed: </w:t>
      </w:r>
    </w:p>
    <w:p w:rsidR="00B828BA" w:rsidRPr="001D6B41" w:rsidRDefault="00B828BA" w:rsidP="00604AA9">
      <w:pPr>
        <w:pStyle w:val="Bullet"/>
        <w:numPr>
          <w:ilvl w:val="0"/>
          <w:numId w:val="10"/>
        </w:numPr>
        <w:tabs>
          <w:tab w:val="num" w:pos="2126"/>
          <w:tab w:val="num" w:pos="6663"/>
        </w:tabs>
        <w:spacing w:before="60"/>
        <w:ind w:left="1066" w:hanging="357"/>
        <w:rPr>
          <w:lang w:eastAsia="ar-SA"/>
        </w:rPr>
      </w:pPr>
      <w:r w:rsidRPr="001D6B41">
        <w:rPr>
          <w:lang w:eastAsia="ar-SA"/>
        </w:rPr>
        <w:t xml:space="preserve">Primed – they had a pre-disposition towards bowel screening due to concerns about cancer, wanting to check their bowel health, undertaking other non-symptomatic health checks, and wanting to be around for their family/ whānau long-term. </w:t>
      </w:r>
    </w:p>
    <w:p w:rsidR="00B828BA" w:rsidRPr="001D6B41" w:rsidRDefault="00B828BA" w:rsidP="00604AA9">
      <w:pPr>
        <w:pStyle w:val="Bullet"/>
        <w:numPr>
          <w:ilvl w:val="0"/>
          <w:numId w:val="10"/>
        </w:numPr>
        <w:tabs>
          <w:tab w:val="num" w:pos="2126"/>
          <w:tab w:val="num" w:pos="6663"/>
        </w:tabs>
        <w:spacing w:before="60"/>
        <w:ind w:left="1066" w:hanging="357"/>
        <w:rPr>
          <w:lang w:eastAsia="ar-SA"/>
        </w:rPr>
      </w:pPr>
      <w:r w:rsidRPr="001D6B41">
        <w:rPr>
          <w:lang w:eastAsia="ar-SA"/>
        </w:rPr>
        <w:t>Prompted – they were reminded to act thereby overcoming the</w:t>
      </w:r>
      <w:r w:rsidRPr="001D6B41">
        <w:t xml:space="preserve"> perceived unpleasantness of the test</w:t>
      </w:r>
      <w:r w:rsidRPr="001D6B41">
        <w:rPr>
          <w:lang w:eastAsia="ar-SA"/>
        </w:rPr>
        <w:t xml:space="preserve"> and the </w:t>
      </w:r>
      <w:r w:rsidRPr="001D6B41">
        <w:t xml:space="preserve">other pressing priorities in their lives.  </w:t>
      </w:r>
    </w:p>
    <w:p w:rsidR="00B828BA" w:rsidRDefault="00B828BA" w:rsidP="00604AA9">
      <w:pPr>
        <w:pStyle w:val="Bullet"/>
        <w:numPr>
          <w:ilvl w:val="0"/>
          <w:numId w:val="10"/>
        </w:numPr>
        <w:tabs>
          <w:tab w:val="num" w:pos="2126"/>
          <w:tab w:val="num" w:pos="6663"/>
        </w:tabs>
        <w:spacing w:before="60"/>
        <w:ind w:left="1066" w:hanging="357"/>
        <w:rPr>
          <w:lang w:eastAsia="ar-SA"/>
        </w:rPr>
      </w:pPr>
      <w:r w:rsidRPr="001D6B41">
        <w:rPr>
          <w:lang w:eastAsia="ar-SA"/>
        </w:rPr>
        <w:t>Proficient</w:t>
      </w:r>
      <w:r w:rsidRPr="0063034E">
        <w:rPr>
          <w:lang w:eastAsia="ar-SA"/>
        </w:rPr>
        <w:t xml:space="preserve"> – </w:t>
      </w:r>
      <w:r>
        <w:rPr>
          <w:lang w:eastAsia="ar-SA"/>
        </w:rPr>
        <w:t xml:space="preserve">they were able to read the material received and had the ability to complete and return the iFOBT kit. </w:t>
      </w:r>
      <w:r w:rsidRPr="0063034E">
        <w:rPr>
          <w:lang w:eastAsia="ar-SA"/>
        </w:rPr>
        <w:t xml:space="preserve"> </w:t>
      </w:r>
    </w:p>
    <w:p w:rsidR="00B828BA" w:rsidRDefault="00B828BA" w:rsidP="00B828BA">
      <w:pPr>
        <w:rPr>
          <w:lang w:eastAsia="ar-SA"/>
        </w:rPr>
      </w:pPr>
      <w:r w:rsidRPr="001D6B41">
        <w:rPr>
          <w:lang w:eastAsia="ar-SA"/>
        </w:rPr>
        <w:t xml:space="preserve">Across BSP participants interviewed </w:t>
      </w:r>
      <w:r w:rsidR="00CE1B13">
        <w:rPr>
          <w:lang w:eastAsia="ar-SA"/>
        </w:rPr>
        <w:t xml:space="preserve">(Litmus 2013) </w:t>
      </w:r>
      <w:r w:rsidRPr="001D6B41">
        <w:rPr>
          <w:lang w:eastAsia="ar-SA"/>
        </w:rPr>
        <w:t xml:space="preserve">there was a lack of understanding about what happens next in relation to bowel screening.  </w:t>
      </w:r>
      <w:r>
        <w:rPr>
          <w:lang w:eastAsia="ar-SA"/>
        </w:rPr>
        <w:t>BSP p</w:t>
      </w:r>
      <w:r w:rsidRPr="00743B66">
        <w:rPr>
          <w:lang w:eastAsia="ar-SA"/>
        </w:rPr>
        <w:t xml:space="preserve">articipants </w:t>
      </w:r>
      <w:r>
        <w:rPr>
          <w:lang w:eastAsia="ar-SA"/>
        </w:rPr>
        <w:t xml:space="preserve">interviewed who are </w:t>
      </w:r>
      <w:r w:rsidRPr="00743B66">
        <w:rPr>
          <w:lang w:eastAsia="ar-SA"/>
        </w:rPr>
        <w:t xml:space="preserve">exiting the </w:t>
      </w:r>
      <w:r>
        <w:rPr>
          <w:lang w:eastAsia="ar-SA"/>
        </w:rPr>
        <w:t>BSP</w:t>
      </w:r>
      <w:r w:rsidRPr="00743B66">
        <w:rPr>
          <w:lang w:eastAsia="ar-SA"/>
        </w:rPr>
        <w:t xml:space="preserve"> </w:t>
      </w:r>
      <w:r>
        <w:rPr>
          <w:lang w:eastAsia="ar-SA"/>
        </w:rPr>
        <w:t>i</w:t>
      </w:r>
      <w:r w:rsidRPr="00743B66">
        <w:rPr>
          <w:lang w:eastAsia="ar-SA"/>
        </w:rPr>
        <w:t xml:space="preserve">nto surveillance </w:t>
      </w:r>
      <w:r w:rsidR="001D6B41">
        <w:rPr>
          <w:lang w:eastAsia="ar-SA"/>
        </w:rPr>
        <w:t>we</w:t>
      </w:r>
      <w:r w:rsidRPr="00743B66">
        <w:rPr>
          <w:lang w:eastAsia="ar-SA"/>
        </w:rPr>
        <w:t xml:space="preserve">re also </w:t>
      </w:r>
      <w:r>
        <w:rPr>
          <w:lang w:eastAsia="ar-SA"/>
        </w:rPr>
        <w:t>unclear a</w:t>
      </w:r>
      <w:r w:rsidRPr="00743B66">
        <w:rPr>
          <w:lang w:eastAsia="ar-SA"/>
        </w:rPr>
        <w:t xml:space="preserve">bout </w:t>
      </w:r>
      <w:r>
        <w:rPr>
          <w:lang w:eastAsia="ar-SA"/>
        </w:rPr>
        <w:t>their</w:t>
      </w:r>
      <w:r w:rsidRPr="00743B66">
        <w:rPr>
          <w:lang w:eastAsia="ar-SA"/>
        </w:rPr>
        <w:t xml:space="preserve"> next </w:t>
      </w:r>
      <w:r>
        <w:rPr>
          <w:lang w:eastAsia="ar-SA"/>
        </w:rPr>
        <w:t>steps</w:t>
      </w:r>
      <w:r w:rsidR="00695F46">
        <w:rPr>
          <w:lang w:eastAsia="ar-SA"/>
        </w:rPr>
        <w:t xml:space="preserve">.  </w:t>
      </w:r>
    </w:p>
    <w:p w:rsidR="00CE1B13" w:rsidRDefault="00CE1B13" w:rsidP="00CE1B13">
      <w:pPr>
        <w:pStyle w:val="Heading3"/>
        <w:rPr>
          <w:lang w:eastAsia="ar-SA"/>
        </w:rPr>
      </w:pPr>
      <w:r>
        <w:rPr>
          <w:lang w:eastAsia="ar-SA"/>
        </w:rPr>
        <w:t xml:space="preserve">Reasons for not taking part </w:t>
      </w:r>
    </w:p>
    <w:p w:rsidR="00CE1B13" w:rsidRDefault="003D209D" w:rsidP="00CE1B13">
      <w:pPr>
        <w:rPr>
          <w:lang w:eastAsia="ar-SA"/>
        </w:rPr>
      </w:pPr>
      <w:r>
        <w:rPr>
          <w:lang w:eastAsia="ar-SA"/>
        </w:rPr>
        <w:t xml:space="preserve">In December 2012 qualitative research was undertaken </w:t>
      </w:r>
      <w:r>
        <w:t>with six M</w:t>
      </w:r>
      <w:r>
        <w:rPr>
          <w:rFonts w:cs="Arial"/>
        </w:rPr>
        <w:t>ā</w:t>
      </w:r>
      <w:r>
        <w:t xml:space="preserve">ori and six Pacific people who had received a pre-invitation, invitation and reminder letter between April and September 2012, had not returned a completed kit, and had not contacted the Coordination Centre to opt out of the BSP (non-responders).  </w:t>
      </w:r>
      <w:r w:rsidR="004C18B6">
        <w:t>Due to small sample sizes and the diversity of M</w:t>
      </w:r>
      <w:r w:rsidR="009E70CC">
        <w:rPr>
          <w:rFonts w:cs="Arial"/>
        </w:rPr>
        <w:t>ā</w:t>
      </w:r>
      <w:r w:rsidR="004C18B6">
        <w:t>ori and Pacific populations, the findings presented below are indicative only.  However they do offer insight into non-participation reason</w:t>
      </w:r>
      <w:r w:rsidR="001D2490">
        <w:t>s</w:t>
      </w:r>
      <w:r w:rsidR="004C18B6">
        <w:t xml:space="preserve"> which </w:t>
      </w:r>
      <w:r w:rsidR="001D2490">
        <w:t xml:space="preserve">are </w:t>
      </w:r>
      <w:r w:rsidR="004C18B6">
        <w:t>consistent with the findings from the quantitative survey</w:t>
      </w:r>
      <w:r w:rsidR="001D2490">
        <w:t>s</w:t>
      </w:r>
      <w:r w:rsidR="004C18B6">
        <w:t xml:space="preserve"> (Litmus </w:t>
      </w:r>
      <w:r w:rsidR="001D2490">
        <w:t xml:space="preserve">2012 and </w:t>
      </w:r>
      <w:r w:rsidR="004C18B6">
        <w:t xml:space="preserve">2014a). </w:t>
      </w:r>
    </w:p>
    <w:p w:rsidR="00CA0C94" w:rsidRDefault="00CA0C94" w:rsidP="00CA0C94">
      <w:pPr>
        <w:pStyle w:val="Heading4"/>
      </w:pPr>
      <w:r>
        <w:lastRenderedPageBreak/>
        <w:t xml:space="preserve">Eligible Māori non-responders </w:t>
      </w:r>
    </w:p>
    <w:p w:rsidR="0036599C" w:rsidRDefault="00CA0C94" w:rsidP="00CA0C94">
      <w:r>
        <w:t>For M</w:t>
      </w:r>
      <w:r>
        <w:rPr>
          <w:rFonts w:cs="Arial"/>
        </w:rPr>
        <w:t>ā</w:t>
      </w:r>
      <w:r>
        <w:t>ori non-responders</w:t>
      </w:r>
      <w:r w:rsidR="006777A5">
        <w:t xml:space="preserve"> interviewed</w:t>
      </w:r>
      <w:r>
        <w:t xml:space="preserve">, the overarching reason for not taking part in the BSP was they </w:t>
      </w:r>
      <w:r w:rsidR="0036599C">
        <w:t>had an aversion to the concept of bowel screening per se, were opposed to doing faecal sampling in their home and/ or did not want to post a faecal sample as others would have to handle their sample</w:t>
      </w:r>
      <w:r w:rsidR="0036599C" w:rsidRPr="00697D47">
        <w:rPr>
          <w:rStyle w:val="FootnoteReference"/>
        </w:rPr>
        <w:footnoteReference w:id="59"/>
      </w:r>
      <w:r w:rsidR="0036599C">
        <w:t xml:space="preserve">. </w:t>
      </w:r>
      <w:r>
        <w:t xml:space="preserve"> </w:t>
      </w:r>
    </w:p>
    <w:p w:rsidR="00F03957" w:rsidRPr="00463B7A" w:rsidRDefault="00CA0C94" w:rsidP="00CA0C94">
      <w:r>
        <w:t>For some M</w:t>
      </w:r>
      <w:r>
        <w:rPr>
          <w:rFonts w:cs="Arial"/>
        </w:rPr>
        <w:t>ā</w:t>
      </w:r>
      <w:r>
        <w:t>ori non-responders</w:t>
      </w:r>
      <w:r w:rsidR="006777A5">
        <w:t xml:space="preserve"> interviewed</w:t>
      </w:r>
      <w:r w:rsidR="008947A4">
        <w:t>,</w:t>
      </w:r>
      <w:r>
        <w:t xml:space="preserve"> the overall concept of bowel screening is abhorrent and therefore it is unlikely they can be supported or encouraged to take part.  Other M</w:t>
      </w:r>
      <w:r>
        <w:rPr>
          <w:rFonts w:cs="Arial"/>
        </w:rPr>
        <w:t>ā</w:t>
      </w:r>
      <w:r>
        <w:t xml:space="preserve">ori non-responders </w:t>
      </w:r>
      <w:r w:rsidR="006777A5">
        <w:t xml:space="preserve">interviewed </w:t>
      </w:r>
      <w:r>
        <w:t>appreciated the benefits of bowel screening but found the idea embarrassing, in particular they are strongly against mailing a faecal sample.  With a more appropriate approach to create understanding and action, these non-</w:t>
      </w:r>
      <w:r w:rsidRPr="00463B7A">
        <w:t xml:space="preserve">responders may consider participating in the BSP.  </w:t>
      </w:r>
      <w:r w:rsidR="00F03957" w:rsidRPr="00463B7A">
        <w:t>M</w:t>
      </w:r>
      <w:r w:rsidR="00F03957" w:rsidRPr="00463B7A">
        <w:rPr>
          <w:rFonts w:cs="Arial"/>
        </w:rPr>
        <w:t>ā</w:t>
      </w:r>
      <w:r w:rsidR="00F03957" w:rsidRPr="00463B7A">
        <w:t xml:space="preserve">ori non-responders interviewed suggested dropping samples off at a lab, hospital or their general practice. </w:t>
      </w:r>
    </w:p>
    <w:p w:rsidR="00CA0C94" w:rsidRPr="00463B7A" w:rsidRDefault="0036599C" w:rsidP="00CA0C94">
      <w:r w:rsidRPr="00463B7A">
        <w:t>While aversion</w:t>
      </w:r>
      <w:r w:rsidR="00CA0C94" w:rsidRPr="00463B7A">
        <w:t xml:space="preserve"> barriers to participat</w:t>
      </w:r>
      <w:r w:rsidR="001D2490" w:rsidRPr="00463B7A">
        <w:t>ing</w:t>
      </w:r>
      <w:r w:rsidR="00CA0C94" w:rsidRPr="00463B7A">
        <w:t xml:space="preserve"> in the BSP are forefront, M</w:t>
      </w:r>
      <w:r w:rsidR="00CA0C94" w:rsidRPr="00463B7A">
        <w:rPr>
          <w:rFonts w:cs="Arial"/>
        </w:rPr>
        <w:t>ā</w:t>
      </w:r>
      <w:r w:rsidR="00CA0C94" w:rsidRPr="00463B7A">
        <w:t xml:space="preserve">ori non-responders </w:t>
      </w:r>
      <w:r w:rsidR="006777A5" w:rsidRPr="00463B7A">
        <w:t xml:space="preserve">interviewed </w:t>
      </w:r>
      <w:r w:rsidR="00CA0C94" w:rsidRPr="00463B7A">
        <w:t xml:space="preserve">also noted other barriers to taking part, including: </w:t>
      </w:r>
    </w:p>
    <w:p w:rsidR="00CA0C94" w:rsidRPr="00463B7A" w:rsidRDefault="00CA0C94" w:rsidP="00604AA9">
      <w:pPr>
        <w:pStyle w:val="Bullet"/>
        <w:numPr>
          <w:ilvl w:val="0"/>
          <w:numId w:val="14"/>
        </w:numPr>
        <w:tabs>
          <w:tab w:val="num" w:pos="2126"/>
          <w:tab w:val="num" w:pos="6663"/>
        </w:tabs>
        <w:spacing w:before="60"/>
        <w:ind w:left="1066" w:hanging="357"/>
        <w:rPr>
          <w:lang w:eastAsia="ar-SA"/>
        </w:rPr>
      </w:pPr>
      <w:r w:rsidRPr="00463B7A">
        <w:rPr>
          <w:lang w:eastAsia="ar-SA"/>
        </w:rPr>
        <w:t>more pressing health issues (e</w:t>
      </w:r>
      <w:r w:rsidR="000505E9" w:rsidRPr="00463B7A">
        <w:rPr>
          <w:lang w:eastAsia="ar-SA"/>
        </w:rPr>
        <w:t>.</w:t>
      </w:r>
      <w:r w:rsidRPr="00463B7A">
        <w:rPr>
          <w:lang w:eastAsia="ar-SA"/>
        </w:rPr>
        <w:t>g. cancer or heart disease)</w:t>
      </w:r>
    </w:p>
    <w:p w:rsidR="00CA0C94" w:rsidRPr="00463B7A" w:rsidRDefault="00CA0C94" w:rsidP="00604AA9">
      <w:pPr>
        <w:pStyle w:val="Bullet"/>
        <w:numPr>
          <w:ilvl w:val="0"/>
          <w:numId w:val="14"/>
        </w:numPr>
        <w:tabs>
          <w:tab w:val="num" w:pos="2126"/>
          <w:tab w:val="num" w:pos="6663"/>
        </w:tabs>
        <w:spacing w:before="60"/>
        <w:ind w:left="1066" w:hanging="357"/>
        <w:rPr>
          <w:lang w:eastAsia="ar-SA"/>
        </w:rPr>
      </w:pPr>
      <w:r w:rsidRPr="00463B7A">
        <w:rPr>
          <w:lang w:eastAsia="ar-SA"/>
        </w:rPr>
        <w:t>previous negative experience of the health system in relation to issues to do with their bowels</w:t>
      </w:r>
      <w:r w:rsidR="008263A6" w:rsidRPr="00463B7A">
        <w:rPr>
          <w:lang w:eastAsia="ar-SA"/>
        </w:rPr>
        <w:t>;</w:t>
      </w:r>
      <w:r w:rsidR="001D2490" w:rsidRPr="00463B7A">
        <w:rPr>
          <w:lang w:eastAsia="ar-SA"/>
        </w:rPr>
        <w:t xml:space="preserve"> </w:t>
      </w:r>
      <w:r w:rsidR="008263A6" w:rsidRPr="00463B7A">
        <w:rPr>
          <w:lang w:eastAsia="ar-SA"/>
        </w:rPr>
        <w:t>o</w:t>
      </w:r>
      <w:r w:rsidR="001D2490" w:rsidRPr="00463B7A">
        <w:rPr>
          <w:lang w:eastAsia="ar-SA"/>
        </w:rPr>
        <w:t>ther</w:t>
      </w:r>
      <w:r w:rsidRPr="00463B7A">
        <w:rPr>
          <w:lang w:eastAsia="ar-SA"/>
        </w:rPr>
        <w:t xml:space="preserve"> health experiences as well as negative health outcomes for whānau with cancer also created si</w:t>
      </w:r>
      <w:r w:rsidR="0036599C" w:rsidRPr="00463B7A">
        <w:rPr>
          <w:lang w:eastAsia="ar-SA"/>
        </w:rPr>
        <w:t xml:space="preserve">gnificant barriers to </w:t>
      </w:r>
      <w:r w:rsidR="001D2490" w:rsidRPr="00463B7A">
        <w:rPr>
          <w:lang w:eastAsia="ar-SA"/>
        </w:rPr>
        <w:t xml:space="preserve">participating in </w:t>
      </w:r>
      <w:r w:rsidR="0036599C" w:rsidRPr="00463B7A">
        <w:rPr>
          <w:lang w:eastAsia="ar-SA"/>
        </w:rPr>
        <w:t xml:space="preserve">the BSP </w:t>
      </w:r>
    </w:p>
    <w:p w:rsidR="00CA0C94" w:rsidRPr="00463B7A" w:rsidRDefault="00CA0C94" w:rsidP="00604AA9">
      <w:pPr>
        <w:pStyle w:val="Bullet"/>
        <w:numPr>
          <w:ilvl w:val="0"/>
          <w:numId w:val="14"/>
        </w:numPr>
        <w:tabs>
          <w:tab w:val="num" w:pos="2126"/>
          <w:tab w:val="num" w:pos="6663"/>
        </w:tabs>
        <w:spacing w:before="60"/>
        <w:ind w:left="1066" w:hanging="357"/>
        <w:rPr>
          <w:lang w:eastAsia="ar-SA"/>
        </w:rPr>
      </w:pPr>
      <w:proofErr w:type="gramStart"/>
      <w:r w:rsidRPr="00463B7A">
        <w:rPr>
          <w:lang w:eastAsia="ar-SA"/>
        </w:rPr>
        <w:t>misinterpretation</w:t>
      </w:r>
      <w:proofErr w:type="gramEnd"/>
      <w:r w:rsidRPr="00463B7A">
        <w:rPr>
          <w:lang w:eastAsia="ar-SA"/>
        </w:rPr>
        <w:t xml:space="preserve"> of their eligibility to take part due to the content of the pre-invitation. </w:t>
      </w:r>
    </w:p>
    <w:p w:rsidR="00CE1B13" w:rsidRPr="00463B7A" w:rsidRDefault="00CE1B13" w:rsidP="00CE1B13">
      <w:pPr>
        <w:pStyle w:val="Heading4"/>
      </w:pPr>
      <w:r w:rsidRPr="00463B7A">
        <w:t xml:space="preserve">Eligible Pacific non-responders </w:t>
      </w:r>
    </w:p>
    <w:p w:rsidR="00CE1B13" w:rsidRPr="00463B7A" w:rsidRDefault="00CE1B13" w:rsidP="00CE1B13">
      <w:pPr>
        <w:rPr>
          <w:lang w:val="en-AU"/>
        </w:rPr>
      </w:pPr>
      <w:r w:rsidRPr="00463B7A">
        <w:rPr>
          <w:lang w:val="en-AU"/>
        </w:rPr>
        <w:t>Across Pacific non</w:t>
      </w:r>
      <w:r w:rsidR="009E70CC" w:rsidRPr="00463B7A">
        <w:rPr>
          <w:lang w:val="en-AU"/>
        </w:rPr>
        <w:t>-responders interviewed, there wa</w:t>
      </w:r>
      <w:r w:rsidRPr="00463B7A">
        <w:rPr>
          <w:lang w:val="en-AU"/>
        </w:rPr>
        <w:t>s evidence of difficulty in understanding the BSP invitation letters</w:t>
      </w:r>
      <w:r w:rsidR="009E70CC" w:rsidRPr="00697D47">
        <w:rPr>
          <w:rStyle w:val="FootnoteReference"/>
        </w:rPr>
        <w:footnoteReference w:id="60"/>
      </w:r>
      <w:r w:rsidRPr="00463B7A">
        <w:rPr>
          <w:lang w:val="en-AU"/>
        </w:rPr>
        <w:t xml:space="preserve">.  When the BSP was verbally explained, Pacific non-responders supported the idea of screening and acknowledged the benefit of knowing their health status to ensure they can support their families long-term.  </w:t>
      </w:r>
    </w:p>
    <w:p w:rsidR="00CE1B13" w:rsidRPr="00463B7A" w:rsidRDefault="00CE1B13" w:rsidP="00CE1B13">
      <w:pPr>
        <w:jc w:val="both"/>
        <w:rPr>
          <w:lang w:val="en-AU"/>
        </w:rPr>
      </w:pPr>
      <w:r w:rsidRPr="00463B7A">
        <w:rPr>
          <w:lang w:val="en-AU"/>
        </w:rPr>
        <w:t xml:space="preserve">A range of inter-linking barriers to participation were identified amongst the Pacific non-responders interviewed, specifically: </w:t>
      </w:r>
    </w:p>
    <w:p w:rsidR="00F03957" w:rsidRPr="00463B7A" w:rsidRDefault="00CE1B13" w:rsidP="00F03957">
      <w:pPr>
        <w:pStyle w:val="Bullet"/>
        <w:numPr>
          <w:ilvl w:val="0"/>
          <w:numId w:val="10"/>
        </w:numPr>
        <w:tabs>
          <w:tab w:val="num" w:pos="2126"/>
          <w:tab w:val="num" w:pos="6663"/>
        </w:tabs>
        <w:spacing w:before="60"/>
        <w:ind w:left="1066" w:hanging="357"/>
        <w:rPr>
          <w:lang w:val="en-AU"/>
        </w:rPr>
      </w:pPr>
      <w:proofErr w:type="gramStart"/>
      <w:r w:rsidRPr="00463B7A">
        <w:t>opposition</w:t>
      </w:r>
      <w:proofErr w:type="gramEnd"/>
      <w:r w:rsidRPr="00463B7A">
        <w:t xml:space="preserve"> </w:t>
      </w:r>
      <w:r w:rsidRPr="00463B7A">
        <w:rPr>
          <w:lang w:val="en-AU"/>
        </w:rPr>
        <w:t>to bowel screening and the BSP, in particular undertaking the test at home and mailing a sample of their faeces</w:t>
      </w:r>
      <w:r w:rsidR="00F03957" w:rsidRPr="00463B7A">
        <w:rPr>
          <w:lang w:val="en-AU"/>
        </w:rPr>
        <w:t xml:space="preserve">.  Some </w:t>
      </w:r>
      <w:r w:rsidR="00F03957" w:rsidRPr="00463B7A">
        <w:t xml:space="preserve">suggested being able to do the test in a clinic setting and dropping samples off at a lab, hospital or their general practice. </w:t>
      </w:r>
    </w:p>
    <w:p w:rsidR="00CE1B13" w:rsidRPr="0036599C" w:rsidRDefault="00CE1B13" w:rsidP="00604AA9">
      <w:pPr>
        <w:pStyle w:val="Bullet"/>
        <w:numPr>
          <w:ilvl w:val="0"/>
          <w:numId w:val="10"/>
        </w:numPr>
        <w:tabs>
          <w:tab w:val="num" w:pos="2126"/>
          <w:tab w:val="num" w:pos="6663"/>
        </w:tabs>
        <w:spacing w:before="60"/>
        <w:ind w:left="1066" w:hanging="357"/>
        <w:rPr>
          <w:lang w:val="en-AU"/>
        </w:rPr>
      </w:pPr>
      <w:r w:rsidRPr="0036599C">
        <w:rPr>
          <w:lang w:val="en-AU"/>
        </w:rPr>
        <w:t>environmental barriers, relating to not receiving the kit which appeared to be due to misplacing the kit in their home or through the use of a PO Box</w:t>
      </w:r>
    </w:p>
    <w:p w:rsidR="00CE1B13" w:rsidRPr="0036599C" w:rsidRDefault="00CE1B13" w:rsidP="00604AA9">
      <w:pPr>
        <w:pStyle w:val="Bullet"/>
        <w:numPr>
          <w:ilvl w:val="0"/>
          <w:numId w:val="10"/>
        </w:numPr>
        <w:tabs>
          <w:tab w:val="num" w:pos="2126"/>
          <w:tab w:val="num" w:pos="6663"/>
        </w:tabs>
        <w:spacing w:before="60"/>
        <w:ind w:left="1066" w:hanging="357"/>
        <w:rPr>
          <w:lang w:val="en-AU"/>
        </w:rPr>
      </w:pPr>
      <w:r w:rsidRPr="0036599C">
        <w:rPr>
          <w:lang w:val="en-AU"/>
        </w:rPr>
        <w:t xml:space="preserve">literacy and language barriers which impede understanding of the letters, BSP purpose, and the actions required  </w:t>
      </w:r>
    </w:p>
    <w:p w:rsidR="00CE1B13" w:rsidRPr="009029FF" w:rsidRDefault="00CE1B13" w:rsidP="00604AA9">
      <w:pPr>
        <w:pStyle w:val="Bullet"/>
        <w:numPr>
          <w:ilvl w:val="0"/>
          <w:numId w:val="10"/>
        </w:numPr>
        <w:tabs>
          <w:tab w:val="num" w:pos="2126"/>
          <w:tab w:val="num" w:pos="6663"/>
        </w:tabs>
        <w:spacing w:before="60"/>
        <w:ind w:left="1066" w:hanging="357"/>
      </w:pPr>
      <w:proofErr w:type="gramStart"/>
      <w:r w:rsidRPr="009029FF">
        <w:t>other</w:t>
      </w:r>
      <w:proofErr w:type="gramEnd"/>
      <w:r w:rsidRPr="009029FF">
        <w:t xml:space="preserve"> pressing health priorities (e.g. cancer).</w:t>
      </w:r>
    </w:p>
    <w:p w:rsidR="00B828BA" w:rsidRDefault="00B828BA" w:rsidP="009029FF">
      <w:pPr>
        <w:pStyle w:val="Heading4"/>
      </w:pPr>
      <w:r>
        <w:lastRenderedPageBreak/>
        <w:t>Consistency of findings with wider literature</w:t>
      </w:r>
      <w:r w:rsidR="002C71C1">
        <w:t xml:space="preserve"> </w:t>
      </w:r>
    </w:p>
    <w:p w:rsidR="00B828BA" w:rsidRDefault="00B828BA" w:rsidP="009029FF">
      <w:r>
        <w:t xml:space="preserve">The findings </w:t>
      </w:r>
      <w:r w:rsidR="004C18B6">
        <w:t>for participation and non-participation</w:t>
      </w:r>
      <w:r w:rsidR="00B64D36">
        <w:t xml:space="preserve"> of particular population groups</w:t>
      </w:r>
      <w:r w:rsidR="004C18B6">
        <w:t xml:space="preserve"> </w:t>
      </w:r>
      <w:r>
        <w:t xml:space="preserve">are in the main consistent with the international literature.  As highlighted by Weller et al (2009), Senore et al (2010) and Reeder (2011), multiple factors influence screening participation, including cancer characteristics, screening test characteristics, individual factors, and the health system context.  While international research offers evidence on which factors influence participation, to date the relative weight of these are not known in achieving or improving participation in bowel screening (Senore et al 2010). </w:t>
      </w:r>
    </w:p>
    <w:p w:rsidR="00A67709" w:rsidRDefault="00B828BA" w:rsidP="00B828BA">
      <w:r>
        <w:t>Reviews undertaken by Senore et al (2010), Power et al (2009) and Christou et a</w:t>
      </w:r>
      <w:r w:rsidR="00B64D36">
        <w:t>l</w:t>
      </w:r>
      <w:r>
        <w:t xml:space="preserve"> (2010) identified a number of determinants and barriers to participation in bowel screening, summarised </w:t>
      </w:r>
      <w:r w:rsidR="00BE185D">
        <w:t xml:space="preserve">in Table </w:t>
      </w:r>
      <w:r w:rsidR="0097166A">
        <w:t>7</w:t>
      </w:r>
      <w:r w:rsidR="00BE185D">
        <w:t xml:space="preserve"> </w:t>
      </w:r>
      <w:r>
        <w:t>below, and are reflective of the feedback from BSP participants interviewed.</w:t>
      </w:r>
    </w:p>
    <w:p w:rsidR="00A67709" w:rsidRDefault="00A67709">
      <w:pPr>
        <w:spacing w:before="0"/>
        <w:ind w:left="0"/>
      </w:pPr>
      <w:r>
        <w:br w:type="page"/>
      </w:r>
    </w:p>
    <w:p w:rsidR="00B828BA" w:rsidRDefault="00B828BA" w:rsidP="00B828BA"/>
    <w:p w:rsidR="00B828BA" w:rsidRDefault="00B828BA" w:rsidP="00381D12">
      <w:pPr>
        <w:pStyle w:val="Table"/>
      </w:pPr>
      <w:bookmarkStart w:id="217" w:name="_Toc412540160"/>
      <w:r w:rsidRPr="00BE185D">
        <w:t xml:space="preserve">Table </w:t>
      </w:r>
      <w:r w:rsidR="0097166A">
        <w:t>7</w:t>
      </w:r>
      <w:r w:rsidRPr="00BE185D">
        <w:t xml:space="preserve">: Summary of enablers and barriers to participation </w:t>
      </w:r>
      <w:r w:rsidR="00B64D36" w:rsidRPr="00BE185D">
        <w:t>(</w:t>
      </w:r>
      <w:r w:rsidR="00B05333" w:rsidRPr="00BE185D">
        <w:t xml:space="preserve">from </w:t>
      </w:r>
      <w:r w:rsidR="00B64D36" w:rsidRPr="00BE185D">
        <w:t xml:space="preserve">the </w:t>
      </w:r>
      <w:r w:rsidR="00B05333" w:rsidRPr="00BE185D">
        <w:t>literature</w:t>
      </w:r>
      <w:r w:rsidR="00B64D36" w:rsidRPr="00BE185D">
        <w:t>)</w:t>
      </w:r>
      <w:bookmarkEnd w:id="217"/>
    </w:p>
    <w:tbl>
      <w:tblPr>
        <w:tblStyle w:val="MediumShading1-Accent3"/>
        <w:tblW w:w="0" w:type="auto"/>
        <w:tblInd w:w="817" w:type="dxa"/>
        <w:tblLook w:val="04A0" w:firstRow="1" w:lastRow="0" w:firstColumn="1" w:lastColumn="0" w:noHBand="0" w:noVBand="1"/>
      </w:tblPr>
      <w:tblGrid>
        <w:gridCol w:w="728"/>
        <w:gridCol w:w="8"/>
        <w:gridCol w:w="8053"/>
      </w:tblGrid>
      <w:tr w:rsidR="00BE185D" w:rsidRPr="00326B5B" w:rsidTr="003C6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gridSpan w:val="2"/>
            <w:tcBorders>
              <w:bottom w:val="double" w:sz="4" w:space="0" w:color="auto"/>
            </w:tcBorders>
          </w:tcPr>
          <w:p w:rsidR="00BE185D" w:rsidRPr="002900B9" w:rsidRDefault="00BE185D" w:rsidP="00C522B5">
            <w:pPr>
              <w:ind w:left="0"/>
              <w:rPr>
                <w:sz w:val="20"/>
                <w:szCs w:val="20"/>
              </w:rPr>
            </w:pPr>
            <w:r w:rsidRPr="002900B9">
              <w:rPr>
                <w:sz w:val="20"/>
                <w:szCs w:val="20"/>
              </w:rPr>
              <w:t xml:space="preserve">Level </w:t>
            </w:r>
          </w:p>
        </w:tc>
        <w:tc>
          <w:tcPr>
            <w:tcW w:w="8053" w:type="dxa"/>
            <w:tcBorders>
              <w:bottom w:val="double" w:sz="4" w:space="0" w:color="auto"/>
            </w:tcBorders>
          </w:tcPr>
          <w:p w:rsidR="00BE185D" w:rsidRPr="002900B9" w:rsidRDefault="00BE185D" w:rsidP="00C522B5">
            <w:pPr>
              <w:ind w:left="0"/>
              <w:cnfStyle w:val="100000000000" w:firstRow="1" w:lastRow="0" w:firstColumn="0" w:lastColumn="0" w:oddVBand="0" w:evenVBand="0" w:oddHBand="0" w:evenHBand="0" w:firstRowFirstColumn="0" w:firstRowLastColumn="0" w:lastRowFirstColumn="0" w:lastRowLastColumn="0"/>
              <w:rPr>
                <w:sz w:val="20"/>
                <w:szCs w:val="20"/>
              </w:rPr>
            </w:pPr>
            <w:r w:rsidRPr="002900B9">
              <w:rPr>
                <w:sz w:val="20"/>
                <w:szCs w:val="20"/>
              </w:rPr>
              <w:t xml:space="preserve">Factors that increase participation </w:t>
            </w:r>
          </w:p>
        </w:tc>
      </w:tr>
      <w:tr w:rsidR="00BE185D" w:rsidRPr="00D92534" w:rsidTr="003C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gridSpan w:val="2"/>
            <w:vMerge w:val="restart"/>
            <w:tcBorders>
              <w:top w:val="double" w:sz="4" w:space="0" w:color="auto"/>
            </w:tcBorders>
            <w:textDirection w:val="btLr"/>
          </w:tcPr>
          <w:p w:rsidR="00BE185D" w:rsidRPr="002900B9" w:rsidRDefault="00BE185D" w:rsidP="00C522B5">
            <w:pPr>
              <w:spacing w:before="0"/>
              <w:ind w:left="113" w:right="113"/>
              <w:jc w:val="center"/>
              <w:rPr>
                <w:sz w:val="20"/>
                <w:szCs w:val="20"/>
              </w:rPr>
            </w:pPr>
            <w:r w:rsidRPr="002900B9">
              <w:rPr>
                <w:sz w:val="20"/>
                <w:szCs w:val="20"/>
              </w:rPr>
              <w:t>Individual</w:t>
            </w:r>
          </w:p>
        </w:tc>
        <w:tc>
          <w:tcPr>
            <w:tcW w:w="8053" w:type="dxa"/>
            <w:tcBorders>
              <w:top w:val="double" w:sz="4" w:space="0" w:color="auto"/>
              <w:right w:val="single" w:sz="8" w:space="0" w:color="B3CC82" w:themeColor="accent3" w:themeTint="BF"/>
            </w:tcBorders>
          </w:tcPr>
          <w:p w:rsidR="00BE185D" w:rsidRPr="002900B9"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2900B9">
              <w:rPr>
                <w:sz w:val="20"/>
                <w:szCs w:val="20"/>
              </w:rPr>
              <w:t xml:space="preserve">Perceived benefits of screening </w:t>
            </w:r>
          </w:p>
        </w:tc>
      </w:tr>
      <w:tr w:rsidR="00BE185D" w:rsidRPr="00D92534" w:rsidTr="003C630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36" w:type="dxa"/>
            <w:gridSpan w:val="2"/>
            <w:vMerge/>
          </w:tcPr>
          <w:p w:rsidR="00BE185D" w:rsidRPr="002900B9" w:rsidRDefault="00BE185D" w:rsidP="00C522B5">
            <w:pPr>
              <w:spacing w:before="0"/>
              <w:ind w:left="0"/>
              <w:jc w:val="center"/>
              <w:rPr>
                <w:sz w:val="20"/>
                <w:szCs w:val="20"/>
              </w:rPr>
            </w:pPr>
          </w:p>
        </w:tc>
        <w:tc>
          <w:tcPr>
            <w:tcW w:w="8053" w:type="dxa"/>
            <w:tcBorders>
              <w:right w:val="single" w:sz="8" w:space="0" w:color="B3CC82" w:themeColor="accent3" w:themeTint="BF"/>
            </w:tcBorders>
          </w:tcPr>
          <w:p w:rsidR="00BE185D" w:rsidRPr="002900B9"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Perceived risk</w:t>
            </w:r>
            <w:r w:rsidRPr="002900B9">
              <w:rPr>
                <w:sz w:val="20"/>
                <w:szCs w:val="20"/>
              </w:rPr>
              <w:t xml:space="preserve"> of bowel cancer</w:t>
            </w:r>
            <w:r>
              <w:rPr>
                <w:sz w:val="20"/>
                <w:szCs w:val="20"/>
              </w:rPr>
              <w:t xml:space="preserve"> </w:t>
            </w:r>
          </w:p>
        </w:tc>
      </w:tr>
      <w:tr w:rsidR="00BE185D" w:rsidRPr="00D92534" w:rsidTr="003C630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36" w:type="dxa"/>
            <w:gridSpan w:val="2"/>
            <w:vMerge/>
          </w:tcPr>
          <w:p w:rsidR="00BE185D" w:rsidRPr="002900B9" w:rsidRDefault="00BE185D" w:rsidP="00C522B5">
            <w:pPr>
              <w:spacing w:before="0"/>
              <w:ind w:left="0"/>
              <w:jc w:val="center"/>
              <w:rPr>
                <w:sz w:val="20"/>
                <w:szCs w:val="20"/>
              </w:rPr>
            </w:pPr>
          </w:p>
        </w:tc>
        <w:tc>
          <w:tcPr>
            <w:tcW w:w="8053" w:type="dxa"/>
            <w:tcBorders>
              <w:right w:val="single" w:sz="8" w:space="0" w:color="B3CC82" w:themeColor="accent3" w:themeTint="BF"/>
            </w:tcBorders>
          </w:tcPr>
          <w:p w:rsidR="00BE185D"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2900B9">
              <w:rPr>
                <w:sz w:val="20"/>
                <w:szCs w:val="20"/>
              </w:rPr>
              <w:t xml:space="preserve">Previous participation in screening </w:t>
            </w:r>
          </w:p>
        </w:tc>
      </w:tr>
      <w:tr w:rsidR="00BE185D" w:rsidRPr="00D92534" w:rsidTr="003C63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gridSpan w:val="2"/>
            <w:vMerge/>
          </w:tcPr>
          <w:p w:rsidR="00BE185D" w:rsidRPr="002900B9" w:rsidRDefault="00BE185D" w:rsidP="00C522B5">
            <w:pPr>
              <w:spacing w:before="0"/>
              <w:ind w:left="0"/>
              <w:jc w:val="center"/>
              <w:rPr>
                <w:sz w:val="20"/>
                <w:szCs w:val="20"/>
              </w:rPr>
            </w:pPr>
          </w:p>
        </w:tc>
        <w:tc>
          <w:tcPr>
            <w:tcW w:w="8053" w:type="dxa"/>
            <w:tcBorders>
              <w:right w:val="single" w:sz="8" w:space="0" w:color="B3CC82" w:themeColor="accent3" w:themeTint="BF"/>
            </w:tcBorders>
          </w:tcPr>
          <w:p w:rsidR="00BE185D" w:rsidRPr="002900B9"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2900B9">
              <w:rPr>
                <w:sz w:val="20"/>
                <w:szCs w:val="20"/>
              </w:rPr>
              <w:t xml:space="preserve">Health motivation in practising health promoting behaviours or by avoiding unhealthy lifestyles </w:t>
            </w:r>
          </w:p>
        </w:tc>
      </w:tr>
      <w:tr w:rsidR="00BE185D" w:rsidRPr="00D92534" w:rsidTr="003C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gridSpan w:val="2"/>
            <w:vMerge/>
            <w:tcBorders>
              <w:bottom w:val="double" w:sz="4" w:space="0" w:color="auto"/>
            </w:tcBorders>
          </w:tcPr>
          <w:p w:rsidR="00BE185D" w:rsidRPr="002900B9" w:rsidRDefault="00BE185D" w:rsidP="00C522B5">
            <w:pPr>
              <w:spacing w:before="0"/>
              <w:ind w:left="0"/>
              <w:jc w:val="center"/>
              <w:rPr>
                <w:sz w:val="20"/>
                <w:szCs w:val="20"/>
              </w:rPr>
            </w:pPr>
          </w:p>
        </w:tc>
        <w:tc>
          <w:tcPr>
            <w:tcW w:w="8053" w:type="dxa"/>
            <w:tcBorders>
              <w:bottom w:val="double" w:sz="4" w:space="0" w:color="auto"/>
              <w:right w:val="single" w:sz="8" w:space="0" w:color="B3CC82" w:themeColor="accent3" w:themeTint="BF"/>
            </w:tcBorders>
          </w:tcPr>
          <w:p w:rsidR="00BE185D" w:rsidRPr="002900B9"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2900B9">
              <w:rPr>
                <w:sz w:val="20"/>
                <w:szCs w:val="20"/>
              </w:rPr>
              <w:t xml:space="preserve">Having a partner who encourages and supports healthy behaviours </w:t>
            </w:r>
          </w:p>
        </w:tc>
      </w:tr>
      <w:tr w:rsidR="00BE185D" w:rsidRPr="00326B5B" w:rsidTr="003C63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gridSpan w:val="2"/>
            <w:vMerge w:val="restart"/>
            <w:tcBorders>
              <w:top w:val="double" w:sz="4" w:space="0" w:color="auto"/>
            </w:tcBorders>
            <w:textDirection w:val="btLr"/>
          </w:tcPr>
          <w:p w:rsidR="00BE185D" w:rsidRPr="002900B9" w:rsidRDefault="00BE185D" w:rsidP="00C522B5">
            <w:pPr>
              <w:spacing w:before="0"/>
              <w:ind w:left="113" w:right="113"/>
              <w:jc w:val="center"/>
              <w:rPr>
                <w:sz w:val="20"/>
                <w:szCs w:val="20"/>
              </w:rPr>
            </w:pPr>
            <w:r w:rsidRPr="002900B9">
              <w:rPr>
                <w:sz w:val="20"/>
                <w:szCs w:val="20"/>
              </w:rPr>
              <w:t>System</w:t>
            </w:r>
          </w:p>
        </w:tc>
        <w:tc>
          <w:tcPr>
            <w:tcW w:w="8053" w:type="dxa"/>
            <w:tcBorders>
              <w:top w:val="double" w:sz="4" w:space="0" w:color="auto"/>
              <w:right w:val="single" w:sz="8" w:space="0" w:color="B3CC82" w:themeColor="accent3" w:themeTint="BF"/>
            </w:tcBorders>
          </w:tcPr>
          <w:p w:rsidR="00BE185D" w:rsidRPr="002900B9"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2900B9">
              <w:rPr>
                <w:sz w:val="20"/>
                <w:szCs w:val="20"/>
              </w:rPr>
              <w:t>Support from health care providers/ GP</w:t>
            </w:r>
            <w:r>
              <w:rPr>
                <w:sz w:val="20"/>
                <w:szCs w:val="20"/>
              </w:rPr>
              <w:t>,</w:t>
            </w:r>
            <w:r w:rsidRPr="002900B9">
              <w:rPr>
                <w:sz w:val="20"/>
                <w:szCs w:val="20"/>
              </w:rPr>
              <w:t xml:space="preserve"> particularly for those with low levels of literacy and less like</w:t>
            </w:r>
            <w:r>
              <w:rPr>
                <w:sz w:val="20"/>
                <w:szCs w:val="20"/>
              </w:rPr>
              <w:t>ly to read information provided</w:t>
            </w:r>
          </w:p>
        </w:tc>
      </w:tr>
      <w:tr w:rsidR="00BE185D" w:rsidRPr="00326B5B" w:rsidTr="003C630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36" w:type="dxa"/>
            <w:gridSpan w:val="2"/>
            <w:vMerge/>
          </w:tcPr>
          <w:p w:rsidR="00BE185D" w:rsidRPr="002900B9" w:rsidRDefault="00BE185D" w:rsidP="00C522B5">
            <w:pPr>
              <w:spacing w:before="0"/>
              <w:ind w:left="0"/>
              <w:rPr>
                <w:sz w:val="20"/>
                <w:szCs w:val="20"/>
              </w:rPr>
            </w:pPr>
          </w:p>
        </w:tc>
        <w:tc>
          <w:tcPr>
            <w:tcW w:w="8053" w:type="dxa"/>
            <w:tcBorders>
              <w:right w:val="single" w:sz="8" w:space="0" w:color="B3CC82" w:themeColor="accent3" w:themeTint="BF"/>
            </w:tcBorders>
          </w:tcPr>
          <w:p w:rsidR="00BE185D" w:rsidRPr="002900B9"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2900B9">
              <w:rPr>
                <w:sz w:val="20"/>
                <w:szCs w:val="20"/>
              </w:rPr>
              <w:t>Letter sent from GP</w:t>
            </w:r>
          </w:p>
        </w:tc>
      </w:tr>
      <w:tr w:rsidR="00BE185D" w:rsidRPr="00326B5B" w:rsidTr="003C63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gridSpan w:val="2"/>
            <w:vMerge/>
          </w:tcPr>
          <w:p w:rsidR="00BE185D" w:rsidRPr="002900B9" w:rsidRDefault="00BE185D" w:rsidP="00C522B5">
            <w:pPr>
              <w:spacing w:before="0"/>
              <w:ind w:left="0"/>
              <w:rPr>
                <w:sz w:val="20"/>
                <w:szCs w:val="20"/>
              </w:rPr>
            </w:pPr>
          </w:p>
        </w:tc>
        <w:tc>
          <w:tcPr>
            <w:tcW w:w="8053" w:type="dxa"/>
            <w:tcBorders>
              <w:right w:val="single" w:sz="8" w:space="0" w:color="B3CC82" w:themeColor="accent3" w:themeTint="BF"/>
            </w:tcBorders>
          </w:tcPr>
          <w:p w:rsidR="00BE185D" w:rsidRPr="002900B9"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2900B9">
              <w:rPr>
                <w:sz w:val="20"/>
                <w:szCs w:val="20"/>
              </w:rPr>
              <w:t xml:space="preserve">Advance notification </w:t>
            </w:r>
            <w:r>
              <w:rPr>
                <w:sz w:val="20"/>
                <w:szCs w:val="20"/>
              </w:rPr>
              <w:t xml:space="preserve">of screening </w:t>
            </w:r>
            <w:r w:rsidRPr="002900B9">
              <w:rPr>
                <w:sz w:val="20"/>
                <w:szCs w:val="20"/>
              </w:rPr>
              <w:t>(may increase participation)</w:t>
            </w:r>
          </w:p>
        </w:tc>
      </w:tr>
      <w:tr w:rsidR="00BE185D" w:rsidRPr="00326B5B" w:rsidTr="003C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gridSpan w:val="2"/>
            <w:vMerge/>
          </w:tcPr>
          <w:p w:rsidR="00BE185D" w:rsidRPr="002900B9" w:rsidRDefault="00BE185D" w:rsidP="00C522B5">
            <w:pPr>
              <w:spacing w:before="0"/>
              <w:ind w:left="0"/>
              <w:rPr>
                <w:sz w:val="20"/>
                <w:szCs w:val="20"/>
              </w:rPr>
            </w:pPr>
          </w:p>
        </w:tc>
        <w:tc>
          <w:tcPr>
            <w:tcW w:w="8053" w:type="dxa"/>
            <w:tcBorders>
              <w:right w:val="single" w:sz="8" w:space="0" w:color="B3CC82" w:themeColor="accent3" w:themeTint="BF"/>
            </w:tcBorders>
          </w:tcPr>
          <w:p w:rsidR="00BE185D" w:rsidRPr="002900B9"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2900B9">
              <w:rPr>
                <w:sz w:val="20"/>
                <w:szCs w:val="20"/>
              </w:rPr>
              <w:t xml:space="preserve">Reminders to take part </w:t>
            </w:r>
            <w:r>
              <w:rPr>
                <w:sz w:val="20"/>
                <w:szCs w:val="20"/>
              </w:rPr>
              <w:t>(</w:t>
            </w:r>
            <w:r w:rsidRPr="002900B9">
              <w:rPr>
                <w:sz w:val="20"/>
                <w:szCs w:val="20"/>
              </w:rPr>
              <w:t>with telephone being the most effective and costly</w:t>
            </w:r>
            <w:r>
              <w:rPr>
                <w:sz w:val="20"/>
                <w:szCs w:val="20"/>
              </w:rPr>
              <w:t>)</w:t>
            </w:r>
          </w:p>
        </w:tc>
      </w:tr>
      <w:tr w:rsidR="00BE185D" w:rsidRPr="00326B5B" w:rsidTr="00DA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gridSpan w:val="2"/>
            <w:vMerge/>
            <w:tcBorders>
              <w:bottom w:val="single" w:sz="8" w:space="0" w:color="B3CC82" w:themeColor="accent3" w:themeTint="BF"/>
            </w:tcBorders>
          </w:tcPr>
          <w:p w:rsidR="00BE185D" w:rsidRPr="002900B9" w:rsidRDefault="00BE185D" w:rsidP="00C522B5">
            <w:pPr>
              <w:spacing w:before="0"/>
              <w:ind w:left="0"/>
              <w:rPr>
                <w:sz w:val="20"/>
                <w:szCs w:val="20"/>
              </w:rPr>
            </w:pPr>
          </w:p>
        </w:tc>
        <w:tc>
          <w:tcPr>
            <w:tcW w:w="8053" w:type="dxa"/>
            <w:tcBorders>
              <w:bottom w:val="single" w:sz="8" w:space="0" w:color="B3CC82" w:themeColor="accent3" w:themeTint="BF"/>
              <w:right w:val="single" w:sz="8" w:space="0" w:color="B3CC82" w:themeColor="accent3" w:themeTint="BF"/>
            </w:tcBorders>
          </w:tcPr>
          <w:p w:rsidR="00BE185D" w:rsidRPr="002900B9"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2900B9">
              <w:rPr>
                <w:sz w:val="20"/>
                <w:szCs w:val="20"/>
              </w:rPr>
              <w:t>Involvement of community workers in kit distribution and collection following some general training.</w:t>
            </w:r>
          </w:p>
        </w:tc>
      </w:tr>
      <w:tr w:rsidR="00BE185D" w:rsidRPr="0052486A" w:rsidTr="00DA3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bottom w:val="double" w:sz="4" w:space="0" w:color="auto"/>
            </w:tcBorders>
            <w:shd w:val="clear" w:color="auto" w:fill="76923C" w:themeFill="accent3" w:themeFillShade="BF"/>
          </w:tcPr>
          <w:p w:rsidR="00BE185D" w:rsidRPr="0052486A" w:rsidRDefault="00BE185D" w:rsidP="00A80F6E">
            <w:pPr>
              <w:ind w:left="0"/>
              <w:rPr>
                <w:color w:val="FFFFFF" w:themeColor="background1"/>
                <w:sz w:val="20"/>
                <w:szCs w:val="20"/>
              </w:rPr>
            </w:pPr>
            <w:r w:rsidRPr="0052486A">
              <w:rPr>
                <w:color w:val="FFFFFF" w:themeColor="background1"/>
                <w:sz w:val="20"/>
                <w:szCs w:val="20"/>
              </w:rPr>
              <w:t>Level</w:t>
            </w:r>
          </w:p>
        </w:tc>
        <w:tc>
          <w:tcPr>
            <w:tcW w:w="8061" w:type="dxa"/>
            <w:gridSpan w:val="2"/>
            <w:tcBorders>
              <w:left w:val="single" w:sz="8" w:space="0" w:color="B3CC82" w:themeColor="accent3" w:themeTint="BF"/>
              <w:bottom w:val="double" w:sz="4" w:space="0" w:color="auto"/>
            </w:tcBorders>
            <w:shd w:val="clear" w:color="auto" w:fill="76923C" w:themeFill="accent3" w:themeFillShade="BF"/>
          </w:tcPr>
          <w:p w:rsidR="00BE185D" w:rsidRPr="0052486A" w:rsidRDefault="00BE185D" w:rsidP="00A80F6E">
            <w:pPr>
              <w:ind w:left="0"/>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52486A">
              <w:rPr>
                <w:b/>
                <w:color w:val="FFFFFF" w:themeColor="background1"/>
                <w:sz w:val="20"/>
                <w:szCs w:val="20"/>
              </w:rPr>
              <w:t xml:space="preserve">Factors that decrease participation </w:t>
            </w:r>
          </w:p>
        </w:tc>
      </w:tr>
      <w:tr w:rsidR="00BE185D" w:rsidRPr="00BE185D" w:rsidTr="00B77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double" w:sz="4" w:space="0" w:color="auto"/>
              <w:left w:val="single" w:sz="8" w:space="0" w:color="B3CC82" w:themeColor="accent3" w:themeTint="BF"/>
            </w:tcBorders>
            <w:textDirection w:val="btLr"/>
          </w:tcPr>
          <w:p w:rsidR="00BE185D" w:rsidRPr="002900B9" w:rsidRDefault="00BE185D" w:rsidP="00A80F6E">
            <w:pPr>
              <w:spacing w:before="0"/>
              <w:ind w:left="113" w:right="113"/>
              <w:jc w:val="center"/>
              <w:rPr>
                <w:sz w:val="20"/>
                <w:szCs w:val="20"/>
              </w:rPr>
            </w:pPr>
            <w:r w:rsidRPr="002900B9">
              <w:rPr>
                <w:sz w:val="20"/>
                <w:szCs w:val="20"/>
              </w:rPr>
              <w:t>Individual</w:t>
            </w:r>
          </w:p>
        </w:tc>
        <w:tc>
          <w:tcPr>
            <w:tcW w:w="8061" w:type="dxa"/>
            <w:gridSpan w:val="2"/>
            <w:tcBorders>
              <w:top w:val="double" w:sz="4" w:space="0" w:color="auto"/>
              <w:left w:val="single" w:sz="8" w:space="0" w:color="B3CC82" w:themeColor="accent3" w:themeTint="BF"/>
            </w:tcBorders>
          </w:tcPr>
          <w:p w:rsidR="00BE185D" w:rsidRPr="00BE185D"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BE185D">
              <w:rPr>
                <w:sz w:val="20"/>
                <w:szCs w:val="20"/>
              </w:rPr>
              <w:t xml:space="preserve">Limited knowledge and awareness of bowel cancer and screening </w:t>
            </w:r>
          </w:p>
        </w:tc>
      </w:tr>
      <w:tr w:rsidR="00BE185D" w:rsidRPr="00BE185D" w:rsidTr="00B77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BE185D">
              <w:rPr>
                <w:sz w:val="20"/>
                <w:szCs w:val="20"/>
              </w:rPr>
              <w:t>Lack of confidence in screening effectiveness</w:t>
            </w:r>
          </w:p>
        </w:tc>
      </w:tr>
      <w:tr w:rsidR="00BE185D" w:rsidRPr="00BE185D" w:rsidTr="00B77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BE185D">
              <w:rPr>
                <w:sz w:val="20"/>
                <w:szCs w:val="20"/>
              </w:rPr>
              <w:t>Anxiety about test, results, fatalistic attitude</w:t>
            </w:r>
          </w:p>
        </w:tc>
      </w:tr>
      <w:tr w:rsidR="00BE185D" w:rsidRPr="00BE185D" w:rsidTr="00B77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BE185D">
              <w:rPr>
                <w:sz w:val="20"/>
                <w:szCs w:val="20"/>
              </w:rPr>
              <w:t xml:space="preserve">Perceived low risk  </w:t>
            </w:r>
          </w:p>
        </w:tc>
      </w:tr>
      <w:tr w:rsidR="00BE185D" w:rsidRPr="00BE185D" w:rsidTr="00B77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BE185D">
              <w:rPr>
                <w:sz w:val="20"/>
                <w:szCs w:val="20"/>
              </w:rPr>
              <w:t>Low levels of literacy, health literacy and/ or self-efficacy</w:t>
            </w:r>
          </w:p>
        </w:tc>
      </w:tr>
      <w:tr w:rsidR="00BE185D" w:rsidRPr="00BE185D" w:rsidTr="00B77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BE185D">
              <w:rPr>
                <w:sz w:val="20"/>
                <w:szCs w:val="20"/>
              </w:rPr>
              <w:t>Cultural beliefs – faecal taboos</w:t>
            </w:r>
          </w:p>
          <w:p w:rsidR="00BE185D" w:rsidRPr="00BE185D"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BE185D">
              <w:rPr>
                <w:sz w:val="20"/>
                <w:szCs w:val="20"/>
              </w:rPr>
              <w:t xml:space="preserve">Embarrassment </w:t>
            </w:r>
          </w:p>
        </w:tc>
      </w:tr>
      <w:tr w:rsidR="00BE185D" w:rsidRPr="00BE185D" w:rsidTr="00B77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bottom w:val="double" w:sz="4" w:space="0" w:color="auto"/>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bottom w:val="double" w:sz="4" w:space="0" w:color="auto"/>
            </w:tcBorders>
          </w:tcPr>
          <w:p w:rsidR="00BE185D" w:rsidRPr="00BE185D"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BE185D">
              <w:rPr>
                <w:sz w:val="20"/>
                <w:szCs w:val="20"/>
              </w:rPr>
              <w:t>Presence of co-morbidities</w:t>
            </w:r>
          </w:p>
        </w:tc>
      </w:tr>
      <w:tr w:rsidR="00BE185D" w:rsidRPr="00BE185D" w:rsidTr="00B77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double" w:sz="4" w:space="0" w:color="auto"/>
              <w:left w:val="single" w:sz="8" w:space="0" w:color="B3CC82" w:themeColor="accent3" w:themeTint="BF"/>
            </w:tcBorders>
            <w:textDirection w:val="btLr"/>
          </w:tcPr>
          <w:p w:rsidR="00BE185D" w:rsidRPr="002900B9" w:rsidRDefault="00BE185D" w:rsidP="00A80F6E">
            <w:pPr>
              <w:spacing w:before="0"/>
              <w:ind w:left="113" w:right="113"/>
              <w:jc w:val="center"/>
              <w:rPr>
                <w:sz w:val="20"/>
                <w:szCs w:val="20"/>
              </w:rPr>
            </w:pPr>
            <w:r w:rsidRPr="002900B9">
              <w:rPr>
                <w:sz w:val="20"/>
                <w:szCs w:val="20"/>
              </w:rPr>
              <w:t>System</w:t>
            </w:r>
          </w:p>
        </w:tc>
        <w:tc>
          <w:tcPr>
            <w:tcW w:w="8061" w:type="dxa"/>
            <w:gridSpan w:val="2"/>
            <w:tcBorders>
              <w:top w:val="double" w:sz="4" w:space="0" w:color="auto"/>
              <w:left w:val="single" w:sz="8" w:space="0" w:color="B3CC82" w:themeColor="accent3" w:themeTint="BF"/>
            </w:tcBorders>
          </w:tcPr>
          <w:p w:rsidR="00BE185D" w:rsidRPr="00BE185D"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BE185D">
              <w:rPr>
                <w:sz w:val="20"/>
                <w:szCs w:val="20"/>
              </w:rPr>
              <w:t xml:space="preserve">Lack of culturally appropriate health promotion material </w:t>
            </w:r>
          </w:p>
        </w:tc>
      </w:tr>
      <w:tr w:rsidR="00BE185D" w:rsidRPr="00BE185D" w:rsidTr="00B77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BE185D">
              <w:rPr>
                <w:sz w:val="20"/>
                <w:szCs w:val="20"/>
              </w:rPr>
              <w:t>Low general exposure to health media exposure/ bowel cancer media exposure</w:t>
            </w:r>
          </w:p>
        </w:tc>
      </w:tr>
      <w:tr w:rsidR="00BE185D" w:rsidRPr="00BE185D" w:rsidTr="00B77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BE185D">
              <w:rPr>
                <w:sz w:val="20"/>
                <w:szCs w:val="20"/>
              </w:rPr>
              <w:t>Distrust of the health system</w:t>
            </w:r>
          </w:p>
        </w:tc>
      </w:tr>
      <w:tr w:rsidR="00BE185D" w:rsidRPr="00BE185D" w:rsidTr="00B77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BE185D">
              <w:rPr>
                <w:sz w:val="20"/>
                <w:szCs w:val="20"/>
              </w:rPr>
              <w:t>Discomfort/ poor experience with health system</w:t>
            </w:r>
          </w:p>
        </w:tc>
      </w:tr>
      <w:tr w:rsidR="00BE185D" w:rsidRPr="00BE185D" w:rsidTr="00B77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BE185D">
              <w:rPr>
                <w:sz w:val="20"/>
                <w:szCs w:val="20"/>
              </w:rPr>
              <w:t>No fixed residence/ frequent change of address</w:t>
            </w:r>
          </w:p>
        </w:tc>
      </w:tr>
      <w:tr w:rsidR="00BE185D" w:rsidRPr="00BE185D" w:rsidTr="00B77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tcBorders>
          </w:tcPr>
          <w:p w:rsidR="00BE185D" w:rsidRPr="00BE185D" w:rsidRDefault="00BE185D" w:rsidP="00A80F6E">
            <w:pPr>
              <w:spacing w:before="0"/>
              <w:ind w:left="0"/>
              <w:rPr>
                <w:b w:val="0"/>
                <w:sz w:val="20"/>
                <w:szCs w:val="20"/>
              </w:rPr>
            </w:pPr>
          </w:p>
        </w:tc>
        <w:tc>
          <w:tcPr>
            <w:tcW w:w="8061" w:type="dxa"/>
            <w:gridSpan w:val="2"/>
            <w:tcBorders>
              <w:left w:val="single" w:sz="8" w:space="0" w:color="B3CC82" w:themeColor="accent3" w:themeTint="BF"/>
            </w:tcBorders>
          </w:tcPr>
          <w:p w:rsidR="00BE185D" w:rsidRPr="00BE185D" w:rsidRDefault="00BE185D" w:rsidP="00DA3CAD">
            <w:pPr>
              <w:spacing w:before="40" w:after="40"/>
              <w:ind w:left="0"/>
              <w:cnfStyle w:val="000000010000" w:firstRow="0" w:lastRow="0" w:firstColumn="0" w:lastColumn="0" w:oddVBand="0" w:evenVBand="0" w:oddHBand="0" w:evenHBand="1" w:firstRowFirstColumn="0" w:firstRowLastColumn="0" w:lastRowFirstColumn="0" w:lastRowLastColumn="0"/>
              <w:rPr>
                <w:sz w:val="20"/>
                <w:szCs w:val="20"/>
              </w:rPr>
            </w:pPr>
            <w:r w:rsidRPr="00BE185D">
              <w:rPr>
                <w:sz w:val="20"/>
                <w:szCs w:val="20"/>
              </w:rPr>
              <w:t xml:space="preserve">Lack of coordination of the screening service </w:t>
            </w:r>
          </w:p>
        </w:tc>
      </w:tr>
      <w:tr w:rsidR="00BE185D" w:rsidRPr="00BE185D" w:rsidTr="00B77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8" w:space="0" w:color="B3CC82" w:themeColor="accent3" w:themeTint="BF"/>
              <w:bottom w:val="double" w:sz="4" w:space="0" w:color="auto"/>
            </w:tcBorders>
          </w:tcPr>
          <w:p w:rsidR="00BE185D" w:rsidRPr="00BE185D" w:rsidRDefault="00BE185D" w:rsidP="00A80F6E">
            <w:pPr>
              <w:spacing w:before="0"/>
              <w:ind w:left="0"/>
              <w:rPr>
                <w:sz w:val="20"/>
                <w:szCs w:val="20"/>
              </w:rPr>
            </w:pPr>
          </w:p>
        </w:tc>
        <w:tc>
          <w:tcPr>
            <w:tcW w:w="8061" w:type="dxa"/>
            <w:gridSpan w:val="2"/>
            <w:tcBorders>
              <w:left w:val="single" w:sz="8" w:space="0" w:color="B3CC82" w:themeColor="accent3" w:themeTint="BF"/>
              <w:bottom w:val="double" w:sz="4" w:space="0" w:color="auto"/>
            </w:tcBorders>
          </w:tcPr>
          <w:p w:rsidR="00BE185D" w:rsidRPr="00BE185D" w:rsidRDefault="00BE185D" w:rsidP="001B4791">
            <w:pPr>
              <w:spacing w:before="40" w:after="40"/>
              <w:ind w:left="0"/>
              <w:cnfStyle w:val="000000100000" w:firstRow="0" w:lastRow="0" w:firstColumn="0" w:lastColumn="0" w:oddVBand="0" w:evenVBand="0" w:oddHBand="1" w:evenHBand="0" w:firstRowFirstColumn="0" w:firstRowLastColumn="0" w:lastRowFirstColumn="0" w:lastRowLastColumn="0"/>
              <w:rPr>
                <w:sz w:val="20"/>
                <w:szCs w:val="20"/>
              </w:rPr>
            </w:pPr>
            <w:r w:rsidRPr="00BE185D">
              <w:rPr>
                <w:sz w:val="20"/>
                <w:szCs w:val="20"/>
              </w:rPr>
              <w:t xml:space="preserve">Cost to see </w:t>
            </w:r>
            <w:r w:rsidR="001B4791">
              <w:rPr>
                <w:sz w:val="20"/>
                <w:szCs w:val="20"/>
              </w:rPr>
              <w:t>general practice</w:t>
            </w:r>
            <w:r w:rsidRPr="00BE185D">
              <w:rPr>
                <w:sz w:val="20"/>
                <w:szCs w:val="20"/>
              </w:rPr>
              <w:t xml:space="preserve"> i</w:t>
            </w:r>
            <w:r>
              <w:rPr>
                <w:sz w:val="20"/>
                <w:szCs w:val="20"/>
              </w:rPr>
              <w:t xml:space="preserve">ncluding transport; </w:t>
            </w:r>
            <w:r w:rsidRPr="00BE185D">
              <w:rPr>
                <w:sz w:val="20"/>
                <w:szCs w:val="20"/>
              </w:rPr>
              <w:t xml:space="preserve">Perceived cost for screening and treatment </w:t>
            </w:r>
          </w:p>
        </w:tc>
      </w:tr>
    </w:tbl>
    <w:p w:rsidR="00B828BA" w:rsidRPr="00BE185D" w:rsidRDefault="00B828BA" w:rsidP="00B828BA">
      <w:pPr>
        <w:spacing w:before="120"/>
        <w:rPr>
          <w:b/>
          <w:sz w:val="20"/>
        </w:rPr>
      </w:pPr>
      <w:r w:rsidRPr="00BE185D">
        <w:rPr>
          <w:sz w:val="20"/>
        </w:rPr>
        <w:t xml:space="preserve">Sources: Senore et al 2010, Power et al 2010, Christou </w:t>
      </w:r>
      <w:proofErr w:type="gramStart"/>
      <w:r w:rsidRPr="00BE185D">
        <w:rPr>
          <w:sz w:val="20"/>
        </w:rPr>
        <w:t>et</w:t>
      </w:r>
      <w:proofErr w:type="gramEnd"/>
      <w:r w:rsidRPr="00BE185D">
        <w:rPr>
          <w:sz w:val="20"/>
        </w:rPr>
        <w:t xml:space="preserve"> at 2010</w:t>
      </w:r>
      <w:r w:rsidR="00B05333" w:rsidRPr="00BE185D">
        <w:rPr>
          <w:sz w:val="20"/>
        </w:rPr>
        <w:t>, Brynum et al 2012</w:t>
      </w:r>
      <w:r w:rsidRPr="00BE185D">
        <w:rPr>
          <w:sz w:val="20"/>
        </w:rPr>
        <w:t>.</w:t>
      </w:r>
    </w:p>
    <w:p w:rsidR="00B828BA" w:rsidRDefault="00B828BA" w:rsidP="00B828BA">
      <w:r>
        <w:t xml:space="preserve">Of the BSP participants interviewed, their reasons for taking part in the BSP are also consistent with the health belief model developed to promote health screening behaviours in public health (Strecher Rosenstock 1997; in Causey and Greenwald 2010), specifically: </w:t>
      </w:r>
    </w:p>
    <w:p w:rsidR="002C71C1" w:rsidRDefault="002C71C1" w:rsidP="00604AA9">
      <w:pPr>
        <w:pStyle w:val="Bullet"/>
        <w:numPr>
          <w:ilvl w:val="0"/>
          <w:numId w:val="10"/>
        </w:numPr>
        <w:tabs>
          <w:tab w:val="num" w:pos="2126"/>
          <w:tab w:val="num" w:pos="6663"/>
        </w:tabs>
        <w:spacing w:before="60"/>
        <w:ind w:left="1066" w:hanging="357"/>
      </w:pPr>
      <w:r>
        <w:t>perceived susceptibility (the belief that they are vulnerable to the disease)</w:t>
      </w:r>
    </w:p>
    <w:p w:rsidR="002C71C1" w:rsidRDefault="002C71C1" w:rsidP="00604AA9">
      <w:pPr>
        <w:pStyle w:val="Bullet"/>
        <w:numPr>
          <w:ilvl w:val="0"/>
          <w:numId w:val="10"/>
        </w:numPr>
        <w:tabs>
          <w:tab w:val="num" w:pos="2126"/>
          <w:tab w:val="num" w:pos="6663"/>
        </w:tabs>
        <w:spacing w:before="60"/>
        <w:ind w:left="1066" w:hanging="357"/>
      </w:pPr>
      <w:r>
        <w:t>perceived severity (the belief there are consequences to having the disease)</w:t>
      </w:r>
    </w:p>
    <w:p w:rsidR="002C71C1" w:rsidRDefault="002C71C1" w:rsidP="00604AA9">
      <w:pPr>
        <w:pStyle w:val="Bullet"/>
        <w:numPr>
          <w:ilvl w:val="0"/>
          <w:numId w:val="10"/>
        </w:numPr>
        <w:tabs>
          <w:tab w:val="num" w:pos="2126"/>
          <w:tab w:val="num" w:pos="6663"/>
        </w:tabs>
        <w:spacing w:before="60"/>
        <w:ind w:left="1066" w:hanging="357"/>
      </w:pPr>
      <w:r>
        <w:t>perceived benefit (the efficacy of the recommendations to reduce the seriousness of the disease)</w:t>
      </w:r>
    </w:p>
    <w:p w:rsidR="002C71C1" w:rsidRDefault="002C71C1" w:rsidP="00604AA9">
      <w:pPr>
        <w:pStyle w:val="Bullet"/>
        <w:numPr>
          <w:ilvl w:val="0"/>
          <w:numId w:val="10"/>
        </w:numPr>
        <w:tabs>
          <w:tab w:val="num" w:pos="2126"/>
          <w:tab w:val="num" w:pos="6663"/>
        </w:tabs>
        <w:spacing w:before="60"/>
        <w:ind w:left="1066" w:hanging="357"/>
      </w:pPr>
      <w:r>
        <w:lastRenderedPageBreak/>
        <w:t>perceived barriers (the cost to participate in screening)</w:t>
      </w:r>
    </w:p>
    <w:p w:rsidR="002C71C1" w:rsidRDefault="002C71C1" w:rsidP="00604AA9">
      <w:pPr>
        <w:pStyle w:val="Bullet"/>
        <w:numPr>
          <w:ilvl w:val="0"/>
          <w:numId w:val="10"/>
        </w:numPr>
        <w:tabs>
          <w:tab w:val="num" w:pos="2126"/>
          <w:tab w:val="num" w:pos="6663"/>
        </w:tabs>
        <w:spacing w:before="60"/>
        <w:ind w:left="1066" w:hanging="357"/>
      </w:pPr>
      <w:r>
        <w:t>cues to action (strategies to promote readiness to take part)</w:t>
      </w:r>
    </w:p>
    <w:p w:rsidR="002C71C1" w:rsidRDefault="002C71C1" w:rsidP="00604AA9">
      <w:pPr>
        <w:pStyle w:val="Bullet"/>
        <w:numPr>
          <w:ilvl w:val="0"/>
          <w:numId w:val="10"/>
        </w:numPr>
        <w:tabs>
          <w:tab w:val="num" w:pos="2126"/>
          <w:tab w:val="num" w:pos="6663"/>
        </w:tabs>
        <w:spacing w:before="60"/>
        <w:ind w:left="1066" w:hanging="357"/>
      </w:pPr>
      <w:proofErr w:type="gramStart"/>
      <w:r>
        <w:t>s</w:t>
      </w:r>
      <w:r w:rsidRPr="00326B5B">
        <w:t>elf-efficacy</w:t>
      </w:r>
      <w:proofErr w:type="gramEnd"/>
      <w:r w:rsidRPr="00326B5B">
        <w:t xml:space="preserve"> </w:t>
      </w:r>
      <w:r>
        <w:t>(</w:t>
      </w:r>
      <w:r w:rsidRPr="00326B5B">
        <w:t>the confidence to take the recommended action</w:t>
      </w:r>
      <w:r>
        <w:t xml:space="preserve">). </w:t>
      </w:r>
    </w:p>
    <w:p w:rsidR="00406DC9" w:rsidRDefault="00406DC9" w:rsidP="00406DC9">
      <w:r>
        <w:t xml:space="preserve">International literature highlights low levels of participation by certain ethnic and minority groups in other countries’ implementation of bowel screening programmes.  Lower participation is also noted among the less educated, lower income groups and those from non-English speaking backgrounds.  Studies controlling for income and other factors show that ethnicity </w:t>
      </w:r>
      <w:r w:rsidR="00814551">
        <w:t xml:space="preserve">is an </w:t>
      </w:r>
      <w:r>
        <w:t>independent predictor of screening participation</w:t>
      </w:r>
      <w:r w:rsidR="00A91866">
        <w:t xml:space="preserve"> (Christou et al 2010)</w:t>
      </w:r>
      <w:r>
        <w:t xml:space="preserve">.  </w:t>
      </w:r>
    </w:p>
    <w:p w:rsidR="00406DC9" w:rsidRDefault="00406DC9" w:rsidP="00406DC9">
      <w:r>
        <w:t>Christou et al (2010) identified a range of barriers to participation</w:t>
      </w:r>
      <w:r w:rsidR="00CE63FC">
        <w:t>,</w:t>
      </w:r>
      <w:r>
        <w:t xml:space="preserve"> </w:t>
      </w:r>
      <w:r w:rsidR="00CE63FC">
        <w:t>also relevant to</w:t>
      </w:r>
      <w:r>
        <w:t xml:space="preserve"> </w:t>
      </w:r>
      <w:r w:rsidR="002C71C1">
        <w:t>the New Zealand context</w:t>
      </w:r>
      <w:r w:rsidR="00CE63FC">
        <w:t>. S</w:t>
      </w:r>
      <w:r>
        <w:t>pecifically</w:t>
      </w:r>
      <w:r w:rsidR="00CE63FC">
        <w:t>,</w:t>
      </w:r>
      <w:r>
        <w:t xml:space="preserve"> low awareness of cancer and screening services, low levels of literacy and health literacy, low priority of screening and presence of other co-morbidities, distrust of mainstream providers, and a lack of culturally relevant educational resources.  </w:t>
      </w:r>
    </w:p>
    <w:p w:rsidR="00406DC9" w:rsidRDefault="00406DC9" w:rsidP="00406DC9">
      <w:r>
        <w:t xml:space="preserve">Drawing from the wider literature, Christou et al (2010) put forward a range of strategies to improve access and participation for indigenous Australians, including: </w:t>
      </w:r>
    </w:p>
    <w:p w:rsidR="00F03957" w:rsidRDefault="00406DC9" w:rsidP="00604AA9">
      <w:pPr>
        <w:pStyle w:val="Bullet"/>
        <w:numPr>
          <w:ilvl w:val="0"/>
          <w:numId w:val="10"/>
        </w:numPr>
        <w:tabs>
          <w:tab w:val="num" w:pos="2126"/>
          <w:tab w:val="num" w:pos="6663"/>
        </w:tabs>
        <w:ind w:left="1069"/>
        <w:rPr>
          <w:lang w:val="en-AU"/>
        </w:rPr>
      </w:pPr>
      <w:r>
        <w:rPr>
          <w:lang w:val="en-AU"/>
        </w:rPr>
        <w:t>alternate means of distributing and returning test kits</w:t>
      </w:r>
    </w:p>
    <w:p w:rsidR="00406DC9" w:rsidRDefault="00406DC9" w:rsidP="00604AA9">
      <w:pPr>
        <w:pStyle w:val="Bullet"/>
        <w:numPr>
          <w:ilvl w:val="0"/>
          <w:numId w:val="10"/>
        </w:numPr>
        <w:tabs>
          <w:tab w:val="num" w:pos="2126"/>
          <w:tab w:val="num" w:pos="6663"/>
        </w:tabs>
        <w:ind w:left="1069"/>
        <w:rPr>
          <w:lang w:val="en-AU"/>
        </w:rPr>
      </w:pPr>
      <w:r>
        <w:rPr>
          <w:lang w:val="en-AU"/>
        </w:rPr>
        <w:t xml:space="preserve">use of general practice to promote bowel screening </w:t>
      </w:r>
    </w:p>
    <w:p w:rsidR="00406DC9" w:rsidRDefault="00406DC9" w:rsidP="00604AA9">
      <w:pPr>
        <w:pStyle w:val="Bullet"/>
        <w:numPr>
          <w:ilvl w:val="0"/>
          <w:numId w:val="10"/>
        </w:numPr>
        <w:tabs>
          <w:tab w:val="num" w:pos="2126"/>
          <w:tab w:val="num" w:pos="6663"/>
        </w:tabs>
        <w:ind w:left="1069"/>
        <w:rPr>
          <w:lang w:val="en-AU"/>
        </w:rPr>
      </w:pPr>
      <w:r>
        <w:rPr>
          <w:lang w:val="en-AU"/>
        </w:rPr>
        <w:t>improve</w:t>
      </w:r>
      <w:r w:rsidR="00C87A89">
        <w:rPr>
          <w:lang w:val="en-AU"/>
        </w:rPr>
        <w:t>d</w:t>
      </w:r>
      <w:r>
        <w:rPr>
          <w:lang w:val="en-AU"/>
        </w:rPr>
        <w:t xml:space="preserve"> health promotion and availability of cultural relevant educational materials </w:t>
      </w:r>
    </w:p>
    <w:p w:rsidR="00406DC9" w:rsidRPr="0065562B" w:rsidRDefault="00406DC9" w:rsidP="00604AA9">
      <w:pPr>
        <w:pStyle w:val="Bullet"/>
        <w:numPr>
          <w:ilvl w:val="0"/>
          <w:numId w:val="10"/>
        </w:numPr>
        <w:tabs>
          <w:tab w:val="num" w:pos="2126"/>
          <w:tab w:val="num" w:pos="6663"/>
        </w:tabs>
        <w:ind w:left="1069"/>
        <w:rPr>
          <w:lang w:val="en-AU"/>
        </w:rPr>
      </w:pPr>
      <w:proofErr w:type="gramStart"/>
      <w:r>
        <w:rPr>
          <w:lang w:val="en-AU"/>
        </w:rPr>
        <w:t>m</w:t>
      </w:r>
      <w:r w:rsidRPr="0065562B">
        <w:rPr>
          <w:lang w:val="en-AU"/>
        </w:rPr>
        <w:t>ore</w:t>
      </w:r>
      <w:proofErr w:type="gramEnd"/>
      <w:r w:rsidRPr="0065562B">
        <w:rPr>
          <w:lang w:val="en-AU"/>
        </w:rPr>
        <w:t xml:space="preserve"> community-based research into </w:t>
      </w:r>
      <w:r>
        <w:rPr>
          <w:lang w:val="en-AU"/>
        </w:rPr>
        <w:t>i</w:t>
      </w:r>
      <w:r w:rsidRPr="0065562B">
        <w:rPr>
          <w:lang w:val="en-AU"/>
        </w:rPr>
        <w:t xml:space="preserve">ndigenous understandings and perceptions of bowel cancer. </w:t>
      </w:r>
    </w:p>
    <w:p w:rsidR="00B828BA" w:rsidRDefault="006E678E" w:rsidP="009E487D">
      <w:r>
        <w:t>T</w:t>
      </w:r>
      <w:r w:rsidR="00406DC9" w:rsidRPr="005A4BF6">
        <w:t xml:space="preserve">he participation rate </w:t>
      </w:r>
      <w:r w:rsidR="00406DC9">
        <w:t>in bowel screening</w:t>
      </w:r>
      <w:r w:rsidR="00406DC9" w:rsidRPr="005A4BF6">
        <w:t xml:space="preserve"> is </w:t>
      </w:r>
      <w:r w:rsidR="00406DC9">
        <w:t xml:space="preserve">a </w:t>
      </w:r>
      <w:r w:rsidR="00406DC9" w:rsidRPr="005A4BF6">
        <w:t xml:space="preserve">critical determinant </w:t>
      </w:r>
      <w:r w:rsidR="00CE63FC">
        <w:t xml:space="preserve">of </w:t>
      </w:r>
      <w:r w:rsidR="00406DC9">
        <w:t>the magnitude of the screening impact on bowel cancer incidence and mortality</w:t>
      </w:r>
      <w:r>
        <w:t xml:space="preserve"> (</w:t>
      </w:r>
      <w:r w:rsidRPr="005A4BF6">
        <w:t>Senore et al 2010)</w:t>
      </w:r>
      <w:r w:rsidR="00406DC9">
        <w:t xml:space="preserve">.  Recent literature raises concerns about the potential conflict between promoting high participation rates and the need to enable people to make an informed choice about whether or not they want to be screened.  </w:t>
      </w:r>
      <w:r>
        <w:t>S</w:t>
      </w:r>
      <w:r w:rsidR="00406DC9">
        <w:t>trategies to promote participation need to be balanced with information on the risks and benefits of screening</w:t>
      </w:r>
      <w:r>
        <w:t xml:space="preserve"> (Weller et al 2009)</w:t>
      </w:r>
      <w:r w:rsidR="00406DC9">
        <w:t xml:space="preserve">.  </w:t>
      </w:r>
    </w:p>
    <w:p w:rsidR="00302F1B" w:rsidRDefault="00D97639" w:rsidP="002E41E5">
      <w:pPr>
        <w:pStyle w:val="Heading3"/>
        <w:keepLines/>
      </w:pPr>
      <w:r>
        <w:t xml:space="preserve">Conclusions </w:t>
      </w:r>
      <w:r w:rsidR="00767260">
        <w:t>and recommendations</w:t>
      </w:r>
    </w:p>
    <w:p w:rsidR="005B197B" w:rsidRDefault="00DA3CAD" w:rsidP="002E41E5">
      <w:pPr>
        <w:keepNext/>
        <w:keepLines/>
      </w:pPr>
      <w:r>
        <w:t>A</w:t>
      </w:r>
      <w:r w:rsidR="00333150">
        <w:t xml:space="preserve">wareness, knowledge and attitudes to bowel cancer and bowel cancer screening </w:t>
      </w:r>
      <w:r w:rsidR="00CE63FC">
        <w:t xml:space="preserve">have </w:t>
      </w:r>
      <w:r w:rsidR="00333150">
        <w:t>increased since the launch of the BSP</w:t>
      </w:r>
      <w:r>
        <w:t xml:space="preserve">.  </w:t>
      </w:r>
      <w:r w:rsidR="005B197B">
        <w:t>However, eligible M</w:t>
      </w:r>
      <w:r w:rsidR="005B197B">
        <w:rPr>
          <w:rFonts w:cs="Arial"/>
        </w:rPr>
        <w:t>ā</w:t>
      </w:r>
      <w:r w:rsidR="005B197B">
        <w:t xml:space="preserve">ori and Pacific people have lower levels of awareness and knowledge about bowel cancer and bowel screening, and dislike the at-home test and the idea of posting faecal samples.  Further, little is known about the reasons for non-participation by people living in the most deprived areas. </w:t>
      </w:r>
    </w:p>
    <w:p w:rsidR="00DA3CAD" w:rsidRPr="00B77083" w:rsidRDefault="00DA3CAD" w:rsidP="00DA3CAD">
      <w:pPr>
        <w:rPr>
          <w:lang w:eastAsia="ar-SA"/>
        </w:rPr>
      </w:pPr>
      <w:r w:rsidRPr="00B77083">
        <w:rPr>
          <w:lang w:eastAsia="ar-SA"/>
        </w:rPr>
        <w:t xml:space="preserve">In the future, consideration should be given to: </w:t>
      </w:r>
    </w:p>
    <w:p w:rsidR="005B197B" w:rsidRPr="00382BE7" w:rsidRDefault="005B197B" w:rsidP="001C2B96">
      <w:pPr>
        <w:pStyle w:val="Bullet"/>
        <w:numPr>
          <w:ilvl w:val="0"/>
          <w:numId w:val="10"/>
        </w:numPr>
        <w:tabs>
          <w:tab w:val="num" w:pos="2126"/>
          <w:tab w:val="num" w:pos="6663"/>
        </w:tabs>
        <w:ind w:left="1069"/>
      </w:pPr>
      <w:r>
        <w:t>Identifying c</w:t>
      </w:r>
      <w:r w:rsidRPr="00382BE7">
        <w:t>ulturally appropriate health promotion and community awareness raising activities to further enhance M</w:t>
      </w:r>
      <w:r w:rsidRPr="005B197B">
        <w:t>ā</w:t>
      </w:r>
      <w:r w:rsidRPr="00382BE7">
        <w:t>ori participation.  For M</w:t>
      </w:r>
      <w:r w:rsidRPr="005B197B">
        <w:t>ā</w:t>
      </w:r>
      <w:r w:rsidRPr="00382BE7">
        <w:t>ori non-responders, a key strategy to address cultural dislike to the BSP is kanohi-ki-te-kanohi</w:t>
      </w:r>
      <w:r w:rsidR="00297F70">
        <w:t xml:space="preserve"> (face</w:t>
      </w:r>
      <w:r w:rsidR="006A0995">
        <w:t>-</w:t>
      </w:r>
      <w:r w:rsidR="00297F70">
        <w:t>to</w:t>
      </w:r>
      <w:r w:rsidR="006A0995">
        <w:t>-</w:t>
      </w:r>
      <w:r w:rsidR="00297F70">
        <w:t>face)</w:t>
      </w:r>
      <w:r w:rsidRPr="00382BE7">
        <w:t>.  Quality face-to-face or phone engagement with a M</w:t>
      </w:r>
      <w:r w:rsidRPr="005B197B">
        <w:t>ā</w:t>
      </w:r>
      <w:r w:rsidRPr="00382BE7">
        <w:t>ori health promoter can enable sensitive discussions about bowel screening to empower and support M</w:t>
      </w:r>
      <w:r w:rsidRPr="005B197B">
        <w:t>ā</w:t>
      </w:r>
      <w:r w:rsidRPr="00382BE7">
        <w:t>ori to act.  It is acknowledged that not all M</w:t>
      </w:r>
      <w:r w:rsidRPr="005B197B">
        <w:t>ā</w:t>
      </w:r>
      <w:r w:rsidRPr="00382BE7">
        <w:t>ori will need this intensive level of engagement.  Focus could therefore be placed on targeting M</w:t>
      </w:r>
      <w:r w:rsidRPr="005B197B">
        <w:t>ā</w:t>
      </w:r>
      <w:r w:rsidRPr="00382BE7">
        <w:t xml:space="preserve">ori living in high deprivation areas so support and encouragement is offered to those more likely to also have other participation barriers (e.g. those who have difficulty understanding the BSP invitation).  </w:t>
      </w:r>
    </w:p>
    <w:p w:rsidR="005B197B" w:rsidRPr="005B197B" w:rsidRDefault="005B197B" w:rsidP="001C2B96">
      <w:pPr>
        <w:pStyle w:val="Bullet"/>
        <w:numPr>
          <w:ilvl w:val="0"/>
          <w:numId w:val="10"/>
        </w:numPr>
        <w:tabs>
          <w:tab w:val="num" w:pos="2126"/>
          <w:tab w:val="num" w:pos="6663"/>
        </w:tabs>
        <w:ind w:left="1069"/>
        <w:rPr>
          <w:i/>
        </w:rPr>
      </w:pPr>
      <w:r>
        <w:lastRenderedPageBreak/>
        <w:t>Identifying h</w:t>
      </w:r>
      <w:r w:rsidRPr="00382BE7">
        <w:t xml:space="preserve">ealth promotion and community awareness raising activities </w:t>
      </w:r>
      <w:r>
        <w:t xml:space="preserve">that will increase </w:t>
      </w:r>
      <w:r w:rsidRPr="00382BE7">
        <w:t xml:space="preserve">Pacific </w:t>
      </w:r>
      <w:r>
        <w:t xml:space="preserve">people’s </w:t>
      </w:r>
      <w:r w:rsidRPr="00382BE7">
        <w:t xml:space="preserve">awareness, understanding and engagement with the BSP and </w:t>
      </w:r>
      <w:r>
        <w:t xml:space="preserve">enable them </w:t>
      </w:r>
      <w:r w:rsidRPr="00382BE7">
        <w:t>to make an informed choice about whether or not to take part</w:t>
      </w:r>
      <w:r>
        <w:t xml:space="preserve">.  </w:t>
      </w:r>
      <w:r w:rsidRPr="00382BE7">
        <w:rPr>
          <w:lang w:eastAsia="ar-SA"/>
        </w:rPr>
        <w:t>Given the diversity of Pacific non-responders, a multi-faceted consistent engagement and empowerment strategy is required to support Pacific people to take part in the BSP</w:t>
      </w:r>
      <w:r w:rsidR="0052486A">
        <w:rPr>
          <w:lang w:eastAsia="ar-SA"/>
        </w:rPr>
        <w:t>, for example:</w:t>
      </w:r>
    </w:p>
    <w:p w:rsidR="005B197B" w:rsidRPr="00382BE7" w:rsidRDefault="005B197B" w:rsidP="005B197B">
      <w:pPr>
        <w:pStyle w:val="ListParagraph"/>
        <w:numPr>
          <w:ilvl w:val="1"/>
          <w:numId w:val="10"/>
        </w:numPr>
        <w:spacing w:before="120"/>
        <w:ind w:left="1560" w:hanging="426"/>
        <w:rPr>
          <w:lang w:eastAsia="ar-SA"/>
        </w:rPr>
      </w:pPr>
      <w:r w:rsidRPr="00382BE7">
        <w:rPr>
          <w:lang w:eastAsia="ar-SA"/>
        </w:rPr>
        <w:t xml:space="preserve">facilitative conversations with Pacific health promoters to offer a more personalised engagement process of face-to-face, one-on-one discussions </w:t>
      </w:r>
    </w:p>
    <w:p w:rsidR="005B197B" w:rsidRPr="005B197B" w:rsidRDefault="005B197B" w:rsidP="005B197B">
      <w:pPr>
        <w:pStyle w:val="ListParagraph"/>
        <w:numPr>
          <w:ilvl w:val="1"/>
          <w:numId w:val="10"/>
        </w:numPr>
        <w:spacing w:before="120"/>
        <w:ind w:left="1560" w:hanging="426"/>
        <w:rPr>
          <w:lang w:eastAsia="ar-SA"/>
        </w:rPr>
      </w:pPr>
      <w:r w:rsidRPr="00382BE7">
        <w:rPr>
          <w:lang w:eastAsia="ar-SA"/>
        </w:rPr>
        <w:t xml:space="preserve">use of Pacific languages and design in pamphlets and other forms of communication </w:t>
      </w:r>
    </w:p>
    <w:p w:rsidR="005B197B" w:rsidRPr="005B197B" w:rsidRDefault="005B197B" w:rsidP="005B197B">
      <w:pPr>
        <w:pStyle w:val="ListParagraph"/>
        <w:numPr>
          <w:ilvl w:val="1"/>
          <w:numId w:val="10"/>
        </w:numPr>
        <w:spacing w:before="120"/>
        <w:ind w:left="1560" w:hanging="426"/>
        <w:rPr>
          <w:lang w:eastAsia="ar-SA"/>
        </w:rPr>
      </w:pPr>
      <w:proofErr w:type="gramStart"/>
      <w:r w:rsidRPr="00382BE7">
        <w:rPr>
          <w:lang w:eastAsia="ar-SA"/>
        </w:rPr>
        <w:t>use</w:t>
      </w:r>
      <w:proofErr w:type="gramEnd"/>
      <w:r w:rsidRPr="00382BE7">
        <w:rPr>
          <w:lang w:eastAsia="ar-SA"/>
        </w:rPr>
        <w:t xml:space="preserve"> of Pacific networks, c</w:t>
      </w:r>
      <w:r w:rsidRPr="005B197B">
        <w:rPr>
          <w:lang w:eastAsia="ar-SA"/>
        </w:rPr>
        <w:t>hurches and matai to promote the importance of BSP.</w:t>
      </w:r>
    </w:p>
    <w:p w:rsidR="00DA3CAD" w:rsidRDefault="001C2B96" w:rsidP="00DA3CAD">
      <w:pPr>
        <w:pStyle w:val="Bullet"/>
        <w:numPr>
          <w:ilvl w:val="0"/>
          <w:numId w:val="10"/>
        </w:numPr>
        <w:tabs>
          <w:tab w:val="num" w:pos="2126"/>
          <w:tab w:val="num" w:pos="6663"/>
        </w:tabs>
        <w:ind w:left="1069"/>
      </w:pPr>
      <w:r>
        <w:t>R</w:t>
      </w:r>
      <w:r w:rsidR="00DA3CAD" w:rsidRPr="00382BE7">
        <w:t xml:space="preserve">eviewing the process of sample delivery and determining whether it would be feasible for participants to drop samples off at a lab, hospital or their general practice, or being able to do the test in a clinical setting.  </w:t>
      </w:r>
    </w:p>
    <w:p w:rsidR="005B197B" w:rsidRPr="00382BE7" w:rsidRDefault="005B197B" w:rsidP="00DA3CAD">
      <w:pPr>
        <w:pStyle w:val="Bullet"/>
        <w:numPr>
          <w:ilvl w:val="0"/>
          <w:numId w:val="10"/>
        </w:numPr>
        <w:tabs>
          <w:tab w:val="num" w:pos="2126"/>
          <w:tab w:val="num" w:pos="6663"/>
        </w:tabs>
        <w:ind w:left="1069"/>
      </w:pPr>
      <w:r>
        <w:t>Undertaking qualitative r</w:t>
      </w:r>
      <w:r w:rsidRPr="00DA3CAD">
        <w:t xml:space="preserve">esearch </w:t>
      </w:r>
      <w:r>
        <w:t xml:space="preserve">with eligible </w:t>
      </w:r>
      <w:r w:rsidRPr="00DA3CAD">
        <w:t>people living in the most deprived areas</w:t>
      </w:r>
      <w:r>
        <w:t xml:space="preserve"> </w:t>
      </w:r>
      <w:proofErr w:type="gramStart"/>
      <w:r>
        <w:t>who</w:t>
      </w:r>
      <w:proofErr w:type="gramEnd"/>
      <w:r>
        <w:t xml:space="preserve"> have and have not participated to understand the</w:t>
      </w:r>
      <w:r w:rsidR="001C2B96">
        <w:t>ir</w:t>
      </w:r>
      <w:r>
        <w:t xml:space="preserve"> barriers and enablers to taking part in the BSP. </w:t>
      </w:r>
    </w:p>
    <w:p w:rsidR="001B16FB" w:rsidRDefault="001B16FB">
      <w:pPr>
        <w:spacing w:before="0"/>
        <w:ind w:left="0"/>
        <w:rPr>
          <w:b/>
          <w:sz w:val="28"/>
          <w:szCs w:val="28"/>
        </w:rPr>
      </w:pPr>
      <w:bookmarkStart w:id="218" w:name="_Toc390872213"/>
      <w:r>
        <w:br w:type="page"/>
      </w:r>
    </w:p>
    <w:p w:rsidR="00B828BA" w:rsidRDefault="00B828BA" w:rsidP="00B828BA">
      <w:pPr>
        <w:pStyle w:val="Heading2"/>
      </w:pPr>
      <w:bookmarkStart w:id="219" w:name="_Toc412540039"/>
      <w:r>
        <w:lastRenderedPageBreak/>
        <w:t>3.</w:t>
      </w:r>
      <w:r w:rsidR="00926BA4">
        <w:t>4</w:t>
      </w:r>
      <w:r>
        <w:tab/>
      </w:r>
      <w:r w:rsidRPr="008C525B">
        <w:t>Fair access for all New Zealanders</w:t>
      </w:r>
      <w:bookmarkEnd w:id="218"/>
      <w:bookmarkEnd w:id="219"/>
      <w:r w:rsidRPr="008C525B">
        <w:t xml:space="preserve"> </w:t>
      </w:r>
    </w:p>
    <w:p w:rsidR="00A12D1B" w:rsidRPr="00A12D1B" w:rsidRDefault="00A12D1B" w:rsidP="00A12D1B">
      <w:pPr>
        <w:pBdr>
          <w:top w:val="single" w:sz="4" w:space="1" w:color="auto"/>
          <w:left w:val="single" w:sz="4" w:space="4" w:color="auto"/>
          <w:bottom w:val="single" w:sz="4" w:space="1" w:color="auto"/>
          <w:right w:val="single" w:sz="4" w:space="4" w:color="auto"/>
        </w:pBdr>
        <w:spacing w:before="60" w:after="120"/>
        <w:ind w:left="720"/>
        <w:rPr>
          <w:rFonts w:cs="Arial"/>
          <w:b/>
        </w:rPr>
      </w:pPr>
      <w:r w:rsidRPr="00A12D1B">
        <w:rPr>
          <w:rFonts w:cs="Arial"/>
          <w:b/>
        </w:rPr>
        <w:t xml:space="preserve">Evaluation objective </w:t>
      </w:r>
      <w:r>
        <w:rPr>
          <w:rFonts w:cs="Arial"/>
          <w:b/>
        </w:rPr>
        <w:t>addressed in section</w:t>
      </w:r>
    </w:p>
    <w:p w:rsidR="00B828BA" w:rsidRDefault="00B828BA" w:rsidP="00A12D1B">
      <w:pPr>
        <w:pBdr>
          <w:top w:val="single" w:sz="4" w:space="1" w:color="auto"/>
          <w:left w:val="single" w:sz="4" w:space="4" w:color="auto"/>
          <w:bottom w:val="single" w:sz="4" w:space="1" w:color="auto"/>
          <w:right w:val="single" w:sz="4" w:space="4" w:color="auto"/>
        </w:pBdr>
        <w:tabs>
          <w:tab w:val="left" w:pos="4140"/>
        </w:tabs>
        <w:spacing w:before="60" w:after="120"/>
        <w:ind w:left="720"/>
        <w:rPr>
          <w:rFonts w:cs="Arial"/>
        </w:rPr>
      </w:pPr>
      <w:proofErr w:type="gramStart"/>
      <w:r>
        <w:rPr>
          <w:rFonts w:cs="Arial"/>
          <w:i/>
        </w:rPr>
        <w:t xml:space="preserve">Fair access for all New Zealanders - </w:t>
      </w:r>
      <w:r>
        <w:rPr>
          <w:rFonts w:cs="Arial"/>
        </w:rPr>
        <w:t>To determine whether a bowel screening programme can be delivered in a way that provides fair access for all New Zealanders.</w:t>
      </w:r>
      <w:proofErr w:type="gramEnd"/>
      <w:r>
        <w:rPr>
          <w:rFonts w:cs="Arial"/>
        </w:rPr>
        <w:t xml:space="preserve"> In particular, to evaluate the process of adopting a </w:t>
      </w:r>
      <w:r w:rsidRPr="004E1ED7">
        <w:rPr>
          <w:rFonts w:cs="Arial"/>
        </w:rPr>
        <w:t>focus in leadership, decision making processes and implementation of the pilot to provide fair access to all eligible people</w:t>
      </w:r>
      <w:r w:rsidR="007A4A3C">
        <w:rPr>
          <w:rFonts w:cs="Arial"/>
        </w:rPr>
        <w:t>.</w:t>
      </w:r>
    </w:p>
    <w:p w:rsidR="00F464BF" w:rsidRDefault="00F464BF" w:rsidP="00F464BF">
      <w:r>
        <w:t>This section addresses the evaluation objective on ensuring fair access to all New Zealanders, part</w:t>
      </w:r>
      <w:r w:rsidR="0052486A">
        <w:t>icularly focusing on leadership and</w:t>
      </w:r>
      <w:r>
        <w:t xml:space="preserve"> decision-</w:t>
      </w:r>
      <w:r w:rsidRPr="00F464BF">
        <w:t xml:space="preserve">making processes </w:t>
      </w:r>
      <w:r w:rsidR="0052486A">
        <w:t xml:space="preserve">in the </w:t>
      </w:r>
      <w:r w:rsidRPr="00F464BF">
        <w:t>implementation</w:t>
      </w:r>
      <w:r>
        <w:t xml:space="preserve"> of the BSP.  The evaluative findings in this section draw on the </w:t>
      </w:r>
      <w:r>
        <w:rPr>
          <w:lang w:eastAsia="en-NZ"/>
        </w:rPr>
        <w:t>two immersion reports (</w:t>
      </w:r>
      <w:r>
        <w:t xml:space="preserve">Litmus 2013a and 2014). </w:t>
      </w:r>
    </w:p>
    <w:p w:rsidR="0056360F" w:rsidRDefault="0056360F" w:rsidP="0056360F">
      <w:r>
        <w:t xml:space="preserve">The key evaluation findings against the objective are presented first followed by a summary of supporting evidence. </w:t>
      </w:r>
    </w:p>
    <w:p w:rsidR="00F464BF" w:rsidRPr="00A91866" w:rsidRDefault="00F464BF" w:rsidP="00F464BF">
      <w:pPr>
        <w:pStyle w:val="Heading3"/>
      </w:pPr>
      <w:r w:rsidRPr="00A91866">
        <w:t>Key evaluation findings</w:t>
      </w:r>
    </w:p>
    <w:p w:rsidR="00923CD5" w:rsidRDefault="00923CD5" w:rsidP="00923CD5">
      <w:pPr>
        <w:autoSpaceDE w:val="0"/>
        <w:autoSpaceDN w:val="0"/>
        <w:adjustRightInd w:val="0"/>
        <w:spacing w:before="120"/>
      </w:pPr>
      <w:r>
        <w:t xml:space="preserve">The current design and implementation of the BSP is not resulting in fair access to the eligible BSP population in WDHB. </w:t>
      </w:r>
      <w:r w:rsidR="00F955A0">
        <w:t xml:space="preserve"> </w:t>
      </w:r>
      <w:r>
        <w:t>Eligible M</w:t>
      </w:r>
      <w:r>
        <w:rPr>
          <w:rFonts w:cs="Arial"/>
        </w:rPr>
        <w:t>ā</w:t>
      </w:r>
      <w:r>
        <w:t xml:space="preserve">ori, Pacific people and those living in the most deprived areas are less likely to take part in the BSP (refer section 3.1).  </w:t>
      </w:r>
      <w:r w:rsidR="007E550A">
        <w:t xml:space="preserve">Reasons for non-participation appear to reflect issues of both fair access and acceptability. </w:t>
      </w:r>
    </w:p>
    <w:p w:rsidR="00451834" w:rsidRDefault="00814551" w:rsidP="00451834">
      <w:pPr>
        <w:autoSpaceDE w:val="0"/>
        <w:autoSpaceDN w:val="0"/>
        <w:adjustRightInd w:val="0"/>
        <w:spacing w:before="120"/>
      </w:pPr>
      <w:r>
        <w:t xml:space="preserve">The </w:t>
      </w:r>
      <w:r w:rsidR="00E073CC">
        <w:t xml:space="preserve">Ministry of Health </w:t>
      </w:r>
      <w:r w:rsidR="00BF2BF1">
        <w:t>and WDHB</w:t>
      </w:r>
      <w:r w:rsidR="00F955A0">
        <w:t>,</w:t>
      </w:r>
      <w:r w:rsidR="00D06FB9">
        <w:t xml:space="preserve"> </w:t>
      </w:r>
      <w:r w:rsidR="000A073A">
        <w:t xml:space="preserve">in </w:t>
      </w:r>
      <w:r w:rsidR="00D06FB9">
        <w:t xml:space="preserve">both the design and implementation stages </w:t>
      </w:r>
      <w:r w:rsidR="00F83086">
        <w:t>of BSP</w:t>
      </w:r>
      <w:r w:rsidR="00F955A0">
        <w:t>,</w:t>
      </w:r>
      <w:r w:rsidR="00F83086">
        <w:t xml:space="preserve"> </w:t>
      </w:r>
      <w:r w:rsidR="00D06FB9">
        <w:t xml:space="preserve">have </w:t>
      </w:r>
      <w:r w:rsidR="000A073A">
        <w:t>endeavoured to identify</w:t>
      </w:r>
      <w:r w:rsidR="00D06FB9">
        <w:t xml:space="preserve"> and imp</w:t>
      </w:r>
      <w:r w:rsidR="000A073A">
        <w:t>lement</w:t>
      </w:r>
      <w:r w:rsidR="00D06FB9">
        <w:t xml:space="preserve"> strategies to try and ensure the BSP is delivered in </w:t>
      </w:r>
      <w:r w:rsidR="001E1224">
        <w:t xml:space="preserve">a </w:t>
      </w:r>
      <w:r w:rsidR="00D06FB9">
        <w:t>way that enables access for all with a particular focus on eligible M</w:t>
      </w:r>
      <w:r w:rsidR="00D06FB9">
        <w:rPr>
          <w:rFonts w:cs="Arial"/>
        </w:rPr>
        <w:t>ā</w:t>
      </w:r>
      <w:r w:rsidR="00D06FB9">
        <w:t xml:space="preserve">ori and Pacific people.  </w:t>
      </w:r>
      <w:r w:rsidR="00923CD5">
        <w:t>However, f</w:t>
      </w:r>
      <w:r w:rsidR="000A073A">
        <w:t>eedback high</w:t>
      </w:r>
      <w:r w:rsidR="00E34B59">
        <w:t xml:space="preserve">lights </w:t>
      </w:r>
      <w:r w:rsidR="007B2833">
        <w:t xml:space="preserve">that </w:t>
      </w:r>
      <w:r w:rsidR="00451834">
        <w:t>M</w:t>
      </w:r>
      <w:r w:rsidR="00451834">
        <w:rPr>
          <w:rFonts w:cs="Arial"/>
        </w:rPr>
        <w:t>ā</w:t>
      </w:r>
      <w:r w:rsidR="00BA4F21">
        <w:t>ori and Pacific leaders could have been more i</w:t>
      </w:r>
      <w:r w:rsidR="00451834">
        <w:t>nvol</w:t>
      </w:r>
      <w:r w:rsidR="00BA4F21">
        <w:t>ved</w:t>
      </w:r>
      <w:r w:rsidR="00E34B59">
        <w:t xml:space="preserve"> in decision-</w:t>
      </w:r>
      <w:r w:rsidR="00451834">
        <w:t xml:space="preserve">making </w:t>
      </w:r>
      <w:r w:rsidR="00BF2BF1">
        <w:t>during the</w:t>
      </w:r>
      <w:r w:rsidR="00451834">
        <w:t xml:space="preserve"> </w:t>
      </w:r>
      <w:r w:rsidR="007B2833">
        <w:t xml:space="preserve">design and </w:t>
      </w:r>
      <w:r w:rsidR="00451834">
        <w:t xml:space="preserve">implementation of the BSP.  </w:t>
      </w:r>
    </w:p>
    <w:p w:rsidR="00E6099E" w:rsidRDefault="00E6099E" w:rsidP="00E6099E">
      <w:pPr>
        <w:autoSpaceDE w:val="0"/>
        <w:autoSpaceDN w:val="0"/>
        <w:adjustRightInd w:val="0"/>
        <w:spacing w:before="120"/>
        <w:rPr>
          <w:lang w:eastAsia="ar-SA"/>
        </w:rPr>
      </w:pPr>
      <w:r w:rsidRPr="00382BE7">
        <w:rPr>
          <w:lang w:eastAsia="ar-SA"/>
        </w:rPr>
        <w:t xml:space="preserve">Feedback from </w:t>
      </w:r>
      <w:r w:rsidRPr="00382BE7">
        <w:t>eligible M</w:t>
      </w:r>
      <w:r w:rsidRPr="00382BE7">
        <w:rPr>
          <w:rFonts w:cs="Arial"/>
        </w:rPr>
        <w:t>ā</w:t>
      </w:r>
      <w:r w:rsidRPr="00382BE7">
        <w:t xml:space="preserve">ori and Pacific </w:t>
      </w:r>
      <w:r w:rsidRPr="00382BE7">
        <w:rPr>
          <w:lang w:eastAsia="ar-SA"/>
        </w:rPr>
        <w:t xml:space="preserve">people who received a kit and did not respond suggest the current design of distributing kits and collecting samples </w:t>
      </w:r>
      <w:r w:rsidR="0091546E" w:rsidRPr="00382BE7">
        <w:rPr>
          <w:lang w:eastAsia="ar-SA"/>
        </w:rPr>
        <w:t>via</w:t>
      </w:r>
      <w:r w:rsidRPr="00382BE7">
        <w:rPr>
          <w:lang w:eastAsia="ar-SA"/>
        </w:rPr>
        <w:t xml:space="preserve"> mail is not effective for all due to literacy, language and environmental barriers (not receiving or opening the letter). </w:t>
      </w:r>
      <w:r>
        <w:rPr>
          <w:lang w:eastAsia="ar-SA"/>
        </w:rPr>
        <w:t xml:space="preserve"> Further, research highlighted that the initial BSP letters, kit instruction and consent form were not easy to understand.  In 2013 t</w:t>
      </w:r>
      <w:r w:rsidRPr="00995633">
        <w:rPr>
          <w:lang w:eastAsia="ar-SA"/>
        </w:rPr>
        <w:t xml:space="preserve">he pre-invitation letter, kit instructions and consent form </w:t>
      </w:r>
      <w:r>
        <w:rPr>
          <w:lang w:eastAsia="ar-SA"/>
        </w:rPr>
        <w:t xml:space="preserve">were revised </w:t>
      </w:r>
      <w:r w:rsidRPr="00995633">
        <w:rPr>
          <w:lang w:eastAsia="ar-SA"/>
        </w:rPr>
        <w:t xml:space="preserve">to be more accessible to </w:t>
      </w:r>
      <w:r>
        <w:rPr>
          <w:lang w:eastAsia="ar-SA"/>
        </w:rPr>
        <w:t xml:space="preserve">a wider range of </w:t>
      </w:r>
      <w:r w:rsidRPr="00995633">
        <w:rPr>
          <w:lang w:eastAsia="ar-SA"/>
        </w:rPr>
        <w:t xml:space="preserve">literacy levels.  These </w:t>
      </w:r>
      <w:r>
        <w:rPr>
          <w:lang w:eastAsia="ar-SA"/>
        </w:rPr>
        <w:t xml:space="preserve">revised </w:t>
      </w:r>
      <w:r w:rsidRPr="00995633">
        <w:rPr>
          <w:lang w:eastAsia="ar-SA"/>
        </w:rPr>
        <w:t xml:space="preserve">documents </w:t>
      </w:r>
      <w:r>
        <w:rPr>
          <w:lang w:eastAsia="ar-SA"/>
        </w:rPr>
        <w:t>were introduced</w:t>
      </w:r>
      <w:r w:rsidRPr="00995633">
        <w:rPr>
          <w:lang w:eastAsia="ar-SA"/>
        </w:rPr>
        <w:t xml:space="preserve"> in the second screening round </w:t>
      </w:r>
      <w:r>
        <w:rPr>
          <w:lang w:eastAsia="ar-SA"/>
        </w:rPr>
        <w:t>beginning in</w:t>
      </w:r>
      <w:r w:rsidRPr="00995633">
        <w:rPr>
          <w:lang w:eastAsia="ar-SA"/>
        </w:rPr>
        <w:t xml:space="preserve"> January 2014.  </w:t>
      </w:r>
    </w:p>
    <w:p w:rsidR="00E2778A" w:rsidRPr="00463B7A" w:rsidRDefault="0091546E" w:rsidP="0091546E">
      <w:r w:rsidRPr="00463B7A">
        <w:t xml:space="preserve">In screening round one, CAR </w:t>
      </w:r>
      <w:r w:rsidR="005832D8" w:rsidRPr="00463B7A">
        <w:t xml:space="preserve">and communication </w:t>
      </w:r>
      <w:r w:rsidRPr="00463B7A">
        <w:t>activities were the key mechanism</w:t>
      </w:r>
      <w:r w:rsidR="005832D8" w:rsidRPr="00463B7A">
        <w:t>s</w:t>
      </w:r>
      <w:r w:rsidRPr="00463B7A">
        <w:t xml:space="preserve"> employed to raise awareness and increase acceptance and completion of the iFOBT amongst M</w:t>
      </w:r>
      <w:r w:rsidRPr="00463B7A">
        <w:rPr>
          <w:rFonts w:cs="Arial"/>
        </w:rPr>
        <w:t>ā</w:t>
      </w:r>
      <w:r w:rsidRPr="00463B7A">
        <w:t xml:space="preserve">ori, Pacific and Asian populations.  CAR </w:t>
      </w:r>
      <w:r w:rsidR="00E2778A" w:rsidRPr="00463B7A">
        <w:t xml:space="preserve">and communication </w:t>
      </w:r>
      <w:r w:rsidRPr="00463B7A">
        <w:t xml:space="preserve">activities were not defined in the BSP programme design.  Consequently, the BSP Coordination Centre </w:t>
      </w:r>
      <w:r w:rsidR="00E2778A" w:rsidRPr="00463B7A">
        <w:t xml:space="preserve">and the </w:t>
      </w:r>
      <w:r w:rsidRPr="00463B7A">
        <w:t xml:space="preserve">CAR team used a range of tactics to increase </w:t>
      </w:r>
      <w:r w:rsidR="00E2778A" w:rsidRPr="00463B7A">
        <w:t xml:space="preserve">awareness and </w:t>
      </w:r>
      <w:r w:rsidRPr="00463B7A">
        <w:t xml:space="preserve">participation.  </w:t>
      </w:r>
    </w:p>
    <w:p w:rsidR="0091546E" w:rsidRDefault="00E2778A" w:rsidP="0091546E">
      <w:r w:rsidRPr="00463B7A">
        <w:t>Awareness of the BSP has increased for eligible M</w:t>
      </w:r>
      <w:r w:rsidRPr="00463B7A">
        <w:rPr>
          <w:rFonts w:cs="Arial"/>
        </w:rPr>
        <w:t>ā</w:t>
      </w:r>
      <w:r w:rsidRPr="00463B7A">
        <w:t xml:space="preserve">ori and Pacific people since the launch of the BSP, although not to the same level as the ‘Other’ ethnic group (Litmus 2014a). The later suggests that the communication strategies are having an </w:t>
      </w:r>
      <w:r w:rsidR="007A4A3C">
        <w:t>e</w:t>
      </w:r>
      <w:r w:rsidRPr="00463B7A">
        <w:t xml:space="preserve">ffect. </w:t>
      </w:r>
      <w:r w:rsidR="0091546E" w:rsidRPr="00463B7A">
        <w:t>Anecdotal evidence suggests that face-to-face engagement is beneficial in supporting and prompting M</w:t>
      </w:r>
      <w:r w:rsidR="0091546E" w:rsidRPr="00463B7A">
        <w:rPr>
          <w:rFonts w:cs="Arial"/>
        </w:rPr>
        <w:t>ā</w:t>
      </w:r>
      <w:r w:rsidR="0091546E" w:rsidRPr="00463B7A">
        <w:t xml:space="preserve">ori and Pacific people to act.  </w:t>
      </w:r>
      <w:r w:rsidRPr="00463B7A">
        <w:t>The evaluation is unable to assess the effectiveness of CAR strategies used.  However, it</w:t>
      </w:r>
      <w:r w:rsidR="0091546E" w:rsidRPr="00463B7A">
        <w:t xml:space="preserve"> is acknowledged that without them uptake by M</w:t>
      </w:r>
      <w:r w:rsidR="0091546E" w:rsidRPr="00463B7A">
        <w:rPr>
          <w:rFonts w:cs="Arial"/>
        </w:rPr>
        <w:t>ā</w:t>
      </w:r>
      <w:r w:rsidR="0091546E" w:rsidRPr="00463B7A">
        <w:t>ori and Pacific people is likely to have been lower.</w:t>
      </w:r>
      <w:r w:rsidR="0091546E">
        <w:t xml:space="preserve"> </w:t>
      </w:r>
    </w:p>
    <w:p w:rsidR="004269B8" w:rsidRDefault="004269B8" w:rsidP="00923CD5"/>
    <w:p w:rsidR="00F464BF" w:rsidRDefault="00F464BF" w:rsidP="00F464BF">
      <w:pPr>
        <w:pStyle w:val="Heading3"/>
      </w:pPr>
      <w:r w:rsidRPr="00AF17D0">
        <w:lastRenderedPageBreak/>
        <w:t xml:space="preserve">Design </w:t>
      </w:r>
    </w:p>
    <w:p w:rsidR="00AF17D0" w:rsidRPr="00AF17D0" w:rsidRDefault="00135635" w:rsidP="00135635">
      <w:pPr>
        <w:pStyle w:val="Heading4"/>
      </w:pPr>
      <w:r>
        <w:t>Focus on equity</w:t>
      </w:r>
    </w:p>
    <w:p w:rsidR="00AF17D0" w:rsidRDefault="00AF17D0" w:rsidP="00AF17D0">
      <w:r>
        <w:t>From the outset</w:t>
      </w:r>
      <w:r w:rsidR="007B2833">
        <w:t>,</w:t>
      </w:r>
      <w:r>
        <w:t xml:space="preserve"> the BSP design was guided by the fundamental principle of not increasing existing health inequities.  </w:t>
      </w:r>
      <w:r w:rsidR="00814551">
        <w:t xml:space="preserve">The </w:t>
      </w:r>
      <w:r w:rsidR="00E073CC">
        <w:t xml:space="preserve">Ministry of Health </w:t>
      </w:r>
      <w:r w:rsidRPr="00AF17D0">
        <w:t>identified Māori and Pacific populations as p</w:t>
      </w:r>
      <w:r w:rsidR="009D465F">
        <w:t xml:space="preserve">riority populations for the BSP; those living in the most deprived areas were not identified as a priority population.  </w:t>
      </w:r>
    </w:p>
    <w:p w:rsidR="00AF17D0" w:rsidRPr="00EA4DDB" w:rsidRDefault="00AF17D0" w:rsidP="00AF17D0">
      <w:pPr>
        <w:rPr>
          <w:lang w:val="en-US"/>
        </w:rPr>
      </w:pPr>
      <w:r w:rsidRPr="00AF17D0">
        <w:t xml:space="preserve">In 2005 an Equity Impact Assessment of bowel cancer screening </w:t>
      </w:r>
      <w:r>
        <w:rPr>
          <w:lang w:val="en-US"/>
        </w:rPr>
        <w:t>re</w:t>
      </w:r>
      <w:r w:rsidRPr="00EA4DDB">
        <w:rPr>
          <w:lang w:val="en-US"/>
        </w:rPr>
        <w:t>commended ways a programme could be designed and monitored to achieve a reduction in inequalities in bowel cancer outcomes, as well as improving population health (</w:t>
      </w:r>
      <w:r w:rsidRPr="00EA4DDB">
        <w:rPr>
          <w:rFonts w:cs="Arial"/>
        </w:rPr>
        <w:t>Shaw 2005)</w:t>
      </w:r>
      <w:r w:rsidRPr="00EA4DDB">
        <w:rPr>
          <w:lang w:val="en-US"/>
        </w:rPr>
        <w:t xml:space="preserve">.  </w:t>
      </w:r>
    </w:p>
    <w:p w:rsidR="00D41CB4" w:rsidRPr="00651504" w:rsidRDefault="00414853" w:rsidP="00D41CB4">
      <w:r>
        <w:t xml:space="preserve">In 2010 the </w:t>
      </w:r>
      <w:r w:rsidR="00E073CC">
        <w:t xml:space="preserve">Ministry of Health </w:t>
      </w:r>
      <w:r w:rsidR="00D41CB4" w:rsidRPr="00651504">
        <w:t xml:space="preserve">undertook a literature review of the interventions that optimise participation of Māori and Pacific people entering and continuing through the bowel </w:t>
      </w:r>
      <w:r w:rsidR="00D41CB4" w:rsidRPr="00A72E67">
        <w:t>screening pathw</w:t>
      </w:r>
      <w:r w:rsidR="00403D41">
        <w:t xml:space="preserve">ay (Ministry of Health 2010).  </w:t>
      </w:r>
      <w:r w:rsidR="00D41CB4" w:rsidRPr="00651504">
        <w:t>The report made a number of recommendations focused on structural, organisational, behavioural and other strategies to optimise participation of Māori and Pacific people entering and continuing through the screening pathway</w:t>
      </w:r>
      <w:r w:rsidR="00D41CB4">
        <w:t xml:space="preserve">. </w:t>
      </w:r>
      <w:r w:rsidR="00D41CB4" w:rsidRPr="00651504">
        <w:t xml:space="preserve"> A number of these recommendations </w:t>
      </w:r>
      <w:r w:rsidR="00D41CB4">
        <w:t>were</w:t>
      </w:r>
      <w:r w:rsidR="00D41CB4" w:rsidRPr="00651504">
        <w:t xml:space="preserve"> incorporated into the </w:t>
      </w:r>
      <w:r w:rsidR="00D41CB4">
        <w:t xml:space="preserve">design of the </w:t>
      </w:r>
      <w:r w:rsidR="00D41CB4" w:rsidRPr="00651504">
        <w:t xml:space="preserve">BSP. </w:t>
      </w:r>
    </w:p>
    <w:p w:rsidR="00AF17D0" w:rsidRPr="00A5735A" w:rsidRDefault="00AF17D0" w:rsidP="00135635">
      <w:pPr>
        <w:pStyle w:val="Heading4"/>
      </w:pPr>
      <w:r w:rsidRPr="00A5735A">
        <w:t xml:space="preserve">Involvement of Māori in the </w:t>
      </w:r>
      <w:r w:rsidR="00E073CC">
        <w:t xml:space="preserve">Ministry of Health </w:t>
      </w:r>
      <w:r w:rsidRPr="00A5735A">
        <w:t>d</w:t>
      </w:r>
      <w:r w:rsidR="00D41CB4">
        <w:t>esign</w:t>
      </w:r>
      <w:r w:rsidRPr="00A5735A">
        <w:t xml:space="preserve"> process</w:t>
      </w:r>
    </w:p>
    <w:p w:rsidR="00AF17D0" w:rsidRPr="00A5735A" w:rsidRDefault="00AF17D0" w:rsidP="00AF17D0">
      <w:r>
        <w:t xml:space="preserve">In 2010, </w:t>
      </w:r>
      <w:r w:rsidR="00814551">
        <w:t xml:space="preserve">the </w:t>
      </w:r>
      <w:r w:rsidR="00E073CC">
        <w:t xml:space="preserve">Ministry of Health </w:t>
      </w:r>
      <w:r w:rsidR="007B2833">
        <w:t>held a</w:t>
      </w:r>
      <w:r>
        <w:t>n Equity Focused Workshop to inform the equity and health promotion requirements for the BSP.</w:t>
      </w:r>
    </w:p>
    <w:p w:rsidR="00AF17D0" w:rsidRDefault="00AF17D0" w:rsidP="00AF17D0">
      <w:r w:rsidRPr="00AF17D0">
        <w:t>The Māori Expert Advisory Group (MEAG)</w:t>
      </w:r>
      <w:r w:rsidR="004A5625" w:rsidRPr="00697D47">
        <w:rPr>
          <w:rStyle w:val="FootnoteReference"/>
        </w:rPr>
        <w:footnoteReference w:id="61"/>
      </w:r>
      <w:r w:rsidRPr="00AF17D0">
        <w:t xml:space="preserve"> was </w:t>
      </w:r>
      <w:r w:rsidR="007B2833">
        <w:t xml:space="preserve">set up and was </w:t>
      </w:r>
      <w:r w:rsidRPr="00AF17D0">
        <w:t xml:space="preserve">the key mechanism by which </w:t>
      </w:r>
      <w:r w:rsidR="00C56750">
        <w:t xml:space="preserve">the </w:t>
      </w:r>
      <w:r w:rsidR="00E073CC">
        <w:t xml:space="preserve">Ministry of Health </w:t>
      </w:r>
      <w:r w:rsidRPr="00AF17D0">
        <w:t xml:space="preserve">received advice on </w:t>
      </w:r>
      <w:r w:rsidR="004A5625">
        <w:t>BSP’s</w:t>
      </w:r>
      <w:r w:rsidRPr="00AF17D0">
        <w:t xml:space="preserve"> appropriateness and effectiveness for Māori.</w:t>
      </w:r>
      <w:r w:rsidRPr="001E59DF">
        <w:t xml:space="preserve">  The Group had access to working papers and participated in the tender process to select the </w:t>
      </w:r>
      <w:r w:rsidR="00EB35F4">
        <w:t>p</w:t>
      </w:r>
      <w:r w:rsidRPr="001E59DF">
        <w:t>ilot providers.</w:t>
      </w:r>
      <w:r w:rsidRPr="00580331">
        <w:t xml:space="preserve"> </w:t>
      </w:r>
      <w:r w:rsidR="004A5625">
        <w:t xml:space="preserve"> </w:t>
      </w:r>
      <w:r w:rsidRPr="00AF17D0">
        <w:t>In addition to the MEAG, a member of Te Kete Hauora (the Māori Health Business Unit at</w:t>
      </w:r>
      <w:r>
        <w:t xml:space="preserve"> the Ministry</w:t>
      </w:r>
      <w:r w:rsidR="00F97FA3">
        <w:t xml:space="preserve"> of Health</w:t>
      </w:r>
      <w:r>
        <w:t xml:space="preserve">) was invited to attend all bowel screening team meetings and the bowel screening team were able to seek the advice of Te Kete Hauora as needed.  </w:t>
      </w:r>
    </w:p>
    <w:p w:rsidR="00AF17D0" w:rsidRPr="00576389" w:rsidRDefault="00AF17D0" w:rsidP="00403D41">
      <w:pPr>
        <w:keepNext/>
        <w:keepLines/>
        <w:rPr>
          <w:lang w:val="en-US"/>
        </w:rPr>
      </w:pPr>
      <w:r w:rsidRPr="00AF17D0">
        <w:t xml:space="preserve">The MEAG had a valuable role in ensuring an equity lens was applied to the design of the BSP.  </w:t>
      </w:r>
      <w:r w:rsidRPr="00494A61">
        <w:t xml:space="preserve">MEAG </w:t>
      </w:r>
      <w:r>
        <w:t xml:space="preserve">stakeholders </w:t>
      </w:r>
      <w:r w:rsidRPr="00494A61">
        <w:t>reported they provided specific advice on a M</w:t>
      </w:r>
      <w:r w:rsidRPr="00651504">
        <w:t>ā</w:t>
      </w:r>
      <w:r w:rsidRPr="00494A61">
        <w:t xml:space="preserve">ori screening pathway. </w:t>
      </w:r>
      <w:r>
        <w:t xml:space="preserve"> </w:t>
      </w:r>
      <w:r w:rsidR="00814551">
        <w:t xml:space="preserve">The </w:t>
      </w:r>
      <w:r w:rsidR="00E073CC">
        <w:t xml:space="preserve">Ministry of Health </w:t>
      </w:r>
      <w:r w:rsidRPr="00494A61">
        <w:t>reports that feedback from the MEAG was incorporat</w:t>
      </w:r>
      <w:r>
        <w:t xml:space="preserve">ed in the BSP screening pathway. </w:t>
      </w:r>
    </w:p>
    <w:p w:rsidR="00AF17D0" w:rsidRDefault="00AF17D0" w:rsidP="00AF17D0">
      <w:r w:rsidRPr="0062053D">
        <w:t xml:space="preserve">With the establishment of the national Bowel Cancer working group, the </w:t>
      </w:r>
      <w:r w:rsidR="00992ECC">
        <w:rPr>
          <w:lang w:val="en-US"/>
        </w:rPr>
        <w:t>Bowel Cancer Taskforce</w:t>
      </w:r>
      <w:r w:rsidR="00992ECC" w:rsidRPr="00697D47">
        <w:rPr>
          <w:rStyle w:val="FootnoteReference"/>
        </w:rPr>
        <w:footnoteReference w:id="62"/>
      </w:r>
      <w:r w:rsidR="00992ECC">
        <w:rPr>
          <w:lang w:val="en-US"/>
        </w:rPr>
        <w:t xml:space="preserve"> </w:t>
      </w:r>
      <w:r w:rsidRPr="0062053D">
        <w:t xml:space="preserve">and the MEAG were disestablished.  </w:t>
      </w:r>
      <w:r>
        <w:t xml:space="preserve">To ensure consistency and transfer of knowledge, a member of the MEAG is on the </w:t>
      </w:r>
      <w:r w:rsidRPr="0062053D">
        <w:t>nati</w:t>
      </w:r>
      <w:r>
        <w:t>onal Bowel Cancer working group</w:t>
      </w:r>
      <w:r w:rsidRPr="0062053D">
        <w:t xml:space="preserve">.  </w:t>
      </w:r>
    </w:p>
    <w:p w:rsidR="00AF17D0" w:rsidRPr="0062053D" w:rsidRDefault="00D41CB4" w:rsidP="00AF17D0">
      <w:r>
        <w:t>In implementing the BSP</w:t>
      </w:r>
      <w:r w:rsidR="00AF17D0">
        <w:t xml:space="preserve">, </w:t>
      </w:r>
      <w:r w:rsidR="00AF17D0" w:rsidRPr="00ED711E">
        <w:t>the responsibility for maintaining systems</w:t>
      </w:r>
      <w:r w:rsidR="00AF17D0">
        <w:t xml:space="preserve"> </w:t>
      </w:r>
      <w:r w:rsidR="00AF17D0" w:rsidRPr="0062053D">
        <w:t>and processes to ensure programme effectiveness for both Māori and Pacific populations</w:t>
      </w:r>
      <w:r w:rsidR="00AF17D0">
        <w:t xml:space="preserve"> </w:t>
      </w:r>
      <w:r>
        <w:t>lies</w:t>
      </w:r>
      <w:r w:rsidR="00AF17D0">
        <w:t xml:space="preserve"> predominant</w:t>
      </w:r>
      <w:r w:rsidR="00AF17D0" w:rsidRPr="0062053D">
        <w:t xml:space="preserve">ly with WDHB.  If needed, the </w:t>
      </w:r>
      <w:r w:rsidR="00E073CC">
        <w:t xml:space="preserve">Ministry of Health </w:t>
      </w:r>
      <w:r w:rsidR="00AF17D0" w:rsidRPr="0062053D">
        <w:t>seeks advice from Te Kete Hauora and ex-MEAG members.</w:t>
      </w:r>
    </w:p>
    <w:p w:rsidR="00AF17D0" w:rsidRDefault="00C56750" w:rsidP="00135635">
      <w:pPr>
        <w:pStyle w:val="Heading4"/>
      </w:pPr>
      <w:r>
        <w:lastRenderedPageBreak/>
        <w:t xml:space="preserve">Involvement of Pacific in </w:t>
      </w:r>
      <w:r w:rsidR="00E073CC">
        <w:t xml:space="preserve">Ministry of Health </w:t>
      </w:r>
      <w:r w:rsidR="00AF17D0">
        <w:t>d</w:t>
      </w:r>
      <w:r w:rsidR="00D41CB4">
        <w:t>esign</w:t>
      </w:r>
      <w:r w:rsidR="00AF17D0">
        <w:t xml:space="preserve"> process</w:t>
      </w:r>
    </w:p>
    <w:p w:rsidR="00AF17D0" w:rsidRDefault="00AF17D0" w:rsidP="00AF17D0">
      <w:r w:rsidRPr="00135635">
        <w:t>No Pacific Expert Advisory Grou</w:t>
      </w:r>
      <w:r w:rsidR="00C56750">
        <w:t xml:space="preserve">p was established to advise </w:t>
      </w:r>
      <w:r w:rsidR="00814551">
        <w:t xml:space="preserve">the </w:t>
      </w:r>
      <w:r w:rsidR="00E073CC">
        <w:t xml:space="preserve">Ministry of Health </w:t>
      </w:r>
      <w:r w:rsidRPr="00135635">
        <w:t>on programme effectiveness for Pacific populations.  Establishment of a Pacific advisory</w:t>
      </w:r>
      <w:r>
        <w:t xml:space="preserve"> group was discussed.  However, senior Pacific staff at the </w:t>
      </w:r>
      <w:r w:rsidR="00E073CC">
        <w:t xml:space="preserve">Ministry of Health </w:t>
      </w:r>
      <w:r>
        <w:t xml:space="preserve">advised that, as long as Pacific people were involved in the programme design and roll-out, a separate Pacific advisory group was not required.  Advice from Pacific staff at </w:t>
      </w:r>
      <w:r w:rsidR="00814551">
        <w:t xml:space="preserve">the </w:t>
      </w:r>
      <w:r w:rsidR="00E073CC">
        <w:t xml:space="preserve">Ministry of Health </w:t>
      </w:r>
      <w:r>
        <w:t>was sought through the development of the BSP.</w:t>
      </w:r>
    </w:p>
    <w:p w:rsidR="00F464BF" w:rsidRPr="004D710D" w:rsidRDefault="00C95E41" w:rsidP="00F464BF">
      <w:pPr>
        <w:pStyle w:val="Heading3"/>
      </w:pPr>
      <w:r>
        <w:t>Early i</w:t>
      </w:r>
      <w:r w:rsidR="00F464BF" w:rsidRPr="004D710D">
        <w:t xml:space="preserve">mplementation </w:t>
      </w:r>
      <w:r>
        <w:t xml:space="preserve">(first 12 months) </w:t>
      </w:r>
    </w:p>
    <w:p w:rsidR="00135635" w:rsidRDefault="00135635" w:rsidP="00135635">
      <w:pPr>
        <w:pStyle w:val="Heading4"/>
      </w:pPr>
      <w:r>
        <w:t xml:space="preserve">Involvement of Māori and Pacific in the WDHB </w:t>
      </w:r>
      <w:r w:rsidR="00D41CB4">
        <w:t xml:space="preserve">implementation </w:t>
      </w:r>
      <w:r>
        <w:t>process</w:t>
      </w:r>
    </w:p>
    <w:p w:rsidR="00135635" w:rsidRPr="00135635" w:rsidRDefault="00135635" w:rsidP="00135635">
      <w:pPr>
        <w:rPr>
          <w:lang w:val="mi-NZ"/>
        </w:rPr>
      </w:pPr>
      <w:r w:rsidRPr="00135635">
        <w:t xml:space="preserve">From the outset, WDHB acknowledged that Māori and Pacific populations were BSP priority populations.  At a WDHB level, </w:t>
      </w:r>
      <w:r w:rsidRPr="00135635">
        <w:rPr>
          <w:lang w:val="mi-NZ"/>
        </w:rPr>
        <w:t xml:space="preserve">Māori </w:t>
      </w:r>
      <w:r w:rsidRPr="00135635">
        <w:t>and Pacific stakeholders were involved in programme design through the following mechanisms</w:t>
      </w:r>
      <w:r w:rsidRPr="00135635">
        <w:rPr>
          <w:lang w:val="mi-NZ"/>
        </w:rPr>
        <w:t>:</w:t>
      </w:r>
    </w:p>
    <w:p w:rsidR="00135635" w:rsidRPr="00135635" w:rsidRDefault="00135635" w:rsidP="00604AA9">
      <w:pPr>
        <w:pStyle w:val="Bullet"/>
        <w:numPr>
          <w:ilvl w:val="0"/>
          <w:numId w:val="10"/>
        </w:numPr>
        <w:tabs>
          <w:tab w:val="num" w:pos="2126"/>
          <w:tab w:val="num" w:pos="6663"/>
        </w:tabs>
        <w:ind w:left="1069"/>
        <w:rPr>
          <w:lang w:val="en-AU"/>
        </w:rPr>
      </w:pPr>
      <w:r w:rsidRPr="00135635">
        <w:rPr>
          <w:lang w:val="en-AU"/>
        </w:rPr>
        <w:t xml:space="preserve">consultation with the WDHB Māori and Pacific Health Planning and Funding Managers </w:t>
      </w:r>
    </w:p>
    <w:p w:rsidR="00135635" w:rsidRPr="00135635" w:rsidRDefault="00135635" w:rsidP="00604AA9">
      <w:pPr>
        <w:pStyle w:val="Bullet"/>
        <w:numPr>
          <w:ilvl w:val="0"/>
          <w:numId w:val="10"/>
        </w:numPr>
        <w:tabs>
          <w:tab w:val="num" w:pos="2126"/>
          <w:tab w:val="num" w:pos="6663"/>
        </w:tabs>
        <w:ind w:left="1069"/>
        <w:rPr>
          <w:lang w:val="en-AU"/>
        </w:rPr>
      </w:pPr>
      <w:r w:rsidRPr="00135635">
        <w:rPr>
          <w:lang w:val="en-AU"/>
        </w:rPr>
        <w:t>Māori representation on the WDHB BSP Steering Group, and through the Northern Cancer Network</w:t>
      </w:r>
    </w:p>
    <w:p w:rsidR="00135635" w:rsidRPr="00135635" w:rsidRDefault="00135635" w:rsidP="00604AA9">
      <w:pPr>
        <w:pStyle w:val="Bullet"/>
        <w:numPr>
          <w:ilvl w:val="0"/>
          <w:numId w:val="10"/>
        </w:numPr>
        <w:tabs>
          <w:tab w:val="num" w:pos="2126"/>
          <w:tab w:val="num" w:pos="6663"/>
        </w:tabs>
        <w:ind w:left="1069"/>
        <w:rPr>
          <w:lang w:val="en-AU"/>
        </w:rPr>
      </w:pPr>
      <w:r w:rsidRPr="00135635">
        <w:rPr>
          <w:lang w:val="en-AU"/>
        </w:rPr>
        <w:t xml:space="preserve">Māori and Pacific representation on the Project Management Group </w:t>
      </w:r>
    </w:p>
    <w:p w:rsidR="00135635" w:rsidRPr="00135635" w:rsidRDefault="00135635" w:rsidP="00604AA9">
      <w:pPr>
        <w:pStyle w:val="Bullet"/>
        <w:numPr>
          <w:ilvl w:val="0"/>
          <w:numId w:val="10"/>
        </w:numPr>
        <w:tabs>
          <w:tab w:val="num" w:pos="2126"/>
          <w:tab w:val="num" w:pos="6663"/>
        </w:tabs>
        <w:ind w:left="1069"/>
        <w:rPr>
          <w:lang w:val="en-AU"/>
        </w:rPr>
      </w:pPr>
      <w:r w:rsidRPr="00135635">
        <w:rPr>
          <w:lang w:val="en-AU"/>
        </w:rPr>
        <w:t xml:space="preserve">meetings with Māori and Pacific stakeholders to inform particular aspects of </w:t>
      </w:r>
      <w:r w:rsidR="004D710D">
        <w:rPr>
          <w:lang w:val="en-AU"/>
        </w:rPr>
        <w:t xml:space="preserve">BSP </w:t>
      </w:r>
      <w:r w:rsidRPr="00135635">
        <w:rPr>
          <w:lang w:val="en-AU"/>
        </w:rPr>
        <w:t>delivery (e.g. community awareness raising)</w:t>
      </w:r>
    </w:p>
    <w:p w:rsidR="00135635" w:rsidRPr="00135635" w:rsidRDefault="00135635" w:rsidP="00604AA9">
      <w:pPr>
        <w:pStyle w:val="Bullet"/>
        <w:numPr>
          <w:ilvl w:val="0"/>
          <w:numId w:val="10"/>
        </w:numPr>
        <w:tabs>
          <w:tab w:val="num" w:pos="2126"/>
          <w:tab w:val="num" w:pos="6663"/>
        </w:tabs>
        <w:ind w:left="1069"/>
        <w:rPr>
          <w:lang w:val="en-AU"/>
        </w:rPr>
      </w:pPr>
      <w:proofErr w:type="gramStart"/>
      <w:r w:rsidRPr="00135635">
        <w:rPr>
          <w:lang w:val="en-AU"/>
        </w:rPr>
        <w:t>health</w:t>
      </w:r>
      <w:proofErr w:type="gramEnd"/>
      <w:r w:rsidRPr="00135635">
        <w:rPr>
          <w:lang w:val="en-AU"/>
        </w:rPr>
        <w:t xml:space="preserve"> equity workshops. </w:t>
      </w:r>
    </w:p>
    <w:p w:rsidR="004D710D" w:rsidRDefault="004D710D" w:rsidP="004D710D">
      <w:pPr>
        <w:pStyle w:val="Heading4"/>
      </w:pPr>
      <w:r>
        <w:t xml:space="preserve">Leadership and governance </w:t>
      </w:r>
      <w:r w:rsidR="00501823">
        <w:t>that focus on equity</w:t>
      </w:r>
    </w:p>
    <w:p w:rsidR="004D710D" w:rsidRDefault="004D710D" w:rsidP="004D710D">
      <w:r>
        <w:t xml:space="preserve">Two core groups were tasked with advising and monitoring the implementation of the BSP with regard to equity: </w:t>
      </w:r>
    </w:p>
    <w:p w:rsidR="004D710D" w:rsidRPr="00F74AC3" w:rsidRDefault="004D710D" w:rsidP="00604AA9">
      <w:pPr>
        <w:pStyle w:val="Bullet"/>
        <w:numPr>
          <w:ilvl w:val="0"/>
          <w:numId w:val="10"/>
        </w:numPr>
        <w:tabs>
          <w:tab w:val="num" w:pos="2126"/>
          <w:tab w:val="num" w:pos="6663"/>
        </w:tabs>
        <w:ind w:left="1069"/>
        <w:rPr>
          <w:lang w:val="en-US"/>
        </w:rPr>
      </w:pPr>
      <w:r w:rsidRPr="004D710D">
        <w:rPr>
          <w:lang w:val="en-AU"/>
        </w:rPr>
        <w:t>The</w:t>
      </w:r>
      <w:r w:rsidRPr="004D710D">
        <w:t xml:space="preserve"> BSP Steering Group</w:t>
      </w:r>
      <w:r w:rsidRPr="00697D47">
        <w:rPr>
          <w:rStyle w:val="FootnoteReference"/>
        </w:rPr>
        <w:footnoteReference w:id="63"/>
      </w:r>
      <w:r w:rsidRPr="004D710D">
        <w:t xml:space="preserve"> </w:t>
      </w:r>
      <w:r>
        <w:t>has responsibility</w:t>
      </w:r>
      <w:r w:rsidRPr="004D710D">
        <w:t xml:space="preserve"> </w:t>
      </w:r>
      <w:r>
        <w:t xml:space="preserve">(amongst other things) </w:t>
      </w:r>
      <w:r w:rsidR="00A64704">
        <w:t>for</w:t>
      </w:r>
      <w:r w:rsidR="00A64704" w:rsidRPr="004D710D">
        <w:t xml:space="preserve"> </w:t>
      </w:r>
      <w:r w:rsidRPr="004D710D">
        <w:rPr>
          <w:lang w:val="en-US"/>
        </w:rPr>
        <w:t>reviewing and monitoring BSP data and</w:t>
      </w:r>
      <w:r w:rsidRPr="0022701F">
        <w:rPr>
          <w:lang w:val="en-US"/>
        </w:rPr>
        <w:t xml:space="preserve"> recommend</w:t>
      </w:r>
      <w:r w:rsidR="004A5625">
        <w:rPr>
          <w:lang w:val="en-US"/>
        </w:rPr>
        <w:t>ing</w:t>
      </w:r>
      <w:r w:rsidRPr="0022701F">
        <w:rPr>
          <w:lang w:val="en-US"/>
        </w:rPr>
        <w:t xml:space="preserve"> actions to ensure equity of access</w:t>
      </w:r>
      <w:r>
        <w:rPr>
          <w:lang w:val="en-US"/>
        </w:rPr>
        <w:t xml:space="preserve"> (and safety needs). </w:t>
      </w:r>
    </w:p>
    <w:p w:rsidR="00AB68EC" w:rsidRDefault="00135635" w:rsidP="00604AA9">
      <w:pPr>
        <w:pStyle w:val="Bullet"/>
        <w:numPr>
          <w:ilvl w:val="0"/>
          <w:numId w:val="10"/>
        </w:numPr>
        <w:tabs>
          <w:tab w:val="num" w:pos="2126"/>
          <w:tab w:val="num" w:pos="6663"/>
        </w:tabs>
        <w:ind w:left="1069"/>
      </w:pPr>
      <w:r w:rsidRPr="00AB68EC">
        <w:rPr>
          <w:lang w:val="en-AU"/>
        </w:rPr>
        <w:t>The</w:t>
      </w:r>
      <w:r w:rsidRPr="004D710D">
        <w:t xml:space="preserve"> Community Awareness Raising (CAR) Group</w:t>
      </w:r>
      <w:r w:rsidR="004D710D" w:rsidRPr="00697D47">
        <w:rPr>
          <w:rStyle w:val="FootnoteReference"/>
        </w:rPr>
        <w:footnoteReference w:id="64"/>
      </w:r>
      <w:r w:rsidR="004D710D" w:rsidRPr="004D710D">
        <w:t xml:space="preserve"> was established </w:t>
      </w:r>
      <w:r w:rsidRPr="004D710D">
        <w:t>to raise awareness,</w:t>
      </w:r>
      <w:r w:rsidRPr="000E1841">
        <w:t xml:space="preserve"> establish acceptance and opera</w:t>
      </w:r>
      <w:r>
        <w:t xml:space="preserve">te within an equity framework.  </w:t>
      </w:r>
    </w:p>
    <w:p w:rsidR="00501823" w:rsidRPr="00AB68EC" w:rsidRDefault="00501823" w:rsidP="00AB68EC">
      <w:pPr>
        <w:pStyle w:val="Heading4"/>
      </w:pPr>
      <w:r w:rsidRPr="00AB68EC">
        <w:t>Development of the CAR approach, structures and resources</w:t>
      </w:r>
    </w:p>
    <w:p w:rsidR="00E7156A" w:rsidRDefault="00501823" w:rsidP="00501823">
      <w:r>
        <w:t xml:space="preserve">In seeking to encourage </w:t>
      </w:r>
      <w:r>
        <w:rPr>
          <w:lang w:eastAsia="ar-SA"/>
        </w:rPr>
        <w:t>participation in the BSP</w:t>
      </w:r>
      <w:r w:rsidR="00560761">
        <w:rPr>
          <w:lang w:eastAsia="ar-SA"/>
        </w:rPr>
        <w:t>,</w:t>
      </w:r>
      <w:r>
        <w:rPr>
          <w:lang w:eastAsia="ar-SA"/>
        </w:rPr>
        <w:t xml:space="preserve"> </w:t>
      </w:r>
      <w:r>
        <w:t xml:space="preserve">WDHB established </w:t>
      </w:r>
      <w:r w:rsidR="00560761">
        <w:t>(</w:t>
      </w:r>
      <w:r>
        <w:t>from the outset of the pilot</w:t>
      </w:r>
      <w:r w:rsidR="00560761">
        <w:t>)</w:t>
      </w:r>
      <w:r>
        <w:t xml:space="preserve"> a BSP CAR team within the BSP Coordination Centre.  </w:t>
      </w:r>
      <w:r w:rsidR="00E7156A">
        <w:t xml:space="preserve">The pilot design for the BSP did not specify how CAR would </w:t>
      </w:r>
      <w:r w:rsidR="00403D41">
        <w:t>operate</w:t>
      </w:r>
      <w:r w:rsidR="00E7156A">
        <w:t xml:space="preserve"> within the screening pathway</w:t>
      </w:r>
      <w:r w:rsidR="00403D41">
        <w:t xml:space="preserve"> or the level of monitoring required</w:t>
      </w:r>
      <w:r w:rsidR="00E7156A">
        <w:t xml:space="preserve">.  </w:t>
      </w:r>
    </w:p>
    <w:p w:rsidR="00501823" w:rsidRPr="00730CAD" w:rsidRDefault="00501823" w:rsidP="009433F2">
      <w:pPr>
        <w:keepNext/>
        <w:keepLines/>
        <w:rPr>
          <w:lang w:eastAsia="ar-SA"/>
        </w:rPr>
      </w:pPr>
      <w:r>
        <w:lastRenderedPageBreak/>
        <w:t xml:space="preserve">In the first nine months of the </w:t>
      </w:r>
      <w:r w:rsidR="00EB35F4">
        <w:t>p</w:t>
      </w:r>
      <w:r>
        <w:t>ilot two CAR d</w:t>
      </w:r>
      <w:r>
        <w:rPr>
          <w:lang w:eastAsia="ar-SA"/>
        </w:rPr>
        <w:t xml:space="preserve">elivery models were being used: </w:t>
      </w:r>
    </w:p>
    <w:p w:rsidR="00501823" w:rsidRPr="00501823" w:rsidRDefault="00501823" w:rsidP="009433F2">
      <w:pPr>
        <w:pStyle w:val="Bullet"/>
        <w:keepNext/>
        <w:keepLines/>
        <w:numPr>
          <w:ilvl w:val="0"/>
          <w:numId w:val="10"/>
        </w:numPr>
        <w:tabs>
          <w:tab w:val="num" w:pos="2126"/>
          <w:tab w:val="num" w:pos="6663"/>
        </w:tabs>
        <w:ind w:left="1069"/>
        <w:rPr>
          <w:lang w:eastAsia="ar-SA"/>
        </w:rPr>
      </w:pPr>
      <w:r w:rsidRPr="00501823">
        <w:rPr>
          <w:lang w:eastAsia="ar-SA"/>
        </w:rPr>
        <w:t>Internal delivery of CAR by M</w:t>
      </w:r>
      <w:r w:rsidRPr="00501823">
        <w:rPr>
          <w:rFonts w:cs="Arial"/>
          <w:lang w:eastAsia="ar-SA"/>
        </w:rPr>
        <w:t>ā</w:t>
      </w:r>
      <w:r w:rsidRPr="00501823">
        <w:rPr>
          <w:lang w:eastAsia="ar-SA"/>
        </w:rPr>
        <w:t>ori, Chinese and Korean CAR Coordinators employed by BSP and located at the Coordination Centre.</w:t>
      </w:r>
    </w:p>
    <w:p w:rsidR="00501823" w:rsidRDefault="00501823" w:rsidP="00604AA9">
      <w:pPr>
        <w:pStyle w:val="Bullet"/>
        <w:numPr>
          <w:ilvl w:val="0"/>
          <w:numId w:val="10"/>
        </w:numPr>
        <w:tabs>
          <w:tab w:val="num" w:pos="2126"/>
          <w:tab w:val="num" w:pos="6663"/>
        </w:tabs>
        <w:ind w:left="1069"/>
        <w:rPr>
          <w:lang w:eastAsia="ar-SA"/>
        </w:rPr>
      </w:pPr>
      <w:r w:rsidRPr="00501823">
        <w:rPr>
          <w:lang w:eastAsia="ar-SA"/>
        </w:rPr>
        <w:t>External delivery of CAR by West Fono and Pacific Integrated Health.  The rationale for contracting West Fono</w:t>
      </w:r>
      <w:r w:rsidR="007B2833">
        <w:rPr>
          <w:lang w:eastAsia="ar-SA"/>
        </w:rPr>
        <w:t xml:space="preserve"> and Pacific Integrated Health wa</w:t>
      </w:r>
      <w:r w:rsidRPr="00501823">
        <w:rPr>
          <w:lang w:eastAsia="ar-SA"/>
        </w:rPr>
        <w:t xml:space="preserve">s to reach a greater diversity of Pacific people.  Both providers are ‘By Pacific </w:t>
      </w:r>
      <w:proofErr w:type="gramStart"/>
      <w:r w:rsidRPr="00501823">
        <w:rPr>
          <w:lang w:eastAsia="ar-SA"/>
        </w:rPr>
        <w:t>For</w:t>
      </w:r>
      <w:proofErr w:type="gramEnd"/>
      <w:r w:rsidRPr="00501823">
        <w:rPr>
          <w:lang w:eastAsia="ar-SA"/>
        </w:rPr>
        <w:t xml:space="preserve"> Pacific’ community health organisations.  </w:t>
      </w:r>
      <w:r w:rsidR="007B2833">
        <w:rPr>
          <w:lang w:eastAsia="ar-SA"/>
        </w:rPr>
        <w:t>Their</w:t>
      </w:r>
      <w:r w:rsidRPr="00501823">
        <w:rPr>
          <w:lang w:eastAsia="ar-SA"/>
        </w:rPr>
        <w:t xml:space="preserve"> workforce is predominantly Pacific, providing existing relationships</w:t>
      </w:r>
      <w:r w:rsidRPr="00F7420F">
        <w:rPr>
          <w:lang w:eastAsia="ar-SA"/>
        </w:rPr>
        <w:t xml:space="preserve"> and credibility.  </w:t>
      </w:r>
    </w:p>
    <w:p w:rsidR="00501823" w:rsidRDefault="00501823" w:rsidP="00501823">
      <w:pPr>
        <w:rPr>
          <w:lang w:eastAsia="ar-SA"/>
        </w:rPr>
      </w:pPr>
      <w:r>
        <w:rPr>
          <w:lang w:eastAsia="ar-SA"/>
        </w:rPr>
        <w:t xml:space="preserve">In the first </w:t>
      </w:r>
      <w:r w:rsidR="00560761">
        <w:rPr>
          <w:lang w:eastAsia="ar-SA"/>
        </w:rPr>
        <w:t>12</w:t>
      </w:r>
      <w:r>
        <w:rPr>
          <w:lang w:eastAsia="ar-SA"/>
        </w:rPr>
        <w:t xml:space="preserve"> months of the </w:t>
      </w:r>
      <w:r w:rsidR="00EB35F4">
        <w:rPr>
          <w:lang w:eastAsia="ar-SA"/>
        </w:rPr>
        <w:t>p</w:t>
      </w:r>
      <w:r>
        <w:rPr>
          <w:lang w:eastAsia="ar-SA"/>
        </w:rPr>
        <w:t>ilot, t</w:t>
      </w:r>
      <w:r w:rsidRPr="00855F1A">
        <w:rPr>
          <w:lang w:eastAsia="ar-SA"/>
        </w:rPr>
        <w:t xml:space="preserve">here </w:t>
      </w:r>
      <w:r>
        <w:rPr>
          <w:lang w:eastAsia="ar-SA"/>
        </w:rPr>
        <w:t>we</w:t>
      </w:r>
      <w:r w:rsidRPr="00855F1A">
        <w:rPr>
          <w:lang w:eastAsia="ar-SA"/>
        </w:rPr>
        <w:t xml:space="preserve">re </w:t>
      </w:r>
      <w:r w:rsidR="00AE5B9A">
        <w:rPr>
          <w:lang w:eastAsia="ar-SA"/>
        </w:rPr>
        <w:t>four</w:t>
      </w:r>
      <w:r w:rsidRPr="00855F1A">
        <w:rPr>
          <w:lang w:eastAsia="ar-SA"/>
        </w:rPr>
        <w:t xml:space="preserve"> core components to ongoing CAR work: </w:t>
      </w:r>
    </w:p>
    <w:p w:rsidR="00501823" w:rsidRDefault="004E1ED7" w:rsidP="00604AA9">
      <w:pPr>
        <w:pStyle w:val="Bullet"/>
        <w:numPr>
          <w:ilvl w:val="0"/>
          <w:numId w:val="10"/>
        </w:numPr>
        <w:tabs>
          <w:tab w:val="num" w:pos="2126"/>
          <w:tab w:val="num" w:pos="6663"/>
        </w:tabs>
        <w:ind w:left="1069"/>
        <w:rPr>
          <w:lang w:eastAsia="ar-SA"/>
        </w:rPr>
      </w:pPr>
      <w:r>
        <w:rPr>
          <w:lang w:eastAsia="ar-SA"/>
        </w:rPr>
        <w:t>C</w:t>
      </w:r>
      <w:r w:rsidR="00501823">
        <w:rPr>
          <w:lang w:eastAsia="ar-SA"/>
        </w:rPr>
        <w:t>ommunity engagement</w:t>
      </w:r>
      <w:r w:rsidR="00501823" w:rsidRPr="004064C3">
        <w:rPr>
          <w:lang w:eastAsia="ar-SA"/>
        </w:rPr>
        <w:t xml:space="preserve"> </w:t>
      </w:r>
      <w:r w:rsidR="00501823">
        <w:rPr>
          <w:lang w:eastAsia="ar-SA"/>
        </w:rPr>
        <w:t xml:space="preserve">through </w:t>
      </w:r>
      <w:r w:rsidR="00501823" w:rsidRPr="004064C3">
        <w:rPr>
          <w:lang w:eastAsia="ar-SA"/>
        </w:rPr>
        <w:t>community events, resource distribution</w:t>
      </w:r>
      <w:r w:rsidR="00501823">
        <w:rPr>
          <w:lang w:eastAsia="ar-SA"/>
        </w:rPr>
        <w:t xml:space="preserve"> and local communications</w:t>
      </w:r>
      <w:r w:rsidR="00560761">
        <w:rPr>
          <w:lang w:eastAsia="ar-SA"/>
        </w:rPr>
        <w:t>.</w:t>
      </w:r>
    </w:p>
    <w:p w:rsidR="00C95E41" w:rsidRDefault="004E1ED7" w:rsidP="00604AA9">
      <w:pPr>
        <w:pStyle w:val="Bullet"/>
        <w:numPr>
          <w:ilvl w:val="0"/>
          <w:numId w:val="10"/>
        </w:numPr>
        <w:tabs>
          <w:tab w:val="num" w:pos="2126"/>
          <w:tab w:val="num" w:pos="6663"/>
        </w:tabs>
        <w:ind w:left="1069"/>
        <w:rPr>
          <w:lang w:eastAsia="ar-SA"/>
        </w:rPr>
      </w:pPr>
      <w:r>
        <w:rPr>
          <w:lang w:eastAsia="ar-SA"/>
        </w:rPr>
        <w:t>A</w:t>
      </w:r>
      <w:r w:rsidR="00501823">
        <w:rPr>
          <w:lang w:eastAsia="ar-SA"/>
        </w:rPr>
        <w:t>ctive kit follow-up</w:t>
      </w:r>
      <w:r w:rsidR="00C95E41">
        <w:rPr>
          <w:lang w:eastAsia="ar-SA"/>
        </w:rPr>
        <w:t xml:space="preserve"> where</w:t>
      </w:r>
      <w:r w:rsidR="00501823">
        <w:rPr>
          <w:lang w:eastAsia="ar-SA"/>
        </w:rPr>
        <w:t xml:space="preserve"> </w:t>
      </w:r>
      <w:r w:rsidR="00C95E41" w:rsidRPr="001C6687">
        <w:rPr>
          <w:lang w:eastAsia="ar-SA"/>
        </w:rPr>
        <w:t>M</w:t>
      </w:r>
      <w:r w:rsidR="007B2833">
        <w:rPr>
          <w:lang w:eastAsia="ar-SA"/>
        </w:rPr>
        <w:t>āori, Pacific and Asian people we</w:t>
      </w:r>
      <w:r w:rsidR="00C95E41" w:rsidRPr="001C6687">
        <w:rPr>
          <w:lang w:eastAsia="ar-SA"/>
        </w:rPr>
        <w:t>re followed up by CAR personnel after two weeks; everyone else is sent a reminder letter from the Coordination Centre after four weeks</w:t>
      </w:r>
      <w:r w:rsidR="00C95E41">
        <w:rPr>
          <w:lang w:eastAsia="ar-SA"/>
        </w:rPr>
        <w:t xml:space="preserve">.  </w:t>
      </w:r>
      <w:r w:rsidR="00C95E41" w:rsidRPr="00FE327E">
        <w:rPr>
          <w:lang w:eastAsia="ar-SA"/>
        </w:rPr>
        <w:t>T</w:t>
      </w:r>
      <w:r w:rsidR="00D41CB4">
        <w:rPr>
          <w:lang w:eastAsia="ar-SA"/>
        </w:rPr>
        <w:t>he purpose of active follow-up wa</w:t>
      </w:r>
      <w:r w:rsidR="00C95E41" w:rsidRPr="00FE327E">
        <w:rPr>
          <w:lang w:eastAsia="ar-SA"/>
        </w:rPr>
        <w:t xml:space="preserve">s to encourage and enable people to complete their test kit.  </w:t>
      </w:r>
    </w:p>
    <w:p w:rsidR="00C95E41" w:rsidRPr="00FE327E" w:rsidRDefault="00992ECC" w:rsidP="00C95E41">
      <w:pPr>
        <w:pStyle w:val="Bullet"/>
        <w:numPr>
          <w:ilvl w:val="0"/>
          <w:numId w:val="0"/>
        </w:numPr>
        <w:tabs>
          <w:tab w:val="num" w:pos="2126"/>
          <w:tab w:val="num" w:pos="6663"/>
        </w:tabs>
        <w:ind w:left="1069"/>
        <w:rPr>
          <w:lang w:eastAsia="ar-SA"/>
        </w:rPr>
      </w:pPr>
      <w:r>
        <w:rPr>
          <w:lang w:eastAsia="ar-SA"/>
        </w:rPr>
        <w:t>The BSP Register does not have phone numbers.  A</w:t>
      </w:r>
      <w:r w:rsidR="00D41CB4">
        <w:rPr>
          <w:lang w:eastAsia="ar-SA"/>
        </w:rPr>
        <w:t xml:space="preserve">ctive follow-up phone calls </w:t>
      </w:r>
      <w:r>
        <w:rPr>
          <w:lang w:eastAsia="ar-SA"/>
        </w:rPr>
        <w:t xml:space="preserve">were therefore dependent on </w:t>
      </w:r>
      <w:r w:rsidR="00C75939" w:rsidRPr="00FE327E">
        <w:rPr>
          <w:lang w:eastAsia="ar-SA"/>
        </w:rPr>
        <w:t>Coor</w:t>
      </w:r>
      <w:r w:rsidR="00C75939">
        <w:rPr>
          <w:lang w:eastAsia="ar-SA"/>
        </w:rPr>
        <w:t xml:space="preserve">dinators </w:t>
      </w:r>
      <w:r>
        <w:rPr>
          <w:lang w:eastAsia="ar-SA"/>
        </w:rPr>
        <w:t xml:space="preserve">being able to </w:t>
      </w:r>
      <w:r w:rsidR="00C75939">
        <w:rPr>
          <w:lang w:eastAsia="ar-SA"/>
        </w:rPr>
        <w:t>identify</w:t>
      </w:r>
      <w:r>
        <w:rPr>
          <w:lang w:eastAsia="ar-SA"/>
        </w:rPr>
        <w:t xml:space="preserve"> p</w:t>
      </w:r>
      <w:r w:rsidR="00C95E41" w:rsidRPr="00FE327E">
        <w:rPr>
          <w:lang w:eastAsia="ar-SA"/>
        </w:rPr>
        <w:t>hone number</w:t>
      </w:r>
      <w:r>
        <w:rPr>
          <w:lang w:eastAsia="ar-SA"/>
        </w:rPr>
        <w:t>s</w:t>
      </w:r>
      <w:r w:rsidR="00C95E41" w:rsidRPr="00FE327E">
        <w:rPr>
          <w:lang w:eastAsia="ar-SA"/>
        </w:rPr>
        <w:t xml:space="preserve"> via the </w:t>
      </w:r>
      <w:r w:rsidR="00C95E41">
        <w:rPr>
          <w:lang w:eastAsia="ar-SA"/>
        </w:rPr>
        <w:t>W</w:t>
      </w:r>
      <w:r w:rsidR="00C95E41" w:rsidRPr="00FE327E">
        <w:rPr>
          <w:lang w:eastAsia="ar-SA"/>
        </w:rPr>
        <w:t xml:space="preserve">hite </w:t>
      </w:r>
      <w:r w:rsidR="00C95E41">
        <w:rPr>
          <w:lang w:eastAsia="ar-SA"/>
        </w:rPr>
        <w:t>P</w:t>
      </w:r>
      <w:r w:rsidR="00C95E41" w:rsidRPr="00FE327E">
        <w:rPr>
          <w:lang w:eastAsia="ar-SA"/>
        </w:rPr>
        <w:t xml:space="preserve">ages or WDHB </w:t>
      </w:r>
      <w:r w:rsidR="00403D41">
        <w:rPr>
          <w:lang w:eastAsia="ar-SA"/>
        </w:rPr>
        <w:t>iPIMS</w:t>
      </w:r>
      <w:r>
        <w:rPr>
          <w:lang w:eastAsia="ar-SA"/>
        </w:rPr>
        <w:t xml:space="preserve">. </w:t>
      </w:r>
      <w:r w:rsidR="00C95E41" w:rsidRPr="00FE327E">
        <w:rPr>
          <w:lang w:eastAsia="ar-SA"/>
        </w:rPr>
        <w:t>Coor</w:t>
      </w:r>
      <w:r w:rsidR="00C95E41">
        <w:rPr>
          <w:lang w:eastAsia="ar-SA"/>
        </w:rPr>
        <w:t xml:space="preserve">dinators </w:t>
      </w:r>
      <w:r w:rsidR="00403D41">
        <w:rPr>
          <w:lang w:eastAsia="ar-SA"/>
        </w:rPr>
        <w:t>also f</w:t>
      </w:r>
      <w:r w:rsidR="00C95E41">
        <w:rPr>
          <w:lang w:eastAsia="ar-SA"/>
        </w:rPr>
        <w:t>ollow</w:t>
      </w:r>
      <w:r w:rsidR="00403D41">
        <w:rPr>
          <w:lang w:eastAsia="ar-SA"/>
        </w:rPr>
        <w:t xml:space="preserve">ed </w:t>
      </w:r>
      <w:r w:rsidR="00C95E41" w:rsidRPr="00FE327E">
        <w:rPr>
          <w:lang w:eastAsia="ar-SA"/>
        </w:rPr>
        <w:t xml:space="preserve">up with a home visit if requested.  </w:t>
      </w:r>
    </w:p>
    <w:p w:rsidR="00C95E41" w:rsidRPr="00705729" w:rsidRDefault="004E1ED7" w:rsidP="00604AA9">
      <w:pPr>
        <w:pStyle w:val="Bullet"/>
        <w:numPr>
          <w:ilvl w:val="0"/>
          <w:numId w:val="10"/>
        </w:numPr>
        <w:tabs>
          <w:tab w:val="num" w:pos="2126"/>
          <w:tab w:val="num" w:pos="6663"/>
        </w:tabs>
        <w:ind w:left="1069"/>
      </w:pPr>
      <w:r>
        <w:rPr>
          <w:lang w:eastAsia="ar-SA"/>
        </w:rPr>
        <w:t>S</w:t>
      </w:r>
      <w:r w:rsidR="00C95E41">
        <w:rPr>
          <w:lang w:eastAsia="ar-SA"/>
        </w:rPr>
        <w:t>poilt kit follow-up</w:t>
      </w:r>
      <w:r w:rsidR="00C95E41" w:rsidRPr="00697D47">
        <w:rPr>
          <w:rStyle w:val="FootnoteReference"/>
        </w:rPr>
        <w:footnoteReference w:id="65"/>
      </w:r>
      <w:r w:rsidR="00C95E41">
        <w:rPr>
          <w:lang w:eastAsia="ar-SA"/>
        </w:rPr>
        <w:t xml:space="preserve"> where </w:t>
      </w:r>
      <w:r w:rsidR="00C95E41" w:rsidRPr="00A76BE3">
        <w:rPr>
          <w:lang w:eastAsia="ar-SA"/>
        </w:rPr>
        <w:t>CAR Coordinators</w:t>
      </w:r>
      <w:r w:rsidR="00C95E41">
        <w:rPr>
          <w:lang w:eastAsia="ar-SA"/>
        </w:rPr>
        <w:t xml:space="preserve"> and West Fono</w:t>
      </w:r>
      <w:r w:rsidR="00C95E41" w:rsidRPr="00A76BE3">
        <w:rPr>
          <w:lang w:eastAsia="ar-SA"/>
        </w:rPr>
        <w:t xml:space="preserve"> receive a list of people who have returned spoilt kits.  The </w:t>
      </w:r>
      <w:r w:rsidR="00C95E41" w:rsidRPr="00A76BE3">
        <w:t xml:space="preserve">first time </w:t>
      </w:r>
      <w:r w:rsidR="00C95E41" w:rsidRPr="00A76BE3">
        <w:rPr>
          <w:lang w:val="mi-NZ"/>
        </w:rPr>
        <w:t xml:space="preserve">Māori, </w:t>
      </w:r>
      <w:r w:rsidR="00C75939" w:rsidRPr="00A76BE3">
        <w:rPr>
          <w:lang w:val="mi-NZ"/>
        </w:rPr>
        <w:t>Pacific, Chinese and Korean participant</w:t>
      </w:r>
      <w:r w:rsidR="00C75939">
        <w:rPr>
          <w:lang w:val="mi-NZ"/>
        </w:rPr>
        <w:t>s</w:t>
      </w:r>
      <w:r w:rsidR="00C75939" w:rsidRPr="00A76BE3">
        <w:rPr>
          <w:lang w:val="mi-NZ"/>
        </w:rPr>
        <w:t xml:space="preserve"> return a spoilt kit the CAR Coordinators phone and advise</w:t>
      </w:r>
      <w:r w:rsidR="00C95E41" w:rsidRPr="00A76BE3">
        <w:t xml:space="preserve"> on how to complete the kit correctly.  They are then sent a replacement kit.  If </w:t>
      </w:r>
      <w:r w:rsidR="00C95E41" w:rsidRPr="00A76BE3">
        <w:rPr>
          <w:lang w:eastAsia="ar-SA"/>
        </w:rPr>
        <w:t>CAR Coordinators</w:t>
      </w:r>
      <w:r w:rsidR="00C95E41" w:rsidRPr="00A76BE3">
        <w:t xml:space="preserve"> are unable to contact </w:t>
      </w:r>
      <w:r w:rsidR="00C95E41" w:rsidRPr="00A76BE3">
        <w:rPr>
          <w:lang w:val="mi-NZ"/>
        </w:rPr>
        <w:t xml:space="preserve">Māori, Pacific, Chinese and Korean participants </w:t>
      </w:r>
      <w:r w:rsidR="00C95E41" w:rsidRPr="00A76BE3">
        <w:t>by phone</w:t>
      </w:r>
      <w:r w:rsidR="00C95E41">
        <w:t>,</w:t>
      </w:r>
      <w:r w:rsidR="00C95E41" w:rsidRPr="00A76BE3">
        <w:t xml:space="preserve"> a letter is sen</w:t>
      </w:r>
      <w:r w:rsidR="00C95E41">
        <w:t>t</w:t>
      </w:r>
      <w:r w:rsidR="00C95E41" w:rsidRPr="00A76BE3">
        <w:t xml:space="preserve"> with a second kit.  </w:t>
      </w:r>
      <w:r w:rsidR="00403D41">
        <w:t xml:space="preserve"> </w:t>
      </w:r>
    </w:p>
    <w:p w:rsidR="0007073E" w:rsidRDefault="004E1ED7" w:rsidP="00604AA9">
      <w:pPr>
        <w:pStyle w:val="Bullet"/>
        <w:numPr>
          <w:ilvl w:val="0"/>
          <w:numId w:val="10"/>
        </w:numPr>
        <w:tabs>
          <w:tab w:val="num" w:pos="2126"/>
          <w:tab w:val="num" w:pos="6663"/>
        </w:tabs>
        <w:ind w:left="1069"/>
        <w:rPr>
          <w:lang w:eastAsia="ar-SA"/>
        </w:rPr>
      </w:pPr>
      <w:r>
        <w:rPr>
          <w:lang w:eastAsia="ar-SA"/>
        </w:rPr>
        <w:t>C</w:t>
      </w:r>
      <w:r w:rsidR="00501823">
        <w:rPr>
          <w:lang w:eastAsia="ar-SA"/>
        </w:rPr>
        <w:t>olonoscopy support</w:t>
      </w:r>
      <w:r w:rsidR="004B29B5">
        <w:rPr>
          <w:lang w:eastAsia="ar-SA"/>
        </w:rPr>
        <w:t xml:space="preserve"> </w:t>
      </w:r>
      <w:r w:rsidR="00C75939">
        <w:rPr>
          <w:lang w:eastAsia="ar-SA"/>
        </w:rPr>
        <w:t xml:space="preserve">for Pacific people </w:t>
      </w:r>
      <w:r w:rsidR="004B29B5">
        <w:rPr>
          <w:lang w:eastAsia="ar-SA"/>
        </w:rPr>
        <w:t>which</w:t>
      </w:r>
      <w:r w:rsidR="0007073E">
        <w:rPr>
          <w:lang w:eastAsia="ar-SA"/>
        </w:rPr>
        <w:t xml:space="preserve"> involves contacting </w:t>
      </w:r>
      <w:r w:rsidR="00C75939">
        <w:rPr>
          <w:lang w:eastAsia="ar-SA"/>
        </w:rPr>
        <w:t xml:space="preserve">those </w:t>
      </w:r>
      <w:r w:rsidR="0007073E">
        <w:rPr>
          <w:lang w:eastAsia="ar-SA"/>
        </w:rPr>
        <w:t>who are having a colonoscopy, explaining the procedure to them, ensuring they understand what preparation they need to do, answering any questions they might have and, if needed, providing t</w:t>
      </w:r>
      <w:r w:rsidR="00560761">
        <w:rPr>
          <w:lang w:eastAsia="ar-SA"/>
        </w:rPr>
        <w:t xml:space="preserve">ransport to </w:t>
      </w:r>
      <w:r w:rsidR="00403D41">
        <w:rPr>
          <w:lang w:eastAsia="ar-SA"/>
        </w:rPr>
        <w:t>WHEU</w:t>
      </w:r>
      <w:r w:rsidR="0007073E">
        <w:rPr>
          <w:lang w:eastAsia="ar-SA"/>
        </w:rPr>
        <w:t xml:space="preserve">.  </w:t>
      </w:r>
    </w:p>
    <w:p w:rsidR="00501823" w:rsidRPr="00FE327E" w:rsidRDefault="00501823" w:rsidP="00501823">
      <w:r w:rsidRPr="00C95E41">
        <w:rPr>
          <w:lang w:eastAsia="ar-SA"/>
        </w:rPr>
        <w:t>CAR resources</w:t>
      </w:r>
      <w:r w:rsidR="00407355">
        <w:rPr>
          <w:lang w:eastAsia="ar-SA"/>
        </w:rPr>
        <w:t xml:space="preserve"> were also developed and distributed.</w:t>
      </w:r>
      <w:r w:rsidR="00C75939">
        <w:rPr>
          <w:lang w:eastAsia="ar-SA"/>
        </w:rPr>
        <w:t xml:space="preserve"> </w:t>
      </w:r>
      <w:r w:rsidR="00407355">
        <w:rPr>
          <w:lang w:eastAsia="ar-SA"/>
        </w:rPr>
        <w:t xml:space="preserve"> These</w:t>
      </w:r>
      <w:r w:rsidRPr="00C95E41">
        <w:rPr>
          <w:lang w:eastAsia="ar-SA"/>
        </w:rPr>
        <w:t xml:space="preserve"> </w:t>
      </w:r>
      <w:r w:rsidR="00560761">
        <w:rPr>
          <w:lang w:eastAsia="ar-SA"/>
        </w:rPr>
        <w:t>includ</w:t>
      </w:r>
      <w:r w:rsidR="00407355">
        <w:rPr>
          <w:lang w:eastAsia="ar-SA"/>
        </w:rPr>
        <w:t>ed</w:t>
      </w:r>
      <w:r w:rsidRPr="00C95E41">
        <w:rPr>
          <w:lang w:eastAsia="ar-SA"/>
        </w:rPr>
        <w:t xml:space="preserve"> presentations and translation of presentations into Samoan,</w:t>
      </w:r>
      <w:r w:rsidRPr="00FE327E">
        <w:rPr>
          <w:lang w:eastAsia="ar-SA"/>
        </w:rPr>
        <w:t xml:space="preserve"> Tongan, Niuean, and Tuvaluan, and basic information brochure</w:t>
      </w:r>
      <w:r w:rsidR="00407355">
        <w:rPr>
          <w:lang w:eastAsia="ar-SA"/>
        </w:rPr>
        <w:t>s</w:t>
      </w:r>
      <w:r w:rsidRPr="00FE327E">
        <w:rPr>
          <w:lang w:eastAsia="ar-SA"/>
        </w:rPr>
        <w:t xml:space="preserve"> in M</w:t>
      </w:r>
      <w:r>
        <w:rPr>
          <w:rFonts w:cs="Arial"/>
          <w:lang w:eastAsia="ar-SA"/>
        </w:rPr>
        <w:t>ā</w:t>
      </w:r>
      <w:r w:rsidRPr="00FE327E">
        <w:rPr>
          <w:lang w:eastAsia="ar-SA"/>
        </w:rPr>
        <w:t xml:space="preserve">ori, Samoan, Tongan, </w:t>
      </w:r>
      <w:proofErr w:type="gramStart"/>
      <w:r w:rsidRPr="00FE327E">
        <w:rPr>
          <w:lang w:eastAsia="ar-SA"/>
        </w:rPr>
        <w:t>Korean</w:t>
      </w:r>
      <w:proofErr w:type="gramEnd"/>
      <w:r w:rsidRPr="00FE327E">
        <w:rPr>
          <w:lang w:eastAsia="ar-SA"/>
        </w:rPr>
        <w:t>, Chinese and English using community ‘hero</w:t>
      </w:r>
      <w:r>
        <w:rPr>
          <w:lang w:eastAsia="ar-SA"/>
        </w:rPr>
        <w:t>e</w:t>
      </w:r>
      <w:r w:rsidRPr="00FE327E">
        <w:rPr>
          <w:lang w:eastAsia="ar-SA"/>
        </w:rPr>
        <w:t>s</w:t>
      </w:r>
      <w:r w:rsidR="00C95E41">
        <w:rPr>
          <w:lang w:eastAsia="ar-SA"/>
        </w:rPr>
        <w:t xml:space="preserve">’. </w:t>
      </w:r>
    </w:p>
    <w:p w:rsidR="009074CB" w:rsidRDefault="009074CB" w:rsidP="009074CB">
      <w:pPr>
        <w:pStyle w:val="Heading4"/>
      </w:pPr>
      <w:r w:rsidRPr="00874489">
        <w:t xml:space="preserve">Communication </w:t>
      </w:r>
      <w:r>
        <w:t>strategy</w:t>
      </w:r>
    </w:p>
    <w:p w:rsidR="009074CB" w:rsidRPr="00874489" w:rsidRDefault="009074CB" w:rsidP="009074CB">
      <w:pPr>
        <w:rPr>
          <w:lang w:eastAsia="ar-SA"/>
        </w:rPr>
      </w:pPr>
      <w:r>
        <w:rPr>
          <w:rFonts w:cs="Arial"/>
        </w:rPr>
        <w:t xml:space="preserve">In April 2012, WDHB finalised the Strategic Communications Plan for the BSP (WDHB, 2012d).  </w:t>
      </w:r>
      <w:r w:rsidRPr="009074CB">
        <w:rPr>
          <w:rFonts w:cs="Arial"/>
        </w:rPr>
        <w:t xml:space="preserve">The </w:t>
      </w:r>
      <w:r w:rsidRPr="009074CB">
        <w:rPr>
          <w:rFonts w:cs="Arial"/>
          <w:color w:val="000000"/>
        </w:rPr>
        <w:t xml:space="preserve">overall communication </w:t>
      </w:r>
      <w:r>
        <w:rPr>
          <w:rFonts w:cs="Arial"/>
          <w:color w:val="000000"/>
        </w:rPr>
        <w:t>goal i</w:t>
      </w:r>
      <w:r w:rsidRPr="009074CB">
        <w:rPr>
          <w:rFonts w:cs="Arial"/>
          <w:color w:val="000000"/>
        </w:rPr>
        <w:t>s to make the general public more aware of bowel cancer and the BSP, and to encourage participation in the programme.</w:t>
      </w:r>
      <w:r>
        <w:rPr>
          <w:rFonts w:cs="Arial"/>
          <w:color w:val="000000"/>
        </w:rPr>
        <w:t xml:space="preserve"> </w:t>
      </w:r>
    </w:p>
    <w:p w:rsidR="009074CB" w:rsidRPr="009B38D3" w:rsidRDefault="009074CB" w:rsidP="009074CB">
      <w:pPr>
        <w:rPr>
          <w:lang w:eastAsia="ar-SA"/>
        </w:rPr>
      </w:pPr>
      <w:r>
        <w:rPr>
          <w:rFonts w:cs="Arial"/>
        </w:rPr>
        <w:t>Four primary target audiences receive regular communications about the BSP: e</w:t>
      </w:r>
      <w:r w:rsidRPr="00172C9A">
        <w:rPr>
          <w:lang w:eastAsia="ar-SA"/>
        </w:rPr>
        <w:t>ligible participants and influencers who interact with them</w:t>
      </w:r>
      <w:r>
        <w:rPr>
          <w:lang w:eastAsia="ar-SA"/>
        </w:rPr>
        <w:t>; p</w:t>
      </w:r>
      <w:r w:rsidRPr="007A227C">
        <w:rPr>
          <w:lang w:eastAsia="ar-SA"/>
        </w:rPr>
        <w:t>rimary care pro</w:t>
      </w:r>
      <w:r>
        <w:rPr>
          <w:lang w:eastAsia="ar-SA"/>
        </w:rPr>
        <w:t>viders and health professionals; c</w:t>
      </w:r>
      <w:r w:rsidRPr="009B38D3">
        <w:rPr>
          <w:lang w:eastAsia="ar-SA"/>
        </w:rPr>
        <w:t>ommunity groups, NGOs, and local health organisations</w:t>
      </w:r>
      <w:r>
        <w:rPr>
          <w:lang w:eastAsia="ar-SA"/>
        </w:rPr>
        <w:t>; and W</w:t>
      </w:r>
      <w:r w:rsidRPr="009B38D3">
        <w:rPr>
          <w:lang w:eastAsia="ar-SA"/>
        </w:rPr>
        <w:t>DHB staff and partners.</w:t>
      </w:r>
    </w:p>
    <w:p w:rsidR="009074CB" w:rsidRPr="009074CB" w:rsidRDefault="003D209D" w:rsidP="009074CB">
      <w:pPr>
        <w:rPr>
          <w:rFonts w:cs="Arial"/>
        </w:rPr>
      </w:pPr>
      <w:r>
        <w:rPr>
          <w:rFonts w:cs="Arial"/>
        </w:rPr>
        <w:lastRenderedPageBreak/>
        <w:t xml:space="preserve">Key communication channels include: </w:t>
      </w:r>
      <w:r w:rsidRPr="009074CB">
        <w:rPr>
          <w:rFonts w:cs="Arial"/>
        </w:rPr>
        <w:t>m</w:t>
      </w:r>
      <w:r w:rsidRPr="009074CB">
        <w:rPr>
          <w:lang w:eastAsia="ar-SA"/>
        </w:rPr>
        <w:t>edia including local media placement, a</w:t>
      </w:r>
      <w:r w:rsidRPr="009074CB">
        <w:rPr>
          <w:rFonts w:cs="Arial"/>
        </w:rPr>
        <w:t>dvertising</w:t>
      </w:r>
      <w:r w:rsidRPr="0047775B">
        <w:rPr>
          <w:rFonts w:cs="Arial"/>
        </w:rPr>
        <w:t xml:space="preserve"> including </w:t>
      </w:r>
      <w:r>
        <w:rPr>
          <w:rFonts w:cs="Arial"/>
        </w:rPr>
        <w:t>p</w:t>
      </w:r>
      <w:r w:rsidRPr="0047775B">
        <w:rPr>
          <w:rFonts w:cs="Arial"/>
        </w:rPr>
        <w:t>rint advertising in loc</w:t>
      </w:r>
      <w:r>
        <w:rPr>
          <w:rFonts w:cs="Arial"/>
        </w:rPr>
        <w:t xml:space="preserve">al newspapers, </w:t>
      </w:r>
      <w:r w:rsidRPr="009074CB">
        <w:rPr>
          <w:rFonts w:cs="Arial"/>
        </w:rPr>
        <w:t>i</w:t>
      </w:r>
      <w:r w:rsidRPr="009074CB">
        <w:rPr>
          <w:rFonts w:cs="Arial"/>
          <w:lang w:val="en-AU"/>
        </w:rPr>
        <w:t>nternal and external newsletters, p</w:t>
      </w:r>
      <w:r w:rsidRPr="009074CB">
        <w:rPr>
          <w:rFonts w:cs="Arial"/>
        </w:rPr>
        <w:t>ublic relations, stakeholder collateral, Bowel</w:t>
      </w:r>
      <w:r>
        <w:rPr>
          <w:rFonts w:cs="Arial"/>
        </w:rPr>
        <w:t xml:space="preserve"> </w:t>
      </w:r>
      <w:r w:rsidRPr="009074CB">
        <w:rPr>
          <w:rFonts w:cs="Arial"/>
        </w:rPr>
        <w:t>Screening Waitemata website (</w:t>
      </w:r>
      <w:hyperlink r:id="rId32" w:history="1">
        <w:r w:rsidRPr="009074CB">
          <w:rPr>
            <w:rStyle w:val="Hyperlink"/>
            <w:rFonts w:cs="Arial"/>
          </w:rPr>
          <w:t>http://www.bowelscreeningwaitemata.co.nz/</w:t>
        </w:r>
      </w:hyperlink>
      <w:r w:rsidRPr="009074CB">
        <w:rPr>
          <w:rFonts w:cs="Arial"/>
        </w:rPr>
        <w:t xml:space="preserve">), other websites and other internal WDHB communications channels. </w:t>
      </w:r>
    </w:p>
    <w:p w:rsidR="0007073E" w:rsidRDefault="00987B75" w:rsidP="00987B75">
      <w:pPr>
        <w:pStyle w:val="Heading4"/>
      </w:pPr>
      <w:r w:rsidRPr="00560761">
        <w:t xml:space="preserve">Immersion visit findings </w:t>
      </w:r>
    </w:p>
    <w:p w:rsidR="002C71C1" w:rsidRDefault="002C71C1" w:rsidP="00987B75">
      <w:r>
        <w:t xml:space="preserve">Review of the BSP implementation </w:t>
      </w:r>
      <w:r w:rsidR="00987B75">
        <w:t xml:space="preserve">in 2012 (Litmus 2013a) </w:t>
      </w:r>
      <w:r>
        <w:t>highlighted a number of areas where the implementation process could be strengthened to ensure a</w:t>
      </w:r>
      <w:r w:rsidRPr="00E260EB">
        <w:t xml:space="preserve"> sustained </w:t>
      </w:r>
      <w:r w:rsidR="004B29B5">
        <w:t>equity approach, specifically:</w:t>
      </w:r>
      <w:r>
        <w:t xml:space="preserve"> </w:t>
      </w:r>
    </w:p>
    <w:p w:rsidR="002C71C1" w:rsidRDefault="002C71C1" w:rsidP="00604AA9">
      <w:pPr>
        <w:pStyle w:val="Bullet"/>
        <w:numPr>
          <w:ilvl w:val="0"/>
          <w:numId w:val="10"/>
        </w:numPr>
        <w:tabs>
          <w:tab w:val="num" w:pos="2126"/>
          <w:tab w:val="num" w:pos="6663"/>
        </w:tabs>
        <w:ind w:left="1069"/>
        <w:rPr>
          <w:lang w:eastAsia="ar-SA"/>
        </w:rPr>
      </w:pPr>
      <w:r>
        <w:rPr>
          <w:lang w:eastAsia="ar-SA"/>
        </w:rPr>
        <w:t xml:space="preserve">Investigating ways to increase Māori and Pacific involvement </w:t>
      </w:r>
      <w:r w:rsidR="00AB68EC">
        <w:rPr>
          <w:lang w:eastAsia="ar-SA"/>
        </w:rPr>
        <w:t>in</w:t>
      </w:r>
      <w:r w:rsidR="00C75939">
        <w:rPr>
          <w:lang w:eastAsia="ar-SA"/>
        </w:rPr>
        <w:t xml:space="preserve"> decision-</w:t>
      </w:r>
      <w:r>
        <w:rPr>
          <w:lang w:eastAsia="ar-SA"/>
        </w:rPr>
        <w:t>making in the BSP at leadership and operational levels</w:t>
      </w:r>
      <w:r w:rsidR="00AB68EC">
        <w:rPr>
          <w:lang w:eastAsia="ar-SA"/>
        </w:rPr>
        <w:t>.</w:t>
      </w:r>
      <w:r>
        <w:rPr>
          <w:lang w:eastAsia="ar-SA"/>
        </w:rPr>
        <w:t xml:space="preserve"> </w:t>
      </w:r>
    </w:p>
    <w:p w:rsidR="00AB68EC" w:rsidRDefault="00AB68EC" w:rsidP="00604AA9">
      <w:pPr>
        <w:pStyle w:val="Bullet"/>
        <w:numPr>
          <w:ilvl w:val="0"/>
          <w:numId w:val="10"/>
        </w:numPr>
        <w:tabs>
          <w:tab w:val="num" w:pos="2126"/>
          <w:tab w:val="num" w:pos="6663"/>
        </w:tabs>
        <w:ind w:left="1069"/>
        <w:rPr>
          <w:lang w:eastAsia="ar-SA"/>
        </w:rPr>
      </w:pPr>
      <w:r w:rsidRPr="00987B75">
        <w:rPr>
          <w:lang w:eastAsia="ar-SA"/>
        </w:rPr>
        <w:t xml:space="preserve">Revising the BSP communications material so those with low literacy and/or English as another language can make an informed decision on whether to take part.  </w:t>
      </w:r>
    </w:p>
    <w:p w:rsidR="00C74FFB" w:rsidRDefault="002C71C1" w:rsidP="00604AA9">
      <w:pPr>
        <w:pStyle w:val="Bullet"/>
        <w:numPr>
          <w:ilvl w:val="0"/>
          <w:numId w:val="10"/>
        </w:numPr>
        <w:tabs>
          <w:tab w:val="num" w:pos="2126"/>
          <w:tab w:val="num" w:pos="6663"/>
        </w:tabs>
        <w:ind w:left="1069"/>
      </w:pPr>
      <w:r>
        <w:rPr>
          <w:lang w:eastAsia="ar-SA"/>
        </w:rPr>
        <w:t>Determining whether the current screening pathway for the BSP need</w:t>
      </w:r>
      <w:r w:rsidR="004B29B5">
        <w:rPr>
          <w:lang w:eastAsia="ar-SA"/>
        </w:rPr>
        <w:t>s</w:t>
      </w:r>
      <w:r>
        <w:rPr>
          <w:lang w:eastAsia="ar-SA"/>
        </w:rPr>
        <w:t xml:space="preserve"> to be revised to be more appropriate for eligible M</w:t>
      </w:r>
      <w:r w:rsidRPr="00987B75">
        <w:rPr>
          <w:lang w:eastAsia="ar-SA"/>
        </w:rPr>
        <w:t>ā</w:t>
      </w:r>
      <w:r>
        <w:rPr>
          <w:lang w:eastAsia="ar-SA"/>
        </w:rPr>
        <w:t xml:space="preserve">ori and Pacific people, e.g. offering clinic-based test locations and sample drop-off choices. </w:t>
      </w:r>
      <w:r w:rsidR="00C74FFB">
        <w:rPr>
          <w:lang w:eastAsia="ar-SA"/>
        </w:rPr>
        <w:t xml:space="preserve"> </w:t>
      </w:r>
    </w:p>
    <w:p w:rsidR="002C71C1" w:rsidRPr="007A1028" w:rsidRDefault="002C71C1" w:rsidP="00604AA9">
      <w:pPr>
        <w:pStyle w:val="Bullet"/>
        <w:numPr>
          <w:ilvl w:val="0"/>
          <w:numId w:val="10"/>
        </w:numPr>
        <w:tabs>
          <w:tab w:val="num" w:pos="2126"/>
          <w:tab w:val="num" w:pos="6663"/>
        </w:tabs>
        <w:ind w:left="1069"/>
        <w:rPr>
          <w:lang w:eastAsia="ar-SA"/>
        </w:rPr>
      </w:pPr>
      <w:r w:rsidRPr="00987B75">
        <w:rPr>
          <w:lang w:eastAsia="ar-SA"/>
        </w:rPr>
        <w:t xml:space="preserve">Building on existing </w:t>
      </w:r>
      <w:r w:rsidR="007B2833">
        <w:rPr>
          <w:lang w:eastAsia="ar-SA"/>
        </w:rPr>
        <w:t>CAR</w:t>
      </w:r>
      <w:r w:rsidRPr="00987B75">
        <w:rPr>
          <w:lang w:eastAsia="ar-SA"/>
        </w:rPr>
        <w:t xml:space="preserve"> strategies </w:t>
      </w:r>
      <w:r w:rsidR="007B2833">
        <w:rPr>
          <w:lang w:eastAsia="ar-SA"/>
        </w:rPr>
        <w:t>for example</w:t>
      </w:r>
      <w:r w:rsidRPr="00987B75">
        <w:rPr>
          <w:lang w:eastAsia="ar-SA"/>
        </w:rPr>
        <w:t xml:space="preserve">, ‘kanohi ki te kanohi’ (a </w:t>
      </w:r>
      <w:r w:rsidR="00D25E1A">
        <w:rPr>
          <w:lang w:eastAsia="ar-SA"/>
        </w:rPr>
        <w:t>face</w:t>
      </w:r>
      <w:r w:rsidR="006A0995">
        <w:rPr>
          <w:lang w:eastAsia="ar-SA"/>
        </w:rPr>
        <w:t>-</w:t>
      </w:r>
      <w:r w:rsidR="00D25E1A">
        <w:rPr>
          <w:lang w:eastAsia="ar-SA"/>
        </w:rPr>
        <w:t>to</w:t>
      </w:r>
      <w:r w:rsidR="006A0995">
        <w:rPr>
          <w:lang w:eastAsia="ar-SA"/>
        </w:rPr>
        <w:t>-</w:t>
      </w:r>
      <w:r w:rsidR="00D25E1A">
        <w:rPr>
          <w:lang w:eastAsia="ar-SA"/>
        </w:rPr>
        <w:t xml:space="preserve">face </w:t>
      </w:r>
      <w:r w:rsidRPr="00987B75">
        <w:rPr>
          <w:lang w:eastAsia="ar-SA"/>
        </w:rPr>
        <w:t>approac</w:t>
      </w:r>
      <w:r w:rsidR="00D41CB4">
        <w:rPr>
          <w:lang w:eastAsia="ar-SA"/>
        </w:rPr>
        <w:t>h) may be</w:t>
      </w:r>
      <w:r w:rsidRPr="00987B75">
        <w:rPr>
          <w:lang w:eastAsia="ar-SA"/>
        </w:rPr>
        <w:t xml:space="preserve"> effective in seeking to overcome cultural opposition to bowel screening for some Māori.  </w:t>
      </w:r>
      <w:r w:rsidR="007B2833">
        <w:rPr>
          <w:lang w:eastAsia="ar-SA"/>
        </w:rPr>
        <w:t>A</w:t>
      </w:r>
      <w:r w:rsidRPr="00987B75">
        <w:rPr>
          <w:lang w:eastAsia="ar-SA"/>
        </w:rPr>
        <w:t xml:space="preserve"> range of strategies </w:t>
      </w:r>
      <w:r w:rsidR="007B2833">
        <w:rPr>
          <w:lang w:eastAsia="ar-SA"/>
        </w:rPr>
        <w:t xml:space="preserve">were </w:t>
      </w:r>
      <w:r w:rsidRPr="00987B75">
        <w:rPr>
          <w:lang w:eastAsia="ar-SA"/>
        </w:rPr>
        <w:t>put forward for Pacific people reflecting their diversity, however it is not known which are the</w:t>
      </w:r>
      <w:r w:rsidRPr="00987B75">
        <w:rPr>
          <w:lang w:val="en-US"/>
        </w:rPr>
        <w:t xml:space="preserve"> most effective</w:t>
      </w:r>
      <w:r w:rsidR="007B2833">
        <w:rPr>
          <w:lang w:val="en-US"/>
        </w:rPr>
        <w:t xml:space="preserve"> (Litmus 2013)</w:t>
      </w:r>
      <w:r w:rsidRPr="00987B75">
        <w:rPr>
          <w:lang w:val="en-US"/>
        </w:rPr>
        <w:t xml:space="preserve">.  </w:t>
      </w:r>
    </w:p>
    <w:p w:rsidR="009051C3" w:rsidRDefault="00987B75" w:rsidP="00987B75">
      <w:pPr>
        <w:pStyle w:val="Heading3"/>
      </w:pPr>
      <w:r>
        <w:t>Implementation (12</w:t>
      </w:r>
      <w:r w:rsidR="00F77429">
        <w:t>–</w:t>
      </w:r>
      <w:r>
        <w:t xml:space="preserve">18 months) </w:t>
      </w:r>
    </w:p>
    <w:p w:rsidR="00560761" w:rsidRDefault="00560761" w:rsidP="00560761">
      <w:pPr>
        <w:rPr>
          <w:lang w:val="en-US"/>
        </w:rPr>
      </w:pPr>
      <w:r>
        <w:rPr>
          <w:lang w:val="en-US"/>
        </w:rPr>
        <w:t>Recognising the ongoing lower participation in the BSP by eligible M</w:t>
      </w:r>
      <w:r>
        <w:rPr>
          <w:rFonts w:cs="Arial"/>
          <w:lang w:val="en-US"/>
        </w:rPr>
        <w:t>ā</w:t>
      </w:r>
      <w:r>
        <w:rPr>
          <w:lang w:val="en-US"/>
        </w:rPr>
        <w:t>ori and Pacific people, the BSP Coordination Centre took action in 2013 to review and revise their leadership structures and processes, including</w:t>
      </w:r>
      <w:r w:rsidR="00F77429">
        <w:rPr>
          <w:lang w:val="en-US"/>
        </w:rPr>
        <w:t xml:space="preserve"> (Litmus 2014)</w:t>
      </w:r>
      <w:r>
        <w:rPr>
          <w:lang w:val="en-US"/>
        </w:rPr>
        <w:t xml:space="preserve">:   </w:t>
      </w:r>
    </w:p>
    <w:p w:rsidR="00406DC9" w:rsidRPr="00995633" w:rsidRDefault="003D209D" w:rsidP="00604AA9">
      <w:pPr>
        <w:pStyle w:val="Bullet"/>
        <w:numPr>
          <w:ilvl w:val="0"/>
          <w:numId w:val="10"/>
        </w:numPr>
        <w:tabs>
          <w:tab w:val="num" w:pos="6663"/>
        </w:tabs>
        <w:ind w:left="1069"/>
        <w:rPr>
          <w:lang w:eastAsia="ar-SA"/>
        </w:rPr>
      </w:pPr>
      <w:proofErr w:type="gramStart"/>
      <w:r>
        <w:rPr>
          <w:lang w:eastAsia="ar-SA"/>
        </w:rPr>
        <w:t>e</w:t>
      </w:r>
      <w:r w:rsidR="00406DC9" w:rsidRPr="00995633">
        <w:rPr>
          <w:lang w:eastAsia="ar-SA"/>
        </w:rPr>
        <w:t>stablishing</w:t>
      </w:r>
      <w:proofErr w:type="gramEnd"/>
      <w:r w:rsidR="00406DC9" w:rsidRPr="00995633">
        <w:rPr>
          <w:lang w:eastAsia="ar-SA"/>
        </w:rPr>
        <w:t xml:space="preserve"> WDHB’s Kaitiaki Roopu to address the lack of robust Māori participation and partnership in the overall direction, design and governance of the BSP.  The purpose of the Kaitiaki Roopu is to provide a Treaty of Waitangi based </w:t>
      </w:r>
      <w:r w:rsidR="00406DC9">
        <w:rPr>
          <w:lang w:eastAsia="ar-SA"/>
        </w:rPr>
        <w:t>p</w:t>
      </w:r>
      <w:r w:rsidR="00406DC9" w:rsidRPr="00995633">
        <w:rPr>
          <w:lang w:eastAsia="ar-SA"/>
        </w:rPr>
        <w:t xml:space="preserve">artnership and </w:t>
      </w:r>
      <w:r w:rsidR="00406DC9">
        <w:rPr>
          <w:lang w:eastAsia="ar-SA"/>
        </w:rPr>
        <w:t>p</w:t>
      </w:r>
      <w:r w:rsidR="00406DC9" w:rsidRPr="00995633">
        <w:rPr>
          <w:lang w:eastAsia="ar-SA"/>
        </w:rPr>
        <w:t xml:space="preserve">articipation oversight to the WDHB BSP.  Kaitiaki Roopu also </w:t>
      </w:r>
      <w:r w:rsidR="00190B23" w:rsidRPr="00995633">
        <w:rPr>
          <w:lang w:eastAsia="ar-SA"/>
        </w:rPr>
        <w:t>provides</w:t>
      </w:r>
      <w:r w:rsidR="00406DC9" w:rsidRPr="00995633">
        <w:rPr>
          <w:lang w:eastAsia="ar-SA"/>
        </w:rPr>
        <w:t xml:space="preserve"> guidance, support, advice and links into the Māori community serviced by the WDHB to ensure Māori make informed decisions about the BSP.</w:t>
      </w:r>
    </w:p>
    <w:p w:rsidR="00406DC9" w:rsidRPr="00995633" w:rsidRDefault="003D209D" w:rsidP="00604AA9">
      <w:pPr>
        <w:pStyle w:val="Bullet"/>
        <w:numPr>
          <w:ilvl w:val="0"/>
          <w:numId w:val="10"/>
        </w:numPr>
        <w:tabs>
          <w:tab w:val="num" w:pos="6663"/>
        </w:tabs>
        <w:ind w:left="1069"/>
      </w:pPr>
      <w:proofErr w:type="gramStart"/>
      <w:r>
        <w:rPr>
          <w:lang w:eastAsia="ar-SA"/>
        </w:rPr>
        <w:t>having</w:t>
      </w:r>
      <w:proofErr w:type="gramEnd"/>
      <w:r>
        <w:rPr>
          <w:lang w:eastAsia="ar-SA"/>
        </w:rPr>
        <w:t xml:space="preserve"> r</w:t>
      </w:r>
      <w:r w:rsidR="00406DC9" w:rsidRPr="00995633">
        <w:rPr>
          <w:lang w:eastAsia="ar-SA"/>
        </w:rPr>
        <w:t>epresentatives from two Pacific providers continue to offer advice to the BSP Coordination Centre via the CAR group.  The DHB’s Manager, Pacific Health also attends CAR meetings from time to time and is available for ad hoc advice.</w:t>
      </w:r>
    </w:p>
    <w:p w:rsidR="00560761" w:rsidRDefault="003D209D" w:rsidP="00604AA9">
      <w:pPr>
        <w:pStyle w:val="Bullet"/>
        <w:numPr>
          <w:ilvl w:val="0"/>
          <w:numId w:val="10"/>
        </w:numPr>
        <w:tabs>
          <w:tab w:val="num" w:pos="6663"/>
        </w:tabs>
        <w:ind w:left="1069"/>
        <w:rPr>
          <w:lang w:eastAsia="ar-SA"/>
        </w:rPr>
      </w:pPr>
      <w:proofErr w:type="gramStart"/>
      <w:r>
        <w:rPr>
          <w:lang w:eastAsia="ar-SA"/>
        </w:rPr>
        <w:t>u</w:t>
      </w:r>
      <w:r w:rsidR="00406DC9" w:rsidRPr="00995633">
        <w:rPr>
          <w:lang w:eastAsia="ar-SA"/>
        </w:rPr>
        <w:t>ndertaking</w:t>
      </w:r>
      <w:proofErr w:type="gramEnd"/>
      <w:r w:rsidR="00406DC9" w:rsidRPr="00995633">
        <w:rPr>
          <w:lang w:eastAsia="ar-SA"/>
        </w:rPr>
        <w:t xml:space="preserve"> research to review communication collateral (Phoenix 2013) and revising the pre-invitation letter, kit instructions and consent form to be more accessible to all literacy levels.  These </w:t>
      </w:r>
      <w:r w:rsidR="00560761">
        <w:rPr>
          <w:lang w:eastAsia="ar-SA"/>
        </w:rPr>
        <w:t xml:space="preserve">revised </w:t>
      </w:r>
      <w:r w:rsidR="00406DC9" w:rsidRPr="00995633">
        <w:rPr>
          <w:lang w:eastAsia="ar-SA"/>
        </w:rPr>
        <w:t xml:space="preserve">documents </w:t>
      </w:r>
      <w:r w:rsidR="00560761">
        <w:rPr>
          <w:lang w:eastAsia="ar-SA"/>
        </w:rPr>
        <w:t>were introduced</w:t>
      </w:r>
      <w:r w:rsidR="00406DC9" w:rsidRPr="00995633">
        <w:rPr>
          <w:lang w:eastAsia="ar-SA"/>
        </w:rPr>
        <w:t xml:space="preserve"> in the second screening round </w:t>
      </w:r>
      <w:r w:rsidR="00C75939">
        <w:rPr>
          <w:lang w:eastAsia="ar-SA"/>
        </w:rPr>
        <w:t>beginning</w:t>
      </w:r>
      <w:r w:rsidR="00406DC9" w:rsidRPr="00995633">
        <w:rPr>
          <w:lang w:eastAsia="ar-SA"/>
        </w:rPr>
        <w:t xml:space="preserve"> January 2014.  </w:t>
      </w:r>
    </w:p>
    <w:p w:rsidR="00406DC9" w:rsidRPr="00995633" w:rsidRDefault="003D209D" w:rsidP="00604AA9">
      <w:pPr>
        <w:pStyle w:val="Bullet"/>
        <w:numPr>
          <w:ilvl w:val="0"/>
          <w:numId w:val="10"/>
        </w:numPr>
        <w:tabs>
          <w:tab w:val="num" w:pos="6663"/>
        </w:tabs>
        <w:ind w:left="1069"/>
      </w:pPr>
      <w:proofErr w:type="gramStart"/>
      <w:r>
        <w:rPr>
          <w:lang w:eastAsia="ar-SA"/>
        </w:rPr>
        <w:t>r</w:t>
      </w:r>
      <w:r w:rsidR="00406DC9" w:rsidRPr="00995633">
        <w:rPr>
          <w:lang w:eastAsia="ar-SA"/>
        </w:rPr>
        <w:t>evis</w:t>
      </w:r>
      <w:r>
        <w:rPr>
          <w:lang w:eastAsia="ar-SA"/>
        </w:rPr>
        <w:t>ing</w:t>
      </w:r>
      <w:proofErr w:type="gramEnd"/>
      <w:r w:rsidR="00406DC9" w:rsidRPr="00995633">
        <w:rPr>
          <w:lang w:eastAsia="ar-SA"/>
        </w:rPr>
        <w:t xml:space="preserve"> CAR processes to encourage completion of the iFOBT and to ensure kits are completed correctly.  Key changes include</w:t>
      </w:r>
      <w:r>
        <w:rPr>
          <w:lang w:eastAsia="ar-SA"/>
        </w:rPr>
        <w:t>d</w:t>
      </w:r>
      <w:r w:rsidR="00406DC9" w:rsidRPr="00995633">
        <w:rPr>
          <w:lang w:eastAsia="ar-SA"/>
        </w:rPr>
        <w:t xml:space="preserve">: </w:t>
      </w:r>
    </w:p>
    <w:p w:rsidR="00406DC9" w:rsidRPr="00995633" w:rsidRDefault="004236A8" w:rsidP="00604AA9">
      <w:pPr>
        <w:pStyle w:val="Bullet"/>
        <w:numPr>
          <w:ilvl w:val="1"/>
          <w:numId w:val="10"/>
        </w:numPr>
        <w:tabs>
          <w:tab w:val="clear" w:pos="1276"/>
          <w:tab w:val="left" w:pos="1560"/>
          <w:tab w:val="num" w:pos="6663"/>
        </w:tabs>
        <w:ind w:left="1560" w:hanging="426"/>
        <w:rPr>
          <w:lang w:eastAsia="ar-SA"/>
        </w:rPr>
      </w:pPr>
      <w:proofErr w:type="gramStart"/>
      <w:r>
        <w:t>f</w:t>
      </w:r>
      <w:r w:rsidR="00406DC9" w:rsidRPr="00995633">
        <w:t>ocusing</w:t>
      </w:r>
      <w:proofErr w:type="gramEnd"/>
      <w:r w:rsidR="00406DC9" w:rsidRPr="00995633">
        <w:t xml:space="preserve"> on active follow-up by Pacific, M</w:t>
      </w:r>
      <w:r w:rsidR="00406DC9" w:rsidRPr="00995633">
        <w:rPr>
          <w:rFonts w:cs="Arial"/>
        </w:rPr>
        <w:t>ā</w:t>
      </w:r>
      <w:r w:rsidR="00406DC9" w:rsidRPr="00995633">
        <w:t xml:space="preserve">ori, Korean and Chinese CAR coordinators by phoning non-responders within two weeks of sending the iFOBT kit.  </w:t>
      </w:r>
      <w:r w:rsidR="00406DC9" w:rsidRPr="00995633">
        <w:rPr>
          <w:lang w:eastAsia="ar-SA"/>
        </w:rPr>
        <w:t xml:space="preserve">A lack of up-to-date phone numbers </w:t>
      </w:r>
      <w:r w:rsidR="00AB68EC">
        <w:rPr>
          <w:lang w:eastAsia="ar-SA"/>
        </w:rPr>
        <w:t>continues to be an issue</w:t>
      </w:r>
      <w:r w:rsidR="00406DC9" w:rsidRPr="00995633">
        <w:rPr>
          <w:lang w:eastAsia="ar-SA"/>
        </w:rPr>
        <w:t xml:space="preserve">.  </w:t>
      </w:r>
    </w:p>
    <w:p w:rsidR="00406DC9" w:rsidRPr="00995633" w:rsidRDefault="004236A8" w:rsidP="00604AA9">
      <w:pPr>
        <w:pStyle w:val="Bullet"/>
        <w:numPr>
          <w:ilvl w:val="1"/>
          <w:numId w:val="10"/>
        </w:numPr>
        <w:tabs>
          <w:tab w:val="clear" w:pos="1276"/>
          <w:tab w:val="left" w:pos="1560"/>
          <w:tab w:val="num" w:pos="6663"/>
        </w:tabs>
        <w:ind w:left="1560" w:hanging="426"/>
      </w:pPr>
      <w:proofErr w:type="gramStart"/>
      <w:r>
        <w:lastRenderedPageBreak/>
        <w:t>e</w:t>
      </w:r>
      <w:r w:rsidR="00406DC9" w:rsidRPr="00995633">
        <w:t>mploying</w:t>
      </w:r>
      <w:proofErr w:type="gramEnd"/>
      <w:r w:rsidR="00406DC9" w:rsidRPr="00995633">
        <w:t xml:space="preserve"> a </w:t>
      </w:r>
      <w:r w:rsidR="00406DC9" w:rsidRPr="00995633">
        <w:rPr>
          <w:bCs/>
        </w:rPr>
        <w:t>Samoan male CAR coordinator</w:t>
      </w:r>
      <w:r w:rsidR="00406DC9" w:rsidRPr="00995633">
        <w:t xml:space="preserve"> from August 2013 to focus on active follow</w:t>
      </w:r>
      <w:r w:rsidR="00406DC9">
        <w:t>-</w:t>
      </w:r>
      <w:r w:rsidR="00406DC9" w:rsidRPr="00995633">
        <w:t xml:space="preserve">up with primarily Samoan and also other Pacific nations where appropriate.  The </w:t>
      </w:r>
      <w:r w:rsidR="00406DC9" w:rsidRPr="00995633">
        <w:rPr>
          <w:bCs/>
        </w:rPr>
        <w:t>Samoan CAR</w:t>
      </w:r>
      <w:r w:rsidR="00406DC9" w:rsidRPr="00995633">
        <w:t xml:space="preserve"> coordinator has also supported West Fono in community awareness presentations.</w:t>
      </w:r>
    </w:p>
    <w:p w:rsidR="00AB68EC" w:rsidRDefault="004236A8" w:rsidP="00604AA9">
      <w:pPr>
        <w:pStyle w:val="Bullet"/>
        <w:numPr>
          <w:ilvl w:val="1"/>
          <w:numId w:val="10"/>
        </w:numPr>
        <w:tabs>
          <w:tab w:val="clear" w:pos="1276"/>
          <w:tab w:val="left" w:pos="1560"/>
          <w:tab w:val="num" w:pos="6663"/>
        </w:tabs>
        <w:ind w:left="1560" w:hanging="426"/>
      </w:pPr>
      <w:r>
        <w:t>e</w:t>
      </w:r>
      <w:r w:rsidR="00406DC9" w:rsidRPr="00995633">
        <w:t xml:space="preserve">stablishing, following a review, a dedicated 0.5 </w:t>
      </w:r>
      <w:r w:rsidR="007E48C7">
        <w:t xml:space="preserve">full time equivalent </w:t>
      </w:r>
      <w:r w:rsidR="00375396">
        <w:t>(</w:t>
      </w:r>
      <w:r w:rsidR="00406DC9" w:rsidRPr="00995633">
        <w:t>FTE</w:t>
      </w:r>
      <w:r w:rsidR="00375396">
        <w:t>)</w:t>
      </w:r>
      <w:r w:rsidR="00406DC9" w:rsidRPr="00995633">
        <w:t xml:space="preserve"> </w:t>
      </w:r>
      <w:r w:rsidR="007E48C7">
        <w:t xml:space="preserve">position </w:t>
      </w:r>
      <w:r w:rsidR="00406DC9" w:rsidRPr="00995633">
        <w:t>with the Pacific provider West Fono to ensure contractual agreements such as follow</w:t>
      </w:r>
      <w:r w:rsidR="00406DC9">
        <w:t>-</w:t>
      </w:r>
      <w:r w:rsidR="00406DC9" w:rsidRPr="00995633">
        <w:t>up (spoilt kit and active follow</w:t>
      </w:r>
      <w:r w:rsidR="00406DC9">
        <w:t>-</w:t>
      </w:r>
      <w:r w:rsidR="00406DC9" w:rsidRPr="00995633">
        <w:t>up), group education sessions (and follow</w:t>
      </w:r>
      <w:r w:rsidR="00406DC9">
        <w:t>-</w:t>
      </w:r>
      <w:r w:rsidR="00406DC9" w:rsidRPr="00995633">
        <w:t xml:space="preserve">up from these sessions), home visits and leadership/coordination were completed.  </w:t>
      </w:r>
    </w:p>
    <w:p w:rsidR="00406DC9" w:rsidRPr="00995633" w:rsidRDefault="004236A8" w:rsidP="00604AA9">
      <w:pPr>
        <w:pStyle w:val="Bullet"/>
        <w:numPr>
          <w:ilvl w:val="1"/>
          <w:numId w:val="10"/>
        </w:numPr>
        <w:tabs>
          <w:tab w:val="clear" w:pos="1276"/>
          <w:tab w:val="left" w:pos="1560"/>
          <w:tab w:val="num" w:pos="6663"/>
        </w:tabs>
        <w:ind w:left="1560" w:hanging="426"/>
      </w:pPr>
      <w:proofErr w:type="gramStart"/>
      <w:r>
        <w:t>e</w:t>
      </w:r>
      <w:r w:rsidR="00406DC9" w:rsidRPr="00995633">
        <w:t>mploying</w:t>
      </w:r>
      <w:proofErr w:type="gramEnd"/>
      <w:r w:rsidR="00406DC9" w:rsidRPr="00995633">
        <w:t xml:space="preserve"> a new Māori female CAR Coordinator in July 2013 to follow up M</w:t>
      </w:r>
      <w:r w:rsidR="00406DC9" w:rsidRPr="00D41CB4">
        <w:t>ā</w:t>
      </w:r>
      <w:r w:rsidR="00406DC9" w:rsidRPr="00995633">
        <w:t xml:space="preserve">ori who do not participate and those who have incorrectly completed a kit.  The Māori CAR Coordinator also undertakes </w:t>
      </w:r>
      <w:r w:rsidR="00560761">
        <w:t xml:space="preserve">other </w:t>
      </w:r>
      <w:r w:rsidR="00406DC9" w:rsidRPr="00995633">
        <w:t xml:space="preserve">activities. </w:t>
      </w:r>
    </w:p>
    <w:p w:rsidR="00406DC9" w:rsidRPr="00995633" w:rsidRDefault="004236A8" w:rsidP="009433F2">
      <w:pPr>
        <w:pStyle w:val="Bullet"/>
        <w:keepNext/>
        <w:keepLines/>
        <w:numPr>
          <w:ilvl w:val="1"/>
          <w:numId w:val="10"/>
        </w:numPr>
        <w:tabs>
          <w:tab w:val="clear" w:pos="1276"/>
          <w:tab w:val="left" w:pos="1560"/>
          <w:tab w:val="num" w:pos="6663"/>
        </w:tabs>
        <w:ind w:left="1559" w:hanging="425"/>
      </w:pPr>
      <w:proofErr w:type="gramStart"/>
      <w:r>
        <w:t>d</w:t>
      </w:r>
      <w:r w:rsidR="00406DC9" w:rsidRPr="00995633">
        <w:t>eveloping</w:t>
      </w:r>
      <w:proofErr w:type="gramEnd"/>
      <w:r w:rsidR="00406DC9" w:rsidRPr="00995633">
        <w:t xml:space="preserve"> a DVD to encourage Māori participation.  A randomised control trial commenced in January 2012 to assess the extent to which the DVD supports higher participation levels</w:t>
      </w:r>
      <w:r w:rsidR="00406DC9" w:rsidRPr="00697D47">
        <w:rPr>
          <w:rStyle w:val="FootnoteReference"/>
        </w:rPr>
        <w:footnoteReference w:id="66"/>
      </w:r>
      <w:r w:rsidR="00406DC9" w:rsidRPr="00995633">
        <w:t xml:space="preserve">.  </w:t>
      </w:r>
      <w:r w:rsidR="00406DC9">
        <w:t xml:space="preserve">Pacific advisors indicated the DVD is also acceptable to use within the Pacific community. </w:t>
      </w:r>
    </w:p>
    <w:p w:rsidR="00406DC9" w:rsidRPr="00995633" w:rsidRDefault="004236A8" w:rsidP="00604AA9">
      <w:pPr>
        <w:pStyle w:val="Bullet"/>
        <w:numPr>
          <w:ilvl w:val="1"/>
          <w:numId w:val="10"/>
        </w:numPr>
        <w:tabs>
          <w:tab w:val="clear" w:pos="1276"/>
          <w:tab w:val="left" w:pos="1560"/>
          <w:tab w:val="num" w:pos="6663"/>
        </w:tabs>
        <w:ind w:left="1560" w:hanging="426"/>
      </w:pPr>
      <w:proofErr w:type="gramStart"/>
      <w:r>
        <w:t>d</w:t>
      </w:r>
      <w:r w:rsidR="00406DC9" w:rsidRPr="00995633">
        <w:t>eveloping</w:t>
      </w:r>
      <w:proofErr w:type="gramEnd"/>
      <w:r w:rsidR="00406DC9" w:rsidRPr="00995633">
        <w:t xml:space="preserve"> a DVD offering a step-by-step process to complete the bowel screening test using the iFOB</w:t>
      </w:r>
      <w:r w:rsidR="00414853">
        <w:t>T was posted on Y</w:t>
      </w:r>
      <w:r w:rsidR="00406DC9" w:rsidRPr="00995633">
        <w:t>ou</w:t>
      </w:r>
      <w:r w:rsidR="00414853">
        <w:t>T</w:t>
      </w:r>
      <w:r w:rsidR="00406DC9" w:rsidRPr="00995633">
        <w:t>ube and WDHB’s Bowel Screening website</w:t>
      </w:r>
      <w:r w:rsidR="00406DC9" w:rsidRPr="00697D47">
        <w:rPr>
          <w:rStyle w:val="FootnoteReference"/>
        </w:rPr>
        <w:footnoteReference w:id="67"/>
      </w:r>
      <w:r w:rsidR="00406DC9" w:rsidRPr="00995633">
        <w:t>.  The DVD was fronted by Mr Ily Delasau</w:t>
      </w:r>
      <w:r w:rsidR="00406DC9">
        <w:t xml:space="preserve">, </w:t>
      </w:r>
      <w:r w:rsidR="00406DC9" w:rsidRPr="00995633">
        <w:t xml:space="preserve">a Fijian surgical registrar at WDHB.  </w:t>
      </w:r>
      <w:r w:rsidR="00406DC9">
        <w:t>T</w:t>
      </w:r>
      <w:r w:rsidR="00406DC9" w:rsidRPr="00995633">
        <w:t xml:space="preserve">he </w:t>
      </w:r>
      <w:r w:rsidR="00406DC9">
        <w:t>YouT</w:t>
      </w:r>
      <w:r w:rsidR="00406DC9" w:rsidRPr="00995633">
        <w:t xml:space="preserve">ube video </w:t>
      </w:r>
      <w:r w:rsidR="00406DC9">
        <w:t xml:space="preserve">was posted on 7 October </w:t>
      </w:r>
      <w:r w:rsidR="003D209D">
        <w:t>2013</w:t>
      </w:r>
      <w:r w:rsidR="00406DC9">
        <w:t xml:space="preserve"> and by 13 February 2014 h</w:t>
      </w:r>
      <w:r w:rsidR="00406DC9" w:rsidRPr="00995633">
        <w:t xml:space="preserve">ad </w:t>
      </w:r>
      <w:r w:rsidR="00406DC9">
        <w:t xml:space="preserve">received </w:t>
      </w:r>
      <w:r w:rsidR="00406DC9" w:rsidRPr="00995633">
        <w:t>1</w:t>
      </w:r>
      <w:r w:rsidR="00406DC9">
        <w:t>23</w:t>
      </w:r>
      <w:r w:rsidR="00406DC9" w:rsidRPr="00995633">
        <w:t xml:space="preserve"> hits.</w:t>
      </w:r>
    </w:p>
    <w:p w:rsidR="00C12FD8" w:rsidRDefault="00C12FD8" w:rsidP="00C12FD8">
      <w:r w:rsidRPr="00B145F3">
        <w:t>In 2012, feedback from M</w:t>
      </w:r>
      <w:r w:rsidRPr="00B145F3">
        <w:rPr>
          <w:rFonts w:cs="Arial"/>
        </w:rPr>
        <w:t>ā</w:t>
      </w:r>
      <w:r w:rsidRPr="00B145F3">
        <w:t xml:space="preserve">ori </w:t>
      </w:r>
      <w:r>
        <w:t xml:space="preserve">and Pacific people </w:t>
      </w:r>
      <w:r w:rsidRPr="00B145F3">
        <w:t xml:space="preserve">indicated </w:t>
      </w:r>
      <w:r>
        <w:t xml:space="preserve">some </w:t>
      </w:r>
      <w:r w:rsidRPr="00B145F3">
        <w:t xml:space="preserve">disliked doing the test in their home and posting faecal samples (Litmus 2013).  </w:t>
      </w:r>
      <w:r>
        <w:t>In 2013, n</w:t>
      </w:r>
      <w:r w:rsidRPr="00B145F3">
        <w:t xml:space="preserve">o action </w:t>
      </w:r>
      <w:r>
        <w:t>was</w:t>
      </w:r>
      <w:r w:rsidRPr="00B145F3">
        <w:t xml:space="preserve"> taken to modify the screening pathway in this regard, although CAR coordinators will pick up samples if requested.</w:t>
      </w:r>
      <w:r>
        <w:t xml:space="preserve">  </w:t>
      </w:r>
    </w:p>
    <w:p w:rsidR="00D41CB4" w:rsidRDefault="00406DC9" w:rsidP="00C12FD8">
      <w:pPr>
        <w:rPr>
          <w:lang w:eastAsia="ar-SA"/>
        </w:rPr>
      </w:pPr>
      <w:r>
        <w:rPr>
          <w:lang w:eastAsia="ar-SA"/>
        </w:rPr>
        <w:t>Monitoring Pacific people and M</w:t>
      </w:r>
      <w:r>
        <w:rPr>
          <w:rFonts w:cs="Arial"/>
          <w:lang w:eastAsia="ar-SA"/>
        </w:rPr>
        <w:t>ā</w:t>
      </w:r>
      <w:r>
        <w:rPr>
          <w:lang w:eastAsia="ar-SA"/>
        </w:rPr>
        <w:t>ori participation through 2014 will contribute to determining the effectiveness of the</w:t>
      </w:r>
      <w:r w:rsidR="007B2833">
        <w:rPr>
          <w:lang w:eastAsia="ar-SA"/>
        </w:rPr>
        <w:t>se</w:t>
      </w:r>
      <w:r>
        <w:rPr>
          <w:lang w:eastAsia="ar-SA"/>
        </w:rPr>
        <w:t xml:space="preserve"> initiatives.  </w:t>
      </w:r>
    </w:p>
    <w:p w:rsidR="00C12FD8" w:rsidRDefault="00AE5B9A" w:rsidP="00AE5B9A">
      <w:pPr>
        <w:pStyle w:val="Heading3"/>
      </w:pPr>
      <w:r>
        <w:t>Those living in the most deprived areas</w:t>
      </w:r>
    </w:p>
    <w:p w:rsidR="005E1132" w:rsidRDefault="00D879BF" w:rsidP="00406DC9">
      <w:pPr>
        <w:rPr>
          <w:lang w:eastAsia="ar-SA"/>
        </w:rPr>
      </w:pPr>
      <w:r>
        <w:rPr>
          <w:lang w:eastAsia="ar-SA"/>
        </w:rPr>
        <w:t xml:space="preserve">To date there </w:t>
      </w:r>
      <w:r w:rsidR="00407355">
        <w:rPr>
          <w:lang w:eastAsia="ar-SA"/>
        </w:rPr>
        <w:t xml:space="preserve">have </w:t>
      </w:r>
      <w:r>
        <w:rPr>
          <w:lang w:eastAsia="ar-SA"/>
        </w:rPr>
        <w:t xml:space="preserve">been no strategies developed that seek to address the low participation by those living in the most deprived areas.  This reflects that this population has only been identified </w:t>
      </w:r>
      <w:r w:rsidR="006A0936">
        <w:rPr>
          <w:lang w:eastAsia="ar-SA"/>
        </w:rPr>
        <w:t xml:space="preserve">as having low participation rates </w:t>
      </w:r>
      <w:r>
        <w:rPr>
          <w:lang w:eastAsia="ar-SA"/>
        </w:rPr>
        <w:t xml:space="preserve">in the epidemiological analysis presented in this report. </w:t>
      </w:r>
    </w:p>
    <w:p w:rsidR="004E1ED7" w:rsidRDefault="000825CD" w:rsidP="000825CD">
      <w:pPr>
        <w:pStyle w:val="Heading3"/>
        <w:rPr>
          <w:lang w:eastAsia="ar-SA"/>
        </w:rPr>
      </w:pPr>
      <w:r>
        <w:rPr>
          <w:lang w:eastAsia="ar-SA"/>
        </w:rPr>
        <w:t>Conclusions and recommendations</w:t>
      </w:r>
    </w:p>
    <w:p w:rsidR="007B2833" w:rsidRDefault="00E31EC5" w:rsidP="004C16FE">
      <w:r>
        <w:t>T</w:t>
      </w:r>
      <w:r w:rsidRPr="00A91866">
        <w:t xml:space="preserve">he current design and implementation of the BSP </w:t>
      </w:r>
      <w:r>
        <w:t xml:space="preserve">is </w:t>
      </w:r>
      <w:r w:rsidRPr="00A91866">
        <w:t>not</w:t>
      </w:r>
      <w:r>
        <w:t xml:space="preserve"> resulting in fair </w:t>
      </w:r>
      <w:r w:rsidR="00C75939">
        <w:t>access to the eligible BSP population in WDHB</w:t>
      </w:r>
      <w:r>
        <w:t xml:space="preserve">.  </w:t>
      </w:r>
      <w:r w:rsidR="00FA1F12">
        <w:t>Currently, t</w:t>
      </w:r>
      <w:r w:rsidR="00995241">
        <w:t xml:space="preserve">he </w:t>
      </w:r>
      <w:r w:rsidR="00E073CC">
        <w:t xml:space="preserve">Ministry of Health </w:t>
      </w:r>
      <w:r w:rsidR="00995241">
        <w:t>and WDHB are seeking to strengthen M</w:t>
      </w:r>
      <w:r w:rsidR="00995241">
        <w:rPr>
          <w:rFonts w:cs="Arial"/>
        </w:rPr>
        <w:t>ā</w:t>
      </w:r>
      <w:r w:rsidR="00995241">
        <w:t xml:space="preserve">ori and Pacific leadership in the BSP. </w:t>
      </w:r>
      <w:r w:rsidR="005509AD">
        <w:t xml:space="preserve"> </w:t>
      </w:r>
      <w:r w:rsidR="00995241">
        <w:t>Working with M</w:t>
      </w:r>
      <w:r w:rsidR="00995241">
        <w:rPr>
          <w:rFonts w:cs="Arial"/>
        </w:rPr>
        <w:t>ā</w:t>
      </w:r>
      <w:r w:rsidR="00995241">
        <w:t>ori and Pacific leaders, they are seeking to agree a strategy to develop more evidence-based CAR activities to target eligible M</w:t>
      </w:r>
      <w:r w:rsidR="00995241">
        <w:rPr>
          <w:rFonts w:cs="Arial"/>
        </w:rPr>
        <w:t>ā</w:t>
      </w:r>
      <w:r w:rsidR="00995241">
        <w:t>ori and Pacific peoples, ensure their systematic use and to monitor their eff</w:t>
      </w:r>
      <w:r w:rsidR="004C16FE">
        <w:t>ect</w:t>
      </w:r>
      <w:r w:rsidR="00995241">
        <w:t xml:space="preserve"> on participation over the remainder of the pilot.  </w:t>
      </w:r>
    </w:p>
    <w:p w:rsidR="004C16FE" w:rsidRPr="00B77083" w:rsidRDefault="00B77083" w:rsidP="004C16FE">
      <w:pPr>
        <w:rPr>
          <w:lang w:eastAsia="ar-SA"/>
        </w:rPr>
      </w:pPr>
      <w:r w:rsidRPr="00B77083">
        <w:rPr>
          <w:lang w:eastAsia="ar-SA"/>
        </w:rPr>
        <w:t>In the future</w:t>
      </w:r>
      <w:r w:rsidR="006C78C5" w:rsidRPr="00B77083">
        <w:rPr>
          <w:lang w:eastAsia="ar-SA"/>
        </w:rPr>
        <w:t>, c</w:t>
      </w:r>
      <w:r w:rsidR="004C16FE" w:rsidRPr="00B77083">
        <w:rPr>
          <w:lang w:eastAsia="ar-SA"/>
        </w:rPr>
        <w:t xml:space="preserve">onsideration </w:t>
      </w:r>
      <w:r w:rsidRPr="00B77083">
        <w:rPr>
          <w:lang w:eastAsia="ar-SA"/>
        </w:rPr>
        <w:t>should be given to</w:t>
      </w:r>
      <w:r w:rsidR="004C16FE" w:rsidRPr="00B77083">
        <w:rPr>
          <w:lang w:eastAsia="ar-SA"/>
        </w:rPr>
        <w:t xml:space="preserve">: </w:t>
      </w:r>
    </w:p>
    <w:p w:rsidR="004C16FE" w:rsidRPr="00B77083" w:rsidRDefault="004C16FE" w:rsidP="00604AA9">
      <w:pPr>
        <w:pStyle w:val="Bullet"/>
        <w:numPr>
          <w:ilvl w:val="0"/>
          <w:numId w:val="10"/>
        </w:numPr>
        <w:tabs>
          <w:tab w:val="num" w:pos="6663"/>
        </w:tabs>
        <w:ind w:left="1069"/>
        <w:rPr>
          <w:lang w:eastAsia="ar-SA"/>
        </w:rPr>
      </w:pPr>
      <w:r w:rsidRPr="00B77083">
        <w:rPr>
          <w:lang w:eastAsia="ar-SA"/>
        </w:rPr>
        <w:lastRenderedPageBreak/>
        <w:t xml:space="preserve">The need to revise the </w:t>
      </w:r>
      <w:r w:rsidR="005509AD" w:rsidRPr="00B77083">
        <w:rPr>
          <w:lang w:eastAsia="ar-SA"/>
        </w:rPr>
        <w:t xml:space="preserve">design of the </w:t>
      </w:r>
      <w:r w:rsidRPr="00B77083">
        <w:rPr>
          <w:lang w:eastAsia="ar-SA"/>
        </w:rPr>
        <w:t xml:space="preserve">current BSP screening pathway to offer more flexibility to eligible Māori and Pacific people, e.g. </w:t>
      </w:r>
      <w:r w:rsidR="005509AD" w:rsidRPr="00B77083">
        <w:rPr>
          <w:lang w:eastAsia="ar-SA"/>
        </w:rPr>
        <w:t xml:space="preserve">more face-to-face interactions to overcome barriers to participation linked to the distribution of the kit, </w:t>
      </w:r>
      <w:r w:rsidRPr="00B77083">
        <w:rPr>
          <w:lang w:eastAsia="ar-SA"/>
        </w:rPr>
        <w:t xml:space="preserve">offering clinic-based test locations and sample drop-off choices.  </w:t>
      </w:r>
    </w:p>
    <w:p w:rsidR="00D879BF" w:rsidRPr="00B77083" w:rsidRDefault="004C16FE" w:rsidP="00604AA9">
      <w:pPr>
        <w:pStyle w:val="Bullet"/>
        <w:numPr>
          <w:ilvl w:val="0"/>
          <w:numId w:val="10"/>
        </w:numPr>
        <w:tabs>
          <w:tab w:val="num" w:pos="6663"/>
        </w:tabs>
        <w:ind w:left="1069"/>
        <w:rPr>
          <w:lang w:eastAsia="ar-SA"/>
        </w:rPr>
      </w:pPr>
      <w:r w:rsidRPr="00B77083">
        <w:rPr>
          <w:lang w:eastAsia="ar-SA"/>
        </w:rPr>
        <w:t xml:space="preserve">The </w:t>
      </w:r>
      <w:r w:rsidR="005B025D" w:rsidRPr="00B77083">
        <w:rPr>
          <w:lang w:eastAsia="ar-SA"/>
        </w:rPr>
        <w:t xml:space="preserve">strategies </w:t>
      </w:r>
      <w:r w:rsidR="00995241" w:rsidRPr="00B77083">
        <w:rPr>
          <w:lang w:eastAsia="ar-SA"/>
        </w:rPr>
        <w:t>to increase participation of t</w:t>
      </w:r>
      <w:r w:rsidR="00D879BF" w:rsidRPr="00B77083">
        <w:rPr>
          <w:lang w:eastAsia="ar-SA"/>
        </w:rPr>
        <w:t>hose li</w:t>
      </w:r>
      <w:r w:rsidR="00995241" w:rsidRPr="00B77083">
        <w:rPr>
          <w:lang w:eastAsia="ar-SA"/>
        </w:rPr>
        <w:t xml:space="preserve">ving in the most deprived areas. </w:t>
      </w:r>
    </w:p>
    <w:p w:rsidR="00B828BA" w:rsidRDefault="00262BDF" w:rsidP="00B828BA">
      <w:pPr>
        <w:spacing w:before="0"/>
        <w:ind w:left="0"/>
        <w:rPr>
          <w:b/>
          <w:sz w:val="28"/>
          <w:szCs w:val="28"/>
        </w:rPr>
      </w:pPr>
      <w:r>
        <w:br w:type="page"/>
      </w:r>
    </w:p>
    <w:p w:rsidR="001B4015" w:rsidRDefault="009E487D" w:rsidP="009E487D">
      <w:pPr>
        <w:pStyle w:val="Heading2"/>
      </w:pPr>
      <w:bookmarkStart w:id="220" w:name="_Toc390872214"/>
      <w:bookmarkStart w:id="221" w:name="_Toc412540040"/>
      <w:r>
        <w:lastRenderedPageBreak/>
        <w:t>3.</w:t>
      </w:r>
      <w:r w:rsidR="00926BA4">
        <w:t>5</w:t>
      </w:r>
      <w:r>
        <w:tab/>
      </w:r>
      <w:r w:rsidR="001B4015" w:rsidRPr="008C525B">
        <w:t>Acceptability to providers</w:t>
      </w:r>
      <w:bookmarkEnd w:id="220"/>
      <w:bookmarkEnd w:id="221"/>
      <w:r w:rsidR="001B4015" w:rsidRPr="008C525B">
        <w:t xml:space="preserve"> </w:t>
      </w:r>
    </w:p>
    <w:p w:rsidR="00A12D1B" w:rsidRDefault="00A12D1B" w:rsidP="00A12D1B">
      <w:pPr>
        <w:pBdr>
          <w:top w:val="single" w:sz="4" w:space="1" w:color="auto"/>
          <w:left w:val="single" w:sz="4" w:space="4" w:color="auto"/>
          <w:bottom w:val="single" w:sz="4" w:space="1" w:color="auto"/>
          <w:right w:val="single" w:sz="4" w:space="4" w:color="auto"/>
        </w:pBdr>
        <w:spacing w:before="60" w:after="120"/>
        <w:ind w:left="720"/>
        <w:rPr>
          <w:rFonts w:cs="Arial"/>
          <w:b/>
        </w:rPr>
      </w:pPr>
      <w:r>
        <w:rPr>
          <w:rFonts w:cs="Arial"/>
          <w:b/>
        </w:rPr>
        <w:t>Evaluation objective addressed in section</w:t>
      </w:r>
    </w:p>
    <w:p w:rsidR="00C53507" w:rsidRDefault="00C53507" w:rsidP="00A12D1B">
      <w:pPr>
        <w:pBdr>
          <w:top w:val="single" w:sz="4" w:space="1" w:color="auto"/>
          <w:left w:val="single" w:sz="4" w:space="4" w:color="auto"/>
          <w:bottom w:val="single" w:sz="4" w:space="1" w:color="auto"/>
          <w:right w:val="single" w:sz="4" w:space="4" w:color="auto"/>
        </w:pBdr>
        <w:spacing w:before="60" w:after="120"/>
        <w:ind w:left="720"/>
        <w:rPr>
          <w:rFonts w:cs="Arial"/>
        </w:rPr>
      </w:pPr>
      <w:r>
        <w:rPr>
          <w:rFonts w:cs="Arial"/>
          <w:i/>
        </w:rPr>
        <w:t xml:space="preserve">Acceptability to providers - </w:t>
      </w:r>
      <w:r>
        <w:rPr>
          <w:rFonts w:cs="Arial"/>
        </w:rPr>
        <w:t>To evaluate the knowledge and attitudes and acceptability to health professionals and health care providers based in community, primary care and hospital settings.</w:t>
      </w:r>
    </w:p>
    <w:p w:rsidR="00DB543E" w:rsidRDefault="003255DE" w:rsidP="00DB543E">
      <w:r>
        <w:t xml:space="preserve">This section addresses the evaluation objective on the acceptability of the BSP to providers.  The evaluative findings draw on the quantitative and qualitative </w:t>
      </w:r>
      <w:r w:rsidRPr="00041737">
        <w:t xml:space="preserve">research with </w:t>
      </w:r>
      <w:r>
        <w:t xml:space="preserve">providers including </w:t>
      </w:r>
      <w:r w:rsidR="00CC39DE">
        <w:t xml:space="preserve">staff in the </w:t>
      </w:r>
      <w:r>
        <w:t xml:space="preserve">BSP Coordination Centre, endoscopy </w:t>
      </w:r>
      <w:r w:rsidR="00DB543E">
        <w:t xml:space="preserve">nurses, </w:t>
      </w:r>
      <w:r w:rsidR="00DB543E">
        <w:rPr>
          <w:lang w:eastAsia="en-NZ"/>
        </w:rPr>
        <w:t>Gastroenterologists (GE), surgeons</w:t>
      </w:r>
      <w:r w:rsidR="00DB543E">
        <w:t>, radiology staff</w:t>
      </w:r>
      <w:r w:rsidR="00DB543E">
        <w:rPr>
          <w:lang w:eastAsia="ar-SA"/>
        </w:rPr>
        <w:t>, l</w:t>
      </w:r>
      <w:r w:rsidR="00DB543E">
        <w:rPr>
          <w:lang w:eastAsia="en-NZ"/>
        </w:rPr>
        <w:t xml:space="preserve">aboratory staff, </w:t>
      </w:r>
      <w:r w:rsidR="003B7FDA">
        <w:rPr>
          <w:lang w:eastAsia="en-NZ"/>
        </w:rPr>
        <w:t xml:space="preserve">oncology staff </w:t>
      </w:r>
      <w:r w:rsidR="00DB543E">
        <w:rPr>
          <w:lang w:eastAsia="en-NZ"/>
        </w:rPr>
        <w:t xml:space="preserve">and general practice including </w:t>
      </w:r>
      <w:r w:rsidR="00F579CC">
        <w:rPr>
          <w:lang w:eastAsia="en-NZ"/>
        </w:rPr>
        <w:t>GPs</w:t>
      </w:r>
      <w:r w:rsidR="00DB543E">
        <w:rPr>
          <w:lang w:eastAsia="en-NZ"/>
        </w:rPr>
        <w:t xml:space="preserve">, practice nurses and practice managers.  The findings presented below are drawn from </w:t>
      </w:r>
      <w:r w:rsidR="009559B8">
        <w:rPr>
          <w:lang w:eastAsia="en-NZ"/>
        </w:rPr>
        <w:t xml:space="preserve">two </w:t>
      </w:r>
      <w:r w:rsidR="00DB543E">
        <w:rPr>
          <w:lang w:eastAsia="en-NZ"/>
        </w:rPr>
        <w:t>provider survey</w:t>
      </w:r>
      <w:r w:rsidR="009559B8">
        <w:rPr>
          <w:lang w:eastAsia="en-NZ"/>
        </w:rPr>
        <w:t xml:space="preserve"> report</w:t>
      </w:r>
      <w:r w:rsidR="00F579CC">
        <w:rPr>
          <w:lang w:eastAsia="en-NZ"/>
        </w:rPr>
        <w:t>s</w:t>
      </w:r>
      <w:r w:rsidR="00DB543E">
        <w:rPr>
          <w:lang w:eastAsia="en-NZ"/>
        </w:rPr>
        <w:t xml:space="preserve"> </w:t>
      </w:r>
      <w:r w:rsidR="00F579CC">
        <w:rPr>
          <w:lang w:eastAsia="en-NZ"/>
        </w:rPr>
        <w:t>(</w:t>
      </w:r>
      <w:r w:rsidR="00F579CC">
        <w:t>Litmus 2012</w:t>
      </w:r>
      <w:r w:rsidR="004A596D">
        <w:t>a</w:t>
      </w:r>
      <w:r w:rsidR="00F579CC">
        <w:t xml:space="preserve"> and 2014b),</w:t>
      </w:r>
      <w:r w:rsidR="00DB543E">
        <w:rPr>
          <w:lang w:eastAsia="en-NZ"/>
        </w:rPr>
        <w:t xml:space="preserve"> two immersion </w:t>
      </w:r>
      <w:r w:rsidR="009559B8">
        <w:rPr>
          <w:lang w:eastAsia="en-NZ"/>
        </w:rPr>
        <w:t xml:space="preserve">visit </w:t>
      </w:r>
      <w:r w:rsidR="00DB543E">
        <w:rPr>
          <w:lang w:eastAsia="en-NZ"/>
        </w:rPr>
        <w:t>report</w:t>
      </w:r>
      <w:r w:rsidR="00F579CC">
        <w:rPr>
          <w:lang w:eastAsia="en-NZ"/>
        </w:rPr>
        <w:t>s</w:t>
      </w:r>
      <w:r w:rsidR="00DB543E">
        <w:rPr>
          <w:lang w:eastAsia="en-NZ"/>
        </w:rPr>
        <w:t xml:space="preserve"> </w:t>
      </w:r>
      <w:r w:rsidR="00F579CC">
        <w:rPr>
          <w:lang w:eastAsia="en-NZ"/>
        </w:rPr>
        <w:t>(</w:t>
      </w:r>
      <w:r w:rsidR="00F579CC">
        <w:t>Litmus 201</w:t>
      </w:r>
      <w:r w:rsidR="004A596D">
        <w:t>3a</w:t>
      </w:r>
      <w:r w:rsidR="00F579CC">
        <w:t xml:space="preserve"> and 2014)</w:t>
      </w:r>
      <w:r w:rsidR="00F579CC">
        <w:rPr>
          <w:lang w:eastAsia="en-NZ"/>
        </w:rPr>
        <w:t xml:space="preserve"> </w:t>
      </w:r>
      <w:r w:rsidR="00DB543E">
        <w:rPr>
          <w:lang w:eastAsia="en-NZ"/>
        </w:rPr>
        <w:t xml:space="preserve">and </w:t>
      </w:r>
      <w:r w:rsidR="001266FE">
        <w:rPr>
          <w:lang w:eastAsia="en-NZ"/>
        </w:rPr>
        <w:t xml:space="preserve">the </w:t>
      </w:r>
      <w:r w:rsidR="00F579CC">
        <w:rPr>
          <w:lang w:eastAsia="en-NZ"/>
        </w:rPr>
        <w:t xml:space="preserve">report on the </w:t>
      </w:r>
      <w:r w:rsidR="001266FE">
        <w:rPr>
          <w:lang w:eastAsia="en-NZ"/>
        </w:rPr>
        <w:t>role of general practice</w:t>
      </w:r>
      <w:r w:rsidR="00DB543E">
        <w:t xml:space="preserve"> </w:t>
      </w:r>
      <w:r w:rsidR="00F579CC">
        <w:t>(Litmus</w:t>
      </w:r>
      <w:r w:rsidR="00DB543E">
        <w:t xml:space="preserve"> 2014c). </w:t>
      </w:r>
    </w:p>
    <w:p w:rsidR="007E550A" w:rsidRDefault="007E550A" w:rsidP="00DB543E">
      <w:r>
        <w:t>For a description of providers’ roles refer to section 2.</w:t>
      </w:r>
      <w:r w:rsidR="0052486A">
        <w:t>3</w:t>
      </w:r>
      <w:r w:rsidR="00B0495C">
        <w:t>.</w:t>
      </w:r>
      <w:r>
        <w:t xml:space="preserve"> </w:t>
      </w:r>
    </w:p>
    <w:p w:rsidR="0056360F" w:rsidRDefault="0056360F" w:rsidP="0056360F">
      <w:r>
        <w:t xml:space="preserve">The key evaluation findings against the objective are presented first followed by a summary of supporting evidence. </w:t>
      </w:r>
    </w:p>
    <w:p w:rsidR="003255DE" w:rsidRPr="00DB543E" w:rsidRDefault="00AC10BC" w:rsidP="003255DE">
      <w:pPr>
        <w:pStyle w:val="Heading3"/>
      </w:pPr>
      <w:r>
        <w:t>Key evaluation finding</w:t>
      </w:r>
    </w:p>
    <w:p w:rsidR="008520DC" w:rsidRDefault="008520DC" w:rsidP="008520DC">
      <w:r>
        <w:t>The acceptability of the BSP (defined by awareness, attitudes and knowledge) and its design is high amongst providers in the community, primary care and hospital setting.  There is support for the BSP to be rolled out as a national screening programme, although there is recognition that further work will be required to ensure equity of participation, adequate workforce capacity particularly colonoscopy capacity, and that bowel screening does not impact on symptomatic services (refer section 3.</w:t>
      </w:r>
      <w:r w:rsidR="00414853">
        <w:t>6</w:t>
      </w:r>
      <w:r>
        <w:t xml:space="preserve">).   </w:t>
      </w:r>
    </w:p>
    <w:p w:rsidR="003255DE" w:rsidRDefault="003255DE" w:rsidP="003255DE">
      <w:pPr>
        <w:pStyle w:val="Heading3"/>
      </w:pPr>
      <w:r>
        <w:t xml:space="preserve">Awareness, knowledge and attitudes </w:t>
      </w:r>
    </w:p>
    <w:p w:rsidR="00AC10BC" w:rsidRPr="00AC10BC" w:rsidRDefault="00AC10BC" w:rsidP="00AC10BC">
      <w:pPr>
        <w:pStyle w:val="Heading4"/>
      </w:pPr>
      <w:r>
        <w:t>Overview</w:t>
      </w:r>
    </w:p>
    <w:p w:rsidR="00AA3B22" w:rsidRDefault="00AA3B22" w:rsidP="00AA3B22">
      <w:pPr>
        <w:spacing w:before="120"/>
        <w:jc w:val="both"/>
      </w:pPr>
      <w:r w:rsidRPr="00CD24A9">
        <w:t xml:space="preserve">Findings from the </w:t>
      </w:r>
      <w:r>
        <w:t>follow-up</w:t>
      </w:r>
      <w:r w:rsidRPr="00CD24A9">
        <w:t xml:space="preserve"> provider survey provide indicative and useful information about awareness, knowledge and attitudes to the BSP among</w:t>
      </w:r>
      <w:r w:rsidR="003B7FDA">
        <w:t>st general practice staff, endoscopy staff and radiology staff</w:t>
      </w:r>
      <w:r w:rsidR="00391EA7">
        <w:t xml:space="preserve"> (Litmus 2014b)</w:t>
      </w:r>
      <w:r>
        <w:t xml:space="preserve">. </w:t>
      </w:r>
      <w:r w:rsidR="003926F5">
        <w:t xml:space="preserve"> </w:t>
      </w:r>
      <w:r w:rsidRPr="00CD24A9">
        <w:t xml:space="preserve">Key findings from the </w:t>
      </w:r>
      <w:r>
        <w:t>follow-up</w:t>
      </w:r>
      <w:r w:rsidRPr="00CD24A9">
        <w:t xml:space="preserve"> provider survey </w:t>
      </w:r>
      <w:r w:rsidR="00CC39DE">
        <w:t xml:space="preserve">include: </w:t>
      </w:r>
    </w:p>
    <w:p w:rsidR="001764B5" w:rsidRPr="005609CF" w:rsidRDefault="0051175B" w:rsidP="00604AA9">
      <w:pPr>
        <w:numPr>
          <w:ilvl w:val="0"/>
          <w:numId w:val="6"/>
        </w:numPr>
        <w:autoSpaceDE w:val="0"/>
        <w:autoSpaceDN w:val="0"/>
        <w:adjustRightInd w:val="0"/>
        <w:spacing w:before="120" w:after="120"/>
        <w:ind w:left="1134" w:hanging="425"/>
      </w:pPr>
      <w:proofErr w:type="gramStart"/>
      <w:r>
        <w:t>h</w:t>
      </w:r>
      <w:r w:rsidR="001764B5" w:rsidRPr="005609CF">
        <w:t>igh</w:t>
      </w:r>
      <w:proofErr w:type="gramEnd"/>
      <w:r w:rsidR="005B1133">
        <w:t xml:space="preserve"> levels of </w:t>
      </w:r>
      <w:r w:rsidR="001764B5" w:rsidRPr="005609CF">
        <w:t>awareness of the BSP across WDHB GPs</w:t>
      </w:r>
      <w:r w:rsidR="003926F5">
        <w:t xml:space="preserve"> (100%)</w:t>
      </w:r>
      <w:r w:rsidR="001764B5" w:rsidRPr="005609CF">
        <w:t>, practice nurses</w:t>
      </w:r>
      <w:r w:rsidR="003926F5">
        <w:t xml:space="preserve"> (99%)</w:t>
      </w:r>
      <w:r w:rsidR="001764B5" w:rsidRPr="005609CF">
        <w:t xml:space="preserve">, endoscopy </w:t>
      </w:r>
      <w:r w:rsidR="003926F5">
        <w:t xml:space="preserve">(100%) </w:t>
      </w:r>
      <w:r w:rsidR="001764B5" w:rsidRPr="005609CF">
        <w:t>and radiology staff</w:t>
      </w:r>
      <w:r w:rsidR="003926F5">
        <w:t xml:space="preserve"> (100%)</w:t>
      </w:r>
      <w:r w:rsidR="001764B5" w:rsidRPr="005609CF">
        <w:t>.</w:t>
      </w:r>
    </w:p>
    <w:p w:rsidR="001764B5" w:rsidRPr="00FF4FED" w:rsidRDefault="0051175B" w:rsidP="00604AA9">
      <w:pPr>
        <w:numPr>
          <w:ilvl w:val="0"/>
          <w:numId w:val="6"/>
        </w:numPr>
        <w:autoSpaceDE w:val="0"/>
        <w:autoSpaceDN w:val="0"/>
        <w:adjustRightInd w:val="0"/>
        <w:spacing w:before="120" w:after="120"/>
        <w:ind w:left="1134" w:hanging="425"/>
      </w:pPr>
      <w:proofErr w:type="gramStart"/>
      <w:r>
        <w:rPr>
          <w:rFonts w:cs="Arial"/>
          <w:lang w:eastAsia="en-NZ"/>
        </w:rPr>
        <w:t>a</w:t>
      </w:r>
      <w:proofErr w:type="gramEnd"/>
      <w:r w:rsidR="001764B5" w:rsidRPr="005609CF">
        <w:rPr>
          <w:rFonts w:cs="Arial"/>
          <w:lang w:eastAsia="en-NZ"/>
        </w:rPr>
        <w:t xml:space="preserve"> significant increase in the extent providers feel informed about the BSP</w:t>
      </w:r>
      <w:r w:rsidR="005B1133">
        <w:rPr>
          <w:rFonts w:cs="Arial"/>
          <w:lang w:eastAsia="en-NZ"/>
        </w:rPr>
        <w:t xml:space="preserve"> since 2011. </w:t>
      </w:r>
      <w:r w:rsidR="009559B8">
        <w:rPr>
          <w:rFonts w:cs="Arial"/>
          <w:lang w:eastAsia="en-NZ"/>
        </w:rPr>
        <w:t>However</w:t>
      </w:r>
      <w:r w:rsidR="009559B8" w:rsidRPr="005609CF">
        <w:rPr>
          <w:rFonts w:cs="Arial"/>
          <w:lang w:eastAsia="en-NZ"/>
        </w:rPr>
        <w:t xml:space="preserve"> </w:t>
      </w:r>
      <w:r w:rsidR="001764B5" w:rsidRPr="005609CF">
        <w:rPr>
          <w:rFonts w:cs="Arial"/>
          <w:lang w:eastAsia="en-NZ"/>
        </w:rPr>
        <w:t xml:space="preserve">between 8% and 32% of each </w:t>
      </w:r>
      <w:r w:rsidR="005B1133">
        <w:rPr>
          <w:rFonts w:cs="Arial"/>
          <w:lang w:eastAsia="en-NZ"/>
        </w:rPr>
        <w:t>of these group</w:t>
      </w:r>
      <w:r w:rsidR="009559B8">
        <w:rPr>
          <w:rFonts w:cs="Arial"/>
          <w:lang w:eastAsia="en-NZ"/>
        </w:rPr>
        <w:t>s</w:t>
      </w:r>
      <w:r w:rsidR="001764B5" w:rsidRPr="005609CF">
        <w:rPr>
          <w:rFonts w:cs="Arial"/>
          <w:lang w:eastAsia="en-NZ"/>
        </w:rPr>
        <w:t xml:space="preserve"> still agree that they are not well informed about</w:t>
      </w:r>
      <w:r w:rsidR="009559B8">
        <w:rPr>
          <w:rFonts w:cs="Arial"/>
          <w:lang w:eastAsia="en-NZ"/>
        </w:rPr>
        <w:t xml:space="preserve"> the BSP</w:t>
      </w:r>
      <w:r w:rsidR="001764B5" w:rsidRPr="005609CF">
        <w:rPr>
          <w:rFonts w:cs="Arial"/>
          <w:lang w:eastAsia="en-NZ"/>
        </w:rPr>
        <w:t>, with radiology staff the least informed and GPs the most informed.</w:t>
      </w:r>
    </w:p>
    <w:p w:rsidR="005B1133" w:rsidRPr="005B1133" w:rsidRDefault="0051175B" w:rsidP="00604AA9">
      <w:pPr>
        <w:numPr>
          <w:ilvl w:val="0"/>
          <w:numId w:val="6"/>
        </w:numPr>
        <w:autoSpaceDE w:val="0"/>
        <w:autoSpaceDN w:val="0"/>
        <w:adjustRightInd w:val="0"/>
        <w:spacing w:before="120" w:after="120"/>
        <w:ind w:left="1134" w:hanging="425"/>
      </w:pPr>
      <w:r>
        <w:rPr>
          <w:rFonts w:cs="Arial"/>
        </w:rPr>
        <w:t>a</w:t>
      </w:r>
      <w:r w:rsidR="00FF4FED" w:rsidRPr="00FF4FED">
        <w:rPr>
          <w:rFonts w:cs="Arial"/>
        </w:rPr>
        <w:t>ll health providers surveyed view New Zealand’s bowel cancer death rate as a significant health concern</w:t>
      </w:r>
      <w:r w:rsidR="003926F5">
        <w:rPr>
          <w:rFonts w:cs="Arial"/>
        </w:rPr>
        <w:t xml:space="preserve"> (ranges from 95% to 100% agree/ strongly agree)</w:t>
      </w:r>
      <w:r w:rsidR="00FF4FED" w:rsidRPr="00FF4FED">
        <w:rPr>
          <w:rFonts w:cs="Arial"/>
        </w:rPr>
        <w:t xml:space="preserve">.  </w:t>
      </w:r>
    </w:p>
    <w:p w:rsidR="005B1133" w:rsidRPr="005B1133" w:rsidRDefault="0051175B" w:rsidP="00604AA9">
      <w:pPr>
        <w:numPr>
          <w:ilvl w:val="0"/>
          <w:numId w:val="6"/>
        </w:numPr>
        <w:autoSpaceDE w:val="0"/>
        <w:autoSpaceDN w:val="0"/>
        <w:adjustRightInd w:val="0"/>
        <w:spacing w:before="120" w:after="120"/>
        <w:ind w:left="1134" w:hanging="425"/>
      </w:pPr>
      <w:proofErr w:type="gramStart"/>
      <w:r>
        <w:rPr>
          <w:rFonts w:cs="Arial"/>
        </w:rPr>
        <w:t>n</w:t>
      </w:r>
      <w:r w:rsidR="00FF4FED" w:rsidRPr="00FF4FED">
        <w:rPr>
          <w:rFonts w:cs="Arial"/>
        </w:rPr>
        <w:t>ear</w:t>
      </w:r>
      <w:proofErr w:type="gramEnd"/>
      <w:r w:rsidR="00FF4FED" w:rsidRPr="00FF4FED">
        <w:rPr>
          <w:rFonts w:cs="Arial"/>
        </w:rPr>
        <w:t xml:space="preserve"> universal support among health providers for the BSP in WDHB</w:t>
      </w:r>
      <w:r w:rsidR="00400E9D">
        <w:rPr>
          <w:rFonts w:cs="Arial"/>
        </w:rPr>
        <w:t xml:space="preserve"> (</w:t>
      </w:r>
      <w:r w:rsidR="005B1133">
        <w:rPr>
          <w:rFonts w:cs="Arial"/>
        </w:rPr>
        <w:t xml:space="preserve">ranging from 79% to 89% for strongly support and from 96% to </w:t>
      </w:r>
      <w:r w:rsidR="00400E9D">
        <w:rPr>
          <w:rFonts w:cs="Arial"/>
        </w:rPr>
        <w:t xml:space="preserve">100% </w:t>
      </w:r>
      <w:r w:rsidR="005B1133">
        <w:rPr>
          <w:rFonts w:cs="Arial"/>
        </w:rPr>
        <w:t xml:space="preserve">for support and </w:t>
      </w:r>
      <w:r w:rsidR="00400E9D">
        <w:rPr>
          <w:rFonts w:cs="Arial"/>
        </w:rPr>
        <w:t xml:space="preserve">strongly support </w:t>
      </w:r>
      <w:r w:rsidR="005B1133">
        <w:rPr>
          <w:rFonts w:cs="Arial"/>
        </w:rPr>
        <w:t>combined)</w:t>
      </w:r>
      <w:r w:rsidR="00400E9D">
        <w:rPr>
          <w:rFonts w:cs="Arial"/>
        </w:rPr>
        <w:t xml:space="preserve">. </w:t>
      </w:r>
    </w:p>
    <w:p w:rsidR="005B1133" w:rsidRPr="00FF4FED" w:rsidRDefault="0051175B" w:rsidP="00604AA9">
      <w:pPr>
        <w:numPr>
          <w:ilvl w:val="0"/>
          <w:numId w:val="6"/>
        </w:numPr>
        <w:autoSpaceDE w:val="0"/>
        <w:autoSpaceDN w:val="0"/>
        <w:adjustRightInd w:val="0"/>
        <w:spacing w:before="120" w:after="120"/>
        <w:ind w:left="1134" w:hanging="425"/>
      </w:pPr>
      <w:proofErr w:type="gramStart"/>
      <w:r>
        <w:rPr>
          <w:rFonts w:cs="Arial"/>
        </w:rPr>
        <w:lastRenderedPageBreak/>
        <w:t>s</w:t>
      </w:r>
      <w:r w:rsidR="00B031F9">
        <w:rPr>
          <w:rFonts w:cs="Arial"/>
        </w:rPr>
        <w:t>t</w:t>
      </w:r>
      <w:r w:rsidR="005B1133" w:rsidRPr="00FF4FED">
        <w:rPr>
          <w:rFonts w:cs="Arial"/>
        </w:rPr>
        <w:t>rong</w:t>
      </w:r>
      <w:proofErr w:type="gramEnd"/>
      <w:r w:rsidR="005B1133" w:rsidRPr="00FF4FED">
        <w:rPr>
          <w:rFonts w:cs="Arial"/>
        </w:rPr>
        <w:t xml:space="preserve"> support for use of the iFOBT amongst GPs</w:t>
      </w:r>
      <w:r w:rsidR="005B1133">
        <w:rPr>
          <w:rFonts w:cs="Arial"/>
        </w:rPr>
        <w:t xml:space="preserve"> (93% agree/strongly agree with use)</w:t>
      </w:r>
      <w:r w:rsidR="005B1133" w:rsidRPr="00FF4FED">
        <w:rPr>
          <w:rFonts w:cs="Arial"/>
        </w:rPr>
        <w:t xml:space="preserve">, practice nurses </w:t>
      </w:r>
      <w:r w:rsidR="005B1133">
        <w:rPr>
          <w:rFonts w:cs="Arial"/>
        </w:rPr>
        <w:t xml:space="preserve">(92%) </w:t>
      </w:r>
      <w:r w:rsidR="005B1133" w:rsidRPr="00FF4FED">
        <w:rPr>
          <w:rFonts w:cs="Arial"/>
        </w:rPr>
        <w:t>and endoscopy staff</w:t>
      </w:r>
      <w:r w:rsidR="005B1133">
        <w:rPr>
          <w:rFonts w:cs="Arial"/>
        </w:rPr>
        <w:t xml:space="preserve"> (82%)</w:t>
      </w:r>
      <w:r w:rsidR="005B1133" w:rsidRPr="00FF4FED">
        <w:rPr>
          <w:rFonts w:cs="Arial"/>
        </w:rPr>
        <w:t xml:space="preserve">. Radiology </w:t>
      </w:r>
      <w:proofErr w:type="gramStart"/>
      <w:r w:rsidR="005B1133" w:rsidRPr="00FF4FED">
        <w:rPr>
          <w:rFonts w:cs="Arial"/>
        </w:rPr>
        <w:t>staff indicate</w:t>
      </w:r>
      <w:proofErr w:type="gramEnd"/>
      <w:r w:rsidR="005B1133" w:rsidRPr="00FF4FED">
        <w:rPr>
          <w:rFonts w:cs="Arial"/>
        </w:rPr>
        <w:t xml:space="preserve"> less support for its use</w:t>
      </w:r>
      <w:r w:rsidR="005B1133">
        <w:rPr>
          <w:rFonts w:cs="Arial"/>
        </w:rPr>
        <w:t xml:space="preserve"> (50%)</w:t>
      </w:r>
      <w:r w:rsidR="005B1133" w:rsidRPr="00FF4FED">
        <w:rPr>
          <w:rFonts w:cs="Arial"/>
        </w:rPr>
        <w:t xml:space="preserve">. </w:t>
      </w:r>
    </w:p>
    <w:p w:rsidR="005B1133" w:rsidRPr="00231491" w:rsidRDefault="0051175B" w:rsidP="00604AA9">
      <w:pPr>
        <w:numPr>
          <w:ilvl w:val="0"/>
          <w:numId w:val="6"/>
        </w:numPr>
        <w:autoSpaceDE w:val="0"/>
        <w:autoSpaceDN w:val="0"/>
        <w:adjustRightInd w:val="0"/>
        <w:spacing w:before="120" w:after="120"/>
        <w:ind w:left="1134" w:hanging="425"/>
      </w:pPr>
      <w:proofErr w:type="gramStart"/>
      <w:r>
        <w:rPr>
          <w:rFonts w:cs="Arial"/>
        </w:rPr>
        <w:t>s</w:t>
      </w:r>
      <w:r w:rsidR="00400E9D">
        <w:rPr>
          <w:rFonts w:cs="Arial"/>
        </w:rPr>
        <w:t>upport</w:t>
      </w:r>
      <w:proofErr w:type="gramEnd"/>
      <w:r w:rsidR="00400E9D">
        <w:rPr>
          <w:rFonts w:cs="Arial"/>
        </w:rPr>
        <w:t xml:space="preserve"> is also very high </w:t>
      </w:r>
      <w:r w:rsidR="00FF4FED" w:rsidRPr="00FF4FED">
        <w:rPr>
          <w:rFonts w:cs="Arial"/>
        </w:rPr>
        <w:t>for a national bowel screening programme</w:t>
      </w:r>
      <w:r w:rsidR="00400E9D">
        <w:rPr>
          <w:rFonts w:cs="Arial"/>
        </w:rPr>
        <w:t xml:space="preserve"> (ranges from </w:t>
      </w:r>
      <w:r w:rsidR="005B1133">
        <w:rPr>
          <w:rFonts w:cs="Arial"/>
        </w:rPr>
        <w:t xml:space="preserve">67% to </w:t>
      </w:r>
      <w:r w:rsidR="00A01F65">
        <w:rPr>
          <w:rFonts w:cs="Arial"/>
        </w:rPr>
        <w:t>82</w:t>
      </w:r>
      <w:r w:rsidR="005B1133">
        <w:rPr>
          <w:rFonts w:cs="Arial"/>
        </w:rPr>
        <w:t xml:space="preserve">% for strongly support and from </w:t>
      </w:r>
      <w:r w:rsidR="00400E9D">
        <w:rPr>
          <w:rFonts w:cs="Arial"/>
        </w:rPr>
        <w:t xml:space="preserve">95% to 100% </w:t>
      </w:r>
      <w:r w:rsidR="005B1133">
        <w:rPr>
          <w:rFonts w:cs="Arial"/>
        </w:rPr>
        <w:t xml:space="preserve">for </w:t>
      </w:r>
      <w:r w:rsidR="00400E9D">
        <w:rPr>
          <w:rFonts w:cs="Arial"/>
        </w:rPr>
        <w:t>support</w:t>
      </w:r>
      <w:r w:rsidR="005B1133">
        <w:rPr>
          <w:rFonts w:cs="Arial"/>
        </w:rPr>
        <w:t xml:space="preserve"> and</w:t>
      </w:r>
      <w:r w:rsidR="00400E9D">
        <w:rPr>
          <w:rFonts w:cs="Arial"/>
        </w:rPr>
        <w:t xml:space="preserve"> strongly support </w:t>
      </w:r>
      <w:r w:rsidR="005B1133">
        <w:rPr>
          <w:rFonts w:cs="Arial"/>
        </w:rPr>
        <w:t>combined</w:t>
      </w:r>
      <w:r w:rsidR="00400E9D">
        <w:rPr>
          <w:rFonts w:cs="Arial"/>
        </w:rPr>
        <w:t xml:space="preserve">). </w:t>
      </w:r>
      <w:r w:rsidR="00FF4FED" w:rsidRPr="00FF4FED">
        <w:rPr>
          <w:rFonts w:cs="Arial"/>
        </w:rPr>
        <w:t xml:space="preserve"> </w:t>
      </w:r>
    </w:p>
    <w:p w:rsidR="00231491" w:rsidRPr="005B1133" w:rsidRDefault="0051175B" w:rsidP="00604AA9">
      <w:pPr>
        <w:numPr>
          <w:ilvl w:val="0"/>
          <w:numId w:val="6"/>
        </w:numPr>
        <w:autoSpaceDE w:val="0"/>
        <w:autoSpaceDN w:val="0"/>
        <w:adjustRightInd w:val="0"/>
        <w:spacing w:before="120" w:after="120"/>
        <w:ind w:left="1134" w:hanging="425"/>
      </w:pPr>
      <w:proofErr w:type="gramStart"/>
      <w:r>
        <w:rPr>
          <w:rFonts w:cs="Arial"/>
          <w:lang w:eastAsia="en-NZ"/>
        </w:rPr>
        <w:t>a</w:t>
      </w:r>
      <w:r w:rsidR="00231491" w:rsidRPr="005609CF">
        <w:rPr>
          <w:rFonts w:cs="Arial"/>
          <w:lang w:eastAsia="en-NZ"/>
        </w:rPr>
        <w:t>wareness</w:t>
      </w:r>
      <w:proofErr w:type="gramEnd"/>
      <w:r w:rsidR="00231491" w:rsidRPr="005609CF">
        <w:rPr>
          <w:rFonts w:cs="Arial"/>
          <w:lang w:eastAsia="en-NZ"/>
        </w:rPr>
        <w:t xml:space="preserve"> of the New Zealand Familial Gastrointestinal Cancer Registry</w:t>
      </w:r>
      <w:r w:rsidR="00231491" w:rsidRPr="00697D47">
        <w:rPr>
          <w:rStyle w:val="FootnoteReference"/>
        </w:rPr>
        <w:footnoteReference w:id="68"/>
      </w:r>
      <w:r w:rsidR="00231491">
        <w:rPr>
          <w:rFonts w:cs="Arial"/>
          <w:lang w:eastAsia="en-NZ"/>
        </w:rPr>
        <w:t xml:space="preserve"> </w:t>
      </w:r>
      <w:r w:rsidR="00231491" w:rsidRPr="005609CF">
        <w:rPr>
          <w:rFonts w:cs="Arial"/>
          <w:lang w:eastAsia="en-NZ"/>
        </w:rPr>
        <w:t>remains relatively low</w:t>
      </w:r>
      <w:r w:rsidR="00231491">
        <w:rPr>
          <w:rFonts w:cs="Arial"/>
          <w:lang w:eastAsia="en-NZ"/>
        </w:rPr>
        <w:t xml:space="preserve"> despite improvements in awareness</w:t>
      </w:r>
      <w:r w:rsidR="00231491" w:rsidRPr="005609CF">
        <w:rPr>
          <w:rFonts w:cs="Arial"/>
          <w:lang w:eastAsia="en-NZ"/>
        </w:rPr>
        <w:t xml:space="preserve"> amongst some provider groups</w:t>
      </w:r>
      <w:r w:rsidR="00231491">
        <w:rPr>
          <w:rFonts w:cs="Arial"/>
          <w:lang w:eastAsia="en-NZ"/>
        </w:rPr>
        <w:t xml:space="preserve">.  </w:t>
      </w:r>
    </w:p>
    <w:p w:rsidR="001764B5" w:rsidRDefault="001764B5" w:rsidP="00FF4FED">
      <w:pPr>
        <w:pStyle w:val="Heading4"/>
      </w:pPr>
      <w:r w:rsidRPr="00F6653F">
        <w:t>General practice</w:t>
      </w:r>
      <w:r>
        <w:t xml:space="preserve"> </w:t>
      </w:r>
    </w:p>
    <w:p w:rsidR="001764B5" w:rsidRPr="005609CF" w:rsidRDefault="001764B5" w:rsidP="00911A7D">
      <w:pPr>
        <w:spacing w:before="120"/>
        <w:rPr>
          <w:rFonts w:cs="Arial"/>
          <w:lang w:eastAsia="en-NZ"/>
        </w:rPr>
      </w:pPr>
      <w:r w:rsidRPr="001764B5">
        <w:t>Overall</w:t>
      </w:r>
      <w:r w:rsidRPr="005609CF">
        <w:rPr>
          <w:rFonts w:cs="Arial"/>
          <w:lang w:eastAsia="en-NZ"/>
        </w:rPr>
        <w:t xml:space="preserve">, GPs and practice nurses are aware of the different roles of general practice in the BSP. </w:t>
      </w:r>
      <w:r>
        <w:rPr>
          <w:rFonts w:cs="Arial"/>
          <w:lang w:eastAsia="en-NZ"/>
        </w:rPr>
        <w:t xml:space="preserve"> </w:t>
      </w:r>
      <w:r w:rsidRPr="005609CF">
        <w:rPr>
          <w:rFonts w:cs="Arial"/>
          <w:lang w:eastAsia="en-NZ"/>
        </w:rPr>
        <w:t xml:space="preserve">Positively, there have been significant improvements in the awareness of each of the roles that were identified as less certain in the 2011 baseline provider survey. </w:t>
      </w:r>
      <w:r w:rsidR="00911A7D">
        <w:rPr>
          <w:rFonts w:cs="Arial"/>
          <w:lang w:eastAsia="en-NZ"/>
        </w:rPr>
        <w:t xml:space="preserve"> </w:t>
      </w:r>
      <w:r w:rsidRPr="005609CF">
        <w:rPr>
          <w:rFonts w:cs="Arial"/>
          <w:lang w:eastAsia="en-NZ"/>
        </w:rPr>
        <w:t xml:space="preserve">Of particular note is the strong agreement that it is the role of GPs to inform BSP participants of positive iFOBT results; although 7% continue to disagree this is their role. </w:t>
      </w:r>
    </w:p>
    <w:p w:rsidR="00FF4FED" w:rsidRPr="0001513C" w:rsidRDefault="001764B5" w:rsidP="00FF4FED">
      <w:pPr>
        <w:rPr>
          <w:lang w:val="en-US"/>
        </w:rPr>
      </w:pPr>
      <w:r w:rsidRPr="00F6653F">
        <w:rPr>
          <w:lang w:eastAsia="en-NZ"/>
        </w:rPr>
        <w:t xml:space="preserve">Following the launch of </w:t>
      </w:r>
      <w:r>
        <w:rPr>
          <w:lang w:eastAsia="en-NZ"/>
        </w:rPr>
        <w:t xml:space="preserve">the BSP and associated promotions to general practice, there has been a significant increase in general practices’ awareness of the BSP, support for the iFOBT, BSP and the potential national roll-out, and general practices’ confidence in explaining the BSP.  </w:t>
      </w:r>
      <w:r w:rsidR="00911A7D">
        <w:rPr>
          <w:lang w:eastAsia="en-NZ"/>
        </w:rPr>
        <w:t xml:space="preserve">Since launch, the </w:t>
      </w:r>
      <w:r w:rsidR="00911A7D">
        <w:rPr>
          <w:lang w:val="mi-NZ"/>
        </w:rPr>
        <w:t xml:space="preserve">WDHB </w:t>
      </w:r>
      <w:r w:rsidR="00911A7D">
        <w:rPr>
          <w:lang w:eastAsia="ar-SA"/>
        </w:rPr>
        <w:t xml:space="preserve">BSP Clinical Director and BSP Project Manager have </w:t>
      </w:r>
      <w:r w:rsidR="00C80F8C">
        <w:rPr>
          <w:lang w:eastAsia="ar-SA"/>
        </w:rPr>
        <w:t xml:space="preserve">promoted the BSP to PHOs and general practice and sought to build understanding of their role.  </w:t>
      </w:r>
    </w:p>
    <w:p w:rsidR="001764B5" w:rsidRDefault="005407DF" w:rsidP="001764B5">
      <w:pPr>
        <w:spacing w:before="100" w:beforeAutospacing="1"/>
        <w:rPr>
          <w:rFonts w:cs="Arial"/>
          <w:lang w:eastAsia="en-NZ"/>
        </w:rPr>
      </w:pPr>
      <w:r>
        <w:rPr>
          <w:rFonts w:cs="Arial"/>
          <w:lang w:eastAsia="en-NZ"/>
        </w:rPr>
        <w:t>G</w:t>
      </w:r>
      <w:r w:rsidR="001764B5">
        <w:rPr>
          <w:rFonts w:cs="Arial"/>
          <w:lang w:eastAsia="en-NZ"/>
        </w:rPr>
        <w:t>eneral practices’ awareness and performance could be enhanced</w:t>
      </w:r>
      <w:r w:rsidR="00C80F8C">
        <w:rPr>
          <w:rFonts w:cs="Arial"/>
          <w:lang w:eastAsia="en-NZ"/>
        </w:rPr>
        <w:t xml:space="preserve"> </w:t>
      </w:r>
      <w:r w:rsidR="00B0495C">
        <w:rPr>
          <w:rFonts w:cs="Arial"/>
          <w:lang w:eastAsia="en-NZ"/>
        </w:rPr>
        <w:t xml:space="preserve">in </w:t>
      </w:r>
      <w:r>
        <w:rPr>
          <w:rFonts w:cs="Arial"/>
          <w:lang w:eastAsia="en-NZ"/>
        </w:rPr>
        <w:t xml:space="preserve">the following </w:t>
      </w:r>
      <w:r w:rsidR="007027E9">
        <w:rPr>
          <w:rFonts w:cs="Arial"/>
          <w:lang w:eastAsia="en-NZ"/>
        </w:rPr>
        <w:t>BSP</w:t>
      </w:r>
      <w:r>
        <w:rPr>
          <w:rFonts w:cs="Arial"/>
          <w:lang w:eastAsia="en-NZ"/>
        </w:rPr>
        <w:t xml:space="preserve"> activities</w:t>
      </w:r>
      <w:r w:rsidR="001764B5">
        <w:rPr>
          <w:rFonts w:cs="Arial"/>
          <w:lang w:eastAsia="en-NZ"/>
        </w:rPr>
        <w:t xml:space="preserve">: </w:t>
      </w:r>
    </w:p>
    <w:p w:rsidR="001764B5" w:rsidRDefault="00061A9F" w:rsidP="00604AA9">
      <w:pPr>
        <w:numPr>
          <w:ilvl w:val="0"/>
          <w:numId w:val="6"/>
        </w:numPr>
        <w:autoSpaceDE w:val="0"/>
        <w:autoSpaceDN w:val="0"/>
        <w:adjustRightInd w:val="0"/>
        <w:spacing w:before="120" w:after="120"/>
        <w:ind w:left="1134" w:hanging="425"/>
        <w:rPr>
          <w:lang w:eastAsia="en-NZ"/>
        </w:rPr>
      </w:pPr>
      <w:r>
        <w:rPr>
          <w:lang w:eastAsia="en-NZ"/>
        </w:rPr>
        <w:t>n</w:t>
      </w:r>
      <w:r w:rsidRPr="00F6653F">
        <w:rPr>
          <w:lang w:eastAsia="en-NZ"/>
        </w:rPr>
        <w:t xml:space="preserve">otifying </w:t>
      </w:r>
      <w:r w:rsidR="001764B5" w:rsidRPr="00F6653F">
        <w:rPr>
          <w:lang w:eastAsia="en-NZ"/>
        </w:rPr>
        <w:t>patients who receive a positive iFOBT</w:t>
      </w:r>
      <w:r w:rsidR="00C80F8C">
        <w:rPr>
          <w:lang w:eastAsia="en-NZ"/>
        </w:rPr>
        <w:t>, as not all are aware of this role</w:t>
      </w:r>
    </w:p>
    <w:p w:rsidR="001764B5" w:rsidRPr="00F6653F" w:rsidRDefault="00061A9F" w:rsidP="00604AA9">
      <w:pPr>
        <w:numPr>
          <w:ilvl w:val="0"/>
          <w:numId w:val="6"/>
        </w:numPr>
        <w:autoSpaceDE w:val="0"/>
        <w:autoSpaceDN w:val="0"/>
        <w:adjustRightInd w:val="0"/>
        <w:spacing w:before="0" w:after="120"/>
        <w:ind w:left="1134" w:hanging="425"/>
      </w:pPr>
      <w:proofErr w:type="gramStart"/>
      <w:r>
        <w:t>l</w:t>
      </w:r>
      <w:r w:rsidRPr="00F6653F">
        <w:t>iaising</w:t>
      </w:r>
      <w:proofErr w:type="gramEnd"/>
      <w:r w:rsidRPr="00F6653F">
        <w:t xml:space="preserve"> </w:t>
      </w:r>
      <w:r w:rsidR="001764B5" w:rsidRPr="00F6653F">
        <w:t xml:space="preserve">with the BSP Coordination Centre </w:t>
      </w:r>
      <w:r w:rsidR="00414853">
        <w:t>when</w:t>
      </w:r>
      <w:r w:rsidR="001764B5" w:rsidRPr="00F6653F">
        <w:t xml:space="preserve"> unable to contact patients with a positive iFOBT.</w:t>
      </w:r>
    </w:p>
    <w:p w:rsidR="00231491" w:rsidRDefault="00231491" w:rsidP="00231491">
      <w:pPr>
        <w:rPr>
          <w:rFonts w:cs="Arial"/>
          <w:lang w:eastAsia="en-NZ"/>
        </w:rPr>
      </w:pPr>
      <w:r>
        <w:rPr>
          <w:rFonts w:cs="Arial"/>
          <w:lang w:eastAsia="en-NZ"/>
        </w:rPr>
        <w:t xml:space="preserve">There is a need for ongoing promotion of the </w:t>
      </w:r>
      <w:r w:rsidRPr="00F6653F">
        <w:rPr>
          <w:rFonts w:cs="Arial"/>
          <w:lang w:eastAsia="en-NZ"/>
        </w:rPr>
        <w:t>New Zealand Familial Gastrointestinal Cancer Registry</w:t>
      </w:r>
      <w:r>
        <w:rPr>
          <w:rFonts w:cs="Arial"/>
          <w:lang w:eastAsia="en-NZ"/>
        </w:rPr>
        <w:t xml:space="preserve"> to general practice.  While GP awareness has increased from 59% in 2011 to 71%, only half of GPs rate their performance of referring to the Registry as good/ very good (50%). </w:t>
      </w:r>
    </w:p>
    <w:p w:rsidR="001764B5" w:rsidRDefault="001764B5" w:rsidP="001764B5">
      <w:pPr>
        <w:rPr>
          <w:rFonts w:cs="Arial"/>
          <w:lang w:eastAsia="en-NZ"/>
        </w:rPr>
      </w:pPr>
      <w:r w:rsidRPr="00F6653F">
        <w:rPr>
          <w:rFonts w:cs="Arial"/>
          <w:lang w:eastAsia="en-NZ"/>
        </w:rPr>
        <w:t xml:space="preserve">These knowledge gaps highlight the importance of ongoing BSP promotion and information provision to general practice. </w:t>
      </w:r>
      <w:r>
        <w:rPr>
          <w:rFonts w:cs="Arial"/>
          <w:lang w:eastAsia="en-NZ"/>
        </w:rPr>
        <w:t xml:space="preserve"> As indicated from the qualitative feedback </w:t>
      </w:r>
      <w:r w:rsidR="00E9405D">
        <w:rPr>
          <w:rFonts w:cs="Arial"/>
          <w:lang w:eastAsia="en-NZ"/>
        </w:rPr>
        <w:t>from</w:t>
      </w:r>
      <w:r>
        <w:rPr>
          <w:rFonts w:cs="Arial"/>
          <w:lang w:eastAsia="en-NZ"/>
        </w:rPr>
        <w:t xml:space="preserve"> general practices </w:t>
      </w:r>
      <w:r w:rsidR="00E9405D">
        <w:rPr>
          <w:rFonts w:cs="Arial"/>
          <w:lang w:eastAsia="en-NZ"/>
        </w:rPr>
        <w:t xml:space="preserve">there is interest </w:t>
      </w:r>
      <w:r>
        <w:rPr>
          <w:rFonts w:cs="Arial"/>
          <w:lang w:eastAsia="en-NZ"/>
        </w:rPr>
        <w:t xml:space="preserve">in refreshers about the BSP process as well as learning how the </w:t>
      </w:r>
      <w:r w:rsidR="00EB35F4">
        <w:rPr>
          <w:rFonts w:cs="Arial"/>
          <w:lang w:eastAsia="en-NZ"/>
        </w:rPr>
        <w:t>p</w:t>
      </w:r>
      <w:r>
        <w:rPr>
          <w:rFonts w:cs="Arial"/>
          <w:lang w:eastAsia="en-NZ"/>
        </w:rPr>
        <w:t xml:space="preserve">ilot is progressing with regard to uptake and identification of cancers. </w:t>
      </w:r>
    </w:p>
    <w:p w:rsidR="00406DC9" w:rsidRPr="00DD4AF1" w:rsidRDefault="00406DC9" w:rsidP="008418F5">
      <w:pPr>
        <w:pStyle w:val="Heading4"/>
      </w:pPr>
      <w:r w:rsidRPr="00DD4AF1">
        <w:t>Endoscopy staff</w:t>
      </w:r>
    </w:p>
    <w:p w:rsidR="001F3B04" w:rsidRDefault="00406DC9" w:rsidP="00406DC9">
      <w:r w:rsidRPr="00DD4AF1">
        <w:t xml:space="preserve">Reflecting their core role, endoscopy </w:t>
      </w:r>
      <w:proofErr w:type="gramStart"/>
      <w:r w:rsidRPr="00DD4AF1">
        <w:t>staff are</w:t>
      </w:r>
      <w:proofErr w:type="gramEnd"/>
      <w:r w:rsidRPr="00DD4AF1">
        <w:t xml:space="preserve"> aware of the BSP and agree that they have an important role.</w:t>
      </w:r>
      <w:r w:rsidR="001F3B04">
        <w:t xml:space="preserve"> </w:t>
      </w:r>
      <w:r w:rsidRPr="00DD4AF1">
        <w:t xml:space="preserve"> There is also near universal support for the BSP and for the possible national roll-out of a bowel screening programme. </w:t>
      </w:r>
      <w:r w:rsidR="007027E9">
        <w:t xml:space="preserve"> </w:t>
      </w:r>
      <w:r w:rsidRPr="00DD4AF1">
        <w:t xml:space="preserve">Most endoscopy staff </w:t>
      </w:r>
      <w:proofErr w:type="gramStart"/>
      <w:r w:rsidRPr="00DD4AF1">
        <w:t>are</w:t>
      </w:r>
      <w:proofErr w:type="gramEnd"/>
      <w:r w:rsidRPr="00DD4AF1">
        <w:t xml:space="preserve"> confident explaining the BSP to their patients and feel well-informed about the BSP. </w:t>
      </w:r>
    </w:p>
    <w:p w:rsidR="00A7508A" w:rsidRDefault="00406DC9" w:rsidP="009433F2">
      <w:pPr>
        <w:keepNext/>
        <w:keepLines/>
      </w:pPr>
      <w:r w:rsidRPr="00DD4AF1">
        <w:lastRenderedPageBreak/>
        <w:t xml:space="preserve">In the main, endoscopy </w:t>
      </w:r>
      <w:proofErr w:type="gramStart"/>
      <w:r w:rsidRPr="00DD4AF1">
        <w:t xml:space="preserve">staff </w:t>
      </w:r>
      <w:r>
        <w:t>continue</w:t>
      </w:r>
      <w:proofErr w:type="gramEnd"/>
      <w:r>
        <w:t xml:space="preserve"> t</w:t>
      </w:r>
      <w:r w:rsidRPr="00DD4AF1">
        <w:t>o have good awareness of ‘core endoscopy functions’, such as undertaking pre-assessments, providing high</w:t>
      </w:r>
      <w:r w:rsidR="00B0495C">
        <w:t xml:space="preserve"> </w:t>
      </w:r>
      <w:r w:rsidRPr="00DD4AF1">
        <w:t xml:space="preserve">quality colonoscopies and providing results to GPs. </w:t>
      </w:r>
      <w:r w:rsidR="001F3B04">
        <w:t xml:space="preserve"> </w:t>
      </w:r>
      <w:r>
        <w:t xml:space="preserve">Positively, there has been increased understanding of </w:t>
      </w:r>
      <w:r w:rsidRPr="00DD4AF1">
        <w:t xml:space="preserve">notifying patients who receive a positive iFOBT (if they do not have a GP or have not been notified by general practice) and referring patients for a </w:t>
      </w:r>
      <w:r w:rsidR="00E75AF7">
        <w:t>CTC</w:t>
      </w:r>
      <w:r w:rsidRPr="00DD4AF1">
        <w:t xml:space="preserve"> (if a colonoscopy is not suitable for them). </w:t>
      </w:r>
      <w:r>
        <w:t xml:space="preserve"> </w:t>
      </w:r>
    </w:p>
    <w:p w:rsidR="00406DC9" w:rsidRPr="00DD4AF1" w:rsidRDefault="00406DC9" w:rsidP="008418F5">
      <w:pPr>
        <w:pStyle w:val="Heading4"/>
      </w:pPr>
      <w:r w:rsidRPr="00DD4AF1">
        <w:t>Radiology staff</w:t>
      </w:r>
    </w:p>
    <w:p w:rsidR="00406DC9" w:rsidRPr="00DD4AF1" w:rsidRDefault="00406DC9" w:rsidP="00406DC9">
      <w:r>
        <w:t xml:space="preserve">Compared to 2011, </w:t>
      </w:r>
      <w:r w:rsidRPr="00DD4AF1">
        <w:t xml:space="preserve">awareness, knowledge and understanding of the BSP </w:t>
      </w:r>
      <w:r>
        <w:t xml:space="preserve">has increased </w:t>
      </w:r>
      <w:r w:rsidRPr="00DD4AF1">
        <w:t>among radiology staff at Waitakere Hospital and North Shore Hospital</w:t>
      </w:r>
      <w:r>
        <w:t xml:space="preserve">; although awareness tends to be lower than </w:t>
      </w:r>
      <w:r w:rsidRPr="00DD4AF1">
        <w:t xml:space="preserve">general practice and endoscopy staff. </w:t>
      </w:r>
    </w:p>
    <w:p w:rsidR="008418F5" w:rsidRDefault="005407DF" w:rsidP="008418F5">
      <w:pPr>
        <w:pStyle w:val="Heading3"/>
      </w:pPr>
      <w:r>
        <w:t>P</w:t>
      </w:r>
      <w:r w:rsidR="008418F5">
        <w:t xml:space="preserve">erceptions of the BSP </w:t>
      </w:r>
    </w:p>
    <w:p w:rsidR="00EB7DE5" w:rsidRDefault="003B7FDA" w:rsidP="001266FE">
      <w:r>
        <w:t>All</w:t>
      </w:r>
      <w:r w:rsidR="001266FE" w:rsidRPr="006B25BF">
        <w:t xml:space="preserve"> stakeholders interviewed </w:t>
      </w:r>
      <w:r>
        <w:t>in the 2013 immersion visit</w:t>
      </w:r>
      <w:r w:rsidRPr="00697D47">
        <w:rPr>
          <w:rStyle w:val="FootnoteReference"/>
        </w:rPr>
        <w:footnoteReference w:id="69"/>
      </w:r>
      <w:r>
        <w:t xml:space="preserve"> </w:t>
      </w:r>
      <w:r w:rsidR="001266FE" w:rsidRPr="006B25BF">
        <w:t>h</w:t>
      </w:r>
      <w:r w:rsidR="00467186">
        <w:t>o</w:t>
      </w:r>
      <w:r w:rsidR="001266FE" w:rsidRPr="006B25BF">
        <w:t>ld very positive perceptions of the BSP, how it is being implemented and achievements to date</w:t>
      </w:r>
      <w:r w:rsidR="00414853">
        <w:t xml:space="preserve"> (Litmus 2014)</w:t>
      </w:r>
      <w:r w:rsidR="001266FE" w:rsidRPr="006B25BF">
        <w:t xml:space="preserve">.  Compared </w:t>
      </w:r>
      <w:r w:rsidR="001266FE">
        <w:t>to 12 months ago, there was recognition that the implementation of the BSP has moved to business-as-usual and is running more smoothly</w:t>
      </w:r>
      <w:r w:rsidR="005407DF">
        <w:t>. This has been achieved</w:t>
      </w:r>
      <w:r w:rsidR="001266FE">
        <w:t xml:space="preserve"> through greater clarification of roles and processes </w:t>
      </w:r>
      <w:r w:rsidR="005407DF">
        <w:t>and</w:t>
      </w:r>
      <w:r w:rsidR="001266FE">
        <w:t xml:space="preserve"> actions taken to address issues identified through quality monitoring and the evaluation findings. </w:t>
      </w:r>
      <w:r w:rsidR="00EB7DE5">
        <w:t xml:space="preserve"> </w:t>
      </w:r>
    </w:p>
    <w:p w:rsidR="001266FE" w:rsidRDefault="001266FE" w:rsidP="001266FE">
      <w:r>
        <w:t>The following strengths were identified with the BSP:</w:t>
      </w:r>
    </w:p>
    <w:p w:rsidR="001266FE" w:rsidRPr="006B25BF" w:rsidRDefault="001266FE" w:rsidP="00604AA9">
      <w:pPr>
        <w:pStyle w:val="Bullet"/>
        <w:numPr>
          <w:ilvl w:val="0"/>
          <w:numId w:val="10"/>
        </w:numPr>
        <w:tabs>
          <w:tab w:val="num" w:pos="6663"/>
        </w:tabs>
        <w:ind w:left="1069"/>
      </w:pPr>
      <w:r>
        <w:t>i</w:t>
      </w:r>
      <w:r w:rsidRPr="006B25BF">
        <w:t>ntegrated with the Ministry</w:t>
      </w:r>
      <w:r w:rsidR="00F97FA3">
        <w:t xml:space="preserve"> of Health</w:t>
      </w:r>
      <w:r w:rsidRPr="006B25BF">
        <w:t xml:space="preserve">’s Bowel Cancer Programme </w:t>
      </w:r>
    </w:p>
    <w:p w:rsidR="001266FE" w:rsidRPr="006B25BF" w:rsidRDefault="001266FE" w:rsidP="00604AA9">
      <w:pPr>
        <w:pStyle w:val="Bullet"/>
        <w:numPr>
          <w:ilvl w:val="0"/>
          <w:numId w:val="10"/>
        </w:numPr>
        <w:tabs>
          <w:tab w:val="num" w:pos="6663"/>
        </w:tabs>
        <w:ind w:left="1069"/>
      </w:pPr>
      <w:r>
        <w:t>p</w:t>
      </w:r>
      <w:r w:rsidRPr="006B25BF">
        <w:t xml:space="preserve">articipants’ positive experience through the BSP screening pathway </w:t>
      </w:r>
    </w:p>
    <w:p w:rsidR="001266FE" w:rsidRPr="006B25BF" w:rsidRDefault="001266FE" w:rsidP="00604AA9">
      <w:pPr>
        <w:pStyle w:val="Bullet"/>
        <w:numPr>
          <w:ilvl w:val="0"/>
          <w:numId w:val="10"/>
        </w:numPr>
        <w:tabs>
          <w:tab w:val="num" w:pos="6663"/>
        </w:tabs>
        <w:ind w:left="1069"/>
      </w:pPr>
      <w:r>
        <w:t>h</w:t>
      </w:r>
      <w:r w:rsidRPr="006B25BF">
        <w:t>igh functioning multi-disciplinary team working effectively across the screening pathway, linked together via a range of networked meetings and led by respected and motivated clinical leaders at national and regional levels</w:t>
      </w:r>
    </w:p>
    <w:p w:rsidR="001266FE" w:rsidRPr="006B25BF" w:rsidRDefault="001266FE" w:rsidP="00604AA9">
      <w:pPr>
        <w:pStyle w:val="Bullet"/>
        <w:numPr>
          <w:ilvl w:val="0"/>
          <w:numId w:val="10"/>
        </w:numPr>
        <w:tabs>
          <w:tab w:val="num" w:pos="6663"/>
        </w:tabs>
        <w:ind w:left="1069"/>
      </w:pPr>
      <w:proofErr w:type="gramStart"/>
      <w:r>
        <w:t>q</w:t>
      </w:r>
      <w:r w:rsidRPr="006B25BF">
        <w:t>uality</w:t>
      </w:r>
      <w:proofErr w:type="gramEnd"/>
      <w:r w:rsidRPr="006B25BF">
        <w:t xml:space="preserve"> improvement </w:t>
      </w:r>
      <w:r w:rsidR="00467186">
        <w:t>process</w:t>
      </w:r>
      <w:r w:rsidRPr="006B25BF">
        <w:t xml:space="preserve"> embedded into the BSP through the monitoring and review of quality standards and auditing processes.  </w:t>
      </w:r>
    </w:p>
    <w:p w:rsidR="00310DF9" w:rsidRDefault="00310DF9" w:rsidP="009E487D">
      <w:r>
        <w:t xml:space="preserve">While provider perceptions across the screening pathway are in the main positive about the BSP, there are areas where service delivery </w:t>
      </w:r>
      <w:r w:rsidR="005407DF">
        <w:t xml:space="preserve">could </w:t>
      </w:r>
      <w:r>
        <w:t>be strengthened</w:t>
      </w:r>
      <w:r w:rsidR="005407DF">
        <w:t xml:space="preserve"> (see section 3.6)</w:t>
      </w:r>
      <w:r>
        <w:t xml:space="preserve">. </w:t>
      </w:r>
    </w:p>
    <w:p w:rsidR="005E4981" w:rsidRPr="00911A7D" w:rsidRDefault="005E4981" w:rsidP="005E4981">
      <w:pPr>
        <w:pStyle w:val="Heading3"/>
      </w:pPr>
      <w:r w:rsidRPr="00911A7D">
        <w:t xml:space="preserve">Conclusions </w:t>
      </w:r>
      <w:r w:rsidR="007027E9">
        <w:t xml:space="preserve">and </w:t>
      </w:r>
      <w:r w:rsidR="00D420EF">
        <w:t>recommendations</w:t>
      </w:r>
    </w:p>
    <w:p w:rsidR="005E4981" w:rsidRPr="00911A7D" w:rsidRDefault="00BE7EB2" w:rsidP="005E4981">
      <w:r w:rsidRPr="00911A7D">
        <w:t>T</w:t>
      </w:r>
      <w:r w:rsidR="005E4981" w:rsidRPr="00911A7D">
        <w:t xml:space="preserve">he </w:t>
      </w:r>
      <w:r w:rsidRPr="00911A7D">
        <w:t xml:space="preserve">2013 </w:t>
      </w:r>
      <w:r w:rsidR="005E4981" w:rsidRPr="00911A7D">
        <w:t>provider survey indicates increased levels of awareness, knowledge and support for the BSP among general practice, endoscopy and radiology staff.  Key areas of focus for screening round two are:</w:t>
      </w:r>
    </w:p>
    <w:p w:rsidR="005E4981" w:rsidRPr="00911A7D" w:rsidRDefault="005E4981" w:rsidP="00604AA9">
      <w:pPr>
        <w:numPr>
          <w:ilvl w:val="0"/>
          <w:numId w:val="6"/>
        </w:numPr>
        <w:autoSpaceDE w:val="0"/>
        <w:autoSpaceDN w:val="0"/>
        <w:adjustRightInd w:val="0"/>
        <w:spacing w:before="120" w:after="120"/>
        <w:ind w:left="1134" w:hanging="425"/>
      </w:pPr>
      <w:r w:rsidRPr="00911A7D">
        <w:t xml:space="preserve">ensuring all GPs are aware of their role to inform BSP participants of positive </w:t>
      </w:r>
      <w:r w:rsidR="00A7508A">
        <w:t xml:space="preserve">iFOBT </w:t>
      </w:r>
      <w:r w:rsidRPr="00911A7D">
        <w:t xml:space="preserve">results </w:t>
      </w:r>
    </w:p>
    <w:p w:rsidR="005E4981" w:rsidRPr="00911A7D" w:rsidRDefault="005E4981" w:rsidP="00604AA9">
      <w:pPr>
        <w:numPr>
          <w:ilvl w:val="0"/>
          <w:numId w:val="6"/>
        </w:numPr>
        <w:autoSpaceDE w:val="0"/>
        <w:autoSpaceDN w:val="0"/>
        <w:adjustRightInd w:val="0"/>
        <w:spacing w:before="120" w:after="120"/>
        <w:ind w:left="1134" w:hanging="425"/>
      </w:pPr>
      <w:proofErr w:type="gramStart"/>
      <w:r w:rsidRPr="00911A7D">
        <w:t>building</w:t>
      </w:r>
      <w:proofErr w:type="gramEnd"/>
      <w:r w:rsidRPr="00911A7D">
        <w:t xml:space="preserve"> awareness of the </w:t>
      </w:r>
      <w:r w:rsidRPr="00911A7D">
        <w:rPr>
          <w:rFonts w:cs="Arial"/>
          <w:lang w:eastAsia="en-NZ"/>
        </w:rPr>
        <w:t xml:space="preserve">New Zealand Familial Gastrointestinal Cancer Registry amongst BSP providers and their role in referrals. </w:t>
      </w:r>
    </w:p>
    <w:p w:rsidR="00A7508A" w:rsidRDefault="00A7508A">
      <w:pPr>
        <w:spacing w:before="0"/>
        <w:ind w:left="0"/>
        <w:rPr>
          <w:b/>
          <w:sz w:val="28"/>
          <w:szCs w:val="28"/>
        </w:rPr>
      </w:pPr>
      <w:bookmarkStart w:id="222" w:name="_Toc390872215"/>
      <w:r>
        <w:br w:type="page"/>
      </w:r>
    </w:p>
    <w:p w:rsidR="00C64BB5" w:rsidRDefault="00C64BB5" w:rsidP="00C64BB5">
      <w:pPr>
        <w:pStyle w:val="Heading2"/>
      </w:pPr>
      <w:bookmarkStart w:id="223" w:name="_Toc412540041"/>
      <w:r>
        <w:lastRenderedPageBreak/>
        <w:t>3.</w:t>
      </w:r>
      <w:r w:rsidR="00926BA4">
        <w:t>6</w:t>
      </w:r>
      <w:r>
        <w:tab/>
      </w:r>
      <w:r w:rsidRPr="008C525B">
        <w:t>Service delivery and workforce capacity</w:t>
      </w:r>
      <w:bookmarkEnd w:id="222"/>
      <w:bookmarkEnd w:id="223"/>
      <w:r w:rsidRPr="008C525B">
        <w:t xml:space="preserve"> </w:t>
      </w:r>
    </w:p>
    <w:p w:rsidR="00A12D1B" w:rsidRDefault="00A12D1B" w:rsidP="00A12D1B">
      <w:pPr>
        <w:pBdr>
          <w:top w:val="single" w:sz="4" w:space="1" w:color="auto"/>
          <w:left w:val="single" w:sz="4" w:space="4" w:color="auto"/>
          <w:bottom w:val="single" w:sz="4" w:space="1" w:color="auto"/>
          <w:right w:val="single" w:sz="4" w:space="4" w:color="auto"/>
        </w:pBdr>
        <w:spacing w:before="60" w:after="120"/>
        <w:ind w:left="720"/>
        <w:rPr>
          <w:rFonts w:cs="Arial"/>
          <w:b/>
        </w:rPr>
      </w:pPr>
      <w:r>
        <w:rPr>
          <w:rFonts w:cs="Arial"/>
          <w:b/>
        </w:rPr>
        <w:t>Evaluation objective addressed in section</w:t>
      </w:r>
    </w:p>
    <w:p w:rsidR="00C64BB5" w:rsidRDefault="00C64BB5" w:rsidP="00A12D1B">
      <w:pPr>
        <w:pBdr>
          <w:top w:val="single" w:sz="4" w:space="1" w:color="auto"/>
          <w:left w:val="single" w:sz="4" w:space="4" w:color="auto"/>
          <w:bottom w:val="single" w:sz="4" w:space="1" w:color="auto"/>
          <w:right w:val="single" w:sz="4" w:space="4" w:color="auto"/>
        </w:pBdr>
        <w:spacing w:before="60" w:after="120"/>
        <w:ind w:left="720"/>
        <w:rPr>
          <w:rFonts w:cs="Arial"/>
        </w:rPr>
      </w:pPr>
      <w:proofErr w:type="gramStart"/>
      <w:r>
        <w:rPr>
          <w:rFonts w:cs="Arial"/>
          <w:i/>
        </w:rPr>
        <w:t xml:space="preserve">Service delivery and workforce capacity - </w:t>
      </w:r>
      <w:r>
        <w:rPr>
          <w:rFonts w:cs="Arial"/>
        </w:rPr>
        <w:t>To monitor the effect, including resource implications of screening activities, on primary care, community health services, laboratory, and secondary and tertiary services and the implications of this for a national programme</w:t>
      </w:r>
      <w:r w:rsidR="00B0495C">
        <w:rPr>
          <w:rFonts w:cs="Arial"/>
        </w:rPr>
        <w:t>.</w:t>
      </w:r>
      <w:proofErr w:type="gramEnd"/>
    </w:p>
    <w:p w:rsidR="007E550A" w:rsidRDefault="00C64BB5" w:rsidP="0056360F">
      <w:r>
        <w:t>This section addresses the evaluation objective on service d</w:t>
      </w:r>
      <w:r w:rsidR="00E532F9">
        <w:t xml:space="preserve">elivery and workforce capacity by summarising the resource allocations, highlighting pressure points, and identifying areas of changes or challenges in the service delivery model. </w:t>
      </w:r>
    </w:p>
    <w:p w:rsidR="0056360F" w:rsidRDefault="0056360F" w:rsidP="0056360F">
      <w:r>
        <w:t xml:space="preserve">As noted in the evaluation plan (Litmus 2011), </w:t>
      </w:r>
      <w:r>
        <w:rPr>
          <w:rFonts w:cs="Arial"/>
        </w:rPr>
        <w:t xml:space="preserve">the evaluation </w:t>
      </w:r>
      <w:r>
        <w:t xml:space="preserve">does not include </w:t>
      </w:r>
      <w:r>
        <w:rPr>
          <w:rFonts w:cs="Arial"/>
        </w:rPr>
        <w:t>quantitative analysis of waiting times or impact on workforce capacity and normal service delivery</w:t>
      </w:r>
      <w:r w:rsidR="007E5306">
        <w:rPr>
          <w:rFonts w:cs="Arial"/>
        </w:rPr>
        <w:t>.</w:t>
      </w:r>
      <w:r>
        <w:t xml:space="preserve">  </w:t>
      </w:r>
    </w:p>
    <w:p w:rsidR="00C64BB5" w:rsidRDefault="00C64BB5" w:rsidP="00C64BB5">
      <w:r>
        <w:t xml:space="preserve">The evaluative findings draw on the quantitative and qualitative </w:t>
      </w:r>
      <w:r w:rsidRPr="00041737">
        <w:t xml:space="preserve">research with </w:t>
      </w:r>
      <w:r>
        <w:t>providers including BSP Coordination Centre</w:t>
      </w:r>
      <w:r w:rsidR="007E5306">
        <w:t xml:space="preserve"> staff</w:t>
      </w:r>
      <w:r>
        <w:t xml:space="preserve">, endoscopy nurses, </w:t>
      </w:r>
      <w:r>
        <w:rPr>
          <w:lang w:eastAsia="en-NZ"/>
        </w:rPr>
        <w:t>GE, surgeons</w:t>
      </w:r>
      <w:r>
        <w:t>, radiology staff</w:t>
      </w:r>
      <w:r>
        <w:rPr>
          <w:lang w:eastAsia="ar-SA"/>
        </w:rPr>
        <w:t>, l</w:t>
      </w:r>
      <w:r>
        <w:rPr>
          <w:lang w:eastAsia="en-NZ"/>
        </w:rPr>
        <w:t xml:space="preserve">aboratory staff, oncology staff and general practice including GPs, practice nurses and </w:t>
      </w:r>
      <w:r w:rsidR="00FE062B">
        <w:rPr>
          <w:lang w:eastAsia="en-NZ"/>
        </w:rPr>
        <w:t xml:space="preserve">other </w:t>
      </w:r>
      <w:r>
        <w:rPr>
          <w:lang w:eastAsia="en-NZ"/>
        </w:rPr>
        <w:t xml:space="preserve">practice </w:t>
      </w:r>
      <w:r w:rsidR="00FE062B">
        <w:rPr>
          <w:lang w:eastAsia="en-NZ"/>
        </w:rPr>
        <w:t>staff</w:t>
      </w:r>
      <w:r>
        <w:rPr>
          <w:lang w:eastAsia="en-NZ"/>
        </w:rPr>
        <w:t>.  The findings presented below are drawn from the following reports</w:t>
      </w:r>
      <w:r w:rsidR="007E5306">
        <w:rPr>
          <w:lang w:eastAsia="en-NZ"/>
        </w:rPr>
        <w:t>:</w:t>
      </w:r>
      <w:r>
        <w:rPr>
          <w:lang w:eastAsia="en-NZ"/>
        </w:rPr>
        <w:t xml:space="preserve"> </w:t>
      </w:r>
      <w:r w:rsidR="001B4791">
        <w:rPr>
          <w:lang w:eastAsia="en-NZ"/>
        </w:rPr>
        <w:t>the provider</w:t>
      </w:r>
      <w:r>
        <w:rPr>
          <w:lang w:eastAsia="en-NZ"/>
        </w:rPr>
        <w:t xml:space="preserve"> </w:t>
      </w:r>
      <w:r w:rsidR="00542D54">
        <w:rPr>
          <w:lang w:eastAsia="en-NZ"/>
        </w:rPr>
        <w:t>report</w:t>
      </w:r>
      <w:r>
        <w:rPr>
          <w:lang w:eastAsia="en-NZ"/>
        </w:rPr>
        <w:t xml:space="preserve"> (</w:t>
      </w:r>
      <w:r>
        <w:t>Litmus 2014b),</w:t>
      </w:r>
      <w:r>
        <w:rPr>
          <w:lang w:eastAsia="en-NZ"/>
        </w:rPr>
        <w:t xml:space="preserve"> two immersion reports (</w:t>
      </w:r>
      <w:r>
        <w:t>Litmus 2013a and 2014)</w:t>
      </w:r>
      <w:r w:rsidR="00F54BEE">
        <w:t xml:space="preserve">, the eligible population survey (Litmus </w:t>
      </w:r>
      <w:r w:rsidR="00DD0FE3">
        <w:t>2014a)</w:t>
      </w:r>
      <w:r>
        <w:rPr>
          <w:lang w:eastAsia="en-NZ"/>
        </w:rPr>
        <w:t xml:space="preserve"> and the report on the role of general practice</w:t>
      </w:r>
      <w:r>
        <w:t xml:space="preserve"> (Litmus 2014c).  </w:t>
      </w:r>
    </w:p>
    <w:p w:rsidR="0056360F" w:rsidRDefault="0056360F" w:rsidP="0056360F">
      <w:r>
        <w:t>The key evaluation findings against the objective are presented first followed by a summary of supporting evidence</w:t>
      </w:r>
      <w:r w:rsidR="007E5306">
        <w:t xml:space="preserve"> for each component of the screening pathway</w:t>
      </w:r>
      <w:r>
        <w:t xml:space="preserve">. </w:t>
      </w:r>
    </w:p>
    <w:p w:rsidR="00C64BB5" w:rsidRDefault="00C64BB5" w:rsidP="00C64BB5">
      <w:pPr>
        <w:pStyle w:val="Heading3"/>
      </w:pPr>
      <w:r>
        <w:t>Key evaluation findings</w:t>
      </w:r>
    </w:p>
    <w:p w:rsidR="007E550A" w:rsidRDefault="00C64BB5" w:rsidP="00C64BB5">
      <w:pPr>
        <w:rPr>
          <w:lang w:eastAsia="ar-SA"/>
        </w:rPr>
      </w:pPr>
      <w:r>
        <w:rPr>
          <w:lang w:eastAsia="ar-SA"/>
        </w:rPr>
        <w:t>As evidenced in the immersion visit reports</w:t>
      </w:r>
      <w:r w:rsidR="00DF470A">
        <w:rPr>
          <w:lang w:eastAsia="ar-SA"/>
        </w:rPr>
        <w:t xml:space="preserve"> (Litmus 2013a and 2104)</w:t>
      </w:r>
      <w:r>
        <w:rPr>
          <w:lang w:eastAsia="ar-SA"/>
        </w:rPr>
        <w:t>, t</w:t>
      </w:r>
      <w:r w:rsidRPr="00F6785A">
        <w:rPr>
          <w:lang w:eastAsia="ar-SA"/>
        </w:rPr>
        <w:t xml:space="preserve">he BSP screening pathway is being implemented as </w:t>
      </w:r>
      <w:r w:rsidR="00FE062B">
        <w:rPr>
          <w:lang w:eastAsia="ar-SA"/>
        </w:rPr>
        <w:t>intended</w:t>
      </w:r>
      <w:r w:rsidR="007E550A">
        <w:rPr>
          <w:lang w:eastAsia="ar-SA"/>
        </w:rPr>
        <w:t xml:space="preserve"> (refer overview of pathway below)</w:t>
      </w:r>
      <w:r w:rsidRPr="00F6785A">
        <w:rPr>
          <w:lang w:eastAsia="ar-SA"/>
        </w:rPr>
        <w:t xml:space="preserve">.  </w:t>
      </w:r>
      <w:r w:rsidRPr="00944A62">
        <w:rPr>
          <w:lang w:eastAsia="ar-SA"/>
        </w:rPr>
        <w:t xml:space="preserve">Feedback from </w:t>
      </w:r>
      <w:r w:rsidRPr="00944A62">
        <w:t>BSP</w:t>
      </w:r>
      <w:r w:rsidRPr="00944A62">
        <w:rPr>
          <w:lang w:eastAsia="ar-SA"/>
        </w:rPr>
        <w:t xml:space="preserve"> participants also indicates a </w:t>
      </w:r>
      <w:r>
        <w:rPr>
          <w:lang w:eastAsia="ar-SA"/>
        </w:rPr>
        <w:t xml:space="preserve">mainly </w:t>
      </w:r>
      <w:r w:rsidRPr="00944A62">
        <w:rPr>
          <w:lang w:eastAsia="ar-SA"/>
        </w:rPr>
        <w:t xml:space="preserve">positive </w:t>
      </w:r>
      <w:r>
        <w:rPr>
          <w:lang w:eastAsia="ar-SA"/>
        </w:rPr>
        <w:t xml:space="preserve">screening </w:t>
      </w:r>
      <w:r w:rsidRPr="00944A62">
        <w:rPr>
          <w:lang w:eastAsia="ar-SA"/>
        </w:rPr>
        <w:t>experience</w:t>
      </w:r>
      <w:r w:rsidR="00414853">
        <w:rPr>
          <w:lang w:eastAsia="ar-SA"/>
        </w:rPr>
        <w:t xml:space="preserve"> (Litmus 2013 and WDHB 2013)</w:t>
      </w:r>
      <w:r w:rsidRPr="00944A62">
        <w:rPr>
          <w:lang w:eastAsia="ar-SA"/>
        </w:rPr>
        <w:t xml:space="preserve">. </w:t>
      </w:r>
    </w:p>
    <w:p w:rsidR="00C64BB5" w:rsidRPr="00A077B6" w:rsidRDefault="00C64BB5" w:rsidP="00C64BB5">
      <w:r>
        <w:t xml:space="preserve">Across the screening pathway there are a number </w:t>
      </w:r>
      <w:r w:rsidR="00303B9B">
        <w:t xml:space="preserve">of critical pressure points on workforce capacity </w:t>
      </w:r>
      <w:r>
        <w:t>that if not effectively managed</w:t>
      </w:r>
      <w:r w:rsidR="00B0495C">
        <w:t>,</w:t>
      </w:r>
      <w:r>
        <w:t xml:space="preserve"> could have </w:t>
      </w:r>
      <w:r w:rsidR="007E5306">
        <w:t xml:space="preserve">an </w:t>
      </w:r>
      <w:r>
        <w:t xml:space="preserve">adverse impact on </w:t>
      </w:r>
      <w:r w:rsidR="00A33636">
        <w:t>BSP service delivery</w:t>
      </w:r>
      <w:r>
        <w:t xml:space="preserve">, specifically: </w:t>
      </w:r>
    </w:p>
    <w:p w:rsidR="00C64BB5" w:rsidRPr="00FB11DD" w:rsidRDefault="00DE0665" w:rsidP="00604AA9">
      <w:pPr>
        <w:pStyle w:val="Bullet"/>
        <w:numPr>
          <w:ilvl w:val="0"/>
          <w:numId w:val="10"/>
        </w:numPr>
        <w:tabs>
          <w:tab w:val="num" w:pos="6663"/>
        </w:tabs>
        <w:ind w:left="1069"/>
        <w:rPr>
          <w:lang w:val="en-US"/>
        </w:rPr>
      </w:pPr>
      <w:r w:rsidRPr="00FB11DD">
        <w:rPr>
          <w:lang w:val="en-US"/>
        </w:rPr>
        <w:t>C</w:t>
      </w:r>
      <w:r w:rsidR="00C64BB5" w:rsidRPr="00FB11DD">
        <w:rPr>
          <w:lang w:val="en-US"/>
        </w:rPr>
        <w:t>olonoscopist capacity</w:t>
      </w:r>
      <w:r w:rsidR="00B0495C">
        <w:rPr>
          <w:lang w:val="en-US"/>
        </w:rPr>
        <w:t>: e</w:t>
      </w:r>
      <w:r w:rsidRPr="00FB11DD">
        <w:rPr>
          <w:lang w:val="en-US"/>
        </w:rPr>
        <w:t>nsuring there is adequate colonoscop</w:t>
      </w:r>
      <w:r w:rsidR="00FE062B" w:rsidRPr="00FB11DD">
        <w:rPr>
          <w:lang w:val="en-US"/>
        </w:rPr>
        <w:t xml:space="preserve">ist </w:t>
      </w:r>
      <w:r w:rsidRPr="00FB11DD">
        <w:rPr>
          <w:lang w:val="en-US"/>
        </w:rPr>
        <w:t xml:space="preserve">capacity to meet </w:t>
      </w:r>
      <w:r w:rsidR="00EB16D2" w:rsidRPr="00FB11DD">
        <w:rPr>
          <w:lang w:val="en-US"/>
        </w:rPr>
        <w:t xml:space="preserve">BSP </w:t>
      </w:r>
      <w:r w:rsidRPr="00FB11DD">
        <w:rPr>
          <w:lang w:val="en-US"/>
        </w:rPr>
        <w:t xml:space="preserve">quality standards continues to be a critical resource challenge for the BSP.  </w:t>
      </w:r>
      <w:r w:rsidR="00424E39">
        <w:t>For the period January 2012 to 31 December 201</w:t>
      </w:r>
      <w:r w:rsidR="00FE1B9C">
        <w:t>3</w:t>
      </w:r>
      <w:r w:rsidR="00EB16D2" w:rsidRPr="00FB11DD">
        <w:rPr>
          <w:lang w:val="en-US"/>
        </w:rPr>
        <w:t>,</w:t>
      </w:r>
      <w:r w:rsidR="00C64BB5" w:rsidRPr="00FB11DD">
        <w:rPr>
          <w:lang w:val="en-US"/>
        </w:rPr>
        <w:t xml:space="preserve"> 9</w:t>
      </w:r>
      <w:r w:rsidR="006A778C" w:rsidRPr="00FB11DD">
        <w:rPr>
          <w:lang w:val="en-US"/>
        </w:rPr>
        <w:t>1</w:t>
      </w:r>
      <w:r w:rsidR="00C64BB5" w:rsidRPr="00FB11DD">
        <w:rPr>
          <w:lang w:val="en-US"/>
        </w:rPr>
        <w:t xml:space="preserve">% of participants with a positive iFOBT received the first offer of colonoscopy within 55 working days compared to the </w:t>
      </w:r>
      <w:r w:rsidR="007E5306" w:rsidRPr="00FB11DD">
        <w:rPr>
          <w:lang w:val="en-US"/>
        </w:rPr>
        <w:t xml:space="preserve">expected quality </w:t>
      </w:r>
      <w:r w:rsidR="00C64BB5" w:rsidRPr="00FB11DD">
        <w:rPr>
          <w:lang w:val="en-US"/>
        </w:rPr>
        <w:t xml:space="preserve">standard of 95%.  </w:t>
      </w:r>
      <w:r w:rsidR="00EB16D2" w:rsidRPr="00FB11DD">
        <w:rPr>
          <w:lang w:val="en-US"/>
        </w:rPr>
        <w:t xml:space="preserve">However, </w:t>
      </w:r>
      <w:r w:rsidR="00C64BB5" w:rsidRPr="00FB11DD">
        <w:rPr>
          <w:lang w:val="en-US"/>
        </w:rPr>
        <w:t xml:space="preserve">only </w:t>
      </w:r>
      <w:r w:rsidR="00424E39" w:rsidRPr="00FB11DD">
        <w:rPr>
          <w:lang w:val="en-US"/>
        </w:rPr>
        <w:t>4</w:t>
      </w:r>
      <w:r w:rsidR="00C64BB5" w:rsidRPr="00FB11DD">
        <w:rPr>
          <w:lang w:val="en-US"/>
        </w:rPr>
        <w:t xml:space="preserve">% had a first offer of colonoscopy within 25 working days compared to the standard of 50%.  </w:t>
      </w:r>
    </w:p>
    <w:p w:rsidR="000B518F" w:rsidRPr="007E550A" w:rsidRDefault="000B518F" w:rsidP="0070076F">
      <w:pPr>
        <w:pStyle w:val="Bullet"/>
        <w:numPr>
          <w:ilvl w:val="0"/>
          <w:numId w:val="10"/>
        </w:numPr>
        <w:tabs>
          <w:tab w:val="num" w:pos="6663"/>
        </w:tabs>
        <w:ind w:left="1069"/>
      </w:pPr>
      <w:r w:rsidRPr="007E550A">
        <w:t>Impact on treatment services</w:t>
      </w:r>
      <w:r w:rsidR="00B0495C">
        <w:t>: t</w:t>
      </w:r>
      <w:r w:rsidRPr="007E550A">
        <w:t>he increase in the number of cancer patients identified by the BSP is putting pressure on treatment services due to no additional resource being allocated to this servic</w:t>
      </w:r>
      <w:r w:rsidR="00B24D8E" w:rsidRPr="007E550A">
        <w:t>e</w:t>
      </w:r>
      <w:r w:rsidRPr="007E550A">
        <w:t>.  As the BSP moves into screening round two, the pressure on surgery and oncology is likely to dissipate over time as fewer BSP participants will be identified with late stage cancers.</w:t>
      </w:r>
    </w:p>
    <w:p w:rsidR="00712B4F" w:rsidRDefault="00EB16D2" w:rsidP="0070076F">
      <w:pPr>
        <w:pStyle w:val="Bullet"/>
        <w:numPr>
          <w:ilvl w:val="0"/>
          <w:numId w:val="10"/>
        </w:numPr>
        <w:tabs>
          <w:tab w:val="num" w:pos="6663"/>
        </w:tabs>
        <w:ind w:left="1069"/>
      </w:pPr>
      <w:r w:rsidRPr="007E550A">
        <w:t>Impact</w:t>
      </w:r>
      <w:r w:rsidR="00C64BB5" w:rsidRPr="007E550A">
        <w:t xml:space="preserve"> of BSP surveillance colonoscopies on symptomatic services</w:t>
      </w:r>
      <w:r w:rsidR="00B0495C">
        <w:t>: t</w:t>
      </w:r>
      <w:r w:rsidR="00C64BB5" w:rsidRPr="007E550A">
        <w:t xml:space="preserve">he high level of polyps detected via BSP colonoscopies will, over time, add significantly to the symptomatic colonoscopy lists.  </w:t>
      </w:r>
      <w:r w:rsidR="00712B4F" w:rsidRPr="007E550A">
        <w:t xml:space="preserve">The accumulative effect of the surveillance colonoscopies have not yet impacted on the symptomatic list.  Monitoring is required to </w:t>
      </w:r>
      <w:r w:rsidR="00712B4F" w:rsidRPr="007E550A">
        <w:lastRenderedPageBreak/>
        <w:t xml:space="preserve">ensure that BSP participants requiring surveillance colonoscopies at one year and later </w:t>
      </w:r>
      <w:r w:rsidR="0052486A">
        <w:t>receive</w:t>
      </w:r>
      <w:r w:rsidR="00712B4F" w:rsidRPr="007E550A">
        <w:t xml:space="preserve"> timely appointments.  </w:t>
      </w:r>
    </w:p>
    <w:p w:rsidR="00C64BB5" w:rsidRDefault="00C64BB5" w:rsidP="0052486A">
      <w:pPr>
        <w:pStyle w:val="Bullet"/>
        <w:numPr>
          <w:ilvl w:val="0"/>
          <w:numId w:val="0"/>
        </w:numPr>
        <w:ind w:left="709"/>
      </w:pPr>
      <w:r w:rsidRPr="007E550A">
        <w:t>The value added by general practice informing participants they have a positive</w:t>
      </w:r>
      <w:r>
        <w:t xml:space="preserve"> i</w:t>
      </w:r>
      <w:r w:rsidR="006A4CE0">
        <w:t xml:space="preserve">FOBT result rather than the </w:t>
      </w:r>
      <w:r w:rsidR="00FE062B">
        <w:t>screening unit</w:t>
      </w:r>
      <w:r w:rsidR="00080B2D">
        <w:t xml:space="preserve"> </w:t>
      </w:r>
      <w:r>
        <w:t>is not clear.  M</w:t>
      </w:r>
      <w:r w:rsidRPr="00AE5E62">
        <w:t xml:space="preserve">ost BSP participants do not have a strong preference </w:t>
      </w:r>
      <w:r>
        <w:t xml:space="preserve">on </w:t>
      </w:r>
      <w:r w:rsidRPr="00AE5E62">
        <w:t xml:space="preserve">who informs them about a positive iFOBT result so long as their results are timely, convenient, given in a reassuring manner, their GP is kept informed, and the transition to colonoscopy is well explained, timely and streamlined.  </w:t>
      </w:r>
      <w:r>
        <w:t xml:space="preserve">The exception is BSP </w:t>
      </w:r>
      <w:r w:rsidRPr="00AE5E62">
        <w:t xml:space="preserve">participants who are highly anxious, </w:t>
      </w:r>
      <w:r>
        <w:t>have</w:t>
      </w:r>
      <w:r w:rsidRPr="00AE5E62">
        <w:t xml:space="preserve"> other health conditions</w:t>
      </w:r>
      <w:r>
        <w:t>,</w:t>
      </w:r>
      <w:r w:rsidRPr="00AE5E62">
        <w:t xml:space="preserve"> or </w:t>
      </w:r>
      <w:r>
        <w:t xml:space="preserve">are </w:t>
      </w:r>
      <w:r w:rsidRPr="00AE5E62">
        <w:t xml:space="preserve">reluctant to have a colonoscopy </w:t>
      </w:r>
      <w:r>
        <w:t xml:space="preserve">who feel they benefit from a consultation with their GP about their positive </w:t>
      </w:r>
      <w:r w:rsidR="00BE7EB2">
        <w:t xml:space="preserve">iFOBT </w:t>
      </w:r>
      <w:r>
        <w:t>result</w:t>
      </w:r>
      <w:r w:rsidRPr="00AE5E62">
        <w:t xml:space="preserve">. </w:t>
      </w:r>
      <w:r>
        <w:t xml:space="preserve"> M</w:t>
      </w:r>
      <w:r w:rsidRPr="00712B4F">
        <w:rPr>
          <w:rFonts w:cs="Arial"/>
        </w:rPr>
        <w:t>ā</w:t>
      </w:r>
      <w:r>
        <w:t>ori BSP participants cited a preference of hearing about their positive iFOBT result from the screening unit</w:t>
      </w:r>
      <w:r w:rsidR="00BE7EB2">
        <w:t xml:space="preserve"> (Litmus 2014a)</w:t>
      </w:r>
      <w:r>
        <w:t>.</w:t>
      </w:r>
    </w:p>
    <w:p w:rsidR="007E550A" w:rsidRPr="002A084C" w:rsidRDefault="00F04363" w:rsidP="007E550A">
      <w:pPr>
        <w:pStyle w:val="Figure"/>
      </w:pPr>
      <w:bookmarkStart w:id="224" w:name="_Toc412540141"/>
      <w:r>
        <w:t xml:space="preserve">Figure 14: </w:t>
      </w:r>
      <w:r w:rsidR="007E550A" w:rsidRPr="002A084C">
        <w:t>Overview of screening pathway (WDHB 2012c)</w:t>
      </w:r>
      <w:bookmarkEnd w:id="224"/>
    </w:p>
    <w:p w:rsidR="007E550A" w:rsidRDefault="007E550A" w:rsidP="007E550A">
      <w:pPr>
        <w:jc w:val="center"/>
      </w:pPr>
      <w:r>
        <w:rPr>
          <w:noProof/>
          <w:lang w:eastAsia="en-NZ"/>
        </w:rPr>
        <w:drawing>
          <wp:inline distT="0" distB="0" distL="0" distR="0" wp14:anchorId="319EFE95" wp14:editId="3B996F06">
            <wp:extent cx="5456879" cy="616688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56879" cy="6166884"/>
                    </a:xfrm>
                    <a:prstGeom prst="rect">
                      <a:avLst/>
                    </a:prstGeom>
                  </pic:spPr>
                </pic:pic>
              </a:graphicData>
            </a:graphic>
          </wp:inline>
        </w:drawing>
      </w:r>
    </w:p>
    <w:p w:rsidR="00C64BB5" w:rsidRDefault="00C64BB5" w:rsidP="00C64BB5">
      <w:pPr>
        <w:pStyle w:val="Heading3"/>
      </w:pPr>
      <w:r>
        <w:lastRenderedPageBreak/>
        <w:t xml:space="preserve">Resource and activity overview </w:t>
      </w:r>
    </w:p>
    <w:p w:rsidR="00C64BB5" w:rsidRDefault="00C64BB5" w:rsidP="00C64BB5">
      <w:r>
        <w:t xml:space="preserve">Over the last 12 months of screening round one, monitoring of service demand has </w:t>
      </w:r>
      <w:r w:rsidR="001071C8">
        <w:t xml:space="preserve">led to </w:t>
      </w:r>
      <w:r>
        <w:t xml:space="preserve">refined resource allocation at WDHB for the BSP.  Summarised below is the reallocation of resources: </w:t>
      </w:r>
    </w:p>
    <w:p w:rsidR="00C64BB5" w:rsidRPr="00803CAB" w:rsidRDefault="00C64BB5" w:rsidP="00C64BB5">
      <w:pPr>
        <w:pStyle w:val="Heading4"/>
      </w:pPr>
      <w:r w:rsidRPr="00803CAB">
        <w:t>Endoscopy unit</w:t>
      </w:r>
    </w:p>
    <w:p w:rsidR="00C64BB5" w:rsidRDefault="00BE7EB2" w:rsidP="00604AA9">
      <w:pPr>
        <w:pStyle w:val="Bullet"/>
        <w:numPr>
          <w:ilvl w:val="0"/>
          <w:numId w:val="10"/>
        </w:numPr>
        <w:tabs>
          <w:tab w:val="num" w:pos="6663"/>
        </w:tabs>
        <w:ind w:left="1069"/>
      </w:pPr>
      <w:r>
        <w:t>An additional Registered Nurse</w:t>
      </w:r>
    </w:p>
    <w:p w:rsidR="00BE7EB2" w:rsidRDefault="00BE7EB2" w:rsidP="00604AA9">
      <w:pPr>
        <w:pStyle w:val="Bullet"/>
        <w:numPr>
          <w:ilvl w:val="0"/>
          <w:numId w:val="10"/>
        </w:numPr>
        <w:tabs>
          <w:tab w:val="num" w:pos="6663"/>
        </w:tabs>
        <w:ind w:left="1069"/>
      </w:pPr>
      <w:r>
        <w:t xml:space="preserve">Additional WDHB colonoscopists. </w:t>
      </w:r>
    </w:p>
    <w:p w:rsidR="00C64BB5" w:rsidRPr="0029239A" w:rsidRDefault="00C64BB5" w:rsidP="00C64BB5">
      <w:pPr>
        <w:pStyle w:val="Heading4"/>
      </w:pPr>
      <w:r>
        <w:t xml:space="preserve">BSP Coordination Centre </w:t>
      </w:r>
    </w:p>
    <w:p w:rsidR="00C64BB5" w:rsidRDefault="00C64BB5" w:rsidP="00604AA9">
      <w:pPr>
        <w:pStyle w:val="Bullet"/>
        <w:numPr>
          <w:ilvl w:val="0"/>
          <w:numId w:val="10"/>
        </w:numPr>
        <w:tabs>
          <w:tab w:val="num" w:pos="6663"/>
        </w:tabs>
        <w:ind w:left="1069"/>
      </w:pPr>
      <w:r>
        <w:t>Following resignation of the 0.5</w:t>
      </w:r>
      <w:r w:rsidR="001071C8">
        <w:t xml:space="preserve"> </w:t>
      </w:r>
      <w:r>
        <w:t xml:space="preserve">FTE Programme </w:t>
      </w:r>
      <w:proofErr w:type="gramStart"/>
      <w:r>
        <w:t>Manager</w:t>
      </w:r>
      <w:proofErr w:type="gramEnd"/>
      <w:r>
        <w:t xml:space="preserve"> in 2012, the Project Manager took on this role as a 1</w:t>
      </w:r>
      <w:r w:rsidR="001071C8">
        <w:t xml:space="preserve">.0 </w:t>
      </w:r>
      <w:r>
        <w:t>FTE.</w:t>
      </w:r>
    </w:p>
    <w:p w:rsidR="00C64BB5" w:rsidRPr="00BD5C06" w:rsidRDefault="00C64BB5" w:rsidP="00604AA9">
      <w:pPr>
        <w:pStyle w:val="Bullet"/>
        <w:numPr>
          <w:ilvl w:val="0"/>
          <w:numId w:val="10"/>
        </w:numPr>
        <w:tabs>
          <w:tab w:val="num" w:pos="6663"/>
        </w:tabs>
        <w:ind w:left="1069"/>
      </w:pPr>
      <w:r>
        <w:t>The Quality Lead position was vacant from October 2012 to May 2013, and dropped to 0.5 FTE from May 2013.</w:t>
      </w:r>
    </w:p>
    <w:p w:rsidR="00C64BB5" w:rsidRDefault="00C64BB5" w:rsidP="00604AA9">
      <w:pPr>
        <w:pStyle w:val="Bullet"/>
        <w:numPr>
          <w:ilvl w:val="0"/>
          <w:numId w:val="10"/>
        </w:numPr>
        <w:tabs>
          <w:tab w:val="num" w:pos="6663"/>
        </w:tabs>
        <w:ind w:left="1069"/>
      </w:pPr>
      <w:r>
        <w:t xml:space="preserve">The Data Manager FTE increased from </w:t>
      </w:r>
      <w:r w:rsidRPr="00FB74F3">
        <w:t xml:space="preserve">0.5 to 1.0 </w:t>
      </w:r>
      <w:r>
        <w:t xml:space="preserve">FTE from September 2013. </w:t>
      </w:r>
    </w:p>
    <w:p w:rsidR="00C64BB5" w:rsidRPr="00FB74F3" w:rsidRDefault="00C64BB5" w:rsidP="00604AA9">
      <w:pPr>
        <w:pStyle w:val="Bullet"/>
        <w:numPr>
          <w:ilvl w:val="0"/>
          <w:numId w:val="10"/>
        </w:numPr>
        <w:tabs>
          <w:tab w:val="num" w:pos="6663"/>
        </w:tabs>
        <w:ind w:left="1069"/>
      </w:pPr>
      <w:r>
        <w:t xml:space="preserve">The </w:t>
      </w:r>
      <w:r w:rsidRPr="00FB74F3">
        <w:t>information</w:t>
      </w:r>
      <w:r w:rsidR="001071C8">
        <w:t xml:space="preserve"> phone</w:t>
      </w:r>
      <w:r w:rsidRPr="00FB74F3">
        <w:t xml:space="preserve"> line </w:t>
      </w:r>
      <w:r>
        <w:t xml:space="preserve">FTE was reduced by </w:t>
      </w:r>
      <w:r w:rsidRPr="00FB74F3">
        <w:t>0.</w:t>
      </w:r>
      <w:r>
        <w:t>6 FTE to increase</w:t>
      </w:r>
      <w:r w:rsidRPr="00FB74F3">
        <w:t xml:space="preserve"> </w:t>
      </w:r>
      <w:r>
        <w:t xml:space="preserve">administrative </w:t>
      </w:r>
      <w:r w:rsidRPr="00FB74F3">
        <w:t>capacity at the endoscopy unit by 0.6</w:t>
      </w:r>
      <w:r>
        <w:t xml:space="preserve"> FTE to address the larger than expected administrative workload.</w:t>
      </w:r>
    </w:p>
    <w:p w:rsidR="00C64BB5" w:rsidRPr="00FB74F3" w:rsidRDefault="00C64BB5" w:rsidP="00604AA9">
      <w:pPr>
        <w:pStyle w:val="Bullet"/>
        <w:numPr>
          <w:ilvl w:val="0"/>
          <w:numId w:val="10"/>
        </w:numPr>
        <w:tabs>
          <w:tab w:val="num" w:pos="6663"/>
        </w:tabs>
        <w:ind w:left="1069"/>
      </w:pPr>
      <w:r>
        <w:t>Th</w:t>
      </w:r>
      <w:r w:rsidRPr="00FB74F3">
        <w:t>e M</w:t>
      </w:r>
      <w:r w:rsidRPr="00803CAB">
        <w:rPr>
          <w:rFonts w:cs="Arial"/>
        </w:rPr>
        <w:t>ā</w:t>
      </w:r>
      <w:r w:rsidRPr="00FB74F3">
        <w:t xml:space="preserve">ori </w:t>
      </w:r>
      <w:r>
        <w:t xml:space="preserve">CAR </w:t>
      </w:r>
      <w:r w:rsidR="00FE062B">
        <w:t>C</w:t>
      </w:r>
      <w:r w:rsidRPr="00FB74F3">
        <w:t>oordinator role</w:t>
      </w:r>
      <w:r>
        <w:t xml:space="preserve">’s was reduced </w:t>
      </w:r>
      <w:r w:rsidRPr="00FB74F3">
        <w:t>to 0.6</w:t>
      </w:r>
      <w:r>
        <w:t xml:space="preserve"> FTE</w:t>
      </w:r>
      <w:r w:rsidRPr="00FB74F3">
        <w:t xml:space="preserve"> </w:t>
      </w:r>
      <w:r>
        <w:t xml:space="preserve">to enable the employment of </w:t>
      </w:r>
      <w:r w:rsidRPr="00FB74F3">
        <w:t xml:space="preserve">a Samoan </w:t>
      </w:r>
      <w:r>
        <w:t>CAR</w:t>
      </w:r>
      <w:r w:rsidRPr="00FB74F3">
        <w:t xml:space="preserve"> Coordinator with the 0.4 </w:t>
      </w:r>
      <w:r>
        <w:t>FTE balance.</w:t>
      </w:r>
    </w:p>
    <w:p w:rsidR="00C64BB5" w:rsidRPr="00751767" w:rsidRDefault="00C64BB5" w:rsidP="00C64BB5">
      <w:pPr>
        <w:rPr>
          <w:b/>
        </w:rPr>
      </w:pPr>
      <w:r w:rsidRPr="00751767">
        <w:rPr>
          <w:b/>
        </w:rPr>
        <w:t>Ministry of Health</w:t>
      </w:r>
    </w:p>
    <w:p w:rsidR="00C64BB5" w:rsidRDefault="00C64BB5" w:rsidP="00604AA9">
      <w:pPr>
        <w:pStyle w:val="Bullet"/>
        <w:numPr>
          <w:ilvl w:val="0"/>
          <w:numId w:val="10"/>
        </w:numPr>
        <w:tabs>
          <w:tab w:val="num" w:pos="6663"/>
        </w:tabs>
        <w:ind w:left="1069"/>
      </w:pPr>
      <w:r>
        <w:t xml:space="preserve">An additional senior advisor. </w:t>
      </w:r>
    </w:p>
    <w:p w:rsidR="00C64BB5" w:rsidRDefault="00C64BB5" w:rsidP="00C64BB5">
      <w:r w:rsidRPr="00FE062B">
        <w:t xml:space="preserve">Tables </w:t>
      </w:r>
      <w:r w:rsidR="0097166A">
        <w:t>8</w:t>
      </w:r>
      <w:r w:rsidRPr="00FE062B">
        <w:t xml:space="preserve"> and </w:t>
      </w:r>
      <w:r w:rsidR="0097166A">
        <w:t xml:space="preserve">9 </w:t>
      </w:r>
      <w:r w:rsidR="00387646">
        <w:t>summarise the</w:t>
      </w:r>
      <w:r w:rsidRPr="00FE062B">
        <w:t xml:space="preserve"> FTEs allocated to the BSP in screening round one</w:t>
      </w:r>
      <w:r>
        <w:t xml:space="preserve"> and the volumes of activity across the screening pathway. </w:t>
      </w:r>
    </w:p>
    <w:p w:rsidR="00424E39" w:rsidRDefault="00424E39">
      <w:pPr>
        <w:spacing w:before="0"/>
        <w:ind w:left="0"/>
        <w:rPr>
          <w:b/>
          <w:sz w:val="20"/>
        </w:rPr>
      </w:pPr>
      <w:r>
        <w:br w:type="page"/>
      </w:r>
    </w:p>
    <w:p w:rsidR="00C64BB5" w:rsidRDefault="00381D12" w:rsidP="001528F3">
      <w:pPr>
        <w:pStyle w:val="Table"/>
      </w:pPr>
      <w:bookmarkStart w:id="225" w:name="_Toc412540161"/>
      <w:r w:rsidRPr="00FE062B">
        <w:lastRenderedPageBreak/>
        <w:t>Table</w:t>
      </w:r>
      <w:r w:rsidR="001F6AA8">
        <w:t xml:space="preserve"> </w:t>
      </w:r>
      <w:r w:rsidR="0097166A">
        <w:t>8</w:t>
      </w:r>
      <w:r w:rsidR="00C64BB5" w:rsidRPr="00FE062B">
        <w:t xml:space="preserve">: FTEs </w:t>
      </w:r>
      <w:r w:rsidR="00C64BB5" w:rsidRPr="001528F3">
        <w:t>allocated</w:t>
      </w:r>
      <w:r w:rsidR="00C64BB5" w:rsidRPr="00FE062B">
        <w:t xml:space="preserve"> to the BSP in screening round one</w:t>
      </w:r>
      <w:bookmarkEnd w:id="225"/>
    </w:p>
    <w:tbl>
      <w:tblPr>
        <w:tblStyle w:val="LightList-Accent3"/>
        <w:tblW w:w="0" w:type="auto"/>
        <w:tblInd w:w="675" w:type="dxa"/>
        <w:tblLook w:val="04A0" w:firstRow="1" w:lastRow="0" w:firstColumn="1" w:lastColumn="0" w:noHBand="0" w:noVBand="1"/>
      </w:tblPr>
      <w:tblGrid>
        <w:gridCol w:w="1604"/>
        <w:gridCol w:w="3033"/>
        <w:gridCol w:w="2272"/>
        <w:gridCol w:w="2273"/>
      </w:tblGrid>
      <w:tr w:rsidR="00C64BB5" w:rsidRPr="007B7906" w:rsidTr="00BE7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bottom w:val="single" w:sz="8" w:space="0" w:color="9BBB59" w:themeColor="accent3"/>
            </w:tcBorders>
          </w:tcPr>
          <w:p w:rsidR="00C64BB5" w:rsidRPr="007B7906" w:rsidRDefault="00C64BB5" w:rsidP="00FD3BAC">
            <w:pPr>
              <w:spacing w:beforeLines="20" w:before="48"/>
              <w:ind w:left="0"/>
              <w:rPr>
                <w:sz w:val="20"/>
              </w:rPr>
            </w:pPr>
            <w:r w:rsidRPr="007B7906">
              <w:rPr>
                <w:sz w:val="20"/>
              </w:rPr>
              <w:t>Areas</w:t>
            </w:r>
          </w:p>
        </w:tc>
        <w:tc>
          <w:tcPr>
            <w:tcW w:w="3033" w:type="dxa"/>
            <w:tcBorders>
              <w:bottom w:val="single" w:sz="8" w:space="0" w:color="9BBB59" w:themeColor="accent3"/>
            </w:tcBorders>
          </w:tcPr>
          <w:p w:rsidR="00C64BB5" w:rsidRPr="007B7906" w:rsidRDefault="00C64BB5" w:rsidP="00FD3BAC">
            <w:pPr>
              <w:spacing w:beforeLines="20" w:before="48"/>
              <w:ind w:left="0"/>
              <w:cnfStyle w:val="100000000000" w:firstRow="1" w:lastRow="0" w:firstColumn="0" w:lastColumn="0" w:oddVBand="0" w:evenVBand="0" w:oddHBand="0" w:evenHBand="0" w:firstRowFirstColumn="0" w:firstRowLastColumn="0" w:lastRowFirstColumn="0" w:lastRowLastColumn="0"/>
              <w:rPr>
                <w:sz w:val="20"/>
              </w:rPr>
            </w:pPr>
            <w:r w:rsidRPr="007B7906">
              <w:rPr>
                <w:sz w:val="20"/>
              </w:rPr>
              <w:t>Roles</w:t>
            </w:r>
          </w:p>
        </w:tc>
        <w:tc>
          <w:tcPr>
            <w:tcW w:w="2272" w:type="dxa"/>
            <w:tcBorders>
              <w:bottom w:val="single" w:sz="8" w:space="0" w:color="9BBB59" w:themeColor="accent3"/>
            </w:tcBorders>
          </w:tcPr>
          <w:p w:rsidR="00C64BB5" w:rsidRPr="007B7906" w:rsidRDefault="00C64BB5" w:rsidP="00FD3BAC">
            <w:pPr>
              <w:spacing w:beforeLines="20" w:before="48"/>
              <w:ind w:left="0"/>
              <w:jc w:val="center"/>
              <w:cnfStyle w:val="100000000000" w:firstRow="1" w:lastRow="0" w:firstColumn="0" w:lastColumn="0" w:oddVBand="0" w:evenVBand="0" w:oddHBand="0" w:evenHBand="0" w:firstRowFirstColumn="0" w:firstRowLastColumn="0" w:lastRowFirstColumn="0" w:lastRowLastColumn="0"/>
              <w:rPr>
                <w:sz w:val="20"/>
              </w:rPr>
            </w:pPr>
            <w:r w:rsidRPr="007B7906">
              <w:rPr>
                <w:sz w:val="20"/>
              </w:rPr>
              <w:t>2012 FTEs</w:t>
            </w:r>
          </w:p>
        </w:tc>
        <w:tc>
          <w:tcPr>
            <w:tcW w:w="2273" w:type="dxa"/>
            <w:tcBorders>
              <w:bottom w:val="single" w:sz="8" w:space="0" w:color="9BBB59" w:themeColor="accent3"/>
            </w:tcBorders>
          </w:tcPr>
          <w:p w:rsidR="00C64BB5" w:rsidRPr="007B7906" w:rsidRDefault="00C64BB5" w:rsidP="00FD3BAC">
            <w:pPr>
              <w:spacing w:beforeLines="20" w:before="48"/>
              <w:ind w:left="0"/>
              <w:jc w:val="center"/>
              <w:cnfStyle w:val="100000000000" w:firstRow="1" w:lastRow="0" w:firstColumn="0" w:lastColumn="0" w:oddVBand="0" w:evenVBand="0" w:oddHBand="0" w:evenHBand="0" w:firstRowFirstColumn="0" w:firstRowLastColumn="0" w:lastRowFirstColumn="0" w:lastRowLastColumn="0"/>
              <w:rPr>
                <w:sz w:val="20"/>
              </w:rPr>
            </w:pPr>
            <w:r w:rsidRPr="007B7906">
              <w:rPr>
                <w:sz w:val="20"/>
              </w:rPr>
              <w:t>2013 FTEs</w:t>
            </w:r>
          </w:p>
        </w:tc>
      </w:tr>
      <w:tr w:rsidR="00C64BB5" w:rsidRPr="007B7906" w:rsidTr="00BE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val="restart"/>
            <w:tcBorders>
              <w:right w:val="single" w:sz="8" w:space="0" w:color="9BBB59" w:themeColor="accent3"/>
            </w:tcBorders>
            <w:vAlign w:val="center"/>
          </w:tcPr>
          <w:p w:rsidR="00C64BB5" w:rsidRPr="007B7906" w:rsidRDefault="00C64BB5" w:rsidP="00FD3BAC">
            <w:pPr>
              <w:spacing w:beforeLines="20" w:before="48"/>
              <w:ind w:left="0"/>
              <w:rPr>
                <w:sz w:val="20"/>
              </w:rPr>
            </w:pPr>
            <w:r w:rsidRPr="007B7906">
              <w:rPr>
                <w:sz w:val="20"/>
              </w:rPr>
              <w:t>BSP Coordination Centre</w:t>
            </w:r>
          </w:p>
        </w:tc>
        <w:tc>
          <w:tcPr>
            <w:tcW w:w="3033" w:type="dxa"/>
            <w:tcBorders>
              <w:left w:val="single" w:sz="8" w:space="0" w:color="9BBB59" w:themeColor="accent3"/>
              <w:right w:val="nil"/>
            </w:tcBorders>
          </w:tcPr>
          <w:p w:rsidR="00C64BB5" w:rsidRPr="007B7906" w:rsidRDefault="00C64BB5" w:rsidP="00FD3BAC">
            <w:pPr>
              <w:spacing w:beforeLines="20" w:before="48"/>
              <w:ind w:left="0"/>
              <w:cnfStyle w:val="000000100000" w:firstRow="0" w:lastRow="0" w:firstColumn="0" w:lastColumn="0" w:oddVBand="0" w:evenVBand="0" w:oddHBand="1" w:evenHBand="0" w:firstRowFirstColumn="0" w:firstRowLastColumn="0" w:lastRowFirstColumn="0" w:lastRowLastColumn="0"/>
              <w:rPr>
                <w:sz w:val="20"/>
              </w:rPr>
            </w:pPr>
            <w:r w:rsidRPr="007B7906">
              <w:rPr>
                <w:sz w:val="20"/>
              </w:rPr>
              <w:t xml:space="preserve">BSP Clinical </w:t>
            </w:r>
            <w:r>
              <w:rPr>
                <w:sz w:val="20"/>
              </w:rPr>
              <w:t>D</w:t>
            </w:r>
            <w:r w:rsidRPr="007B7906">
              <w:rPr>
                <w:sz w:val="20"/>
              </w:rPr>
              <w:t xml:space="preserve">irector </w:t>
            </w:r>
          </w:p>
        </w:tc>
        <w:tc>
          <w:tcPr>
            <w:tcW w:w="2272" w:type="dxa"/>
            <w:tcBorders>
              <w:left w:val="nil"/>
              <w:righ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0.2</w:t>
            </w:r>
          </w:p>
        </w:tc>
        <w:tc>
          <w:tcPr>
            <w:tcW w:w="2273" w:type="dxa"/>
            <w:tcBorders>
              <w:lef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0.2</w:t>
            </w:r>
          </w:p>
        </w:tc>
      </w:tr>
      <w:tr w:rsidR="00C64BB5" w:rsidRPr="007B7906" w:rsidTr="00BE7EB2">
        <w:tc>
          <w:tcPr>
            <w:cnfStyle w:val="001000000000" w:firstRow="0" w:lastRow="0" w:firstColumn="1" w:lastColumn="0" w:oddVBand="0" w:evenVBand="0" w:oddHBand="0" w:evenHBand="0" w:firstRowFirstColumn="0" w:firstRowLastColumn="0" w:lastRowFirstColumn="0" w:lastRowLastColumn="0"/>
            <w:tcW w:w="1604" w:type="dxa"/>
            <w:vMerge/>
            <w:tcBorders>
              <w:top w:val="single" w:sz="8" w:space="0" w:color="9BBB59" w:themeColor="accent3"/>
              <w:bottom w:val="single" w:sz="8" w:space="0" w:color="9BBB59" w:themeColor="accent3"/>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top w:val="single" w:sz="8" w:space="0" w:color="9BBB59" w:themeColor="accent3"/>
              <w:left w:val="single" w:sz="8" w:space="0" w:color="9BBB59" w:themeColor="accent3"/>
              <w:bottom w:val="single" w:sz="8" w:space="0" w:color="9BBB59" w:themeColor="accent3"/>
              <w:right w:val="nil"/>
            </w:tcBorders>
          </w:tcPr>
          <w:p w:rsidR="00C64BB5" w:rsidRPr="007B7906" w:rsidRDefault="00C64BB5" w:rsidP="00FD3BAC">
            <w:pPr>
              <w:spacing w:beforeLines="20" w:before="48"/>
              <w:ind w:left="0"/>
              <w:cnfStyle w:val="000000000000" w:firstRow="0" w:lastRow="0" w:firstColumn="0" w:lastColumn="0" w:oddVBand="0" w:evenVBand="0" w:oddHBand="0" w:evenHBand="0" w:firstRowFirstColumn="0" w:firstRowLastColumn="0" w:lastRowFirstColumn="0" w:lastRowLastColumn="0"/>
              <w:rPr>
                <w:sz w:val="20"/>
              </w:rPr>
            </w:pPr>
            <w:r w:rsidRPr="007B7906">
              <w:rPr>
                <w:sz w:val="20"/>
              </w:rPr>
              <w:t>Project Manager</w:t>
            </w:r>
          </w:p>
        </w:tc>
        <w:tc>
          <w:tcPr>
            <w:tcW w:w="2272" w:type="dxa"/>
            <w:tcBorders>
              <w:top w:val="single" w:sz="8" w:space="0" w:color="9BBB59" w:themeColor="accent3"/>
              <w:left w:val="nil"/>
              <w:bottom w:val="single" w:sz="8" w:space="0" w:color="9BBB59" w:themeColor="accent3"/>
              <w:right w:val="nil"/>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7B7906">
              <w:rPr>
                <w:sz w:val="20"/>
              </w:rPr>
              <w:t>1</w:t>
            </w:r>
          </w:p>
        </w:tc>
        <w:tc>
          <w:tcPr>
            <w:tcW w:w="2273" w:type="dxa"/>
            <w:tcBorders>
              <w:top w:val="single" w:sz="8" w:space="0" w:color="9BBB59" w:themeColor="accent3"/>
              <w:left w:val="nil"/>
              <w:bottom w:val="single" w:sz="8" w:space="0" w:color="9BBB59" w:themeColor="accent3"/>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r>
      <w:tr w:rsidR="00C64BB5" w:rsidRPr="007B7906" w:rsidTr="00BE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tcBorders>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left w:val="single" w:sz="8" w:space="0" w:color="9BBB59" w:themeColor="accent3"/>
              <w:right w:val="nil"/>
            </w:tcBorders>
          </w:tcPr>
          <w:p w:rsidR="00C64BB5" w:rsidRPr="007B7906" w:rsidRDefault="00C64BB5" w:rsidP="00FD3BAC">
            <w:pPr>
              <w:spacing w:beforeLines="20" w:before="48"/>
              <w:ind w:left="0"/>
              <w:cnfStyle w:val="000000100000" w:firstRow="0" w:lastRow="0" w:firstColumn="0" w:lastColumn="0" w:oddVBand="0" w:evenVBand="0" w:oddHBand="1" w:evenHBand="0" w:firstRowFirstColumn="0" w:firstRowLastColumn="0" w:lastRowFirstColumn="0" w:lastRowLastColumn="0"/>
              <w:rPr>
                <w:sz w:val="20"/>
              </w:rPr>
            </w:pPr>
            <w:r w:rsidRPr="007B7906">
              <w:rPr>
                <w:sz w:val="20"/>
              </w:rPr>
              <w:t>Programme manager</w:t>
            </w:r>
          </w:p>
        </w:tc>
        <w:tc>
          <w:tcPr>
            <w:tcW w:w="2272" w:type="dxa"/>
            <w:tcBorders>
              <w:left w:val="nil"/>
              <w:righ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0.5</w:t>
            </w:r>
          </w:p>
        </w:tc>
        <w:tc>
          <w:tcPr>
            <w:tcW w:w="2273" w:type="dxa"/>
            <w:tcBorders>
              <w:lef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1</w:t>
            </w:r>
          </w:p>
        </w:tc>
      </w:tr>
      <w:tr w:rsidR="00C64BB5" w:rsidRPr="007B7906" w:rsidTr="00BE7EB2">
        <w:tc>
          <w:tcPr>
            <w:cnfStyle w:val="001000000000" w:firstRow="0" w:lastRow="0" w:firstColumn="1" w:lastColumn="0" w:oddVBand="0" w:evenVBand="0" w:oddHBand="0" w:evenHBand="0" w:firstRowFirstColumn="0" w:firstRowLastColumn="0" w:lastRowFirstColumn="0" w:lastRowLastColumn="0"/>
            <w:tcW w:w="1604" w:type="dxa"/>
            <w:vMerge/>
            <w:tcBorders>
              <w:top w:val="single" w:sz="8" w:space="0" w:color="9BBB59" w:themeColor="accent3"/>
              <w:bottom w:val="single" w:sz="8" w:space="0" w:color="9BBB59" w:themeColor="accent3"/>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top w:val="single" w:sz="8" w:space="0" w:color="9BBB59" w:themeColor="accent3"/>
              <w:left w:val="single" w:sz="8" w:space="0" w:color="9BBB59" w:themeColor="accent3"/>
              <w:bottom w:val="single" w:sz="8" w:space="0" w:color="9BBB59" w:themeColor="accent3"/>
              <w:right w:val="nil"/>
            </w:tcBorders>
          </w:tcPr>
          <w:p w:rsidR="00C64BB5" w:rsidRPr="007B7906" w:rsidRDefault="00C64BB5" w:rsidP="00FD3BAC">
            <w:pPr>
              <w:spacing w:beforeLines="20" w:before="48"/>
              <w:ind w:left="0"/>
              <w:cnfStyle w:val="000000000000" w:firstRow="0" w:lastRow="0" w:firstColumn="0" w:lastColumn="0" w:oddVBand="0" w:evenVBand="0" w:oddHBand="0" w:evenHBand="0" w:firstRowFirstColumn="0" w:firstRowLastColumn="0" w:lastRowFirstColumn="0" w:lastRowLastColumn="0"/>
              <w:rPr>
                <w:sz w:val="20"/>
              </w:rPr>
            </w:pPr>
            <w:r w:rsidRPr="007B7906">
              <w:rPr>
                <w:sz w:val="20"/>
              </w:rPr>
              <w:t xml:space="preserve">Quality Assurance </w:t>
            </w:r>
          </w:p>
        </w:tc>
        <w:tc>
          <w:tcPr>
            <w:tcW w:w="2272" w:type="dxa"/>
            <w:tcBorders>
              <w:top w:val="single" w:sz="8" w:space="0" w:color="9BBB59" w:themeColor="accent3"/>
              <w:left w:val="nil"/>
              <w:bottom w:val="single" w:sz="8" w:space="0" w:color="9BBB59" w:themeColor="accent3"/>
              <w:right w:val="nil"/>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7B7906">
              <w:rPr>
                <w:sz w:val="20"/>
              </w:rPr>
              <w:t>1</w:t>
            </w:r>
          </w:p>
        </w:tc>
        <w:tc>
          <w:tcPr>
            <w:tcW w:w="2273" w:type="dxa"/>
            <w:tcBorders>
              <w:top w:val="single" w:sz="8" w:space="0" w:color="9BBB59" w:themeColor="accent3"/>
              <w:left w:val="nil"/>
              <w:bottom w:val="single" w:sz="8" w:space="0" w:color="9BBB59" w:themeColor="accent3"/>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Pr>
                <w:sz w:val="20"/>
              </w:rPr>
              <w:t>0.5</w:t>
            </w:r>
          </w:p>
        </w:tc>
      </w:tr>
      <w:tr w:rsidR="00C64BB5" w:rsidRPr="007B7906" w:rsidTr="00BE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tcBorders>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left w:val="single" w:sz="8" w:space="0" w:color="9BBB59" w:themeColor="accent3"/>
              <w:right w:val="nil"/>
            </w:tcBorders>
          </w:tcPr>
          <w:p w:rsidR="00C64BB5" w:rsidRPr="007B7906" w:rsidRDefault="00C64BB5" w:rsidP="002817DC">
            <w:pPr>
              <w:spacing w:beforeLines="20" w:before="48"/>
              <w:ind w:left="0"/>
              <w:cnfStyle w:val="000000100000" w:firstRow="0" w:lastRow="0" w:firstColumn="0" w:lastColumn="0" w:oddVBand="0" w:evenVBand="0" w:oddHBand="1" w:evenHBand="0" w:firstRowFirstColumn="0" w:firstRowLastColumn="0" w:lastRowFirstColumn="0" w:lastRowLastColumn="0"/>
              <w:rPr>
                <w:sz w:val="20"/>
              </w:rPr>
            </w:pPr>
            <w:r w:rsidRPr="007B7906">
              <w:rPr>
                <w:sz w:val="20"/>
              </w:rPr>
              <w:t xml:space="preserve">Data </w:t>
            </w:r>
            <w:r w:rsidR="002817DC">
              <w:rPr>
                <w:sz w:val="20"/>
              </w:rPr>
              <w:t>Manager</w:t>
            </w:r>
            <w:r w:rsidR="002817DC" w:rsidRPr="007B7906">
              <w:rPr>
                <w:sz w:val="20"/>
              </w:rPr>
              <w:t xml:space="preserve"> </w:t>
            </w:r>
          </w:p>
        </w:tc>
        <w:tc>
          <w:tcPr>
            <w:tcW w:w="2272" w:type="dxa"/>
            <w:tcBorders>
              <w:left w:val="nil"/>
              <w:righ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0.5</w:t>
            </w:r>
          </w:p>
        </w:tc>
        <w:tc>
          <w:tcPr>
            <w:tcW w:w="2273" w:type="dxa"/>
            <w:tcBorders>
              <w:lef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1</w:t>
            </w:r>
          </w:p>
        </w:tc>
      </w:tr>
      <w:tr w:rsidR="00C64BB5" w:rsidRPr="007B7906" w:rsidTr="00BE7EB2">
        <w:tc>
          <w:tcPr>
            <w:cnfStyle w:val="001000000000" w:firstRow="0" w:lastRow="0" w:firstColumn="1" w:lastColumn="0" w:oddVBand="0" w:evenVBand="0" w:oddHBand="0" w:evenHBand="0" w:firstRowFirstColumn="0" w:firstRowLastColumn="0" w:lastRowFirstColumn="0" w:lastRowLastColumn="0"/>
            <w:tcW w:w="1604" w:type="dxa"/>
            <w:vMerge/>
            <w:tcBorders>
              <w:top w:val="single" w:sz="8" w:space="0" w:color="9BBB59" w:themeColor="accent3"/>
              <w:bottom w:val="single" w:sz="8" w:space="0" w:color="9BBB59" w:themeColor="accent3"/>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top w:val="single" w:sz="8" w:space="0" w:color="9BBB59" w:themeColor="accent3"/>
              <w:left w:val="single" w:sz="8" w:space="0" w:color="9BBB59" w:themeColor="accent3"/>
              <w:bottom w:val="single" w:sz="8" w:space="0" w:color="9BBB59" w:themeColor="accent3"/>
              <w:right w:val="nil"/>
            </w:tcBorders>
          </w:tcPr>
          <w:p w:rsidR="00C64BB5" w:rsidRPr="007B7906" w:rsidRDefault="002817DC" w:rsidP="002817DC">
            <w:pPr>
              <w:spacing w:beforeLines="20" w:before="48"/>
              <w:ind w:left="0"/>
              <w:cnfStyle w:val="000000000000" w:firstRow="0" w:lastRow="0" w:firstColumn="0" w:lastColumn="0" w:oddVBand="0" w:evenVBand="0" w:oddHBand="0" w:evenHBand="0" w:firstRowFirstColumn="0" w:firstRowLastColumn="0" w:lastRowFirstColumn="0" w:lastRowLastColumn="0"/>
              <w:rPr>
                <w:sz w:val="20"/>
              </w:rPr>
            </w:pPr>
            <w:r>
              <w:rPr>
                <w:sz w:val="20"/>
              </w:rPr>
              <w:t>Information p</w:t>
            </w:r>
            <w:r w:rsidR="00C64BB5" w:rsidRPr="007B7906">
              <w:rPr>
                <w:sz w:val="20"/>
              </w:rPr>
              <w:t xml:space="preserve">hone line </w:t>
            </w:r>
          </w:p>
        </w:tc>
        <w:tc>
          <w:tcPr>
            <w:tcW w:w="2272" w:type="dxa"/>
            <w:tcBorders>
              <w:top w:val="single" w:sz="8" w:space="0" w:color="9BBB59" w:themeColor="accent3"/>
              <w:left w:val="nil"/>
              <w:bottom w:val="single" w:sz="8" w:space="0" w:color="9BBB59" w:themeColor="accent3"/>
              <w:right w:val="nil"/>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7B7906">
              <w:rPr>
                <w:sz w:val="20"/>
              </w:rPr>
              <w:t>3</w:t>
            </w:r>
          </w:p>
        </w:tc>
        <w:tc>
          <w:tcPr>
            <w:tcW w:w="2273" w:type="dxa"/>
            <w:tcBorders>
              <w:top w:val="single" w:sz="8" w:space="0" w:color="9BBB59" w:themeColor="accent3"/>
              <w:left w:val="nil"/>
              <w:bottom w:val="single" w:sz="8" w:space="0" w:color="9BBB59" w:themeColor="accent3"/>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7B7906">
              <w:rPr>
                <w:sz w:val="20"/>
              </w:rPr>
              <w:t>2.4</w:t>
            </w:r>
          </w:p>
        </w:tc>
      </w:tr>
      <w:tr w:rsidR="00C64BB5" w:rsidRPr="007B7906" w:rsidTr="00BE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tcBorders>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left w:val="single" w:sz="8" w:space="0" w:color="9BBB59" w:themeColor="accent3"/>
              <w:right w:val="nil"/>
            </w:tcBorders>
          </w:tcPr>
          <w:p w:rsidR="00C64BB5" w:rsidRPr="007B7906" w:rsidRDefault="00C64BB5" w:rsidP="00FD3BAC">
            <w:pPr>
              <w:spacing w:beforeLines="20" w:before="48"/>
              <w:ind w:left="0"/>
              <w:cnfStyle w:val="000000100000" w:firstRow="0" w:lastRow="0" w:firstColumn="0" w:lastColumn="0" w:oddVBand="0" w:evenVBand="0" w:oddHBand="1" w:evenHBand="0" w:firstRowFirstColumn="0" w:firstRowLastColumn="0" w:lastRowFirstColumn="0" w:lastRowLastColumn="0"/>
              <w:rPr>
                <w:sz w:val="20"/>
              </w:rPr>
            </w:pPr>
            <w:r w:rsidRPr="007B7906">
              <w:rPr>
                <w:sz w:val="20"/>
              </w:rPr>
              <w:t>CAR manager</w:t>
            </w:r>
          </w:p>
        </w:tc>
        <w:tc>
          <w:tcPr>
            <w:tcW w:w="2272" w:type="dxa"/>
            <w:tcBorders>
              <w:left w:val="nil"/>
              <w:righ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1</w:t>
            </w:r>
          </w:p>
        </w:tc>
        <w:tc>
          <w:tcPr>
            <w:tcW w:w="2273" w:type="dxa"/>
            <w:tcBorders>
              <w:lef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1</w:t>
            </w:r>
          </w:p>
        </w:tc>
      </w:tr>
      <w:tr w:rsidR="00C64BB5" w:rsidRPr="007B7906" w:rsidTr="00BE7EB2">
        <w:tc>
          <w:tcPr>
            <w:cnfStyle w:val="001000000000" w:firstRow="0" w:lastRow="0" w:firstColumn="1" w:lastColumn="0" w:oddVBand="0" w:evenVBand="0" w:oddHBand="0" w:evenHBand="0" w:firstRowFirstColumn="0" w:firstRowLastColumn="0" w:lastRowFirstColumn="0" w:lastRowLastColumn="0"/>
            <w:tcW w:w="1604" w:type="dxa"/>
            <w:vMerge/>
            <w:tcBorders>
              <w:top w:val="single" w:sz="8" w:space="0" w:color="9BBB59" w:themeColor="accent3"/>
              <w:bottom w:val="single" w:sz="8" w:space="0" w:color="9BBB59" w:themeColor="accent3"/>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top w:val="single" w:sz="8" w:space="0" w:color="9BBB59" w:themeColor="accent3"/>
              <w:left w:val="single" w:sz="8" w:space="0" w:color="9BBB59" w:themeColor="accent3"/>
              <w:bottom w:val="single" w:sz="8" w:space="0" w:color="9BBB59" w:themeColor="accent3"/>
              <w:right w:val="nil"/>
            </w:tcBorders>
          </w:tcPr>
          <w:p w:rsidR="00C64BB5" w:rsidRPr="007B7906" w:rsidRDefault="00C64BB5" w:rsidP="00FD3BAC">
            <w:pPr>
              <w:spacing w:beforeLines="20" w:before="48"/>
              <w:ind w:left="0"/>
              <w:cnfStyle w:val="000000000000" w:firstRow="0" w:lastRow="0" w:firstColumn="0" w:lastColumn="0" w:oddVBand="0" w:evenVBand="0" w:oddHBand="0" w:evenHBand="0" w:firstRowFirstColumn="0" w:firstRowLastColumn="0" w:lastRowFirstColumn="0" w:lastRowLastColumn="0"/>
              <w:rPr>
                <w:sz w:val="20"/>
              </w:rPr>
            </w:pPr>
            <w:r>
              <w:rPr>
                <w:sz w:val="20"/>
              </w:rPr>
              <w:t>Asian CAR workers</w:t>
            </w:r>
          </w:p>
        </w:tc>
        <w:tc>
          <w:tcPr>
            <w:tcW w:w="2272" w:type="dxa"/>
            <w:tcBorders>
              <w:top w:val="single" w:sz="8" w:space="0" w:color="9BBB59" w:themeColor="accent3"/>
              <w:left w:val="nil"/>
              <w:bottom w:val="single" w:sz="8" w:space="0" w:color="9BBB59" w:themeColor="accent3"/>
              <w:right w:val="nil"/>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7B7906">
              <w:rPr>
                <w:sz w:val="20"/>
              </w:rPr>
              <w:t>1</w:t>
            </w:r>
          </w:p>
        </w:tc>
        <w:tc>
          <w:tcPr>
            <w:tcW w:w="2273" w:type="dxa"/>
            <w:tcBorders>
              <w:top w:val="single" w:sz="8" w:space="0" w:color="9BBB59" w:themeColor="accent3"/>
              <w:left w:val="nil"/>
              <w:bottom w:val="single" w:sz="8" w:space="0" w:color="9BBB59" w:themeColor="accent3"/>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7B7906">
              <w:rPr>
                <w:sz w:val="20"/>
              </w:rPr>
              <w:t>1</w:t>
            </w:r>
          </w:p>
        </w:tc>
      </w:tr>
      <w:tr w:rsidR="00C64BB5" w:rsidRPr="007B7906" w:rsidTr="00BE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tcBorders>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left w:val="single" w:sz="8" w:space="0" w:color="9BBB59" w:themeColor="accent3"/>
              <w:right w:val="nil"/>
            </w:tcBorders>
          </w:tcPr>
          <w:p w:rsidR="00C64BB5" w:rsidRPr="007B7906" w:rsidRDefault="00C64BB5" w:rsidP="00FD3BAC">
            <w:pPr>
              <w:spacing w:beforeLines="20" w:before="48"/>
              <w:ind w:left="0"/>
              <w:cnfStyle w:val="000000100000" w:firstRow="0" w:lastRow="0" w:firstColumn="0" w:lastColumn="0" w:oddVBand="0" w:evenVBand="0" w:oddHBand="1" w:evenHBand="0" w:firstRowFirstColumn="0" w:firstRowLastColumn="0" w:lastRowFirstColumn="0" w:lastRowLastColumn="0"/>
              <w:rPr>
                <w:sz w:val="20"/>
              </w:rPr>
            </w:pPr>
            <w:r w:rsidRPr="007B7906">
              <w:rPr>
                <w:sz w:val="20"/>
              </w:rPr>
              <w:t>M</w:t>
            </w:r>
            <w:r w:rsidRPr="007B7906">
              <w:rPr>
                <w:rFonts w:cs="Arial"/>
                <w:sz w:val="20"/>
              </w:rPr>
              <w:t>ā</w:t>
            </w:r>
            <w:r>
              <w:rPr>
                <w:sz w:val="20"/>
              </w:rPr>
              <w:t>ori CAR worker</w:t>
            </w:r>
          </w:p>
        </w:tc>
        <w:tc>
          <w:tcPr>
            <w:tcW w:w="2272" w:type="dxa"/>
            <w:tcBorders>
              <w:left w:val="nil"/>
              <w:righ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1</w:t>
            </w:r>
          </w:p>
        </w:tc>
        <w:tc>
          <w:tcPr>
            <w:tcW w:w="2273" w:type="dxa"/>
            <w:tcBorders>
              <w:lef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0.</w:t>
            </w:r>
            <w:r>
              <w:rPr>
                <w:sz w:val="20"/>
              </w:rPr>
              <w:t>6</w:t>
            </w:r>
          </w:p>
        </w:tc>
        <w:bookmarkStart w:id="226" w:name="_GoBack"/>
        <w:bookmarkEnd w:id="226"/>
      </w:tr>
      <w:tr w:rsidR="00C64BB5" w:rsidRPr="007B7906" w:rsidTr="00BE7EB2">
        <w:tc>
          <w:tcPr>
            <w:cnfStyle w:val="001000000000" w:firstRow="0" w:lastRow="0" w:firstColumn="1" w:lastColumn="0" w:oddVBand="0" w:evenVBand="0" w:oddHBand="0" w:evenHBand="0" w:firstRowFirstColumn="0" w:firstRowLastColumn="0" w:lastRowFirstColumn="0" w:lastRowLastColumn="0"/>
            <w:tcW w:w="1604" w:type="dxa"/>
            <w:vMerge/>
            <w:tcBorders>
              <w:top w:val="single" w:sz="8" w:space="0" w:color="9BBB59" w:themeColor="accent3"/>
              <w:bottom w:val="single" w:sz="8" w:space="0" w:color="9BBB59" w:themeColor="accent3"/>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top w:val="single" w:sz="8" w:space="0" w:color="9BBB59" w:themeColor="accent3"/>
              <w:left w:val="single" w:sz="8" w:space="0" w:color="9BBB59" w:themeColor="accent3"/>
              <w:bottom w:val="single" w:sz="8" w:space="0" w:color="9BBB59" w:themeColor="accent3"/>
              <w:right w:val="nil"/>
            </w:tcBorders>
          </w:tcPr>
          <w:p w:rsidR="00C64BB5" w:rsidRPr="007B7906" w:rsidRDefault="00C64BB5" w:rsidP="00FD3BAC">
            <w:pPr>
              <w:spacing w:beforeLines="20" w:before="48"/>
              <w:ind w:left="0"/>
              <w:cnfStyle w:val="000000000000" w:firstRow="0" w:lastRow="0" w:firstColumn="0" w:lastColumn="0" w:oddVBand="0" w:evenVBand="0" w:oddHBand="0" w:evenHBand="0" w:firstRowFirstColumn="0" w:firstRowLastColumn="0" w:lastRowFirstColumn="0" w:lastRowLastColumn="0"/>
              <w:rPr>
                <w:sz w:val="20"/>
              </w:rPr>
            </w:pPr>
            <w:r>
              <w:rPr>
                <w:sz w:val="20"/>
              </w:rPr>
              <w:t>Pacific CAR worker</w:t>
            </w:r>
          </w:p>
        </w:tc>
        <w:tc>
          <w:tcPr>
            <w:tcW w:w="2272" w:type="dxa"/>
            <w:tcBorders>
              <w:top w:val="single" w:sz="8" w:space="0" w:color="9BBB59" w:themeColor="accent3"/>
              <w:left w:val="nil"/>
              <w:bottom w:val="single" w:sz="8" w:space="0" w:color="9BBB59" w:themeColor="accent3"/>
              <w:right w:val="nil"/>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Pr="00697D47">
              <w:rPr>
                <w:rStyle w:val="FootnoteReference"/>
              </w:rPr>
              <w:footnoteReference w:id="70"/>
            </w:r>
          </w:p>
        </w:tc>
        <w:tc>
          <w:tcPr>
            <w:tcW w:w="2273" w:type="dxa"/>
            <w:tcBorders>
              <w:top w:val="single" w:sz="8" w:space="0" w:color="9BBB59" w:themeColor="accent3"/>
              <w:left w:val="nil"/>
              <w:bottom w:val="single" w:sz="8" w:space="0" w:color="9BBB59" w:themeColor="accent3"/>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7B7906">
              <w:rPr>
                <w:sz w:val="20"/>
              </w:rPr>
              <w:t>0.4</w:t>
            </w:r>
          </w:p>
        </w:tc>
      </w:tr>
      <w:tr w:rsidR="00C64BB5" w:rsidRPr="007B7906" w:rsidTr="00BE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val="restart"/>
            <w:tcBorders>
              <w:right w:val="single" w:sz="8" w:space="0" w:color="9BBB59" w:themeColor="accent3"/>
            </w:tcBorders>
            <w:vAlign w:val="center"/>
          </w:tcPr>
          <w:p w:rsidR="00C64BB5" w:rsidRPr="007B7906" w:rsidRDefault="00C64BB5" w:rsidP="00FD3BAC">
            <w:pPr>
              <w:spacing w:beforeLines="20" w:before="48"/>
              <w:ind w:left="0"/>
              <w:rPr>
                <w:sz w:val="20"/>
              </w:rPr>
            </w:pPr>
            <w:r w:rsidRPr="007B7906">
              <w:rPr>
                <w:sz w:val="20"/>
              </w:rPr>
              <w:t xml:space="preserve">Endoscopy unit </w:t>
            </w:r>
          </w:p>
        </w:tc>
        <w:tc>
          <w:tcPr>
            <w:tcW w:w="3033" w:type="dxa"/>
            <w:tcBorders>
              <w:left w:val="single" w:sz="8" w:space="0" w:color="9BBB59" w:themeColor="accent3"/>
              <w:right w:val="nil"/>
            </w:tcBorders>
          </w:tcPr>
          <w:p w:rsidR="00C64BB5" w:rsidRPr="007B7906" w:rsidRDefault="00C64BB5" w:rsidP="00FD3BAC">
            <w:pPr>
              <w:spacing w:beforeLines="20" w:before="48"/>
              <w:ind w:left="0"/>
              <w:cnfStyle w:val="000000100000" w:firstRow="0" w:lastRow="0" w:firstColumn="0" w:lastColumn="0" w:oddVBand="0" w:evenVBand="0" w:oddHBand="1" w:evenHBand="0" w:firstRowFirstColumn="0" w:firstRowLastColumn="0" w:lastRowFirstColumn="0" w:lastRowLastColumn="0"/>
              <w:rPr>
                <w:sz w:val="20"/>
              </w:rPr>
            </w:pPr>
            <w:r w:rsidRPr="007B7906">
              <w:rPr>
                <w:sz w:val="20"/>
              </w:rPr>
              <w:t>Clinical nurse specialist (CNS)</w:t>
            </w:r>
          </w:p>
        </w:tc>
        <w:tc>
          <w:tcPr>
            <w:tcW w:w="2272" w:type="dxa"/>
            <w:tcBorders>
              <w:left w:val="nil"/>
              <w:righ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2</w:t>
            </w:r>
          </w:p>
        </w:tc>
        <w:tc>
          <w:tcPr>
            <w:tcW w:w="2273" w:type="dxa"/>
            <w:tcBorders>
              <w:lef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r>
      <w:tr w:rsidR="00C64BB5" w:rsidRPr="007B7906" w:rsidTr="00BE7EB2">
        <w:tc>
          <w:tcPr>
            <w:cnfStyle w:val="001000000000" w:firstRow="0" w:lastRow="0" w:firstColumn="1" w:lastColumn="0" w:oddVBand="0" w:evenVBand="0" w:oddHBand="0" w:evenHBand="0" w:firstRowFirstColumn="0" w:firstRowLastColumn="0" w:lastRowFirstColumn="0" w:lastRowLastColumn="0"/>
            <w:tcW w:w="1604" w:type="dxa"/>
            <w:vMerge/>
            <w:tcBorders>
              <w:top w:val="single" w:sz="8" w:space="0" w:color="9BBB59" w:themeColor="accent3"/>
              <w:bottom w:val="single" w:sz="8" w:space="0" w:color="9BBB59" w:themeColor="accent3"/>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top w:val="single" w:sz="8" w:space="0" w:color="9BBB59" w:themeColor="accent3"/>
              <w:left w:val="single" w:sz="8" w:space="0" w:color="9BBB59" w:themeColor="accent3"/>
              <w:bottom w:val="single" w:sz="8" w:space="0" w:color="9BBB59" w:themeColor="accent3"/>
              <w:right w:val="nil"/>
            </w:tcBorders>
          </w:tcPr>
          <w:p w:rsidR="00C64BB5" w:rsidRPr="007B7906" w:rsidRDefault="00C64BB5" w:rsidP="00FD3BAC">
            <w:pPr>
              <w:spacing w:beforeLines="20" w:before="48"/>
              <w:ind w:left="0"/>
              <w:cnfStyle w:val="000000000000" w:firstRow="0" w:lastRow="0" w:firstColumn="0" w:lastColumn="0" w:oddVBand="0" w:evenVBand="0" w:oddHBand="0" w:evenHBand="0" w:firstRowFirstColumn="0" w:firstRowLastColumn="0" w:lastRowFirstColumn="0" w:lastRowLastColumn="0"/>
              <w:rPr>
                <w:sz w:val="20"/>
              </w:rPr>
            </w:pPr>
            <w:r w:rsidRPr="007B7906">
              <w:rPr>
                <w:sz w:val="20"/>
              </w:rPr>
              <w:t>Lead endoscopist</w:t>
            </w:r>
          </w:p>
        </w:tc>
        <w:tc>
          <w:tcPr>
            <w:tcW w:w="2272" w:type="dxa"/>
            <w:tcBorders>
              <w:top w:val="single" w:sz="8" w:space="0" w:color="9BBB59" w:themeColor="accent3"/>
              <w:left w:val="nil"/>
              <w:bottom w:val="single" w:sz="8" w:space="0" w:color="9BBB59" w:themeColor="accent3"/>
              <w:right w:val="nil"/>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Pr>
                <w:sz w:val="20"/>
              </w:rPr>
              <w:t>0.2</w:t>
            </w:r>
          </w:p>
        </w:tc>
        <w:tc>
          <w:tcPr>
            <w:tcW w:w="2273" w:type="dxa"/>
            <w:tcBorders>
              <w:top w:val="single" w:sz="8" w:space="0" w:color="9BBB59" w:themeColor="accent3"/>
              <w:left w:val="nil"/>
              <w:bottom w:val="single" w:sz="8" w:space="0" w:color="9BBB59" w:themeColor="accent3"/>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Pr>
                <w:sz w:val="20"/>
              </w:rPr>
              <w:t>0.2</w:t>
            </w:r>
          </w:p>
        </w:tc>
      </w:tr>
      <w:tr w:rsidR="00C64BB5" w:rsidRPr="007B7906" w:rsidTr="00BE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tcBorders>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left w:val="single" w:sz="8" w:space="0" w:color="9BBB59" w:themeColor="accent3"/>
              <w:right w:val="nil"/>
            </w:tcBorders>
          </w:tcPr>
          <w:p w:rsidR="00C64BB5" w:rsidRPr="007B7906" w:rsidRDefault="00C64BB5" w:rsidP="00FD3BAC">
            <w:pPr>
              <w:spacing w:beforeLines="20" w:before="48"/>
              <w:ind w:left="0"/>
              <w:cnfStyle w:val="000000100000" w:firstRow="0" w:lastRow="0" w:firstColumn="0" w:lastColumn="0" w:oddVBand="0" w:evenVBand="0" w:oddHBand="1" w:evenHBand="0" w:firstRowFirstColumn="0" w:firstRowLastColumn="0" w:lastRowFirstColumn="0" w:lastRowLastColumn="0"/>
              <w:rPr>
                <w:sz w:val="20"/>
              </w:rPr>
            </w:pPr>
            <w:r w:rsidRPr="007B7906">
              <w:rPr>
                <w:sz w:val="20"/>
              </w:rPr>
              <w:t xml:space="preserve">Endoscopy nurses </w:t>
            </w:r>
          </w:p>
        </w:tc>
        <w:tc>
          <w:tcPr>
            <w:tcW w:w="2272" w:type="dxa"/>
            <w:tcBorders>
              <w:left w:val="nil"/>
              <w:righ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4</w:t>
            </w:r>
          </w:p>
        </w:tc>
        <w:tc>
          <w:tcPr>
            <w:tcW w:w="2273" w:type="dxa"/>
            <w:tcBorders>
              <w:left w:val="nil"/>
            </w:tcBorders>
          </w:tcPr>
          <w:p w:rsidR="00C64BB5" w:rsidRPr="007B7906" w:rsidRDefault="00C64BB5" w:rsidP="00FD3BAC">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7B7906">
              <w:rPr>
                <w:sz w:val="20"/>
              </w:rPr>
              <w:t>5</w:t>
            </w:r>
          </w:p>
        </w:tc>
      </w:tr>
      <w:tr w:rsidR="00C64BB5" w:rsidRPr="007B7906" w:rsidTr="00BE7EB2">
        <w:tc>
          <w:tcPr>
            <w:cnfStyle w:val="001000000000" w:firstRow="0" w:lastRow="0" w:firstColumn="1" w:lastColumn="0" w:oddVBand="0" w:evenVBand="0" w:oddHBand="0" w:evenHBand="0" w:firstRowFirstColumn="0" w:firstRowLastColumn="0" w:lastRowFirstColumn="0" w:lastRowLastColumn="0"/>
            <w:tcW w:w="1604" w:type="dxa"/>
            <w:vMerge/>
            <w:tcBorders>
              <w:top w:val="single" w:sz="8" w:space="0" w:color="9BBB59" w:themeColor="accent3"/>
              <w:bottom w:val="single" w:sz="8" w:space="0" w:color="9BBB59" w:themeColor="accent3"/>
              <w:right w:val="single" w:sz="8" w:space="0" w:color="9BBB59" w:themeColor="accent3"/>
            </w:tcBorders>
          </w:tcPr>
          <w:p w:rsidR="00C64BB5" w:rsidRPr="007B7906" w:rsidRDefault="00C64BB5" w:rsidP="00FD3BAC">
            <w:pPr>
              <w:spacing w:beforeLines="20" w:before="48"/>
              <w:ind w:left="0"/>
              <w:rPr>
                <w:sz w:val="20"/>
              </w:rPr>
            </w:pPr>
          </w:p>
        </w:tc>
        <w:tc>
          <w:tcPr>
            <w:tcW w:w="3033" w:type="dxa"/>
            <w:tcBorders>
              <w:top w:val="single" w:sz="8" w:space="0" w:color="9BBB59" w:themeColor="accent3"/>
              <w:left w:val="single" w:sz="8" w:space="0" w:color="9BBB59" w:themeColor="accent3"/>
              <w:bottom w:val="single" w:sz="8" w:space="0" w:color="9BBB59" w:themeColor="accent3"/>
              <w:right w:val="nil"/>
            </w:tcBorders>
          </w:tcPr>
          <w:p w:rsidR="00C64BB5" w:rsidRPr="007B7906" w:rsidRDefault="00C64BB5" w:rsidP="00FD3BAC">
            <w:pPr>
              <w:spacing w:beforeLines="20" w:before="48"/>
              <w:ind w:left="0"/>
              <w:cnfStyle w:val="000000000000" w:firstRow="0" w:lastRow="0" w:firstColumn="0" w:lastColumn="0" w:oddVBand="0" w:evenVBand="0" w:oddHBand="0" w:evenHBand="0" w:firstRowFirstColumn="0" w:firstRowLastColumn="0" w:lastRowFirstColumn="0" w:lastRowLastColumn="0"/>
              <w:rPr>
                <w:sz w:val="20"/>
              </w:rPr>
            </w:pPr>
            <w:r w:rsidRPr="007B7906">
              <w:rPr>
                <w:sz w:val="20"/>
              </w:rPr>
              <w:t>Administrator</w:t>
            </w:r>
          </w:p>
        </w:tc>
        <w:tc>
          <w:tcPr>
            <w:tcW w:w="2272" w:type="dxa"/>
            <w:tcBorders>
              <w:top w:val="single" w:sz="8" w:space="0" w:color="9BBB59" w:themeColor="accent3"/>
              <w:left w:val="nil"/>
              <w:bottom w:val="single" w:sz="8" w:space="0" w:color="9BBB59" w:themeColor="accent3"/>
              <w:right w:val="nil"/>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Pr>
                <w:sz w:val="20"/>
              </w:rPr>
              <w:t>0.8</w:t>
            </w:r>
          </w:p>
        </w:tc>
        <w:tc>
          <w:tcPr>
            <w:tcW w:w="2273" w:type="dxa"/>
            <w:tcBorders>
              <w:top w:val="single" w:sz="8" w:space="0" w:color="9BBB59" w:themeColor="accent3"/>
              <w:left w:val="nil"/>
              <w:bottom w:val="single" w:sz="8" w:space="0" w:color="9BBB59" w:themeColor="accent3"/>
            </w:tcBorders>
          </w:tcPr>
          <w:p w:rsidR="00C64BB5" w:rsidRPr="007B7906" w:rsidRDefault="00C64BB5" w:rsidP="00FD3BAC">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7B7906">
              <w:rPr>
                <w:sz w:val="20"/>
              </w:rPr>
              <w:t>1.</w:t>
            </w:r>
            <w:r>
              <w:rPr>
                <w:sz w:val="20"/>
              </w:rPr>
              <w:t>4</w:t>
            </w:r>
          </w:p>
        </w:tc>
      </w:tr>
      <w:tr w:rsidR="005E10C6" w:rsidRPr="007B7906" w:rsidTr="00BE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tcBorders>
              <w:right w:val="single" w:sz="8" w:space="0" w:color="9BBB59" w:themeColor="accent3"/>
            </w:tcBorders>
          </w:tcPr>
          <w:p w:rsidR="005E10C6" w:rsidRPr="007B7906" w:rsidRDefault="005E10C6" w:rsidP="00FD3BAC">
            <w:pPr>
              <w:spacing w:beforeLines="20" w:before="48"/>
              <w:ind w:left="0"/>
              <w:rPr>
                <w:sz w:val="20"/>
              </w:rPr>
            </w:pPr>
          </w:p>
        </w:tc>
        <w:tc>
          <w:tcPr>
            <w:tcW w:w="3033" w:type="dxa"/>
            <w:tcBorders>
              <w:left w:val="single" w:sz="8" w:space="0" w:color="9BBB59" w:themeColor="accent3"/>
              <w:right w:val="nil"/>
            </w:tcBorders>
          </w:tcPr>
          <w:p w:rsidR="005E10C6" w:rsidRPr="007B7906" w:rsidRDefault="005E10C6" w:rsidP="00FD3BAC">
            <w:pPr>
              <w:spacing w:beforeLines="20" w:before="48"/>
              <w:ind w:left="0"/>
              <w:cnfStyle w:val="000000100000" w:firstRow="0" w:lastRow="0" w:firstColumn="0" w:lastColumn="0" w:oddVBand="0" w:evenVBand="0" w:oddHBand="1" w:evenHBand="0" w:firstRowFirstColumn="0" w:firstRowLastColumn="0" w:lastRowFirstColumn="0" w:lastRowLastColumn="0"/>
              <w:rPr>
                <w:sz w:val="20"/>
              </w:rPr>
            </w:pPr>
            <w:r w:rsidRPr="007B7906">
              <w:rPr>
                <w:sz w:val="20"/>
              </w:rPr>
              <w:t>Colonoscopists (DHB)</w:t>
            </w:r>
          </w:p>
        </w:tc>
        <w:tc>
          <w:tcPr>
            <w:tcW w:w="2272" w:type="dxa"/>
            <w:tcBorders>
              <w:left w:val="nil"/>
              <w:right w:val="nil"/>
            </w:tcBorders>
          </w:tcPr>
          <w:p w:rsidR="005E10C6" w:rsidRPr="005E10C6" w:rsidRDefault="005E10C6" w:rsidP="005E10C6">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5E10C6">
              <w:rPr>
                <w:sz w:val="20"/>
              </w:rPr>
              <w:t>0.269</w:t>
            </w:r>
          </w:p>
        </w:tc>
        <w:tc>
          <w:tcPr>
            <w:tcW w:w="2273" w:type="dxa"/>
            <w:tcBorders>
              <w:left w:val="nil"/>
            </w:tcBorders>
          </w:tcPr>
          <w:p w:rsidR="005E10C6" w:rsidRPr="005E10C6" w:rsidRDefault="005E10C6" w:rsidP="005E10C6">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5E10C6">
              <w:rPr>
                <w:sz w:val="20"/>
              </w:rPr>
              <w:t>0.482</w:t>
            </w:r>
          </w:p>
        </w:tc>
      </w:tr>
      <w:tr w:rsidR="005E10C6" w:rsidRPr="007B7906" w:rsidTr="00BE7EB2">
        <w:tc>
          <w:tcPr>
            <w:cnfStyle w:val="001000000000" w:firstRow="0" w:lastRow="0" w:firstColumn="1" w:lastColumn="0" w:oddVBand="0" w:evenVBand="0" w:oddHBand="0" w:evenHBand="0" w:firstRowFirstColumn="0" w:firstRowLastColumn="0" w:lastRowFirstColumn="0" w:lastRowLastColumn="0"/>
            <w:tcW w:w="1604" w:type="dxa"/>
            <w:vMerge/>
            <w:tcBorders>
              <w:top w:val="single" w:sz="8" w:space="0" w:color="9BBB59" w:themeColor="accent3"/>
              <w:bottom w:val="single" w:sz="8" w:space="0" w:color="9BBB59" w:themeColor="accent3"/>
              <w:right w:val="single" w:sz="8" w:space="0" w:color="9BBB59" w:themeColor="accent3"/>
            </w:tcBorders>
          </w:tcPr>
          <w:p w:rsidR="005E10C6" w:rsidRPr="007B7906" w:rsidRDefault="005E10C6" w:rsidP="00FD3BAC">
            <w:pPr>
              <w:spacing w:beforeLines="20" w:before="48"/>
              <w:ind w:left="0"/>
              <w:rPr>
                <w:sz w:val="20"/>
              </w:rPr>
            </w:pPr>
          </w:p>
        </w:tc>
        <w:tc>
          <w:tcPr>
            <w:tcW w:w="3033" w:type="dxa"/>
            <w:tcBorders>
              <w:top w:val="single" w:sz="8" w:space="0" w:color="9BBB59" w:themeColor="accent3"/>
              <w:left w:val="single" w:sz="8" w:space="0" w:color="9BBB59" w:themeColor="accent3"/>
              <w:bottom w:val="single" w:sz="8" w:space="0" w:color="9BBB59" w:themeColor="accent3"/>
              <w:right w:val="nil"/>
            </w:tcBorders>
          </w:tcPr>
          <w:p w:rsidR="005E10C6" w:rsidRPr="007B7906" w:rsidRDefault="005E10C6" w:rsidP="00FD3BAC">
            <w:pPr>
              <w:spacing w:beforeLines="20" w:before="48"/>
              <w:ind w:left="0"/>
              <w:cnfStyle w:val="000000000000" w:firstRow="0" w:lastRow="0" w:firstColumn="0" w:lastColumn="0" w:oddVBand="0" w:evenVBand="0" w:oddHBand="0" w:evenHBand="0" w:firstRowFirstColumn="0" w:firstRowLastColumn="0" w:lastRowFirstColumn="0" w:lastRowLastColumn="0"/>
              <w:rPr>
                <w:sz w:val="20"/>
              </w:rPr>
            </w:pPr>
            <w:r w:rsidRPr="007B7906">
              <w:rPr>
                <w:sz w:val="20"/>
              </w:rPr>
              <w:t>Colonoscopists (contractors)</w:t>
            </w:r>
          </w:p>
        </w:tc>
        <w:tc>
          <w:tcPr>
            <w:tcW w:w="2272" w:type="dxa"/>
            <w:tcBorders>
              <w:top w:val="single" w:sz="8" w:space="0" w:color="9BBB59" w:themeColor="accent3"/>
              <w:left w:val="nil"/>
              <w:bottom w:val="single" w:sz="8" w:space="0" w:color="9BBB59" w:themeColor="accent3"/>
              <w:right w:val="nil"/>
            </w:tcBorders>
          </w:tcPr>
          <w:p w:rsidR="005E10C6" w:rsidRPr="005E10C6" w:rsidRDefault="005E10C6" w:rsidP="005E10C6">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5E10C6">
              <w:rPr>
                <w:sz w:val="20"/>
              </w:rPr>
              <w:t>0.304</w:t>
            </w:r>
          </w:p>
        </w:tc>
        <w:tc>
          <w:tcPr>
            <w:tcW w:w="2273" w:type="dxa"/>
            <w:tcBorders>
              <w:top w:val="single" w:sz="8" w:space="0" w:color="9BBB59" w:themeColor="accent3"/>
              <w:left w:val="nil"/>
              <w:bottom w:val="single" w:sz="8" w:space="0" w:color="9BBB59" w:themeColor="accent3"/>
            </w:tcBorders>
          </w:tcPr>
          <w:p w:rsidR="005E10C6" w:rsidRPr="005E10C6" w:rsidRDefault="005E10C6" w:rsidP="005E10C6">
            <w:pPr>
              <w:spacing w:beforeLines="20" w:before="48"/>
              <w:ind w:left="0"/>
              <w:jc w:val="center"/>
              <w:cnfStyle w:val="000000000000" w:firstRow="0" w:lastRow="0" w:firstColumn="0" w:lastColumn="0" w:oddVBand="0" w:evenVBand="0" w:oddHBand="0" w:evenHBand="0" w:firstRowFirstColumn="0" w:firstRowLastColumn="0" w:lastRowFirstColumn="0" w:lastRowLastColumn="0"/>
              <w:rPr>
                <w:sz w:val="20"/>
              </w:rPr>
            </w:pPr>
            <w:r w:rsidRPr="005E10C6">
              <w:rPr>
                <w:sz w:val="20"/>
              </w:rPr>
              <w:t>0.324</w:t>
            </w:r>
          </w:p>
        </w:tc>
      </w:tr>
      <w:tr w:rsidR="005E10C6" w:rsidRPr="007B7906" w:rsidTr="00BE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tcBorders>
              <w:right w:val="single" w:sz="8" w:space="0" w:color="9BBB59" w:themeColor="accent3"/>
            </w:tcBorders>
          </w:tcPr>
          <w:p w:rsidR="005E10C6" w:rsidRPr="007B7906" w:rsidRDefault="005E10C6" w:rsidP="00FD3BAC">
            <w:pPr>
              <w:spacing w:beforeLines="20" w:before="48"/>
              <w:ind w:left="0"/>
              <w:rPr>
                <w:sz w:val="20"/>
              </w:rPr>
            </w:pPr>
          </w:p>
        </w:tc>
        <w:tc>
          <w:tcPr>
            <w:tcW w:w="3033" w:type="dxa"/>
            <w:tcBorders>
              <w:left w:val="single" w:sz="8" w:space="0" w:color="9BBB59" w:themeColor="accent3"/>
              <w:right w:val="nil"/>
            </w:tcBorders>
          </w:tcPr>
          <w:p w:rsidR="005E10C6" w:rsidRPr="007B7906" w:rsidRDefault="005E10C6" w:rsidP="00FD3BAC">
            <w:pPr>
              <w:spacing w:beforeLines="20" w:before="48"/>
              <w:ind w:left="0"/>
              <w:cnfStyle w:val="000000100000" w:firstRow="0" w:lastRow="0" w:firstColumn="0" w:lastColumn="0" w:oddVBand="0" w:evenVBand="0" w:oddHBand="1" w:evenHBand="0" w:firstRowFirstColumn="0" w:firstRowLastColumn="0" w:lastRowFirstColumn="0" w:lastRowLastColumn="0"/>
              <w:rPr>
                <w:sz w:val="20"/>
              </w:rPr>
            </w:pPr>
            <w:r w:rsidRPr="007B7906">
              <w:rPr>
                <w:sz w:val="20"/>
              </w:rPr>
              <w:t>Colonoscopists (outsourced)</w:t>
            </w:r>
          </w:p>
        </w:tc>
        <w:tc>
          <w:tcPr>
            <w:tcW w:w="2272" w:type="dxa"/>
            <w:tcBorders>
              <w:left w:val="nil"/>
              <w:right w:val="nil"/>
            </w:tcBorders>
          </w:tcPr>
          <w:p w:rsidR="005E10C6" w:rsidRPr="005E10C6" w:rsidRDefault="005E10C6" w:rsidP="005E10C6">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5E10C6">
              <w:rPr>
                <w:sz w:val="20"/>
              </w:rPr>
              <w:t xml:space="preserve">0.04   </w:t>
            </w:r>
          </w:p>
        </w:tc>
        <w:tc>
          <w:tcPr>
            <w:tcW w:w="2273" w:type="dxa"/>
            <w:tcBorders>
              <w:left w:val="nil"/>
            </w:tcBorders>
          </w:tcPr>
          <w:p w:rsidR="005E10C6" w:rsidRPr="005E10C6" w:rsidRDefault="005E10C6" w:rsidP="005E10C6">
            <w:pPr>
              <w:spacing w:beforeLines="20" w:before="48"/>
              <w:ind w:left="0"/>
              <w:jc w:val="center"/>
              <w:cnfStyle w:val="000000100000" w:firstRow="0" w:lastRow="0" w:firstColumn="0" w:lastColumn="0" w:oddVBand="0" w:evenVBand="0" w:oddHBand="1" w:evenHBand="0" w:firstRowFirstColumn="0" w:firstRowLastColumn="0" w:lastRowFirstColumn="0" w:lastRowLastColumn="0"/>
              <w:rPr>
                <w:sz w:val="20"/>
              </w:rPr>
            </w:pPr>
            <w:r w:rsidRPr="005E10C6">
              <w:rPr>
                <w:sz w:val="20"/>
              </w:rPr>
              <w:t xml:space="preserve">0.145  </w:t>
            </w:r>
          </w:p>
        </w:tc>
      </w:tr>
    </w:tbl>
    <w:p w:rsidR="005E10C6" w:rsidRDefault="00BE7EB2" w:rsidP="00C64BB5">
      <w:pPr>
        <w:spacing w:before="0"/>
        <w:ind w:left="0"/>
      </w:pPr>
      <w:r>
        <w:tab/>
        <w:t>Source: BSP Coordination Centre</w:t>
      </w:r>
      <w:r w:rsidR="002817DC">
        <w:t xml:space="preserve">, </w:t>
      </w:r>
      <w:r w:rsidR="00387646">
        <w:t>June 2014</w:t>
      </w:r>
    </w:p>
    <w:p w:rsidR="00FE062B" w:rsidRDefault="00FE062B" w:rsidP="00FE062B">
      <w:r>
        <w:t xml:space="preserve">Notes: </w:t>
      </w:r>
    </w:p>
    <w:p w:rsidR="00BE7EB2" w:rsidRDefault="00BE7EB2" w:rsidP="00604AA9">
      <w:pPr>
        <w:pStyle w:val="Bullet"/>
        <w:numPr>
          <w:ilvl w:val="0"/>
          <w:numId w:val="10"/>
        </w:numPr>
        <w:tabs>
          <w:tab w:val="num" w:pos="6663"/>
        </w:tabs>
        <w:ind w:left="1069"/>
      </w:pPr>
      <w:r w:rsidRPr="00BE7EB2">
        <w:rPr>
          <w:b/>
        </w:rPr>
        <w:t xml:space="preserve">Colonoscopists (contractors) </w:t>
      </w:r>
      <w:r>
        <w:t>are private providers who were contracted on a sessional basis to undertake colonoscopy sessions.  Each session tends to involve</w:t>
      </w:r>
      <w:r w:rsidR="00B0495C">
        <w:t xml:space="preserve"> </w:t>
      </w:r>
      <w:r>
        <w:t xml:space="preserve">between four and five colonoscopies depending on the experience of the colonoscopist. </w:t>
      </w:r>
    </w:p>
    <w:p w:rsidR="00BE7EB2" w:rsidRDefault="003D209D" w:rsidP="00604AA9">
      <w:pPr>
        <w:pStyle w:val="Bullet"/>
        <w:numPr>
          <w:ilvl w:val="0"/>
          <w:numId w:val="10"/>
        </w:numPr>
        <w:tabs>
          <w:tab w:val="num" w:pos="6663"/>
        </w:tabs>
        <w:ind w:left="1069"/>
      </w:pPr>
      <w:r w:rsidRPr="00BE7EB2">
        <w:rPr>
          <w:b/>
        </w:rPr>
        <w:t>Colonoscopists (outsourced)</w:t>
      </w:r>
      <w:r>
        <w:t xml:space="preserve"> were</w:t>
      </w:r>
      <w:r w:rsidR="00BE7EB2">
        <w:t xml:space="preserve"> a one-off event to ensure participants with a positive iFOBT received a colonoscopy within the 55 days as stated in the quality standard.  With the agreement of the </w:t>
      </w:r>
      <w:r w:rsidR="00E073CC">
        <w:t>Ministry of Health</w:t>
      </w:r>
      <w:r w:rsidR="00BE7EB2">
        <w:t xml:space="preserve">, the BSP covered the costs of symptomatic services outsourcing colonoscopies to </w:t>
      </w:r>
      <w:r w:rsidR="00461122">
        <w:t xml:space="preserve">the private sector to </w:t>
      </w:r>
      <w:r w:rsidR="00BE7EB2">
        <w:t xml:space="preserve">free </w:t>
      </w:r>
      <w:r w:rsidR="00461122">
        <w:t xml:space="preserve">WDHB </w:t>
      </w:r>
      <w:r w:rsidR="00BE7EB2">
        <w:t xml:space="preserve">colonoscopists to cover the BSP colonoscopy lists at </w:t>
      </w:r>
      <w:r w:rsidR="00FE062B">
        <w:t>WHEU</w:t>
      </w:r>
      <w:r w:rsidR="00BE7EB2">
        <w:t xml:space="preserve">.  </w:t>
      </w:r>
    </w:p>
    <w:p w:rsidR="005E10C6" w:rsidRDefault="005E10C6" w:rsidP="00C64BB5">
      <w:pPr>
        <w:spacing w:before="0"/>
        <w:ind w:left="0"/>
      </w:pPr>
    </w:p>
    <w:p w:rsidR="000F17B0" w:rsidRDefault="000F17B0" w:rsidP="00C64BB5">
      <w:pPr>
        <w:spacing w:before="0"/>
        <w:ind w:left="0"/>
      </w:pPr>
    </w:p>
    <w:p w:rsidR="00C64BB5" w:rsidRDefault="00C64BB5" w:rsidP="00C64BB5">
      <w:pPr>
        <w:spacing w:before="0"/>
        <w:ind w:left="0"/>
        <w:rPr>
          <w:rFonts w:cs="Arial"/>
          <w:b/>
          <w:sz w:val="20"/>
          <w:lang w:eastAsia="en-NZ"/>
        </w:rPr>
      </w:pPr>
      <w:r>
        <w:br w:type="page"/>
      </w:r>
    </w:p>
    <w:p w:rsidR="00C64BB5" w:rsidRPr="006A074F" w:rsidRDefault="00381D12" w:rsidP="00381D12">
      <w:pPr>
        <w:pStyle w:val="Table"/>
      </w:pPr>
      <w:bookmarkStart w:id="227" w:name="_Toc412540162"/>
      <w:r w:rsidRPr="00FE062B">
        <w:lastRenderedPageBreak/>
        <w:t xml:space="preserve">Table </w:t>
      </w:r>
      <w:r w:rsidR="0097166A">
        <w:t>9</w:t>
      </w:r>
      <w:r w:rsidR="00C64BB5" w:rsidRPr="00FE062B">
        <w:t xml:space="preserve">: Summary of </w:t>
      </w:r>
      <w:r w:rsidR="00EB35F4">
        <w:t>p</w:t>
      </w:r>
      <w:r w:rsidR="00C64BB5" w:rsidRPr="00FE062B">
        <w:t>ilot activity data, 2012/13</w:t>
      </w:r>
      <w:bookmarkEnd w:id="227"/>
    </w:p>
    <w:tbl>
      <w:tblPr>
        <w:tblStyle w:val="LightList-Accent3"/>
        <w:tblW w:w="9364" w:type="dxa"/>
        <w:tblInd w:w="817" w:type="dxa"/>
        <w:tblLayout w:type="fixed"/>
        <w:tblLook w:val="04A0" w:firstRow="1" w:lastRow="0" w:firstColumn="1" w:lastColumn="0" w:noHBand="0" w:noVBand="1"/>
      </w:tblPr>
      <w:tblGrid>
        <w:gridCol w:w="1701"/>
        <w:gridCol w:w="2031"/>
        <w:gridCol w:w="1119"/>
        <w:gridCol w:w="1119"/>
        <w:gridCol w:w="998"/>
        <w:gridCol w:w="1182"/>
        <w:gridCol w:w="1214"/>
      </w:tblGrid>
      <w:tr w:rsidR="00387646" w:rsidRPr="006A074F" w:rsidTr="009A4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9BBB59" w:themeColor="accent3"/>
              <w:bottom w:val="single" w:sz="8" w:space="0" w:color="9BBB59" w:themeColor="accent3"/>
              <w:right w:val="single" w:sz="8" w:space="0" w:color="9BBB59" w:themeColor="accent3"/>
            </w:tcBorders>
            <w:hideMark/>
          </w:tcPr>
          <w:p w:rsidR="00387646" w:rsidRPr="00013EBE" w:rsidRDefault="00387646" w:rsidP="00FD3BAC">
            <w:pPr>
              <w:pStyle w:val="Table-headingrow1"/>
              <w:spacing w:beforeLines="20" w:before="48"/>
              <w:rPr>
                <w:rFonts w:ascii="Arial" w:hAnsi="Arial" w:cs="Arial"/>
                <w:b/>
                <w:lang w:val="en-US" w:eastAsia="en-US"/>
              </w:rPr>
            </w:pPr>
            <w:r w:rsidRPr="00013EBE">
              <w:rPr>
                <w:rFonts w:ascii="Arial" w:hAnsi="Arial" w:cs="Arial"/>
                <w:lang w:val="en-US" w:eastAsia="en-US"/>
              </w:rPr>
              <w:t>Stage of pathway</w:t>
            </w:r>
          </w:p>
        </w:tc>
        <w:tc>
          <w:tcPr>
            <w:tcW w:w="2031" w:type="dxa"/>
            <w:tcBorders>
              <w:left w:val="single" w:sz="8" w:space="0" w:color="9BBB59" w:themeColor="accent3"/>
              <w:bottom w:val="single" w:sz="8" w:space="0" w:color="9BBB59" w:themeColor="accent3"/>
            </w:tcBorders>
            <w:hideMark/>
          </w:tcPr>
          <w:p w:rsidR="00387646" w:rsidRPr="00013EBE" w:rsidRDefault="00387646" w:rsidP="00FD3BAC">
            <w:pPr>
              <w:pStyle w:val="Table-headingrow1"/>
              <w:spacing w:beforeLines="20" w:before="48"/>
              <w:cnfStyle w:val="100000000000" w:firstRow="1" w:lastRow="0" w:firstColumn="0" w:lastColumn="0" w:oddVBand="0" w:evenVBand="0" w:oddHBand="0" w:evenHBand="0" w:firstRowFirstColumn="0" w:firstRowLastColumn="0" w:lastRowFirstColumn="0" w:lastRowLastColumn="0"/>
              <w:rPr>
                <w:rFonts w:ascii="Arial" w:hAnsi="Arial" w:cs="Arial"/>
                <w:b/>
                <w:lang w:val="en-US" w:eastAsia="en-US"/>
              </w:rPr>
            </w:pPr>
            <w:r w:rsidRPr="00013EBE">
              <w:rPr>
                <w:rFonts w:ascii="Arial" w:hAnsi="Arial" w:cs="Arial"/>
                <w:lang w:val="en-US" w:eastAsia="en-US"/>
              </w:rPr>
              <w:t>Volume indicator</w:t>
            </w:r>
          </w:p>
        </w:tc>
        <w:tc>
          <w:tcPr>
            <w:tcW w:w="1119" w:type="dxa"/>
            <w:hideMark/>
          </w:tcPr>
          <w:p w:rsidR="00387646" w:rsidRPr="00013EBE" w:rsidRDefault="00387646" w:rsidP="00FD3BAC">
            <w:pPr>
              <w:pStyle w:val="Table-headingrow1"/>
              <w:spacing w:beforeLines="20" w:before="48"/>
              <w:jc w:val="center"/>
              <w:cnfStyle w:val="100000000000" w:firstRow="1" w:lastRow="0" w:firstColumn="0" w:lastColumn="0" w:oddVBand="0" w:evenVBand="0" w:oddHBand="0" w:evenHBand="0" w:firstRowFirstColumn="0" w:firstRowLastColumn="0" w:lastRowFirstColumn="0" w:lastRowLastColumn="0"/>
              <w:rPr>
                <w:rFonts w:ascii="Arial" w:hAnsi="Arial" w:cs="Arial"/>
                <w:b/>
                <w:lang w:val="en-US" w:eastAsia="en-US"/>
              </w:rPr>
            </w:pPr>
            <w:r w:rsidRPr="00013EBE">
              <w:rPr>
                <w:rFonts w:ascii="Arial" w:hAnsi="Arial" w:cs="Arial"/>
                <w:lang w:val="en-US" w:eastAsia="en-US"/>
              </w:rPr>
              <w:t xml:space="preserve">2012 </w:t>
            </w:r>
          </w:p>
          <w:p w:rsidR="00387646" w:rsidRPr="00013EBE" w:rsidRDefault="00387646" w:rsidP="00FD3BAC">
            <w:pPr>
              <w:pStyle w:val="Table-headingrow1"/>
              <w:spacing w:beforeLines="20" w:before="48"/>
              <w:jc w:val="center"/>
              <w:cnfStyle w:val="100000000000" w:firstRow="1" w:lastRow="0" w:firstColumn="0" w:lastColumn="0" w:oddVBand="0" w:evenVBand="0" w:oddHBand="0" w:evenHBand="0" w:firstRowFirstColumn="0" w:firstRowLastColumn="0" w:lastRowFirstColumn="0" w:lastRowLastColumn="0"/>
              <w:rPr>
                <w:rFonts w:ascii="Arial" w:hAnsi="Arial" w:cs="Arial"/>
                <w:b/>
                <w:lang w:val="en-US" w:eastAsia="en-US"/>
              </w:rPr>
            </w:pPr>
            <w:r w:rsidRPr="00013EBE">
              <w:rPr>
                <w:rFonts w:ascii="Arial" w:hAnsi="Arial" w:cs="Arial"/>
                <w:lang w:val="en-US" w:eastAsia="en-US"/>
              </w:rPr>
              <w:t>Jan-June</w:t>
            </w:r>
          </w:p>
        </w:tc>
        <w:tc>
          <w:tcPr>
            <w:tcW w:w="1119" w:type="dxa"/>
            <w:hideMark/>
          </w:tcPr>
          <w:p w:rsidR="00387646" w:rsidRPr="00013EBE" w:rsidRDefault="00387646" w:rsidP="00FD3BAC">
            <w:pPr>
              <w:pStyle w:val="Table-headingrow1"/>
              <w:spacing w:beforeLines="20" w:before="48"/>
              <w:jc w:val="center"/>
              <w:cnfStyle w:val="100000000000" w:firstRow="1" w:lastRow="0" w:firstColumn="0" w:lastColumn="0" w:oddVBand="0" w:evenVBand="0" w:oddHBand="0" w:evenHBand="0" w:firstRowFirstColumn="0" w:firstRowLastColumn="0" w:lastRowFirstColumn="0" w:lastRowLastColumn="0"/>
              <w:rPr>
                <w:rFonts w:ascii="Arial" w:hAnsi="Arial" w:cs="Arial"/>
                <w:b/>
                <w:lang w:val="en-US" w:eastAsia="en-US"/>
              </w:rPr>
            </w:pPr>
            <w:r w:rsidRPr="00013EBE">
              <w:rPr>
                <w:rFonts w:ascii="Arial" w:hAnsi="Arial" w:cs="Arial"/>
                <w:lang w:val="en-US" w:eastAsia="en-US"/>
              </w:rPr>
              <w:t>2012</w:t>
            </w:r>
          </w:p>
          <w:p w:rsidR="00387646" w:rsidRPr="00013EBE" w:rsidRDefault="00387646" w:rsidP="00FD3BAC">
            <w:pPr>
              <w:pStyle w:val="Table-headingrow1"/>
              <w:spacing w:beforeLines="20" w:before="48"/>
              <w:jc w:val="center"/>
              <w:cnfStyle w:val="100000000000" w:firstRow="1" w:lastRow="0" w:firstColumn="0" w:lastColumn="0" w:oddVBand="0" w:evenVBand="0" w:oddHBand="0" w:evenHBand="0" w:firstRowFirstColumn="0" w:firstRowLastColumn="0" w:lastRowFirstColumn="0" w:lastRowLastColumn="0"/>
              <w:rPr>
                <w:rFonts w:ascii="Arial" w:hAnsi="Arial" w:cs="Arial"/>
                <w:b/>
                <w:lang w:val="en-US" w:eastAsia="en-US"/>
              </w:rPr>
            </w:pPr>
            <w:r w:rsidRPr="00013EBE">
              <w:rPr>
                <w:rFonts w:ascii="Arial" w:hAnsi="Arial" w:cs="Arial"/>
                <w:lang w:val="en-US" w:eastAsia="en-US"/>
              </w:rPr>
              <w:t>July-Dec</w:t>
            </w:r>
          </w:p>
        </w:tc>
        <w:tc>
          <w:tcPr>
            <w:tcW w:w="998" w:type="dxa"/>
            <w:hideMark/>
          </w:tcPr>
          <w:p w:rsidR="00387646" w:rsidRPr="00013EBE" w:rsidRDefault="00387646" w:rsidP="00FD3BAC">
            <w:pPr>
              <w:pStyle w:val="Table-headingrow1"/>
              <w:spacing w:beforeLines="20" w:before="48"/>
              <w:jc w:val="center"/>
              <w:cnfStyle w:val="100000000000" w:firstRow="1" w:lastRow="0" w:firstColumn="0" w:lastColumn="0" w:oddVBand="0" w:evenVBand="0" w:oddHBand="0" w:evenHBand="0" w:firstRowFirstColumn="0" w:firstRowLastColumn="0" w:lastRowFirstColumn="0" w:lastRowLastColumn="0"/>
              <w:rPr>
                <w:rFonts w:ascii="Arial" w:hAnsi="Arial" w:cs="Arial"/>
                <w:b/>
                <w:lang w:val="en-US" w:eastAsia="en-US"/>
              </w:rPr>
            </w:pPr>
            <w:r w:rsidRPr="00013EBE">
              <w:rPr>
                <w:rFonts w:ascii="Arial" w:hAnsi="Arial" w:cs="Arial"/>
                <w:lang w:val="en-US" w:eastAsia="en-US"/>
              </w:rPr>
              <w:t>2013</w:t>
            </w:r>
          </w:p>
          <w:p w:rsidR="00387646" w:rsidRPr="00013EBE" w:rsidRDefault="00387646" w:rsidP="00FD3BAC">
            <w:pPr>
              <w:pStyle w:val="Table-headingrow1"/>
              <w:spacing w:beforeLines="20" w:before="48"/>
              <w:jc w:val="center"/>
              <w:cnfStyle w:val="100000000000" w:firstRow="1" w:lastRow="0" w:firstColumn="0" w:lastColumn="0" w:oddVBand="0" w:evenVBand="0" w:oddHBand="0" w:evenHBand="0" w:firstRowFirstColumn="0" w:firstRowLastColumn="0" w:lastRowFirstColumn="0" w:lastRowLastColumn="0"/>
              <w:rPr>
                <w:rFonts w:ascii="Arial" w:hAnsi="Arial" w:cs="Arial"/>
                <w:b/>
                <w:lang w:val="en-US" w:eastAsia="en-US"/>
              </w:rPr>
            </w:pPr>
            <w:r w:rsidRPr="00013EBE">
              <w:rPr>
                <w:rFonts w:ascii="Arial" w:hAnsi="Arial" w:cs="Arial"/>
                <w:lang w:val="en-US" w:eastAsia="en-US"/>
              </w:rPr>
              <w:t>Jan-June</w:t>
            </w:r>
          </w:p>
        </w:tc>
        <w:tc>
          <w:tcPr>
            <w:tcW w:w="1182" w:type="dxa"/>
            <w:hideMark/>
          </w:tcPr>
          <w:p w:rsidR="00387646" w:rsidRPr="00013EBE" w:rsidRDefault="00387646" w:rsidP="00FD3BAC">
            <w:pPr>
              <w:pStyle w:val="Table-headingrow1"/>
              <w:spacing w:beforeLines="20" w:before="48"/>
              <w:jc w:val="center"/>
              <w:cnfStyle w:val="100000000000" w:firstRow="1" w:lastRow="0" w:firstColumn="0" w:lastColumn="0" w:oddVBand="0" w:evenVBand="0" w:oddHBand="0" w:evenHBand="0" w:firstRowFirstColumn="0" w:firstRowLastColumn="0" w:lastRowFirstColumn="0" w:lastRowLastColumn="0"/>
              <w:rPr>
                <w:rFonts w:ascii="Arial" w:hAnsi="Arial" w:cs="Arial"/>
                <w:b/>
                <w:lang w:val="en-US" w:eastAsia="en-US"/>
              </w:rPr>
            </w:pPr>
            <w:r w:rsidRPr="00013EBE">
              <w:rPr>
                <w:rFonts w:ascii="Arial" w:hAnsi="Arial" w:cs="Arial"/>
                <w:lang w:val="en-US" w:eastAsia="en-US"/>
              </w:rPr>
              <w:t>2013</w:t>
            </w:r>
          </w:p>
          <w:p w:rsidR="00387646" w:rsidRPr="00013EBE" w:rsidRDefault="00387646" w:rsidP="00FD3BAC">
            <w:pPr>
              <w:pStyle w:val="Table-headingrow1"/>
              <w:spacing w:beforeLines="20" w:before="48"/>
              <w:jc w:val="center"/>
              <w:cnfStyle w:val="100000000000" w:firstRow="1" w:lastRow="0" w:firstColumn="0" w:lastColumn="0" w:oddVBand="0" w:evenVBand="0" w:oddHBand="0" w:evenHBand="0" w:firstRowFirstColumn="0" w:firstRowLastColumn="0" w:lastRowFirstColumn="0" w:lastRowLastColumn="0"/>
              <w:rPr>
                <w:rFonts w:ascii="Arial" w:hAnsi="Arial" w:cs="Arial"/>
                <w:b/>
                <w:lang w:val="en-US" w:eastAsia="en-US"/>
              </w:rPr>
            </w:pPr>
            <w:r w:rsidRPr="00013EBE">
              <w:rPr>
                <w:rFonts w:ascii="Arial" w:hAnsi="Arial" w:cs="Arial"/>
                <w:lang w:val="en-US" w:eastAsia="en-US"/>
              </w:rPr>
              <w:t>July-Dec</w:t>
            </w:r>
          </w:p>
        </w:tc>
        <w:tc>
          <w:tcPr>
            <w:tcW w:w="1214" w:type="dxa"/>
          </w:tcPr>
          <w:p w:rsidR="00387646" w:rsidRDefault="00387646" w:rsidP="00387646">
            <w:pPr>
              <w:pStyle w:val="Table-headingrow1"/>
              <w:spacing w:beforeLines="20" w:before="48"/>
              <w:cnfStyle w:val="100000000000" w:firstRow="1" w:lastRow="0" w:firstColumn="0" w:lastColumn="0" w:oddVBand="0" w:evenVBand="0" w:oddHBand="0" w:evenHBand="0" w:firstRowFirstColumn="0" w:firstRowLastColumn="0" w:lastRowFirstColumn="0" w:lastRowLastColumn="0"/>
              <w:rPr>
                <w:rFonts w:ascii="Arial" w:hAnsi="Arial" w:cs="Arial"/>
                <w:lang w:val="en-US" w:eastAsia="en-US"/>
              </w:rPr>
            </w:pPr>
            <w:r>
              <w:rPr>
                <w:rFonts w:ascii="Arial" w:hAnsi="Arial" w:cs="Arial"/>
                <w:lang w:val="en-US" w:eastAsia="en-US"/>
              </w:rPr>
              <w:t xml:space="preserve">Total </w:t>
            </w:r>
          </w:p>
          <w:p w:rsidR="00387646" w:rsidRPr="00013EBE" w:rsidRDefault="00387646" w:rsidP="00387646">
            <w:pPr>
              <w:pStyle w:val="Table-headingrow1"/>
              <w:spacing w:beforeLines="20" w:before="48"/>
              <w:cnfStyle w:val="100000000000" w:firstRow="1" w:lastRow="0" w:firstColumn="0" w:lastColumn="0" w:oddVBand="0" w:evenVBand="0" w:oddHBand="0" w:evenHBand="0" w:firstRowFirstColumn="0" w:firstRowLastColumn="0" w:lastRowFirstColumn="0" w:lastRowLastColumn="0"/>
              <w:rPr>
                <w:rFonts w:ascii="Arial" w:hAnsi="Arial" w:cs="Arial"/>
                <w:lang w:val="en-US" w:eastAsia="en-US"/>
              </w:rPr>
            </w:pPr>
            <w:r>
              <w:rPr>
                <w:rFonts w:ascii="Arial" w:hAnsi="Arial" w:cs="Arial"/>
                <w:lang w:val="en-US" w:eastAsia="en-US"/>
              </w:rPr>
              <w:t>Jan 2012 – Dec 2013</w:t>
            </w:r>
          </w:p>
        </w:tc>
      </w:tr>
      <w:tr w:rsidR="00D60489" w:rsidRPr="006A074F" w:rsidTr="00D6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8" w:space="0" w:color="9BBB59" w:themeColor="accent3"/>
            </w:tcBorders>
            <w:hideMark/>
          </w:tcPr>
          <w:p w:rsidR="00D60489" w:rsidRPr="00D001CB" w:rsidRDefault="00D60489" w:rsidP="00FD3BAC">
            <w:pPr>
              <w:pStyle w:val="Table-bodytext"/>
              <w:spacing w:beforeLines="20" w:before="48" w:after="0"/>
              <w:rPr>
                <w:rFonts w:ascii="Arial" w:hAnsi="Arial" w:cs="Arial"/>
                <w:bCs w:val="0"/>
                <w:lang w:val="en-US" w:eastAsia="en-US"/>
              </w:rPr>
            </w:pPr>
            <w:r w:rsidRPr="00D001CB">
              <w:rPr>
                <w:rFonts w:ascii="Arial" w:hAnsi="Arial" w:cs="Arial"/>
                <w:lang w:val="en-US" w:eastAsia="en-US"/>
              </w:rPr>
              <w:t>Obtain the samples</w:t>
            </w:r>
          </w:p>
        </w:tc>
        <w:tc>
          <w:tcPr>
            <w:tcW w:w="2031" w:type="dxa"/>
            <w:tcBorders>
              <w:left w:val="single" w:sz="8" w:space="0" w:color="9BBB59" w:themeColor="accent3"/>
              <w:right w:val="single" w:sz="8" w:space="0" w:color="9BBB59" w:themeColor="accent3"/>
            </w:tcBorders>
            <w:hideMark/>
          </w:tcPr>
          <w:p w:rsidR="00D60489" w:rsidRPr="006A074F" w:rsidRDefault="00D60489" w:rsidP="00FD3BAC">
            <w:pPr>
              <w:pStyle w:val="Table-bodytext"/>
              <w:spacing w:beforeLines="20" w:before="48" w:after="0"/>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Number of pre-notification letters sent</w:t>
            </w:r>
          </w:p>
        </w:tc>
        <w:tc>
          <w:tcPr>
            <w:tcW w:w="1119" w:type="dxa"/>
            <w:tcBorders>
              <w:left w:val="single" w:sz="8" w:space="0" w:color="9BBB59" w:themeColor="accent3"/>
            </w:tcBorders>
            <w:hideMark/>
          </w:tcPr>
          <w:p w:rsidR="00D60489" w:rsidRPr="006A074F" w:rsidRDefault="00D60489"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31,843</w:t>
            </w:r>
          </w:p>
        </w:tc>
        <w:tc>
          <w:tcPr>
            <w:tcW w:w="1119" w:type="dxa"/>
            <w:hideMark/>
          </w:tcPr>
          <w:p w:rsidR="00D60489" w:rsidRPr="006A074F" w:rsidRDefault="00D60489"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32,248</w:t>
            </w:r>
          </w:p>
        </w:tc>
        <w:tc>
          <w:tcPr>
            <w:tcW w:w="998" w:type="dxa"/>
            <w:hideMark/>
          </w:tcPr>
          <w:p w:rsidR="00D60489" w:rsidRPr="006A074F" w:rsidRDefault="00D60489"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41,332</w:t>
            </w:r>
          </w:p>
        </w:tc>
        <w:tc>
          <w:tcPr>
            <w:tcW w:w="1182" w:type="dxa"/>
            <w:hideMark/>
          </w:tcPr>
          <w:p w:rsidR="00D60489" w:rsidRPr="006A074F" w:rsidRDefault="00D60489"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31,152</w:t>
            </w:r>
          </w:p>
        </w:tc>
        <w:tc>
          <w:tcPr>
            <w:tcW w:w="1214" w:type="dxa"/>
          </w:tcPr>
          <w:p w:rsidR="00D60489" w:rsidRPr="00D60489" w:rsidRDefault="00D60489" w:rsidP="00D60489">
            <w:pPr>
              <w:pStyle w:val="Table-bodytext"/>
              <w:spacing w:beforeLines="20" w:before="48" w:after="0"/>
              <w:ind w:right="136"/>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60489">
              <w:rPr>
                <w:rFonts w:ascii="Arial" w:hAnsi="Arial" w:cs="Arial"/>
                <w:lang w:val="en-US" w:eastAsia="en-US"/>
              </w:rPr>
              <w:t>136,575</w:t>
            </w:r>
          </w:p>
        </w:tc>
      </w:tr>
      <w:tr w:rsidR="00254413" w:rsidRPr="006A074F" w:rsidTr="00254413">
        <w:trPr>
          <w:trHeight w:val="305"/>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9BBB59" w:themeColor="accent3"/>
              <w:bottom w:val="single" w:sz="8" w:space="0" w:color="9BBB59" w:themeColor="accent3"/>
              <w:right w:val="single" w:sz="8" w:space="0" w:color="9BBB59" w:themeColor="accent3"/>
            </w:tcBorders>
            <w:hideMark/>
          </w:tcPr>
          <w:p w:rsidR="00254413" w:rsidRPr="00D001CB" w:rsidRDefault="00254413" w:rsidP="00FD3BAC">
            <w:pPr>
              <w:spacing w:beforeLines="20" w:before="48"/>
              <w:rPr>
                <w:rFonts w:eastAsiaTheme="minorHAnsi" w:cs="Arial"/>
                <w:bCs w:val="0"/>
                <w:sz w:val="20"/>
                <w:szCs w:val="20"/>
                <w:lang w:val="en-US" w:eastAsia="en-US"/>
              </w:rPr>
            </w:pPr>
          </w:p>
        </w:tc>
        <w:tc>
          <w:tcPr>
            <w:tcW w:w="20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4413" w:rsidRPr="006A074F" w:rsidRDefault="00254413" w:rsidP="00FD3BAC">
            <w:pPr>
              <w:pStyle w:val="Table-bodytext"/>
              <w:spacing w:beforeLines="20" w:before="48" w:after="0"/>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Number of iFOBT kits sent (includes resends)</w:t>
            </w:r>
          </w:p>
        </w:tc>
        <w:tc>
          <w:tcPr>
            <w:tcW w:w="1119" w:type="dxa"/>
            <w:tcBorders>
              <w:left w:val="single" w:sz="8" w:space="0" w:color="9BBB59" w:themeColor="accent3"/>
            </w:tcBorders>
          </w:tcPr>
          <w:p w:rsidR="00254413" w:rsidRPr="00C769A0"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iCs/>
                <w:lang w:val="en-US" w:eastAsia="en-US"/>
              </w:rPr>
            </w:pPr>
            <w:r w:rsidRPr="006A074F">
              <w:rPr>
                <w:rFonts w:ascii="Arial" w:hAnsi="Arial" w:cs="Arial"/>
                <w:lang w:val="en-US" w:eastAsia="en-US"/>
              </w:rPr>
              <w:t>28,286</w:t>
            </w:r>
          </w:p>
        </w:tc>
        <w:tc>
          <w:tcPr>
            <w:tcW w:w="1119" w:type="dxa"/>
          </w:tcPr>
          <w:p w:rsidR="00254413" w:rsidRPr="00C769A0"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34,792</w:t>
            </w:r>
          </w:p>
        </w:tc>
        <w:tc>
          <w:tcPr>
            <w:tcW w:w="998" w:type="dxa"/>
          </w:tcPr>
          <w:p w:rsidR="00254413" w:rsidRPr="00C769A0"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40,844</w:t>
            </w:r>
          </w:p>
        </w:tc>
        <w:tc>
          <w:tcPr>
            <w:tcW w:w="1182" w:type="dxa"/>
          </w:tcPr>
          <w:p w:rsidR="00254413" w:rsidRPr="00C769A0"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39,715</w:t>
            </w:r>
          </w:p>
        </w:tc>
        <w:tc>
          <w:tcPr>
            <w:tcW w:w="1214" w:type="dxa"/>
          </w:tcPr>
          <w:p w:rsidR="00254413" w:rsidRPr="00C769A0" w:rsidRDefault="00254413" w:rsidP="00D60489">
            <w:pPr>
              <w:pStyle w:val="Table-bodytext"/>
              <w:spacing w:beforeLines="20" w:before="48" w:after="0"/>
              <w:ind w:right="136"/>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60489">
              <w:rPr>
                <w:rFonts w:ascii="Arial" w:hAnsi="Arial" w:cs="Arial"/>
                <w:lang w:val="en-US" w:eastAsia="en-US"/>
              </w:rPr>
              <w:t>143,637</w:t>
            </w:r>
          </w:p>
        </w:tc>
      </w:tr>
      <w:tr w:rsidR="00254413" w:rsidRPr="006A074F" w:rsidTr="00D6048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9BBB59" w:themeColor="accent3"/>
            </w:tcBorders>
          </w:tcPr>
          <w:p w:rsidR="00254413" w:rsidRPr="00D001CB" w:rsidRDefault="00254413" w:rsidP="00FD3BAC">
            <w:pPr>
              <w:spacing w:beforeLines="20" w:before="48"/>
              <w:rPr>
                <w:rFonts w:eastAsiaTheme="minorHAnsi" w:cs="Arial"/>
                <w:bCs w:val="0"/>
                <w:sz w:val="20"/>
                <w:szCs w:val="20"/>
                <w:lang w:val="en-US" w:eastAsia="en-US"/>
              </w:rPr>
            </w:pPr>
          </w:p>
        </w:tc>
        <w:tc>
          <w:tcPr>
            <w:tcW w:w="2031" w:type="dxa"/>
            <w:tcBorders>
              <w:left w:val="single" w:sz="8" w:space="0" w:color="9BBB59" w:themeColor="accent3"/>
              <w:right w:val="single" w:sz="8" w:space="0" w:color="9BBB59" w:themeColor="accent3"/>
            </w:tcBorders>
          </w:tcPr>
          <w:p w:rsidR="00254413" w:rsidRPr="006A074F" w:rsidRDefault="00254413" w:rsidP="00FD3BAC">
            <w:pPr>
              <w:pStyle w:val="Table-bodytext"/>
              <w:spacing w:beforeLines="20" w:before="48" w:after="0"/>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Number of reminder letters sent at 4 weeks</w:t>
            </w:r>
            <w:r>
              <w:rPr>
                <w:lang w:val="en-US"/>
              </w:rPr>
              <w:t xml:space="preserve"> *</w:t>
            </w:r>
          </w:p>
        </w:tc>
        <w:tc>
          <w:tcPr>
            <w:tcW w:w="1119" w:type="dxa"/>
            <w:tcBorders>
              <w:left w:val="single" w:sz="8" w:space="0" w:color="9BBB59" w:themeColor="accent3"/>
            </w:tcBorders>
          </w:tcPr>
          <w:p w:rsidR="00254413" w:rsidRPr="006A07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C769A0">
              <w:rPr>
                <w:rFonts w:ascii="Arial" w:hAnsi="Arial" w:cs="Arial"/>
                <w:iCs/>
                <w:lang w:val="en-US" w:eastAsia="en-US"/>
              </w:rPr>
              <w:t>14,251</w:t>
            </w:r>
          </w:p>
        </w:tc>
        <w:tc>
          <w:tcPr>
            <w:tcW w:w="1119" w:type="dxa"/>
          </w:tcPr>
          <w:p w:rsidR="00254413" w:rsidRPr="006A07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C769A0">
              <w:rPr>
                <w:rFonts w:ascii="Arial" w:hAnsi="Arial" w:cs="Arial"/>
                <w:lang w:val="en-US" w:eastAsia="en-US"/>
              </w:rPr>
              <w:t>20,531</w:t>
            </w:r>
          </w:p>
        </w:tc>
        <w:tc>
          <w:tcPr>
            <w:tcW w:w="998" w:type="dxa"/>
          </w:tcPr>
          <w:p w:rsidR="00254413" w:rsidRPr="006A07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C769A0">
              <w:rPr>
                <w:rFonts w:ascii="Arial" w:hAnsi="Arial" w:cs="Arial"/>
                <w:lang w:val="en-US" w:eastAsia="en-US"/>
              </w:rPr>
              <w:t>24,435</w:t>
            </w:r>
          </w:p>
        </w:tc>
        <w:tc>
          <w:tcPr>
            <w:tcW w:w="1182" w:type="dxa"/>
          </w:tcPr>
          <w:p w:rsidR="00254413" w:rsidRPr="006A07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C769A0">
              <w:rPr>
                <w:rFonts w:ascii="Arial" w:hAnsi="Arial" w:cs="Arial"/>
                <w:iCs/>
                <w:lang w:val="en-US" w:eastAsia="en-US"/>
              </w:rPr>
              <w:t>24,281</w:t>
            </w:r>
          </w:p>
        </w:tc>
        <w:tc>
          <w:tcPr>
            <w:tcW w:w="1214" w:type="dxa"/>
          </w:tcPr>
          <w:p w:rsidR="00254413" w:rsidRPr="00D60489" w:rsidRDefault="00254413" w:rsidP="00D60489">
            <w:pPr>
              <w:pStyle w:val="Table-bodytext"/>
              <w:spacing w:beforeLines="20" w:before="48" w:after="0"/>
              <w:ind w:right="136"/>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C769A0">
              <w:rPr>
                <w:rFonts w:ascii="Arial" w:hAnsi="Arial" w:cs="Arial"/>
                <w:lang w:val="en-US" w:eastAsia="en-US"/>
              </w:rPr>
              <w:t>83,498</w:t>
            </w:r>
          </w:p>
        </w:tc>
      </w:tr>
      <w:tr w:rsidR="00254413" w:rsidRPr="006A074F" w:rsidTr="00D60489">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8" w:space="0" w:color="9BBB59" w:themeColor="accent3"/>
              <w:bottom w:val="single" w:sz="8" w:space="0" w:color="9BBB59" w:themeColor="accent3"/>
              <w:right w:val="single" w:sz="8" w:space="0" w:color="9BBB59" w:themeColor="accent3"/>
            </w:tcBorders>
            <w:hideMark/>
          </w:tcPr>
          <w:p w:rsidR="00254413" w:rsidRPr="00D001CB" w:rsidRDefault="00254413" w:rsidP="00FD3BAC">
            <w:pPr>
              <w:pStyle w:val="Table-bodytext"/>
              <w:spacing w:beforeLines="20" w:before="48" w:after="0"/>
              <w:rPr>
                <w:rFonts w:ascii="Arial" w:hAnsi="Arial" w:cs="Arial"/>
                <w:bCs w:val="0"/>
                <w:lang w:val="en-US" w:eastAsia="en-US"/>
              </w:rPr>
            </w:pPr>
            <w:r w:rsidRPr="00D001CB">
              <w:rPr>
                <w:rFonts w:ascii="Arial" w:hAnsi="Arial" w:cs="Arial"/>
                <w:lang w:val="en-US" w:eastAsia="en-US"/>
              </w:rPr>
              <w:t>Test the samples</w:t>
            </w:r>
          </w:p>
        </w:tc>
        <w:tc>
          <w:tcPr>
            <w:tcW w:w="20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hideMark/>
          </w:tcPr>
          <w:p w:rsidR="00254413" w:rsidRPr="006A074F" w:rsidRDefault="00254413" w:rsidP="00FD3BAC">
            <w:pPr>
              <w:pStyle w:val="Table-bodytext"/>
              <w:spacing w:beforeLines="20" w:before="48" w:after="0"/>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Number of samples received at laboratory</w:t>
            </w:r>
          </w:p>
        </w:tc>
        <w:tc>
          <w:tcPr>
            <w:tcW w:w="1119" w:type="dxa"/>
            <w:tcBorders>
              <w:left w:val="single" w:sz="8" w:space="0" w:color="9BBB59" w:themeColor="accent3"/>
            </w:tcBorders>
            <w:hideMark/>
          </w:tcPr>
          <w:p w:rsidR="00254413" w:rsidRPr="006A07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13,462</w:t>
            </w:r>
          </w:p>
        </w:tc>
        <w:tc>
          <w:tcPr>
            <w:tcW w:w="1119" w:type="dxa"/>
            <w:hideMark/>
          </w:tcPr>
          <w:p w:rsidR="00254413" w:rsidRPr="006A07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17,984</w:t>
            </w:r>
          </w:p>
        </w:tc>
        <w:tc>
          <w:tcPr>
            <w:tcW w:w="998" w:type="dxa"/>
            <w:hideMark/>
          </w:tcPr>
          <w:p w:rsidR="00254413" w:rsidRPr="006A07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22,900</w:t>
            </w:r>
          </w:p>
        </w:tc>
        <w:tc>
          <w:tcPr>
            <w:tcW w:w="1182" w:type="dxa"/>
            <w:hideMark/>
          </w:tcPr>
          <w:p w:rsidR="00254413" w:rsidRPr="006A07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20,499</w:t>
            </w:r>
          </w:p>
        </w:tc>
        <w:tc>
          <w:tcPr>
            <w:tcW w:w="1214" w:type="dxa"/>
          </w:tcPr>
          <w:p w:rsidR="00254413" w:rsidRPr="00D60489" w:rsidRDefault="00254413" w:rsidP="00D60489">
            <w:pPr>
              <w:pStyle w:val="Table-bodytext"/>
              <w:spacing w:beforeLines="20" w:before="48" w:after="0"/>
              <w:ind w:right="136"/>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60489">
              <w:rPr>
                <w:rFonts w:ascii="Arial" w:hAnsi="Arial" w:cs="Arial"/>
                <w:lang w:val="en-US" w:eastAsia="en-US"/>
              </w:rPr>
              <w:t>74,845</w:t>
            </w:r>
          </w:p>
        </w:tc>
      </w:tr>
      <w:tr w:rsidR="00254413" w:rsidRPr="006A074F" w:rsidTr="00D6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9BBB59" w:themeColor="accent3"/>
            </w:tcBorders>
            <w:hideMark/>
          </w:tcPr>
          <w:p w:rsidR="00254413" w:rsidRPr="00D001CB" w:rsidRDefault="00254413" w:rsidP="00FD3BAC">
            <w:pPr>
              <w:spacing w:beforeLines="20" w:before="48"/>
              <w:rPr>
                <w:rFonts w:eastAsiaTheme="minorHAnsi" w:cs="Arial"/>
                <w:bCs w:val="0"/>
                <w:sz w:val="20"/>
                <w:szCs w:val="20"/>
                <w:lang w:val="en-US" w:eastAsia="en-US"/>
              </w:rPr>
            </w:pPr>
          </w:p>
        </w:tc>
        <w:tc>
          <w:tcPr>
            <w:tcW w:w="2031" w:type="dxa"/>
            <w:tcBorders>
              <w:left w:val="single" w:sz="8" w:space="0" w:color="9BBB59" w:themeColor="accent3"/>
              <w:right w:val="single" w:sz="8" w:space="0" w:color="9BBB59" w:themeColor="accent3"/>
            </w:tcBorders>
            <w:hideMark/>
          </w:tcPr>
          <w:p w:rsidR="00254413" w:rsidRPr="006A074F" w:rsidRDefault="00254413" w:rsidP="00FD3BAC">
            <w:pPr>
              <w:pStyle w:val="Table-bodytext"/>
              <w:spacing w:beforeLines="20" w:before="48" w:after="0"/>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Pr>
                <w:rFonts w:ascii="Arial" w:hAnsi="Arial" w:cs="Arial"/>
                <w:lang w:val="en-US" w:eastAsia="en-US"/>
              </w:rPr>
              <w:t>Number</w:t>
            </w:r>
            <w:r w:rsidRPr="006A074F">
              <w:rPr>
                <w:rFonts w:ascii="Arial" w:hAnsi="Arial" w:cs="Arial"/>
                <w:lang w:val="en-US" w:eastAsia="en-US"/>
              </w:rPr>
              <w:t xml:space="preserve"> of positive result</w:t>
            </w:r>
          </w:p>
        </w:tc>
        <w:tc>
          <w:tcPr>
            <w:tcW w:w="1119" w:type="dxa"/>
            <w:tcBorders>
              <w:left w:val="single" w:sz="8" w:space="0" w:color="9BBB59" w:themeColor="accent3"/>
            </w:tcBorders>
            <w:hideMark/>
          </w:tcPr>
          <w:p w:rsidR="00254413" w:rsidRPr="006A07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765</w:t>
            </w:r>
          </w:p>
        </w:tc>
        <w:tc>
          <w:tcPr>
            <w:tcW w:w="1119" w:type="dxa"/>
            <w:hideMark/>
          </w:tcPr>
          <w:p w:rsidR="00254413" w:rsidRPr="006A07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1,187</w:t>
            </w:r>
          </w:p>
        </w:tc>
        <w:tc>
          <w:tcPr>
            <w:tcW w:w="998" w:type="dxa"/>
            <w:hideMark/>
          </w:tcPr>
          <w:p w:rsidR="00254413" w:rsidRPr="006A07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1,395</w:t>
            </w:r>
          </w:p>
        </w:tc>
        <w:tc>
          <w:tcPr>
            <w:tcW w:w="1182" w:type="dxa"/>
            <w:hideMark/>
          </w:tcPr>
          <w:p w:rsidR="00254413" w:rsidRPr="006A07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1,423</w:t>
            </w:r>
          </w:p>
        </w:tc>
        <w:tc>
          <w:tcPr>
            <w:tcW w:w="1214" w:type="dxa"/>
          </w:tcPr>
          <w:p w:rsidR="00254413" w:rsidRPr="00D60489" w:rsidRDefault="00254413" w:rsidP="00D60489">
            <w:pPr>
              <w:pStyle w:val="Table-bodytext"/>
              <w:spacing w:beforeLines="20" w:before="48" w:after="0"/>
              <w:ind w:right="136"/>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60489">
              <w:rPr>
                <w:rFonts w:ascii="Arial" w:hAnsi="Arial" w:cs="Arial"/>
                <w:lang w:val="en-US" w:eastAsia="en-US"/>
              </w:rPr>
              <w:t>4770</w:t>
            </w:r>
          </w:p>
        </w:tc>
      </w:tr>
      <w:tr w:rsidR="00254413" w:rsidRPr="006A074F" w:rsidTr="00D60489">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9BBB59" w:themeColor="accent3"/>
              <w:bottom w:val="single" w:sz="8" w:space="0" w:color="9BBB59" w:themeColor="accent3"/>
              <w:right w:val="single" w:sz="8" w:space="0" w:color="9BBB59" w:themeColor="accent3"/>
            </w:tcBorders>
            <w:hideMark/>
          </w:tcPr>
          <w:p w:rsidR="00254413" w:rsidRPr="00D001CB" w:rsidRDefault="00254413" w:rsidP="00FD3BAC">
            <w:pPr>
              <w:spacing w:beforeLines="20" w:before="48"/>
              <w:rPr>
                <w:rFonts w:eastAsiaTheme="minorHAnsi" w:cs="Arial"/>
                <w:bCs w:val="0"/>
                <w:sz w:val="20"/>
                <w:szCs w:val="20"/>
                <w:lang w:val="en-US" w:eastAsia="en-US"/>
              </w:rPr>
            </w:pPr>
          </w:p>
        </w:tc>
        <w:tc>
          <w:tcPr>
            <w:tcW w:w="20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hideMark/>
          </w:tcPr>
          <w:p w:rsidR="00254413" w:rsidRPr="006A074F" w:rsidRDefault="00254413" w:rsidP="00FD3BAC">
            <w:pPr>
              <w:pStyle w:val="Table-bodytext"/>
              <w:spacing w:beforeLines="20" w:before="48" w:after="0"/>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Letters sent to patients with a negative result</w:t>
            </w:r>
          </w:p>
        </w:tc>
        <w:tc>
          <w:tcPr>
            <w:tcW w:w="1119" w:type="dxa"/>
            <w:tcBorders>
              <w:left w:val="single" w:sz="8" w:space="0" w:color="9BBB59" w:themeColor="accent3"/>
            </w:tcBorders>
            <w:hideMark/>
          </w:tcPr>
          <w:p w:rsidR="00254413" w:rsidRPr="006A07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9,931</w:t>
            </w:r>
          </w:p>
        </w:tc>
        <w:tc>
          <w:tcPr>
            <w:tcW w:w="1119" w:type="dxa"/>
            <w:hideMark/>
          </w:tcPr>
          <w:p w:rsidR="00254413" w:rsidRPr="006A07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14,397</w:t>
            </w:r>
          </w:p>
        </w:tc>
        <w:tc>
          <w:tcPr>
            <w:tcW w:w="998" w:type="dxa"/>
            <w:hideMark/>
          </w:tcPr>
          <w:p w:rsidR="00254413" w:rsidRPr="006A07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18,355</w:t>
            </w:r>
          </w:p>
        </w:tc>
        <w:tc>
          <w:tcPr>
            <w:tcW w:w="1182" w:type="dxa"/>
            <w:hideMark/>
          </w:tcPr>
          <w:p w:rsidR="00254413" w:rsidRPr="006A07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16,253</w:t>
            </w:r>
          </w:p>
        </w:tc>
        <w:tc>
          <w:tcPr>
            <w:tcW w:w="1214" w:type="dxa"/>
          </w:tcPr>
          <w:p w:rsidR="00254413" w:rsidRPr="00D60489" w:rsidRDefault="00254413" w:rsidP="00D60489">
            <w:pPr>
              <w:pStyle w:val="Table-bodytext"/>
              <w:spacing w:beforeLines="20" w:before="48" w:after="0"/>
              <w:ind w:right="136"/>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60489">
              <w:rPr>
                <w:rFonts w:ascii="Arial" w:hAnsi="Arial" w:cs="Arial"/>
                <w:lang w:val="en-US" w:eastAsia="en-US"/>
              </w:rPr>
              <w:t>58,936</w:t>
            </w:r>
          </w:p>
        </w:tc>
      </w:tr>
      <w:tr w:rsidR="00254413" w:rsidRPr="006A074F" w:rsidTr="00D6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8" w:space="0" w:color="9BBB59" w:themeColor="accent3"/>
            </w:tcBorders>
            <w:hideMark/>
          </w:tcPr>
          <w:p w:rsidR="00254413" w:rsidRPr="00D001CB" w:rsidRDefault="00254413" w:rsidP="00FD3BAC">
            <w:pPr>
              <w:pStyle w:val="Table-bodytext"/>
              <w:spacing w:beforeLines="20" w:before="48" w:after="0"/>
              <w:rPr>
                <w:rFonts w:ascii="Arial" w:hAnsi="Arial" w:cs="Arial"/>
                <w:bCs w:val="0"/>
                <w:lang w:val="en-US" w:eastAsia="en-US"/>
              </w:rPr>
            </w:pPr>
            <w:r w:rsidRPr="00D001CB">
              <w:rPr>
                <w:rFonts w:ascii="Arial" w:hAnsi="Arial" w:cs="Arial"/>
                <w:lang w:val="en-US" w:eastAsia="en-US"/>
              </w:rPr>
              <w:t>Conduct colonoscopies</w:t>
            </w:r>
          </w:p>
        </w:tc>
        <w:tc>
          <w:tcPr>
            <w:tcW w:w="2031" w:type="dxa"/>
            <w:tcBorders>
              <w:left w:val="single" w:sz="8" w:space="0" w:color="9BBB59" w:themeColor="accent3"/>
              <w:right w:val="single" w:sz="8" w:space="0" w:color="9BBB59" w:themeColor="accent3"/>
            </w:tcBorders>
            <w:hideMark/>
          </w:tcPr>
          <w:p w:rsidR="00254413" w:rsidRPr="006A074F" w:rsidRDefault="00254413" w:rsidP="002F62F5">
            <w:pPr>
              <w:pStyle w:val="Table-bodytext"/>
              <w:spacing w:beforeLines="20" w:before="48" w:after="0"/>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Pr>
                <w:rFonts w:ascii="Arial" w:hAnsi="Arial" w:cs="Arial"/>
                <w:lang w:val="en-US" w:eastAsia="en-US"/>
              </w:rPr>
              <w:t>Number of p</w:t>
            </w:r>
            <w:r w:rsidRPr="006A074F">
              <w:rPr>
                <w:rFonts w:ascii="Arial" w:hAnsi="Arial" w:cs="Arial"/>
                <w:lang w:val="en-US" w:eastAsia="en-US"/>
              </w:rPr>
              <w:t>re-assessments completed</w:t>
            </w:r>
          </w:p>
        </w:tc>
        <w:tc>
          <w:tcPr>
            <w:tcW w:w="1119" w:type="dxa"/>
            <w:tcBorders>
              <w:left w:val="single" w:sz="8" w:space="0" w:color="9BBB59" w:themeColor="accent3"/>
            </w:tcBorders>
            <w:hideMark/>
          </w:tcPr>
          <w:p w:rsidR="00254413" w:rsidRPr="006A07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712</w:t>
            </w:r>
          </w:p>
        </w:tc>
        <w:tc>
          <w:tcPr>
            <w:tcW w:w="1119" w:type="dxa"/>
            <w:hideMark/>
          </w:tcPr>
          <w:p w:rsidR="00254413" w:rsidRPr="006A07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1,176</w:t>
            </w:r>
          </w:p>
        </w:tc>
        <w:tc>
          <w:tcPr>
            <w:tcW w:w="998" w:type="dxa"/>
            <w:hideMark/>
          </w:tcPr>
          <w:p w:rsidR="00254413" w:rsidRPr="006A07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1,337</w:t>
            </w:r>
          </w:p>
        </w:tc>
        <w:tc>
          <w:tcPr>
            <w:tcW w:w="1182" w:type="dxa"/>
            <w:hideMark/>
          </w:tcPr>
          <w:p w:rsidR="00254413" w:rsidRPr="006A07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1,438</w:t>
            </w:r>
          </w:p>
        </w:tc>
        <w:tc>
          <w:tcPr>
            <w:tcW w:w="1214" w:type="dxa"/>
          </w:tcPr>
          <w:p w:rsidR="00254413" w:rsidRPr="00D60489" w:rsidRDefault="00254413" w:rsidP="00D60489">
            <w:pPr>
              <w:pStyle w:val="Table-bodytext"/>
              <w:spacing w:beforeLines="20" w:before="48" w:after="0"/>
              <w:ind w:right="136"/>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60489">
              <w:rPr>
                <w:rFonts w:ascii="Arial" w:hAnsi="Arial" w:cs="Arial"/>
                <w:lang w:val="en-US" w:eastAsia="en-US"/>
              </w:rPr>
              <w:t>4663</w:t>
            </w:r>
          </w:p>
        </w:tc>
      </w:tr>
      <w:tr w:rsidR="00254413" w:rsidRPr="006A074F" w:rsidTr="00D60489">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9BBB59" w:themeColor="accent3"/>
              <w:bottom w:val="single" w:sz="8" w:space="0" w:color="9BBB59" w:themeColor="accent3"/>
              <w:right w:val="single" w:sz="8" w:space="0" w:color="9BBB59" w:themeColor="accent3"/>
            </w:tcBorders>
            <w:hideMark/>
          </w:tcPr>
          <w:p w:rsidR="00254413" w:rsidRPr="00D001CB" w:rsidRDefault="00254413" w:rsidP="00FD3BAC">
            <w:pPr>
              <w:spacing w:beforeLines="20" w:before="48"/>
              <w:rPr>
                <w:rFonts w:eastAsiaTheme="minorHAnsi" w:cs="Arial"/>
                <w:bCs w:val="0"/>
                <w:sz w:val="20"/>
                <w:szCs w:val="20"/>
                <w:lang w:val="en-US" w:eastAsia="en-US"/>
              </w:rPr>
            </w:pPr>
          </w:p>
        </w:tc>
        <w:tc>
          <w:tcPr>
            <w:tcW w:w="20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hideMark/>
          </w:tcPr>
          <w:p w:rsidR="00254413" w:rsidRPr="006A074F" w:rsidRDefault="00254413" w:rsidP="00FD3BAC">
            <w:pPr>
              <w:pStyle w:val="Table-bodytext"/>
              <w:spacing w:beforeLines="20" w:before="48" w:after="0"/>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Colonoscopies completed (DHB staff)</w:t>
            </w:r>
          </w:p>
        </w:tc>
        <w:tc>
          <w:tcPr>
            <w:tcW w:w="1119" w:type="dxa"/>
            <w:tcBorders>
              <w:left w:val="single" w:sz="8" w:space="0" w:color="9BBB59" w:themeColor="accent3"/>
            </w:tcBorders>
            <w:hideMark/>
          </w:tcPr>
          <w:p w:rsidR="00254413" w:rsidRPr="006A07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172</w:t>
            </w:r>
          </w:p>
        </w:tc>
        <w:tc>
          <w:tcPr>
            <w:tcW w:w="1119" w:type="dxa"/>
            <w:hideMark/>
          </w:tcPr>
          <w:p w:rsidR="00254413" w:rsidRPr="006A07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450</w:t>
            </w:r>
          </w:p>
        </w:tc>
        <w:tc>
          <w:tcPr>
            <w:tcW w:w="998" w:type="dxa"/>
            <w:hideMark/>
          </w:tcPr>
          <w:p w:rsidR="00254413" w:rsidRPr="006A07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523</w:t>
            </w:r>
          </w:p>
        </w:tc>
        <w:tc>
          <w:tcPr>
            <w:tcW w:w="1182" w:type="dxa"/>
            <w:hideMark/>
          </w:tcPr>
          <w:p w:rsidR="00254413" w:rsidRPr="006A07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359</w:t>
            </w:r>
          </w:p>
        </w:tc>
        <w:tc>
          <w:tcPr>
            <w:tcW w:w="1214" w:type="dxa"/>
          </w:tcPr>
          <w:p w:rsidR="00254413" w:rsidRPr="00D60489" w:rsidRDefault="00254413" w:rsidP="00D60489">
            <w:pPr>
              <w:pStyle w:val="Table-bodytext"/>
              <w:spacing w:beforeLines="20" w:before="48" w:after="0"/>
              <w:ind w:right="136"/>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60489">
              <w:rPr>
                <w:rFonts w:ascii="Arial" w:hAnsi="Arial" w:cs="Arial"/>
                <w:lang w:val="en-US" w:eastAsia="en-US"/>
              </w:rPr>
              <w:t>1504</w:t>
            </w:r>
          </w:p>
        </w:tc>
      </w:tr>
      <w:tr w:rsidR="00254413" w:rsidRPr="006A074F" w:rsidTr="00D6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9BBB59" w:themeColor="accent3"/>
            </w:tcBorders>
            <w:hideMark/>
          </w:tcPr>
          <w:p w:rsidR="00254413" w:rsidRPr="00D001CB" w:rsidRDefault="00254413" w:rsidP="00FD3BAC">
            <w:pPr>
              <w:spacing w:beforeLines="20" w:before="48"/>
              <w:rPr>
                <w:rFonts w:eastAsiaTheme="minorHAnsi" w:cs="Arial"/>
                <w:bCs w:val="0"/>
                <w:sz w:val="20"/>
                <w:szCs w:val="20"/>
                <w:lang w:val="en-US" w:eastAsia="en-US"/>
              </w:rPr>
            </w:pPr>
          </w:p>
        </w:tc>
        <w:tc>
          <w:tcPr>
            <w:tcW w:w="2031" w:type="dxa"/>
            <w:tcBorders>
              <w:left w:val="single" w:sz="8" w:space="0" w:color="9BBB59" w:themeColor="accent3"/>
              <w:right w:val="single" w:sz="8" w:space="0" w:color="9BBB59" w:themeColor="accent3"/>
            </w:tcBorders>
            <w:hideMark/>
          </w:tcPr>
          <w:p w:rsidR="00254413" w:rsidRPr="006A074F" w:rsidRDefault="00254413" w:rsidP="00FD3BAC">
            <w:pPr>
              <w:pStyle w:val="Table-bodytext"/>
              <w:spacing w:beforeLines="20" w:before="48" w:after="0"/>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Colonoscopies completed (contractors)</w:t>
            </w:r>
          </w:p>
        </w:tc>
        <w:tc>
          <w:tcPr>
            <w:tcW w:w="1119" w:type="dxa"/>
            <w:tcBorders>
              <w:left w:val="single" w:sz="8" w:space="0" w:color="9BBB59" w:themeColor="accent3"/>
            </w:tcBorders>
            <w:hideMark/>
          </w:tcPr>
          <w:p w:rsidR="00254413" w:rsidRPr="006A07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297</w:t>
            </w:r>
          </w:p>
        </w:tc>
        <w:tc>
          <w:tcPr>
            <w:tcW w:w="1119" w:type="dxa"/>
            <w:hideMark/>
          </w:tcPr>
          <w:p w:rsidR="00254413" w:rsidRPr="006A07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425</w:t>
            </w:r>
          </w:p>
        </w:tc>
        <w:tc>
          <w:tcPr>
            <w:tcW w:w="998" w:type="dxa"/>
            <w:hideMark/>
          </w:tcPr>
          <w:p w:rsidR="00254413" w:rsidRPr="006A07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368</w:t>
            </w:r>
          </w:p>
        </w:tc>
        <w:tc>
          <w:tcPr>
            <w:tcW w:w="1182" w:type="dxa"/>
            <w:hideMark/>
          </w:tcPr>
          <w:p w:rsidR="00254413" w:rsidRPr="006A07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682</w:t>
            </w:r>
          </w:p>
        </w:tc>
        <w:tc>
          <w:tcPr>
            <w:tcW w:w="1214" w:type="dxa"/>
          </w:tcPr>
          <w:p w:rsidR="00254413" w:rsidRPr="00D60489" w:rsidRDefault="00254413" w:rsidP="00D60489">
            <w:pPr>
              <w:pStyle w:val="Table-bodytext"/>
              <w:spacing w:beforeLines="20" w:before="48" w:after="0"/>
              <w:ind w:right="136"/>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60489">
              <w:rPr>
                <w:rFonts w:ascii="Arial" w:hAnsi="Arial" w:cs="Arial"/>
                <w:lang w:val="en-US" w:eastAsia="en-US"/>
              </w:rPr>
              <w:t>1772</w:t>
            </w:r>
          </w:p>
        </w:tc>
      </w:tr>
      <w:tr w:rsidR="00254413" w:rsidRPr="006A074F" w:rsidTr="00D60489">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9BBB59" w:themeColor="accent3"/>
              <w:bottom w:val="single" w:sz="8" w:space="0" w:color="9BBB59" w:themeColor="accent3"/>
              <w:right w:val="single" w:sz="8" w:space="0" w:color="9BBB59" w:themeColor="accent3"/>
            </w:tcBorders>
            <w:hideMark/>
          </w:tcPr>
          <w:p w:rsidR="00254413" w:rsidRPr="00D001CB" w:rsidRDefault="00254413" w:rsidP="00FD3BAC">
            <w:pPr>
              <w:spacing w:beforeLines="20" w:before="48"/>
              <w:rPr>
                <w:rFonts w:eastAsiaTheme="minorHAnsi" w:cs="Arial"/>
                <w:bCs w:val="0"/>
                <w:sz w:val="20"/>
                <w:szCs w:val="20"/>
                <w:lang w:val="en-US" w:eastAsia="en-US"/>
              </w:rPr>
            </w:pPr>
          </w:p>
        </w:tc>
        <w:tc>
          <w:tcPr>
            <w:tcW w:w="20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hideMark/>
          </w:tcPr>
          <w:p w:rsidR="00254413" w:rsidRPr="006A074F" w:rsidRDefault="00254413" w:rsidP="00FD3BAC">
            <w:pPr>
              <w:pStyle w:val="Table-bodytext"/>
              <w:spacing w:beforeLines="20" w:before="48" w:after="0"/>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 xml:space="preserve">Colonoscopies completed </w:t>
            </w:r>
            <w:r w:rsidRPr="002F62F5">
              <w:rPr>
                <w:rFonts w:ascii="Arial" w:hAnsi="Arial" w:cs="Arial"/>
                <w:lang w:val="en-US" w:eastAsia="en-US"/>
              </w:rPr>
              <w:t>(‘temporary increased capacity’)</w:t>
            </w:r>
          </w:p>
        </w:tc>
        <w:tc>
          <w:tcPr>
            <w:tcW w:w="1119" w:type="dxa"/>
            <w:tcBorders>
              <w:left w:val="single" w:sz="8" w:space="0" w:color="9BBB59" w:themeColor="accent3"/>
            </w:tcBorders>
            <w:hideMark/>
          </w:tcPr>
          <w:p w:rsidR="00254413" w:rsidRPr="006A07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0</w:t>
            </w:r>
          </w:p>
        </w:tc>
        <w:tc>
          <w:tcPr>
            <w:tcW w:w="1119" w:type="dxa"/>
            <w:hideMark/>
          </w:tcPr>
          <w:p w:rsidR="00254413" w:rsidRPr="006A07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86</w:t>
            </w:r>
          </w:p>
        </w:tc>
        <w:tc>
          <w:tcPr>
            <w:tcW w:w="998" w:type="dxa"/>
            <w:hideMark/>
          </w:tcPr>
          <w:p w:rsidR="00254413" w:rsidRPr="006A07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279</w:t>
            </w:r>
          </w:p>
        </w:tc>
        <w:tc>
          <w:tcPr>
            <w:tcW w:w="1182" w:type="dxa"/>
            <w:hideMark/>
          </w:tcPr>
          <w:p w:rsidR="00254413" w:rsidRPr="006A07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6A074F">
              <w:rPr>
                <w:rFonts w:ascii="Arial" w:hAnsi="Arial" w:cs="Arial"/>
                <w:lang w:val="en-US" w:eastAsia="en-US"/>
              </w:rPr>
              <w:t>64</w:t>
            </w:r>
          </w:p>
        </w:tc>
        <w:tc>
          <w:tcPr>
            <w:tcW w:w="1214" w:type="dxa"/>
          </w:tcPr>
          <w:p w:rsidR="00254413" w:rsidRPr="00D60489" w:rsidRDefault="00254413" w:rsidP="00D60489">
            <w:pPr>
              <w:pStyle w:val="Table-bodytext"/>
              <w:spacing w:beforeLines="20" w:before="48" w:after="0"/>
              <w:ind w:right="136"/>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60489">
              <w:rPr>
                <w:rFonts w:ascii="Arial" w:hAnsi="Arial" w:cs="Arial"/>
                <w:lang w:val="en-US" w:eastAsia="en-US"/>
              </w:rPr>
              <w:t>429</w:t>
            </w:r>
          </w:p>
        </w:tc>
      </w:tr>
      <w:tr w:rsidR="00254413" w:rsidRPr="006A074F" w:rsidTr="00D6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9BBB59" w:themeColor="accent3"/>
            </w:tcBorders>
            <w:hideMark/>
          </w:tcPr>
          <w:p w:rsidR="00254413" w:rsidRPr="00D001CB" w:rsidRDefault="00254413" w:rsidP="00FD3BAC">
            <w:pPr>
              <w:spacing w:beforeLines="20" w:before="48"/>
              <w:rPr>
                <w:rFonts w:eastAsiaTheme="minorHAnsi" w:cs="Arial"/>
                <w:bCs w:val="0"/>
                <w:sz w:val="20"/>
                <w:szCs w:val="20"/>
                <w:lang w:val="en-US" w:eastAsia="en-US"/>
              </w:rPr>
            </w:pPr>
          </w:p>
        </w:tc>
        <w:tc>
          <w:tcPr>
            <w:tcW w:w="2031" w:type="dxa"/>
            <w:tcBorders>
              <w:left w:val="single" w:sz="8" w:space="0" w:color="9BBB59" w:themeColor="accent3"/>
              <w:right w:val="single" w:sz="8" w:space="0" w:color="9BBB59" w:themeColor="accent3"/>
            </w:tcBorders>
            <w:hideMark/>
          </w:tcPr>
          <w:p w:rsidR="00254413" w:rsidRPr="00D85C4F" w:rsidRDefault="00254413" w:rsidP="00FD3BAC">
            <w:pPr>
              <w:pStyle w:val="Table-bodytext"/>
              <w:spacing w:beforeLines="20" w:before="48" w:after="0"/>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85C4F">
              <w:rPr>
                <w:rFonts w:ascii="Arial" w:hAnsi="Arial" w:cs="Arial"/>
                <w:lang w:val="en-US" w:eastAsia="en-US"/>
              </w:rPr>
              <w:t>Colonoscopy under general anaesthetic</w:t>
            </w:r>
            <w:r w:rsidRPr="00D85C4F">
              <w:rPr>
                <w:lang w:val="en-US"/>
              </w:rPr>
              <w:t xml:space="preserve"> *</w:t>
            </w:r>
          </w:p>
        </w:tc>
        <w:tc>
          <w:tcPr>
            <w:tcW w:w="1119" w:type="dxa"/>
            <w:tcBorders>
              <w:left w:val="single" w:sz="8" w:space="0" w:color="9BBB59" w:themeColor="accent3"/>
            </w:tcBorders>
            <w:hideMark/>
          </w:tcPr>
          <w:p w:rsidR="00254413" w:rsidRPr="00D85C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i/>
                <w:iCs/>
                <w:lang w:val="en-US" w:eastAsia="en-US"/>
              </w:rPr>
            </w:pPr>
            <w:r w:rsidRPr="00D85C4F">
              <w:rPr>
                <w:rFonts w:ascii="Arial" w:hAnsi="Arial" w:cs="Arial"/>
                <w:i/>
                <w:iCs/>
                <w:lang w:val="en-US" w:eastAsia="en-US"/>
              </w:rPr>
              <w:t>3</w:t>
            </w:r>
          </w:p>
          <w:p w:rsidR="00254413" w:rsidRPr="00D85C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85C4F">
              <w:rPr>
                <w:rFonts w:ascii="Arial" w:hAnsi="Arial" w:cs="Arial"/>
                <w:i/>
                <w:iCs/>
                <w:lang w:val="en-US" w:eastAsia="en-US"/>
              </w:rPr>
              <w:t>estimate</w:t>
            </w:r>
          </w:p>
        </w:tc>
        <w:tc>
          <w:tcPr>
            <w:tcW w:w="1119" w:type="dxa"/>
            <w:hideMark/>
          </w:tcPr>
          <w:p w:rsidR="00254413" w:rsidRPr="00D85C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85C4F">
              <w:rPr>
                <w:rFonts w:ascii="Arial" w:hAnsi="Arial" w:cs="Arial"/>
                <w:lang w:val="en-US" w:eastAsia="en-US"/>
              </w:rPr>
              <w:t>4</w:t>
            </w:r>
          </w:p>
        </w:tc>
        <w:tc>
          <w:tcPr>
            <w:tcW w:w="998" w:type="dxa"/>
            <w:hideMark/>
          </w:tcPr>
          <w:p w:rsidR="00254413" w:rsidRPr="00D85C4F"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85C4F">
              <w:rPr>
                <w:rFonts w:ascii="Arial" w:hAnsi="Arial" w:cs="Arial"/>
                <w:lang w:val="en-US" w:eastAsia="en-US"/>
              </w:rPr>
              <w:t>2</w:t>
            </w:r>
          </w:p>
        </w:tc>
        <w:tc>
          <w:tcPr>
            <w:tcW w:w="1182" w:type="dxa"/>
            <w:hideMark/>
          </w:tcPr>
          <w:p w:rsidR="00254413" w:rsidRPr="00D85C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i/>
                <w:iCs/>
                <w:lang w:val="en-US" w:eastAsia="en-US"/>
              </w:rPr>
            </w:pPr>
            <w:r w:rsidRPr="00D85C4F">
              <w:rPr>
                <w:rFonts w:ascii="Arial" w:hAnsi="Arial" w:cs="Arial"/>
                <w:i/>
                <w:iCs/>
                <w:lang w:val="en-US" w:eastAsia="en-US"/>
              </w:rPr>
              <w:t>3</w:t>
            </w:r>
          </w:p>
          <w:p w:rsidR="00254413" w:rsidRPr="00D85C4F"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85C4F">
              <w:rPr>
                <w:rFonts w:ascii="Arial" w:hAnsi="Arial" w:cs="Arial"/>
                <w:i/>
                <w:iCs/>
                <w:lang w:val="en-US" w:eastAsia="en-US"/>
              </w:rPr>
              <w:t>estimate</w:t>
            </w:r>
          </w:p>
        </w:tc>
        <w:tc>
          <w:tcPr>
            <w:tcW w:w="1214" w:type="dxa"/>
          </w:tcPr>
          <w:p w:rsidR="00254413" w:rsidRPr="00D85C4F" w:rsidRDefault="00254413" w:rsidP="00D60489">
            <w:pPr>
              <w:pStyle w:val="Table-bodytext"/>
              <w:spacing w:beforeLines="20" w:before="48" w:after="0"/>
              <w:ind w:right="136"/>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D85C4F">
              <w:rPr>
                <w:rFonts w:ascii="Arial" w:hAnsi="Arial" w:cs="Arial"/>
                <w:lang w:val="en-US" w:eastAsia="en-US"/>
              </w:rPr>
              <w:t>12</w:t>
            </w:r>
          </w:p>
        </w:tc>
      </w:tr>
      <w:tr w:rsidR="00254413" w:rsidRPr="006A074F" w:rsidTr="00D60489">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9BBB59" w:themeColor="accent3"/>
              <w:bottom w:val="single" w:sz="8" w:space="0" w:color="9BBB59" w:themeColor="accent3"/>
              <w:right w:val="single" w:sz="8" w:space="0" w:color="9BBB59" w:themeColor="accent3"/>
            </w:tcBorders>
            <w:hideMark/>
          </w:tcPr>
          <w:p w:rsidR="00254413" w:rsidRPr="00D001CB" w:rsidRDefault="00254413" w:rsidP="00FD3BAC">
            <w:pPr>
              <w:spacing w:beforeLines="20" w:before="48"/>
              <w:rPr>
                <w:rFonts w:eastAsiaTheme="minorHAnsi" w:cs="Arial"/>
                <w:bCs w:val="0"/>
                <w:sz w:val="20"/>
                <w:szCs w:val="20"/>
                <w:lang w:val="en-US" w:eastAsia="en-US"/>
              </w:rPr>
            </w:pPr>
          </w:p>
        </w:tc>
        <w:tc>
          <w:tcPr>
            <w:tcW w:w="20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hideMark/>
          </w:tcPr>
          <w:p w:rsidR="00254413" w:rsidRPr="00D85C4F" w:rsidRDefault="00254413" w:rsidP="002F62F5">
            <w:pPr>
              <w:pStyle w:val="Table-bodytext"/>
              <w:spacing w:beforeLines="20" w:before="48" w:after="0"/>
              <w:cnfStyle w:val="000000000000" w:firstRow="0" w:lastRow="0" w:firstColumn="0" w:lastColumn="0" w:oddVBand="0" w:evenVBand="0" w:oddHBand="0" w:evenHBand="0" w:firstRowFirstColumn="0" w:firstRowLastColumn="0" w:lastRowFirstColumn="0" w:lastRowLastColumn="0"/>
              <w:rPr>
                <w:rFonts w:ascii="Arial" w:hAnsi="Arial" w:cs="Arial"/>
                <w:b/>
                <w:bCs/>
                <w:color w:val="7B5E05"/>
                <w:lang w:val="en-US" w:eastAsia="en-US"/>
              </w:rPr>
            </w:pPr>
            <w:r w:rsidRPr="00D85C4F">
              <w:rPr>
                <w:rFonts w:ascii="Arial" w:hAnsi="Arial" w:cs="Arial"/>
                <w:lang w:val="en-US" w:eastAsia="en-US"/>
              </w:rPr>
              <w:t>CTC  instead of colonoscopy</w:t>
            </w:r>
          </w:p>
        </w:tc>
        <w:tc>
          <w:tcPr>
            <w:tcW w:w="1119" w:type="dxa"/>
            <w:tcBorders>
              <w:left w:val="single" w:sz="8" w:space="0" w:color="9BBB59" w:themeColor="accent3"/>
            </w:tcBorders>
            <w:hideMark/>
          </w:tcPr>
          <w:p w:rsidR="00254413" w:rsidRPr="00D85C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i/>
                <w:iCs/>
                <w:lang w:val="en-US" w:eastAsia="en-US"/>
              </w:rPr>
            </w:pPr>
            <w:r w:rsidRPr="00D85C4F">
              <w:rPr>
                <w:rFonts w:ascii="Arial" w:hAnsi="Arial" w:cs="Arial"/>
                <w:i/>
                <w:iCs/>
                <w:lang w:val="en-US" w:eastAsia="en-US"/>
              </w:rPr>
              <w:t>7</w:t>
            </w:r>
          </w:p>
          <w:p w:rsidR="00254413" w:rsidRPr="00D85C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85C4F">
              <w:rPr>
                <w:rFonts w:ascii="Arial" w:hAnsi="Arial" w:cs="Arial"/>
                <w:i/>
                <w:iCs/>
                <w:lang w:val="en-US" w:eastAsia="en-US"/>
              </w:rPr>
              <w:t>estimate</w:t>
            </w:r>
          </w:p>
        </w:tc>
        <w:tc>
          <w:tcPr>
            <w:tcW w:w="1119" w:type="dxa"/>
            <w:hideMark/>
          </w:tcPr>
          <w:p w:rsidR="00254413" w:rsidRPr="00D85C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85C4F">
              <w:rPr>
                <w:rFonts w:ascii="Arial" w:hAnsi="Arial" w:cs="Arial"/>
                <w:lang w:val="en-US" w:eastAsia="en-US"/>
              </w:rPr>
              <w:t>11</w:t>
            </w:r>
          </w:p>
        </w:tc>
        <w:tc>
          <w:tcPr>
            <w:tcW w:w="998" w:type="dxa"/>
            <w:hideMark/>
          </w:tcPr>
          <w:p w:rsidR="00254413" w:rsidRPr="00D85C4F" w:rsidRDefault="00254413" w:rsidP="00FD3BAC">
            <w:pPr>
              <w:pStyle w:val="Table-bodytext"/>
              <w:spacing w:beforeLines="20" w:before="48" w:after="0"/>
              <w:ind w:right="164"/>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85C4F">
              <w:rPr>
                <w:rFonts w:ascii="Arial" w:hAnsi="Arial" w:cs="Arial"/>
                <w:lang w:val="en-US" w:eastAsia="en-US"/>
              </w:rPr>
              <w:t>23</w:t>
            </w:r>
          </w:p>
        </w:tc>
        <w:tc>
          <w:tcPr>
            <w:tcW w:w="1182" w:type="dxa"/>
            <w:hideMark/>
          </w:tcPr>
          <w:p w:rsidR="00254413" w:rsidRPr="00D85C4F" w:rsidRDefault="00254413" w:rsidP="00FD3BAC">
            <w:pPr>
              <w:pStyle w:val="Table-bodytext"/>
              <w:spacing w:beforeLines="20" w:before="48" w:after="0"/>
              <w:ind w:right="136"/>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85C4F">
              <w:rPr>
                <w:rFonts w:ascii="Arial" w:hAnsi="Arial" w:cs="Arial"/>
                <w:iCs/>
                <w:lang w:val="en-US" w:eastAsia="en-US"/>
              </w:rPr>
              <w:t>12</w:t>
            </w:r>
          </w:p>
        </w:tc>
        <w:tc>
          <w:tcPr>
            <w:tcW w:w="1214" w:type="dxa"/>
          </w:tcPr>
          <w:p w:rsidR="00254413" w:rsidRPr="00D85C4F" w:rsidRDefault="00254413" w:rsidP="00D60489">
            <w:pPr>
              <w:pStyle w:val="Table-bodytext"/>
              <w:spacing w:beforeLines="20" w:before="48" w:after="0"/>
              <w:ind w:right="136"/>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eastAsia="en-US"/>
              </w:rPr>
            </w:pPr>
            <w:r w:rsidRPr="00D85C4F">
              <w:rPr>
                <w:rFonts w:ascii="Arial" w:hAnsi="Arial" w:cs="Arial"/>
                <w:lang w:val="en-US" w:eastAsia="en-US"/>
              </w:rPr>
              <w:t>53</w:t>
            </w:r>
          </w:p>
        </w:tc>
      </w:tr>
      <w:tr w:rsidR="00254413" w:rsidRPr="006A074F" w:rsidTr="00D6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single" w:sz="8" w:space="0" w:color="9BBB59" w:themeColor="accent3"/>
            </w:tcBorders>
            <w:hideMark/>
          </w:tcPr>
          <w:p w:rsidR="00254413" w:rsidRPr="00D001CB" w:rsidRDefault="00254413" w:rsidP="00FD3BAC">
            <w:pPr>
              <w:pStyle w:val="Table-bodytext"/>
              <w:spacing w:beforeLines="20" w:before="48" w:after="0"/>
              <w:rPr>
                <w:rFonts w:ascii="Arial" w:hAnsi="Arial" w:cs="Arial"/>
                <w:bCs w:val="0"/>
                <w:lang w:val="en-US" w:eastAsia="en-US"/>
              </w:rPr>
            </w:pPr>
            <w:r w:rsidRPr="00D001CB">
              <w:rPr>
                <w:rFonts w:ascii="Arial" w:hAnsi="Arial" w:cs="Arial"/>
                <w:lang w:val="en-US" w:eastAsia="en-US"/>
              </w:rPr>
              <w:t xml:space="preserve">Histology </w:t>
            </w:r>
          </w:p>
        </w:tc>
        <w:tc>
          <w:tcPr>
            <w:tcW w:w="2031" w:type="dxa"/>
            <w:tcBorders>
              <w:left w:val="single" w:sz="8" w:space="0" w:color="9BBB59" w:themeColor="accent3"/>
              <w:right w:val="single" w:sz="8" w:space="0" w:color="9BBB59" w:themeColor="accent3"/>
            </w:tcBorders>
            <w:hideMark/>
          </w:tcPr>
          <w:p w:rsidR="00254413" w:rsidRPr="006A074F" w:rsidRDefault="00254413" w:rsidP="00FD3BAC">
            <w:pPr>
              <w:pStyle w:val="Table-bodytext"/>
              <w:spacing w:beforeLines="20" w:before="48" w:after="0"/>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6A074F">
              <w:rPr>
                <w:rFonts w:ascii="Arial" w:hAnsi="Arial" w:cs="Arial"/>
                <w:lang w:val="en-US" w:eastAsia="en-US"/>
              </w:rPr>
              <w:t>Histology conducted as a result of colonoscopy</w:t>
            </w:r>
          </w:p>
        </w:tc>
        <w:tc>
          <w:tcPr>
            <w:tcW w:w="1119" w:type="dxa"/>
            <w:tcBorders>
              <w:left w:val="single" w:sz="8" w:space="0" w:color="9BBB59" w:themeColor="accent3"/>
            </w:tcBorders>
            <w:hideMark/>
          </w:tcPr>
          <w:p w:rsidR="00254413" w:rsidRPr="00C769A0" w:rsidRDefault="00254413" w:rsidP="00C769A0">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iCs/>
                <w:lang w:val="en-US" w:eastAsia="en-US"/>
              </w:rPr>
            </w:pPr>
            <w:r w:rsidRPr="00C769A0">
              <w:rPr>
                <w:rFonts w:ascii="Arial" w:hAnsi="Arial" w:cs="Arial"/>
                <w:iCs/>
                <w:lang w:val="en-US" w:eastAsia="en-US"/>
              </w:rPr>
              <w:t>368</w:t>
            </w:r>
          </w:p>
        </w:tc>
        <w:tc>
          <w:tcPr>
            <w:tcW w:w="1119" w:type="dxa"/>
            <w:hideMark/>
          </w:tcPr>
          <w:p w:rsidR="00254413" w:rsidRPr="00C769A0"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C769A0">
              <w:rPr>
                <w:rFonts w:ascii="Arial" w:hAnsi="Arial" w:cs="Arial"/>
                <w:lang w:val="en-US" w:eastAsia="en-US"/>
              </w:rPr>
              <w:t>763</w:t>
            </w:r>
          </w:p>
        </w:tc>
        <w:tc>
          <w:tcPr>
            <w:tcW w:w="998" w:type="dxa"/>
            <w:hideMark/>
          </w:tcPr>
          <w:p w:rsidR="00254413" w:rsidRPr="00C769A0" w:rsidRDefault="00254413" w:rsidP="00FD3BAC">
            <w:pPr>
              <w:pStyle w:val="Table-bodytext"/>
              <w:spacing w:beforeLines="20" w:before="48" w:after="0"/>
              <w:ind w:right="164"/>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7B5E05"/>
                <w:lang w:val="en-US" w:eastAsia="en-US"/>
              </w:rPr>
            </w:pPr>
            <w:r w:rsidRPr="00C769A0">
              <w:rPr>
                <w:rFonts w:ascii="Arial" w:hAnsi="Arial" w:cs="Arial"/>
                <w:lang w:val="en-US" w:eastAsia="en-US"/>
              </w:rPr>
              <w:t>855</w:t>
            </w:r>
          </w:p>
        </w:tc>
        <w:tc>
          <w:tcPr>
            <w:tcW w:w="1182" w:type="dxa"/>
            <w:hideMark/>
          </w:tcPr>
          <w:p w:rsidR="00254413" w:rsidRPr="00C769A0" w:rsidRDefault="00254413" w:rsidP="00FD3BAC">
            <w:pPr>
              <w:pStyle w:val="Table-bodytext"/>
              <w:spacing w:beforeLines="20" w:before="48" w:after="0"/>
              <w:ind w:right="136"/>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C769A0">
              <w:rPr>
                <w:rFonts w:ascii="Arial" w:hAnsi="Arial" w:cs="Arial"/>
                <w:iCs/>
                <w:lang w:val="en-US" w:eastAsia="en-US"/>
              </w:rPr>
              <w:t>949</w:t>
            </w:r>
          </w:p>
        </w:tc>
        <w:tc>
          <w:tcPr>
            <w:tcW w:w="1214" w:type="dxa"/>
          </w:tcPr>
          <w:p w:rsidR="00254413" w:rsidRPr="00C769A0" w:rsidRDefault="00254413" w:rsidP="00C769A0">
            <w:pPr>
              <w:pStyle w:val="Table-bodytext"/>
              <w:spacing w:beforeLines="20" w:before="48" w:after="0"/>
              <w:ind w:right="136"/>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eastAsia="en-US"/>
              </w:rPr>
            </w:pPr>
            <w:r w:rsidRPr="00C769A0">
              <w:rPr>
                <w:rFonts w:ascii="Arial" w:hAnsi="Arial" w:cs="Arial"/>
                <w:lang w:val="en-US" w:eastAsia="en-US"/>
              </w:rPr>
              <w:t>2953</w:t>
            </w:r>
          </w:p>
        </w:tc>
      </w:tr>
    </w:tbl>
    <w:p w:rsidR="001134E4" w:rsidRDefault="002F62F5" w:rsidP="002F62F5">
      <w:pPr>
        <w:rPr>
          <w:sz w:val="18"/>
          <w:szCs w:val="18"/>
        </w:rPr>
      </w:pPr>
      <w:r>
        <w:rPr>
          <w:sz w:val="18"/>
          <w:szCs w:val="18"/>
        </w:rPr>
        <w:t xml:space="preserve">Data sourced from: </w:t>
      </w:r>
      <w:r w:rsidR="00C50739">
        <w:rPr>
          <w:sz w:val="18"/>
          <w:szCs w:val="18"/>
        </w:rPr>
        <w:t>WDHB</w:t>
      </w:r>
      <w:r>
        <w:rPr>
          <w:sz w:val="18"/>
          <w:szCs w:val="18"/>
        </w:rPr>
        <w:t xml:space="preserve">, </w:t>
      </w:r>
      <w:r w:rsidR="009E39AE">
        <w:rPr>
          <w:sz w:val="18"/>
          <w:szCs w:val="18"/>
        </w:rPr>
        <w:t>BSP</w:t>
      </w:r>
      <w:r>
        <w:rPr>
          <w:sz w:val="18"/>
          <w:szCs w:val="18"/>
        </w:rPr>
        <w:t xml:space="preserve"> Biannual Reports to Ministry of Health.  (Items annotated with * are supplementary data provided to Sapere directly from the pilot</w:t>
      </w:r>
      <w:r w:rsidR="001134E4">
        <w:rPr>
          <w:sz w:val="18"/>
        </w:rPr>
        <w:t>).</w:t>
      </w:r>
    </w:p>
    <w:p w:rsidR="00C64BB5" w:rsidRPr="00013EBE" w:rsidRDefault="00C64BB5" w:rsidP="009433F2">
      <w:pPr>
        <w:rPr>
          <w:sz w:val="18"/>
        </w:rPr>
      </w:pPr>
      <w:r w:rsidRPr="00FE062B">
        <w:rPr>
          <w:sz w:val="18"/>
        </w:rPr>
        <w:t xml:space="preserve">Table </w:t>
      </w:r>
      <w:r w:rsidR="0097166A">
        <w:rPr>
          <w:sz w:val="18"/>
        </w:rPr>
        <w:t>9</w:t>
      </w:r>
      <w:r w:rsidRPr="00FE062B">
        <w:rPr>
          <w:sz w:val="18"/>
        </w:rPr>
        <w:t xml:space="preserve"> is based on dynamic time based volumes therefore the numbers do not add sequentially.</w:t>
      </w:r>
    </w:p>
    <w:p w:rsidR="001D2447" w:rsidRDefault="001D2447">
      <w:pPr>
        <w:spacing w:before="0"/>
        <w:ind w:left="0"/>
        <w:rPr>
          <w:b/>
          <w:i/>
          <w:sz w:val="24"/>
          <w:szCs w:val="24"/>
        </w:rPr>
      </w:pPr>
      <w:r>
        <w:br w:type="page"/>
      </w:r>
    </w:p>
    <w:p w:rsidR="009F5C99" w:rsidRDefault="009F5C99" w:rsidP="009F5C99">
      <w:pPr>
        <w:pStyle w:val="Heading3"/>
      </w:pPr>
      <w:r>
        <w:lastRenderedPageBreak/>
        <w:t xml:space="preserve">Identification, pre-invitation and </w:t>
      </w:r>
      <w:r w:rsidRPr="00A077B6">
        <w:t xml:space="preserve">invitation </w:t>
      </w:r>
    </w:p>
    <w:p w:rsidR="000B6FE9" w:rsidRDefault="00464AD4" w:rsidP="000B6FE9">
      <w:pPr>
        <w:rPr>
          <w:lang w:eastAsia="ar-SA"/>
        </w:rPr>
      </w:pPr>
      <w:r>
        <w:t>In the first 18 months, the BSP Coordination</w:t>
      </w:r>
      <w:r w:rsidR="000B6FE9">
        <w:t xml:space="preserve"> Centre undertook</w:t>
      </w:r>
      <w:r>
        <w:t xml:space="preserve"> the distribution of the pre-invitation </w:t>
      </w:r>
      <w:r w:rsidR="000B6FE9">
        <w:t xml:space="preserve">and invitation letters.  Review of the </w:t>
      </w:r>
      <w:r w:rsidR="000B6FE9">
        <w:rPr>
          <w:lang w:eastAsia="ar-SA"/>
        </w:rPr>
        <w:t>internal mail out process found it inefficient due to the lack of appropriate printers, collation and mail out equipment and the physical layout of the BSP Coordination Centre</w:t>
      </w:r>
      <w:r w:rsidR="004C1731">
        <w:rPr>
          <w:lang w:eastAsia="ar-SA"/>
        </w:rPr>
        <w:t xml:space="preserve"> (Litmus 2013a)</w:t>
      </w:r>
      <w:r w:rsidR="000B6FE9">
        <w:rPr>
          <w:lang w:eastAsia="ar-SA"/>
        </w:rPr>
        <w:t xml:space="preserve">.  </w:t>
      </w:r>
    </w:p>
    <w:p w:rsidR="00144613" w:rsidRDefault="00144613" w:rsidP="000B6FE9">
      <w:pPr>
        <w:rPr>
          <w:lang w:eastAsia="ar-SA"/>
        </w:rPr>
      </w:pPr>
      <w:r>
        <w:rPr>
          <w:lang w:eastAsia="ar-SA"/>
        </w:rPr>
        <w:t xml:space="preserve">In 2013, the BSP </w:t>
      </w:r>
      <w:r w:rsidR="00461122">
        <w:t xml:space="preserve">Coordination Centre </w:t>
      </w:r>
      <w:r>
        <w:rPr>
          <w:lang w:eastAsia="ar-SA"/>
        </w:rPr>
        <w:t>is trialling the outsourcing of the p</w:t>
      </w:r>
      <w:r w:rsidR="000B6FE9">
        <w:rPr>
          <w:lang w:eastAsia="ar-SA"/>
        </w:rPr>
        <w:t xml:space="preserve">re-invitation letter mail out. </w:t>
      </w:r>
      <w:r>
        <w:rPr>
          <w:lang w:eastAsia="ar-SA"/>
        </w:rPr>
        <w:t xml:space="preserve">If this outsourcing is assessed as working well, the kit, reminder letters and negative result letter will also be outsourced to gain efficiencies in administrative processes.  </w:t>
      </w:r>
    </w:p>
    <w:p w:rsidR="006A074F" w:rsidRDefault="006A074F" w:rsidP="006A074F">
      <w:pPr>
        <w:pStyle w:val="Heading3"/>
      </w:pPr>
      <w:proofErr w:type="gramStart"/>
      <w:r w:rsidRPr="00A077B6">
        <w:t>iFOBT</w:t>
      </w:r>
      <w:proofErr w:type="gramEnd"/>
      <w:r w:rsidRPr="00A077B6">
        <w:t xml:space="preserve"> test results</w:t>
      </w:r>
      <w:r>
        <w:t xml:space="preserve"> – </w:t>
      </w:r>
      <w:r w:rsidR="00621D8F">
        <w:t xml:space="preserve">incorrectly completed kits </w:t>
      </w:r>
      <w:r>
        <w:t xml:space="preserve">and expired kits </w:t>
      </w:r>
    </w:p>
    <w:p w:rsidR="000B6FE9" w:rsidRPr="000B6FE9" w:rsidRDefault="000B6FE9" w:rsidP="000B6FE9">
      <w:r>
        <w:t xml:space="preserve">In 2012 and 2013, the receipt of </w:t>
      </w:r>
      <w:r w:rsidR="004C1731">
        <w:t>incorrectly completed kits</w:t>
      </w:r>
      <w:r>
        <w:t xml:space="preserve"> and completed kits after their expired date w</w:t>
      </w:r>
      <w:r w:rsidR="00461122">
        <w:t>ere</w:t>
      </w:r>
      <w:r>
        <w:t xml:space="preserve"> identified as issue</w:t>
      </w:r>
      <w:r w:rsidR="00461122">
        <w:t>s</w:t>
      </w:r>
      <w:r>
        <w:t xml:space="preserve">. </w:t>
      </w:r>
    </w:p>
    <w:p w:rsidR="000B6FE9" w:rsidRPr="000B6FE9" w:rsidRDefault="006A074F" w:rsidP="000B6FE9">
      <w:pPr>
        <w:pStyle w:val="Heading4"/>
      </w:pPr>
      <w:r w:rsidRPr="000B6FE9">
        <w:t>Managing in</w:t>
      </w:r>
      <w:r w:rsidR="000B6FE9" w:rsidRPr="000B6FE9">
        <w:t>correctly completed iFOBT kits</w:t>
      </w:r>
    </w:p>
    <w:p w:rsidR="000B6FE9" w:rsidRDefault="006A074F" w:rsidP="00C956D0">
      <w:r w:rsidRPr="005B025D">
        <w:t>In 2013, an estimated 1</w:t>
      </w:r>
      <w:r w:rsidR="0062215F" w:rsidRPr="005B025D">
        <w:t>7</w:t>
      </w:r>
      <w:r w:rsidRPr="005B025D">
        <w:t>% of iFOBT kits were not completed correctly the first</w:t>
      </w:r>
      <w:r w:rsidRPr="00B035B4">
        <w:t xml:space="preserve"> time they </w:t>
      </w:r>
      <w:r w:rsidR="00762449">
        <w:t>were</w:t>
      </w:r>
      <w:r w:rsidR="00762449" w:rsidRPr="00B035B4">
        <w:t xml:space="preserve"> </w:t>
      </w:r>
      <w:r w:rsidRPr="00B035B4">
        <w:t>returned</w:t>
      </w:r>
      <w:r w:rsidR="005B025D">
        <w:t xml:space="preserve"> (Read et al 2014)</w:t>
      </w:r>
      <w:r w:rsidR="00B0495C">
        <w:t>,</w:t>
      </w:r>
      <w:r w:rsidRPr="00B035B4">
        <w:t xml:space="preserve"> mainly </w:t>
      </w:r>
      <w:r>
        <w:t xml:space="preserve">due </w:t>
      </w:r>
      <w:r w:rsidRPr="00B035B4">
        <w:t xml:space="preserve">to </w:t>
      </w:r>
      <w:r>
        <w:t>supporting paperwork being incorrectly completed</w:t>
      </w:r>
      <w:r w:rsidR="00621D8F">
        <w:t xml:space="preserve"> (Litmus 2013a and 2014)</w:t>
      </w:r>
      <w:r w:rsidRPr="00B035B4">
        <w:t xml:space="preserve">.  </w:t>
      </w:r>
      <w:r>
        <w:t>M</w:t>
      </w:r>
      <w:r w:rsidRPr="003028CC">
        <w:t>ost of these people went on to complete a kit correctly, once another kit was sent to them</w:t>
      </w:r>
      <w:r>
        <w:t xml:space="preserve"> together with a letter explaining the error.  M</w:t>
      </w:r>
      <w:r w:rsidRPr="006A074F">
        <w:t>ā</w:t>
      </w:r>
      <w:r>
        <w:t>ori, Pacific and Korean participants receive</w:t>
      </w:r>
      <w:r w:rsidR="00FE062B">
        <w:t>d</w:t>
      </w:r>
      <w:r>
        <w:t xml:space="preserve"> a phone call to di</w:t>
      </w:r>
      <w:r w:rsidR="00FE062B">
        <w:t>scuss the error before the kit wa</w:t>
      </w:r>
      <w:r>
        <w:t xml:space="preserve">s sent.  </w:t>
      </w:r>
    </w:p>
    <w:p w:rsidR="006A074F" w:rsidRDefault="00621D8F" w:rsidP="00C956D0">
      <w:r>
        <w:t>S</w:t>
      </w:r>
      <w:r w:rsidR="006A074F">
        <w:t xml:space="preserve">implified and more pictorial kit instructions and revisions to the consent form </w:t>
      </w:r>
      <w:r>
        <w:t>were introduced in late 2013</w:t>
      </w:r>
      <w:r w:rsidR="006A074F">
        <w:t xml:space="preserve"> to increase the number of kits completed correctly first time.  The impact of the revised documents on correct completion wi</w:t>
      </w:r>
      <w:r>
        <w:t>ll not be known until late 2014.</w:t>
      </w:r>
    </w:p>
    <w:p w:rsidR="000B6FE9" w:rsidRPr="000B6FE9" w:rsidRDefault="006A074F" w:rsidP="000B6FE9">
      <w:pPr>
        <w:pStyle w:val="Heading4"/>
      </w:pPr>
      <w:r w:rsidRPr="000B6FE9">
        <w:t>Management of completed samp</w:t>
      </w:r>
      <w:r w:rsidR="000B6FE9" w:rsidRPr="000B6FE9">
        <w:t>les using an expired iFOBT kit</w:t>
      </w:r>
    </w:p>
    <w:p w:rsidR="006A074F" w:rsidRDefault="006A074F" w:rsidP="00C956D0">
      <w:r w:rsidRPr="006E3075">
        <w:t xml:space="preserve">By 10 December 2013, 72 completed iFOBT kits were received that had been completed after the printed expiry date (which is about 0.1% of completed kits).  The Ministry, WDHB, LabPLUS and the supplier worked together to agree the appropriate response to this issue.  Currently, expired kits are identified after they are tested. While this is not failsafe due to the potential for human error, there are fewer risks identifying at this stage than before testing.  </w:t>
      </w:r>
    </w:p>
    <w:p w:rsidR="006A074F" w:rsidRPr="006E3075" w:rsidRDefault="006A074F" w:rsidP="00C956D0">
      <w:r w:rsidRPr="006E3075">
        <w:t xml:space="preserve">At present, participants with positive expired iFOBTs are referred for a colonoscopy, and those with a negative result using an expired iFOBT are asked to repeat the test.  Supply arrangements have been </w:t>
      </w:r>
      <w:r>
        <w:t>change</w:t>
      </w:r>
      <w:r w:rsidRPr="006E3075">
        <w:t xml:space="preserve">d to ensure the maximum possible time before expiry, and participant brochures and pamphlets have been </w:t>
      </w:r>
      <w:r>
        <w:t>updated</w:t>
      </w:r>
      <w:r w:rsidRPr="006E3075">
        <w:t xml:space="preserve"> to encourage prompt completion.  </w:t>
      </w:r>
    </w:p>
    <w:p w:rsidR="00F2682B" w:rsidRDefault="00F2682B" w:rsidP="00F2682B">
      <w:pPr>
        <w:pStyle w:val="Heading3"/>
      </w:pPr>
      <w:proofErr w:type="gramStart"/>
      <w:r w:rsidRPr="00A077B6">
        <w:t>iFOBT</w:t>
      </w:r>
      <w:proofErr w:type="gramEnd"/>
      <w:r w:rsidRPr="00A077B6">
        <w:t xml:space="preserve"> test results</w:t>
      </w:r>
      <w:r>
        <w:t xml:space="preserve"> – laboratory </w:t>
      </w:r>
    </w:p>
    <w:p w:rsidR="00DF3351" w:rsidRPr="00513E67" w:rsidRDefault="00DF3351" w:rsidP="00DF3351">
      <w:r w:rsidRPr="00D059CE">
        <w:rPr>
          <w:lang w:eastAsia="ar-SA"/>
        </w:rPr>
        <w:t xml:space="preserve">WDHB has a </w:t>
      </w:r>
      <w:r>
        <w:rPr>
          <w:lang w:eastAsia="ar-SA"/>
        </w:rPr>
        <w:t>Service Level Agreement</w:t>
      </w:r>
      <w:r w:rsidRPr="00D059CE">
        <w:rPr>
          <w:lang w:eastAsia="ar-SA"/>
        </w:rPr>
        <w:t xml:space="preserve"> with LabPLUS (which is an ADHB service).</w:t>
      </w:r>
      <w:r>
        <w:rPr>
          <w:lang w:eastAsia="ar-SA"/>
        </w:rPr>
        <w:t xml:space="preserve"> </w:t>
      </w:r>
      <w:r w:rsidRPr="00513E67">
        <w:rPr>
          <w:lang w:eastAsia="ar-SA"/>
        </w:rPr>
        <w:t xml:space="preserve">LabPLUS is based in Grafton, central Auckland. </w:t>
      </w:r>
      <w:r>
        <w:rPr>
          <w:lang w:eastAsia="ar-SA"/>
        </w:rPr>
        <w:t xml:space="preserve"> </w:t>
      </w:r>
      <w:r w:rsidRPr="00513E67">
        <w:rPr>
          <w:lang w:eastAsia="ar-SA"/>
        </w:rPr>
        <w:t xml:space="preserve">The </w:t>
      </w:r>
      <w:r>
        <w:rPr>
          <w:lang w:eastAsia="ar-SA"/>
        </w:rPr>
        <w:t xml:space="preserve">LabPLUS </w:t>
      </w:r>
      <w:r w:rsidRPr="00513E67">
        <w:rPr>
          <w:lang w:eastAsia="ar-SA"/>
        </w:rPr>
        <w:t xml:space="preserve">BSP team comprises </w:t>
      </w:r>
      <w:r w:rsidRPr="00513E67">
        <w:t>personnel from the following four areas:</w:t>
      </w:r>
    </w:p>
    <w:p w:rsidR="00DF3351" w:rsidRPr="00D059CE" w:rsidRDefault="00DF3351" w:rsidP="00604AA9">
      <w:pPr>
        <w:pStyle w:val="Bullet"/>
        <w:numPr>
          <w:ilvl w:val="0"/>
          <w:numId w:val="10"/>
        </w:numPr>
        <w:tabs>
          <w:tab w:val="num" w:pos="2126"/>
          <w:tab w:val="num" w:pos="6663"/>
        </w:tabs>
        <w:ind w:left="1069"/>
      </w:pPr>
      <w:r>
        <w:t>Administration</w:t>
      </w:r>
      <w:r w:rsidRPr="00D059CE">
        <w:t>: Business Development Manager, Quality Manager, IT</w:t>
      </w:r>
      <w:r>
        <w:t>.</w:t>
      </w:r>
    </w:p>
    <w:p w:rsidR="00DF3351" w:rsidRPr="00D059CE" w:rsidRDefault="00DF3351" w:rsidP="00604AA9">
      <w:pPr>
        <w:pStyle w:val="Bullet"/>
        <w:numPr>
          <w:ilvl w:val="0"/>
          <w:numId w:val="10"/>
        </w:numPr>
        <w:tabs>
          <w:tab w:val="num" w:pos="2126"/>
          <w:tab w:val="num" w:pos="6663"/>
        </w:tabs>
        <w:ind w:left="1069"/>
      </w:pPr>
      <w:r w:rsidRPr="00D059CE">
        <w:t xml:space="preserve">Automation and Laboratory Support Services (ALSS): </w:t>
      </w:r>
      <w:r>
        <w:t xml:space="preserve"> </w:t>
      </w:r>
      <w:r w:rsidRPr="00D059CE">
        <w:t xml:space="preserve">This team looks after receipt of </w:t>
      </w:r>
      <w:r>
        <w:t xml:space="preserve">iFOBTs </w:t>
      </w:r>
      <w:r w:rsidRPr="00D059CE">
        <w:t xml:space="preserve">and histology samples, </w:t>
      </w:r>
      <w:r>
        <w:t xml:space="preserve">iFOBT </w:t>
      </w:r>
      <w:r w:rsidRPr="00D059CE">
        <w:t>registration and checking</w:t>
      </w:r>
      <w:r>
        <w:t>.  About 20 people are involved in receipt, registration and checking of iFOBTs (on a roster basis).</w:t>
      </w:r>
    </w:p>
    <w:p w:rsidR="00DF3351" w:rsidRPr="00D059CE" w:rsidRDefault="00DF3351" w:rsidP="00604AA9">
      <w:pPr>
        <w:pStyle w:val="Bullet"/>
        <w:numPr>
          <w:ilvl w:val="0"/>
          <w:numId w:val="10"/>
        </w:numPr>
        <w:tabs>
          <w:tab w:val="num" w:pos="2126"/>
          <w:tab w:val="num" w:pos="6663"/>
        </w:tabs>
        <w:ind w:left="1069"/>
      </w:pPr>
      <w:r w:rsidRPr="00D059CE">
        <w:lastRenderedPageBreak/>
        <w:t xml:space="preserve">Specialist Chemical Pathology: </w:t>
      </w:r>
      <w:r>
        <w:t xml:space="preserve"> </w:t>
      </w:r>
      <w:r w:rsidRPr="00D059CE">
        <w:t xml:space="preserve">This team is responsible for </w:t>
      </w:r>
      <w:r>
        <w:t xml:space="preserve">iFOBT </w:t>
      </w:r>
      <w:r w:rsidRPr="00D059CE">
        <w:t>testing and results reporting</w:t>
      </w:r>
      <w:r>
        <w:t>.  About 20 people are trained to do iFOBT testing (two people undertake this role on a day-to-day basis).</w:t>
      </w:r>
    </w:p>
    <w:p w:rsidR="00DF3351" w:rsidRDefault="00DF3351" w:rsidP="00604AA9">
      <w:pPr>
        <w:pStyle w:val="Bullet"/>
        <w:numPr>
          <w:ilvl w:val="0"/>
          <w:numId w:val="10"/>
        </w:numPr>
        <w:tabs>
          <w:tab w:val="num" w:pos="2126"/>
          <w:tab w:val="num" w:pos="6663"/>
        </w:tabs>
        <w:ind w:left="1069"/>
      </w:pPr>
      <w:r w:rsidRPr="00D059CE">
        <w:t xml:space="preserve">Histology: </w:t>
      </w:r>
      <w:r>
        <w:t xml:space="preserve"> </w:t>
      </w:r>
      <w:r w:rsidRPr="00D059CE">
        <w:t>This team looks after registration and testing of histology samples, and histology reporting.</w:t>
      </w:r>
      <w:r>
        <w:t xml:space="preserve">  Two pathologists, 13 scientists and technicians are involved in the BSP work.</w:t>
      </w:r>
    </w:p>
    <w:p w:rsidR="00E532F9" w:rsidRPr="00855F6E" w:rsidRDefault="00855F6E" w:rsidP="00855F6E">
      <w:pPr>
        <w:pStyle w:val="Heading4"/>
      </w:pPr>
      <w:r>
        <w:t xml:space="preserve">Service delivery </w:t>
      </w:r>
    </w:p>
    <w:p w:rsidR="00855F6E" w:rsidRDefault="00855F6E" w:rsidP="00855F6E">
      <w:pPr>
        <w:rPr>
          <w:lang w:eastAsia="ar-SA"/>
        </w:rPr>
      </w:pPr>
      <w:r>
        <w:rPr>
          <w:lang w:eastAsia="ar-SA"/>
        </w:rPr>
        <w:t>The p</w:t>
      </w:r>
      <w:r w:rsidRPr="00855F6E">
        <w:rPr>
          <w:lang w:eastAsia="ar-SA"/>
        </w:rPr>
        <w:t>rocessing of iFOBT tests by LabPLUS</w:t>
      </w:r>
      <w:r>
        <w:rPr>
          <w:lang w:eastAsia="ar-SA"/>
        </w:rPr>
        <w:t xml:space="preserve"> is seen a</w:t>
      </w:r>
      <w:r w:rsidR="00814551">
        <w:rPr>
          <w:lang w:eastAsia="ar-SA"/>
        </w:rPr>
        <w:t>s</w:t>
      </w:r>
      <w:r>
        <w:rPr>
          <w:lang w:eastAsia="ar-SA"/>
        </w:rPr>
        <w:t xml:space="preserve"> quick and timely</w:t>
      </w:r>
      <w:r w:rsidRPr="00855F6E">
        <w:rPr>
          <w:lang w:eastAsia="ar-SA"/>
        </w:rPr>
        <w:t xml:space="preserve">. </w:t>
      </w:r>
      <w:proofErr w:type="gramStart"/>
      <w:r>
        <w:rPr>
          <w:lang w:eastAsia="ar-SA"/>
        </w:rPr>
        <w:t>iFOBTs</w:t>
      </w:r>
      <w:proofErr w:type="gramEnd"/>
      <w:r>
        <w:rPr>
          <w:lang w:eastAsia="ar-SA"/>
        </w:rPr>
        <w:t xml:space="preserve"> are generally processed within a day; 95% are processed within six hours</w:t>
      </w:r>
      <w:r w:rsidR="00790249">
        <w:rPr>
          <w:lang w:eastAsia="ar-SA"/>
        </w:rPr>
        <w:t xml:space="preserve"> (Litmus 2013a)</w:t>
      </w:r>
      <w:r>
        <w:rPr>
          <w:lang w:eastAsia="ar-SA"/>
        </w:rPr>
        <w:t>.</w:t>
      </w:r>
    </w:p>
    <w:p w:rsidR="00855F6E" w:rsidRDefault="00855F6E" w:rsidP="00855F6E">
      <w:pPr>
        <w:pStyle w:val="Heading4"/>
        <w:rPr>
          <w:lang w:eastAsia="ar-SA"/>
        </w:rPr>
      </w:pPr>
      <w:r>
        <w:rPr>
          <w:lang w:eastAsia="ar-SA"/>
        </w:rPr>
        <w:t xml:space="preserve">Implications for a potential national roll out </w:t>
      </w:r>
    </w:p>
    <w:p w:rsidR="00144613" w:rsidRDefault="00855F6E" w:rsidP="00855F6E">
      <w:pPr>
        <w:rPr>
          <w:lang w:eastAsia="ar-SA"/>
        </w:rPr>
      </w:pPr>
      <w:r>
        <w:rPr>
          <w:lang w:eastAsia="ar-SA"/>
        </w:rPr>
        <w:t>Feedback from LabP</w:t>
      </w:r>
      <w:r w:rsidR="00645695">
        <w:rPr>
          <w:lang w:eastAsia="ar-SA"/>
        </w:rPr>
        <w:t>LUS</w:t>
      </w:r>
      <w:r>
        <w:rPr>
          <w:lang w:eastAsia="ar-SA"/>
        </w:rPr>
        <w:t xml:space="preserve"> highlights that </w:t>
      </w:r>
      <w:r w:rsidR="00144613" w:rsidRPr="00855F6E">
        <w:rPr>
          <w:lang w:eastAsia="ar-SA"/>
        </w:rPr>
        <w:t>adequate resource</w:t>
      </w:r>
      <w:r w:rsidR="00061A9F">
        <w:rPr>
          <w:lang w:eastAsia="ar-SA"/>
        </w:rPr>
        <w:t>s</w:t>
      </w:r>
      <w:r w:rsidR="00144613" w:rsidRPr="00855F6E">
        <w:rPr>
          <w:lang w:eastAsia="ar-SA"/>
        </w:rPr>
        <w:t xml:space="preserve">, time and priority </w:t>
      </w:r>
      <w:r>
        <w:rPr>
          <w:lang w:eastAsia="ar-SA"/>
        </w:rPr>
        <w:t xml:space="preserve">will need to be </w:t>
      </w:r>
      <w:r w:rsidR="00144613" w:rsidRPr="00855F6E">
        <w:rPr>
          <w:lang w:eastAsia="ar-SA"/>
        </w:rPr>
        <w:t>given to the</w:t>
      </w:r>
      <w:r w:rsidR="00790249">
        <w:rPr>
          <w:lang w:eastAsia="ar-SA"/>
        </w:rPr>
        <w:t xml:space="preserve"> development of an </w:t>
      </w:r>
      <w:r w:rsidR="00144613" w:rsidRPr="00855F6E">
        <w:rPr>
          <w:lang w:eastAsia="ar-SA"/>
        </w:rPr>
        <w:t>IT interface between the national bowel screening information system and lab</w:t>
      </w:r>
      <w:r w:rsidR="00C80490">
        <w:rPr>
          <w:lang w:eastAsia="ar-SA"/>
        </w:rPr>
        <w:t>oratory</w:t>
      </w:r>
      <w:r w:rsidR="00144613" w:rsidRPr="00855F6E">
        <w:rPr>
          <w:lang w:eastAsia="ar-SA"/>
        </w:rPr>
        <w:t xml:space="preserve"> information systems.  </w:t>
      </w:r>
    </w:p>
    <w:p w:rsidR="00A077B6" w:rsidRDefault="005853D0" w:rsidP="00A077B6">
      <w:pPr>
        <w:pStyle w:val="Heading3"/>
      </w:pPr>
      <w:proofErr w:type="gramStart"/>
      <w:r w:rsidRPr="00A077B6">
        <w:t>iFOBT</w:t>
      </w:r>
      <w:proofErr w:type="gramEnd"/>
      <w:r w:rsidRPr="00A077B6">
        <w:t xml:space="preserve"> test results</w:t>
      </w:r>
      <w:r>
        <w:t xml:space="preserve"> –</w:t>
      </w:r>
      <w:r w:rsidR="009F5C99">
        <w:t xml:space="preserve"> </w:t>
      </w:r>
      <w:r w:rsidR="00A077B6" w:rsidRPr="00A077B6">
        <w:t>general practice</w:t>
      </w:r>
    </w:p>
    <w:p w:rsidR="005853D0" w:rsidRDefault="005853D0" w:rsidP="00ED605B">
      <w:pPr>
        <w:rPr>
          <w:lang w:val="en-US"/>
        </w:rPr>
      </w:pPr>
      <w:r>
        <w:rPr>
          <w:lang w:val="en-US"/>
        </w:rPr>
        <w:t xml:space="preserve">The role of general practice in informing BSP participants of a positive iFOBT </w:t>
      </w:r>
      <w:r>
        <w:t xml:space="preserve">is a unique element of the BSP. </w:t>
      </w:r>
      <w:r w:rsidR="00ED605B">
        <w:t xml:space="preserve"> </w:t>
      </w:r>
      <w:r w:rsidR="00291610">
        <w:rPr>
          <w:lang w:eastAsia="ar-SA"/>
        </w:rPr>
        <w:t>The intention is that</w:t>
      </w:r>
      <w:r w:rsidR="00ED605B" w:rsidRPr="00375A28">
        <w:rPr>
          <w:lang w:eastAsia="ar-SA"/>
        </w:rPr>
        <w:t xml:space="preserve"> GP</w:t>
      </w:r>
      <w:r w:rsidR="00291610">
        <w:rPr>
          <w:lang w:eastAsia="ar-SA"/>
        </w:rPr>
        <w:t>s</w:t>
      </w:r>
      <w:r w:rsidR="00ED605B" w:rsidRPr="00375A28">
        <w:rPr>
          <w:lang w:eastAsia="ar-SA"/>
        </w:rPr>
        <w:t xml:space="preserve"> discuss </w:t>
      </w:r>
      <w:r w:rsidR="00291610">
        <w:rPr>
          <w:lang w:eastAsia="ar-SA"/>
        </w:rPr>
        <w:t>a positive</w:t>
      </w:r>
      <w:r w:rsidR="00352BF6">
        <w:rPr>
          <w:lang w:eastAsia="ar-SA"/>
        </w:rPr>
        <w:t xml:space="preserve"> </w:t>
      </w:r>
      <w:r w:rsidR="00291610">
        <w:rPr>
          <w:lang w:eastAsia="ar-SA"/>
        </w:rPr>
        <w:t>iFOBT</w:t>
      </w:r>
      <w:r w:rsidR="00ED605B" w:rsidRPr="00375A28">
        <w:rPr>
          <w:lang w:eastAsia="ar-SA"/>
        </w:rPr>
        <w:t xml:space="preserve"> result with the</w:t>
      </w:r>
      <w:r w:rsidR="00ED605B">
        <w:rPr>
          <w:lang w:eastAsia="ar-SA"/>
        </w:rPr>
        <w:t>ir</w:t>
      </w:r>
      <w:r w:rsidR="00ED605B" w:rsidRPr="00375A28">
        <w:rPr>
          <w:lang w:eastAsia="ar-SA"/>
        </w:rPr>
        <w:t xml:space="preserve"> patient and refer for colonoscopy to </w:t>
      </w:r>
      <w:r w:rsidR="00ED605B">
        <w:rPr>
          <w:lang w:eastAsia="ar-SA"/>
        </w:rPr>
        <w:t>BSP</w:t>
      </w:r>
      <w:r w:rsidR="00ED605B" w:rsidRPr="00375A28">
        <w:rPr>
          <w:lang w:eastAsia="ar-SA"/>
        </w:rPr>
        <w:t xml:space="preserve"> via </w:t>
      </w:r>
      <w:r w:rsidR="00291610">
        <w:rPr>
          <w:lang w:eastAsia="ar-SA"/>
        </w:rPr>
        <w:t xml:space="preserve">the </w:t>
      </w:r>
      <w:r w:rsidR="00ED605B" w:rsidRPr="00375A28">
        <w:rPr>
          <w:lang w:eastAsia="ar-SA"/>
        </w:rPr>
        <w:t xml:space="preserve">Booking and Scheduling </w:t>
      </w:r>
      <w:r w:rsidR="00291610">
        <w:rPr>
          <w:lang w:eastAsia="ar-SA"/>
        </w:rPr>
        <w:t xml:space="preserve">department at </w:t>
      </w:r>
      <w:r w:rsidR="00C50739">
        <w:rPr>
          <w:lang w:eastAsia="ar-SA"/>
        </w:rPr>
        <w:t>WDHB</w:t>
      </w:r>
      <w:r w:rsidR="00ED605B" w:rsidRPr="00375A28">
        <w:rPr>
          <w:lang w:eastAsia="ar-SA"/>
        </w:rPr>
        <w:t xml:space="preserve"> within </w:t>
      </w:r>
      <w:r w:rsidR="00ED605B">
        <w:rPr>
          <w:lang w:eastAsia="ar-SA"/>
        </w:rPr>
        <w:t xml:space="preserve">ten </w:t>
      </w:r>
      <w:r w:rsidR="00ED605B" w:rsidRPr="00375A28">
        <w:rPr>
          <w:lang w:eastAsia="ar-SA"/>
        </w:rPr>
        <w:t xml:space="preserve">days.  </w:t>
      </w:r>
      <w:r>
        <w:rPr>
          <w:lang w:val="en-US"/>
        </w:rPr>
        <w:t xml:space="preserve">Internationally, </w:t>
      </w:r>
      <w:r w:rsidR="001B4791">
        <w:rPr>
          <w:lang w:val="en-US"/>
        </w:rPr>
        <w:t>general practice</w:t>
      </w:r>
      <w:r w:rsidRPr="00722841">
        <w:rPr>
          <w:lang w:val="en-US"/>
        </w:rPr>
        <w:t xml:space="preserve"> involvement in bowel screening has been shown to have a positive impact on </w:t>
      </w:r>
      <w:r>
        <w:rPr>
          <w:lang w:val="en-US"/>
        </w:rPr>
        <w:t>i</w:t>
      </w:r>
      <w:r w:rsidRPr="00722841">
        <w:rPr>
          <w:lang w:val="en-US"/>
        </w:rPr>
        <w:t>FOBT screening participants, although</w:t>
      </w:r>
      <w:r>
        <w:rPr>
          <w:lang w:val="en-US"/>
        </w:rPr>
        <w:t xml:space="preserve"> this is </w:t>
      </w:r>
      <w:r w:rsidRPr="00722841">
        <w:rPr>
          <w:lang w:val="en-US"/>
        </w:rPr>
        <w:t xml:space="preserve">subject to high variability (Federici et al 2006, Koo et al 2010, </w:t>
      </w:r>
      <w:proofErr w:type="gramStart"/>
      <w:r w:rsidRPr="00722841">
        <w:rPr>
          <w:lang w:val="en-US"/>
        </w:rPr>
        <w:t>Power</w:t>
      </w:r>
      <w:proofErr w:type="gramEnd"/>
      <w:r w:rsidRPr="00722841">
        <w:rPr>
          <w:lang w:val="en-US"/>
        </w:rPr>
        <w:t xml:space="preserve"> et al 2009)</w:t>
      </w:r>
      <w:r>
        <w:rPr>
          <w:lang w:val="en-US"/>
        </w:rPr>
        <w:t xml:space="preserve">.  </w:t>
      </w:r>
    </w:p>
    <w:p w:rsidR="00A01F65" w:rsidRDefault="005853D0" w:rsidP="00A01F65">
      <w:r>
        <w:t>General practices in WDHB have high levels of awareness, knowledge and support of the BSP, and in the main they are undertaking their role in the BSP as intended</w:t>
      </w:r>
      <w:r w:rsidR="00614D5E">
        <w:t xml:space="preserve"> (Litmus 2014b</w:t>
      </w:r>
      <w:r w:rsidR="00461122">
        <w:t>)</w:t>
      </w:r>
      <w:r>
        <w:t xml:space="preserve">.  </w:t>
      </w:r>
      <w:r w:rsidR="00A01F65">
        <w:rPr>
          <w:lang w:eastAsia="en-NZ"/>
        </w:rPr>
        <w:t>To a large extent the BSP has moved to business-as-usual across many general practices as evidenced by t</w:t>
      </w:r>
      <w:r w:rsidR="00A01F65">
        <w:t xml:space="preserve">hree quarters of BSP participants hearing about their positive iFOBT result from their general practice (Litmus 2014c). </w:t>
      </w:r>
    </w:p>
    <w:p w:rsidR="00A01F65" w:rsidRDefault="00A01F65" w:rsidP="00604AA9">
      <w:pPr>
        <w:pStyle w:val="Bullet"/>
        <w:numPr>
          <w:ilvl w:val="0"/>
          <w:numId w:val="10"/>
        </w:numPr>
        <w:tabs>
          <w:tab w:val="num" w:pos="2126"/>
          <w:tab w:val="num" w:pos="6663"/>
        </w:tabs>
        <w:ind w:left="1069"/>
      </w:pPr>
      <w:r w:rsidRPr="009B5662">
        <w:rPr>
          <w:lang w:val="en-US"/>
        </w:rPr>
        <w:t xml:space="preserve">For the first 18 months of the </w:t>
      </w:r>
      <w:r w:rsidR="00EB35F4">
        <w:rPr>
          <w:lang w:val="en-US"/>
        </w:rPr>
        <w:t>p</w:t>
      </w:r>
      <w:r w:rsidRPr="009B5662">
        <w:rPr>
          <w:lang w:val="en-US"/>
        </w:rPr>
        <w:t xml:space="preserve">ilot, 74% of BSP participants at pre-assessment have been informed of their positive </w:t>
      </w:r>
      <w:r>
        <w:rPr>
          <w:lang w:val="en-US"/>
        </w:rPr>
        <w:t>iF</w:t>
      </w:r>
      <w:r w:rsidRPr="009B5662">
        <w:rPr>
          <w:lang w:val="en-US"/>
        </w:rPr>
        <w:t>O</w:t>
      </w:r>
      <w:r>
        <w:rPr>
          <w:lang w:val="en-US"/>
        </w:rPr>
        <w:t>B</w:t>
      </w:r>
      <w:r w:rsidRPr="009B5662">
        <w:rPr>
          <w:lang w:val="en-US"/>
        </w:rPr>
        <w:t xml:space="preserve">T result by their </w:t>
      </w:r>
      <w:r w:rsidR="001B4791">
        <w:rPr>
          <w:lang w:val="en-US"/>
        </w:rPr>
        <w:t xml:space="preserve">general practice </w:t>
      </w:r>
      <w:r w:rsidRPr="009B5662">
        <w:rPr>
          <w:lang w:val="en-US"/>
        </w:rPr>
        <w:t>(Ministry of Health Register dated 29 January 2</w:t>
      </w:r>
      <w:r w:rsidR="00352BF6">
        <w:rPr>
          <w:lang w:val="en-US"/>
        </w:rPr>
        <w:t>0</w:t>
      </w:r>
      <w:r w:rsidRPr="009B5662">
        <w:rPr>
          <w:lang w:val="en-US"/>
        </w:rPr>
        <w:t xml:space="preserve">14).  The remaining 26% were informed via the </w:t>
      </w:r>
      <w:r>
        <w:rPr>
          <w:lang w:val="en-US"/>
        </w:rPr>
        <w:t>Endoscopy Unit</w:t>
      </w:r>
      <w:r w:rsidRPr="009B5662">
        <w:rPr>
          <w:lang w:val="en-US"/>
        </w:rPr>
        <w:t>’s CNS.</w:t>
      </w:r>
      <w:r>
        <w:rPr>
          <w:lang w:val="en-US"/>
        </w:rPr>
        <w:t xml:space="preserve">  </w:t>
      </w:r>
      <w:r w:rsidRPr="00FF4FED">
        <w:t>For those BSP participants who did not hear about their positive iFOBT result via their general practice, this can reflect their personal choice and circumstances (i.e. not wanting their GP informed, not having a nominated GP in their practice, or not being contactable within ten days) or incorrect consent form completion</w:t>
      </w:r>
      <w:r w:rsidR="0062215F" w:rsidRPr="00697D47">
        <w:rPr>
          <w:rStyle w:val="FootnoteReference"/>
        </w:rPr>
        <w:footnoteReference w:id="71"/>
      </w:r>
      <w:r>
        <w:t xml:space="preserve"> (Litmus 2014c).</w:t>
      </w:r>
    </w:p>
    <w:p w:rsidR="005853D0" w:rsidRDefault="005853D0" w:rsidP="005853D0">
      <w:pPr>
        <w:rPr>
          <w:lang w:val="en-US"/>
        </w:rPr>
      </w:pPr>
      <w:r>
        <w:rPr>
          <w:lang w:val="en-US"/>
        </w:rPr>
        <w:t xml:space="preserve">In 2013 the WDHB eligible population </w:t>
      </w:r>
      <w:r w:rsidRPr="00687D7D">
        <w:rPr>
          <w:lang w:val="en-US"/>
        </w:rPr>
        <w:t>survey (Litmus 2014a)</w:t>
      </w:r>
      <w:r>
        <w:rPr>
          <w:lang w:val="en-US"/>
        </w:rPr>
        <w:t xml:space="preserve"> found that</w:t>
      </w:r>
      <w:r w:rsidRPr="00697D47">
        <w:rPr>
          <w:rStyle w:val="FootnoteReference"/>
        </w:rPr>
        <w:footnoteReference w:id="72"/>
      </w:r>
      <w:r w:rsidRPr="00687D7D">
        <w:rPr>
          <w:lang w:val="en-US"/>
        </w:rPr>
        <w:t>:</w:t>
      </w:r>
    </w:p>
    <w:p w:rsidR="005853D0" w:rsidRDefault="005853D0" w:rsidP="00604AA9">
      <w:pPr>
        <w:pStyle w:val="Bullet"/>
        <w:numPr>
          <w:ilvl w:val="0"/>
          <w:numId w:val="10"/>
        </w:numPr>
        <w:tabs>
          <w:tab w:val="clear" w:pos="1276"/>
          <w:tab w:val="left" w:pos="720"/>
        </w:tabs>
        <w:ind w:left="1069"/>
      </w:pPr>
      <w:r w:rsidRPr="00AF1B7E">
        <w:rPr>
          <w:lang w:val="en-US"/>
        </w:rPr>
        <w:t xml:space="preserve">23 people (out of the 324 people who had received a BSP kit) had a positive iFOBT result.  </w:t>
      </w:r>
    </w:p>
    <w:p w:rsidR="005853D0" w:rsidRPr="008D46F5" w:rsidRDefault="005853D0" w:rsidP="009433F2">
      <w:pPr>
        <w:pStyle w:val="Bullet"/>
        <w:keepNext/>
        <w:keepLines/>
        <w:numPr>
          <w:ilvl w:val="0"/>
          <w:numId w:val="10"/>
        </w:numPr>
        <w:suppressLineNumbers/>
        <w:tabs>
          <w:tab w:val="clear" w:pos="1276"/>
          <w:tab w:val="left" w:pos="720"/>
        </w:tabs>
        <w:ind w:left="1066" w:hanging="357"/>
      </w:pPr>
      <w:r>
        <w:rPr>
          <w:lang w:val="en-US"/>
        </w:rPr>
        <w:lastRenderedPageBreak/>
        <w:t>Of the 23 people with a positive iFOBT, 16 received the news of their results from general practice (70% similar to the Register data), three stated they were called by someone from the Endoscopy Unit, one received a letter from the Endoscopy Unit and three did not know</w:t>
      </w:r>
      <w:r w:rsidRPr="00697D47">
        <w:rPr>
          <w:rStyle w:val="FootnoteReference"/>
        </w:rPr>
        <w:footnoteReference w:id="73"/>
      </w:r>
      <w:r>
        <w:rPr>
          <w:lang w:val="en-US"/>
        </w:rPr>
        <w:t xml:space="preserve">).  </w:t>
      </w:r>
    </w:p>
    <w:p w:rsidR="001D2447" w:rsidRDefault="00ED605B" w:rsidP="008D46F5">
      <w:r>
        <w:t>The BSP screening pathway does not stipulate the process of how general practice informs participants about their positive results</w:t>
      </w:r>
      <w:r w:rsidR="00291610">
        <w:t>,</w:t>
      </w:r>
      <w:r>
        <w:t xml:space="preserve"> </w:t>
      </w:r>
      <w:r w:rsidR="00614D5E">
        <w:t>simply</w:t>
      </w:r>
      <w:r>
        <w:t xml:space="preserve"> that the referral is made within </w:t>
      </w:r>
      <w:r w:rsidR="00061A9F">
        <w:t xml:space="preserve">ten </w:t>
      </w:r>
      <w:r>
        <w:t xml:space="preserve">days.  </w:t>
      </w:r>
      <w:r w:rsidR="001D2447">
        <w:t>This flexibility was offered to enable the BSP to fit into</w:t>
      </w:r>
      <w:r>
        <w:rPr>
          <w:lang w:val="en-US"/>
        </w:rPr>
        <w:t xml:space="preserve"> existing general practice processes.  </w:t>
      </w:r>
      <w:r w:rsidR="001D2447">
        <w:t xml:space="preserve">Interviews with general practice highlighted that </w:t>
      </w:r>
      <w:r w:rsidR="00291610">
        <w:t>informing</w:t>
      </w:r>
      <w:r w:rsidR="00291610" w:rsidRPr="00390CC8">
        <w:t xml:space="preserve"> </w:t>
      </w:r>
      <w:r w:rsidR="001D2447" w:rsidRPr="00390CC8">
        <w:t xml:space="preserve">participants </w:t>
      </w:r>
      <w:r w:rsidR="001D2447">
        <w:t>about their positive iFOBT result</w:t>
      </w:r>
      <w:r w:rsidR="001D2447" w:rsidRPr="00390CC8">
        <w:t xml:space="preserve"> varies from </w:t>
      </w:r>
      <w:r w:rsidR="00614D5E">
        <w:t xml:space="preserve">a </w:t>
      </w:r>
      <w:r w:rsidR="001D2447" w:rsidRPr="00390CC8">
        <w:t>face-to-face consult</w:t>
      </w:r>
      <w:r w:rsidR="00614D5E">
        <w:t>ation</w:t>
      </w:r>
      <w:r w:rsidR="001D2447" w:rsidRPr="00390CC8">
        <w:t xml:space="preserve"> with </w:t>
      </w:r>
      <w:r w:rsidR="00291610">
        <w:t xml:space="preserve">a </w:t>
      </w:r>
      <w:r w:rsidR="001D2447" w:rsidRPr="00390CC8">
        <w:t xml:space="preserve">GP to </w:t>
      </w:r>
      <w:r w:rsidR="00291610">
        <w:t xml:space="preserve">a </w:t>
      </w:r>
      <w:r w:rsidR="001D2447" w:rsidRPr="00390CC8">
        <w:t xml:space="preserve">phone discussion with </w:t>
      </w:r>
      <w:r w:rsidR="00291610">
        <w:t xml:space="preserve">a </w:t>
      </w:r>
      <w:r w:rsidR="001D2447" w:rsidRPr="00390CC8">
        <w:t>practice nurse</w:t>
      </w:r>
      <w:r w:rsidR="001D2447">
        <w:t xml:space="preserve"> or GP.  </w:t>
      </w:r>
    </w:p>
    <w:p w:rsidR="000F17B0" w:rsidRDefault="000F17B0" w:rsidP="000F17B0">
      <w:pPr>
        <w:rPr>
          <w:lang w:val="en-US"/>
        </w:rPr>
      </w:pPr>
      <w:r>
        <w:t xml:space="preserve">Feedback from the endoscopy unit </w:t>
      </w:r>
      <w:r w:rsidR="003D209D">
        <w:t>staff indicates</w:t>
      </w:r>
      <w:r>
        <w:t xml:space="preserve"> that most referrals sent from general practice follow the agreed pathway, although a few are sent to symptomatic or surgical services.  Endoscopy </w:t>
      </w:r>
      <w:proofErr w:type="gramStart"/>
      <w:r>
        <w:t>staff also note</w:t>
      </w:r>
      <w:proofErr w:type="gramEnd"/>
      <w:r>
        <w:t xml:space="preserve"> variation in the </w:t>
      </w:r>
      <w:r>
        <w:rPr>
          <w:lang w:val="en-US"/>
        </w:rPr>
        <w:t xml:space="preserve">quality and completeness of </w:t>
      </w:r>
      <w:r w:rsidR="001B4791">
        <w:rPr>
          <w:lang w:val="en-US"/>
        </w:rPr>
        <w:t>general practice</w:t>
      </w:r>
      <w:r>
        <w:rPr>
          <w:lang w:val="en-US"/>
        </w:rPr>
        <w:t xml:space="preserve"> referral information to endoscopy.  Some provide the required information, while others simply refer with little relevant information.  The introduction of e-referrals in 2013 has standardised information received and improved the quality of referrals. </w:t>
      </w:r>
      <w:r w:rsidR="00424E39">
        <w:rPr>
          <w:lang w:val="en-US"/>
        </w:rPr>
        <w:t xml:space="preserve"> However, not all </w:t>
      </w:r>
      <w:r w:rsidR="001B4791">
        <w:rPr>
          <w:lang w:val="en-US"/>
        </w:rPr>
        <w:t>general practices</w:t>
      </w:r>
      <w:r w:rsidR="00424E39">
        <w:rPr>
          <w:lang w:val="en-US"/>
        </w:rPr>
        <w:t xml:space="preserve"> use e-referrals. </w:t>
      </w:r>
    </w:p>
    <w:p w:rsidR="008D46F5" w:rsidRPr="00390CC8" w:rsidRDefault="008D46F5" w:rsidP="008D46F5">
      <w:r w:rsidRPr="00390CC8">
        <w:t>Promotion of the BSP by general practice is opportunistic.  Currently practices are unaware of the non-responders in their practice</w:t>
      </w:r>
      <w:r>
        <w:t xml:space="preserve"> as there is no system to inform general practice who has received an iFOBT kit and not returned it. </w:t>
      </w:r>
      <w:r w:rsidRPr="00390CC8">
        <w:t xml:space="preserve"> </w:t>
      </w:r>
      <w:r w:rsidR="003D209D" w:rsidRPr="00390CC8">
        <w:t>A potential enhancement to general practice’s role is following up non-responders</w:t>
      </w:r>
      <w:r w:rsidR="003D209D">
        <w:t xml:space="preserve">, in particular </w:t>
      </w:r>
      <w:r w:rsidR="003D209D" w:rsidRPr="002777EA">
        <w:rPr>
          <w:lang w:val="en-US"/>
        </w:rPr>
        <w:t>M</w:t>
      </w:r>
      <w:r w:rsidR="003D209D" w:rsidRPr="002777EA">
        <w:rPr>
          <w:rFonts w:cs="Arial"/>
          <w:lang w:val="en-US"/>
        </w:rPr>
        <w:t>ā</w:t>
      </w:r>
      <w:r w:rsidR="003D209D" w:rsidRPr="002777EA">
        <w:rPr>
          <w:lang w:val="en-US"/>
        </w:rPr>
        <w:t xml:space="preserve">ori and Pacific </w:t>
      </w:r>
      <w:r w:rsidR="003D209D">
        <w:rPr>
          <w:lang w:val="en-US"/>
        </w:rPr>
        <w:t>non-responders, but only if this information is provided to them by the BSP Coordination Centre in a streamlined and timely fashion</w:t>
      </w:r>
      <w:r w:rsidR="003D209D" w:rsidRPr="00390CC8">
        <w:t>.</w:t>
      </w:r>
    </w:p>
    <w:p w:rsidR="005853D0" w:rsidRDefault="003A64F0" w:rsidP="005853D0">
      <w:pPr>
        <w:pStyle w:val="Heading4"/>
      </w:pPr>
      <w:r>
        <w:t>Perceptions of w</w:t>
      </w:r>
      <w:r w:rsidR="005853D0">
        <w:t xml:space="preserve">orkforce capacity </w:t>
      </w:r>
      <w:r w:rsidR="000D23BB">
        <w:t xml:space="preserve"> </w:t>
      </w:r>
    </w:p>
    <w:p w:rsidR="001A7D1B" w:rsidRDefault="001A7D1B" w:rsidP="005853D0">
      <w:r>
        <w:t>T</w:t>
      </w:r>
      <w:r w:rsidRPr="000B6196">
        <w:t xml:space="preserve">he majority of general practice staff reported their workload increased due to the BSP, </w:t>
      </w:r>
      <w:r>
        <w:t xml:space="preserve">although the </w:t>
      </w:r>
      <w:r w:rsidRPr="000B6196">
        <w:t>impact</w:t>
      </w:r>
      <w:r>
        <w:t xml:space="preserve"> is lower than </w:t>
      </w:r>
      <w:r w:rsidRPr="000B6196">
        <w:t xml:space="preserve">expected </w:t>
      </w:r>
      <w:r>
        <w:t xml:space="preserve">before the </w:t>
      </w:r>
      <w:r w:rsidR="00EB35F4">
        <w:t>p</w:t>
      </w:r>
      <w:r>
        <w:t>ilot commenced in 2012</w:t>
      </w:r>
      <w:r w:rsidR="00A97D0E">
        <w:t xml:space="preserve"> (Litmus</w:t>
      </w:r>
      <w:r w:rsidR="008D46F5">
        <w:t xml:space="preserve"> 2014b)</w:t>
      </w:r>
      <w:r>
        <w:t xml:space="preserve">. </w:t>
      </w:r>
    </w:p>
    <w:p w:rsidR="000D23BB" w:rsidRPr="005C5612" w:rsidRDefault="000D23BB" w:rsidP="00604AA9">
      <w:pPr>
        <w:pStyle w:val="Bullet"/>
        <w:numPr>
          <w:ilvl w:val="0"/>
          <w:numId w:val="10"/>
        </w:numPr>
        <w:tabs>
          <w:tab w:val="clear" w:pos="1276"/>
          <w:tab w:val="left" w:pos="720"/>
        </w:tabs>
        <w:ind w:left="1069"/>
      </w:pPr>
      <w:r w:rsidRPr="008B3573">
        <w:rPr>
          <w:lang w:eastAsia="en-NZ"/>
        </w:rPr>
        <w:t xml:space="preserve">Six-in-ten GPs and practice nurses felt that the BSP </w:t>
      </w:r>
      <w:r w:rsidRPr="008B3573">
        <w:rPr>
          <w:i/>
          <w:lang w:eastAsia="en-NZ"/>
        </w:rPr>
        <w:t>increased</w:t>
      </w:r>
      <w:r w:rsidRPr="008B3573">
        <w:rPr>
          <w:lang w:eastAsia="en-NZ"/>
        </w:rPr>
        <w:t xml:space="preserve"> or </w:t>
      </w:r>
      <w:r w:rsidRPr="008B3573">
        <w:rPr>
          <w:i/>
          <w:lang w:eastAsia="en-NZ"/>
        </w:rPr>
        <w:t>significantly increased</w:t>
      </w:r>
      <w:r w:rsidRPr="008B3573">
        <w:rPr>
          <w:lang w:eastAsia="en-NZ"/>
        </w:rPr>
        <w:t xml:space="preserve"> the workload in their general practice (60% and 56% respectively), with the large majority of the remainder indicating that the</w:t>
      </w:r>
      <w:r>
        <w:rPr>
          <w:lang w:eastAsia="en-NZ"/>
        </w:rPr>
        <w:t>re</w:t>
      </w:r>
      <w:r w:rsidRPr="008B3573">
        <w:rPr>
          <w:lang w:eastAsia="en-NZ"/>
        </w:rPr>
        <w:t xml:space="preserve"> </w:t>
      </w:r>
      <w:r>
        <w:rPr>
          <w:lang w:eastAsia="en-NZ"/>
        </w:rPr>
        <w:t xml:space="preserve">had been </w:t>
      </w:r>
      <w:r w:rsidRPr="008B3573">
        <w:rPr>
          <w:i/>
          <w:lang w:eastAsia="en-NZ"/>
        </w:rPr>
        <w:t>no change</w:t>
      </w:r>
      <w:r w:rsidRPr="008B3573">
        <w:rPr>
          <w:lang w:eastAsia="en-NZ"/>
        </w:rPr>
        <w:t xml:space="preserve"> </w:t>
      </w:r>
      <w:r>
        <w:rPr>
          <w:lang w:eastAsia="en-NZ"/>
        </w:rPr>
        <w:t xml:space="preserve">in the </w:t>
      </w:r>
      <w:r w:rsidRPr="008B3573">
        <w:rPr>
          <w:lang w:eastAsia="en-NZ"/>
        </w:rPr>
        <w:t>workload (40% and 36% respectively). This was significant</w:t>
      </w:r>
      <w:r>
        <w:rPr>
          <w:lang w:eastAsia="en-NZ"/>
        </w:rPr>
        <w:t>ly different t</w:t>
      </w:r>
      <w:r w:rsidRPr="008B3573">
        <w:rPr>
          <w:lang w:eastAsia="en-NZ"/>
        </w:rPr>
        <w:t>o the expected impact</w:t>
      </w:r>
      <w:r>
        <w:rPr>
          <w:lang w:eastAsia="en-NZ"/>
        </w:rPr>
        <w:t xml:space="preserve">s </w:t>
      </w:r>
      <w:r w:rsidRPr="008B3573">
        <w:rPr>
          <w:lang w:eastAsia="en-NZ"/>
        </w:rPr>
        <w:t>reported in the 2011 baseline provider survey</w:t>
      </w:r>
      <w:r>
        <w:rPr>
          <w:lang w:eastAsia="en-NZ"/>
        </w:rPr>
        <w:t xml:space="preserve"> (</w:t>
      </w:r>
      <w:r w:rsidRPr="008B3573">
        <w:rPr>
          <w:lang w:eastAsia="en-NZ"/>
        </w:rPr>
        <w:t xml:space="preserve">100% </w:t>
      </w:r>
      <w:r w:rsidRPr="008B3573">
        <w:rPr>
          <w:i/>
          <w:lang w:eastAsia="en-NZ"/>
        </w:rPr>
        <w:t>increase</w:t>
      </w:r>
      <w:r w:rsidRPr="008B3573">
        <w:rPr>
          <w:lang w:eastAsia="en-NZ"/>
        </w:rPr>
        <w:t xml:space="preserve"> or </w:t>
      </w:r>
      <w:r w:rsidRPr="008B3573">
        <w:rPr>
          <w:i/>
          <w:lang w:eastAsia="en-NZ"/>
        </w:rPr>
        <w:t>significantly increase</w:t>
      </w:r>
      <w:r w:rsidRPr="008B3573">
        <w:rPr>
          <w:lang w:eastAsia="en-NZ"/>
        </w:rPr>
        <w:t xml:space="preserve"> for GPs, and 93% </w:t>
      </w:r>
      <w:proofErr w:type="gramStart"/>
      <w:r w:rsidRPr="005C5612">
        <w:rPr>
          <w:i/>
          <w:lang w:eastAsia="en-NZ"/>
        </w:rPr>
        <w:t>increase</w:t>
      </w:r>
      <w:proofErr w:type="gramEnd"/>
      <w:r w:rsidRPr="005C5612">
        <w:rPr>
          <w:lang w:eastAsia="en-NZ"/>
        </w:rPr>
        <w:t xml:space="preserve"> or </w:t>
      </w:r>
      <w:r w:rsidRPr="005C5612">
        <w:rPr>
          <w:i/>
          <w:lang w:eastAsia="en-NZ"/>
        </w:rPr>
        <w:t>significantly increase</w:t>
      </w:r>
      <w:r w:rsidRPr="005C5612">
        <w:rPr>
          <w:lang w:eastAsia="en-NZ"/>
        </w:rPr>
        <w:t xml:space="preserve"> for practice nurses</w:t>
      </w:r>
      <w:r>
        <w:rPr>
          <w:lang w:eastAsia="en-NZ"/>
        </w:rPr>
        <w:t>).</w:t>
      </w:r>
    </w:p>
    <w:p w:rsidR="008D46F5" w:rsidRDefault="005853D0" w:rsidP="005853D0">
      <w:pPr>
        <w:rPr>
          <w:rFonts w:cs="Arial"/>
          <w:lang w:eastAsia="en-NZ"/>
        </w:rPr>
      </w:pPr>
      <w:r w:rsidRPr="005853D0">
        <w:rPr>
          <w:rFonts w:cs="Arial"/>
          <w:lang w:eastAsia="en-NZ"/>
        </w:rPr>
        <w:t>Compared to 2011, GPs are less concerned about the capacity of other services to meet the needs of the BSP, in particular, colonoscopy, CTC and secondary care services, although there continues to be high levels of ‘don’t know’ responses for CTC and secondary care</w:t>
      </w:r>
      <w:r w:rsidR="000D23BB">
        <w:rPr>
          <w:rFonts w:cs="Arial"/>
          <w:lang w:eastAsia="en-NZ"/>
        </w:rPr>
        <w:t xml:space="preserve"> (Litmus 2014b)</w:t>
      </w:r>
      <w:r w:rsidR="00EE5261" w:rsidRPr="00697D47">
        <w:rPr>
          <w:rStyle w:val="FootnoteReference"/>
        </w:rPr>
        <w:footnoteReference w:id="74"/>
      </w:r>
      <w:r w:rsidRPr="005853D0">
        <w:rPr>
          <w:rFonts w:cs="Arial"/>
          <w:lang w:eastAsia="en-NZ"/>
        </w:rPr>
        <w:t xml:space="preserve">.  </w:t>
      </w:r>
    </w:p>
    <w:p w:rsidR="005853D0" w:rsidRPr="00390CC8" w:rsidRDefault="005853D0" w:rsidP="009433F2">
      <w:pPr>
        <w:keepNext/>
        <w:keepLines/>
      </w:pPr>
      <w:r w:rsidRPr="005853D0">
        <w:rPr>
          <w:rFonts w:cs="Arial"/>
          <w:lang w:eastAsia="en-NZ"/>
        </w:rPr>
        <w:lastRenderedPageBreak/>
        <w:t xml:space="preserve">Ongoing concerns about the effect of the BSP on symptomatic colonoscopy capacity continue amongst GPs.  Qualitative survey comments and interviews with general practice staff highlight a particular concern that the BSP is reducing available services for symptomatic patients </w:t>
      </w:r>
      <w:r w:rsidRPr="00390CC8">
        <w:t xml:space="preserve">particularly </w:t>
      </w:r>
      <w:r w:rsidR="00614D5E">
        <w:t xml:space="preserve">with regard to </w:t>
      </w:r>
      <w:r w:rsidRPr="00390CC8">
        <w:t xml:space="preserve">colonoscopy </w:t>
      </w:r>
      <w:r w:rsidR="00FB5704">
        <w:t xml:space="preserve">wait times </w:t>
      </w:r>
      <w:r w:rsidRPr="00390CC8">
        <w:t>for symptomatic patients</w:t>
      </w:r>
      <w:r w:rsidR="00461122">
        <w:t xml:space="preserve"> (Litmus 2014b &amp; c)</w:t>
      </w:r>
      <w:r w:rsidRPr="00390CC8">
        <w:t xml:space="preserve">. </w:t>
      </w:r>
    </w:p>
    <w:p w:rsidR="001A7D1B" w:rsidRPr="001A7D1B" w:rsidRDefault="00A97D0E" w:rsidP="00A97D0E">
      <w:pPr>
        <w:pStyle w:val="Heading4"/>
      </w:pPr>
      <w:r>
        <w:t xml:space="preserve">Participants perceptions </w:t>
      </w:r>
    </w:p>
    <w:p w:rsidR="006A074F" w:rsidRDefault="006A074F" w:rsidP="00A97D0E">
      <w:pPr>
        <w:rPr>
          <w:lang w:val="en-US"/>
        </w:rPr>
      </w:pPr>
      <w:r>
        <w:rPr>
          <w:lang w:val="en-US"/>
        </w:rPr>
        <w:t>Most</w:t>
      </w:r>
      <w:r w:rsidRPr="002777EA">
        <w:rPr>
          <w:lang w:val="en-US"/>
        </w:rPr>
        <w:t xml:space="preserve"> BSP participants do not have a strong preference </w:t>
      </w:r>
      <w:r w:rsidR="00FB5704">
        <w:rPr>
          <w:lang w:val="en-US"/>
        </w:rPr>
        <w:t xml:space="preserve">about </w:t>
      </w:r>
      <w:r w:rsidRPr="002777EA">
        <w:rPr>
          <w:lang w:val="en-US"/>
        </w:rPr>
        <w:t xml:space="preserve">who informs them about a positive iFOBT result so long as their </w:t>
      </w:r>
      <w:r>
        <w:rPr>
          <w:lang w:val="en-US"/>
        </w:rPr>
        <w:t xml:space="preserve">positive iFOBT </w:t>
      </w:r>
      <w:r w:rsidRPr="002777EA">
        <w:rPr>
          <w:lang w:val="en-US"/>
        </w:rPr>
        <w:t xml:space="preserve">results are timely, </w:t>
      </w:r>
      <w:r>
        <w:rPr>
          <w:lang w:val="en-US"/>
        </w:rPr>
        <w:t xml:space="preserve">free and </w:t>
      </w:r>
      <w:r w:rsidRPr="002777EA">
        <w:rPr>
          <w:lang w:val="en-US"/>
        </w:rPr>
        <w:t xml:space="preserve">convenient, given in a reassuring manner, their GP is kept informed, and the transition to colonoscopy is well explained, timely and streamlined.  </w:t>
      </w:r>
    </w:p>
    <w:p w:rsidR="008D46F5" w:rsidRDefault="008D46F5" w:rsidP="008D46F5">
      <w:r>
        <w:t>Two new attitudinal questions were asked in the 2013 survey</w:t>
      </w:r>
      <w:r w:rsidRPr="00724DBC">
        <w:t xml:space="preserve"> to identify </w:t>
      </w:r>
      <w:r w:rsidRPr="000A08DE">
        <w:t xml:space="preserve">whether respondents had a preference about who tells them </w:t>
      </w:r>
      <w:r w:rsidR="00FB5704">
        <w:t>their</w:t>
      </w:r>
      <w:r w:rsidR="00FB5704" w:rsidRPr="000A08DE">
        <w:t xml:space="preserve"> </w:t>
      </w:r>
      <w:r w:rsidR="00424E39">
        <w:t>i</w:t>
      </w:r>
      <w:r w:rsidR="00F54BEE">
        <w:t>FOBT result</w:t>
      </w:r>
      <w:r w:rsidRPr="000A08DE">
        <w:t xml:space="preserve">.  The findings highlight that both </w:t>
      </w:r>
      <w:r w:rsidR="00FB5704">
        <w:t>options (</w:t>
      </w:r>
      <w:r w:rsidR="001B4791">
        <w:t xml:space="preserve">general practice </w:t>
      </w:r>
      <w:r w:rsidR="00FB5704">
        <w:t xml:space="preserve">and BSP Coordination Centre) </w:t>
      </w:r>
      <w:r w:rsidRPr="000A08DE">
        <w:t>are acceptable.</w:t>
      </w:r>
      <w:r>
        <w:t xml:space="preserve">  Eight in ten (80%) agree it is v</w:t>
      </w:r>
      <w:r w:rsidRPr="00857C45">
        <w:t xml:space="preserve">ery reassuring </w:t>
      </w:r>
      <w:r>
        <w:t xml:space="preserve">for their </w:t>
      </w:r>
      <w:r w:rsidRPr="00857C45">
        <w:t xml:space="preserve">GP or </w:t>
      </w:r>
      <w:r>
        <w:t>p</w:t>
      </w:r>
      <w:r w:rsidRPr="00857C45">
        <w:t xml:space="preserve">ractice nurse </w:t>
      </w:r>
      <w:r>
        <w:t>to tell</w:t>
      </w:r>
      <w:r w:rsidRPr="00857C45">
        <w:t xml:space="preserve"> </w:t>
      </w:r>
      <w:r>
        <w:t xml:space="preserve">them if they </w:t>
      </w:r>
      <w:r w:rsidRPr="00857C45">
        <w:t xml:space="preserve">have a positive </w:t>
      </w:r>
      <w:r w:rsidR="00424E39">
        <w:t>i</w:t>
      </w:r>
      <w:r w:rsidRPr="00857C45">
        <w:t xml:space="preserve">FOBT test </w:t>
      </w:r>
      <w:r w:rsidRPr="000A08DE">
        <w:t xml:space="preserve">result.  Similarly, 76% are happy to be contacted by someone else from the BSP to tell them about a positive </w:t>
      </w:r>
      <w:r w:rsidR="00424E39">
        <w:t>i</w:t>
      </w:r>
      <w:r w:rsidRPr="000A08DE">
        <w:t>FOBT result.  M</w:t>
      </w:r>
      <w:r w:rsidRPr="000A08DE">
        <w:rPr>
          <w:rFonts w:cs="Arial"/>
        </w:rPr>
        <w:t>ā</w:t>
      </w:r>
      <w:r w:rsidRPr="000A08DE">
        <w:t xml:space="preserve">ori (87%) are more likely to agree than the </w:t>
      </w:r>
      <w:proofErr w:type="gramStart"/>
      <w:r w:rsidRPr="000A08DE">
        <w:t>Other</w:t>
      </w:r>
      <w:proofErr w:type="gramEnd"/>
      <w:r w:rsidRPr="000A08DE">
        <w:t xml:space="preserve"> ethnic group (75%) that they are happy for the screening unit to contact them</w:t>
      </w:r>
      <w:r w:rsidR="00F54BEE">
        <w:t xml:space="preserve"> (Litmus</w:t>
      </w:r>
      <w:r w:rsidR="00DD0FE3">
        <w:t xml:space="preserve"> 2014a)</w:t>
      </w:r>
      <w:r w:rsidRPr="000A08DE">
        <w:t>.</w:t>
      </w:r>
    </w:p>
    <w:p w:rsidR="006A074F" w:rsidRDefault="006A074F" w:rsidP="00A97D0E">
      <w:r w:rsidRPr="002777EA">
        <w:rPr>
          <w:lang w:val="en-US"/>
        </w:rPr>
        <w:t>M</w:t>
      </w:r>
      <w:r w:rsidRPr="002777EA">
        <w:rPr>
          <w:rFonts w:cs="Arial"/>
          <w:lang w:val="en-US"/>
        </w:rPr>
        <w:t>ā</w:t>
      </w:r>
      <w:r w:rsidRPr="002777EA">
        <w:rPr>
          <w:lang w:val="en-US"/>
        </w:rPr>
        <w:t xml:space="preserve">ori and Pacific BSP participants interviewed who </w:t>
      </w:r>
      <w:r w:rsidR="00461122">
        <w:rPr>
          <w:lang w:val="en-US"/>
        </w:rPr>
        <w:t>had</w:t>
      </w:r>
      <w:r w:rsidRPr="002777EA">
        <w:rPr>
          <w:lang w:val="en-US"/>
        </w:rPr>
        <w:t xml:space="preserve"> received their results from the Endoscopy Unit perceived this approach as </w:t>
      </w:r>
      <w:r>
        <w:rPr>
          <w:lang w:val="en-US"/>
        </w:rPr>
        <w:t xml:space="preserve">more </w:t>
      </w:r>
      <w:r w:rsidRPr="00D305FF">
        <w:t>convenient, potentially cheaper</w:t>
      </w:r>
      <w:r>
        <w:t xml:space="preserve"> (as no need to take time of work or incur transport costs)</w:t>
      </w:r>
      <w:r w:rsidRPr="00D305FF">
        <w:t xml:space="preserve">, timely and aligned with the next step </w:t>
      </w:r>
      <w:r>
        <w:t>of</w:t>
      </w:r>
      <w:r w:rsidRPr="00D305FF">
        <w:t xml:space="preserve"> having a colonoscopy</w:t>
      </w:r>
      <w:r>
        <w:t xml:space="preserve"> </w:t>
      </w:r>
      <w:r w:rsidR="00614D5E">
        <w:t>rather than from their</w:t>
      </w:r>
      <w:r>
        <w:t xml:space="preserve"> general practice.  </w:t>
      </w:r>
      <w:r w:rsidR="00614D5E">
        <w:t>F</w:t>
      </w:r>
      <w:r>
        <w:t xml:space="preserve">or these participants </w:t>
      </w:r>
      <w:r w:rsidRPr="00D305FF">
        <w:t xml:space="preserve">it is critical </w:t>
      </w:r>
      <w:r>
        <w:t xml:space="preserve">that </w:t>
      </w:r>
      <w:r w:rsidRPr="00D305FF">
        <w:t xml:space="preserve">their GP </w:t>
      </w:r>
      <w:r>
        <w:t xml:space="preserve">is </w:t>
      </w:r>
      <w:r w:rsidRPr="00D305FF">
        <w:t>aware of the</w:t>
      </w:r>
      <w:r>
        <w:t xml:space="preserve">ir iFOBT </w:t>
      </w:r>
      <w:r w:rsidRPr="00D305FF">
        <w:t>result</w:t>
      </w:r>
      <w:r w:rsidR="008D46F5">
        <w:t xml:space="preserve"> </w:t>
      </w:r>
      <w:r w:rsidR="008D46F5">
        <w:rPr>
          <w:lang w:val="en-US"/>
        </w:rPr>
        <w:t>(Litmus 2014c)</w:t>
      </w:r>
      <w:r w:rsidRPr="00D305FF">
        <w:t xml:space="preserve">. </w:t>
      </w:r>
    </w:p>
    <w:p w:rsidR="006A074F" w:rsidRDefault="006A074F" w:rsidP="00A97D0E">
      <w:pPr>
        <w:rPr>
          <w:lang w:val="en-US"/>
        </w:rPr>
      </w:pPr>
      <w:r>
        <w:rPr>
          <w:lang w:val="en-US"/>
        </w:rPr>
        <w:t>BSP</w:t>
      </w:r>
      <w:r w:rsidRPr="002777EA">
        <w:rPr>
          <w:lang w:val="en-US"/>
        </w:rPr>
        <w:t xml:space="preserve"> participants </w:t>
      </w:r>
      <w:r w:rsidR="00115119">
        <w:rPr>
          <w:lang w:val="en-US"/>
        </w:rPr>
        <w:t xml:space="preserve">interviewed </w:t>
      </w:r>
      <w:r w:rsidRPr="002777EA">
        <w:rPr>
          <w:lang w:val="en-US"/>
        </w:rPr>
        <w:t xml:space="preserve">who </w:t>
      </w:r>
      <w:r w:rsidR="00115119">
        <w:rPr>
          <w:lang w:val="en-US"/>
        </w:rPr>
        <w:t>we</w:t>
      </w:r>
      <w:r w:rsidRPr="002777EA">
        <w:rPr>
          <w:lang w:val="en-US"/>
        </w:rPr>
        <w:t>re anxious, ha</w:t>
      </w:r>
      <w:r w:rsidR="00115119">
        <w:rPr>
          <w:lang w:val="en-US"/>
        </w:rPr>
        <w:t>d</w:t>
      </w:r>
      <w:r w:rsidRPr="002777EA">
        <w:rPr>
          <w:lang w:val="en-US"/>
        </w:rPr>
        <w:t xml:space="preserve"> other health conditions or </w:t>
      </w:r>
      <w:r w:rsidR="00115119">
        <w:rPr>
          <w:lang w:val="en-US"/>
        </w:rPr>
        <w:t>we</w:t>
      </w:r>
      <w:r w:rsidRPr="002777EA">
        <w:rPr>
          <w:lang w:val="en-US"/>
        </w:rPr>
        <w:t>re reluctant to have a colonoscopy</w:t>
      </w:r>
      <w:r w:rsidR="00FB5704">
        <w:rPr>
          <w:lang w:val="en-US"/>
        </w:rPr>
        <w:t>,</w:t>
      </w:r>
      <w:r w:rsidRPr="002777EA">
        <w:rPr>
          <w:lang w:val="en-US"/>
        </w:rPr>
        <w:t xml:space="preserve"> </w:t>
      </w:r>
      <w:r>
        <w:rPr>
          <w:lang w:val="en-US"/>
        </w:rPr>
        <w:t>gained</w:t>
      </w:r>
      <w:r w:rsidRPr="002777EA">
        <w:rPr>
          <w:lang w:val="en-US"/>
        </w:rPr>
        <w:t xml:space="preserve"> benefit from a consultation with their GP about their positive result</w:t>
      </w:r>
      <w:r w:rsidR="00461122">
        <w:rPr>
          <w:lang w:val="en-US"/>
        </w:rPr>
        <w:t xml:space="preserve"> (Litmus 2014c)</w:t>
      </w:r>
      <w:r w:rsidRPr="002777EA">
        <w:rPr>
          <w:lang w:val="en-US"/>
        </w:rPr>
        <w:t xml:space="preserve">.  </w:t>
      </w:r>
    </w:p>
    <w:p w:rsidR="001D2447" w:rsidRDefault="001D2447" w:rsidP="001D2447">
      <w:pPr>
        <w:pStyle w:val="Heading4"/>
        <w:rPr>
          <w:lang w:eastAsia="ar-SA"/>
        </w:rPr>
      </w:pPr>
      <w:r>
        <w:rPr>
          <w:lang w:eastAsia="ar-SA"/>
        </w:rPr>
        <w:t xml:space="preserve">Implications for a potential national roll out </w:t>
      </w:r>
    </w:p>
    <w:p w:rsidR="001A7D1B" w:rsidRDefault="00461122" w:rsidP="001A7D1B">
      <w:r>
        <w:t xml:space="preserve">There are mixed perceptions </w:t>
      </w:r>
      <w:r w:rsidR="00FB5704">
        <w:t xml:space="preserve">during the first screening round </w:t>
      </w:r>
      <w:r>
        <w:t>about general practice informing participants about their positive iFOBT results.  In considering the role of general practice in a potential national roll out, the po</w:t>
      </w:r>
      <w:r w:rsidR="00424E39">
        <w:t>ssible</w:t>
      </w:r>
      <w:r>
        <w:t xml:space="preserve"> c</w:t>
      </w:r>
      <w:r w:rsidR="001A7D1B">
        <w:t xml:space="preserve">onsequences </w:t>
      </w:r>
      <w:r>
        <w:t xml:space="preserve">of their </w:t>
      </w:r>
      <w:r w:rsidR="001A7D1B">
        <w:t xml:space="preserve">not being involved needs to be </w:t>
      </w:r>
      <w:r>
        <w:t>considered</w:t>
      </w:r>
      <w:r w:rsidR="00FB5704">
        <w:t>,</w:t>
      </w:r>
      <w:r w:rsidR="001A7D1B">
        <w:t xml:space="preserve"> in particular: </w:t>
      </w:r>
    </w:p>
    <w:p w:rsidR="001A7D1B" w:rsidRDefault="002A1260" w:rsidP="00604AA9">
      <w:pPr>
        <w:numPr>
          <w:ilvl w:val="0"/>
          <w:numId w:val="6"/>
        </w:numPr>
        <w:autoSpaceDE w:val="0"/>
        <w:autoSpaceDN w:val="0"/>
        <w:adjustRightInd w:val="0"/>
        <w:spacing w:before="60" w:after="120"/>
        <w:ind w:left="1134" w:hanging="425"/>
      </w:pPr>
      <w:r>
        <w:t xml:space="preserve">The </w:t>
      </w:r>
      <w:r w:rsidR="001A7D1B">
        <w:t>impact on the continuity of care for participants diagnosed with bowel cancer.  It is assumed the impact would be minimal provided GPs are informed about their patients’ results.</w:t>
      </w:r>
    </w:p>
    <w:p w:rsidR="001A7D1B" w:rsidRPr="00AB7CFB" w:rsidRDefault="002A1260" w:rsidP="00604AA9">
      <w:pPr>
        <w:numPr>
          <w:ilvl w:val="0"/>
          <w:numId w:val="6"/>
        </w:numPr>
        <w:autoSpaceDE w:val="0"/>
        <w:autoSpaceDN w:val="0"/>
        <w:adjustRightInd w:val="0"/>
        <w:spacing w:before="60" w:after="120"/>
        <w:ind w:left="1134" w:hanging="425"/>
        <w:rPr>
          <w:rFonts w:cs="Arial"/>
        </w:rPr>
      </w:pPr>
      <w:r>
        <w:t xml:space="preserve">The </w:t>
      </w:r>
      <w:r w:rsidR="001A7D1B">
        <w:t xml:space="preserve">impact on general practice’s promotion of the BSP and willingness to follow up non-responders if they no longer have a key role in the pathway.  This comment reflects that day-to-day general practice deals with many competing priorities so there is a risk that without this role the BSP may not be top of mind.  Currently </w:t>
      </w:r>
      <w:r w:rsidR="00614D5E">
        <w:t>there is a need to identify</w:t>
      </w:r>
      <w:r w:rsidR="001A7D1B">
        <w:t xml:space="preserve"> strategies to increase participation by eligible M</w:t>
      </w:r>
      <w:r w:rsidR="001A7D1B" w:rsidRPr="00C57A7D">
        <w:t>ā</w:t>
      </w:r>
      <w:r w:rsidR="001A7D1B">
        <w:t xml:space="preserve">ori and Pacific people.  General practice could have a role in encouraging non-responders (if made aware of </w:t>
      </w:r>
      <w:r w:rsidR="003D209D">
        <w:t>whom</w:t>
      </w:r>
      <w:r w:rsidR="001A7D1B">
        <w:t xml:space="preserve"> they are) to take part in the BSP – </w:t>
      </w:r>
      <w:r w:rsidR="00424E39">
        <w:t xml:space="preserve">it is unknown whether or not </w:t>
      </w:r>
      <w:r w:rsidR="001B4791">
        <w:t>general practice</w:t>
      </w:r>
      <w:r w:rsidR="00424E39">
        <w:t xml:space="preserve"> involvement will in</w:t>
      </w:r>
      <w:r w:rsidR="001A7D1B">
        <w:t xml:space="preserve">crease participation by </w:t>
      </w:r>
      <w:r w:rsidR="001A7D1B" w:rsidRPr="00FD585F">
        <w:t>M</w:t>
      </w:r>
      <w:r w:rsidR="001A7D1B" w:rsidRPr="00C57A7D">
        <w:t>ā</w:t>
      </w:r>
      <w:r w:rsidR="001A7D1B" w:rsidRPr="00FD585F">
        <w:t>ori</w:t>
      </w:r>
      <w:r w:rsidR="001A7D1B">
        <w:t xml:space="preserve"> and Pacific people.  </w:t>
      </w:r>
    </w:p>
    <w:p w:rsidR="001A7D1B" w:rsidRPr="00D1687D" w:rsidRDefault="00F16D07" w:rsidP="00604AA9">
      <w:pPr>
        <w:numPr>
          <w:ilvl w:val="0"/>
          <w:numId w:val="6"/>
        </w:numPr>
        <w:autoSpaceDE w:val="0"/>
        <w:autoSpaceDN w:val="0"/>
        <w:adjustRightInd w:val="0"/>
        <w:spacing w:before="60" w:after="120"/>
        <w:ind w:left="1134" w:hanging="425"/>
        <w:rPr>
          <w:rFonts w:cs="Arial"/>
        </w:rPr>
      </w:pPr>
      <w:r>
        <w:t>T</w:t>
      </w:r>
      <w:r w:rsidR="001A7D1B">
        <w:t>he impact and cost of the Endoscopy Unit’s CNS undertaking this role for all participants with a positive iFOBT result and if not the CNS the acceptability of other BSP staff to participants.</w:t>
      </w:r>
    </w:p>
    <w:p w:rsidR="00A077B6" w:rsidRDefault="007440BC" w:rsidP="00A077B6">
      <w:pPr>
        <w:pStyle w:val="Heading3"/>
      </w:pPr>
      <w:r>
        <w:lastRenderedPageBreak/>
        <w:t>P</w:t>
      </w:r>
      <w:r w:rsidR="00DF470A">
        <w:t>re-assessment</w:t>
      </w:r>
    </w:p>
    <w:p w:rsidR="00441FBD" w:rsidRDefault="00441FBD" w:rsidP="00441FBD">
      <w:pPr>
        <w:rPr>
          <w:lang w:eastAsia="ar-SA"/>
        </w:rPr>
      </w:pPr>
      <w:r>
        <w:rPr>
          <w:lang w:eastAsia="ar-SA"/>
        </w:rPr>
        <w:t xml:space="preserve">The </w:t>
      </w:r>
      <w:r w:rsidRPr="00EA1F0D">
        <w:rPr>
          <w:lang w:eastAsia="ar-SA"/>
        </w:rPr>
        <w:t>pre-assessment phone call</w:t>
      </w:r>
      <w:r>
        <w:rPr>
          <w:lang w:eastAsia="ar-SA"/>
        </w:rPr>
        <w:t xml:space="preserve"> with BSP participants, while very resource</w:t>
      </w:r>
      <w:r w:rsidR="002A1260">
        <w:rPr>
          <w:lang w:eastAsia="ar-SA"/>
        </w:rPr>
        <w:t>-</w:t>
      </w:r>
      <w:r>
        <w:rPr>
          <w:lang w:eastAsia="ar-SA"/>
        </w:rPr>
        <w:t xml:space="preserve">intensive on CNS time, contributes to checking the appropriateness of colonoscopy versus alternative procedures, </w:t>
      </w:r>
      <w:r w:rsidR="00AA23E1">
        <w:rPr>
          <w:lang w:eastAsia="ar-SA"/>
        </w:rPr>
        <w:t xml:space="preserve">reducing </w:t>
      </w:r>
      <w:r>
        <w:rPr>
          <w:lang w:eastAsia="ar-SA"/>
        </w:rPr>
        <w:t>DNA rates</w:t>
      </w:r>
      <w:r w:rsidR="00614D5E" w:rsidRPr="00697D47">
        <w:rPr>
          <w:rStyle w:val="FootnoteReference"/>
        </w:rPr>
        <w:footnoteReference w:id="75"/>
      </w:r>
      <w:r w:rsidR="00AA23E1">
        <w:rPr>
          <w:lang w:eastAsia="ar-SA"/>
        </w:rPr>
        <w:t xml:space="preserve"> </w:t>
      </w:r>
      <w:r>
        <w:rPr>
          <w:lang w:eastAsia="ar-SA"/>
        </w:rPr>
        <w:t xml:space="preserve">and </w:t>
      </w:r>
      <w:r w:rsidR="00AA23E1">
        <w:rPr>
          <w:lang w:eastAsia="ar-SA"/>
        </w:rPr>
        <w:t xml:space="preserve">ensuring </w:t>
      </w:r>
      <w:r>
        <w:rPr>
          <w:lang w:eastAsia="ar-SA"/>
        </w:rPr>
        <w:t xml:space="preserve">good bowel preparation.  Due to the time needed to undertake the pre-assessment, the CNSs are no longer </w:t>
      </w:r>
      <w:r w:rsidR="00AA23E1">
        <w:rPr>
          <w:lang w:eastAsia="ar-SA"/>
        </w:rPr>
        <w:t xml:space="preserve">also </w:t>
      </w:r>
      <w:r>
        <w:rPr>
          <w:lang w:eastAsia="ar-SA"/>
        </w:rPr>
        <w:t xml:space="preserve">calling participants the day before their colonoscopy to ensure the bowel preparation is proceeding as intended. </w:t>
      </w:r>
    </w:p>
    <w:p w:rsidR="00441FBD" w:rsidRDefault="00441FBD" w:rsidP="00441FBD">
      <w:r w:rsidRPr="00EA1F0D">
        <w:t>Use of translators</w:t>
      </w:r>
      <w:r>
        <w:t xml:space="preserve"> for people with English as another language was identified as important to ensure participants understand information given both at the pre-assessment phone call and when having their colonoscopy.  </w:t>
      </w:r>
    </w:p>
    <w:p w:rsidR="00A077B6" w:rsidRDefault="007440BC" w:rsidP="00A077B6">
      <w:pPr>
        <w:pStyle w:val="Heading3"/>
      </w:pPr>
      <w:r>
        <w:t>C</w:t>
      </w:r>
      <w:r w:rsidR="00A077B6" w:rsidRPr="00A077B6">
        <w:t>olonoscopy</w:t>
      </w:r>
      <w:r w:rsidR="00A077B6" w:rsidRPr="00A077B6">
        <w:tab/>
      </w:r>
    </w:p>
    <w:p w:rsidR="000F17B0" w:rsidRDefault="000F17B0" w:rsidP="000F17B0">
      <w:pPr>
        <w:rPr>
          <w:b/>
        </w:rPr>
      </w:pPr>
      <w:r w:rsidRPr="00AD04B1">
        <w:rPr>
          <w:b/>
          <w:lang w:val="en-US"/>
        </w:rPr>
        <w:t>Ensuring</w:t>
      </w:r>
      <w:r w:rsidR="00614D5E">
        <w:rPr>
          <w:b/>
        </w:rPr>
        <w:t xml:space="preserve"> adequate workforce capacity</w:t>
      </w:r>
    </w:p>
    <w:p w:rsidR="00EB319D" w:rsidRDefault="000B0380" w:rsidP="0078457A">
      <w:r w:rsidRPr="00B77083">
        <w:t xml:space="preserve">Pre-BSP research </w:t>
      </w:r>
      <w:r w:rsidR="00BF4BD7" w:rsidRPr="00B77083">
        <w:t>highlights</w:t>
      </w:r>
      <w:r w:rsidRPr="00B77083">
        <w:t xml:space="preserve"> a significant gap between colonoscopy demand and provision, and that population screening would require a significant increase in colonoscopy capacity (Yeoman and Parry 2007).  In 2012, Green et al concluded that </w:t>
      </w:r>
      <w:r w:rsidR="003D209D" w:rsidRPr="00B77083">
        <w:t>colonoscopy</w:t>
      </w:r>
      <w:r w:rsidRPr="00B77083">
        <w:t xml:space="preserve"> requirements of an iFOBT based population screening for bowel cancer are high to deliver the initial confirmatory procedure and subsequent surveillance procedures in a timely manner.  </w:t>
      </w:r>
      <w:r w:rsidR="00813E3C" w:rsidRPr="00B77083">
        <w:t>They note significant expansion of colonoscopy services is required to meet the screening requirements including surveillance whilst maintaining symptomatic services.</w:t>
      </w:r>
      <w:r w:rsidR="00813E3C">
        <w:t xml:space="preserve"> </w:t>
      </w:r>
    </w:p>
    <w:p w:rsidR="0078457A" w:rsidRDefault="00813E3C" w:rsidP="0078457A">
      <w:r>
        <w:t>In 2012, reflecting this research and following the launch of the BSP, h</w:t>
      </w:r>
      <w:r w:rsidR="000F17B0">
        <w:t>aving</w:t>
      </w:r>
      <w:r w:rsidR="000F17B0" w:rsidRPr="00965963">
        <w:t xml:space="preserve"> adequate colonoscopy capacity to meet </w:t>
      </w:r>
      <w:r w:rsidR="00424E39">
        <w:t xml:space="preserve">BSP </w:t>
      </w:r>
      <w:r w:rsidR="000F17B0" w:rsidRPr="00965963">
        <w:t>quality standard</w:t>
      </w:r>
      <w:r w:rsidR="000F17B0" w:rsidRPr="00722841">
        <w:t>s</w:t>
      </w:r>
      <w:r w:rsidR="000F17B0" w:rsidRPr="007E00FD">
        <w:t xml:space="preserve"> </w:t>
      </w:r>
      <w:r>
        <w:t xml:space="preserve">was identified as </w:t>
      </w:r>
      <w:r w:rsidR="000F17B0">
        <w:t>a key c</w:t>
      </w:r>
      <w:r w:rsidR="000F17B0" w:rsidRPr="007E00FD">
        <w:t>hallenge</w:t>
      </w:r>
      <w:r w:rsidR="000F17B0" w:rsidRPr="00965963">
        <w:rPr>
          <w:lang w:val="en-US"/>
        </w:rPr>
        <w:t xml:space="preserve">.  </w:t>
      </w:r>
      <w:r w:rsidR="000F17B0">
        <w:rPr>
          <w:lang w:val="en-US"/>
        </w:rPr>
        <w:t>While this challenge remains in 2013, 9</w:t>
      </w:r>
      <w:r w:rsidR="003A64F0">
        <w:rPr>
          <w:lang w:val="en-US"/>
        </w:rPr>
        <w:t>1</w:t>
      </w:r>
      <w:r w:rsidR="000F17B0">
        <w:rPr>
          <w:lang w:val="en-US"/>
        </w:rPr>
        <w:t xml:space="preserve">% of BSP participants </w:t>
      </w:r>
      <w:r w:rsidR="0078457A">
        <w:rPr>
          <w:lang w:val="en-US"/>
        </w:rPr>
        <w:t xml:space="preserve">with a positive iFOBT </w:t>
      </w:r>
      <w:r w:rsidR="000F17B0">
        <w:rPr>
          <w:lang w:val="en-US"/>
        </w:rPr>
        <w:t xml:space="preserve">had their colonoscopy </w:t>
      </w:r>
      <w:r w:rsidR="00AA23E1">
        <w:rPr>
          <w:lang w:val="en-US"/>
        </w:rPr>
        <w:t xml:space="preserve">within </w:t>
      </w:r>
      <w:r w:rsidR="000F17B0">
        <w:rPr>
          <w:lang w:val="en-US"/>
        </w:rPr>
        <w:t xml:space="preserve">the quality standard of 55 days </w:t>
      </w:r>
      <w:r w:rsidR="003A64F0">
        <w:rPr>
          <w:lang w:val="en-US"/>
        </w:rPr>
        <w:t>in screening round one (January 2012 to 31 December 2013</w:t>
      </w:r>
      <w:r>
        <w:rPr>
          <w:lang w:val="en-US"/>
        </w:rPr>
        <w:t>)</w:t>
      </w:r>
      <w:r w:rsidR="000F17B0" w:rsidRPr="0078457A">
        <w:t xml:space="preserve">.  </w:t>
      </w:r>
      <w:r w:rsidR="0078457A">
        <w:t xml:space="preserve">In contrast, only </w:t>
      </w:r>
      <w:r w:rsidR="003A64F0">
        <w:t>4</w:t>
      </w:r>
      <w:r w:rsidR="0078457A">
        <w:t xml:space="preserve">% of participants had their colonoscopy </w:t>
      </w:r>
      <w:r w:rsidR="0078457A" w:rsidRPr="0078457A">
        <w:t xml:space="preserve">within 25 working days </w:t>
      </w:r>
      <w:r w:rsidR="0078457A">
        <w:t>c</w:t>
      </w:r>
      <w:r w:rsidR="0078457A" w:rsidRPr="0078457A">
        <w:t xml:space="preserve">ompared to the standard of 50%.  </w:t>
      </w:r>
    </w:p>
    <w:p w:rsidR="000F17B0" w:rsidRDefault="000F17B0" w:rsidP="000F17B0">
      <w:pPr>
        <w:rPr>
          <w:lang w:val="en-US"/>
        </w:rPr>
      </w:pPr>
      <w:r>
        <w:rPr>
          <w:lang w:val="en-US"/>
        </w:rPr>
        <w:t xml:space="preserve">To remain within the quality standards, </w:t>
      </w:r>
      <w:r w:rsidRPr="00657432">
        <w:rPr>
          <w:lang w:val="en-US"/>
        </w:rPr>
        <w:t xml:space="preserve">50 </w:t>
      </w:r>
      <w:r>
        <w:rPr>
          <w:lang w:val="en-US"/>
        </w:rPr>
        <w:t>colonoscopies per week</w:t>
      </w:r>
      <w:r w:rsidR="00B1475E">
        <w:rPr>
          <w:lang w:val="en-US"/>
        </w:rPr>
        <w:t xml:space="preserve"> must</w:t>
      </w:r>
      <w:r>
        <w:rPr>
          <w:lang w:val="en-US"/>
        </w:rPr>
        <w:t xml:space="preserve"> be completed, based on the current participation and iFOBT positivity result rates.  </w:t>
      </w:r>
    </w:p>
    <w:p w:rsidR="000F17B0" w:rsidRDefault="000F17B0" w:rsidP="000F17B0">
      <w:pPr>
        <w:rPr>
          <w:lang w:val="en-US"/>
        </w:rPr>
      </w:pPr>
      <w:r>
        <w:rPr>
          <w:lang w:val="en-US"/>
        </w:rPr>
        <w:t>To achieve this, the BSP programme manager, the</w:t>
      </w:r>
      <w:r w:rsidRPr="00881391">
        <w:t xml:space="preserve"> </w:t>
      </w:r>
      <w:r>
        <w:t>WDHB BSP Clinical Director</w:t>
      </w:r>
      <w:r>
        <w:rPr>
          <w:lang w:val="en-US"/>
        </w:rPr>
        <w:t xml:space="preserve"> and the two CNSs work continuously to encourage and support endoscopists from WDHB, other DHBs and private consultants to undertake the lists available.  Some of the identified pressures on the availability of endoscopists are: </w:t>
      </w:r>
    </w:p>
    <w:p w:rsidR="000F17B0" w:rsidRDefault="000F17B0" w:rsidP="00604AA9">
      <w:pPr>
        <w:pStyle w:val="Bullet"/>
        <w:numPr>
          <w:ilvl w:val="0"/>
          <w:numId w:val="10"/>
        </w:numPr>
        <w:tabs>
          <w:tab w:val="num" w:pos="6663"/>
        </w:tabs>
        <w:ind w:left="1069"/>
        <w:rPr>
          <w:lang w:val="en-US"/>
        </w:rPr>
      </w:pPr>
      <w:r w:rsidRPr="00995633">
        <w:rPr>
          <w:lang w:val="en-US"/>
        </w:rPr>
        <w:t xml:space="preserve">Not enough endoscopists within WDHB to cover the BSP lists.  A new endoscopy room </w:t>
      </w:r>
      <w:r w:rsidR="003A64F0">
        <w:rPr>
          <w:lang w:val="en-US"/>
        </w:rPr>
        <w:t>was</w:t>
      </w:r>
      <w:r w:rsidRPr="00995633">
        <w:rPr>
          <w:lang w:val="en-US"/>
        </w:rPr>
        <w:t xml:space="preserve"> opened at Waitakere Hospital for symptomatic lists</w:t>
      </w:r>
      <w:r w:rsidR="003A64F0">
        <w:rPr>
          <w:lang w:val="en-US"/>
        </w:rPr>
        <w:t xml:space="preserve"> in late 2013</w:t>
      </w:r>
      <w:r w:rsidRPr="00995633">
        <w:rPr>
          <w:lang w:val="en-US"/>
        </w:rPr>
        <w:t xml:space="preserve">.  As a result the availability of endoscopists has declined.  The BSP Coordination Centre seeks to ensure that their actions do not affect the availability of endoscopists for the symptomatic list. </w:t>
      </w:r>
    </w:p>
    <w:p w:rsidR="000F17B0" w:rsidRDefault="000F17B0" w:rsidP="002E41E5">
      <w:pPr>
        <w:pStyle w:val="Bullet"/>
        <w:keepNext/>
        <w:keepLines/>
        <w:numPr>
          <w:ilvl w:val="0"/>
          <w:numId w:val="10"/>
        </w:numPr>
        <w:tabs>
          <w:tab w:val="num" w:pos="6663"/>
        </w:tabs>
        <w:ind w:left="1072"/>
      </w:pPr>
      <w:r w:rsidRPr="00F418C6">
        <w:rPr>
          <w:lang w:val="en-US"/>
        </w:rPr>
        <w:lastRenderedPageBreak/>
        <w:t xml:space="preserve">Staff turnover and need to increase staff.  New staff, both a surgeon and </w:t>
      </w:r>
      <w:r>
        <w:t>Gastroenterology Fellow</w:t>
      </w:r>
      <w:r w:rsidRPr="00F418C6">
        <w:rPr>
          <w:lang w:val="en-US"/>
        </w:rPr>
        <w:t xml:space="preserve">, </w:t>
      </w:r>
      <w:r w:rsidR="007F7CA7">
        <w:rPr>
          <w:lang w:val="en-US"/>
        </w:rPr>
        <w:t>commenced</w:t>
      </w:r>
      <w:r w:rsidRPr="00F418C6">
        <w:rPr>
          <w:lang w:val="en-US"/>
        </w:rPr>
        <w:t xml:space="preserve"> </w:t>
      </w:r>
      <w:r w:rsidR="002A1260">
        <w:rPr>
          <w:lang w:val="en-US"/>
        </w:rPr>
        <w:t xml:space="preserve">work </w:t>
      </w:r>
      <w:r w:rsidRPr="00F418C6">
        <w:rPr>
          <w:lang w:val="en-US"/>
        </w:rPr>
        <w:t xml:space="preserve">in January 2014, which may alleviate some of the pressure to find endoscopists to get lists completed within quality standards.  The surgeon </w:t>
      </w:r>
      <w:r>
        <w:t xml:space="preserve">will contribute to both the BSP colonoscopies and treatment.  </w:t>
      </w:r>
    </w:p>
    <w:p w:rsidR="000F17B0" w:rsidRPr="00F418C6" w:rsidRDefault="000F17B0" w:rsidP="002E41E5">
      <w:pPr>
        <w:pStyle w:val="Bullet"/>
        <w:keepNext/>
        <w:keepLines/>
        <w:numPr>
          <w:ilvl w:val="0"/>
          <w:numId w:val="0"/>
        </w:numPr>
        <w:ind w:left="1072"/>
      </w:pPr>
      <w:r w:rsidRPr="00F418C6">
        <w:t xml:space="preserve">A resizing of some senior clinician roles has resulted in the confirmation of three additional lists per week for the BSP from October </w:t>
      </w:r>
      <w:r>
        <w:t xml:space="preserve">2013 </w:t>
      </w:r>
      <w:r w:rsidRPr="00F418C6">
        <w:t xml:space="preserve">onwards. </w:t>
      </w:r>
    </w:p>
    <w:p w:rsidR="007F7CA7" w:rsidRPr="007F7CA7" w:rsidRDefault="000F17B0" w:rsidP="00604AA9">
      <w:pPr>
        <w:pStyle w:val="Bullet"/>
        <w:numPr>
          <w:ilvl w:val="0"/>
          <w:numId w:val="10"/>
        </w:numPr>
        <w:tabs>
          <w:tab w:val="num" w:pos="6663"/>
        </w:tabs>
        <w:ind w:left="1069"/>
        <w:rPr>
          <w:lang w:eastAsia="ar-SA"/>
        </w:rPr>
      </w:pPr>
      <w:r w:rsidRPr="007F7CA7">
        <w:rPr>
          <w:lang w:val="en-US"/>
        </w:rPr>
        <w:t xml:space="preserve">Competing priorities affect the availability of endoscopists from other DHBs.  </w:t>
      </w:r>
    </w:p>
    <w:p w:rsidR="000F17B0" w:rsidRPr="00A82A81" w:rsidRDefault="000F17B0" w:rsidP="007F7CA7">
      <w:pPr>
        <w:rPr>
          <w:lang w:eastAsia="ar-SA"/>
        </w:rPr>
      </w:pPr>
      <w:r w:rsidRPr="00A82A81">
        <w:rPr>
          <w:lang w:eastAsia="ar-SA"/>
        </w:rPr>
        <w:t xml:space="preserve">Key stakeholders highlight the need for experienced endoscopists </w:t>
      </w:r>
      <w:r>
        <w:rPr>
          <w:lang w:eastAsia="ar-SA"/>
        </w:rPr>
        <w:t>for bowel screening</w:t>
      </w:r>
      <w:r w:rsidR="00424E39">
        <w:rPr>
          <w:lang w:eastAsia="ar-SA"/>
        </w:rPr>
        <w:t>,</w:t>
      </w:r>
      <w:r>
        <w:rPr>
          <w:lang w:eastAsia="ar-SA"/>
        </w:rPr>
        <w:t xml:space="preserve"> </w:t>
      </w:r>
      <w:r w:rsidRPr="00A82A81">
        <w:rPr>
          <w:lang w:eastAsia="ar-SA"/>
        </w:rPr>
        <w:t xml:space="preserve">given the complexity of the colonoscopies and the additional risks of asymptomatic participants.  </w:t>
      </w:r>
    </w:p>
    <w:p w:rsidR="003A64F0" w:rsidRDefault="003A64F0" w:rsidP="003A64F0">
      <w:pPr>
        <w:pStyle w:val="Heading4"/>
      </w:pPr>
      <w:r>
        <w:t xml:space="preserve">Perceptions of workforce capacity </w:t>
      </w:r>
    </w:p>
    <w:p w:rsidR="000F17B0" w:rsidRPr="00C369EC" w:rsidRDefault="00D62C6C" w:rsidP="000F17B0">
      <w:pPr>
        <w:spacing w:before="0" w:after="120"/>
        <w:jc w:val="both"/>
      </w:pPr>
      <w:r w:rsidRPr="005C5612">
        <w:t xml:space="preserve">All endoscopy staff </w:t>
      </w:r>
      <w:r>
        <w:t xml:space="preserve">(100%) </w:t>
      </w:r>
      <w:r w:rsidRPr="005C5612">
        <w:t>reported that the BSP had increased the</w:t>
      </w:r>
      <w:r w:rsidR="00614D5E">
        <w:t>ir</w:t>
      </w:r>
      <w:r w:rsidRPr="005C5612">
        <w:t xml:space="preserve"> workload, with 65% stating that the workload had </w:t>
      </w:r>
      <w:r w:rsidRPr="005C5612">
        <w:rPr>
          <w:rFonts w:cs="Arial"/>
          <w:i/>
          <w:lang w:eastAsia="en-NZ"/>
        </w:rPr>
        <w:t>significantly increased</w:t>
      </w:r>
      <w:r w:rsidR="000F17B0">
        <w:rPr>
          <w:rFonts w:cs="Arial"/>
          <w:i/>
          <w:lang w:eastAsia="en-NZ"/>
        </w:rPr>
        <w:t xml:space="preserve"> </w:t>
      </w:r>
      <w:r w:rsidR="000F17B0">
        <w:t>(Litmus 2014b)</w:t>
      </w:r>
      <w:r w:rsidR="000F17B0" w:rsidRPr="00C369EC">
        <w:t>.</w:t>
      </w:r>
    </w:p>
    <w:p w:rsidR="00D62C6C" w:rsidRPr="00C369EC" w:rsidRDefault="008B188C" w:rsidP="00D62C6C">
      <w:pPr>
        <w:spacing w:before="0" w:after="120"/>
        <w:jc w:val="both"/>
      </w:pPr>
      <w:r>
        <w:t>Other p</w:t>
      </w:r>
      <w:r w:rsidR="00D62C6C" w:rsidRPr="00C369EC">
        <w:t>rovider perceptions of the current capacity of WHEU colonoscopy services were mixed</w:t>
      </w:r>
      <w:r w:rsidR="000F17B0">
        <w:t xml:space="preserve"> (Litmus 2014b)</w:t>
      </w:r>
      <w:r w:rsidR="00EE5261" w:rsidRPr="00697D47">
        <w:rPr>
          <w:rStyle w:val="FootnoteReference"/>
        </w:rPr>
        <w:footnoteReference w:id="76"/>
      </w:r>
      <w:r w:rsidR="00D62C6C" w:rsidRPr="00C369EC">
        <w:t>.</w:t>
      </w:r>
    </w:p>
    <w:p w:rsidR="00D62C6C" w:rsidRPr="00B96525" w:rsidRDefault="00D62C6C" w:rsidP="00604AA9">
      <w:pPr>
        <w:numPr>
          <w:ilvl w:val="0"/>
          <w:numId w:val="6"/>
        </w:numPr>
        <w:autoSpaceDE w:val="0"/>
        <w:autoSpaceDN w:val="0"/>
        <w:adjustRightInd w:val="0"/>
        <w:spacing w:before="0" w:after="120"/>
        <w:ind w:left="1134" w:hanging="425"/>
      </w:pPr>
      <w:r w:rsidRPr="00F673FB">
        <w:t xml:space="preserve">Just over half of GPs (52%) indicated that </w:t>
      </w:r>
      <w:r>
        <w:t>capacity i</w:t>
      </w:r>
      <w:r w:rsidRPr="00F673FB">
        <w:t xml:space="preserve">s </w:t>
      </w:r>
      <w:r w:rsidRPr="00F673FB">
        <w:rPr>
          <w:i/>
        </w:rPr>
        <w:t>about right</w:t>
      </w:r>
      <w:r w:rsidRPr="00F673FB">
        <w:t xml:space="preserve"> or </w:t>
      </w:r>
      <w:r w:rsidRPr="00F673FB">
        <w:rPr>
          <w:i/>
        </w:rPr>
        <w:t>more than enough</w:t>
      </w:r>
      <w:r w:rsidRPr="00F673FB">
        <w:t xml:space="preserve"> for colonoscopy services, via the WHEU, for the BSP. This </w:t>
      </w:r>
      <w:r w:rsidRPr="00F673FB">
        <w:rPr>
          <w:rFonts w:cs="Arial"/>
          <w:lang w:eastAsia="en-NZ"/>
        </w:rPr>
        <w:t xml:space="preserve">was a significant </w:t>
      </w:r>
      <w:r w:rsidRPr="00B96525">
        <w:rPr>
          <w:rFonts w:cs="Arial"/>
          <w:lang w:eastAsia="en-NZ"/>
        </w:rPr>
        <w:t xml:space="preserve">increase from </w:t>
      </w:r>
      <w:r>
        <w:rPr>
          <w:rFonts w:cs="Arial"/>
          <w:lang w:eastAsia="en-NZ"/>
        </w:rPr>
        <w:t>8%</w:t>
      </w:r>
      <w:r w:rsidRPr="00B96525">
        <w:rPr>
          <w:rFonts w:cs="Arial"/>
          <w:lang w:eastAsia="en-NZ"/>
        </w:rPr>
        <w:t xml:space="preserve"> reported in the 2011 baseline provider survey.</w:t>
      </w:r>
      <w:r w:rsidR="00E27288">
        <w:rPr>
          <w:rFonts w:cs="Arial"/>
          <w:lang w:eastAsia="en-NZ"/>
        </w:rPr>
        <w:t xml:space="preserve"> </w:t>
      </w:r>
      <w:r w:rsidR="00EE5261">
        <w:rPr>
          <w:rFonts w:cs="Arial"/>
          <w:lang w:eastAsia="en-NZ"/>
        </w:rPr>
        <w:t xml:space="preserve">A third (37%) said there is </w:t>
      </w:r>
      <w:r w:rsidR="00EE5261" w:rsidRPr="00EE5261">
        <w:rPr>
          <w:rFonts w:cs="Arial"/>
          <w:i/>
          <w:lang w:eastAsia="en-NZ"/>
        </w:rPr>
        <w:t>not enough capacity</w:t>
      </w:r>
      <w:r w:rsidR="00EE5261">
        <w:rPr>
          <w:rFonts w:cs="Arial"/>
          <w:lang w:eastAsia="en-NZ"/>
        </w:rPr>
        <w:t xml:space="preserve"> and 11</w:t>
      </w:r>
      <w:r w:rsidR="00E27288">
        <w:rPr>
          <w:rFonts w:cs="Arial"/>
          <w:lang w:eastAsia="en-NZ"/>
        </w:rPr>
        <w:t xml:space="preserve">% </w:t>
      </w:r>
      <w:r w:rsidR="00E27288" w:rsidRPr="00EE5261">
        <w:rPr>
          <w:rFonts w:cs="Arial"/>
          <w:i/>
          <w:lang w:eastAsia="en-NZ"/>
        </w:rPr>
        <w:t>don’t know</w:t>
      </w:r>
      <w:r w:rsidR="00EE5261">
        <w:rPr>
          <w:rFonts w:cs="Arial"/>
          <w:lang w:eastAsia="en-NZ"/>
        </w:rPr>
        <w:t xml:space="preserve">. </w:t>
      </w:r>
    </w:p>
    <w:p w:rsidR="00D62C6C" w:rsidRPr="00B96525" w:rsidRDefault="00D62C6C" w:rsidP="00604AA9">
      <w:pPr>
        <w:numPr>
          <w:ilvl w:val="0"/>
          <w:numId w:val="6"/>
        </w:numPr>
        <w:autoSpaceDE w:val="0"/>
        <w:autoSpaceDN w:val="0"/>
        <w:adjustRightInd w:val="0"/>
        <w:spacing w:before="0" w:after="120"/>
        <w:ind w:left="1134" w:hanging="425"/>
      </w:pPr>
      <w:r w:rsidRPr="00B96525">
        <w:t xml:space="preserve">One-third of practice nurses (34%) indicated that capacity is </w:t>
      </w:r>
      <w:r w:rsidRPr="00B96525">
        <w:rPr>
          <w:i/>
        </w:rPr>
        <w:t>about right</w:t>
      </w:r>
      <w:r w:rsidRPr="00B96525">
        <w:t xml:space="preserve"> or </w:t>
      </w:r>
      <w:r w:rsidRPr="00B96525">
        <w:rPr>
          <w:i/>
        </w:rPr>
        <w:t>more than enough</w:t>
      </w:r>
      <w:r w:rsidRPr="00B96525">
        <w:t>, whereas 27% (</w:t>
      </w:r>
      <w:r w:rsidRPr="00B96525">
        <w:rPr>
          <w:rFonts w:cs="Arial"/>
          <w:lang w:eastAsia="en-NZ"/>
        </w:rPr>
        <w:t>significantly lower than 43% in the 2011 baseline provider survey</w:t>
      </w:r>
      <w:r w:rsidRPr="00B96525">
        <w:t xml:space="preserve">) felt that there is </w:t>
      </w:r>
      <w:r w:rsidRPr="00B96525">
        <w:rPr>
          <w:i/>
        </w:rPr>
        <w:t>not enough</w:t>
      </w:r>
      <w:r w:rsidRPr="00B96525">
        <w:t xml:space="preserve"> capacity and 40% reported they </w:t>
      </w:r>
      <w:r w:rsidRPr="00B96525">
        <w:rPr>
          <w:i/>
        </w:rPr>
        <w:t>don’t know</w:t>
      </w:r>
      <w:r w:rsidRPr="00B96525">
        <w:t>.</w:t>
      </w:r>
    </w:p>
    <w:p w:rsidR="00D62C6C" w:rsidRPr="00B96525" w:rsidRDefault="00D62C6C" w:rsidP="00604AA9">
      <w:pPr>
        <w:numPr>
          <w:ilvl w:val="0"/>
          <w:numId w:val="6"/>
        </w:numPr>
        <w:autoSpaceDE w:val="0"/>
        <w:autoSpaceDN w:val="0"/>
        <w:adjustRightInd w:val="0"/>
        <w:spacing w:before="0" w:after="120"/>
        <w:ind w:left="1134" w:hanging="425"/>
      </w:pPr>
      <w:r w:rsidRPr="00B96525">
        <w:t xml:space="preserve">Seventy-one percent of endoscopy staff thought that capacity for colonoscopy services for the BSP was </w:t>
      </w:r>
      <w:r w:rsidRPr="00B96525">
        <w:rPr>
          <w:i/>
        </w:rPr>
        <w:t>about right</w:t>
      </w:r>
      <w:r w:rsidRPr="00B96525">
        <w:t xml:space="preserve"> or </w:t>
      </w:r>
      <w:r w:rsidRPr="00B96525">
        <w:rPr>
          <w:i/>
        </w:rPr>
        <w:t>more than enough</w:t>
      </w:r>
      <w:r w:rsidRPr="00B96525">
        <w:t>.</w:t>
      </w:r>
    </w:p>
    <w:p w:rsidR="00D62C6C" w:rsidRPr="00B96525" w:rsidRDefault="00D62C6C" w:rsidP="00604AA9">
      <w:pPr>
        <w:numPr>
          <w:ilvl w:val="0"/>
          <w:numId w:val="6"/>
        </w:numPr>
        <w:autoSpaceDE w:val="0"/>
        <w:autoSpaceDN w:val="0"/>
        <w:adjustRightInd w:val="0"/>
        <w:spacing w:before="0" w:after="120"/>
        <w:ind w:left="1134" w:hanging="425"/>
      </w:pPr>
      <w:r>
        <w:t xml:space="preserve">Most </w:t>
      </w:r>
      <w:r w:rsidRPr="00B96525">
        <w:t>radiology staff</w:t>
      </w:r>
      <w:r>
        <w:t xml:space="preserve"> (59%)</w:t>
      </w:r>
      <w:r w:rsidRPr="00B96525">
        <w:t xml:space="preserve"> </w:t>
      </w:r>
      <w:r>
        <w:t xml:space="preserve">reported they </w:t>
      </w:r>
      <w:r w:rsidRPr="00B96525">
        <w:rPr>
          <w:i/>
        </w:rPr>
        <w:t>don’t know</w:t>
      </w:r>
      <w:r>
        <w:t xml:space="preserve"> what the current capacity i</w:t>
      </w:r>
      <w:r w:rsidRPr="00B96525">
        <w:t>s for colonoscopy services.</w:t>
      </w:r>
      <w:r>
        <w:t xml:space="preserve"> Only 9% </w:t>
      </w:r>
      <w:r w:rsidRPr="00B96525">
        <w:t xml:space="preserve">indicated that capacity is </w:t>
      </w:r>
      <w:r w:rsidRPr="00B96525">
        <w:rPr>
          <w:i/>
        </w:rPr>
        <w:t>about right</w:t>
      </w:r>
      <w:r w:rsidRPr="00B96525">
        <w:t xml:space="preserve">, </w:t>
      </w:r>
      <w:r w:rsidRPr="00B96525">
        <w:rPr>
          <w:rFonts w:cs="Arial"/>
          <w:lang w:eastAsia="en-NZ"/>
        </w:rPr>
        <w:t xml:space="preserve">significantly lower than </w:t>
      </w:r>
      <w:r>
        <w:rPr>
          <w:rFonts w:cs="Arial"/>
          <w:lang w:eastAsia="en-NZ"/>
        </w:rPr>
        <w:t>27</w:t>
      </w:r>
      <w:r w:rsidRPr="00B96525">
        <w:rPr>
          <w:rFonts w:cs="Arial"/>
          <w:lang w:eastAsia="en-NZ"/>
        </w:rPr>
        <w:t>% in the 2011 baseline provider survey</w:t>
      </w:r>
      <w:r>
        <w:rPr>
          <w:rFonts w:cs="Arial"/>
          <w:lang w:eastAsia="en-NZ"/>
        </w:rPr>
        <w:t>.</w:t>
      </w:r>
    </w:p>
    <w:p w:rsidR="00614D5E" w:rsidRDefault="00614D5E" w:rsidP="00614D5E">
      <w:pPr>
        <w:pStyle w:val="Heading4"/>
      </w:pPr>
      <w:r>
        <w:t>Other issues noted</w:t>
      </w:r>
    </w:p>
    <w:p w:rsidR="007440BC" w:rsidRPr="00EE5261" w:rsidRDefault="007F7CA7" w:rsidP="00EE5261">
      <w:pPr>
        <w:spacing w:before="0" w:after="120"/>
        <w:jc w:val="both"/>
      </w:pPr>
      <w:r w:rsidRPr="00EE5261">
        <w:t xml:space="preserve">Other </w:t>
      </w:r>
      <w:r w:rsidR="00CE20A9" w:rsidRPr="00EE5261">
        <w:t>issues noted in interviews with endoscop</w:t>
      </w:r>
      <w:r w:rsidR="0035559F">
        <w:t>y</w:t>
      </w:r>
      <w:r w:rsidR="00CE20A9" w:rsidRPr="00EE5261">
        <w:t xml:space="preserve"> staff (Litmus 2014): </w:t>
      </w:r>
    </w:p>
    <w:p w:rsidR="007F7CA7" w:rsidRPr="0062215F" w:rsidRDefault="00CE20A9" w:rsidP="00EE5261">
      <w:pPr>
        <w:numPr>
          <w:ilvl w:val="0"/>
          <w:numId w:val="6"/>
        </w:numPr>
        <w:autoSpaceDE w:val="0"/>
        <w:autoSpaceDN w:val="0"/>
        <w:adjustRightInd w:val="0"/>
        <w:spacing w:before="0" w:after="120"/>
        <w:ind w:left="1134" w:hanging="425"/>
      </w:pPr>
      <w:r w:rsidRPr="00EE5261">
        <w:rPr>
          <w:b/>
        </w:rPr>
        <w:t>The need for r</w:t>
      </w:r>
      <w:r w:rsidR="007F7CA7" w:rsidRPr="00EE5261">
        <w:rPr>
          <w:b/>
        </w:rPr>
        <w:t>egular reminders on the quality standards</w:t>
      </w:r>
      <w:r w:rsidR="00E74429" w:rsidRPr="0062215F">
        <w:t>.</w:t>
      </w:r>
      <w:r w:rsidRPr="0062215F">
        <w:t xml:space="preserve"> </w:t>
      </w:r>
      <w:r w:rsidR="007F7CA7" w:rsidRPr="0062215F">
        <w:t xml:space="preserve">While there is awareness of the quality indicators for colonoscopy, awareness of </w:t>
      </w:r>
      <w:r w:rsidR="0062215F" w:rsidRPr="0062215F">
        <w:t xml:space="preserve">the detailed </w:t>
      </w:r>
      <w:r w:rsidR="007F7CA7" w:rsidRPr="0062215F">
        <w:t>BSP quality standards is variable</w:t>
      </w:r>
      <w:r w:rsidRPr="0062215F">
        <w:t xml:space="preserve"> amongst endoscopi</w:t>
      </w:r>
      <w:r w:rsidR="00614D5E" w:rsidRPr="0062215F">
        <w:t>s</w:t>
      </w:r>
      <w:r w:rsidRPr="0062215F">
        <w:t>t</w:t>
      </w:r>
      <w:r w:rsidR="0062215F" w:rsidRPr="0062215F">
        <w:t>s</w:t>
      </w:r>
      <w:r w:rsidR="007F7CA7" w:rsidRPr="0062215F">
        <w:t>.</w:t>
      </w:r>
    </w:p>
    <w:p w:rsidR="006A074F" w:rsidRPr="0062215F" w:rsidRDefault="00CE20A9" w:rsidP="00604AA9">
      <w:pPr>
        <w:numPr>
          <w:ilvl w:val="0"/>
          <w:numId w:val="6"/>
        </w:numPr>
        <w:autoSpaceDE w:val="0"/>
        <w:autoSpaceDN w:val="0"/>
        <w:adjustRightInd w:val="0"/>
        <w:spacing w:before="0" w:after="120"/>
        <w:ind w:left="1134" w:hanging="425"/>
      </w:pPr>
      <w:r w:rsidRPr="0062215F">
        <w:rPr>
          <w:b/>
        </w:rPr>
        <w:t xml:space="preserve">Clear processes </w:t>
      </w:r>
      <w:r w:rsidR="00250E2C">
        <w:rPr>
          <w:b/>
        </w:rPr>
        <w:t>for</w:t>
      </w:r>
      <w:r w:rsidR="00250E2C" w:rsidRPr="0062215F">
        <w:rPr>
          <w:b/>
        </w:rPr>
        <w:t xml:space="preserve"> </w:t>
      </w:r>
      <w:r w:rsidRPr="0062215F">
        <w:rPr>
          <w:b/>
        </w:rPr>
        <w:t>the m</w:t>
      </w:r>
      <w:r w:rsidR="006A074F" w:rsidRPr="0062215F">
        <w:rPr>
          <w:b/>
        </w:rPr>
        <w:t>anagement of incomplete colonoscopies</w:t>
      </w:r>
      <w:r w:rsidR="006A074F" w:rsidRPr="0062215F">
        <w:t>.  Endoscopists are aware that it is critical that BSP participants who have incomplete colonoscopies are rescheduled quickly.  However, the process to transfer and the responsibility for ensuring these BSP participants are seen promptly via the symptomatic list is not clear to all</w:t>
      </w:r>
      <w:r w:rsidR="002A1260">
        <w:t>,</w:t>
      </w:r>
      <w:r w:rsidR="006A074F" w:rsidRPr="0062215F">
        <w:t xml:space="preserve"> and feedback indicates the process is not seamless.  Action has been taken to address this issue through the establishment of a monthly general anaesthetic colonoscopy list at </w:t>
      </w:r>
      <w:r w:rsidR="003D209D" w:rsidRPr="0062215F">
        <w:t>Wai</w:t>
      </w:r>
      <w:r w:rsidR="003D209D">
        <w:t>t</w:t>
      </w:r>
      <w:r w:rsidR="003D209D" w:rsidRPr="0062215F">
        <w:t>a</w:t>
      </w:r>
      <w:r w:rsidR="003D209D">
        <w:t>k</w:t>
      </w:r>
      <w:r w:rsidR="003D209D" w:rsidRPr="0062215F">
        <w:t>ere</w:t>
      </w:r>
      <w:r w:rsidR="006A074F" w:rsidRPr="0062215F">
        <w:t xml:space="preserve"> Hospital.</w:t>
      </w:r>
    </w:p>
    <w:p w:rsidR="00A077B6" w:rsidRDefault="007440BC" w:rsidP="00A077B6">
      <w:pPr>
        <w:pStyle w:val="Heading3"/>
      </w:pPr>
      <w:r>
        <w:lastRenderedPageBreak/>
        <w:t>H</w:t>
      </w:r>
      <w:r w:rsidR="00A077B6" w:rsidRPr="00A077B6">
        <w:t>istopathology</w:t>
      </w:r>
    </w:p>
    <w:p w:rsidR="003A64F0" w:rsidRDefault="003A64F0" w:rsidP="003A64F0">
      <w:pPr>
        <w:pStyle w:val="Heading4"/>
      </w:pPr>
      <w:r>
        <w:t xml:space="preserve">Perceptions of workforce capacity  </w:t>
      </w:r>
    </w:p>
    <w:p w:rsidR="00CE20A9" w:rsidRDefault="00CE20A9" w:rsidP="00CE20A9">
      <w:r>
        <w:rPr>
          <w:lang w:eastAsia="ar-SA"/>
        </w:rPr>
        <w:t>Reflecting</w:t>
      </w:r>
      <w:r>
        <w:t xml:space="preserve"> the high polyp detection rate, </w:t>
      </w:r>
      <w:r w:rsidRPr="00B57F6C">
        <w:t>LabPLUS are processing more polyps than they originally expected and planned for.</w:t>
      </w:r>
      <w:r>
        <w:t xml:space="preserve">  As a result, LabPLUS instigated a review of workforce to ensure quality standards relating to timeliness of results were adhered to. </w:t>
      </w:r>
    </w:p>
    <w:p w:rsidR="00CE20A9" w:rsidRDefault="00441FBD" w:rsidP="00CE20A9">
      <w:r w:rsidRPr="00EA1F0D">
        <w:t>LabPLUS is required to provide histopathology results within ten working days.</w:t>
      </w:r>
      <w:r>
        <w:rPr>
          <w:b/>
        </w:rPr>
        <w:t xml:space="preserve">  </w:t>
      </w:r>
      <w:r w:rsidRPr="000E2360">
        <w:rPr>
          <w:lang w:eastAsia="ar-SA"/>
        </w:rPr>
        <w:t>LabPLUS reports histopathology results</w:t>
      </w:r>
      <w:r>
        <w:rPr>
          <w:lang w:eastAsia="ar-SA"/>
        </w:rPr>
        <w:t xml:space="preserve"> </w:t>
      </w:r>
      <w:r w:rsidRPr="000E2360">
        <w:rPr>
          <w:lang w:eastAsia="ar-SA"/>
        </w:rPr>
        <w:t>directly into Concerto (the WDHB</w:t>
      </w:r>
      <w:r>
        <w:rPr>
          <w:lang w:eastAsia="ar-SA"/>
        </w:rPr>
        <w:t xml:space="preserve"> patient record system) </w:t>
      </w:r>
      <w:r w:rsidRPr="000E2360">
        <w:rPr>
          <w:lang w:eastAsia="ar-SA"/>
        </w:rPr>
        <w:t xml:space="preserve">using a </w:t>
      </w:r>
      <w:r>
        <w:rPr>
          <w:lang w:eastAsia="ar-SA"/>
        </w:rPr>
        <w:t>standardised reporting template.</w:t>
      </w:r>
      <w:r w:rsidR="00CE20A9">
        <w:t xml:space="preserve">  </w:t>
      </w:r>
      <w:r w:rsidR="00D64CCE">
        <w:t>In screening round one (January</w:t>
      </w:r>
      <w:r w:rsidR="00CE20A9">
        <w:t xml:space="preserve"> </w:t>
      </w:r>
      <w:r w:rsidR="00D64CCE">
        <w:t xml:space="preserve">2012 </w:t>
      </w:r>
      <w:r w:rsidR="00CE20A9">
        <w:t xml:space="preserve">– </w:t>
      </w:r>
      <w:r w:rsidR="00D64CCE">
        <w:t>December 2</w:t>
      </w:r>
      <w:r w:rsidR="00CE20A9">
        <w:t>013</w:t>
      </w:r>
      <w:r w:rsidR="00D64CCE">
        <w:t>)</w:t>
      </w:r>
      <w:r w:rsidR="00CE20A9">
        <w:t xml:space="preserve">, the standard of 95% of specimens submitted from colonoscopy </w:t>
      </w:r>
      <w:r w:rsidR="00D64CCE">
        <w:t xml:space="preserve">being </w:t>
      </w:r>
      <w:r w:rsidR="00CE20A9">
        <w:t>reported and relayed to the referring endoscopist with ten working days of receipt by the laboratory</w:t>
      </w:r>
      <w:r w:rsidR="00D64CCE">
        <w:t xml:space="preserve"> was met with the exception of two months in 2012</w:t>
      </w:r>
      <w:r w:rsidR="00CE20A9">
        <w:t xml:space="preserve">. </w:t>
      </w:r>
      <w:r w:rsidR="00122FA0">
        <w:br/>
      </w:r>
    </w:p>
    <w:p w:rsidR="00CE20A9" w:rsidRPr="00BF0F68" w:rsidRDefault="00CE20A9" w:rsidP="00381D12">
      <w:pPr>
        <w:pStyle w:val="Table"/>
      </w:pPr>
      <w:bookmarkStart w:id="228" w:name="_Toc412540163"/>
      <w:r w:rsidRPr="00BF0F68">
        <w:t xml:space="preserve">Table </w:t>
      </w:r>
      <w:r w:rsidR="0097166A">
        <w:t>10</w:t>
      </w:r>
      <w:r w:rsidRPr="00BF0F68">
        <w:t xml:space="preserve">: BSP Histology Samples Indicators for </w:t>
      </w:r>
      <w:r w:rsidR="0095383B">
        <w:t>January 2012</w:t>
      </w:r>
      <w:r w:rsidRPr="00BF0F68">
        <w:t xml:space="preserve"> – </w:t>
      </w:r>
      <w:r w:rsidR="0095383B">
        <w:t>December</w:t>
      </w:r>
      <w:r w:rsidRPr="00BF0F68">
        <w:t xml:space="preserve"> 2013</w:t>
      </w:r>
      <w:bookmarkEnd w:id="228"/>
    </w:p>
    <w:tbl>
      <w:tblPr>
        <w:tblStyle w:val="LightList-Accent3"/>
        <w:tblW w:w="4746" w:type="pct"/>
        <w:tblInd w:w="817" w:type="dxa"/>
        <w:tblLayout w:type="fixed"/>
        <w:tblLook w:val="04A0" w:firstRow="1" w:lastRow="0" w:firstColumn="1" w:lastColumn="0" w:noHBand="0" w:noVBand="1"/>
      </w:tblPr>
      <w:tblGrid>
        <w:gridCol w:w="961"/>
        <w:gridCol w:w="1174"/>
        <w:gridCol w:w="1140"/>
        <w:gridCol w:w="997"/>
        <w:gridCol w:w="995"/>
        <w:gridCol w:w="995"/>
        <w:gridCol w:w="995"/>
        <w:gridCol w:w="995"/>
        <w:gridCol w:w="1104"/>
      </w:tblGrid>
      <w:tr w:rsidR="0095383B" w:rsidRPr="0095383B" w:rsidTr="00D6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rsidR="0095383B" w:rsidRPr="0095383B" w:rsidRDefault="0095383B" w:rsidP="0095383B">
            <w:pPr>
              <w:spacing w:before="0"/>
              <w:ind w:left="0"/>
              <w:jc w:val="center"/>
              <w:rPr>
                <w:rFonts w:cs="Arial"/>
                <w:sz w:val="18"/>
                <w:szCs w:val="18"/>
                <w:lang w:val="en-US"/>
              </w:rPr>
            </w:pPr>
          </w:p>
        </w:tc>
        <w:tc>
          <w:tcPr>
            <w:tcW w:w="627" w:type="pct"/>
            <w:hideMark/>
          </w:tcPr>
          <w:p w:rsidR="0095383B" w:rsidRPr="0095383B" w:rsidRDefault="0095383B" w:rsidP="0095383B">
            <w:pPr>
              <w:spacing w:before="0"/>
              <w:ind w:left="0"/>
              <w:cnfStyle w:val="100000000000" w:firstRow="1" w:lastRow="0" w:firstColumn="0" w:lastColumn="0" w:oddVBand="0" w:evenVBand="0" w:oddHBand="0" w:evenHBand="0" w:firstRowFirstColumn="0" w:firstRowLastColumn="0" w:lastRowFirstColumn="0" w:lastRowLastColumn="0"/>
              <w:rPr>
                <w:rFonts w:cs="Arial"/>
                <w:b w:val="0"/>
                <w:sz w:val="16"/>
                <w:szCs w:val="18"/>
                <w:lang w:val="en-US"/>
              </w:rPr>
            </w:pPr>
            <w:r w:rsidRPr="0095383B">
              <w:rPr>
                <w:rFonts w:cs="Arial"/>
                <w:sz w:val="16"/>
                <w:szCs w:val="18"/>
                <w:lang w:val="en-US"/>
              </w:rPr>
              <w:t>No. of cases Arrived (in Histology)</w:t>
            </w:r>
          </w:p>
        </w:tc>
        <w:tc>
          <w:tcPr>
            <w:tcW w:w="609" w:type="pct"/>
            <w:hideMark/>
          </w:tcPr>
          <w:p w:rsidR="0095383B" w:rsidRPr="0095383B" w:rsidRDefault="0095383B" w:rsidP="0095383B">
            <w:pPr>
              <w:spacing w:before="0"/>
              <w:ind w:left="0"/>
              <w:cnfStyle w:val="100000000000" w:firstRow="1" w:lastRow="0" w:firstColumn="0" w:lastColumn="0" w:oddVBand="0" w:evenVBand="0" w:oddHBand="0" w:evenHBand="0" w:firstRowFirstColumn="0" w:firstRowLastColumn="0" w:lastRowFirstColumn="0" w:lastRowLastColumn="0"/>
              <w:rPr>
                <w:rFonts w:cs="Arial"/>
                <w:b w:val="0"/>
                <w:sz w:val="16"/>
                <w:szCs w:val="18"/>
                <w:lang w:val="en-US"/>
              </w:rPr>
            </w:pPr>
            <w:r w:rsidRPr="0095383B">
              <w:rPr>
                <w:rFonts w:cs="Arial"/>
                <w:sz w:val="16"/>
                <w:szCs w:val="18"/>
                <w:lang w:val="en-US"/>
              </w:rPr>
              <w:t>&gt; 10 Days No. of Overdues last month</w:t>
            </w:r>
          </w:p>
        </w:tc>
        <w:tc>
          <w:tcPr>
            <w:tcW w:w="533" w:type="pct"/>
            <w:hideMark/>
          </w:tcPr>
          <w:p w:rsidR="0095383B" w:rsidRPr="0095383B" w:rsidRDefault="0095383B" w:rsidP="0095383B">
            <w:pPr>
              <w:spacing w:before="0"/>
              <w:ind w:left="0"/>
              <w:cnfStyle w:val="100000000000" w:firstRow="1" w:lastRow="0" w:firstColumn="0" w:lastColumn="0" w:oddVBand="0" w:evenVBand="0" w:oddHBand="0" w:evenHBand="0" w:firstRowFirstColumn="0" w:firstRowLastColumn="0" w:lastRowFirstColumn="0" w:lastRowLastColumn="0"/>
              <w:rPr>
                <w:rFonts w:cs="Arial"/>
                <w:b w:val="0"/>
                <w:sz w:val="16"/>
                <w:szCs w:val="18"/>
                <w:lang w:val="en-US"/>
              </w:rPr>
            </w:pPr>
            <w:r w:rsidRPr="0095383B">
              <w:rPr>
                <w:rFonts w:cs="Arial"/>
                <w:sz w:val="16"/>
                <w:szCs w:val="18"/>
                <w:lang w:val="en-US"/>
              </w:rPr>
              <w:t>&gt; 10 Days No. of Overdues this month</w:t>
            </w:r>
          </w:p>
        </w:tc>
        <w:tc>
          <w:tcPr>
            <w:tcW w:w="532" w:type="pct"/>
            <w:hideMark/>
          </w:tcPr>
          <w:p w:rsidR="0095383B" w:rsidRPr="0095383B" w:rsidRDefault="0095383B" w:rsidP="00D64CCE">
            <w:pPr>
              <w:spacing w:before="0"/>
              <w:ind w:left="0"/>
              <w:cnfStyle w:val="100000000000" w:firstRow="1" w:lastRow="0" w:firstColumn="0" w:lastColumn="0" w:oddVBand="0" w:evenVBand="0" w:oddHBand="0" w:evenHBand="0" w:firstRowFirstColumn="0" w:firstRowLastColumn="0" w:lastRowFirstColumn="0" w:lastRowLastColumn="0"/>
              <w:rPr>
                <w:rFonts w:cs="Arial"/>
                <w:b w:val="0"/>
                <w:sz w:val="16"/>
                <w:szCs w:val="18"/>
                <w:lang w:val="en-US"/>
              </w:rPr>
            </w:pPr>
            <w:r w:rsidRPr="0095383B">
              <w:rPr>
                <w:rFonts w:cs="Arial"/>
                <w:sz w:val="16"/>
                <w:szCs w:val="18"/>
                <w:lang w:val="en-US"/>
              </w:rPr>
              <w:t>Max T</w:t>
            </w:r>
            <w:r w:rsidR="00D64CCE">
              <w:rPr>
                <w:rFonts w:cs="Arial"/>
                <w:sz w:val="16"/>
                <w:szCs w:val="18"/>
                <w:lang w:val="en-US"/>
              </w:rPr>
              <w:t xml:space="preserve">urn Around Time </w:t>
            </w:r>
            <w:r w:rsidRPr="0095383B">
              <w:rPr>
                <w:rFonts w:cs="Arial"/>
                <w:sz w:val="16"/>
                <w:szCs w:val="18"/>
                <w:lang w:val="en-US"/>
              </w:rPr>
              <w:t xml:space="preserve"> (Days)</w:t>
            </w:r>
          </w:p>
        </w:tc>
        <w:tc>
          <w:tcPr>
            <w:tcW w:w="532" w:type="pct"/>
            <w:hideMark/>
          </w:tcPr>
          <w:p w:rsidR="0095383B" w:rsidRPr="0095383B" w:rsidRDefault="00D64CCE" w:rsidP="00D64CCE">
            <w:pPr>
              <w:spacing w:before="0"/>
              <w:ind w:left="0"/>
              <w:cnfStyle w:val="100000000000" w:firstRow="1" w:lastRow="0" w:firstColumn="0" w:lastColumn="0" w:oddVBand="0" w:evenVBand="0" w:oddHBand="0" w:evenHBand="0" w:firstRowFirstColumn="0" w:firstRowLastColumn="0" w:lastRowFirstColumn="0" w:lastRowLastColumn="0"/>
              <w:rPr>
                <w:rFonts w:cs="Arial"/>
                <w:b w:val="0"/>
                <w:sz w:val="16"/>
                <w:szCs w:val="18"/>
                <w:lang w:val="en-US"/>
              </w:rPr>
            </w:pPr>
            <w:r>
              <w:rPr>
                <w:rFonts w:cs="Arial"/>
                <w:sz w:val="16"/>
                <w:szCs w:val="18"/>
                <w:lang w:val="en-US"/>
              </w:rPr>
              <w:t xml:space="preserve">Average </w:t>
            </w:r>
            <w:r w:rsidRPr="0095383B">
              <w:rPr>
                <w:rFonts w:cs="Arial"/>
                <w:sz w:val="16"/>
                <w:szCs w:val="18"/>
                <w:lang w:val="en-US"/>
              </w:rPr>
              <w:t>T</w:t>
            </w:r>
            <w:r>
              <w:rPr>
                <w:rFonts w:cs="Arial"/>
                <w:sz w:val="16"/>
                <w:szCs w:val="18"/>
                <w:lang w:val="en-US"/>
              </w:rPr>
              <w:t xml:space="preserve">urn Around Time </w:t>
            </w:r>
            <w:r w:rsidRPr="0095383B">
              <w:rPr>
                <w:rFonts w:cs="Arial"/>
                <w:sz w:val="16"/>
                <w:szCs w:val="18"/>
                <w:lang w:val="en-US"/>
              </w:rPr>
              <w:t xml:space="preserve"> </w:t>
            </w:r>
            <w:r w:rsidR="0095383B" w:rsidRPr="0095383B">
              <w:rPr>
                <w:rFonts w:cs="Arial"/>
                <w:sz w:val="16"/>
                <w:szCs w:val="18"/>
                <w:lang w:val="en-US"/>
              </w:rPr>
              <w:t>(Days)</w:t>
            </w:r>
          </w:p>
        </w:tc>
        <w:tc>
          <w:tcPr>
            <w:tcW w:w="532" w:type="pct"/>
            <w:hideMark/>
          </w:tcPr>
          <w:p w:rsidR="0095383B" w:rsidRPr="0095383B" w:rsidRDefault="0095383B" w:rsidP="0095383B">
            <w:pPr>
              <w:spacing w:before="0"/>
              <w:ind w:left="0"/>
              <w:cnfStyle w:val="100000000000" w:firstRow="1" w:lastRow="0" w:firstColumn="0" w:lastColumn="0" w:oddVBand="0" w:evenVBand="0" w:oddHBand="0" w:evenHBand="0" w:firstRowFirstColumn="0" w:firstRowLastColumn="0" w:lastRowFirstColumn="0" w:lastRowLastColumn="0"/>
              <w:rPr>
                <w:rFonts w:cs="Arial"/>
                <w:b w:val="0"/>
                <w:sz w:val="16"/>
                <w:szCs w:val="18"/>
                <w:lang w:val="en-US"/>
              </w:rPr>
            </w:pPr>
            <w:r w:rsidRPr="0095383B">
              <w:rPr>
                <w:rFonts w:cs="Arial"/>
                <w:sz w:val="16"/>
                <w:szCs w:val="18"/>
                <w:lang w:val="en-US"/>
              </w:rPr>
              <w:t>Percentile Rank</w:t>
            </w:r>
          </w:p>
        </w:tc>
        <w:tc>
          <w:tcPr>
            <w:tcW w:w="532" w:type="pct"/>
            <w:hideMark/>
          </w:tcPr>
          <w:p w:rsidR="0095383B" w:rsidRPr="0095383B" w:rsidRDefault="0095383B" w:rsidP="0095383B">
            <w:pPr>
              <w:spacing w:before="0"/>
              <w:ind w:left="0"/>
              <w:cnfStyle w:val="100000000000" w:firstRow="1" w:lastRow="0" w:firstColumn="0" w:lastColumn="0" w:oddVBand="0" w:evenVBand="0" w:oddHBand="0" w:evenHBand="0" w:firstRowFirstColumn="0" w:firstRowLastColumn="0" w:lastRowFirstColumn="0" w:lastRowLastColumn="0"/>
              <w:rPr>
                <w:rFonts w:cs="Arial"/>
                <w:sz w:val="16"/>
                <w:szCs w:val="18"/>
              </w:rPr>
            </w:pPr>
            <w:r w:rsidRPr="0095383B">
              <w:rPr>
                <w:rFonts w:cs="Arial"/>
                <w:sz w:val="16"/>
                <w:szCs w:val="18"/>
                <w:lang w:val="en-US"/>
              </w:rPr>
              <w:t xml:space="preserve">Avg. </w:t>
            </w:r>
            <w:r w:rsidR="00F90945">
              <w:rPr>
                <w:rFonts w:cs="Arial"/>
                <w:sz w:val="16"/>
                <w:szCs w:val="18"/>
                <w:lang w:val="en-US"/>
              </w:rPr>
              <w:t>n</w:t>
            </w:r>
            <w:r w:rsidRPr="0095383B">
              <w:rPr>
                <w:rFonts w:cs="Arial"/>
                <w:sz w:val="16"/>
                <w:szCs w:val="18"/>
                <w:lang w:val="en-US"/>
              </w:rPr>
              <w:t>o. of pots received per case</w:t>
            </w:r>
          </w:p>
        </w:tc>
        <w:tc>
          <w:tcPr>
            <w:tcW w:w="591" w:type="pct"/>
            <w:hideMark/>
          </w:tcPr>
          <w:p w:rsidR="0095383B" w:rsidRPr="0095383B" w:rsidRDefault="0095383B" w:rsidP="00D64CCE">
            <w:pPr>
              <w:spacing w:before="0"/>
              <w:ind w:left="0"/>
              <w:cnfStyle w:val="100000000000" w:firstRow="1" w:lastRow="0" w:firstColumn="0" w:lastColumn="0" w:oddVBand="0" w:evenVBand="0" w:oddHBand="0" w:evenHBand="0" w:firstRowFirstColumn="0" w:firstRowLastColumn="0" w:lastRowFirstColumn="0" w:lastRowLastColumn="0"/>
              <w:rPr>
                <w:rFonts w:cs="Arial"/>
                <w:b w:val="0"/>
                <w:sz w:val="16"/>
                <w:szCs w:val="18"/>
                <w:lang w:val="en-US"/>
              </w:rPr>
            </w:pPr>
            <w:r w:rsidRPr="0095383B">
              <w:rPr>
                <w:rFonts w:cs="Arial"/>
                <w:sz w:val="16"/>
                <w:szCs w:val="18"/>
                <w:lang w:val="en-US"/>
              </w:rPr>
              <w:t xml:space="preserve">No.  of cases with missing information </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Jan 12</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4</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9</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8.5</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1.3</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0</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Feb 12</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13</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8</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6.4</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1.3</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2</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Mar 12</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77</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6.7</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97</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3.2</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24</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Apr 12</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84</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3</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11</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5.9</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95</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2.8</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8</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May 12</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76</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3</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2</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14</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5.5</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97</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2.4</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9</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June 12</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88</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2</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9</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13</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7.3</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84</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3.4</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11</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July 12</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114</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9</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12</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6.5</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86</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3.7</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26</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Aug 12</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133</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5.1</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3.9</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3</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Sep 12</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89</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8</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5.1</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2.9</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11</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Oct 12</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125</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5.1</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2.7</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1</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Nov 12</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167</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11</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4.7</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99</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3.1</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13</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Dec-12</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135</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3.8</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99</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Pr>
                <w:rFonts w:cs="Arial"/>
                <w:sz w:val="18"/>
                <w:szCs w:val="18"/>
                <w:lang w:val="en-US"/>
              </w:rPr>
              <w:t>3.8</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7</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Jan-13</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128</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3.9</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100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3.4</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14</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Feb-13</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135</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11</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4.4</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99</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Pr>
                <w:rFonts w:cs="Arial"/>
                <w:sz w:val="18"/>
                <w:szCs w:val="18"/>
                <w:lang w:val="en-US"/>
              </w:rPr>
              <w:t>3.6</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17</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Mar-13</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152</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11</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3.80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98</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3.0</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14</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Apr-13</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135</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7</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3.0</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7</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May-13</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173</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9</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3.0</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0</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June-13</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132</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9</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3.4</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4.3</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0</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Jul-13</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185</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8</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4.1</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3.1</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0</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Aug-13</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170</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11</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4.2</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99</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Pr>
                <w:rFonts w:cs="Arial"/>
                <w:sz w:val="18"/>
                <w:szCs w:val="18"/>
                <w:lang w:val="en-US"/>
              </w:rPr>
              <w:t>3.1</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0</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Sept-13</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128</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9</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4.6</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2.9</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0</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Oct 13</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135</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8</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3.0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Pr>
                <w:rFonts w:cs="Arial"/>
                <w:sz w:val="18"/>
                <w:szCs w:val="18"/>
                <w:lang w:val="en-US"/>
              </w:rPr>
              <w:t>3.1</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0</w:t>
            </w:r>
          </w:p>
        </w:tc>
      </w:tr>
      <w:tr w:rsidR="0095383B" w:rsidRPr="0095383B" w:rsidTr="00D6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Nov 13</w:t>
            </w:r>
          </w:p>
        </w:tc>
        <w:tc>
          <w:tcPr>
            <w:tcW w:w="627"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136</w:t>
            </w:r>
          </w:p>
        </w:tc>
        <w:tc>
          <w:tcPr>
            <w:tcW w:w="609"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9</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3.4</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2.9</w:t>
            </w:r>
          </w:p>
        </w:tc>
        <w:tc>
          <w:tcPr>
            <w:tcW w:w="591" w:type="pct"/>
            <w:hideMark/>
          </w:tcPr>
          <w:p w:rsidR="0095383B" w:rsidRPr="0095383B" w:rsidRDefault="0095383B" w:rsidP="00802D1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95383B">
              <w:rPr>
                <w:rFonts w:cs="Arial"/>
                <w:sz w:val="18"/>
                <w:szCs w:val="18"/>
                <w:lang w:val="en-US"/>
              </w:rPr>
              <w:t>0</w:t>
            </w:r>
          </w:p>
        </w:tc>
      </w:tr>
      <w:tr w:rsidR="0095383B" w:rsidRPr="0095383B" w:rsidTr="00D64CCE">
        <w:tc>
          <w:tcPr>
            <w:cnfStyle w:val="001000000000" w:firstRow="0" w:lastRow="0" w:firstColumn="1" w:lastColumn="0" w:oddVBand="0" w:evenVBand="0" w:oddHBand="0" w:evenHBand="0" w:firstRowFirstColumn="0" w:firstRowLastColumn="0" w:lastRowFirstColumn="0" w:lastRowLastColumn="0"/>
            <w:tcW w:w="513" w:type="pct"/>
            <w:hideMark/>
          </w:tcPr>
          <w:p w:rsidR="0095383B" w:rsidRPr="0095383B" w:rsidRDefault="0095383B" w:rsidP="0095383B">
            <w:pPr>
              <w:spacing w:before="0"/>
              <w:ind w:left="0"/>
              <w:rPr>
                <w:rFonts w:cs="Arial"/>
                <w:b w:val="0"/>
                <w:sz w:val="18"/>
                <w:szCs w:val="18"/>
                <w:lang w:val="en-US"/>
              </w:rPr>
            </w:pPr>
            <w:r w:rsidRPr="0095383B">
              <w:rPr>
                <w:rFonts w:cs="Arial"/>
                <w:sz w:val="18"/>
                <w:szCs w:val="18"/>
                <w:lang w:val="en-US"/>
              </w:rPr>
              <w:t>Dec 13</w:t>
            </w:r>
          </w:p>
        </w:tc>
        <w:tc>
          <w:tcPr>
            <w:tcW w:w="627"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110</w:t>
            </w:r>
          </w:p>
        </w:tc>
        <w:tc>
          <w:tcPr>
            <w:tcW w:w="609"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3"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8</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4.3</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5383B">
              <w:rPr>
                <w:rFonts w:cs="Arial"/>
                <w:sz w:val="18"/>
                <w:szCs w:val="18"/>
              </w:rPr>
              <w:t>100</w:t>
            </w:r>
          </w:p>
        </w:tc>
        <w:tc>
          <w:tcPr>
            <w:tcW w:w="532"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3.4</w:t>
            </w:r>
          </w:p>
        </w:tc>
        <w:tc>
          <w:tcPr>
            <w:tcW w:w="591" w:type="pct"/>
            <w:hideMark/>
          </w:tcPr>
          <w:p w:rsidR="0095383B" w:rsidRPr="0095383B" w:rsidRDefault="0095383B" w:rsidP="00802D1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95383B">
              <w:rPr>
                <w:rFonts w:cs="Arial"/>
                <w:sz w:val="18"/>
                <w:szCs w:val="18"/>
                <w:lang w:val="en-US"/>
              </w:rPr>
              <w:t>0</w:t>
            </w:r>
          </w:p>
        </w:tc>
      </w:tr>
    </w:tbl>
    <w:p w:rsidR="00CE20A9" w:rsidRPr="00D64CCE" w:rsidRDefault="00CE20A9" w:rsidP="00CE20A9">
      <w:pPr>
        <w:spacing w:before="0"/>
        <w:rPr>
          <w:i/>
          <w:sz w:val="18"/>
        </w:rPr>
      </w:pPr>
      <w:r w:rsidRPr="00D64CCE">
        <w:rPr>
          <w:i/>
          <w:sz w:val="18"/>
        </w:rPr>
        <w:t xml:space="preserve">Source: LabPLUS </w:t>
      </w:r>
      <w:r w:rsidR="00D64CCE" w:rsidRPr="00D64CCE">
        <w:rPr>
          <w:i/>
          <w:sz w:val="18"/>
        </w:rPr>
        <w:t xml:space="preserve">June </w:t>
      </w:r>
      <w:r w:rsidRPr="00D64CCE">
        <w:rPr>
          <w:i/>
          <w:sz w:val="18"/>
        </w:rPr>
        <w:t>201</w:t>
      </w:r>
      <w:r w:rsidR="0095383B" w:rsidRPr="00D64CCE">
        <w:rPr>
          <w:i/>
          <w:sz w:val="18"/>
        </w:rPr>
        <w:t>4</w:t>
      </w:r>
    </w:p>
    <w:p w:rsidR="00D40D38" w:rsidRDefault="002543BD" w:rsidP="002543BD">
      <w:r>
        <w:t xml:space="preserve">Histology staff that process tissue samples receive monthly reports detailing indicator results which they note are actively monitored and any outliers are investigated.  Turnaround times are received on a bi-monthly basis as due to the high workload there is potential for the timelines to slip.  Strategies are used to minimise the timeframe from receipt to reporting.  For example, the samples go directly to the pathologist, and are not reviewed by a Registrar.  </w:t>
      </w:r>
    </w:p>
    <w:p w:rsidR="002543BD" w:rsidRDefault="002543BD" w:rsidP="002543BD">
      <w:pPr>
        <w:pStyle w:val="Heading4"/>
      </w:pPr>
      <w:r>
        <w:lastRenderedPageBreak/>
        <w:t xml:space="preserve">Focused on quality </w:t>
      </w:r>
    </w:p>
    <w:p w:rsidR="002543BD" w:rsidRDefault="002543BD" w:rsidP="002543BD">
      <w:r>
        <w:t xml:space="preserve">As expected for an </w:t>
      </w:r>
      <w:r w:rsidRPr="00F97AC1">
        <w:rPr>
          <w:rStyle w:val="st"/>
          <w:bCs/>
        </w:rPr>
        <w:t>International Accreditation New Zealand</w:t>
      </w:r>
      <w:r w:rsidRPr="00F97AC1">
        <w:rPr>
          <w:rStyle w:val="st"/>
          <w:rFonts w:cs="Arial"/>
          <w:color w:val="222222"/>
        </w:rPr>
        <w:t xml:space="preserve"> </w:t>
      </w:r>
      <w:r>
        <w:rPr>
          <w:rStyle w:val="st"/>
          <w:rFonts w:cs="Arial"/>
          <w:color w:val="222222"/>
        </w:rPr>
        <w:t xml:space="preserve">(IANZ) accredited lab, LabPLUS has </w:t>
      </w:r>
      <w:r>
        <w:t xml:space="preserve">a </w:t>
      </w:r>
      <w:r w:rsidRPr="00B57F6C">
        <w:t>strong focus on monitoring quality indicators</w:t>
      </w:r>
      <w:r>
        <w:t xml:space="preserve"> as defined in the BSP Quality Standards</w:t>
      </w:r>
      <w:r w:rsidRPr="00697D47">
        <w:rPr>
          <w:rStyle w:val="FootnoteReference"/>
        </w:rPr>
        <w:footnoteReference w:id="77"/>
      </w:r>
      <w:r>
        <w:t xml:space="preserve">. </w:t>
      </w:r>
    </w:p>
    <w:p w:rsidR="00CE20A9" w:rsidRPr="00B57F6C" w:rsidRDefault="00CE20A9" w:rsidP="00CE20A9">
      <w:r>
        <w:t xml:space="preserve">Key stakeholders commented that there is an </w:t>
      </w:r>
      <w:r w:rsidRPr="00B57F6C">
        <w:t xml:space="preserve">effective working relationship between LabPLUS histopathology, BSP endoscopy unit and the BSP Coordination Centre.  LabPLUS are seen as having quality processes in place, being timely in their delivery and connected and engaged with the wider BSP screening pathway.  </w:t>
      </w:r>
    </w:p>
    <w:p w:rsidR="00CE20A9" w:rsidRDefault="003D209D" w:rsidP="00CE20A9">
      <w:r>
        <w:t>Feedback from endoscopists highlights</w:t>
      </w:r>
      <w:r w:rsidR="00CE20A9">
        <w:t xml:space="preserve"> support for the processes and procedures that enable quality histopathology.  </w:t>
      </w:r>
    </w:p>
    <w:p w:rsidR="00441FBD" w:rsidRDefault="00441FBD" w:rsidP="00441FBD">
      <w:r>
        <w:t xml:space="preserve">Over the last 12 months, the </w:t>
      </w:r>
      <w:r w:rsidRPr="00B57F6C">
        <w:t>faxing of tracking sheets of biopsies received by LabPLUS to the BSP Endoscopy Unit</w:t>
      </w:r>
      <w:r>
        <w:rPr>
          <w:b/>
        </w:rPr>
        <w:t xml:space="preserve"> </w:t>
      </w:r>
      <w:r>
        <w:t>commenced.  The tracking sheets allow the BSP Endoscopy Unit to audit whether all pots are received and to manage any labelling errors (which LabPLUS noted there are very few).</w:t>
      </w:r>
    </w:p>
    <w:p w:rsidR="002543BD" w:rsidRDefault="002543BD" w:rsidP="002543BD">
      <w:r>
        <w:t>Feedback from LabPLUS suggest</w:t>
      </w:r>
      <w:r w:rsidR="00794490">
        <w:t>s</w:t>
      </w:r>
      <w:r>
        <w:t xml:space="preserve"> that they receive the majority of information required about BSP colonoscopy biopsies.  Very occasionally</w:t>
      </w:r>
      <w:r w:rsidR="00F90945">
        <w:t>,</w:t>
      </w:r>
      <w:r>
        <w:t xml:space="preserve"> information is missing such as date of the specimen</w:t>
      </w:r>
      <w:r w:rsidR="00F90945">
        <w:t>,</w:t>
      </w:r>
      <w:r>
        <w:t xml:space="preserve"> or there is a lack of specification on the location of where the polyp was taken. </w:t>
      </w:r>
    </w:p>
    <w:p w:rsidR="002543BD" w:rsidRPr="000E2360" w:rsidRDefault="002543BD" w:rsidP="002543BD">
      <w:pPr>
        <w:pStyle w:val="Heading4"/>
      </w:pPr>
      <w:r>
        <w:t>Changing role of the CNS</w:t>
      </w:r>
    </w:p>
    <w:p w:rsidR="002543BD" w:rsidRDefault="002543BD" w:rsidP="002543BD">
      <w:pPr>
        <w:rPr>
          <w:lang w:eastAsia="ar-SA"/>
        </w:rPr>
      </w:pPr>
      <w:r>
        <w:rPr>
          <w:lang w:val="mi-NZ"/>
        </w:rPr>
        <w:t xml:space="preserve">From 2013, the CNS has been reviewing the colonoscopy reports and the histopatholgy results and advises the BSP administrator the correct letters to send out to participants, their GP, and WDHB notes.  The CNS prepares a spreadsheet of actions taken which is </w:t>
      </w:r>
      <w:r w:rsidRPr="00E078D0">
        <w:rPr>
          <w:lang w:val="mi-NZ"/>
        </w:rPr>
        <w:t xml:space="preserve">reviewed by </w:t>
      </w:r>
      <w:r>
        <w:rPr>
          <w:lang w:val="mi-NZ"/>
        </w:rPr>
        <w:t xml:space="preserve">the WDHB </w:t>
      </w:r>
      <w:r w:rsidRPr="00E078D0">
        <w:rPr>
          <w:lang w:eastAsia="ar-SA"/>
        </w:rPr>
        <w:t xml:space="preserve">BSP Clinical Director or </w:t>
      </w:r>
      <w:r>
        <w:rPr>
          <w:lang w:eastAsia="ar-SA"/>
        </w:rPr>
        <w:t xml:space="preserve">WDHB BSP </w:t>
      </w:r>
      <w:r w:rsidRPr="00E078D0">
        <w:rPr>
          <w:lang w:eastAsia="ar-SA"/>
        </w:rPr>
        <w:t xml:space="preserve">Lead Endoscopist.  </w:t>
      </w:r>
      <w:r w:rsidRPr="00E078D0">
        <w:rPr>
          <w:lang w:val="mi-NZ"/>
        </w:rPr>
        <w:t>Where there</w:t>
      </w:r>
      <w:r>
        <w:rPr>
          <w:lang w:val="mi-NZ"/>
        </w:rPr>
        <w:t xml:space="preserve"> is any concern or uncertainty, the </w:t>
      </w:r>
      <w:r w:rsidRPr="005B5541">
        <w:rPr>
          <w:lang w:val="mi-NZ"/>
        </w:rPr>
        <w:t xml:space="preserve">CNS discusses the results with the </w:t>
      </w:r>
      <w:r w:rsidRPr="005B5541">
        <w:rPr>
          <w:lang w:eastAsia="ar-SA"/>
        </w:rPr>
        <w:t xml:space="preserve">BSP Clinical Director </w:t>
      </w:r>
      <w:r>
        <w:rPr>
          <w:lang w:eastAsia="ar-SA"/>
        </w:rPr>
        <w:t>or</w:t>
      </w:r>
      <w:r w:rsidRPr="005B5541">
        <w:rPr>
          <w:lang w:eastAsia="ar-SA"/>
        </w:rPr>
        <w:t xml:space="preserve"> Lead Endoscopist. </w:t>
      </w:r>
      <w:r>
        <w:rPr>
          <w:lang w:eastAsia="ar-SA"/>
        </w:rPr>
        <w:t xml:space="preserve"> A formal policy has been developed (</w:t>
      </w:r>
      <w:r w:rsidRPr="00EE0C26">
        <w:rPr>
          <w:i/>
          <w:lang w:eastAsia="ar-SA"/>
        </w:rPr>
        <w:t>Histology Results Management</w:t>
      </w:r>
      <w:r>
        <w:rPr>
          <w:lang w:eastAsia="ar-SA"/>
        </w:rPr>
        <w:t xml:space="preserve">) which sets out parameters within which the CNS may make decisions.  </w:t>
      </w:r>
    </w:p>
    <w:p w:rsidR="002543BD" w:rsidRDefault="002543BD" w:rsidP="002543BD">
      <w:pPr>
        <w:rPr>
          <w:lang w:eastAsia="ar-SA"/>
        </w:rPr>
      </w:pPr>
      <w:r w:rsidRPr="00B57F6C">
        <w:t>Review of histology results by the CNS is</w:t>
      </w:r>
      <w:r>
        <w:t xml:space="preserve"> seen to have a number of key benefits, specifically ensuring consistency of review, timeliness of referrals, and freeing up </w:t>
      </w:r>
      <w:r w:rsidRPr="0079703E">
        <w:t xml:space="preserve">the </w:t>
      </w:r>
      <w:r>
        <w:rPr>
          <w:lang w:eastAsia="ar-SA"/>
        </w:rPr>
        <w:t xml:space="preserve">WDHB BSP Clinical Director and </w:t>
      </w:r>
      <w:r>
        <w:t xml:space="preserve">WDHB BSP </w:t>
      </w:r>
      <w:r w:rsidRPr="0079703E">
        <w:rPr>
          <w:lang w:eastAsia="ar-SA"/>
        </w:rPr>
        <w:t>Lead Endoscopist</w:t>
      </w:r>
      <w:r w:rsidRPr="00697D47">
        <w:rPr>
          <w:rStyle w:val="FootnoteReference"/>
        </w:rPr>
        <w:footnoteReference w:id="78"/>
      </w:r>
      <w:r w:rsidRPr="0079703E">
        <w:rPr>
          <w:lang w:eastAsia="ar-SA"/>
        </w:rPr>
        <w:t xml:space="preserve">.  </w:t>
      </w:r>
      <w:r>
        <w:rPr>
          <w:lang w:eastAsia="ar-SA"/>
        </w:rPr>
        <w:t xml:space="preserve">Endoscopists interviewed were comfortable with the CNS reviewing the results.  </w:t>
      </w:r>
    </w:p>
    <w:p w:rsidR="004B1092" w:rsidRDefault="007440BC" w:rsidP="004B1092">
      <w:pPr>
        <w:pStyle w:val="Heading3"/>
      </w:pPr>
      <w:r>
        <w:t>A</w:t>
      </w:r>
      <w:r w:rsidR="00A077B6" w:rsidRPr="00A077B6">
        <w:t>lterna</w:t>
      </w:r>
      <w:r w:rsidR="004B1092">
        <w:t xml:space="preserve">tive investigation – </w:t>
      </w:r>
      <w:r w:rsidR="004B1092" w:rsidRPr="00363020">
        <w:t>CT</w:t>
      </w:r>
      <w:r w:rsidR="004B1092">
        <w:t>C</w:t>
      </w:r>
    </w:p>
    <w:p w:rsidR="004B1092" w:rsidRPr="00B57F6C" w:rsidRDefault="004B1092" w:rsidP="004B1092">
      <w:r>
        <w:rPr>
          <w:lang w:eastAsia="ar-SA"/>
        </w:rPr>
        <w:t>BSP p</w:t>
      </w:r>
      <w:r w:rsidRPr="00B57F6C">
        <w:rPr>
          <w:lang w:eastAsia="ar-SA"/>
        </w:rPr>
        <w:t xml:space="preserve">articipants assessed as unfit for colonoscopy or with an incomplete </w:t>
      </w:r>
      <w:r w:rsidR="003D209D" w:rsidRPr="00B57F6C">
        <w:rPr>
          <w:lang w:eastAsia="ar-SA"/>
        </w:rPr>
        <w:t>colonoscopy</w:t>
      </w:r>
      <w:r w:rsidRPr="00B57F6C">
        <w:rPr>
          <w:lang w:eastAsia="ar-SA"/>
        </w:rPr>
        <w:t xml:space="preserve"> are offered a CTC investigation. O</w:t>
      </w:r>
      <w:r w:rsidRPr="00B57F6C">
        <w:t xml:space="preserve">ccasionally when a colonoscopy fails, the person may proceed to have a colonoscopy under </w:t>
      </w:r>
      <w:r w:rsidR="0035559F">
        <w:t>g</w:t>
      </w:r>
      <w:r w:rsidR="0035559F" w:rsidRPr="00B57F6C">
        <w:t xml:space="preserve">eneral </w:t>
      </w:r>
      <w:r w:rsidR="0035559F">
        <w:t>a</w:t>
      </w:r>
      <w:r w:rsidR="0035559F" w:rsidRPr="00B57F6C">
        <w:t>naesthetic</w:t>
      </w:r>
      <w:r w:rsidR="0035559F">
        <w:t xml:space="preserve"> </w:t>
      </w:r>
      <w:r w:rsidR="00614D5E">
        <w:t xml:space="preserve">(estimated at </w:t>
      </w:r>
      <w:r w:rsidR="00D60489">
        <w:t>5</w:t>
      </w:r>
      <w:r w:rsidR="00D64CCE">
        <w:t>3</w:t>
      </w:r>
      <w:r w:rsidR="00614D5E">
        <w:t xml:space="preserve"> in screening round one, </w:t>
      </w:r>
      <w:r w:rsidR="00D64CCE">
        <w:t>Artus et al</w:t>
      </w:r>
      <w:r w:rsidR="00614D5E">
        <w:t xml:space="preserve"> 2014)</w:t>
      </w:r>
      <w:r w:rsidRPr="00B57F6C">
        <w:t xml:space="preserve">.  </w:t>
      </w:r>
    </w:p>
    <w:p w:rsidR="003A64F0" w:rsidRDefault="003A64F0" w:rsidP="003A64F0">
      <w:pPr>
        <w:pStyle w:val="Heading4"/>
      </w:pPr>
      <w:r>
        <w:lastRenderedPageBreak/>
        <w:t xml:space="preserve">Perceptions of workforce capacity  </w:t>
      </w:r>
    </w:p>
    <w:p w:rsidR="004B1092" w:rsidRDefault="004B1092" w:rsidP="004B1092">
      <w:pPr>
        <w:rPr>
          <w:lang w:val="mi-NZ"/>
        </w:rPr>
      </w:pPr>
      <w:r>
        <w:rPr>
          <w:lang w:val="mi-NZ"/>
        </w:rPr>
        <w:t xml:space="preserve">Stakeholders interacting with CTC are in the main </w:t>
      </w:r>
      <w:r w:rsidRPr="00B57F6C">
        <w:rPr>
          <w:lang w:val="mi-NZ"/>
        </w:rPr>
        <w:t>positive about the</w:t>
      </w:r>
      <w:r w:rsidR="0023242C">
        <w:rPr>
          <w:lang w:val="mi-NZ"/>
        </w:rPr>
        <w:t>ir communication and ability to</w:t>
      </w:r>
      <w:r w:rsidR="0023242C">
        <w:t xml:space="preserve"> see BSP participants who have had a failed colonoscopy that day or the next to avoid </w:t>
      </w:r>
      <w:r w:rsidR="00614D5E">
        <w:t>participants</w:t>
      </w:r>
      <w:r w:rsidR="0023242C">
        <w:t xml:space="preserve"> having to repeat their bowel preparation. </w:t>
      </w:r>
      <w:r>
        <w:rPr>
          <w:lang w:val="mi-NZ"/>
        </w:rPr>
        <w:t xml:space="preserve"> There is acknowledgement that </w:t>
      </w:r>
      <w:r w:rsidR="00E70F70">
        <w:rPr>
          <w:lang w:val="mi-NZ"/>
        </w:rPr>
        <w:t>it took time to set up appropriate</w:t>
      </w:r>
      <w:r>
        <w:rPr>
          <w:lang w:val="mi-NZ"/>
        </w:rPr>
        <w:t xml:space="preserve"> processes and that there are further areas for improvement. </w:t>
      </w:r>
    </w:p>
    <w:p w:rsidR="004B1092" w:rsidRDefault="0023242C" w:rsidP="00D60489">
      <w:r>
        <w:t>Qualitative f</w:t>
      </w:r>
      <w:r w:rsidR="004B1092" w:rsidRPr="00320813">
        <w:t xml:space="preserve">eedback from </w:t>
      </w:r>
      <w:r w:rsidR="00DE3632">
        <w:t>radiolog</w:t>
      </w:r>
      <w:r w:rsidR="00A93337">
        <w:t>y staff</w:t>
      </w:r>
      <w:r w:rsidR="00DE3632" w:rsidRPr="00320813">
        <w:t xml:space="preserve"> </w:t>
      </w:r>
      <w:r w:rsidR="004B1092" w:rsidRPr="00320813">
        <w:t>highlight</w:t>
      </w:r>
      <w:r w:rsidR="00F82B92">
        <w:t>s</w:t>
      </w:r>
      <w:r w:rsidR="004B1092" w:rsidRPr="00320813">
        <w:t xml:space="preserve"> that the BSP has had minimal impact on their workload.  It</w:t>
      </w:r>
      <w:r w:rsidR="004B1092">
        <w:t xml:space="preserve"> is estimated that from July 2012 to October 2013</w:t>
      </w:r>
      <w:r w:rsidR="00D60489">
        <w:t>:</w:t>
      </w:r>
      <w:r w:rsidR="004B1092" w:rsidRPr="00697D47">
        <w:rPr>
          <w:rStyle w:val="FootnoteReference"/>
        </w:rPr>
        <w:footnoteReference w:id="79"/>
      </w:r>
    </w:p>
    <w:p w:rsidR="004B1092" w:rsidRDefault="004B1092" w:rsidP="00604AA9">
      <w:pPr>
        <w:pStyle w:val="Bullet"/>
        <w:numPr>
          <w:ilvl w:val="0"/>
          <w:numId w:val="10"/>
        </w:numPr>
        <w:tabs>
          <w:tab w:val="num" w:pos="2126"/>
          <w:tab w:val="num" w:pos="6663"/>
        </w:tabs>
        <w:ind w:left="1069"/>
      </w:pPr>
      <w:r>
        <w:t xml:space="preserve">In Waitakere Hospital – 34 BSP CTCs have been performed out of a total 492 CTC (7% of CTC undertaken were from the BSP) </w:t>
      </w:r>
    </w:p>
    <w:p w:rsidR="004B1092" w:rsidRDefault="004B1092" w:rsidP="00604AA9">
      <w:pPr>
        <w:pStyle w:val="Bullet"/>
        <w:numPr>
          <w:ilvl w:val="0"/>
          <w:numId w:val="10"/>
        </w:numPr>
        <w:tabs>
          <w:tab w:val="num" w:pos="2126"/>
          <w:tab w:val="num" w:pos="6663"/>
        </w:tabs>
        <w:ind w:left="1069"/>
      </w:pPr>
      <w:r>
        <w:t xml:space="preserve">In North Shore Hospital - 13 BSP CTCs have been performed out of a total 456 CTC (3% of CTCs undertaken were from the BSP) </w:t>
      </w:r>
    </w:p>
    <w:p w:rsidR="004B1092" w:rsidRDefault="004B1092" w:rsidP="00604AA9">
      <w:pPr>
        <w:pStyle w:val="Bullet"/>
        <w:numPr>
          <w:ilvl w:val="0"/>
          <w:numId w:val="10"/>
        </w:numPr>
        <w:tabs>
          <w:tab w:val="num" w:pos="2126"/>
          <w:tab w:val="num" w:pos="6663"/>
        </w:tabs>
        <w:ind w:left="1069"/>
      </w:pPr>
      <w:r>
        <w:t xml:space="preserve">In total across the two hospitals - 47 BSP CTCs have been performed out of a total 948 CTC (5% of CTC undertaken were from the BSP). </w:t>
      </w:r>
    </w:p>
    <w:p w:rsidR="004B1092" w:rsidRDefault="004B1092" w:rsidP="004B1092">
      <w:r>
        <w:t>In contrast, t</w:t>
      </w:r>
      <w:r w:rsidR="00D62C6C" w:rsidRPr="005C5612">
        <w:t xml:space="preserve">hree-quarters of radiology staff (74%) reported that the BSP had increased the workload at the North Shore Hospital radiology unit (70% </w:t>
      </w:r>
      <w:r w:rsidR="00D62C6C" w:rsidRPr="005C5612">
        <w:rPr>
          <w:i/>
        </w:rPr>
        <w:t>increase</w:t>
      </w:r>
      <w:r w:rsidR="00D62C6C" w:rsidRPr="005C5612">
        <w:t>)</w:t>
      </w:r>
      <w:r w:rsidR="00D62C6C">
        <w:t xml:space="preserve">, whereas less than </w:t>
      </w:r>
      <w:r w:rsidR="00D62C6C" w:rsidRPr="005C5612">
        <w:t>half (48%) reported that the BSP had increased the workload at the Waitakere Hospital radiology unit.</w:t>
      </w:r>
      <w:r w:rsidR="00D62C6C">
        <w:t xml:space="preserve"> </w:t>
      </w:r>
    </w:p>
    <w:p w:rsidR="00D62C6C" w:rsidRDefault="00D62C6C" w:rsidP="004B1092">
      <w:pPr>
        <w:rPr>
          <w:rFonts w:cs="Arial"/>
          <w:lang w:eastAsia="en-NZ"/>
        </w:rPr>
      </w:pPr>
      <w:proofErr w:type="gramStart"/>
      <w:r w:rsidRPr="008B3573">
        <w:rPr>
          <w:rFonts w:cs="Arial"/>
          <w:lang w:eastAsia="en-NZ"/>
        </w:rPr>
        <w:t>This was significant</w:t>
      </w:r>
      <w:r>
        <w:rPr>
          <w:rFonts w:cs="Arial"/>
          <w:lang w:eastAsia="en-NZ"/>
        </w:rPr>
        <w:t>ly different t</w:t>
      </w:r>
      <w:r w:rsidRPr="008B3573">
        <w:rPr>
          <w:rFonts w:cs="Arial"/>
          <w:lang w:eastAsia="en-NZ"/>
        </w:rPr>
        <w:t>o the expected impact</w:t>
      </w:r>
      <w:r>
        <w:rPr>
          <w:rFonts w:cs="Arial"/>
          <w:lang w:eastAsia="en-NZ"/>
        </w:rPr>
        <w:t xml:space="preserve">s </w:t>
      </w:r>
      <w:r w:rsidRPr="008B3573">
        <w:rPr>
          <w:rFonts w:cs="Arial"/>
          <w:lang w:eastAsia="en-NZ"/>
        </w:rPr>
        <w:t xml:space="preserve">reported in the 2011 baseline provider survey of </w:t>
      </w:r>
      <w:r>
        <w:rPr>
          <w:rFonts w:cs="Arial"/>
          <w:lang w:eastAsia="en-NZ"/>
        </w:rPr>
        <w:t>96</w:t>
      </w:r>
      <w:r w:rsidRPr="008B3573">
        <w:rPr>
          <w:rFonts w:cs="Arial"/>
          <w:lang w:eastAsia="en-NZ"/>
        </w:rPr>
        <w:t xml:space="preserve">% </w:t>
      </w:r>
      <w:r w:rsidRPr="008B3573">
        <w:rPr>
          <w:rFonts w:cs="Arial"/>
          <w:i/>
          <w:lang w:eastAsia="en-NZ"/>
        </w:rPr>
        <w:t>increase</w:t>
      </w:r>
      <w:r w:rsidRPr="008B3573">
        <w:rPr>
          <w:rFonts w:cs="Arial"/>
          <w:lang w:eastAsia="en-NZ"/>
        </w:rPr>
        <w:t xml:space="preserve"> or </w:t>
      </w:r>
      <w:r w:rsidRPr="008B3573">
        <w:rPr>
          <w:rFonts w:cs="Arial"/>
          <w:i/>
          <w:lang w:eastAsia="en-NZ"/>
        </w:rPr>
        <w:t>significantly increase</w:t>
      </w:r>
      <w:proofErr w:type="gramEnd"/>
      <w:r>
        <w:rPr>
          <w:rFonts w:cs="Arial"/>
          <w:lang w:eastAsia="en-NZ"/>
        </w:rPr>
        <w:t xml:space="preserve"> </w:t>
      </w:r>
      <w:r w:rsidRPr="005C5612">
        <w:t>at the North Shore Hospital radiology unit</w:t>
      </w:r>
      <w:r>
        <w:rPr>
          <w:rFonts w:cs="Arial"/>
          <w:lang w:eastAsia="en-NZ"/>
        </w:rPr>
        <w:t>, and 90</w:t>
      </w:r>
      <w:r w:rsidRPr="008B3573">
        <w:rPr>
          <w:rFonts w:cs="Arial"/>
          <w:lang w:eastAsia="en-NZ"/>
        </w:rPr>
        <w:t xml:space="preserve">% </w:t>
      </w:r>
      <w:r w:rsidRPr="005C5612">
        <w:rPr>
          <w:rFonts w:cs="Arial"/>
          <w:i/>
          <w:lang w:eastAsia="en-NZ"/>
        </w:rPr>
        <w:t>increase</w:t>
      </w:r>
      <w:r w:rsidRPr="005C5612">
        <w:rPr>
          <w:rFonts w:cs="Arial"/>
          <w:lang w:eastAsia="en-NZ"/>
        </w:rPr>
        <w:t xml:space="preserve"> or </w:t>
      </w:r>
      <w:r w:rsidRPr="005C5612">
        <w:rPr>
          <w:rFonts w:cs="Arial"/>
          <w:i/>
          <w:lang w:eastAsia="en-NZ"/>
        </w:rPr>
        <w:t>significantly increase</w:t>
      </w:r>
      <w:r w:rsidRPr="005C5612">
        <w:rPr>
          <w:rFonts w:cs="Arial"/>
          <w:lang w:eastAsia="en-NZ"/>
        </w:rPr>
        <w:t xml:space="preserve"> </w:t>
      </w:r>
      <w:r w:rsidRPr="005C5612">
        <w:t>at the Waitakere Hospital radiology unit</w:t>
      </w:r>
      <w:r>
        <w:t xml:space="preserve">. It is noted, however, that the difference is largely accounted for in the increase in </w:t>
      </w:r>
      <w:r w:rsidRPr="005C5612">
        <w:t>radiology staff</w:t>
      </w:r>
      <w:r>
        <w:t xml:space="preserve"> particularly at Waitakere Hospital reporting that they </w:t>
      </w:r>
      <w:r w:rsidRPr="004546A8">
        <w:rPr>
          <w:rFonts w:cs="Arial"/>
          <w:i/>
          <w:lang w:eastAsia="en-NZ"/>
        </w:rPr>
        <w:t>don’t know</w:t>
      </w:r>
      <w:r w:rsidRPr="008B3573">
        <w:rPr>
          <w:rFonts w:cs="Arial"/>
          <w:lang w:eastAsia="en-NZ"/>
        </w:rPr>
        <w:t xml:space="preserve"> </w:t>
      </w:r>
      <w:r>
        <w:rPr>
          <w:rFonts w:cs="Arial"/>
          <w:lang w:eastAsia="en-NZ"/>
        </w:rPr>
        <w:t xml:space="preserve">what impact there has been on the </w:t>
      </w:r>
      <w:r w:rsidRPr="008B3573">
        <w:rPr>
          <w:rFonts w:cs="Arial"/>
          <w:lang w:eastAsia="en-NZ"/>
        </w:rPr>
        <w:t>workload</w:t>
      </w:r>
      <w:r w:rsidR="000B2893">
        <w:rPr>
          <w:rFonts w:cs="Arial"/>
          <w:lang w:eastAsia="en-NZ"/>
        </w:rPr>
        <w:t xml:space="preserve">. </w:t>
      </w:r>
    </w:p>
    <w:p w:rsidR="00D62C6C" w:rsidRPr="00363020" w:rsidRDefault="004B1092" w:rsidP="004B1092">
      <w:r>
        <w:rPr>
          <w:rFonts w:cs="Arial"/>
          <w:lang w:eastAsia="en-NZ"/>
        </w:rPr>
        <w:t>Other p</w:t>
      </w:r>
      <w:r w:rsidR="00D62C6C" w:rsidRPr="00363020">
        <w:t xml:space="preserve">rovider perceptions regarding the current capacity of </w:t>
      </w:r>
      <w:r w:rsidR="00E70F70">
        <w:t>CTC</w:t>
      </w:r>
      <w:r w:rsidR="00D62C6C" w:rsidRPr="00363020">
        <w:t xml:space="preserve"> services for the BSP tended to vary by type of provider</w:t>
      </w:r>
      <w:r w:rsidR="00D60489" w:rsidRPr="00697D47">
        <w:rPr>
          <w:rStyle w:val="FootnoteReference"/>
        </w:rPr>
        <w:footnoteReference w:id="80"/>
      </w:r>
      <w:r w:rsidR="00D62C6C" w:rsidRPr="00363020">
        <w:t xml:space="preserve">. </w:t>
      </w:r>
      <w:r w:rsidR="00D60489">
        <w:t xml:space="preserve"> </w:t>
      </w:r>
      <w:r w:rsidR="00D62C6C" w:rsidRPr="00363020">
        <w:t>GPs, practice nurses</w:t>
      </w:r>
      <w:r w:rsidR="00D62C6C">
        <w:t xml:space="preserve"> </w:t>
      </w:r>
      <w:r w:rsidR="00D62C6C" w:rsidRPr="00363020">
        <w:t xml:space="preserve">and </w:t>
      </w:r>
      <w:r w:rsidR="00D62C6C">
        <w:t xml:space="preserve">endoscopy staff </w:t>
      </w:r>
      <w:r w:rsidR="00D62C6C" w:rsidRPr="00363020">
        <w:t xml:space="preserve">each had large proportions of providers that reported they </w:t>
      </w:r>
      <w:r w:rsidR="00D62C6C" w:rsidRPr="00363020">
        <w:rPr>
          <w:i/>
        </w:rPr>
        <w:t>don’t know</w:t>
      </w:r>
      <w:r w:rsidR="00D60489">
        <w:t xml:space="preserve"> the capacity.</w:t>
      </w:r>
    </w:p>
    <w:p w:rsidR="00D62C6C" w:rsidRPr="00363020" w:rsidRDefault="00D62C6C" w:rsidP="00604AA9">
      <w:pPr>
        <w:numPr>
          <w:ilvl w:val="0"/>
          <w:numId w:val="6"/>
        </w:numPr>
        <w:autoSpaceDE w:val="0"/>
        <w:autoSpaceDN w:val="0"/>
        <w:adjustRightInd w:val="0"/>
        <w:spacing w:before="0" w:after="120"/>
        <w:ind w:left="1134" w:hanging="425"/>
      </w:pPr>
      <w:r w:rsidRPr="00363020">
        <w:t xml:space="preserve">One-third of GPs (35%) indicated that there is currently </w:t>
      </w:r>
      <w:r w:rsidRPr="00363020">
        <w:rPr>
          <w:i/>
        </w:rPr>
        <w:t>not enough</w:t>
      </w:r>
      <w:r w:rsidRPr="00363020">
        <w:t xml:space="preserve"> CT</w:t>
      </w:r>
      <w:r w:rsidR="00183345">
        <w:t>C</w:t>
      </w:r>
      <w:r w:rsidRPr="00363020">
        <w:t xml:space="preserve"> capacity for the BSP, although this was a </w:t>
      </w:r>
      <w:r w:rsidRPr="00363020">
        <w:rPr>
          <w:rFonts w:cs="Arial"/>
          <w:lang w:eastAsia="en-NZ"/>
        </w:rPr>
        <w:t>significant reduction from 67% in the 2011 baseline provider survey.</w:t>
      </w:r>
      <w:r>
        <w:rPr>
          <w:rFonts w:cs="Arial"/>
          <w:lang w:eastAsia="en-NZ"/>
        </w:rPr>
        <w:t xml:space="preserve"> In addition, 44% did not know.</w:t>
      </w:r>
    </w:p>
    <w:p w:rsidR="00D62C6C" w:rsidRPr="007879EF" w:rsidRDefault="00D62C6C" w:rsidP="00604AA9">
      <w:pPr>
        <w:numPr>
          <w:ilvl w:val="0"/>
          <w:numId w:val="6"/>
        </w:numPr>
        <w:autoSpaceDE w:val="0"/>
        <w:autoSpaceDN w:val="0"/>
        <w:adjustRightInd w:val="0"/>
        <w:spacing w:before="0" w:after="120"/>
        <w:ind w:left="1134" w:hanging="425"/>
      </w:pPr>
      <w:r w:rsidRPr="00363020">
        <w:t xml:space="preserve">Twenty-eight percent of practice nurses indicated that there is </w:t>
      </w:r>
      <w:r w:rsidRPr="00363020">
        <w:rPr>
          <w:i/>
        </w:rPr>
        <w:t>not enough</w:t>
      </w:r>
      <w:r w:rsidRPr="00363020">
        <w:t xml:space="preserve"> CT</w:t>
      </w:r>
      <w:r w:rsidR="00183345">
        <w:t>C</w:t>
      </w:r>
      <w:r w:rsidRPr="00363020">
        <w:t xml:space="preserve"> </w:t>
      </w:r>
      <w:r w:rsidRPr="007879EF">
        <w:t xml:space="preserve">capacity, while </w:t>
      </w:r>
      <w:r w:rsidRPr="007879EF">
        <w:rPr>
          <w:rFonts w:cs="Arial"/>
          <w:lang w:eastAsia="en-NZ"/>
        </w:rPr>
        <w:t>57% did not know.</w:t>
      </w:r>
    </w:p>
    <w:p w:rsidR="00D62C6C" w:rsidRPr="007879EF" w:rsidRDefault="00D62C6C" w:rsidP="00604AA9">
      <w:pPr>
        <w:numPr>
          <w:ilvl w:val="0"/>
          <w:numId w:val="6"/>
        </w:numPr>
        <w:autoSpaceDE w:val="0"/>
        <w:autoSpaceDN w:val="0"/>
        <w:adjustRightInd w:val="0"/>
        <w:spacing w:before="0" w:after="120"/>
        <w:ind w:left="1134" w:hanging="425"/>
      </w:pPr>
      <w:r w:rsidRPr="007879EF">
        <w:t xml:space="preserve">All endoscopy staff either thought capacity was </w:t>
      </w:r>
      <w:r w:rsidRPr="00A362DA">
        <w:rPr>
          <w:i/>
        </w:rPr>
        <w:t>about right</w:t>
      </w:r>
      <w:r w:rsidRPr="007879EF">
        <w:t xml:space="preserve"> (47%), or felt they did not know about capacity of CT</w:t>
      </w:r>
      <w:r w:rsidR="00183345">
        <w:t>C</w:t>
      </w:r>
      <w:r w:rsidRPr="007879EF">
        <w:t xml:space="preserve"> services (53%).</w:t>
      </w:r>
    </w:p>
    <w:p w:rsidR="00D62C6C" w:rsidRPr="007879EF" w:rsidRDefault="00D62C6C" w:rsidP="00604AA9">
      <w:pPr>
        <w:numPr>
          <w:ilvl w:val="0"/>
          <w:numId w:val="6"/>
        </w:numPr>
        <w:autoSpaceDE w:val="0"/>
        <w:autoSpaceDN w:val="0"/>
        <w:adjustRightInd w:val="0"/>
        <w:spacing w:before="0" w:after="120"/>
        <w:ind w:left="1134" w:hanging="425"/>
      </w:pPr>
      <w:r w:rsidRPr="007879EF">
        <w:t xml:space="preserve">Radiology </w:t>
      </w:r>
      <w:proofErr w:type="gramStart"/>
      <w:r w:rsidRPr="007879EF">
        <w:t>staff were</w:t>
      </w:r>
      <w:proofErr w:type="gramEnd"/>
      <w:r w:rsidRPr="007879EF">
        <w:t xml:space="preserve"> divided in their opinions, in that 50% reported the capacity was </w:t>
      </w:r>
      <w:r w:rsidRPr="007879EF">
        <w:rPr>
          <w:i/>
        </w:rPr>
        <w:t>about righ</w:t>
      </w:r>
      <w:r>
        <w:rPr>
          <w:i/>
        </w:rPr>
        <w:t>t</w:t>
      </w:r>
      <w:r w:rsidRPr="007879EF">
        <w:t xml:space="preserve">, and 50% reported that there was currently </w:t>
      </w:r>
      <w:r w:rsidRPr="007879EF">
        <w:rPr>
          <w:i/>
        </w:rPr>
        <w:t>not enough</w:t>
      </w:r>
      <w:r w:rsidRPr="007879EF">
        <w:t xml:space="preserve"> capacity of CT</w:t>
      </w:r>
      <w:r w:rsidR="00183345">
        <w:t>C</w:t>
      </w:r>
      <w:r w:rsidRPr="007879EF">
        <w:t xml:space="preserve"> services.</w:t>
      </w:r>
    </w:p>
    <w:p w:rsidR="00441FBD" w:rsidRDefault="00382AAE" w:rsidP="00614D5E">
      <w:pPr>
        <w:pStyle w:val="Heading4"/>
      </w:pPr>
      <w:r>
        <w:lastRenderedPageBreak/>
        <w:t xml:space="preserve">Other </w:t>
      </w:r>
      <w:r w:rsidR="000B2893">
        <w:t xml:space="preserve">service delivery </w:t>
      </w:r>
      <w:r>
        <w:t>issues noted</w:t>
      </w:r>
      <w:r w:rsidR="000B2893">
        <w:t xml:space="preserve"> for C</w:t>
      </w:r>
      <w:r w:rsidR="00E70F70">
        <w:t>T</w:t>
      </w:r>
      <w:r w:rsidR="000B2893">
        <w:t>Cs</w:t>
      </w:r>
    </w:p>
    <w:p w:rsidR="00441FBD" w:rsidRPr="00320813" w:rsidRDefault="00382AAE" w:rsidP="00604AA9">
      <w:pPr>
        <w:numPr>
          <w:ilvl w:val="0"/>
          <w:numId w:val="6"/>
        </w:numPr>
        <w:autoSpaceDE w:val="0"/>
        <w:autoSpaceDN w:val="0"/>
        <w:adjustRightInd w:val="0"/>
        <w:spacing w:before="0" w:after="120"/>
        <w:ind w:left="1134" w:hanging="425"/>
      </w:pPr>
      <w:r w:rsidRPr="00F83A99">
        <w:rPr>
          <w:b/>
        </w:rPr>
        <w:t>Inc</w:t>
      </w:r>
      <w:r w:rsidR="00441FBD" w:rsidRPr="00F83A99">
        <w:rPr>
          <w:b/>
        </w:rPr>
        <w:t>onsis</w:t>
      </w:r>
      <w:r w:rsidR="00F83A99" w:rsidRPr="00F83A99">
        <w:rPr>
          <w:b/>
        </w:rPr>
        <w:t xml:space="preserve">tent coding of BSP participants. </w:t>
      </w:r>
      <w:r w:rsidR="00D60489">
        <w:rPr>
          <w:b/>
        </w:rPr>
        <w:t xml:space="preserve"> </w:t>
      </w:r>
      <w:r w:rsidR="00441FBD" w:rsidRPr="00320813">
        <w:t xml:space="preserve">BSP participants coming into CTC should be given a unique code to identify them as coming from the BSP.  The coding of BSP participants does not appear to be occurring consistently.  For BSP participants seen on the day or day after their failed colonoscopy, this does not create any pathway issues.  </w:t>
      </w:r>
      <w:r w:rsidR="00041669">
        <w:t xml:space="preserve">However for those added to CTC’s general list, this can create potential delays (refer below). </w:t>
      </w:r>
      <w:r w:rsidR="00D60489">
        <w:t xml:space="preserve"> </w:t>
      </w:r>
      <w:r w:rsidR="00441FBD" w:rsidRPr="00320813">
        <w:t>Review is required to identify if all BSP participants who have had a CTC are noted in the BSP Register.</w:t>
      </w:r>
    </w:p>
    <w:p w:rsidR="00441FBD" w:rsidRPr="00320813" w:rsidRDefault="00382AAE" w:rsidP="00604AA9">
      <w:pPr>
        <w:numPr>
          <w:ilvl w:val="0"/>
          <w:numId w:val="6"/>
        </w:numPr>
        <w:autoSpaceDE w:val="0"/>
        <w:autoSpaceDN w:val="0"/>
        <w:adjustRightInd w:val="0"/>
        <w:spacing w:before="0" w:after="120"/>
        <w:ind w:left="1134" w:hanging="425"/>
      </w:pPr>
      <w:r w:rsidRPr="00F83A99">
        <w:rPr>
          <w:b/>
        </w:rPr>
        <w:t>Lack of a</w:t>
      </w:r>
      <w:r w:rsidR="00441FBD" w:rsidRPr="00F83A99">
        <w:rPr>
          <w:b/>
        </w:rPr>
        <w:t>dherence to BSP referral and wait standards</w:t>
      </w:r>
      <w:r w:rsidR="00F83A99" w:rsidRPr="00F83A99">
        <w:rPr>
          <w:b/>
        </w:rPr>
        <w:t xml:space="preserve">. </w:t>
      </w:r>
      <w:r w:rsidR="00D60489">
        <w:rPr>
          <w:b/>
        </w:rPr>
        <w:t xml:space="preserve"> </w:t>
      </w:r>
      <w:r w:rsidR="00441FBD">
        <w:t xml:space="preserve">BSP participants deemed unfit for a colonoscopy and fit for CTC are added to the pool of patients referred for a CTC.  BSP participants are treated the same as other CTC patients.  The quality standards of CTC </w:t>
      </w:r>
      <w:r w:rsidR="00441FBD" w:rsidRPr="00320813">
        <w:t>for referral and wait times differ from BSP quality standards.  The Radiology Department is confident that BSP participants are seen within 30 days (their standard) and not BSP’s standard of 20 days.</w:t>
      </w:r>
    </w:p>
    <w:p w:rsidR="00441FBD" w:rsidRDefault="00441FBD" w:rsidP="00F83A99">
      <w:pPr>
        <w:ind w:left="1134"/>
      </w:pPr>
      <w:r>
        <w:t xml:space="preserve">CTC send letters to all referred patients inviting them to call and make an appointment.  Consequently, if </w:t>
      </w:r>
      <w:r w:rsidRPr="00320813">
        <w:t xml:space="preserve">patients do not respond promptly to the letter there will be a delay.  </w:t>
      </w:r>
    </w:p>
    <w:p w:rsidR="00441FBD" w:rsidRDefault="003D209D" w:rsidP="00F83A99">
      <w:pPr>
        <w:ind w:left="1134"/>
      </w:pPr>
      <w:r w:rsidRPr="00320813">
        <w:t xml:space="preserve">Radiology </w:t>
      </w:r>
      <w:proofErr w:type="gramStart"/>
      <w:r>
        <w:t xml:space="preserve">staff </w:t>
      </w:r>
      <w:r w:rsidRPr="00320813">
        <w:t>are</w:t>
      </w:r>
      <w:proofErr w:type="gramEnd"/>
      <w:r w:rsidRPr="00320813">
        <w:t xml:space="preserve"> confident that they deliver against the other</w:t>
      </w:r>
      <w:r>
        <w:t xml:space="preserve"> BSP</w:t>
      </w:r>
      <w:r w:rsidRPr="00320813">
        <w:t xml:space="preserve"> quality standards</w:t>
      </w:r>
      <w:r w:rsidRPr="00B42750">
        <w:rPr>
          <w:b/>
        </w:rPr>
        <w:t>,</w:t>
      </w:r>
      <w:r>
        <w:t xml:space="preserve"> although they are not actively monitored by the Radiology Department.  </w:t>
      </w:r>
      <w:r w:rsidR="00441FBD">
        <w:t>The Department relies on the BSP Coordination Centre or WDHB</w:t>
      </w:r>
      <w:r w:rsidR="00441FBD">
        <w:rPr>
          <w:lang w:eastAsia="ar-SA"/>
        </w:rPr>
        <w:t xml:space="preserve"> BSP Clinical Director </w:t>
      </w:r>
      <w:r w:rsidR="00441FBD">
        <w:t xml:space="preserve">to inform them if they are at risk of breaching the quality standards.  </w:t>
      </w:r>
      <w:r w:rsidR="00D64CCE">
        <w:br/>
      </w:r>
    </w:p>
    <w:p w:rsidR="00441FBD" w:rsidRPr="00B341FB" w:rsidRDefault="00441FBD" w:rsidP="00604AA9">
      <w:pPr>
        <w:numPr>
          <w:ilvl w:val="0"/>
          <w:numId w:val="6"/>
        </w:numPr>
        <w:autoSpaceDE w:val="0"/>
        <w:autoSpaceDN w:val="0"/>
        <w:adjustRightInd w:val="0"/>
        <w:spacing w:before="0" w:after="120"/>
        <w:ind w:left="1134" w:hanging="425"/>
      </w:pPr>
      <w:r w:rsidRPr="00041669">
        <w:rPr>
          <w:b/>
        </w:rPr>
        <w:t>Ensuring</w:t>
      </w:r>
      <w:r w:rsidRPr="005F5112">
        <w:rPr>
          <w:b/>
          <w:lang w:val="mi-NZ"/>
        </w:rPr>
        <w:t xml:space="preserve"> BSP </w:t>
      </w:r>
      <w:r w:rsidRPr="00F83A99">
        <w:rPr>
          <w:b/>
        </w:rPr>
        <w:t>participants</w:t>
      </w:r>
      <w:r w:rsidRPr="005F5112">
        <w:rPr>
          <w:b/>
          <w:lang w:val="mi-NZ"/>
        </w:rPr>
        <w:t xml:space="preserve"> are clear about next steps</w:t>
      </w:r>
      <w:r w:rsidR="00F83A99">
        <w:rPr>
          <w:b/>
          <w:lang w:val="mi-NZ"/>
        </w:rPr>
        <w:t xml:space="preserve">. </w:t>
      </w:r>
      <w:r w:rsidRPr="005F5112">
        <w:rPr>
          <w:b/>
          <w:lang w:val="mi-NZ"/>
        </w:rPr>
        <w:t xml:space="preserve"> </w:t>
      </w:r>
      <w:r>
        <w:t xml:space="preserve">Calls to the BSP Coordination Centre have indicated that following a CTC, </w:t>
      </w:r>
      <w:r w:rsidRPr="00320813">
        <w:t>some BSP participants are not receiving the correct information about what happens next.  This reinforces the need to be able to identify BSP participants and to ensure Radiology</w:t>
      </w:r>
      <w:r w:rsidRPr="00B341FB">
        <w:t xml:space="preserve"> </w:t>
      </w:r>
      <w:proofErr w:type="gramStart"/>
      <w:r w:rsidRPr="00B341FB">
        <w:t>staff are</w:t>
      </w:r>
      <w:proofErr w:type="gramEnd"/>
      <w:r w:rsidRPr="00B341FB">
        <w:t xml:space="preserve"> aware of the next steps for BSP participants. </w:t>
      </w:r>
    </w:p>
    <w:p w:rsidR="00A077B6" w:rsidRDefault="007440BC" w:rsidP="00A077B6">
      <w:pPr>
        <w:pStyle w:val="Heading3"/>
      </w:pPr>
      <w:r>
        <w:t>S</w:t>
      </w:r>
      <w:r w:rsidR="00A077B6" w:rsidRPr="00A077B6">
        <w:t>urveillance</w:t>
      </w:r>
      <w:r w:rsidR="00A077B6" w:rsidRPr="00A077B6">
        <w:tab/>
      </w:r>
    </w:p>
    <w:p w:rsidR="00813E3C" w:rsidRDefault="006A074F" w:rsidP="00382AAE">
      <w:r w:rsidRPr="00B77083">
        <w:t xml:space="preserve">Stakeholders interviewed recognised that the high level of polyps detected via BSP colonoscopies will, over time, add significantly to the symptomatic colonoscopy lists.  </w:t>
      </w:r>
      <w:r w:rsidR="00813E3C" w:rsidRPr="00B77083">
        <w:t xml:space="preserve">Green et al (2012) found that in the first few years of a screening programme </w:t>
      </w:r>
      <w:r w:rsidR="009433F2">
        <w:t xml:space="preserve">the </w:t>
      </w:r>
      <w:r w:rsidR="003D209D">
        <w:t xml:space="preserve">main </w:t>
      </w:r>
      <w:r w:rsidR="003D209D" w:rsidRPr="00B77083">
        <w:t>colonoscopy</w:t>
      </w:r>
      <w:r w:rsidR="00813E3C" w:rsidRPr="00B77083">
        <w:t xml:space="preserve"> requirement is for the initial referral after a positive iFOBT.  By year seven</w:t>
      </w:r>
      <w:r w:rsidR="006878B3">
        <w:t>,</w:t>
      </w:r>
      <w:r w:rsidR="00813E3C" w:rsidRPr="00B77083">
        <w:t xml:space="preserve"> surveillance colonoscopies will have built up and account for 40% of the total colonoscopies.</w:t>
      </w:r>
      <w:r w:rsidR="00813E3C">
        <w:t xml:space="preserve"> </w:t>
      </w:r>
    </w:p>
    <w:p w:rsidR="001F53B4" w:rsidRPr="001F53B4" w:rsidRDefault="006A074F" w:rsidP="001F53B4">
      <w:r w:rsidRPr="006E3075">
        <w:t xml:space="preserve">While the accumulative effect of the surveillance colonoscopies have not yet impacted on the symptomatic list, there is some </w:t>
      </w:r>
      <w:r w:rsidR="003D209D">
        <w:t>qualitative</w:t>
      </w:r>
      <w:r w:rsidR="001F53B4">
        <w:t xml:space="preserve"> </w:t>
      </w:r>
      <w:r w:rsidR="007C0BC9">
        <w:t>feedback</w:t>
      </w:r>
      <w:r w:rsidRPr="006E3075">
        <w:t xml:space="preserve"> that BSP participants requiring surveillance colonoscopies at one year are not receiving timely appointments</w:t>
      </w:r>
      <w:r w:rsidR="007C0BC9">
        <w:t xml:space="preserve"> (Litmus 2014)</w:t>
      </w:r>
      <w:r w:rsidRPr="006E3075">
        <w:t xml:space="preserve">.  </w:t>
      </w:r>
      <w:r w:rsidR="001F53B4" w:rsidRPr="001F53B4">
        <w:t xml:space="preserve">Monitoring is required to ensure that BSP participants requiring surveillance colonoscopies at one year and later are receiving timely appointments.  </w:t>
      </w:r>
    </w:p>
    <w:p w:rsidR="006A074F" w:rsidRDefault="006A074F" w:rsidP="00382AAE">
      <w:r w:rsidRPr="006E3075">
        <w:t xml:space="preserve">Planning has been undertaken to quantify known issues with symptomatic colonoscopy lists and to assess the impact of BSP participants being referred for surveillance colonoscopies.  </w:t>
      </w:r>
      <w:r>
        <w:t>A</w:t>
      </w:r>
      <w:r w:rsidRPr="006E3075">
        <w:t xml:space="preserve"> business case </w:t>
      </w:r>
      <w:r>
        <w:t>to the WDHB has</w:t>
      </w:r>
      <w:r w:rsidRPr="006E3075">
        <w:t xml:space="preserve"> resulted in additional resources to address the needs of symptomatic patients as well as to accommodate the flow on effect of </w:t>
      </w:r>
      <w:r>
        <w:t>BSP surveillance colonoscopies</w:t>
      </w:r>
      <w:r w:rsidRPr="006E3075">
        <w:t xml:space="preserve">.  The impact of the BSP on symptomatic </w:t>
      </w:r>
      <w:r w:rsidR="00041669">
        <w:t>services needs to be monitored (Litmus 2014).</w:t>
      </w:r>
    </w:p>
    <w:p w:rsidR="002E3BAD" w:rsidRDefault="002E3BAD" w:rsidP="00382AAE">
      <w:r w:rsidRPr="00B77083">
        <w:lastRenderedPageBreak/>
        <w:t>Concerns about having adequate colonoscopy capacity to meet the demands of both a screening programme and people with symptoms have been highlighted in other countries including Ireland and England (Green et al 2012).</w:t>
      </w:r>
      <w:r>
        <w:t xml:space="preserve">  </w:t>
      </w:r>
    </w:p>
    <w:p w:rsidR="00A077B6" w:rsidRDefault="00A077B6" w:rsidP="00573506">
      <w:pPr>
        <w:pStyle w:val="Heading3"/>
        <w:tabs>
          <w:tab w:val="left" w:pos="567"/>
          <w:tab w:val="left" w:pos="1134"/>
          <w:tab w:val="left" w:pos="1701"/>
          <w:tab w:val="left" w:pos="3366"/>
        </w:tabs>
      </w:pPr>
      <w:r w:rsidRPr="00A077B6">
        <w:t>Treatment</w:t>
      </w:r>
      <w:r w:rsidRPr="00A077B6">
        <w:tab/>
      </w:r>
    </w:p>
    <w:p w:rsidR="00573506" w:rsidRDefault="005B025D" w:rsidP="00573506">
      <w:r>
        <w:t>106</w:t>
      </w:r>
      <w:r w:rsidR="00573506" w:rsidRPr="005B025D">
        <w:t xml:space="preserve"> participants had </w:t>
      </w:r>
      <w:r w:rsidR="006A074F" w:rsidRPr="005B025D">
        <w:t xml:space="preserve">cancer </w:t>
      </w:r>
      <w:r w:rsidR="00573506" w:rsidRPr="005B025D">
        <w:t xml:space="preserve">detected </w:t>
      </w:r>
      <w:r w:rsidR="006A074F" w:rsidRPr="005B025D">
        <w:t>through the BSP</w:t>
      </w:r>
      <w:r w:rsidRPr="00697D47">
        <w:rPr>
          <w:rStyle w:val="FootnoteReference"/>
        </w:rPr>
        <w:footnoteReference w:id="81"/>
      </w:r>
      <w:r w:rsidR="00E97A34" w:rsidRPr="005B025D">
        <w:t xml:space="preserve"> (Rea</w:t>
      </w:r>
      <w:r w:rsidR="00041669" w:rsidRPr="005B025D">
        <w:t>d et al 2014)</w:t>
      </w:r>
      <w:r w:rsidR="006A074F" w:rsidRPr="005B025D">
        <w:t>.</w:t>
      </w:r>
      <w:r w:rsidR="006A074F" w:rsidRPr="005975D7">
        <w:t xml:space="preserve">  </w:t>
      </w:r>
    </w:p>
    <w:p w:rsidR="003A64F0" w:rsidRDefault="003A64F0" w:rsidP="003A64F0">
      <w:pPr>
        <w:pStyle w:val="Heading4"/>
      </w:pPr>
      <w:r>
        <w:t xml:space="preserve">Perceptions of workforce capacity  </w:t>
      </w:r>
    </w:p>
    <w:p w:rsidR="00573506" w:rsidRPr="00547801" w:rsidRDefault="00573506" w:rsidP="00573506">
      <w:r>
        <w:t xml:space="preserve">WDHB commenced the </w:t>
      </w:r>
      <w:r w:rsidR="00EB35F4">
        <w:t>p</w:t>
      </w:r>
      <w:r>
        <w:t xml:space="preserve">ilot with five FTE </w:t>
      </w:r>
      <w:r w:rsidRPr="00251A36">
        <w:t xml:space="preserve">colorectal surgeons.  </w:t>
      </w:r>
      <w:r>
        <w:t>In 2013, a</w:t>
      </w:r>
      <w:r w:rsidRPr="00251A36">
        <w:t xml:space="preserve"> workforce analysis </w:t>
      </w:r>
      <w:r>
        <w:t xml:space="preserve">conducted in WDHB </w:t>
      </w:r>
      <w:r w:rsidRPr="00251A36">
        <w:t xml:space="preserve">found there are </w:t>
      </w:r>
      <w:r>
        <w:t xml:space="preserve">now </w:t>
      </w:r>
      <w:r w:rsidRPr="00251A36">
        <w:t>three FTE colorectal surgeons, and the support of a surgeon seeking to retire.  Recruitment of replacement surgeon</w:t>
      </w:r>
      <w:r>
        <w:t xml:space="preserve">s has been </w:t>
      </w:r>
      <w:r w:rsidRPr="00251A36">
        <w:t>slow.  The decreased number of colorectal surgeons and the historically low number of surgeons per head of population at WDHB has meant that the</w:t>
      </w:r>
      <w:r w:rsidR="00E70F70">
        <w:t xml:space="preserve"> number of</w:t>
      </w:r>
      <w:r w:rsidRPr="00251A36">
        <w:t xml:space="preserve"> pa</w:t>
      </w:r>
      <w:r>
        <w:t>rticipants</w:t>
      </w:r>
      <w:r w:rsidRPr="00251A36">
        <w:t xml:space="preserve"> diagnosed with cancer via the BSP </w:t>
      </w:r>
      <w:r w:rsidR="00E70F70">
        <w:t>has</w:t>
      </w:r>
      <w:r w:rsidR="00E70F70" w:rsidRPr="00251A36">
        <w:t xml:space="preserve"> </w:t>
      </w:r>
      <w:r w:rsidRPr="00251A36">
        <w:t xml:space="preserve">placed </w:t>
      </w:r>
      <w:r w:rsidRPr="00547801">
        <w:t xml:space="preserve">significant pressure on these limited resources.  </w:t>
      </w:r>
    </w:p>
    <w:p w:rsidR="00573506" w:rsidRPr="00547801" w:rsidRDefault="00573506" w:rsidP="00573506">
      <w:r w:rsidRPr="00547801">
        <w:t xml:space="preserve">The availability of theatre space </w:t>
      </w:r>
      <w:r w:rsidR="007C0BC9">
        <w:t>i</w:t>
      </w:r>
      <w:r w:rsidRPr="00547801">
        <w:t xml:space="preserve">s also highlighted as creating a barrier to ensuring timely surgical intervention.  As explained by a surgeon, the general rule is that a patient with colorectal cancer can require the equivalent to half a day of operating time. </w:t>
      </w:r>
    </w:p>
    <w:p w:rsidR="00F83A99" w:rsidRDefault="00573506" w:rsidP="00F83A99">
      <w:r w:rsidRPr="00547801">
        <w:t xml:space="preserve">The lack of surgical resource is </w:t>
      </w:r>
      <w:r w:rsidR="007C0BC9">
        <w:t>perceived to be</w:t>
      </w:r>
      <w:r w:rsidRPr="00547801">
        <w:t xml:space="preserve"> adversely impacting on the time to surgery for BSP participants diagnosed with cancer</w:t>
      </w:r>
      <w:r w:rsidR="007C0BC9">
        <w:t xml:space="preserve"> (Litmus 2014)</w:t>
      </w:r>
      <w:r w:rsidRPr="00547801">
        <w:t xml:space="preserve">. </w:t>
      </w:r>
      <w:r w:rsidR="00F83A99">
        <w:t xml:space="preserve"> </w:t>
      </w:r>
    </w:p>
    <w:p w:rsidR="00F83A99" w:rsidRPr="00780E73" w:rsidRDefault="00D64CCE" w:rsidP="007C0BC9">
      <w:r>
        <w:t>Further, feedback suggests that be</w:t>
      </w:r>
      <w:r w:rsidR="00F83A99">
        <w:t xml:space="preserve">nign colorectal issues are not being addressed due to the impact of the BSP and the lack of surgical capacity. </w:t>
      </w:r>
    </w:p>
    <w:p w:rsidR="006A074F" w:rsidRDefault="006A074F" w:rsidP="007C0BC9">
      <w:r w:rsidRPr="005975D7">
        <w:t>Like surgical services, the increase in the number of cancer patients identified by the BSP is starting to put pressure on oncology services due to no additional resource being allocated</w:t>
      </w:r>
      <w:r>
        <w:t xml:space="preserve"> to this service</w:t>
      </w:r>
      <w:r w:rsidRPr="005975D7">
        <w:t xml:space="preserve">.  </w:t>
      </w:r>
      <w:r>
        <w:t>As the BSP moves into screening r</w:t>
      </w:r>
      <w:r w:rsidR="00041669">
        <w:t>ound two, the</w:t>
      </w:r>
      <w:r>
        <w:t xml:space="preserve"> pressure</w:t>
      </w:r>
      <w:r w:rsidR="00041669">
        <w:t xml:space="preserve"> on surgery and oncology is likely to</w:t>
      </w:r>
      <w:r>
        <w:t xml:space="preserve"> dissipate </w:t>
      </w:r>
      <w:r w:rsidR="00041669">
        <w:t xml:space="preserve">over time </w:t>
      </w:r>
      <w:r>
        <w:t xml:space="preserve">as fewer BSP participants will be identified with late stage cancers. </w:t>
      </w:r>
    </w:p>
    <w:p w:rsidR="00D62C6C" w:rsidRPr="00443955" w:rsidRDefault="00F83A99" w:rsidP="007C0BC9">
      <w:r w:rsidRPr="007C0BC9">
        <w:t>Other providers’ p</w:t>
      </w:r>
      <w:r w:rsidR="00D62C6C" w:rsidRPr="007C0BC9">
        <w:t>erceptions about the capacity for secondary care services</w:t>
      </w:r>
      <w:r w:rsidRPr="007C0BC9">
        <w:t xml:space="preserve"> varied</w:t>
      </w:r>
      <w:r w:rsidR="00D62C6C" w:rsidRPr="007C0BC9">
        <w:t>.</w:t>
      </w:r>
      <w:r w:rsidR="00D62C6C" w:rsidRPr="00C130FC">
        <w:t xml:space="preserve"> </w:t>
      </w:r>
      <w:r>
        <w:t>H</w:t>
      </w:r>
      <w:r w:rsidR="00D62C6C" w:rsidRPr="00C130FC">
        <w:t xml:space="preserve">igh proportions of respondents also said they did not </w:t>
      </w:r>
      <w:r w:rsidR="00D62C6C" w:rsidRPr="00443955">
        <w:t xml:space="preserve">know about current capacity of secondary care services for bowel cancer. </w:t>
      </w:r>
      <w:r w:rsidR="007C0BC9">
        <w:br/>
      </w:r>
    </w:p>
    <w:p w:rsidR="00D62C6C" w:rsidRPr="00443955" w:rsidRDefault="00D62C6C" w:rsidP="00604AA9">
      <w:pPr>
        <w:numPr>
          <w:ilvl w:val="0"/>
          <w:numId w:val="6"/>
        </w:numPr>
        <w:autoSpaceDE w:val="0"/>
        <w:autoSpaceDN w:val="0"/>
        <w:adjustRightInd w:val="0"/>
        <w:spacing w:before="0" w:after="120"/>
        <w:ind w:left="1134" w:hanging="425"/>
        <w:jc w:val="both"/>
      </w:pPr>
      <w:r w:rsidRPr="00443955">
        <w:t xml:space="preserve">Forty-two percent of GPs indicated that capacity is </w:t>
      </w:r>
      <w:r w:rsidRPr="007C0BC9">
        <w:t>about right</w:t>
      </w:r>
      <w:r w:rsidRPr="00443955">
        <w:t xml:space="preserve"> or </w:t>
      </w:r>
      <w:r w:rsidRPr="007C0BC9">
        <w:t>more than enough</w:t>
      </w:r>
      <w:r w:rsidRPr="00443955">
        <w:t xml:space="preserve"> for secondary care services, a </w:t>
      </w:r>
      <w:r w:rsidRPr="007C0BC9">
        <w:t>significant increase from 17% reported in the 2011 baseline provider survey.</w:t>
      </w:r>
    </w:p>
    <w:p w:rsidR="00D62C6C" w:rsidRPr="00443955" w:rsidRDefault="00D62C6C" w:rsidP="007C0BC9">
      <w:pPr>
        <w:autoSpaceDE w:val="0"/>
        <w:autoSpaceDN w:val="0"/>
        <w:adjustRightInd w:val="0"/>
        <w:spacing w:before="0" w:after="120"/>
      </w:pPr>
      <w:r w:rsidRPr="00443955">
        <w:t>In contrast, the other provider groups</w:t>
      </w:r>
      <w:r w:rsidR="007C0BC9" w:rsidRPr="00697D47">
        <w:rPr>
          <w:rStyle w:val="FootnoteReference"/>
        </w:rPr>
        <w:footnoteReference w:id="82"/>
      </w:r>
      <w:r w:rsidRPr="00443955">
        <w:t xml:space="preserve"> had larger proportions that reported there is </w:t>
      </w:r>
      <w:r w:rsidRPr="00443955">
        <w:rPr>
          <w:i/>
        </w:rPr>
        <w:t>not enough</w:t>
      </w:r>
      <w:r w:rsidRPr="00443955">
        <w:t xml:space="preserve"> current capacity</w:t>
      </w:r>
      <w:r w:rsidR="003F0FF9">
        <w:t xml:space="preserve"> </w:t>
      </w:r>
      <w:r w:rsidR="003F0FF9" w:rsidRPr="00443955">
        <w:t>of secondary care services for bowel cance</w:t>
      </w:r>
      <w:r w:rsidR="003F0FF9">
        <w:t>r</w:t>
      </w:r>
      <w:r w:rsidRPr="00443955">
        <w:t>:</w:t>
      </w:r>
    </w:p>
    <w:p w:rsidR="00D62C6C" w:rsidRPr="00443955" w:rsidRDefault="00D62C6C" w:rsidP="00604AA9">
      <w:pPr>
        <w:numPr>
          <w:ilvl w:val="0"/>
          <w:numId w:val="6"/>
        </w:numPr>
        <w:autoSpaceDE w:val="0"/>
        <w:autoSpaceDN w:val="0"/>
        <w:adjustRightInd w:val="0"/>
        <w:spacing w:before="0" w:after="120"/>
        <w:ind w:left="1134" w:hanging="425"/>
        <w:jc w:val="both"/>
      </w:pPr>
      <w:r w:rsidRPr="00443955">
        <w:t xml:space="preserve">Twenty-nine percent of practice nurses indicated that there is </w:t>
      </w:r>
      <w:r w:rsidRPr="00443955">
        <w:rPr>
          <w:i/>
        </w:rPr>
        <w:t>not enough</w:t>
      </w:r>
      <w:r w:rsidRPr="00443955">
        <w:t xml:space="preserve"> current capacity, while 49% did not know.</w:t>
      </w:r>
    </w:p>
    <w:p w:rsidR="00D62C6C" w:rsidRPr="00443955" w:rsidRDefault="00D62C6C" w:rsidP="00604AA9">
      <w:pPr>
        <w:numPr>
          <w:ilvl w:val="0"/>
          <w:numId w:val="6"/>
        </w:numPr>
        <w:autoSpaceDE w:val="0"/>
        <w:autoSpaceDN w:val="0"/>
        <w:adjustRightInd w:val="0"/>
        <w:spacing w:before="0" w:after="120"/>
        <w:ind w:left="1134" w:hanging="425"/>
        <w:jc w:val="both"/>
      </w:pPr>
      <w:r w:rsidRPr="00443955">
        <w:lastRenderedPageBreak/>
        <w:t xml:space="preserve">Forty-seven percent of endoscopy staff said that there is </w:t>
      </w:r>
      <w:r w:rsidRPr="00443955">
        <w:rPr>
          <w:i/>
        </w:rPr>
        <w:t>not enough</w:t>
      </w:r>
      <w:r w:rsidRPr="00443955">
        <w:t xml:space="preserve"> current capacity</w:t>
      </w:r>
      <w:r>
        <w:t xml:space="preserve"> (</w:t>
      </w:r>
      <w:r w:rsidRPr="00443955">
        <w:rPr>
          <w:rFonts w:cs="Arial"/>
          <w:lang w:eastAsia="en-NZ"/>
        </w:rPr>
        <w:t>significant</w:t>
      </w:r>
      <w:r>
        <w:rPr>
          <w:rFonts w:cs="Arial"/>
          <w:lang w:eastAsia="en-NZ"/>
        </w:rPr>
        <w:t>ly higher than</w:t>
      </w:r>
      <w:r w:rsidRPr="00443955">
        <w:rPr>
          <w:rFonts w:cs="Arial"/>
          <w:lang w:eastAsia="en-NZ"/>
        </w:rPr>
        <w:t xml:space="preserve"> </w:t>
      </w:r>
      <w:r>
        <w:rPr>
          <w:rFonts w:cs="Arial"/>
          <w:lang w:eastAsia="en-NZ"/>
        </w:rPr>
        <w:t>25</w:t>
      </w:r>
      <w:r w:rsidRPr="00443955">
        <w:rPr>
          <w:rFonts w:cs="Arial"/>
          <w:lang w:eastAsia="en-NZ"/>
        </w:rPr>
        <w:t>% in the 2011 baseline provider survey</w:t>
      </w:r>
      <w:r>
        <w:t>)</w:t>
      </w:r>
      <w:r w:rsidRPr="00443955">
        <w:t>, while 35% did not know.</w:t>
      </w:r>
    </w:p>
    <w:p w:rsidR="00D62C6C" w:rsidRPr="00443955" w:rsidRDefault="00D62C6C" w:rsidP="00604AA9">
      <w:pPr>
        <w:numPr>
          <w:ilvl w:val="0"/>
          <w:numId w:val="6"/>
        </w:numPr>
        <w:autoSpaceDE w:val="0"/>
        <w:autoSpaceDN w:val="0"/>
        <w:adjustRightInd w:val="0"/>
        <w:spacing w:before="0" w:after="120"/>
        <w:ind w:left="1134" w:hanging="425"/>
        <w:jc w:val="both"/>
      </w:pPr>
      <w:r w:rsidRPr="00443955">
        <w:t>Twenty-seven percen</w:t>
      </w:r>
      <w:r>
        <w:t>t</w:t>
      </w:r>
      <w:r w:rsidRPr="00443955">
        <w:t xml:space="preserve"> of radiology staff indicated that the capacity of secondary care services is </w:t>
      </w:r>
      <w:r w:rsidRPr="00443955">
        <w:rPr>
          <w:i/>
        </w:rPr>
        <w:t>not enough</w:t>
      </w:r>
      <w:r w:rsidRPr="00443955">
        <w:t>, 50% did not know.</w:t>
      </w:r>
    </w:p>
    <w:p w:rsidR="00441FBD" w:rsidRDefault="00441FBD" w:rsidP="00441FBD">
      <w:pPr>
        <w:rPr>
          <w:b/>
        </w:rPr>
      </w:pPr>
      <w:r>
        <w:rPr>
          <w:b/>
        </w:rPr>
        <w:t xml:space="preserve">BSP </w:t>
      </w:r>
      <w:r w:rsidR="008A026D">
        <w:rPr>
          <w:b/>
        </w:rPr>
        <w:t xml:space="preserve">multi-disciplinary meetings </w:t>
      </w:r>
    </w:p>
    <w:p w:rsidR="00441FBD" w:rsidRDefault="00441FBD" w:rsidP="00441FBD">
      <w:r>
        <w:t xml:space="preserve">BSP </w:t>
      </w:r>
      <w:r w:rsidR="008A026D">
        <w:t>multi</w:t>
      </w:r>
      <w:r w:rsidR="003D209D">
        <w:t>-</w:t>
      </w:r>
      <w:r w:rsidR="008A026D">
        <w:t>dis</w:t>
      </w:r>
      <w:r w:rsidR="003D209D">
        <w:t>ci</w:t>
      </w:r>
      <w:r w:rsidR="008A026D">
        <w:t>plinary meetings (</w:t>
      </w:r>
      <w:r>
        <w:t>MDMs</w:t>
      </w:r>
      <w:r w:rsidR="008A026D">
        <w:t>)</w:t>
      </w:r>
      <w:r>
        <w:t xml:space="preserve"> are in the main well attended and </w:t>
      </w:r>
      <w:r w:rsidRPr="00547801">
        <w:t>all BSP participants are discussed as per the guidelines.  The challenging areas for attendance are histopathology and oncology</w:t>
      </w:r>
      <w:r>
        <w:t xml:space="preserve"> representatio</w:t>
      </w:r>
      <w:r w:rsidR="00041669">
        <w:t xml:space="preserve">n due to the </w:t>
      </w:r>
      <w:r>
        <w:t>need to travel from Auckland.  Histopathology attendance is irregular due to clashing MDM commitments in their DHB.  Action is being taken to address this issue</w:t>
      </w:r>
      <w:r w:rsidR="007C0BC9">
        <w:t xml:space="preserve"> </w:t>
      </w:r>
      <w:r w:rsidR="003F0FF9">
        <w:t>(</w:t>
      </w:r>
      <w:r w:rsidR="007C0BC9">
        <w:t>Litmus 2014)</w:t>
      </w:r>
      <w:r>
        <w:t xml:space="preserve">. </w:t>
      </w:r>
    </w:p>
    <w:p w:rsidR="00FE0A5F" w:rsidRDefault="00FE0A5F" w:rsidP="00FE0A5F">
      <w:pPr>
        <w:pStyle w:val="Heading3"/>
      </w:pPr>
      <w:r w:rsidRPr="003B4CD0">
        <w:t xml:space="preserve">Conclusions </w:t>
      </w:r>
    </w:p>
    <w:p w:rsidR="00C20ED5" w:rsidRDefault="00420885" w:rsidP="00420885">
      <w:pPr>
        <w:rPr>
          <w:lang w:eastAsia="ar-SA"/>
        </w:rPr>
      </w:pPr>
      <w:r>
        <w:rPr>
          <w:lang w:eastAsia="ar-SA"/>
        </w:rPr>
        <w:t xml:space="preserve">The implementation of the BSP is consistent with the design of the screening pathway.  </w:t>
      </w:r>
    </w:p>
    <w:p w:rsidR="00420885" w:rsidRDefault="00420885" w:rsidP="00420885">
      <w:pPr>
        <w:rPr>
          <w:lang w:eastAsia="ar-SA"/>
        </w:rPr>
      </w:pPr>
      <w:r>
        <w:rPr>
          <w:lang w:eastAsia="ar-SA"/>
        </w:rPr>
        <w:t xml:space="preserve">The following aspects on the pathway require refinement or review: </w:t>
      </w:r>
    </w:p>
    <w:p w:rsidR="00C20ED5" w:rsidRPr="00B77083" w:rsidRDefault="00C20ED5" w:rsidP="00604AA9">
      <w:pPr>
        <w:pStyle w:val="Bullet"/>
        <w:numPr>
          <w:ilvl w:val="0"/>
          <w:numId w:val="10"/>
        </w:numPr>
        <w:tabs>
          <w:tab w:val="num" w:pos="2126"/>
          <w:tab w:val="num" w:pos="6663"/>
        </w:tabs>
        <w:ind w:left="1069"/>
      </w:pPr>
      <w:r w:rsidRPr="00B77083">
        <w:t>Ensure t</w:t>
      </w:r>
      <w:r w:rsidRPr="00B77083">
        <w:rPr>
          <w:lang w:val="en-US"/>
        </w:rPr>
        <w:t>here is adequate colonoscopist capacity to meet BSP quality standards</w:t>
      </w:r>
      <w:r w:rsidR="00280A87" w:rsidRPr="00B77083">
        <w:rPr>
          <w:lang w:val="en-US"/>
        </w:rPr>
        <w:t xml:space="preserve"> for </w:t>
      </w:r>
      <w:r w:rsidR="0091546E" w:rsidRPr="00B77083">
        <w:rPr>
          <w:lang w:val="en-US"/>
        </w:rPr>
        <w:t>initial</w:t>
      </w:r>
      <w:r w:rsidR="00280A87" w:rsidRPr="00B77083">
        <w:rPr>
          <w:lang w:val="en-US"/>
        </w:rPr>
        <w:t xml:space="preserve"> referrals and for surveillance procedures, while not impacting on symptomatic services</w:t>
      </w:r>
      <w:r w:rsidR="00BF4BD7" w:rsidRPr="00B77083">
        <w:rPr>
          <w:lang w:val="en-US"/>
        </w:rPr>
        <w:t>.</w:t>
      </w:r>
    </w:p>
    <w:p w:rsidR="00420885" w:rsidRPr="00420885" w:rsidRDefault="00420885" w:rsidP="00604AA9">
      <w:pPr>
        <w:pStyle w:val="Bullet"/>
        <w:numPr>
          <w:ilvl w:val="0"/>
          <w:numId w:val="10"/>
        </w:numPr>
        <w:tabs>
          <w:tab w:val="num" w:pos="2126"/>
          <w:tab w:val="num" w:pos="6663"/>
        </w:tabs>
        <w:ind w:left="1069"/>
      </w:pPr>
      <w:r w:rsidRPr="00420885">
        <w:t xml:space="preserve">Review the management and clarity of processes for incomplete colonoscopies.  </w:t>
      </w:r>
    </w:p>
    <w:p w:rsidR="00420885" w:rsidRPr="00420885" w:rsidRDefault="00420885" w:rsidP="00604AA9">
      <w:pPr>
        <w:pStyle w:val="Bullet"/>
        <w:numPr>
          <w:ilvl w:val="0"/>
          <w:numId w:val="10"/>
        </w:numPr>
        <w:tabs>
          <w:tab w:val="num" w:pos="6663"/>
        </w:tabs>
        <w:ind w:left="1069"/>
        <w:rPr>
          <w:lang w:eastAsia="ar-SA"/>
        </w:rPr>
      </w:pPr>
      <w:r>
        <w:rPr>
          <w:lang w:eastAsia="ar-SA"/>
        </w:rPr>
        <w:t>E</w:t>
      </w:r>
      <w:r w:rsidRPr="00420885">
        <w:rPr>
          <w:lang w:eastAsia="ar-SA"/>
        </w:rPr>
        <w:t xml:space="preserve">nsure BSP participants are correctly coded </w:t>
      </w:r>
      <w:r>
        <w:rPr>
          <w:lang w:eastAsia="ar-SA"/>
        </w:rPr>
        <w:t xml:space="preserve">in CTC </w:t>
      </w:r>
      <w:r w:rsidRPr="00420885">
        <w:rPr>
          <w:lang w:eastAsia="ar-SA"/>
        </w:rPr>
        <w:t xml:space="preserve">and receive the appropriate discharge information. </w:t>
      </w:r>
    </w:p>
    <w:p w:rsidR="00420885" w:rsidRPr="00420885" w:rsidRDefault="007C0BC9" w:rsidP="00604AA9">
      <w:pPr>
        <w:pStyle w:val="Bullet"/>
        <w:numPr>
          <w:ilvl w:val="0"/>
          <w:numId w:val="10"/>
        </w:numPr>
        <w:tabs>
          <w:tab w:val="num" w:pos="6663"/>
        </w:tabs>
        <w:ind w:left="1069"/>
        <w:rPr>
          <w:lang w:eastAsia="ar-SA"/>
        </w:rPr>
      </w:pPr>
      <w:r>
        <w:rPr>
          <w:lang w:eastAsia="ar-SA"/>
        </w:rPr>
        <w:t>Determine w</w:t>
      </w:r>
      <w:r w:rsidR="00420885">
        <w:rPr>
          <w:lang w:eastAsia="ar-SA"/>
        </w:rPr>
        <w:t xml:space="preserve">hether the </w:t>
      </w:r>
      <w:r w:rsidR="00420885" w:rsidRPr="00420885">
        <w:rPr>
          <w:lang w:eastAsia="ar-SA"/>
        </w:rPr>
        <w:t xml:space="preserve">revised and more pictorial iFOBT completion instructions and consent form </w:t>
      </w:r>
      <w:r w:rsidR="00420885">
        <w:rPr>
          <w:lang w:eastAsia="ar-SA"/>
        </w:rPr>
        <w:t xml:space="preserve">decreases the </w:t>
      </w:r>
      <w:r w:rsidR="00420885" w:rsidRPr="00420885">
        <w:rPr>
          <w:lang w:eastAsia="ar-SA"/>
        </w:rPr>
        <w:t>number of incorrectly completed kits</w:t>
      </w:r>
      <w:r w:rsidR="00420885">
        <w:rPr>
          <w:lang w:eastAsia="ar-SA"/>
        </w:rPr>
        <w:t xml:space="preserve"> received</w:t>
      </w:r>
      <w:r w:rsidR="00420885" w:rsidRPr="00420885">
        <w:rPr>
          <w:lang w:eastAsia="ar-SA"/>
        </w:rPr>
        <w:t xml:space="preserve">. </w:t>
      </w:r>
    </w:p>
    <w:p w:rsidR="00420885" w:rsidRPr="00420885" w:rsidRDefault="007C0BC9" w:rsidP="00604AA9">
      <w:pPr>
        <w:pStyle w:val="Bullet"/>
        <w:numPr>
          <w:ilvl w:val="0"/>
          <w:numId w:val="10"/>
        </w:numPr>
        <w:tabs>
          <w:tab w:val="num" w:pos="2126"/>
          <w:tab w:val="num" w:pos="6663"/>
        </w:tabs>
        <w:ind w:left="1069"/>
      </w:pPr>
      <w:r>
        <w:t>Assess t</w:t>
      </w:r>
      <w:r w:rsidR="00420885">
        <w:t xml:space="preserve">he </w:t>
      </w:r>
      <w:r>
        <w:t>efficiency gains from</w:t>
      </w:r>
      <w:r w:rsidR="00420885">
        <w:t xml:space="preserve"> outsourcing </w:t>
      </w:r>
      <w:r w:rsidR="00420885" w:rsidRPr="00420885">
        <w:t>the pre-invitation mail out.</w:t>
      </w:r>
    </w:p>
    <w:p w:rsidR="00420885" w:rsidRDefault="00D117C6" w:rsidP="00420885">
      <w:r>
        <w:rPr>
          <w:lang w:eastAsia="ar-SA"/>
        </w:rPr>
        <w:t xml:space="preserve">In screening round one, challenges in ensuring adequate workforce capacity were particularly noted for having enough endoscopists </w:t>
      </w:r>
      <w:r w:rsidR="00303B9B" w:rsidRPr="00420885">
        <w:t xml:space="preserve">to meet </w:t>
      </w:r>
      <w:r>
        <w:t xml:space="preserve">BSP </w:t>
      </w:r>
      <w:r w:rsidR="00303B9B" w:rsidRPr="00420885">
        <w:t>quality standards.</w:t>
      </w:r>
      <w:r>
        <w:t xml:space="preserve">  </w:t>
      </w:r>
      <w:r w:rsidR="00420885" w:rsidRPr="00420885">
        <w:t>The following are considerations for service design and workforce capacity in the context of</w:t>
      </w:r>
      <w:r w:rsidR="00420885">
        <w:t xml:space="preserve"> a potential national roll out for bowel screening: </w:t>
      </w:r>
    </w:p>
    <w:p w:rsidR="00076D9D" w:rsidRPr="00420885" w:rsidRDefault="00076D9D" w:rsidP="00604AA9">
      <w:pPr>
        <w:pStyle w:val="Bullet"/>
        <w:numPr>
          <w:ilvl w:val="0"/>
          <w:numId w:val="16"/>
        </w:numPr>
        <w:tabs>
          <w:tab w:val="num" w:pos="2126"/>
          <w:tab w:val="num" w:pos="6663"/>
        </w:tabs>
        <w:ind w:left="1069"/>
      </w:pPr>
      <w:r w:rsidRPr="00420885">
        <w:rPr>
          <w:lang w:val="en-US"/>
        </w:rPr>
        <w:t xml:space="preserve">Agree the role of primary care in the screening pathway.  </w:t>
      </w:r>
    </w:p>
    <w:p w:rsidR="00076D9D" w:rsidRPr="00420885" w:rsidRDefault="00076D9D" w:rsidP="00604AA9">
      <w:pPr>
        <w:pStyle w:val="Bullet"/>
        <w:numPr>
          <w:ilvl w:val="0"/>
          <w:numId w:val="16"/>
        </w:numPr>
        <w:tabs>
          <w:tab w:val="num" w:pos="6663"/>
        </w:tabs>
        <w:ind w:left="1069"/>
        <w:rPr>
          <w:lang w:val="en-US"/>
        </w:rPr>
      </w:pPr>
      <w:r w:rsidRPr="00420885">
        <w:rPr>
          <w:lang w:val="en-US"/>
        </w:rPr>
        <w:t xml:space="preserve">Ensure colonoscopy capacity and quality meets bowel screening standards across New Zealand.  </w:t>
      </w:r>
    </w:p>
    <w:p w:rsidR="00076D9D" w:rsidRPr="00420885" w:rsidRDefault="00076D9D" w:rsidP="00604AA9">
      <w:pPr>
        <w:pStyle w:val="Bullet"/>
        <w:numPr>
          <w:ilvl w:val="0"/>
          <w:numId w:val="16"/>
        </w:numPr>
        <w:tabs>
          <w:tab w:val="num" w:pos="6663"/>
        </w:tabs>
        <w:ind w:left="1069"/>
        <w:rPr>
          <w:lang w:val="en-US"/>
        </w:rPr>
      </w:pPr>
      <w:r w:rsidRPr="00420885">
        <w:rPr>
          <w:lang w:val="en-US"/>
        </w:rPr>
        <w:t xml:space="preserve">Allow for a realistic implementation planning period at the end of which providers demonstrate their ability to meet </w:t>
      </w:r>
      <w:r w:rsidR="003D209D">
        <w:rPr>
          <w:lang w:val="en-US"/>
        </w:rPr>
        <w:t xml:space="preserve">the </w:t>
      </w:r>
      <w:r w:rsidRPr="00420885">
        <w:rPr>
          <w:lang w:val="en-US"/>
        </w:rPr>
        <w:t xml:space="preserve">bowel screening quality standards.  Providers will need a considerable amount of time to find space for the bowel screening programme, ready their endoscopy </w:t>
      </w:r>
      <w:proofErr w:type="gramStart"/>
      <w:r w:rsidRPr="00420885">
        <w:rPr>
          <w:lang w:val="en-US"/>
        </w:rPr>
        <w:t>units,</w:t>
      </w:r>
      <w:proofErr w:type="gramEnd"/>
      <w:r w:rsidRPr="00420885">
        <w:rPr>
          <w:lang w:val="en-US"/>
        </w:rPr>
        <w:t xml:space="preserve"> recruit and train staff</w:t>
      </w:r>
      <w:r w:rsidR="003D209D">
        <w:rPr>
          <w:lang w:val="en-US"/>
        </w:rPr>
        <w:t xml:space="preserve"> and</w:t>
      </w:r>
      <w:r w:rsidRPr="00420885">
        <w:rPr>
          <w:lang w:val="en-US"/>
        </w:rPr>
        <w:t xml:space="preserve"> set up quality and reporting systems, etc. </w:t>
      </w:r>
    </w:p>
    <w:p w:rsidR="00076D9D" w:rsidRPr="00420885" w:rsidRDefault="00076D9D" w:rsidP="00604AA9">
      <w:pPr>
        <w:pStyle w:val="Bullet"/>
        <w:numPr>
          <w:ilvl w:val="0"/>
          <w:numId w:val="16"/>
        </w:numPr>
        <w:tabs>
          <w:tab w:val="num" w:pos="6663"/>
        </w:tabs>
        <w:ind w:left="1069"/>
        <w:rPr>
          <w:lang w:val="mi-NZ"/>
        </w:rPr>
      </w:pPr>
      <w:r w:rsidRPr="00420885">
        <w:t>Review the histopathology workforce in</w:t>
      </w:r>
      <w:r w:rsidRPr="00420885">
        <w:rPr>
          <w:lang w:val="mi-NZ"/>
        </w:rPr>
        <w:t xml:space="preserve"> New Zealand as there are suggestions there may not be enough histology technicians and scientists to service the high volume of specimens.</w:t>
      </w:r>
    </w:p>
    <w:p w:rsidR="00076D9D" w:rsidRPr="00420885" w:rsidRDefault="00076D9D" w:rsidP="00604AA9">
      <w:pPr>
        <w:pStyle w:val="Bullet"/>
        <w:numPr>
          <w:ilvl w:val="0"/>
          <w:numId w:val="16"/>
        </w:numPr>
        <w:tabs>
          <w:tab w:val="num" w:pos="6663"/>
        </w:tabs>
        <w:ind w:left="1069"/>
      </w:pPr>
      <w:r w:rsidRPr="00420885">
        <w:t xml:space="preserve">Ensure adequate workforce and service capacity for both bowel screening and symptomatic colonoscopy services.  </w:t>
      </w:r>
    </w:p>
    <w:p w:rsidR="0016689B" w:rsidRDefault="0016689B">
      <w:pPr>
        <w:spacing w:before="0"/>
        <w:ind w:left="0"/>
      </w:pPr>
      <w:bookmarkStart w:id="229" w:name="_Toc390872216"/>
    </w:p>
    <w:p w:rsidR="001B4015" w:rsidRDefault="009E487D" w:rsidP="009E487D">
      <w:pPr>
        <w:pStyle w:val="Heading2"/>
      </w:pPr>
      <w:bookmarkStart w:id="230" w:name="_Toc412540042"/>
      <w:r w:rsidRPr="00C56750">
        <w:lastRenderedPageBreak/>
        <w:t>3.</w:t>
      </w:r>
      <w:r w:rsidR="00926BA4">
        <w:t>7</w:t>
      </w:r>
      <w:r w:rsidRPr="00C56750">
        <w:tab/>
      </w:r>
      <w:r w:rsidR="001B4015" w:rsidRPr="00C56750">
        <w:t xml:space="preserve">Quality </w:t>
      </w:r>
      <w:r w:rsidR="00C56750">
        <w:t>monitoring</w:t>
      </w:r>
      <w:bookmarkEnd w:id="229"/>
      <w:bookmarkEnd w:id="230"/>
    </w:p>
    <w:p w:rsidR="00A12D1B" w:rsidRDefault="00A12D1B" w:rsidP="00A12D1B">
      <w:pPr>
        <w:pBdr>
          <w:top w:val="single" w:sz="4" w:space="1" w:color="auto"/>
          <w:left w:val="single" w:sz="4" w:space="4" w:color="auto"/>
          <w:bottom w:val="single" w:sz="4" w:space="1" w:color="auto"/>
          <w:right w:val="single" w:sz="4" w:space="4" w:color="auto"/>
        </w:pBdr>
        <w:spacing w:before="60" w:after="120"/>
        <w:ind w:left="720"/>
        <w:rPr>
          <w:rFonts w:cs="Arial"/>
          <w:b/>
        </w:rPr>
      </w:pPr>
      <w:r>
        <w:rPr>
          <w:rFonts w:cs="Arial"/>
          <w:b/>
        </w:rPr>
        <w:t>Evaluation objective addressed in section</w:t>
      </w:r>
    </w:p>
    <w:p w:rsidR="00F26230" w:rsidRDefault="00F26230" w:rsidP="00A12D1B">
      <w:pPr>
        <w:pBdr>
          <w:top w:val="single" w:sz="4" w:space="1" w:color="auto"/>
          <w:left w:val="single" w:sz="4" w:space="4" w:color="auto"/>
          <w:bottom w:val="single" w:sz="4" w:space="1" w:color="auto"/>
          <w:right w:val="single" w:sz="4" w:space="4" w:color="auto"/>
        </w:pBdr>
        <w:spacing w:before="120" w:after="60"/>
        <w:ind w:left="720"/>
        <w:rPr>
          <w:rFonts w:cs="Arial"/>
        </w:rPr>
      </w:pPr>
      <w:r>
        <w:rPr>
          <w:rFonts w:cs="Arial"/>
          <w:i/>
        </w:rPr>
        <w:t xml:space="preserve">Quality - </w:t>
      </w:r>
      <w:r>
        <w:rPr>
          <w:rFonts w:cs="Arial"/>
        </w:rPr>
        <w:t>To pilot the agreed quality standards and monitoring requirements along the Screening Pathway and assess the implications for a national programme; in particular to pilot the acceptability and safety of the standards and screening to providers and for different population groups</w:t>
      </w:r>
      <w:r w:rsidR="00762FB9">
        <w:rPr>
          <w:rFonts w:cs="Arial"/>
        </w:rPr>
        <w:t>.</w:t>
      </w:r>
    </w:p>
    <w:p w:rsidR="0056360F" w:rsidRDefault="00311D74" w:rsidP="0056360F">
      <w:pPr>
        <w:tabs>
          <w:tab w:val="num" w:pos="1134"/>
        </w:tabs>
      </w:pPr>
      <w:bookmarkStart w:id="231" w:name="_Toc356566354"/>
      <w:bookmarkStart w:id="232" w:name="_Toc376617530"/>
      <w:r>
        <w:t xml:space="preserve">This section addresses the evaluation objective on quality. </w:t>
      </w:r>
      <w:r w:rsidR="0056360F">
        <w:t xml:space="preserve"> As noted in the evaluation plan (Litmus 2011), the evaluation </w:t>
      </w:r>
      <w:r w:rsidR="003F0FF9">
        <w:t>does</w:t>
      </w:r>
      <w:r w:rsidR="0056360F">
        <w:t xml:space="preserve"> not systematically audit service delivery but use</w:t>
      </w:r>
      <w:r w:rsidR="003F0FF9">
        <w:t>s</w:t>
      </w:r>
      <w:r w:rsidR="0056360F">
        <w:t xml:space="preserve"> data from WDHB and </w:t>
      </w:r>
      <w:r w:rsidR="00E073CC">
        <w:t xml:space="preserve">Ministry of Health </w:t>
      </w:r>
      <w:r w:rsidR="0056360F">
        <w:t xml:space="preserve">reporting to monitor quality standards along the Screening Pathway. </w:t>
      </w:r>
    </w:p>
    <w:p w:rsidR="00AB2998" w:rsidRDefault="00311D74" w:rsidP="00311D74">
      <w:r>
        <w:t xml:space="preserve">The evaluative findings draw on the quality </w:t>
      </w:r>
      <w:r w:rsidR="00C56750">
        <w:t xml:space="preserve">monitoring section </w:t>
      </w:r>
      <w:r>
        <w:t>in the</w:t>
      </w:r>
      <w:r>
        <w:rPr>
          <w:lang w:eastAsia="en-NZ"/>
        </w:rPr>
        <w:t xml:space="preserve"> </w:t>
      </w:r>
      <w:r w:rsidR="00C56750">
        <w:rPr>
          <w:lang w:eastAsia="en-NZ"/>
        </w:rPr>
        <w:t xml:space="preserve">2013 </w:t>
      </w:r>
      <w:r>
        <w:rPr>
          <w:lang w:eastAsia="en-NZ"/>
        </w:rPr>
        <w:t>immersion</w:t>
      </w:r>
      <w:r w:rsidR="00C56750">
        <w:rPr>
          <w:lang w:eastAsia="en-NZ"/>
        </w:rPr>
        <w:t xml:space="preserve"> visit</w:t>
      </w:r>
      <w:r>
        <w:rPr>
          <w:lang w:eastAsia="en-NZ"/>
        </w:rPr>
        <w:t xml:space="preserve"> report (</w:t>
      </w:r>
      <w:r>
        <w:t>Litmus 2014)</w:t>
      </w:r>
      <w:r w:rsidR="00CB532F">
        <w:t xml:space="preserve"> and WDHB’s Biannual Reports (WDHB 2013c)</w:t>
      </w:r>
      <w:r>
        <w:t xml:space="preserve">.  This section describes the </w:t>
      </w:r>
      <w:r w:rsidRPr="00372939">
        <w:t xml:space="preserve">quality standards and </w:t>
      </w:r>
      <w:r w:rsidRPr="00372939">
        <w:rPr>
          <w:bCs/>
        </w:rPr>
        <w:t xml:space="preserve">processes </w:t>
      </w:r>
      <w:r w:rsidR="00E073CC">
        <w:rPr>
          <w:bCs/>
        </w:rPr>
        <w:t xml:space="preserve">Ministry of Health </w:t>
      </w:r>
      <w:r w:rsidRPr="00372939">
        <w:rPr>
          <w:bCs/>
        </w:rPr>
        <w:t>and WDHB use to monitor the quality</w:t>
      </w:r>
      <w:r w:rsidRPr="00372939">
        <w:t xml:space="preserve"> of the BSP</w:t>
      </w:r>
      <w:r>
        <w:t xml:space="preserve">.  The findings of the 2013 review of the BSP quality standards are presented followed by an overview of 2013 quality activities, adherence to BSP quality standards and issues and risks identified.  </w:t>
      </w:r>
    </w:p>
    <w:p w:rsidR="0056360F" w:rsidRDefault="0056360F" w:rsidP="0056360F">
      <w:r>
        <w:t>The key evaluation findings against the objective are presented first</w:t>
      </w:r>
      <w:r w:rsidR="00234279">
        <w:t xml:space="preserve">, </w:t>
      </w:r>
      <w:r>
        <w:t xml:space="preserve">followed by a summary of supporting evidence. </w:t>
      </w:r>
    </w:p>
    <w:p w:rsidR="009D0B4B" w:rsidRDefault="009D0B4B" w:rsidP="009D0B4B">
      <w:pPr>
        <w:pStyle w:val="Heading3"/>
      </w:pPr>
      <w:r>
        <w:t>Key evaluation findings</w:t>
      </w:r>
    </w:p>
    <w:p w:rsidR="0016689B" w:rsidRDefault="0016689B" w:rsidP="0016689B">
      <w:pPr>
        <w:rPr>
          <w:lang w:eastAsia="ar-SA"/>
        </w:rPr>
      </w:pPr>
      <w:bookmarkStart w:id="233" w:name="_Toc356566312"/>
      <w:r>
        <w:rPr>
          <w:lang w:eastAsia="ar-SA"/>
        </w:rPr>
        <w:t xml:space="preserve">The review of quality monitoring confirms that BSP has a range of quality standards and processes in place that align with international best practice.  Quality standards, risks and issues are actively monitored, reported, discussed and actions taken to address risks of breaching quality standards, and mitigated risks emerging. </w:t>
      </w:r>
    </w:p>
    <w:p w:rsidR="00AB375D" w:rsidRDefault="0016689B" w:rsidP="0016689B">
      <w:r>
        <w:rPr>
          <w:lang w:eastAsia="ar-SA"/>
        </w:rPr>
        <w:t xml:space="preserve">While </w:t>
      </w:r>
      <w:r>
        <w:t xml:space="preserve">WDHB note that reporting against all quality standards is now possible (with exception of the timeliness of the histology result letter), data was not sighted by the evaluation team for all quality standards.  </w:t>
      </w:r>
    </w:p>
    <w:p w:rsidR="0016689B" w:rsidRDefault="0016689B" w:rsidP="0016689B">
      <w:r>
        <w:t xml:space="preserve">In November 2012, a review of the BSP interim quality standards (Ministry of Health 2012a) was jointly undertaken by </w:t>
      </w:r>
      <w:r w:rsidR="00E073CC">
        <w:t>Ministry of Health</w:t>
      </w:r>
      <w:r>
        <w:t>, WDHB and LabPLUS.  Overall, no substantive issues were identified with the existing quality standards, although refinements and clarifications were made to the interim quality standards (Ministry of Health 2013</w:t>
      </w:r>
      <w:r w:rsidR="003F0FF9">
        <w:t>c</w:t>
      </w:r>
      <w:r>
        <w:t xml:space="preserve">).  </w:t>
      </w:r>
    </w:p>
    <w:p w:rsidR="0016689B" w:rsidRDefault="0016689B" w:rsidP="0016689B">
      <w:r>
        <w:rPr>
          <w:lang w:eastAsia="ar-SA"/>
        </w:rPr>
        <w:t>One area where the BSP is not operating within the quality standard is the f</w:t>
      </w:r>
      <w:r>
        <w:t xml:space="preserve">irst offer of colonoscopy within 25 working days which is </w:t>
      </w:r>
      <w:r w:rsidR="003F0FF9">
        <w:t>4</w:t>
      </w:r>
      <w:r>
        <w:t xml:space="preserve">% compared to the standard of 50% for the period January 2012 to 31 December 2013.  However, 91% received the first offer of colonoscopy within 55 working days just under the standard of 95%. </w:t>
      </w:r>
    </w:p>
    <w:p w:rsidR="009D0B4B" w:rsidRDefault="009D0B4B" w:rsidP="009D0B4B">
      <w:pPr>
        <w:rPr>
          <w:lang w:eastAsia="ar-SA"/>
        </w:rPr>
      </w:pPr>
      <w:r>
        <w:rPr>
          <w:lang w:eastAsia="ar-SA"/>
        </w:rPr>
        <w:t>Discussions with key stakeholders highlighted</w:t>
      </w:r>
      <w:r w:rsidR="0056360F">
        <w:rPr>
          <w:lang w:eastAsia="ar-SA"/>
        </w:rPr>
        <w:t xml:space="preserve"> potential risks to adhering to quality standard</w:t>
      </w:r>
      <w:r w:rsidR="00B52E87">
        <w:rPr>
          <w:lang w:eastAsia="ar-SA"/>
        </w:rPr>
        <w:t>s</w:t>
      </w:r>
      <w:r w:rsidR="0056360F">
        <w:rPr>
          <w:lang w:eastAsia="ar-SA"/>
        </w:rPr>
        <w:t xml:space="preserve">, </w:t>
      </w:r>
      <w:r w:rsidR="0016689B">
        <w:rPr>
          <w:lang w:eastAsia="ar-SA"/>
        </w:rPr>
        <w:t>including</w:t>
      </w:r>
      <w:r>
        <w:rPr>
          <w:lang w:eastAsia="ar-SA"/>
        </w:rPr>
        <w:t xml:space="preserve">: </w:t>
      </w:r>
    </w:p>
    <w:p w:rsidR="00163CC4" w:rsidRDefault="00163CC4" w:rsidP="00163CC4">
      <w:pPr>
        <w:pStyle w:val="Bullet"/>
        <w:numPr>
          <w:ilvl w:val="0"/>
          <w:numId w:val="10"/>
        </w:numPr>
        <w:tabs>
          <w:tab w:val="num" w:pos="2126"/>
          <w:tab w:val="num" w:pos="6663"/>
        </w:tabs>
        <w:ind w:left="1069"/>
        <w:rPr>
          <w:lang w:eastAsia="ar-SA"/>
        </w:rPr>
      </w:pPr>
      <w:r>
        <w:rPr>
          <w:lang w:eastAsia="ar-SA"/>
        </w:rPr>
        <w:t>not having enough endoscopist capacity to remain within agreed wait times to colonoscopy</w:t>
      </w:r>
    </w:p>
    <w:p w:rsidR="009D0B4B" w:rsidRDefault="00163CC4" w:rsidP="00604AA9">
      <w:pPr>
        <w:pStyle w:val="Bullet"/>
        <w:numPr>
          <w:ilvl w:val="0"/>
          <w:numId w:val="10"/>
        </w:numPr>
        <w:tabs>
          <w:tab w:val="num" w:pos="2126"/>
          <w:tab w:val="num" w:pos="6663"/>
        </w:tabs>
        <w:ind w:left="1069"/>
        <w:rPr>
          <w:lang w:eastAsia="ar-SA"/>
        </w:rPr>
      </w:pPr>
      <w:proofErr w:type="gramStart"/>
      <w:r>
        <w:rPr>
          <w:lang w:eastAsia="ar-SA"/>
        </w:rPr>
        <w:t>variable</w:t>
      </w:r>
      <w:proofErr w:type="gramEnd"/>
      <w:r>
        <w:rPr>
          <w:lang w:eastAsia="ar-SA"/>
        </w:rPr>
        <w:t xml:space="preserve"> </w:t>
      </w:r>
      <w:r w:rsidR="009D0B4B">
        <w:rPr>
          <w:lang w:eastAsia="ar-SA"/>
        </w:rPr>
        <w:t>a</w:t>
      </w:r>
      <w:r w:rsidR="009D0B4B" w:rsidRPr="00D46510">
        <w:rPr>
          <w:lang w:eastAsia="ar-SA"/>
        </w:rPr>
        <w:t xml:space="preserve">wareness of </w:t>
      </w:r>
      <w:r>
        <w:rPr>
          <w:lang w:eastAsia="ar-SA"/>
        </w:rPr>
        <w:t xml:space="preserve">all the </w:t>
      </w:r>
      <w:r w:rsidR="009D0B4B">
        <w:rPr>
          <w:lang w:eastAsia="ar-SA"/>
        </w:rPr>
        <w:t xml:space="preserve">BSP </w:t>
      </w:r>
      <w:r w:rsidR="009D0B4B" w:rsidRPr="00D46510">
        <w:rPr>
          <w:lang w:eastAsia="ar-SA"/>
        </w:rPr>
        <w:t>quality standards</w:t>
      </w:r>
      <w:r w:rsidR="009D0B4B">
        <w:rPr>
          <w:lang w:eastAsia="ar-SA"/>
        </w:rPr>
        <w:t xml:space="preserve"> for colonoscopy procedures amongst endoscopists</w:t>
      </w:r>
      <w:r>
        <w:rPr>
          <w:lang w:eastAsia="ar-SA"/>
        </w:rPr>
        <w:t xml:space="preserve">. </w:t>
      </w:r>
      <w:r w:rsidR="009D0B4B">
        <w:rPr>
          <w:lang w:eastAsia="ar-SA"/>
        </w:rPr>
        <w:t xml:space="preserve"> While endoscopists are aware of the indicators for quality colonoscopy, there is variable awareness of the </w:t>
      </w:r>
      <w:r w:rsidR="004546E2">
        <w:rPr>
          <w:lang w:eastAsia="ar-SA"/>
        </w:rPr>
        <w:t xml:space="preserve">full range of </w:t>
      </w:r>
      <w:r w:rsidR="009D0B4B">
        <w:rPr>
          <w:lang w:eastAsia="ar-SA"/>
        </w:rPr>
        <w:t xml:space="preserve">quality standards for BSP  </w:t>
      </w:r>
    </w:p>
    <w:p w:rsidR="009D0B4B" w:rsidRDefault="00163CC4" w:rsidP="00604AA9">
      <w:pPr>
        <w:pStyle w:val="Bullet"/>
        <w:numPr>
          <w:ilvl w:val="0"/>
          <w:numId w:val="10"/>
        </w:numPr>
        <w:tabs>
          <w:tab w:val="num" w:pos="2126"/>
          <w:tab w:val="num" w:pos="6663"/>
        </w:tabs>
        <w:ind w:left="1069"/>
        <w:rPr>
          <w:lang w:eastAsia="ar-SA"/>
        </w:rPr>
      </w:pPr>
      <w:r>
        <w:rPr>
          <w:lang w:eastAsia="ar-SA"/>
        </w:rPr>
        <w:lastRenderedPageBreak/>
        <w:t xml:space="preserve">a lack of </w:t>
      </w:r>
      <w:r w:rsidR="009D0B4B">
        <w:rPr>
          <w:lang w:eastAsia="ar-SA"/>
        </w:rPr>
        <w:t xml:space="preserve">awareness of </w:t>
      </w:r>
      <w:r>
        <w:rPr>
          <w:lang w:eastAsia="ar-SA"/>
        </w:rPr>
        <w:t xml:space="preserve">the </w:t>
      </w:r>
      <w:r w:rsidR="009D0B4B">
        <w:rPr>
          <w:lang w:eastAsia="ar-SA"/>
        </w:rPr>
        <w:t xml:space="preserve">BSP quality standards for CTC amongst radiology staff and BSP participants </w:t>
      </w:r>
      <w:r>
        <w:rPr>
          <w:lang w:eastAsia="ar-SA"/>
        </w:rPr>
        <w:t xml:space="preserve">not being </w:t>
      </w:r>
      <w:r w:rsidR="009D0B4B">
        <w:rPr>
          <w:lang w:eastAsia="ar-SA"/>
        </w:rPr>
        <w:t>appropriately coded</w:t>
      </w:r>
    </w:p>
    <w:p w:rsidR="009D0B4B" w:rsidRDefault="009D0B4B" w:rsidP="00604AA9">
      <w:pPr>
        <w:pStyle w:val="Bullet"/>
        <w:numPr>
          <w:ilvl w:val="0"/>
          <w:numId w:val="10"/>
        </w:numPr>
        <w:tabs>
          <w:tab w:val="num" w:pos="2126"/>
          <w:tab w:val="num" w:pos="6663"/>
        </w:tabs>
        <w:ind w:left="1069"/>
        <w:rPr>
          <w:lang w:eastAsia="ar-SA"/>
        </w:rPr>
      </w:pPr>
      <w:r>
        <w:rPr>
          <w:lang w:eastAsia="ar-SA"/>
        </w:rPr>
        <w:t>d</w:t>
      </w:r>
      <w:r w:rsidRPr="00D46510">
        <w:rPr>
          <w:lang w:eastAsia="ar-SA"/>
        </w:rPr>
        <w:t xml:space="preserve">uplication and potential confusion due to the number of </w:t>
      </w:r>
      <w:r w:rsidR="00BC4177">
        <w:rPr>
          <w:lang w:eastAsia="ar-SA"/>
        </w:rPr>
        <w:t xml:space="preserve">Ministry of Health </w:t>
      </w:r>
      <w:r w:rsidRPr="00D46510">
        <w:rPr>
          <w:lang w:eastAsia="ar-SA"/>
        </w:rPr>
        <w:t xml:space="preserve">quality documents for the BSP  </w:t>
      </w:r>
    </w:p>
    <w:p w:rsidR="009D0B4B" w:rsidRDefault="009D0B4B" w:rsidP="00604AA9">
      <w:pPr>
        <w:pStyle w:val="Bullet"/>
        <w:numPr>
          <w:ilvl w:val="0"/>
          <w:numId w:val="10"/>
        </w:numPr>
        <w:tabs>
          <w:tab w:val="num" w:pos="2126"/>
          <w:tab w:val="num" w:pos="6663"/>
        </w:tabs>
        <w:ind w:left="1069"/>
        <w:rPr>
          <w:lang w:eastAsia="ar-SA"/>
        </w:rPr>
      </w:pPr>
      <w:proofErr w:type="gramStart"/>
      <w:r>
        <w:rPr>
          <w:lang w:eastAsia="ar-SA"/>
        </w:rPr>
        <w:t>a</w:t>
      </w:r>
      <w:proofErr w:type="gramEnd"/>
      <w:r>
        <w:rPr>
          <w:lang w:eastAsia="ar-SA"/>
        </w:rPr>
        <w:t xml:space="preserve"> lack of clarity in the link between the Global Rating Scale (GRS) being used to improve </w:t>
      </w:r>
      <w:r w:rsidR="003F0FF9">
        <w:rPr>
          <w:lang w:eastAsia="ar-SA"/>
        </w:rPr>
        <w:t xml:space="preserve">the </w:t>
      </w:r>
      <w:r>
        <w:rPr>
          <w:lang w:eastAsia="ar-SA"/>
        </w:rPr>
        <w:t xml:space="preserve">quality of endoscopy in New Zealand </w:t>
      </w:r>
      <w:r w:rsidRPr="00D46510">
        <w:rPr>
          <w:lang w:eastAsia="ar-SA"/>
        </w:rPr>
        <w:t>and the BSP</w:t>
      </w:r>
      <w:r>
        <w:rPr>
          <w:lang w:eastAsia="ar-SA"/>
        </w:rPr>
        <w:t>’s</w:t>
      </w:r>
      <w:r w:rsidRPr="00D46510">
        <w:rPr>
          <w:lang w:eastAsia="ar-SA"/>
        </w:rPr>
        <w:t xml:space="preserve"> quality standards</w:t>
      </w:r>
      <w:r>
        <w:rPr>
          <w:lang w:eastAsia="ar-SA"/>
        </w:rPr>
        <w:t xml:space="preserve">. </w:t>
      </w:r>
    </w:p>
    <w:bookmarkEnd w:id="233"/>
    <w:p w:rsidR="00584232" w:rsidRDefault="00584232" w:rsidP="00584232">
      <w:pPr>
        <w:pStyle w:val="Heading3"/>
      </w:pPr>
      <w:r>
        <w:t>Overview of BSP quality standards</w:t>
      </w:r>
      <w:bookmarkEnd w:id="231"/>
      <w:r>
        <w:t xml:space="preserve"> and processes</w:t>
      </w:r>
      <w:bookmarkEnd w:id="232"/>
    </w:p>
    <w:p w:rsidR="00584232" w:rsidRDefault="002E41E5" w:rsidP="00584232">
      <w:pPr>
        <w:rPr>
          <w:lang w:eastAsia="en-US"/>
        </w:rPr>
      </w:pPr>
      <w:r>
        <w:rPr>
          <w:lang w:eastAsia="en-US"/>
        </w:rPr>
        <w:t>The BSP is a population-based pilot, the design of which draws on the European Guidelines for Quality Assurance in Colorectal Cancer Screening and Diagnosis (Segnan et al 2010).</w:t>
      </w:r>
      <w:r w:rsidR="00584232" w:rsidRPr="00187E6F">
        <w:rPr>
          <w:lang w:eastAsia="en-US"/>
        </w:rPr>
        <w:t xml:space="preserve">  The European Guidelines were also used as a guide for the development of the BSP quality standards.  Where no standard exists, </w:t>
      </w:r>
      <w:r w:rsidR="006F648E">
        <w:rPr>
          <w:lang w:eastAsia="en-US"/>
        </w:rPr>
        <w:t xml:space="preserve">the </w:t>
      </w:r>
      <w:r w:rsidR="00E073CC">
        <w:rPr>
          <w:lang w:eastAsia="en-US"/>
        </w:rPr>
        <w:t xml:space="preserve">Ministry of Health </w:t>
      </w:r>
      <w:r w:rsidR="00584232" w:rsidRPr="00187E6F">
        <w:rPr>
          <w:lang w:eastAsia="en-US"/>
        </w:rPr>
        <w:t xml:space="preserve">working with the </w:t>
      </w:r>
      <w:r w:rsidR="007117FB">
        <w:t>Bowel Cancer Taskforce, M</w:t>
      </w:r>
      <w:r w:rsidR="007117FB">
        <w:rPr>
          <w:rFonts w:cs="Arial"/>
        </w:rPr>
        <w:t>ā</w:t>
      </w:r>
      <w:r w:rsidR="007117FB">
        <w:t xml:space="preserve">ori Equity Advisory Group and the </w:t>
      </w:r>
      <w:r w:rsidR="00584232" w:rsidRPr="00187E6F">
        <w:rPr>
          <w:lang w:val="mi-NZ"/>
        </w:rPr>
        <w:t xml:space="preserve">Bowel Screening Advisory Group </w:t>
      </w:r>
      <w:r w:rsidR="00584232" w:rsidRPr="00187E6F">
        <w:rPr>
          <w:lang w:eastAsia="en-US"/>
        </w:rPr>
        <w:t xml:space="preserve">reached a consensus decision based on consultation with experts involved in </w:t>
      </w:r>
      <w:r w:rsidR="004546E2">
        <w:rPr>
          <w:lang w:eastAsia="en-US"/>
        </w:rPr>
        <w:t>pilots u</w:t>
      </w:r>
      <w:r w:rsidR="00584232" w:rsidRPr="00187E6F">
        <w:rPr>
          <w:lang w:eastAsia="en-US"/>
        </w:rPr>
        <w:t xml:space="preserve">ndertaken in Scotland, England, Wales and Australia, </w:t>
      </w:r>
      <w:r w:rsidR="0083270B">
        <w:rPr>
          <w:lang w:eastAsia="en-US"/>
        </w:rPr>
        <w:t>and</w:t>
      </w:r>
      <w:r w:rsidR="00584232" w:rsidRPr="00187E6F">
        <w:rPr>
          <w:lang w:eastAsia="en-US"/>
        </w:rPr>
        <w:t xml:space="preserve"> a review of existing evidence.</w:t>
      </w:r>
      <w:r w:rsidR="00584232">
        <w:rPr>
          <w:lang w:eastAsia="en-US"/>
        </w:rPr>
        <w:t xml:space="preserve"> </w:t>
      </w:r>
    </w:p>
    <w:p w:rsidR="00D2670F" w:rsidRPr="005910D4" w:rsidRDefault="00584232" w:rsidP="00D2670F">
      <w:r w:rsidRPr="00372939">
        <w:t>Five key quality documents were developed for the BSP</w:t>
      </w:r>
      <w:r w:rsidR="00D2670F">
        <w:t xml:space="preserve">. </w:t>
      </w:r>
      <w:r w:rsidR="00D2670F" w:rsidRPr="005910D4">
        <w:t xml:space="preserve">These documents are </w:t>
      </w:r>
      <w:proofErr w:type="gramStart"/>
      <w:r w:rsidR="00D2670F" w:rsidRPr="005910D4">
        <w:t>interim</w:t>
      </w:r>
      <w:proofErr w:type="gramEnd"/>
      <w:r w:rsidR="00D2670F" w:rsidRPr="005910D4">
        <w:t xml:space="preserve"> reflecting that they are ‘living’ documents. </w:t>
      </w:r>
    </w:p>
    <w:p w:rsidR="00584232" w:rsidRPr="00BF1606" w:rsidRDefault="00584232" w:rsidP="00D2670F">
      <w:pPr>
        <w:pStyle w:val="Bullet"/>
        <w:numPr>
          <w:ilvl w:val="0"/>
          <w:numId w:val="12"/>
        </w:numPr>
        <w:rPr>
          <w:lang w:val="en-US"/>
        </w:rPr>
      </w:pPr>
      <w:r w:rsidRPr="00BF1606">
        <w:rPr>
          <w:lang w:val="en-US"/>
        </w:rPr>
        <w:t>BSP Final Service Delivery Model (Ministry of Health 2013d):  This document details the final Service Delivery Model and outlines the screening pathway for the eligible population in the BSP site at WDHB.</w:t>
      </w:r>
    </w:p>
    <w:p w:rsidR="00584232" w:rsidRPr="00BF1606" w:rsidRDefault="00584232" w:rsidP="00604AA9">
      <w:pPr>
        <w:pStyle w:val="Bullet"/>
        <w:numPr>
          <w:ilvl w:val="0"/>
          <w:numId w:val="12"/>
        </w:numPr>
        <w:rPr>
          <w:lang w:val="en-US"/>
        </w:rPr>
      </w:pPr>
      <w:r w:rsidRPr="00BF1606">
        <w:rPr>
          <w:lang w:val="en-US"/>
        </w:rPr>
        <w:t xml:space="preserve">Policy and Operational Procedures for the BSP (BPOP) (Ministry of Health 2011):  This document is intended to provide an overview of business practices and processes for the whole bowel screening process, including the population database, invitations, informing general practice, communications, setting up screening tests and quality standards for iFOBT.  The BPOP, which will inform the national programme (should it proceed), will be progressively developed as the BSP is implemented. </w:t>
      </w:r>
    </w:p>
    <w:p w:rsidR="00584232" w:rsidRPr="00BF1606" w:rsidRDefault="00584232" w:rsidP="00604AA9">
      <w:pPr>
        <w:pStyle w:val="Bullet"/>
        <w:numPr>
          <w:ilvl w:val="0"/>
          <w:numId w:val="12"/>
        </w:numPr>
        <w:rPr>
          <w:rFonts w:cs="Arial"/>
          <w:bCs/>
          <w:lang w:val="en-AU"/>
        </w:rPr>
      </w:pPr>
      <w:r w:rsidRPr="00BF1606">
        <w:rPr>
          <w:lang w:val="en-US"/>
        </w:rPr>
        <w:t>BSP Interim Quality Standards (Ministry of Health 2012a and 2013</w:t>
      </w:r>
      <w:r>
        <w:rPr>
          <w:lang w:val="en-US"/>
        </w:rPr>
        <w:t>c</w:t>
      </w:r>
      <w:r w:rsidRPr="00BF1606">
        <w:rPr>
          <w:lang w:val="en-US"/>
        </w:rPr>
        <w:t xml:space="preserve">):  </w:t>
      </w:r>
      <w:r w:rsidRPr="00BF1606">
        <w:rPr>
          <w:rFonts w:cs="Arial"/>
          <w:bCs/>
        </w:rPr>
        <w:t xml:space="preserve">This working document sets out the monitoring, draft quality standards, clinical audit, risk management, and monitoring indicators.  These Standards </w:t>
      </w:r>
      <w:r w:rsidR="0083270B">
        <w:rPr>
          <w:rFonts w:cs="Arial"/>
          <w:bCs/>
        </w:rPr>
        <w:t>were</w:t>
      </w:r>
      <w:r w:rsidRPr="00BF1606">
        <w:rPr>
          <w:rFonts w:cs="Arial"/>
          <w:bCs/>
        </w:rPr>
        <w:t xml:space="preserve"> reviewed by the Bowel Cancer Taskforce, the Colonoscopy Quality Working Group and the BSP Quality Assurance Group.  The Standards </w:t>
      </w:r>
      <w:r w:rsidR="00B635B7">
        <w:rPr>
          <w:rFonts w:cs="Arial"/>
          <w:bCs/>
        </w:rPr>
        <w:t>are</w:t>
      </w:r>
      <w:r w:rsidRPr="00BF1606">
        <w:rPr>
          <w:rFonts w:cs="Arial"/>
          <w:bCs/>
        </w:rPr>
        <w:t xml:space="preserve"> monitored within the BSP and continually reviewed by the BSP Quality Assurance Group during the </w:t>
      </w:r>
      <w:r w:rsidR="00EB35F4">
        <w:rPr>
          <w:rFonts w:cs="Arial"/>
          <w:bCs/>
        </w:rPr>
        <w:t>p</w:t>
      </w:r>
      <w:r w:rsidRPr="00BF1606">
        <w:rPr>
          <w:rFonts w:cs="Arial"/>
          <w:bCs/>
        </w:rPr>
        <w:t xml:space="preserve">ilot’s four year period.  The interim BSP Quality Standards have been collated based on the English, Welsh and Scottish bowel cancer screening programmes.  These UK Standards are based on the outcome of the English and Scottish </w:t>
      </w:r>
      <w:r w:rsidR="009E39AE">
        <w:rPr>
          <w:rFonts w:cs="Arial"/>
          <w:bCs/>
        </w:rPr>
        <w:t>BSP</w:t>
      </w:r>
      <w:r w:rsidRPr="00BF1606">
        <w:rPr>
          <w:rFonts w:cs="Arial"/>
          <w:bCs/>
        </w:rPr>
        <w:t xml:space="preserve"> evaluations.  </w:t>
      </w:r>
    </w:p>
    <w:p w:rsidR="00584232" w:rsidRPr="00BF1606" w:rsidRDefault="00584232" w:rsidP="00604AA9">
      <w:pPr>
        <w:pStyle w:val="Bullet"/>
        <w:numPr>
          <w:ilvl w:val="0"/>
          <w:numId w:val="12"/>
        </w:numPr>
        <w:rPr>
          <w:lang w:val="en-US"/>
        </w:rPr>
      </w:pPr>
      <w:r w:rsidRPr="00BF1606">
        <w:rPr>
          <w:lang w:val="en-US"/>
        </w:rPr>
        <w:t>BSP iFOBT Draft Performance Quality Standards</w:t>
      </w:r>
      <w:r w:rsidRPr="00BF1606">
        <w:rPr>
          <w:b/>
          <w:lang w:val="en-US"/>
        </w:rPr>
        <w:t xml:space="preserve"> </w:t>
      </w:r>
      <w:r w:rsidRPr="00BF1606">
        <w:rPr>
          <w:lang w:val="en-US"/>
        </w:rPr>
        <w:t xml:space="preserve">(Ministry of Health 2011a):  This document identifies requirements for manufacture of the test kit and requirements for laboratory testing.  </w:t>
      </w:r>
      <w:r w:rsidR="00E073CC">
        <w:rPr>
          <w:lang w:val="en-US"/>
        </w:rPr>
        <w:t xml:space="preserve">Ministry of Health </w:t>
      </w:r>
      <w:r w:rsidRPr="00BF1606">
        <w:rPr>
          <w:lang w:val="en-US"/>
        </w:rPr>
        <w:t xml:space="preserve">and </w:t>
      </w:r>
      <w:r w:rsidR="003D209D" w:rsidRPr="00BF1606">
        <w:rPr>
          <w:lang w:val="en-US"/>
        </w:rPr>
        <w:t>LabPLUS</w:t>
      </w:r>
      <w:r w:rsidRPr="00BF1606">
        <w:rPr>
          <w:lang w:val="en-US"/>
        </w:rPr>
        <w:t xml:space="preserve"> jointly developed the document.</w:t>
      </w:r>
    </w:p>
    <w:p w:rsidR="00584232" w:rsidRDefault="00584232" w:rsidP="009433F2">
      <w:pPr>
        <w:pStyle w:val="Bullet"/>
        <w:keepNext/>
        <w:keepLines/>
        <w:numPr>
          <w:ilvl w:val="0"/>
          <w:numId w:val="12"/>
        </w:numPr>
        <w:ind w:left="1066" w:hanging="357"/>
        <w:rPr>
          <w:lang w:val="en-US"/>
        </w:rPr>
      </w:pPr>
      <w:r w:rsidRPr="00E01BD2">
        <w:rPr>
          <w:lang w:val="en-US"/>
        </w:rPr>
        <w:lastRenderedPageBreak/>
        <w:t xml:space="preserve">Standards for Endoscopy (colonoscopy) </w:t>
      </w:r>
      <w:r w:rsidR="005667F9">
        <w:rPr>
          <w:lang w:val="en-US"/>
        </w:rPr>
        <w:t>F</w:t>
      </w:r>
      <w:r w:rsidRPr="00E01BD2">
        <w:rPr>
          <w:lang w:val="en-US"/>
        </w:rPr>
        <w:t>acilities BSP</w:t>
      </w:r>
      <w:r>
        <w:rPr>
          <w:lang w:val="en-US"/>
        </w:rPr>
        <w:t xml:space="preserve"> (Ministry of Health 2011b)</w:t>
      </w:r>
      <w:r w:rsidRPr="00697D47">
        <w:rPr>
          <w:rStyle w:val="FootnoteReference"/>
        </w:rPr>
        <w:footnoteReference w:id="83"/>
      </w:r>
      <w:r>
        <w:rPr>
          <w:lang w:val="en-US"/>
        </w:rPr>
        <w:t xml:space="preserve">:  This document covers service management, quality assurance, participant care, infection control, equipment and participant sedation.  The standards </w:t>
      </w:r>
      <w:r w:rsidR="005667F9">
        <w:rPr>
          <w:lang w:val="en-US"/>
        </w:rPr>
        <w:t>were</w:t>
      </w:r>
      <w:r>
        <w:rPr>
          <w:lang w:val="en-US"/>
        </w:rPr>
        <w:t xml:space="preserve"> developed by the Bowel Cancer Colonoscopy Nurses Quality Working Group </w:t>
      </w:r>
      <w:r>
        <w:rPr>
          <w:rFonts w:cs="Arial"/>
        </w:rPr>
        <w:t xml:space="preserve">based on the </w:t>
      </w:r>
      <w:r>
        <w:rPr>
          <w:rFonts w:cs="Arial"/>
          <w:i/>
        </w:rPr>
        <w:t>Endoscopic Facilities and Services Guidelines</w:t>
      </w:r>
      <w:r>
        <w:rPr>
          <w:rFonts w:cs="Arial"/>
        </w:rPr>
        <w:t>; Gastroenterological Society of Australia, 3</w:t>
      </w:r>
      <w:r>
        <w:rPr>
          <w:rFonts w:cs="Arial"/>
          <w:vertAlign w:val="superscript"/>
        </w:rPr>
        <w:t>rd</w:t>
      </w:r>
      <w:r>
        <w:rPr>
          <w:rFonts w:cs="Arial"/>
        </w:rPr>
        <w:t xml:space="preserve"> Edition 2006, and recommendations from the Australian Quality Working Group report </w:t>
      </w:r>
      <w:r>
        <w:rPr>
          <w:rFonts w:cs="Arial"/>
          <w:i/>
        </w:rPr>
        <w:t xml:space="preserve">Improving Colonoscopy Services in Australia </w:t>
      </w:r>
      <w:r>
        <w:rPr>
          <w:rFonts w:cs="Arial"/>
        </w:rPr>
        <w:t xml:space="preserve">(2009).  </w:t>
      </w:r>
    </w:p>
    <w:p w:rsidR="00584232" w:rsidRDefault="00584232" w:rsidP="00584232">
      <w:r>
        <w:t xml:space="preserve">Other relevant documentation </w:t>
      </w:r>
      <w:r w:rsidR="00B635B7">
        <w:t xml:space="preserve">to </w:t>
      </w:r>
      <w:r>
        <w:t xml:space="preserve">guide quality in the BSP </w:t>
      </w:r>
      <w:proofErr w:type="gramStart"/>
      <w:r>
        <w:t>are</w:t>
      </w:r>
      <w:proofErr w:type="gramEnd"/>
      <w:r>
        <w:t xml:space="preserve"> </w:t>
      </w:r>
      <w:r w:rsidR="005667F9">
        <w:t xml:space="preserve">the </w:t>
      </w:r>
      <w:r>
        <w:t>New Zealand Guidelines Group’s:</w:t>
      </w:r>
    </w:p>
    <w:p w:rsidR="00584232" w:rsidRDefault="00190B23" w:rsidP="00604AA9">
      <w:pPr>
        <w:numPr>
          <w:ilvl w:val="0"/>
          <w:numId w:val="6"/>
        </w:numPr>
        <w:autoSpaceDE w:val="0"/>
        <w:autoSpaceDN w:val="0"/>
        <w:adjustRightInd w:val="0"/>
        <w:spacing w:before="60" w:after="120"/>
        <w:ind w:left="1134" w:hanging="425"/>
        <w:rPr>
          <w:lang w:val="mi-NZ"/>
        </w:rPr>
      </w:pPr>
      <w:r>
        <w:rPr>
          <w:lang w:val="en-US"/>
        </w:rPr>
        <w:t>S</w:t>
      </w:r>
      <w:r w:rsidR="00584232" w:rsidRPr="00007C01">
        <w:rPr>
          <w:lang w:val="en-US"/>
        </w:rPr>
        <w:t>uspected</w:t>
      </w:r>
      <w:r w:rsidR="00584232">
        <w:rPr>
          <w:lang w:val="mi-NZ"/>
        </w:rPr>
        <w:t xml:space="preserve"> cancer in primary care: guidelines for investigation, referral and reducing ethnic disparities (2009)</w:t>
      </w:r>
    </w:p>
    <w:p w:rsidR="00584232" w:rsidRDefault="00190B23" w:rsidP="00604AA9">
      <w:pPr>
        <w:numPr>
          <w:ilvl w:val="0"/>
          <w:numId w:val="6"/>
        </w:numPr>
        <w:autoSpaceDE w:val="0"/>
        <w:autoSpaceDN w:val="0"/>
        <w:adjustRightInd w:val="0"/>
        <w:spacing w:before="60" w:after="120"/>
        <w:ind w:left="1134" w:hanging="425"/>
      </w:pPr>
      <w:r>
        <w:rPr>
          <w:lang w:val="en-US"/>
        </w:rPr>
        <w:t>S</w:t>
      </w:r>
      <w:r w:rsidR="00584232" w:rsidRPr="00007C01">
        <w:rPr>
          <w:lang w:val="en-US"/>
        </w:rPr>
        <w:t>urveillance</w:t>
      </w:r>
      <w:r w:rsidR="00584232">
        <w:rPr>
          <w:lang w:val="mi-NZ"/>
        </w:rPr>
        <w:t xml:space="preserve"> and management o</w:t>
      </w:r>
      <w:r w:rsidR="00584232">
        <w:t xml:space="preserve">f groups at increased risk of colorectal cancer (2004). </w:t>
      </w:r>
    </w:p>
    <w:p w:rsidR="00584232" w:rsidRDefault="00584232" w:rsidP="00584232">
      <w:pPr>
        <w:rPr>
          <w:lang w:val="en-AU"/>
        </w:rPr>
      </w:pPr>
      <w:r>
        <w:t xml:space="preserve">The leadership, governance and management structures relating to quality standards are: </w:t>
      </w:r>
    </w:p>
    <w:p w:rsidR="00584232" w:rsidRPr="005910D4" w:rsidRDefault="00584232" w:rsidP="00604AA9">
      <w:pPr>
        <w:numPr>
          <w:ilvl w:val="0"/>
          <w:numId w:val="6"/>
        </w:numPr>
        <w:autoSpaceDE w:val="0"/>
        <w:autoSpaceDN w:val="0"/>
        <w:adjustRightInd w:val="0"/>
        <w:spacing w:before="60" w:after="120"/>
        <w:ind w:left="1134" w:hanging="425"/>
        <w:rPr>
          <w:lang w:val="en-US"/>
        </w:rPr>
      </w:pPr>
      <w:r w:rsidRPr="00007C01">
        <w:rPr>
          <w:lang w:val="en-US"/>
        </w:rPr>
        <w:t xml:space="preserve">BSP Quality Assurance Group which meets quarterly to </w:t>
      </w:r>
      <w:r w:rsidRPr="005910D4">
        <w:rPr>
          <w:lang w:val="en-US"/>
        </w:rPr>
        <w:t>review relevant standards, guidelines, and monitor performance/compliance of the BSP against appropriate standards and guidelines.</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t xml:space="preserve">BSP Steering Group which meets monthly and to which any issues relating to BSP quality monitoring and their mitigation strategies are referred.  The BSP Steering Group maintains a Risk Register which is reviewed and updated each month.  </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t xml:space="preserve">BSP Clinical Governance Group which meets quarterly and is focused on the clinical subset of the BSP quality standards. </w:t>
      </w:r>
    </w:p>
    <w:p w:rsidR="00365098" w:rsidRDefault="00584232" w:rsidP="00604AA9">
      <w:pPr>
        <w:numPr>
          <w:ilvl w:val="0"/>
          <w:numId w:val="6"/>
        </w:numPr>
        <w:autoSpaceDE w:val="0"/>
        <w:autoSpaceDN w:val="0"/>
        <w:adjustRightInd w:val="0"/>
        <w:spacing w:before="60" w:after="120"/>
        <w:ind w:left="1134" w:hanging="425"/>
        <w:rPr>
          <w:lang w:val="mi-NZ"/>
        </w:rPr>
      </w:pPr>
      <w:r w:rsidRPr="00007C01">
        <w:rPr>
          <w:lang w:val="en-US"/>
        </w:rPr>
        <w:t>Bowel</w:t>
      </w:r>
      <w:r w:rsidRPr="005910D4">
        <w:rPr>
          <w:lang w:val="mi-NZ"/>
        </w:rPr>
        <w:t xml:space="preserve"> Screening Advisory Group which meets quarterly and from which quality</w:t>
      </w:r>
      <w:r>
        <w:rPr>
          <w:lang w:val="mi-NZ"/>
        </w:rPr>
        <w:t xml:space="preserve"> issues arising may be referred for a wider sector opinion</w:t>
      </w:r>
      <w:r w:rsidR="005667F9">
        <w:rPr>
          <w:lang w:val="mi-NZ"/>
        </w:rPr>
        <w:t>.</w:t>
      </w:r>
    </w:p>
    <w:p w:rsidR="00584232" w:rsidRDefault="00365098" w:rsidP="00604AA9">
      <w:pPr>
        <w:numPr>
          <w:ilvl w:val="0"/>
          <w:numId w:val="6"/>
        </w:numPr>
        <w:autoSpaceDE w:val="0"/>
        <w:autoSpaceDN w:val="0"/>
        <w:adjustRightInd w:val="0"/>
        <w:spacing w:before="60" w:after="120"/>
        <w:ind w:left="1134" w:hanging="425"/>
        <w:rPr>
          <w:lang w:val="mi-NZ"/>
        </w:rPr>
      </w:pPr>
      <w:r>
        <w:rPr>
          <w:lang w:val="mi-NZ"/>
        </w:rPr>
        <w:t>Endoscopy Review Group which meets fortnightly to review all issues relating to endoscopy services including readmissions, incidents and clinical performance data</w:t>
      </w:r>
      <w:r w:rsidR="00584232">
        <w:rPr>
          <w:lang w:val="mi-NZ"/>
        </w:rPr>
        <w:t xml:space="preserve">. </w:t>
      </w:r>
    </w:p>
    <w:p w:rsidR="00584232" w:rsidRDefault="00584232" w:rsidP="00584232">
      <w:r w:rsidRPr="008A1928">
        <w:t xml:space="preserve">From January 2013, </w:t>
      </w:r>
      <w:r w:rsidR="00E073CC">
        <w:t xml:space="preserve">Ministry of Health </w:t>
      </w:r>
      <w:r w:rsidRPr="008A1928">
        <w:t>has been publishing on a quarterly basis result</w:t>
      </w:r>
      <w:r w:rsidR="00275FB6">
        <w:t>s for</w:t>
      </w:r>
      <w:r w:rsidRPr="008A1928">
        <w:t xml:space="preserve"> 1</w:t>
      </w:r>
      <w:r w:rsidR="00952CE0">
        <w:t>5</w:t>
      </w:r>
      <w:r w:rsidRPr="008A1928">
        <w:t xml:space="preserve"> key </w:t>
      </w:r>
      <w:r w:rsidRPr="0056360F">
        <w:t xml:space="preserve">monitoring indicators (refer Appendix </w:t>
      </w:r>
      <w:r w:rsidR="004C51C2">
        <w:t>4</w:t>
      </w:r>
      <w:r w:rsidRPr="0056360F">
        <w:t>).</w:t>
      </w:r>
      <w:r>
        <w:t xml:space="preserve">  </w:t>
      </w:r>
    </w:p>
    <w:p w:rsidR="00584232" w:rsidRPr="008A1928" w:rsidRDefault="00584232" w:rsidP="00584232">
      <w:r w:rsidRPr="008A1928">
        <w:t xml:space="preserve">From January to around August 2012, </w:t>
      </w:r>
      <w:r w:rsidR="00E073CC">
        <w:t xml:space="preserve">Ministry of Health </w:t>
      </w:r>
      <w:r w:rsidRPr="008A1928">
        <w:t>and WDHB focused on agreeing the quality standard</w:t>
      </w:r>
      <w:r>
        <w:t>s for the BSP.  From August to October 2012</w:t>
      </w:r>
      <w:r w:rsidRPr="008A1928">
        <w:t xml:space="preserve"> the focus shifted to monitoring and reporting and resolving any issues arising relating to definitions and data formulas.  </w:t>
      </w:r>
    </w:p>
    <w:p w:rsidR="00584232" w:rsidRDefault="00584232" w:rsidP="00584232">
      <w:r>
        <w:t>With the Quality Lead reappointed in May 2013</w:t>
      </w:r>
      <w:r w:rsidRPr="00697D47">
        <w:rPr>
          <w:rStyle w:val="FootnoteReference"/>
        </w:rPr>
        <w:footnoteReference w:id="84"/>
      </w:r>
      <w:r>
        <w:t xml:space="preserve"> </w:t>
      </w:r>
      <w:r w:rsidRPr="008A1928">
        <w:t xml:space="preserve">there </w:t>
      </w:r>
      <w:r>
        <w:t>wa</w:t>
      </w:r>
      <w:r w:rsidRPr="008A1928">
        <w:t xml:space="preserve">s </w:t>
      </w:r>
      <w:r>
        <w:t>an increased focus on using the data from the</w:t>
      </w:r>
      <w:r w:rsidRPr="008A1928">
        <w:t xml:space="preserve"> monitoring of quality standards and wider </w:t>
      </w:r>
      <w:r>
        <w:t>d</w:t>
      </w:r>
      <w:r w:rsidRPr="008A1928">
        <w:t xml:space="preserve">ata </w:t>
      </w:r>
      <w:r>
        <w:t>to drive</w:t>
      </w:r>
      <w:r w:rsidRPr="008A1928">
        <w:t xml:space="preserve"> quality improvement initiatives for BSP</w:t>
      </w:r>
      <w:r>
        <w:t>.  E</w:t>
      </w:r>
      <w:r w:rsidRPr="008A1928">
        <w:t>xample</w:t>
      </w:r>
      <w:r>
        <w:t>s of quality improvement initiatives include</w:t>
      </w:r>
      <w:r w:rsidRPr="00697D47">
        <w:rPr>
          <w:rStyle w:val="FootnoteReference"/>
        </w:rPr>
        <w:footnoteReference w:id="85"/>
      </w:r>
      <w:r w:rsidRPr="008A1928">
        <w:t xml:space="preserve">: </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t xml:space="preserve">review of bowel preparation for colonoscopy which resulted in revised afternoon and morning information sheets accompanied by a low fibre diet sheet </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t xml:space="preserve">review of readmission data which resulted in further training for endoscopists about polyp removal and the removal of hot biopsies forceps  </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t xml:space="preserve">review of anticoagulant policy </w:t>
      </w:r>
    </w:p>
    <w:p w:rsidR="00584232" w:rsidRDefault="00584232" w:rsidP="00604AA9">
      <w:pPr>
        <w:numPr>
          <w:ilvl w:val="0"/>
          <w:numId w:val="6"/>
        </w:numPr>
        <w:autoSpaceDE w:val="0"/>
        <w:autoSpaceDN w:val="0"/>
        <w:adjustRightInd w:val="0"/>
        <w:spacing w:before="60" w:after="120"/>
        <w:ind w:left="1134" w:hanging="425"/>
        <w:rPr>
          <w:lang w:val="en-AU"/>
        </w:rPr>
      </w:pPr>
      <w:r w:rsidRPr="00007C01">
        <w:rPr>
          <w:lang w:val="en-US"/>
        </w:rPr>
        <w:lastRenderedPageBreak/>
        <w:t>BSP participant survey findings being used to identify further improvement areas to enhance participant exp</w:t>
      </w:r>
      <w:r>
        <w:rPr>
          <w:lang w:val="en-AU"/>
        </w:rPr>
        <w:t xml:space="preserve">erience. </w:t>
      </w:r>
    </w:p>
    <w:p w:rsidR="00584232" w:rsidRDefault="00584232" w:rsidP="00584232">
      <w:r>
        <w:t>Having a Quality Lead dedicated to focusing on quality through reviewing data and trends and identifying areas where quality can be enhanced is noted by stakeholders as a particular strength of the BSP</w:t>
      </w:r>
      <w:r w:rsidR="00D2670F">
        <w:t xml:space="preserve"> (Litmus 2014)</w:t>
      </w:r>
      <w:r>
        <w:t xml:space="preserve">.  </w:t>
      </w:r>
    </w:p>
    <w:p w:rsidR="00584232" w:rsidRDefault="00584232" w:rsidP="00584232">
      <w:pPr>
        <w:pStyle w:val="Heading3"/>
      </w:pPr>
      <w:bookmarkStart w:id="234" w:name="_Toc376617531"/>
      <w:bookmarkStart w:id="235" w:name="_Toc356566356"/>
      <w:r>
        <w:t>Review of BSP quality standards</w:t>
      </w:r>
      <w:bookmarkEnd w:id="234"/>
      <w:r>
        <w:t xml:space="preserve"> </w:t>
      </w:r>
    </w:p>
    <w:p w:rsidR="00584232" w:rsidRDefault="00584232" w:rsidP="00584232">
      <w:r>
        <w:t xml:space="preserve">In November 2012, a review of the BSP interim quality standards (Ministry of Health 2012a) was jointly undertaken by </w:t>
      </w:r>
      <w:r w:rsidR="00E073CC">
        <w:t>Ministry of Health</w:t>
      </w:r>
      <w:r>
        <w:t xml:space="preserve">, WDHB and LabPLUS.  A line-by-line analysis was undertaken and any issues were noted with suggested recommended changes.  Overall, no substantive issues were identified with the existing quality standards, although refinements and clarifications were made.  </w:t>
      </w:r>
    </w:p>
    <w:p w:rsidR="00584232" w:rsidRDefault="00584232" w:rsidP="00584232">
      <w:r>
        <w:t xml:space="preserve">On 30 March 2013, an updated version of the BSP interim quality standards was released (Ministry of Health 2013c).  </w:t>
      </w:r>
    </w:p>
    <w:p w:rsidR="00584232" w:rsidRDefault="00584232" w:rsidP="00584232">
      <w:r>
        <w:t xml:space="preserve">In summary, key changes made as a result of the review of the interim BSP quality standards were: </w:t>
      </w:r>
    </w:p>
    <w:p w:rsidR="00584232" w:rsidRPr="00007C01" w:rsidRDefault="00190B23" w:rsidP="00604AA9">
      <w:pPr>
        <w:numPr>
          <w:ilvl w:val="0"/>
          <w:numId w:val="6"/>
        </w:numPr>
        <w:autoSpaceDE w:val="0"/>
        <w:autoSpaceDN w:val="0"/>
        <w:adjustRightInd w:val="0"/>
        <w:spacing w:before="60" w:after="120"/>
        <w:ind w:left="1134" w:hanging="425"/>
        <w:rPr>
          <w:lang w:val="en-US"/>
        </w:rPr>
      </w:pPr>
      <w:proofErr w:type="gramStart"/>
      <w:r>
        <w:rPr>
          <w:lang w:val="en-US"/>
        </w:rPr>
        <w:t>f</w:t>
      </w:r>
      <w:r w:rsidR="00584232" w:rsidRPr="00007C01">
        <w:rPr>
          <w:lang w:val="en-US"/>
        </w:rPr>
        <w:t>rom</w:t>
      </w:r>
      <w:proofErr w:type="gramEnd"/>
      <w:r w:rsidR="00584232" w:rsidRPr="00007C01">
        <w:rPr>
          <w:lang w:val="en-US"/>
        </w:rPr>
        <w:t xml:space="preserve"> 2014, the New Zealand Familial Gastrointestinal Service questionnaire will be completed where there is evidence of a family history of bowel cancer for participants undergoing colonoscopy.  </w:t>
      </w:r>
    </w:p>
    <w:p w:rsidR="00957976" w:rsidRDefault="00190B23" w:rsidP="00604AA9">
      <w:pPr>
        <w:numPr>
          <w:ilvl w:val="0"/>
          <w:numId w:val="6"/>
        </w:numPr>
        <w:autoSpaceDE w:val="0"/>
        <w:autoSpaceDN w:val="0"/>
        <w:adjustRightInd w:val="0"/>
        <w:spacing w:before="60" w:after="120"/>
        <w:ind w:left="1134" w:hanging="425"/>
        <w:rPr>
          <w:lang w:val="en-US"/>
        </w:rPr>
      </w:pPr>
      <w:proofErr w:type="gramStart"/>
      <w:r>
        <w:rPr>
          <w:lang w:val="en-US"/>
        </w:rPr>
        <w:t>a</w:t>
      </w:r>
      <w:proofErr w:type="gramEnd"/>
      <w:r w:rsidR="00584232" w:rsidRPr="00007C01">
        <w:rPr>
          <w:lang w:val="en-US"/>
        </w:rPr>
        <w:t xml:space="preserve"> five day increase in the timeframe for a participant to have a colonoscopy following a positive iFOBT result</w:t>
      </w:r>
      <w:r w:rsidR="00957976">
        <w:rPr>
          <w:lang w:val="en-US"/>
        </w:rPr>
        <w:t xml:space="preserve"> (from 50% having a first offer of colonoscopy at 20 </w:t>
      </w:r>
      <w:r w:rsidR="002173D8">
        <w:rPr>
          <w:lang w:val="en-US"/>
        </w:rPr>
        <w:t xml:space="preserve">working </w:t>
      </w:r>
      <w:r w:rsidR="00814551">
        <w:rPr>
          <w:lang w:val="en-US"/>
        </w:rPr>
        <w:t xml:space="preserve">days </w:t>
      </w:r>
      <w:r w:rsidR="00957976">
        <w:rPr>
          <w:lang w:val="en-US"/>
        </w:rPr>
        <w:t xml:space="preserve">to 25 </w:t>
      </w:r>
      <w:r w:rsidR="002173D8">
        <w:rPr>
          <w:lang w:val="en-US"/>
        </w:rPr>
        <w:t xml:space="preserve">working </w:t>
      </w:r>
      <w:r w:rsidR="00814551">
        <w:rPr>
          <w:lang w:val="en-US"/>
        </w:rPr>
        <w:t xml:space="preserve">days </w:t>
      </w:r>
      <w:r w:rsidR="00957976">
        <w:rPr>
          <w:lang w:val="en-US"/>
        </w:rPr>
        <w:t xml:space="preserve">and 95% at 55 </w:t>
      </w:r>
      <w:r w:rsidR="002173D8">
        <w:rPr>
          <w:lang w:val="en-US"/>
        </w:rPr>
        <w:t xml:space="preserve">working </w:t>
      </w:r>
      <w:r w:rsidR="00814551">
        <w:rPr>
          <w:lang w:val="en-US"/>
        </w:rPr>
        <w:t xml:space="preserve">days </w:t>
      </w:r>
      <w:r w:rsidR="00957976">
        <w:rPr>
          <w:lang w:val="en-US"/>
        </w:rPr>
        <w:t xml:space="preserve">instead of 50 </w:t>
      </w:r>
      <w:r w:rsidR="002173D8">
        <w:rPr>
          <w:lang w:val="en-US"/>
        </w:rPr>
        <w:t xml:space="preserve">working </w:t>
      </w:r>
      <w:r w:rsidR="00814551">
        <w:rPr>
          <w:lang w:val="en-US"/>
        </w:rPr>
        <w:t>days</w:t>
      </w:r>
      <w:r w:rsidR="00957976">
        <w:rPr>
          <w:lang w:val="en-US"/>
        </w:rPr>
        <w:t xml:space="preserve">). </w:t>
      </w:r>
    </w:p>
    <w:p w:rsidR="00584232" w:rsidRPr="00007C01" w:rsidRDefault="00190B23" w:rsidP="00604AA9">
      <w:pPr>
        <w:numPr>
          <w:ilvl w:val="0"/>
          <w:numId w:val="6"/>
        </w:numPr>
        <w:autoSpaceDE w:val="0"/>
        <w:autoSpaceDN w:val="0"/>
        <w:adjustRightInd w:val="0"/>
        <w:spacing w:before="60" w:after="120"/>
        <w:ind w:left="1134" w:hanging="425"/>
        <w:rPr>
          <w:lang w:val="en-US"/>
        </w:rPr>
      </w:pPr>
      <w:proofErr w:type="gramStart"/>
      <w:r>
        <w:rPr>
          <w:lang w:val="en-US"/>
        </w:rPr>
        <w:t>a</w:t>
      </w:r>
      <w:r w:rsidR="00584232" w:rsidRPr="00007C01">
        <w:rPr>
          <w:lang w:val="en-US"/>
        </w:rPr>
        <w:t>ll</w:t>
      </w:r>
      <w:proofErr w:type="gramEnd"/>
      <w:r w:rsidR="00584232" w:rsidRPr="00007C01">
        <w:rPr>
          <w:lang w:val="en-US"/>
        </w:rPr>
        <w:t xml:space="preserve"> adverse events and hospital admissions within 30 days following a colonoscopy within the BSP are documented and reviewed. </w:t>
      </w:r>
    </w:p>
    <w:p w:rsidR="00584232" w:rsidRPr="00007C01" w:rsidRDefault="00190B23" w:rsidP="00604AA9">
      <w:pPr>
        <w:numPr>
          <w:ilvl w:val="0"/>
          <w:numId w:val="6"/>
        </w:numPr>
        <w:autoSpaceDE w:val="0"/>
        <w:autoSpaceDN w:val="0"/>
        <w:adjustRightInd w:val="0"/>
        <w:spacing w:before="60" w:after="120"/>
        <w:ind w:left="1134" w:hanging="425"/>
        <w:rPr>
          <w:lang w:val="en-US"/>
        </w:rPr>
      </w:pPr>
      <w:proofErr w:type="gramStart"/>
      <w:r>
        <w:rPr>
          <w:lang w:val="en-US"/>
        </w:rPr>
        <w:t>c</w:t>
      </w:r>
      <w:r w:rsidR="00584232" w:rsidRPr="00007C01">
        <w:rPr>
          <w:lang w:val="en-US"/>
        </w:rPr>
        <w:t>hanges</w:t>
      </w:r>
      <w:proofErr w:type="gramEnd"/>
      <w:r w:rsidR="00584232" w:rsidRPr="00007C01">
        <w:rPr>
          <w:lang w:val="en-US"/>
        </w:rPr>
        <w:t xml:space="preserve"> to polyp and adenoma detection rates. </w:t>
      </w:r>
    </w:p>
    <w:p w:rsidR="00584232" w:rsidRDefault="00190B23" w:rsidP="00604AA9">
      <w:pPr>
        <w:numPr>
          <w:ilvl w:val="0"/>
          <w:numId w:val="6"/>
        </w:numPr>
        <w:autoSpaceDE w:val="0"/>
        <w:autoSpaceDN w:val="0"/>
        <w:adjustRightInd w:val="0"/>
        <w:spacing w:before="60" w:after="120"/>
        <w:ind w:left="1134" w:hanging="425"/>
      </w:pPr>
      <w:proofErr w:type="gramStart"/>
      <w:r>
        <w:rPr>
          <w:lang w:val="en-US"/>
        </w:rPr>
        <w:t>p</w:t>
      </w:r>
      <w:r w:rsidR="00584232" w:rsidRPr="00007C01">
        <w:rPr>
          <w:lang w:val="en-US"/>
        </w:rPr>
        <w:t>articipants</w:t>
      </w:r>
      <w:proofErr w:type="gramEnd"/>
      <w:r w:rsidR="00584232" w:rsidRPr="00007C01">
        <w:rPr>
          <w:lang w:val="en-US"/>
        </w:rPr>
        <w:t xml:space="preserve"> who had an incomplete colonoscopy and underwent polypectomy will not have an immediate</w:t>
      </w:r>
      <w:r w:rsidR="00584232">
        <w:t xml:space="preserve"> </w:t>
      </w:r>
      <w:r w:rsidR="00584232" w:rsidRPr="00711153">
        <w:t xml:space="preserve">CTC </w:t>
      </w:r>
      <w:r w:rsidR="00584232">
        <w:t xml:space="preserve">but will have one between </w:t>
      </w:r>
      <w:r w:rsidR="00584232" w:rsidRPr="00711153">
        <w:t xml:space="preserve">30 </w:t>
      </w:r>
      <w:r w:rsidR="00584232">
        <w:t>and 50 working days.</w:t>
      </w:r>
    </w:p>
    <w:p w:rsidR="00584232" w:rsidRDefault="00584232" w:rsidP="00584232">
      <w:pPr>
        <w:pStyle w:val="Heading3"/>
      </w:pPr>
      <w:bookmarkStart w:id="236" w:name="_Toc376617532"/>
      <w:r w:rsidRPr="00E95457">
        <w:t>Quality monitoring results</w:t>
      </w:r>
      <w:bookmarkEnd w:id="235"/>
      <w:bookmarkEnd w:id="236"/>
      <w:r>
        <w:t xml:space="preserve"> </w:t>
      </w:r>
    </w:p>
    <w:p w:rsidR="00584232" w:rsidRDefault="00584232" w:rsidP="00584232">
      <w:pPr>
        <w:pStyle w:val="Heading4"/>
      </w:pPr>
      <w:r>
        <w:t xml:space="preserve">Reporting on quality standards  </w:t>
      </w:r>
    </w:p>
    <w:p w:rsidR="00584232" w:rsidRDefault="00584232" w:rsidP="00584232">
      <w:r>
        <w:t xml:space="preserve">For the first six months of the BSP implementation, WDHB were required to report monthly to </w:t>
      </w:r>
      <w:r w:rsidR="00E073CC">
        <w:t xml:space="preserve">Ministry of Health </w:t>
      </w:r>
      <w:r>
        <w:t xml:space="preserve">on the quality standards.  At six months into the BSP implementation, WDHB prepared a summary report for </w:t>
      </w:r>
      <w:r w:rsidR="00E073CC">
        <w:t xml:space="preserve">Ministry of Health </w:t>
      </w:r>
      <w:r>
        <w:t>followed by bi-annual reports (WDHB, 2012a&amp;b and 2013</w:t>
      </w:r>
      <w:r w:rsidRPr="00C94C51">
        <w:t xml:space="preserve"> </w:t>
      </w:r>
      <w:r w:rsidR="00957976">
        <w:t xml:space="preserve">a, </w:t>
      </w:r>
      <w:r>
        <w:t>b</w:t>
      </w:r>
      <w:r w:rsidR="00957976">
        <w:t xml:space="preserve"> &amp; c</w:t>
      </w:r>
      <w:r>
        <w:t xml:space="preserve">). </w:t>
      </w:r>
      <w:r w:rsidRPr="0088265D">
        <w:t xml:space="preserve"> </w:t>
      </w:r>
    </w:p>
    <w:p w:rsidR="00584232" w:rsidRDefault="00584232" w:rsidP="00584232">
      <w:pPr>
        <w:pStyle w:val="Heading4"/>
      </w:pPr>
      <w:r>
        <w:t>Q</w:t>
      </w:r>
      <w:r w:rsidRPr="002D7D6D">
        <w:t>uality monitoring activities</w:t>
      </w:r>
    </w:p>
    <w:p w:rsidR="00584232" w:rsidRPr="006E3075" w:rsidRDefault="00584232" w:rsidP="00584232">
      <w:r w:rsidRPr="006E3075">
        <w:t xml:space="preserve">Between July 2012 and June 2013, the following quality monitoring activities were completed: </w:t>
      </w:r>
    </w:p>
    <w:p w:rsidR="00584232" w:rsidRPr="006E3075" w:rsidRDefault="00584232" w:rsidP="00584232">
      <w:r w:rsidRPr="006E3075">
        <w:t>July</w:t>
      </w:r>
      <w:r w:rsidR="00717552">
        <w:t xml:space="preserve"> - </w:t>
      </w:r>
      <w:r w:rsidRPr="006E3075">
        <w:t xml:space="preserve">December 2012 </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6E3075">
        <w:rPr>
          <w:lang w:val="en-AU"/>
        </w:rPr>
        <w:t xml:space="preserve">All </w:t>
      </w:r>
      <w:r w:rsidRPr="00007C01">
        <w:rPr>
          <w:lang w:val="en-US"/>
        </w:rPr>
        <w:t xml:space="preserve">policies identified by </w:t>
      </w:r>
      <w:r w:rsidR="00E073CC">
        <w:rPr>
          <w:lang w:val="en-US"/>
        </w:rPr>
        <w:t xml:space="preserve">Ministry of Health </w:t>
      </w:r>
      <w:r w:rsidRPr="00007C01">
        <w:rPr>
          <w:lang w:val="en-US"/>
        </w:rPr>
        <w:t xml:space="preserve">were in place.  </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lastRenderedPageBreak/>
        <w:t xml:space="preserve">An audit of time taken to transport histology samples from Waitakere Hospital to </w:t>
      </w:r>
      <w:r w:rsidR="00190B23" w:rsidRPr="00007C01">
        <w:rPr>
          <w:lang w:val="en-US"/>
        </w:rPr>
        <w:t>LabPLUS</w:t>
      </w:r>
      <w:r w:rsidRPr="00007C01">
        <w:rPr>
          <w:lang w:val="en-US"/>
        </w:rPr>
        <w:t xml:space="preserve">.  </w:t>
      </w:r>
    </w:p>
    <w:p w:rsidR="00584232" w:rsidRDefault="00584232" w:rsidP="00604AA9">
      <w:pPr>
        <w:numPr>
          <w:ilvl w:val="0"/>
          <w:numId w:val="6"/>
        </w:numPr>
        <w:autoSpaceDE w:val="0"/>
        <w:autoSpaceDN w:val="0"/>
        <w:adjustRightInd w:val="0"/>
        <w:spacing w:before="60" w:after="120"/>
        <w:ind w:left="1134" w:hanging="425"/>
        <w:rPr>
          <w:lang w:val="en-US"/>
        </w:rPr>
      </w:pPr>
      <w:r w:rsidRPr="00007C01">
        <w:rPr>
          <w:lang w:val="en-US"/>
        </w:rPr>
        <w:t>Readmission data was reviewed at the fortnightly Endoscopy Unit meetings.</w:t>
      </w:r>
    </w:p>
    <w:p w:rsidR="00D2670F" w:rsidRPr="00007C01" w:rsidRDefault="00D2670F" w:rsidP="00D2670F">
      <w:pPr>
        <w:numPr>
          <w:ilvl w:val="0"/>
          <w:numId w:val="6"/>
        </w:numPr>
        <w:autoSpaceDE w:val="0"/>
        <w:autoSpaceDN w:val="0"/>
        <w:adjustRightInd w:val="0"/>
        <w:spacing w:before="60" w:after="120"/>
        <w:ind w:left="1134" w:hanging="425"/>
        <w:rPr>
          <w:lang w:val="en-US"/>
        </w:rPr>
      </w:pPr>
      <w:r>
        <w:rPr>
          <w:lang w:val="en-AU"/>
        </w:rPr>
        <w:t>The first</w:t>
      </w:r>
      <w:r w:rsidRPr="00007C01">
        <w:rPr>
          <w:lang w:val="en-US"/>
        </w:rPr>
        <w:t xml:space="preserve"> BSP participant satisfaction survey on </w:t>
      </w:r>
      <w:r>
        <w:rPr>
          <w:lang w:val="en-US"/>
        </w:rPr>
        <w:t xml:space="preserve">the </w:t>
      </w:r>
      <w:r w:rsidRPr="00007C01">
        <w:rPr>
          <w:lang w:val="en-US"/>
        </w:rPr>
        <w:t>Endoscopy service was conducted</w:t>
      </w:r>
      <w:r>
        <w:rPr>
          <w:lang w:val="en-US"/>
        </w:rPr>
        <w:t xml:space="preserve"> (Bowel</w:t>
      </w:r>
      <w:r w:rsidR="000C030C">
        <w:rPr>
          <w:lang w:val="en-US"/>
        </w:rPr>
        <w:t xml:space="preserve"> </w:t>
      </w:r>
      <w:r>
        <w:rPr>
          <w:lang w:val="en-US"/>
        </w:rPr>
        <w:t>Screening 2012).</w:t>
      </w:r>
      <w:r w:rsidRPr="00007C01">
        <w:rPr>
          <w:lang w:val="en-US"/>
        </w:rPr>
        <w:t xml:space="preserve"> </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t>Informed consent audit.</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t>Endoscopist performance data audit.</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t xml:space="preserve">Access to the Register for reporting </w:t>
      </w:r>
      <w:r w:rsidR="00163CC4" w:rsidRPr="00007C01">
        <w:rPr>
          <w:lang w:val="en-US"/>
        </w:rPr>
        <w:t>purposes were</w:t>
      </w:r>
      <w:r w:rsidRPr="00007C01">
        <w:rPr>
          <w:lang w:val="en-US"/>
        </w:rPr>
        <w:t xml:space="preserve"> established which highlighted the need to clarify the data required and work on data definitions.  </w:t>
      </w:r>
    </w:p>
    <w:p w:rsidR="00584232" w:rsidRPr="006E3075" w:rsidRDefault="00584232" w:rsidP="00604AA9">
      <w:pPr>
        <w:numPr>
          <w:ilvl w:val="0"/>
          <w:numId w:val="6"/>
        </w:numPr>
        <w:autoSpaceDE w:val="0"/>
        <w:autoSpaceDN w:val="0"/>
        <w:adjustRightInd w:val="0"/>
        <w:spacing w:before="60" w:after="120"/>
        <w:ind w:left="1134" w:hanging="425"/>
        <w:rPr>
          <w:lang w:val="en-AU"/>
        </w:rPr>
      </w:pPr>
      <w:r w:rsidRPr="00007C01">
        <w:rPr>
          <w:lang w:val="en-US"/>
        </w:rPr>
        <w:t>Three compliments were received about Endoscopy Unit services.  One complaint was received from</w:t>
      </w:r>
      <w:r w:rsidRPr="006E3075">
        <w:rPr>
          <w:lang w:val="en-AU"/>
        </w:rPr>
        <w:t xml:space="preserve"> a GP who claimed not to be informed about the BSP.  </w:t>
      </w:r>
    </w:p>
    <w:p w:rsidR="00584232" w:rsidRPr="006E3075" w:rsidRDefault="00584232" w:rsidP="00584232">
      <w:r w:rsidRPr="006E3075">
        <w:t>January</w:t>
      </w:r>
      <w:r w:rsidR="00717552">
        <w:t xml:space="preserve"> - J</w:t>
      </w:r>
      <w:r w:rsidRPr="006E3075">
        <w:t>une 2013</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234375">
        <w:rPr>
          <w:lang w:val="en-AU"/>
        </w:rPr>
        <w:t xml:space="preserve">A </w:t>
      </w:r>
      <w:r w:rsidRPr="00007C01">
        <w:rPr>
          <w:lang w:val="en-US"/>
        </w:rPr>
        <w:t xml:space="preserve">second BSP participant satisfaction survey on </w:t>
      </w:r>
      <w:r w:rsidR="00731C89">
        <w:rPr>
          <w:lang w:val="en-US"/>
        </w:rPr>
        <w:t xml:space="preserve">the </w:t>
      </w:r>
      <w:r w:rsidRPr="00007C01">
        <w:rPr>
          <w:lang w:val="en-US"/>
        </w:rPr>
        <w:t>Endoscopy service was conducted</w:t>
      </w:r>
      <w:r w:rsidR="00D2670F">
        <w:rPr>
          <w:lang w:val="en-US"/>
        </w:rPr>
        <w:t xml:space="preserve"> (</w:t>
      </w:r>
      <w:r w:rsidR="00D2670F">
        <w:rPr>
          <w:lang w:eastAsia="en-NZ"/>
        </w:rPr>
        <w:t>WDHB 2013)</w:t>
      </w:r>
      <w:r w:rsidR="00731C89">
        <w:rPr>
          <w:lang w:val="en-US"/>
        </w:rPr>
        <w:t>.</w:t>
      </w:r>
      <w:r w:rsidRPr="00007C01">
        <w:rPr>
          <w:lang w:val="en-US"/>
        </w:rPr>
        <w:t xml:space="preserve"> </w:t>
      </w:r>
    </w:p>
    <w:p w:rsidR="00584232" w:rsidRPr="00163CC4" w:rsidRDefault="00584232" w:rsidP="00604AA9">
      <w:pPr>
        <w:numPr>
          <w:ilvl w:val="0"/>
          <w:numId w:val="6"/>
        </w:numPr>
        <w:autoSpaceDE w:val="0"/>
        <w:autoSpaceDN w:val="0"/>
        <w:adjustRightInd w:val="0"/>
        <w:spacing w:before="60" w:after="120"/>
        <w:ind w:left="1134" w:hanging="425"/>
        <w:rPr>
          <w:lang w:val="en-US"/>
        </w:rPr>
      </w:pPr>
      <w:r w:rsidRPr="00163CC4">
        <w:rPr>
          <w:lang w:val="en-US"/>
        </w:rPr>
        <w:t xml:space="preserve">A postal time audit </w:t>
      </w:r>
      <w:r w:rsidR="00D2670F" w:rsidRPr="00163CC4">
        <w:rPr>
          <w:lang w:val="en-US"/>
        </w:rPr>
        <w:t xml:space="preserve">of </w:t>
      </w:r>
      <w:r w:rsidRPr="00163CC4">
        <w:rPr>
          <w:lang w:val="en-US"/>
        </w:rPr>
        <w:t xml:space="preserve">the test kit time in transit </w:t>
      </w:r>
      <w:r w:rsidR="00163CC4" w:rsidRPr="00163CC4">
        <w:rPr>
          <w:lang w:val="en-US"/>
        </w:rPr>
        <w:t xml:space="preserve">which showed that the time </w:t>
      </w:r>
      <w:r w:rsidRPr="00163CC4">
        <w:rPr>
          <w:lang w:val="en-US"/>
        </w:rPr>
        <w:t xml:space="preserve">is well within requirements and confirmed the importance of emphasising not to mail samples on Friday or over the weekend.  </w:t>
      </w:r>
    </w:p>
    <w:p w:rsidR="00584232" w:rsidRPr="00007C01" w:rsidRDefault="00584232" w:rsidP="00604AA9">
      <w:pPr>
        <w:numPr>
          <w:ilvl w:val="0"/>
          <w:numId w:val="6"/>
        </w:numPr>
        <w:autoSpaceDE w:val="0"/>
        <w:autoSpaceDN w:val="0"/>
        <w:adjustRightInd w:val="0"/>
        <w:spacing w:before="60" w:after="120"/>
        <w:ind w:left="1134" w:hanging="425"/>
        <w:rPr>
          <w:lang w:val="en-US"/>
        </w:rPr>
      </w:pPr>
      <w:r w:rsidRPr="00007C01">
        <w:rPr>
          <w:lang w:val="en-US"/>
        </w:rPr>
        <w:t>Second informed consent audit.</w:t>
      </w:r>
    </w:p>
    <w:p w:rsidR="00584232" w:rsidRPr="00032766" w:rsidRDefault="00584232" w:rsidP="00604AA9">
      <w:pPr>
        <w:numPr>
          <w:ilvl w:val="0"/>
          <w:numId w:val="6"/>
        </w:numPr>
        <w:autoSpaceDE w:val="0"/>
        <w:autoSpaceDN w:val="0"/>
        <w:adjustRightInd w:val="0"/>
        <w:spacing w:before="60" w:after="120"/>
        <w:ind w:left="1134" w:hanging="425"/>
        <w:rPr>
          <w:rFonts w:ascii="Calibri" w:hAnsi="Calibri"/>
        </w:rPr>
      </w:pPr>
      <w:r w:rsidRPr="00007C01">
        <w:rPr>
          <w:lang w:val="en-US"/>
        </w:rPr>
        <w:t>Many compliments</w:t>
      </w:r>
      <w:r w:rsidRPr="00032766">
        <w:rPr>
          <w:lang w:val="en-AU"/>
        </w:rPr>
        <w:t xml:space="preserve"> </w:t>
      </w:r>
      <w:r>
        <w:rPr>
          <w:lang w:val="en-AU"/>
        </w:rPr>
        <w:t>and one complaint were received</w:t>
      </w:r>
      <w:r w:rsidRPr="00032766">
        <w:rPr>
          <w:lang w:val="en-AU"/>
        </w:rPr>
        <w:t>.</w:t>
      </w:r>
    </w:p>
    <w:p w:rsidR="00365098" w:rsidRPr="006E3075" w:rsidRDefault="00365098" w:rsidP="00365098">
      <w:r>
        <w:t>Jul</w:t>
      </w:r>
      <w:r w:rsidR="00717552">
        <w:t xml:space="preserve">y - </w:t>
      </w:r>
      <w:r>
        <w:t>December</w:t>
      </w:r>
      <w:r w:rsidRPr="006E3075">
        <w:t xml:space="preserve"> 2013</w:t>
      </w:r>
    </w:p>
    <w:p w:rsidR="00365098" w:rsidRDefault="00E128EA" w:rsidP="00604AA9">
      <w:pPr>
        <w:numPr>
          <w:ilvl w:val="0"/>
          <w:numId w:val="6"/>
        </w:numPr>
        <w:autoSpaceDE w:val="0"/>
        <w:autoSpaceDN w:val="0"/>
        <w:adjustRightInd w:val="0"/>
        <w:spacing w:before="60" w:after="120"/>
        <w:ind w:left="1134" w:hanging="425"/>
      </w:pPr>
      <w:r>
        <w:t xml:space="preserve">WDHB </w:t>
      </w:r>
      <w:r w:rsidR="00731C89">
        <w:t>able to</w:t>
      </w:r>
      <w:r>
        <w:t xml:space="preserve"> report against all quality standards required in </w:t>
      </w:r>
      <w:r w:rsidR="00957976">
        <w:t xml:space="preserve">six monthly reports to </w:t>
      </w:r>
      <w:r w:rsidR="00E073CC">
        <w:t>Ministry of Health</w:t>
      </w:r>
      <w:r w:rsidR="00957976">
        <w:t>.</w:t>
      </w:r>
    </w:p>
    <w:p w:rsidR="00365098" w:rsidRPr="00E128EA" w:rsidRDefault="00365098" w:rsidP="00604AA9">
      <w:pPr>
        <w:numPr>
          <w:ilvl w:val="0"/>
          <w:numId w:val="6"/>
        </w:numPr>
        <w:autoSpaceDE w:val="0"/>
        <w:autoSpaceDN w:val="0"/>
        <w:adjustRightInd w:val="0"/>
        <w:spacing w:before="60" w:after="120"/>
        <w:ind w:left="1134" w:hanging="425"/>
      </w:pPr>
      <w:r w:rsidRPr="00E128EA">
        <w:t xml:space="preserve">The Register </w:t>
      </w:r>
      <w:r w:rsidR="00731C89">
        <w:t>was</w:t>
      </w:r>
      <w:r w:rsidRPr="00E128EA">
        <w:t xml:space="preserve"> modified to allow all treatment data to be entered.  Treatment data for the period January </w:t>
      </w:r>
      <w:r w:rsidR="00E128EA">
        <w:t>2</w:t>
      </w:r>
      <w:r w:rsidRPr="00E128EA">
        <w:t xml:space="preserve">012 to December 2013 </w:t>
      </w:r>
      <w:r w:rsidR="00717552">
        <w:t xml:space="preserve">was </w:t>
      </w:r>
      <w:r w:rsidRPr="00E128EA">
        <w:t>captured on a spreadsheet and will be entered into the Register retrospectively.  Data relating to treatment occurring from January 2014 onwards will be entered directly.</w:t>
      </w:r>
    </w:p>
    <w:p w:rsidR="004A0DB8" w:rsidRPr="004A0DB8" w:rsidRDefault="00E128EA" w:rsidP="00604AA9">
      <w:pPr>
        <w:numPr>
          <w:ilvl w:val="0"/>
          <w:numId w:val="6"/>
        </w:numPr>
        <w:autoSpaceDE w:val="0"/>
        <w:autoSpaceDN w:val="0"/>
        <w:adjustRightInd w:val="0"/>
        <w:spacing w:before="60" w:after="120"/>
        <w:ind w:left="1134" w:hanging="425"/>
        <w:rPr>
          <w:i/>
        </w:rPr>
      </w:pPr>
      <w:r w:rsidRPr="004A0DB8">
        <w:t>D</w:t>
      </w:r>
      <w:r w:rsidR="004A0DB8" w:rsidRPr="004A0DB8">
        <w:t xml:space="preserve">eveloped and published </w:t>
      </w:r>
      <w:r w:rsidR="00365098" w:rsidRPr="004A0DB8">
        <w:t xml:space="preserve">policy </w:t>
      </w:r>
      <w:r w:rsidR="004A0DB8" w:rsidRPr="004A0DB8">
        <w:t xml:space="preserve">on </w:t>
      </w:r>
      <w:r w:rsidR="00365098" w:rsidRPr="004A0DB8">
        <w:rPr>
          <w:i/>
        </w:rPr>
        <w:t>Endoscopy Anti-coagulation and Anti-platelet Guidelines</w:t>
      </w:r>
      <w:r w:rsidR="00957976">
        <w:rPr>
          <w:i/>
        </w:rPr>
        <w:t>.</w:t>
      </w:r>
    </w:p>
    <w:p w:rsidR="00365098" w:rsidRPr="004A0DB8" w:rsidRDefault="004A0DB8" w:rsidP="00604AA9">
      <w:pPr>
        <w:numPr>
          <w:ilvl w:val="0"/>
          <w:numId w:val="6"/>
        </w:numPr>
        <w:autoSpaceDE w:val="0"/>
        <w:autoSpaceDN w:val="0"/>
        <w:adjustRightInd w:val="0"/>
        <w:spacing w:before="60" w:after="120"/>
        <w:ind w:left="1134" w:hanging="425"/>
      </w:pPr>
      <w:r w:rsidRPr="004A0DB8">
        <w:t>Reviewed and revised t</w:t>
      </w:r>
      <w:r w:rsidR="00365098" w:rsidRPr="004A0DB8">
        <w:t xml:space="preserve">he </w:t>
      </w:r>
      <w:r w:rsidRPr="004A0DB8">
        <w:t xml:space="preserve">policy on </w:t>
      </w:r>
      <w:r w:rsidR="00365098" w:rsidRPr="004A0DB8">
        <w:rPr>
          <w:i/>
        </w:rPr>
        <w:t>Anti-coagulant Management for Outpatients having an Endoscopy Procedure</w:t>
      </w:r>
      <w:r w:rsidR="00365098" w:rsidRPr="004A0DB8">
        <w:t xml:space="preserve"> to incorporate the symptomatic service.</w:t>
      </w:r>
    </w:p>
    <w:p w:rsidR="004A0DB8" w:rsidRPr="004A0DB8" w:rsidRDefault="004A0DB8" w:rsidP="00604AA9">
      <w:pPr>
        <w:numPr>
          <w:ilvl w:val="0"/>
          <w:numId w:val="6"/>
        </w:numPr>
        <w:autoSpaceDE w:val="0"/>
        <w:autoSpaceDN w:val="0"/>
        <w:adjustRightInd w:val="0"/>
        <w:spacing w:before="60" w:after="120"/>
        <w:ind w:left="1134" w:hanging="425"/>
        <w:rPr>
          <w:rFonts w:ascii="Calibri" w:hAnsi="Calibri"/>
        </w:rPr>
      </w:pPr>
      <w:r>
        <w:t>Completing the final review of t</w:t>
      </w:r>
      <w:r w:rsidR="00365098" w:rsidRPr="004A0DB8">
        <w:t xml:space="preserve">he </w:t>
      </w:r>
      <w:r w:rsidR="00365098" w:rsidRPr="004A0DB8">
        <w:rPr>
          <w:i/>
        </w:rPr>
        <w:t>Histology Transport policy</w:t>
      </w:r>
      <w:r w:rsidR="00365098" w:rsidRPr="004A0DB8">
        <w:t xml:space="preserve"> relating to the transport of BSP histology samples directly from Waitakere Hospital to LabP</w:t>
      </w:r>
      <w:r w:rsidR="00645695">
        <w:t>LUS</w:t>
      </w:r>
      <w:r w:rsidR="00365098" w:rsidRPr="004A0DB8">
        <w:t xml:space="preserve"> </w:t>
      </w:r>
    </w:p>
    <w:p w:rsidR="004A0DB8" w:rsidRPr="004A0DB8" w:rsidRDefault="004A0DB8" w:rsidP="00604AA9">
      <w:pPr>
        <w:numPr>
          <w:ilvl w:val="0"/>
          <w:numId w:val="6"/>
        </w:numPr>
        <w:autoSpaceDE w:val="0"/>
        <w:autoSpaceDN w:val="0"/>
        <w:adjustRightInd w:val="0"/>
        <w:spacing w:before="60" w:after="120"/>
        <w:ind w:left="1134" w:hanging="425"/>
        <w:rPr>
          <w:rFonts w:ascii="Calibri" w:hAnsi="Calibri"/>
        </w:rPr>
      </w:pPr>
      <w:r>
        <w:t>An audit of t</w:t>
      </w:r>
      <w:r w:rsidR="00E128EA" w:rsidRPr="004A0DB8">
        <w:t xml:space="preserve">wo </w:t>
      </w:r>
      <w:r>
        <w:t xml:space="preserve">general </w:t>
      </w:r>
      <w:r w:rsidR="00E128EA" w:rsidRPr="004A0DB8">
        <w:t xml:space="preserve">practices </w:t>
      </w:r>
      <w:r>
        <w:t>on the time taken to refer</w:t>
      </w:r>
      <w:r w:rsidR="00690B6F">
        <w:t>:</w:t>
      </w:r>
      <w:r w:rsidR="00E128EA" w:rsidRPr="004A0DB8">
        <w:t xml:space="preserve">  </w:t>
      </w:r>
    </w:p>
    <w:p w:rsidR="004A0DB8" w:rsidRPr="004A0DB8" w:rsidRDefault="00690B6F" w:rsidP="00604AA9">
      <w:pPr>
        <w:pStyle w:val="Bullet"/>
        <w:numPr>
          <w:ilvl w:val="0"/>
          <w:numId w:val="13"/>
        </w:numPr>
        <w:tabs>
          <w:tab w:val="num" w:pos="2126"/>
          <w:tab w:val="num" w:pos="6663"/>
        </w:tabs>
        <w:rPr>
          <w:rFonts w:ascii="Calibri" w:hAnsi="Calibri"/>
        </w:rPr>
      </w:pPr>
      <w:r>
        <w:t xml:space="preserve">One general practice </w:t>
      </w:r>
      <w:r w:rsidR="004A0DB8">
        <w:t>had</w:t>
      </w:r>
      <w:r w:rsidR="00E128EA" w:rsidRPr="004A0DB8">
        <w:t xml:space="preserve"> an average of 6.2 days between the advice of a positive result and date of referral</w:t>
      </w:r>
      <w:r>
        <w:t>. F</w:t>
      </w:r>
      <w:r w:rsidR="004A0DB8">
        <w:t>our</w:t>
      </w:r>
      <w:r w:rsidR="00E128EA" w:rsidRPr="004A0DB8">
        <w:t xml:space="preserve"> out of the 38 referrals </w:t>
      </w:r>
      <w:r>
        <w:t xml:space="preserve">were </w:t>
      </w:r>
      <w:r w:rsidR="00E128EA" w:rsidRPr="004A0DB8">
        <w:t xml:space="preserve">made outside the </w:t>
      </w:r>
      <w:r w:rsidR="00717552">
        <w:t>ten</w:t>
      </w:r>
      <w:r w:rsidR="00717552" w:rsidRPr="004A0DB8">
        <w:t xml:space="preserve"> </w:t>
      </w:r>
      <w:r w:rsidR="00E128EA" w:rsidRPr="004A0DB8">
        <w:t xml:space="preserve">day standard. </w:t>
      </w:r>
    </w:p>
    <w:p w:rsidR="004A0DB8" w:rsidRPr="004A0DB8" w:rsidRDefault="00E128EA" w:rsidP="00604AA9">
      <w:pPr>
        <w:pStyle w:val="Bullet"/>
        <w:numPr>
          <w:ilvl w:val="0"/>
          <w:numId w:val="13"/>
        </w:numPr>
        <w:tabs>
          <w:tab w:val="num" w:pos="2126"/>
          <w:tab w:val="num" w:pos="6663"/>
        </w:tabs>
        <w:rPr>
          <w:rFonts w:ascii="Calibri" w:hAnsi="Calibri"/>
        </w:rPr>
      </w:pPr>
      <w:r w:rsidRPr="004A0DB8">
        <w:t xml:space="preserve">The second </w:t>
      </w:r>
      <w:r w:rsidR="004A0DB8">
        <w:t xml:space="preserve">general practice </w:t>
      </w:r>
      <w:r w:rsidR="00690B6F">
        <w:t>had</w:t>
      </w:r>
      <w:r w:rsidRPr="004A0DB8">
        <w:t xml:space="preserve"> an average of 5.3 days between advice and referral</w:t>
      </w:r>
      <w:r w:rsidR="00690B6F">
        <w:t xml:space="preserve">. Two </w:t>
      </w:r>
      <w:r w:rsidRPr="004A0DB8">
        <w:t xml:space="preserve">out of 17 referrals </w:t>
      </w:r>
      <w:r w:rsidR="00690B6F">
        <w:t xml:space="preserve">did </w:t>
      </w:r>
      <w:r w:rsidRPr="004A0DB8">
        <w:t xml:space="preserve">not </w:t>
      </w:r>
      <w:r w:rsidR="00690B6F">
        <w:t>meet</w:t>
      </w:r>
      <w:r w:rsidRPr="004A0DB8">
        <w:t xml:space="preserve"> the </w:t>
      </w:r>
      <w:r w:rsidR="00717552">
        <w:t xml:space="preserve">ten </w:t>
      </w:r>
      <w:r w:rsidR="00690B6F">
        <w:t xml:space="preserve">day </w:t>
      </w:r>
      <w:r w:rsidRPr="004A0DB8">
        <w:t xml:space="preserve">standard.  </w:t>
      </w:r>
    </w:p>
    <w:p w:rsidR="00365098" w:rsidRPr="00957976" w:rsidRDefault="00957976" w:rsidP="00604AA9">
      <w:pPr>
        <w:pStyle w:val="Bullet"/>
        <w:numPr>
          <w:ilvl w:val="0"/>
          <w:numId w:val="6"/>
        </w:numPr>
        <w:tabs>
          <w:tab w:val="num" w:pos="2126"/>
          <w:tab w:val="num" w:pos="6663"/>
        </w:tabs>
        <w:autoSpaceDE w:val="0"/>
        <w:autoSpaceDN w:val="0"/>
        <w:adjustRightInd w:val="0"/>
        <w:spacing w:before="60" w:after="120"/>
        <w:ind w:left="1134" w:hanging="425"/>
        <w:rPr>
          <w:lang w:val="en-AU"/>
        </w:rPr>
      </w:pPr>
      <w:r w:rsidRPr="00957976">
        <w:rPr>
          <w:lang w:val="en-AU"/>
        </w:rPr>
        <w:t>Two</w:t>
      </w:r>
      <w:r w:rsidR="00365098" w:rsidRPr="00957976">
        <w:rPr>
          <w:lang w:val="en-AU"/>
        </w:rPr>
        <w:t xml:space="preserve"> </w:t>
      </w:r>
      <w:r>
        <w:rPr>
          <w:lang w:val="en-AU"/>
        </w:rPr>
        <w:t xml:space="preserve">complaints </w:t>
      </w:r>
      <w:r w:rsidR="00365098" w:rsidRPr="004A0DB8">
        <w:rPr>
          <w:lang w:val="en-AU"/>
        </w:rPr>
        <w:t>were received</w:t>
      </w:r>
      <w:r>
        <w:rPr>
          <w:lang w:val="en-AU"/>
        </w:rPr>
        <w:t>; one was classified as serious and investigated by W</w:t>
      </w:r>
      <w:r w:rsidRPr="00957976">
        <w:rPr>
          <w:lang w:val="en-AU"/>
        </w:rPr>
        <w:t>DHB Quality Department with the involvement of relevant members of the BSP team.</w:t>
      </w:r>
    </w:p>
    <w:p w:rsidR="00584232" w:rsidRPr="00DC6B5C" w:rsidRDefault="00584232" w:rsidP="00584232">
      <w:pPr>
        <w:pStyle w:val="Heading4"/>
        <w:rPr>
          <w:i/>
        </w:rPr>
      </w:pPr>
      <w:r w:rsidRPr="00DC6B5C">
        <w:lastRenderedPageBreak/>
        <w:t>Adherence with quality standard targets</w:t>
      </w:r>
      <w:r w:rsidR="001160F1" w:rsidRPr="00DC6B5C">
        <w:t xml:space="preserve"> </w:t>
      </w:r>
    </w:p>
    <w:p w:rsidR="00690B6F" w:rsidRDefault="00584232" w:rsidP="00584232">
      <w:r w:rsidRPr="00DC6B5C">
        <w:t>Using the summary of quality standards listed in BSP interim quality standards (Ministry of Health 2013), an analysis was undertaken to identify the level of adherence with the standards at June 2013 (</w:t>
      </w:r>
      <w:r w:rsidR="00E74DC9" w:rsidRPr="00DC6B5C">
        <w:t>Litmus 2014</w:t>
      </w:r>
      <w:r w:rsidR="00873E83" w:rsidRPr="00DC6B5C">
        <w:t xml:space="preserve"> refer Appendix 5</w:t>
      </w:r>
      <w:r w:rsidRPr="00DC6B5C">
        <w:t>).  The analysis highlighted the need for further data from the Register and other sources to assess adherence with the quality standards, particularly with regard to timeframes along the BSP pathway.  Undertaking this</w:t>
      </w:r>
      <w:r w:rsidRPr="00873E83">
        <w:t xml:space="preserve"> analysis is beyond the scope of this quality review.</w:t>
      </w:r>
      <w:r w:rsidRPr="0078457A">
        <w:t xml:space="preserve">  </w:t>
      </w:r>
    </w:p>
    <w:p w:rsidR="00584232" w:rsidRDefault="00584232" w:rsidP="00584232">
      <w:pPr>
        <w:pStyle w:val="Heading4"/>
      </w:pPr>
      <w:r>
        <w:t>Risks identified on the Risk Register</w:t>
      </w:r>
    </w:p>
    <w:p w:rsidR="00584232" w:rsidRDefault="00584232" w:rsidP="00584232">
      <w:pPr>
        <w:rPr>
          <w:lang w:val="mi-NZ"/>
        </w:rPr>
      </w:pPr>
      <w:r w:rsidRPr="002D7D6D">
        <w:t>At</w:t>
      </w:r>
      <w:r>
        <w:rPr>
          <w:lang w:val="mi-NZ"/>
        </w:rPr>
        <w:t xml:space="preserve"> </w:t>
      </w:r>
      <w:r w:rsidR="00365098">
        <w:rPr>
          <w:lang w:val="mi-NZ"/>
        </w:rPr>
        <w:t xml:space="preserve">31 December </w:t>
      </w:r>
      <w:r>
        <w:rPr>
          <w:lang w:val="mi-NZ"/>
        </w:rPr>
        <w:t>2013, 3</w:t>
      </w:r>
      <w:r w:rsidR="00365098">
        <w:rPr>
          <w:lang w:val="mi-NZ"/>
        </w:rPr>
        <w:t>1</w:t>
      </w:r>
      <w:r>
        <w:rPr>
          <w:lang w:val="mi-NZ"/>
        </w:rPr>
        <w:t xml:space="preserve"> risks had been identified since the commencement of the BSP: </w:t>
      </w:r>
      <w:r w:rsidR="00365098">
        <w:rPr>
          <w:lang w:val="mi-NZ"/>
        </w:rPr>
        <w:t>21</w:t>
      </w:r>
      <w:r>
        <w:rPr>
          <w:lang w:val="mi-NZ"/>
        </w:rPr>
        <w:t xml:space="preserve"> have been resolved or merged and </w:t>
      </w:r>
      <w:r w:rsidR="00717552">
        <w:rPr>
          <w:lang w:val="mi-NZ"/>
        </w:rPr>
        <w:t xml:space="preserve">ten </w:t>
      </w:r>
      <w:r>
        <w:rPr>
          <w:lang w:val="mi-NZ"/>
        </w:rPr>
        <w:t xml:space="preserve">remain active.  Of the </w:t>
      </w:r>
      <w:r w:rsidR="00717552">
        <w:rPr>
          <w:lang w:val="mi-NZ"/>
        </w:rPr>
        <w:t xml:space="preserve">ten </w:t>
      </w:r>
      <w:r>
        <w:rPr>
          <w:lang w:val="mi-NZ"/>
        </w:rPr>
        <w:t>act</w:t>
      </w:r>
      <w:r w:rsidR="00814551">
        <w:rPr>
          <w:lang w:val="mi-NZ"/>
        </w:rPr>
        <w:t>i</w:t>
      </w:r>
      <w:r>
        <w:rPr>
          <w:lang w:val="mi-NZ"/>
        </w:rPr>
        <w:t>ve risks, two have a high like</w:t>
      </w:r>
      <w:r w:rsidR="00E65EB0">
        <w:rPr>
          <w:lang w:val="mi-NZ"/>
        </w:rPr>
        <w:t>li</w:t>
      </w:r>
      <w:r>
        <w:rPr>
          <w:lang w:val="mi-NZ"/>
        </w:rPr>
        <w:t xml:space="preserve">hood and high impact status (WDHB 2013b). </w:t>
      </w:r>
    </w:p>
    <w:p w:rsidR="00584232" w:rsidRDefault="00584232" w:rsidP="00584232">
      <w:pPr>
        <w:pStyle w:val="Heading4"/>
      </w:pPr>
      <w:r>
        <w:t>Issues log</w:t>
      </w:r>
    </w:p>
    <w:p w:rsidR="00584232" w:rsidRPr="006E3075" w:rsidRDefault="00584232" w:rsidP="00584232">
      <w:r>
        <w:t xml:space="preserve">Review of the four bi-annual WDHB reports </w:t>
      </w:r>
      <w:r w:rsidRPr="006E3075">
        <w:t xml:space="preserve">demonstrates a declining trend in issues: </w:t>
      </w:r>
    </w:p>
    <w:p w:rsidR="00584232" w:rsidRDefault="00584232" w:rsidP="00604AA9">
      <w:pPr>
        <w:numPr>
          <w:ilvl w:val="0"/>
          <w:numId w:val="6"/>
        </w:numPr>
        <w:autoSpaceDE w:val="0"/>
        <w:autoSpaceDN w:val="0"/>
        <w:adjustRightInd w:val="0"/>
        <w:spacing w:before="60" w:after="120"/>
        <w:ind w:left="1134" w:hanging="425"/>
      </w:pPr>
      <w:r>
        <w:t>75 from January to June 2012</w:t>
      </w:r>
    </w:p>
    <w:p w:rsidR="00584232" w:rsidRDefault="00584232" w:rsidP="00604AA9">
      <w:pPr>
        <w:numPr>
          <w:ilvl w:val="0"/>
          <w:numId w:val="6"/>
        </w:numPr>
        <w:autoSpaceDE w:val="0"/>
        <w:autoSpaceDN w:val="0"/>
        <w:adjustRightInd w:val="0"/>
        <w:spacing w:before="60" w:after="120"/>
        <w:ind w:left="1134" w:hanging="425"/>
      </w:pPr>
      <w:r>
        <w:t xml:space="preserve">26 from July to December 2012 </w:t>
      </w:r>
    </w:p>
    <w:p w:rsidR="00365098" w:rsidRDefault="00584232" w:rsidP="00604AA9">
      <w:pPr>
        <w:numPr>
          <w:ilvl w:val="0"/>
          <w:numId w:val="6"/>
        </w:numPr>
        <w:autoSpaceDE w:val="0"/>
        <w:autoSpaceDN w:val="0"/>
        <w:adjustRightInd w:val="0"/>
        <w:spacing w:before="60" w:after="120"/>
        <w:ind w:left="1134" w:hanging="425"/>
      </w:pPr>
      <w:r>
        <w:t>18 from January to June 2013</w:t>
      </w:r>
    </w:p>
    <w:p w:rsidR="00584232" w:rsidRDefault="00365098" w:rsidP="00604AA9">
      <w:pPr>
        <w:numPr>
          <w:ilvl w:val="0"/>
          <w:numId w:val="6"/>
        </w:numPr>
        <w:autoSpaceDE w:val="0"/>
        <w:autoSpaceDN w:val="0"/>
        <w:adjustRightInd w:val="0"/>
        <w:spacing w:before="60" w:after="120"/>
        <w:ind w:left="1134" w:hanging="425"/>
      </w:pPr>
      <w:r>
        <w:t>14 from July to December 2013</w:t>
      </w:r>
      <w:r w:rsidR="00584232">
        <w:t xml:space="preserve">.  </w:t>
      </w:r>
    </w:p>
    <w:p w:rsidR="00584232" w:rsidRDefault="00584232" w:rsidP="00584232">
      <w:r>
        <w:t xml:space="preserve">The decline in issues </w:t>
      </w:r>
      <w:r w:rsidR="00BD0A5B">
        <w:t>may</w:t>
      </w:r>
      <w:r>
        <w:t xml:space="preserve"> reflect the growing maturity of the </w:t>
      </w:r>
      <w:r w:rsidR="00EB35F4">
        <w:t>p</w:t>
      </w:r>
      <w:r>
        <w:t xml:space="preserve">ilot as well as clearer definitions of what constitutes issues/ incidents that require recording. </w:t>
      </w:r>
    </w:p>
    <w:p w:rsidR="00584232" w:rsidRDefault="00584232" w:rsidP="00584232">
      <w:r>
        <w:t xml:space="preserve">During the early implementation period, issues related to GPs coming to understand their role within the BSP were most frequently mentioned.  The WDHB BSP Clinical Director and WDHB BSP Programme Manager followed up directly with practices </w:t>
      </w:r>
      <w:r w:rsidR="00190B23">
        <w:t>that</w:t>
      </w:r>
      <w:r>
        <w:t xml:space="preserve"> were not following BSP procedures.  Over time</w:t>
      </w:r>
      <w:r w:rsidR="00717552">
        <w:t>,</w:t>
      </w:r>
      <w:r>
        <w:t xml:space="preserve"> mention of primary care on the issues log has declined.  </w:t>
      </w:r>
    </w:p>
    <w:p w:rsidR="00584232" w:rsidRDefault="00584232" w:rsidP="00584232">
      <w:r>
        <w:t xml:space="preserve">From January to June 2013, data issues had the most frequent listing with four mentions (i.e. kits registered at LabPLUS and consent form received by BSP Coordination Centre but no results on Register). </w:t>
      </w:r>
    </w:p>
    <w:p w:rsidR="00E74DC9" w:rsidRDefault="00690B6F" w:rsidP="00584232">
      <w:r>
        <w:t>Between July and December 2013</w:t>
      </w:r>
      <w:r w:rsidR="00E74DC9">
        <w:t xml:space="preserve"> positive results on expired kits was the most frequent listing (</w:t>
      </w:r>
      <w:r w:rsidR="00E65EB0">
        <w:t>three</w:t>
      </w:r>
      <w:r w:rsidR="00E74DC9">
        <w:t xml:space="preserve"> mentions).  </w:t>
      </w:r>
    </w:p>
    <w:p w:rsidR="00584232" w:rsidRDefault="00584232" w:rsidP="00584232">
      <w:pPr>
        <w:keepNext/>
        <w:keepLines/>
      </w:pPr>
      <w:r>
        <w:rPr>
          <w:lang w:eastAsia="ar-SA"/>
        </w:rPr>
        <w:t>In summary, the BSP has a range of quality standards in place that align with international best practice.  Quality standards, risk</w:t>
      </w:r>
      <w:r w:rsidR="00E65EB0">
        <w:rPr>
          <w:lang w:eastAsia="ar-SA"/>
        </w:rPr>
        <w:t>s</w:t>
      </w:r>
      <w:r>
        <w:rPr>
          <w:lang w:eastAsia="ar-SA"/>
        </w:rPr>
        <w:t xml:space="preserve"> and issues are actively monitored, reported, discussed and actions taken to address risks of breaching quality standards and mitigated risks emerging. </w:t>
      </w:r>
      <w:r w:rsidR="00E74DC9">
        <w:rPr>
          <w:lang w:eastAsia="ar-SA"/>
        </w:rPr>
        <w:t xml:space="preserve"> </w:t>
      </w:r>
      <w:r>
        <w:rPr>
          <w:lang w:eastAsia="ar-SA"/>
        </w:rPr>
        <w:t xml:space="preserve">While </w:t>
      </w:r>
      <w:r w:rsidRPr="00D46510">
        <w:t xml:space="preserve">WDHB note that reporting against all quality standards is </w:t>
      </w:r>
      <w:r>
        <w:t xml:space="preserve">now </w:t>
      </w:r>
      <w:r w:rsidRPr="00D46510">
        <w:t>possible</w:t>
      </w:r>
      <w:r>
        <w:t xml:space="preserve"> (with exception of the timeliness of the histology result letter), data has not been sighted </w:t>
      </w:r>
      <w:r w:rsidR="00163CC4">
        <w:t xml:space="preserve">by the evaluation team </w:t>
      </w:r>
      <w:r>
        <w:t>for all quality standards</w:t>
      </w:r>
      <w:r w:rsidR="00F16D07">
        <w:t xml:space="preserve"> (refer Appendix 5)</w:t>
      </w:r>
      <w:r>
        <w:t xml:space="preserve">.  </w:t>
      </w:r>
    </w:p>
    <w:p w:rsidR="00584232" w:rsidRDefault="00584232" w:rsidP="00584232">
      <w:pPr>
        <w:pStyle w:val="Heading3"/>
        <w:rPr>
          <w:lang w:eastAsia="ar-SA"/>
        </w:rPr>
      </w:pPr>
      <w:bookmarkStart w:id="237" w:name="_Toc356566358"/>
      <w:bookmarkStart w:id="238" w:name="_Toc376617533"/>
      <w:r>
        <w:rPr>
          <w:lang w:eastAsia="ar-SA"/>
        </w:rPr>
        <w:t xml:space="preserve">Reflections on </w:t>
      </w:r>
      <w:bookmarkEnd w:id="237"/>
      <w:r>
        <w:rPr>
          <w:lang w:eastAsia="ar-SA"/>
        </w:rPr>
        <w:t>quality standards monitoring</w:t>
      </w:r>
      <w:bookmarkEnd w:id="238"/>
    </w:p>
    <w:p w:rsidR="00584232" w:rsidRDefault="00F82B92" w:rsidP="00584232">
      <w:pPr>
        <w:rPr>
          <w:lang w:eastAsia="ar-SA"/>
        </w:rPr>
      </w:pPr>
      <w:r>
        <w:rPr>
          <w:lang w:eastAsia="ar-SA"/>
        </w:rPr>
        <w:t>P</w:t>
      </w:r>
      <w:r w:rsidR="00BD0A5B">
        <w:rPr>
          <w:lang w:eastAsia="ar-SA"/>
        </w:rPr>
        <w:t xml:space="preserve">roviders interviewed </w:t>
      </w:r>
      <w:r w:rsidR="00474452">
        <w:rPr>
          <w:lang w:eastAsia="ar-SA"/>
        </w:rPr>
        <w:t>commented</w:t>
      </w:r>
      <w:r w:rsidR="00BD0A5B">
        <w:rPr>
          <w:lang w:eastAsia="ar-SA"/>
        </w:rPr>
        <w:t xml:space="preserve"> that </w:t>
      </w:r>
      <w:r w:rsidR="002173D8">
        <w:rPr>
          <w:lang w:eastAsia="ar-SA"/>
        </w:rPr>
        <w:t xml:space="preserve">the monitoring of </w:t>
      </w:r>
      <w:r w:rsidR="00584232" w:rsidRPr="006E3075">
        <w:rPr>
          <w:lang w:eastAsia="ar-SA"/>
        </w:rPr>
        <w:t>quality standards</w:t>
      </w:r>
      <w:r w:rsidR="002173D8">
        <w:rPr>
          <w:lang w:eastAsia="ar-SA"/>
        </w:rPr>
        <w:t xml:space="preserve"> is</w:t>
      </w:r>
      <w:r w:rsidR="002173D8" w:rsidRPr="006E3075">
        <w:rPr>
          <w:lang w:eastAsia="ar-SA"/>
        </w:rPr>
        <w:t xml:space="preserve"> </w:t>
      </w:r>
      <w:proofErr w:type="gramStart"/>
      <w:r w:rsidR="002173D8" w:rsidRPr="006E3075">
        <w:rPr>
          <w:lang w:eastAsia="ar-SA"/>
        </w:rPr>
        <w:t>a strength</w:t>
      </w:r>
      <w:proofErr w:type="gramEnd"/>
      <w:r w:rsidR="002173D8" w:rsidRPr="006E3075">
        <w:rPr>
          <w:lang w:eastAsia="ar-SA"/>
        </w:rPr>
        <w:t xml:space="preserve"> of the BSP</w:t>
      </w:r>
      <w:r w:rsidR="002173D8">
        <w:rPr>
          <w:lang w:eastAsia="ar-SA"/>
        </w:rPr>
        <w:t xml:space="preserve"> enabling the </w:t>
      </w:r>
      <w:r w:rsidR="00584232" w:rsidRPr="006E3075">
        <w:rPr>
          <w:lang w:eastAsia="ar-SA"/>
        </w:rPr>
        <w:t>identif</w:t>
      </w:r>
      <w:r w:rsidR="002173D8">
        <w:rPr>
          <w:lang w:eastAsia="ar-SA"/>
        </w:rPr>
        <w:t xml:space="preserve">ication of </w:t>
      </w:r>
      <w:r w:rsidR="00584232" w:rsidRPr="006E3075">
        <w:rPr>
          <w:lang w:eastAsia="ar-SA"/>
        </w:rPr>
        <w:t xml:space="preserve">quality improvement initiatives. </w:t>
      </w:r>
      <w:r w:rsidR="00584232">
        <w:rPr>
          <w:lang w:eastAsia="ar-SA"/>
        </w:rPr>
        <w:t xml:space="preserve"> Quality standards and their monitoring are described as integrate</w:t>
      </w:r>
      <w:r>
        <w:rPr>
          <w:lang w:eastAsia="ar-SA"/>
        </w:rPr>
        <w:t>d into the process and systems of the</w:t>
      </w:r>
      <w:r w:rsidR="00584232">
        <w:rPr>
          <w:lang w:eastAsia="ar-SA"/>
        </w:rPr>
        <w:t xml:space="preserve"> BSP</w:t>
      </w:r>
      <w:r w:rsidR="00474452">
        <w:rPr>
          <w:lang w:eastAsia="ar-SA"/>
        </w:rPr>
        <w:t xml:space="preserve"> (Litmus 2014)</w:t>
      </w:r>
      <w:r w:rsidR="00584232">
        <w:rPr>
          <w:lang w:eastAsia="ar-SA"/>
        </w:rPr>
        <w:t xml:space="preserve">.  </w:t>
      </w:r>
    </w:p>
    <w:p w:rsidR="00584232" w:rsidRDefault="00584232" w:rsidP="00584232">
      <w:pPr>
        <w:rPr>
          <w:lang w:eastAsia="ar-SA"/>
        </w:rPr>
      </w:pPr>
      <w:r>
        <w:rPr>
          <w:lang w:eastAsia="ar-SA"/>
        </w:rPr>
        <w:lastRenderedPageBreak/>
        <w:t xml:space="preserve">Review </w:t>
      </w:r>
      <w:r w:rsidRPr="006E3075">
        <w:rPr>
          <w:lang w:eastAsia="ar-SA"/>
        </w:rPr>
        <w:t>of the quality monitoring indicators and feedback from stakeholders</w:t>
      </w:r>
      <w:r w:rsidR="00474452">
        <w:rPr>
          <w:lang w:eastAsia="ar-SA"/>
        </w:rPr>
        <w:t xml:space="preserve"> interviewed</w:t>
      </w:r>
      <w:r w:rsidRPr="006E3075">
        <w:rPr>
          <w:lang w:eastAsia="ar-SA"/>
        </w:rPr>
        <w:t xml:space="preserve"> indicate potential risk areas to adhering with the BSP quality standards</w:t>
      </w:r>
      <w:r w:rsidR="00163CC4">
        <w:rPr>
          <w:lang w:eastAsia="ar-SA"/>
        </w:rPr>
        <w:t xml:space="preserve"> including</w:t>
      </w:r>
      <w:r w:rsidRPr="006E3075">
        <w:rPr>
          <w:lang w:eastAsia="ar-SA"/>
        </w:rPr>
        <w:t>:</w:t>
      </w:r>
    </w:p>
    <w:p w:rsidR="00F50B9F" w:rsidRDefault="00A101C5" w:rsidP="00696085">
      <w:pPr>
        <w:pStyle w:val="Bullet"/>
        <w:numPr>
          <w:ilvl w:val="0"/>
          <w:numId w:val="21"/>
        </w:numPr>
        <w:tabs>
          <w:tab w:val="num" w:pos="2126"/>
          <w:tab w:val="num" w:pos="6663"/>
        </w:tabs>
        <w:ind w:left="1069"/>
        <w:rPr>
          <w:lang w:eastAsia="ar-SA"/>
        </w:rPr>
      </w:pPr>
      <w:r>
        <w:rPr>
          <w:lang w:eastAsia="ar-SA"/>
        </w:rPr>
        <w:t xml:space="preserve">Not </w:t>
      </w:r>
      <w:r w:rsidR="00F50B9F">
        <w:rPr>
          <w:lang w:eastAsia="ar-SA"/>
        </w:rPr>
        <w:t>having enough endoscopist capacity to remain within agreed wait times to colonoscopy</w:t>
      </w:r>
      <w:r>
        <w:rPr>
          <w:lang w:eastAsia="ar-SA"/>
        </w:rPr>
        <w:t>.</w:t>
      </w:r>
    </w:p>
    <w:p w:rsidR="00F50B9F" w:rsidRDefault="00A101C5" w:rsidP="00696085">
      <w:pPr>
        <w:pStyle w:val="Bullet"/>
        <w:numPr>
          <w:ilvl w:val="0"/>
          <w:numId w:val="21"/>
        </w:numPr>
        <w:tabs>
          <w:tab w:val="num" w:pos="2126"/>
          <w:tab w:val="num" w:pos="6663"/>
        </w:tabs>
        <w:ind w:left="1069"/>
        <w:rPr>
          <w:lang w:eastAsia="ar-SA"/>
        </w:rPr>
      </w:pPr>
      <w:r>
        <w:rPr>
          <w:lang w:eastAsia="ar-SA"/>
        </w:rPr>
        <w:t xml:space="preserve">Variable </w:t>
      </w:r>
      <w:r w:rsidR="00F50B9F">
        <w:rPr>
          <w:lang w:eastAsia="ar-SA"/>
        </w:rPr>
        <w:t>awareness of all the BSP quality standards for colonoscopy procedures amongst endoscopists.  While endoscopists are aware of the indicators for quality colonoscopy, there is variable awareness of the full range of quality standards for BSP</w:t>
      </w:r>
      <w:r>
        <w:rPr>
          <w:lang w:eastAsia="ar-SA"/>
        </w:rPr>
        <w:t>.</w:t>
      </w:r>
      <w:r w:rsidR="00F50B9F">
        <w:rPr>
          <w:lang w:eastAsia="ar-SA"/>
        </w:rPr>
        <w:t xml:space="preserve">  </w:t>
      </w:r>
    </w:p>
    <w:p w:rsidR="00F50B9F" w:rsidRDefault="00A101C5" w:rsidP="00696085">
      <w:pPr>
        <w:pStyle w:val="Bullet"/>
        <w:numPr>
          <w:ilvl w:val="0"/>
          <w:numId w:val="21"/>
        </w:numPr>
        <w:tabs>
          <w:tab w:val="num" w:pos="2126"/>
          <w:tab w:val="num" w:pos="6663"/>
        </w:tabs>
        <w:ind w:left="1069"/>
        <w:rPr>
          <w:lang w:eastAsia="ar-SA"/>
        </w:rPr>
      </w:pPr>
      <w:r>
        <w:rPr>
          <w:lang w:eastAsia="ar-SA"/>
        </w:rPr>
        <w:t xml:space="preserve">A </w:t>
      </w:r>
      <w:r w:rsidR="00F50B9F">
        <w:rPr>
          <w:lang w:eastAsia="ar-SA"/>
        </w:rPr>
        <w:t>lack of awareness of the BSP quality standards for CTC amongst radiology staff and BSP participants not being appropriately coded</w:t>
      </w:r>
      <w:r w:rsidR="004C51C2">
        <w:rPr>
          <w:lang w:eastAsia="ar-SA"/>
        </w:rPr>
        <w:t>.</w:t>
      </w:r>
    </w:p>
    <w:p w:rsidR="00584232" w:rsidRPr="006E3075" w:rsidRDefault="00584232" w:rsidP="00007C01">
      <w:pPr>
        <w:rPr>
          <w:lang w:eastAsia="ar-SA"/>
        </w:rPr>
      </w:pPr>
      <w:r w:rsidRPr="006E3075">
        <w:rPr>
          <w:lang w:eastAsia="ar-SA"/>
        </w:rPr>
        <w:t xml:space="preserve">Other challenges noted about the BSP quality monitoring are: </w:t>
      </w:r>
    </w:p>
    <w:p w:rsidR="00584232" w:rsidRPr="006E3075" w:rsidRDefault="00584232" w:rsidP="00604AA9">
      <w:pPr>
        <w:numPr>
          <w:ilvl w:val="0"/>
          <w:numId w:val="6"/>
        </w:numPr>
        <w:autoSpaceDE w:val="0"/>
        <w:autoSpaceDN w:val="0"/>
        <w:adjustRightInd w:val="0"/>
        <w:spacing w:before="60" w:after="120"/>
        <w:ind w:left="1134" w:hanging="425"/>
      </w:pPr>
      <w:r w:rsidRPr="006E3075">
        <w:t xml:space="preserve">Awareness of quality standards is varied.  Some stakeholders on the BSP screening pathway have a detailed understanding of the quality standards which tend to reflect their roles and reporting lines.  In contrast, others tend to be aware at a broad level there are quality standards but have little appreciation of the detail.  Whether this is of concern is not clear as quality standards appear to be embedded in the BSP systems. </w:t>
      </w:r>
    </w:p>
    <w:p w:rsidR="00584232" w:rsidRPr="006E3075" w:rsidRDefault="00584232" w:rsidP="00604AA9">
      <w:pPr>
        <w:numPr>
          <w:ilvl w:val="0"/>
          <w:numId w:val="6"/>
        </w:numPr>
        <w:autoSpaceDE w:val="0"/>
        <w:autoSpaceDN w:val="0"/>
        <w:adjustRightInd w:val="0"/>
        <w:spacing w:before="60" w:after="120"/>
        <w:ind w:left="1134" w:hanging="425"/>
      </w:pPr>
      <w:r w:rsidRPr="006E3075">
        <w:t xml:space="preserve">Beyond referral times, primary care has no quality standards for their role in the BSP.  Primary </w:t>
      </w:r>
      <w:r w:rsidR="0091546E" w:rsidRPr="006E3075">
        <w:t>care has</w:t>
      </w:r>
      <w:r w:rsidRPr="006E3075">
        <w:t xml:space="preserve"> the flexibility to manage informing BSP participants about a positive iFOBT and referral to endoscopy within their standard practice.  </w:t>
      </w:r>
    </w:p>
    <w:p w:rsidR="00584232" w:rsidRDefault="00584232" w:rsidP="00604AA9">
      <w:pPr>
        <w:numPr>
          <w:ilvl w:val="0"/>
          <w:numId w:val="6"/>
        </w:numPr>
        <w:autoSpaceDE w:val="0"/>
        <w:autoSpaceDN w:val="0"/>
        <w:adjustRightInd w:val="0"/>
        <w:spacing w:before="60" w:after="120"/>
        <w:ind w:left="1134" w:hanging="425"/>
      </w:pPr>
      <w:r w:rsidRPr="00007C01">
        <w:t xml:space="preserve">Duplication and potential confusion due to the number of </w:t>
      </w:r>
      <w:r w:rsidR="00F16D07">
        <w:t xml:space="preserve">Ministry of Health </w:t>
      </w:r>
      <w:r w:rsidRPr="00007C01">
        <w:t xml:space="preserve">quality documents for the BSP.  Stakeholders questioned whether the quality documents could be rationalised into one so it is clear that this is the guiding document.  </w:t>
      </w:r>
      <w:r w:rsidR="00190B23" w:rsidRPr="00007C01">
        <w:t xml:space="preserve">LabPLUS </w:t>
      </w:r>
      <w:r w:rsidR="00190B23">
        <w:t>also wants</w:t>
      </w:r>
      <w:r w:rsidR="00190B23" w:rsidRPr="00007C01">
        <w:t xml:space="preserve"> quality standards for bowel screening </w:t>
      </w:r>
      <w:r w:rsidR="00190B23">
        <w:t xml:space="preserve">to be </w:t>
      </w:r>
      <w:r w:rsidR="00190B23" w:rsidRPr="00007C01">
        <w:t xml:space="preserve">based on </w:t>
      </w:r>
      <w:r w:rsidR="00190B23" w:rsidRPr="00F97AC1">
        <w:rPr>
          <w:rStyle w:val="st"/>
          <w:bCs/>
        </w:rPr>
        <w:t>International Accreditation New Zealand</w:t>
      </w:r>
      <w:r w:rsidR="00190B23" w:rsidRPr="00F97AC1">
        <w:rPr>
          <w:rStyle w:val="st"/>
          <w:rFonts w:cs="Arial"/>
          <w:color w:val="222222"/>
        </w:rPr>
        <w:t xml:space="preserve"> </w:t>
      </w:r>
      <w:r w:rsidR="00190B23">
        <w:rPr>
          <w:rStyle w:val="st"/>
          <w:rFonts w:cs="Arial"/>
          <w:color w:val="222222"/>
        </w:rPr>
        <w:t>(</w:t>
      </w:r>
      <w:r w:rsidR="00190B23" w:rsidRPr="00007C01">
        <w:t>IANZ</w:t>
      </w:r>
      <w:r w:rsidR="00190B23">
        <w:t>)</w:t>
      </w:r>
      <w:r w:rsidR="00190B23" w:rsidRPr="00007C01">
        <w:t xml:space="preserve"> standards. </w:t>
      </w:r>
    </w:p>
    <w:p w:rsidR="00584232" w:rsidRDefault="00584232" w:rsidP="00604AA9">
      <w:pPr>
        <w:numPr>
          <w:ilvl w:val="0"/>
          <w:numId w:val="6"/>
        </w:numPr>
        <w:autoSpaceDE w:val="0"/>
        <w:autoSpaceDN w:val="0"/>
        <w:adjustRightInd w:val="0"/>
        <w:spacing w:before="60" w:after="120"/>
        <w:ind w:left="1134" w:hanging="425"/>
        <w:rPr>
          <w:lang w:eastAsia="ar-SA"/>
        </w:rPr>
      </w:pPr>
      <w:r w:rsidRPr="00007C01">
        <w:t>Clarifying</w:t>
      </w:r>
      <w:r w:rsidRPr="006E3075">
        <w:t xml:space="preserve"> the link between the GRS and the BSP quality standards.  In 2013, work was undertaken to strengthen the implementation of the GRS within WDHB’s endoscopy unit.  </w:t>
      </w:r>
      <w:r w:rsidRPr="00BD0A5B">
        <w:rPr>
          <w:lang w:val="en-US"/>
        </w:rPr>
        <w:t xml:space="preserve">In 2013 the GRS team undertook a one-off review. The review process for the GRS highlighted confusion about how the BSP quality standards and the GRS </w:t>
      </w:r>
      <w:r>
        <w:rPr>
          <w:lang w:eastAsia="ar-SA"/>
        </w:rPr>
        <w:t xml:space="preserve">fit together.  The GRS is not cited within the BSP quality standards.  </w:t>
      </w:r>
    </w:p>
    <w:p w:rsidR="00584232" w:rsidRPr="003B4CD0" w:rsidRDefault="00E74429" w:rsidP="00584232">
      <w:pPr>
        <w:pStyle w:val="Heading3"/>
      </w:pPr>
      <w:r w:rsidRPr="003B4CD0">
        <w:t xml:space="preserve">Conclusions </w:t>
      </w:r>
    </w:p>
    <w:p w:rsidR="003B4CD0" w:rsidRDefault="003B4CD0" w:rsidP="003B4CD0">
      <w:pPr>
        <w:rPr>
          <w:lang w:eastAsia="ar-SA"/>
        </w:rPr>
      </w:pPr>
      <w:r>
        <w:rPr>
          <w:lang w:eastAsia="ar-SA"/>
        </w:rPr>
        <w:t>The review of quality monitoring confirms that BSP has a range of quality standards in place that align with international best practice.  Quality standards, risk</w:t>
      </w:r>
      <w:r w:rsidR="00E65EB0">
        <w:rPr>
          <w:lang w:eastAsia="ar-SA"/>
        </w:rPr>
        <w:t>s</w:t>
      </w:r>
      <w:r>
        <w:rPr>
          <w:lang w:eastAsia="ar-SA"/>
        </w:rPr>
        <w:t xml:space="preserve"> and issues are actively monitored, reported, discussed and actions taken to address risks of breaching quality standards and mitigated risks emerging. </w:t>
      </w:r>
    </w:p>
    <w:p w:rsidR="003B4CD0" w:rsidRDefault="003B4CD0" w:rsidP="003B4CD0">
      <w:pPr>
        <w:rPr>
          <w:lang w:eastAsia="ar-SA"/>
        </w:rPr>
      </w:pPr>
      <w:r>
        <w:rPr>
          <w:lang w:eastAsia="ar-SA"/>
        </w:rPr>
        <w:t xml:space="preserve">Key areas to strengthen quality monitoring and assurance are: </w:t>
      </w:r>
    </w:p>
    <w:p w:rsidR="003B4CD0" w:rsidRPr="008A486D" w:rsidRDefault="003B4CD0" w:rsidP="00604AA9">
      <w:pPr>
        <w:pStyle w:val="Bullet"/>
        <w:numPr>
          <w:ilvl w:val="0"/>
          <w:numId w:val="10"/>
        </w:numPr>
        <w:tabs>
          <w:tab w:val="num" w:pos="2126"/>
          <w:tab w:val="num" w:pos="6663"/>
        </w:tabs>
        <w:ind w:left="1069"/>
        <w:rPr>
          <w:lang w:eastAsia="ar-SA"/>
        </w:rPr>
      </w:pPr>
      <w:r w:rsidRPr="008A486D">
        <w:rPr>
          <w:lang w:eastAsia="ar-SA"/>
        </w:rPr>
        <w:t xml:space="preserve">ensure the completeness </w:t>
      </w:r>
      <w:r w:rsidR="00B356EF" w:rsidRPr="008A486D">
        <w:rPr>
          <w:lang w:eastAsia="ar-SA"/>
        </w:rPr>
        <w:t>and accuracy of data on th</w:t>
      </w:r>
      <w:r w:rsidR="00E25DDE">
        <w:rPr>
          <w:lang w:eastAsia="ar-SA"/>
        </w:rPr>
        <w:t>e Register (refer Litmus 2014, A</w:t>
      </w:r>
      <w:r w:rsidR="00B356EF" w:rsidRPr="008A486D">
        <w:rPr>
          <w:lang w:eastAsia="ar-SA"/>
        </w:rPr>
        <w:t>ppendix 5)</w:t>
      </w:r>
      <w:r w:rsidRPr="008A486D">
        <w:rPr>
          <w:lang w:eastAsia="ar-SA"/>
        </w:rPr>
        <w:t xml:space="preserve"> </w:t>
      </w:r>
    </w:p>
    <w:p w:rsidR="003B4CD0" w:rsidRDefault="003B4CD0" w:rsidP="00604AA9">
      <w:pPr>
        <w:pStyle w:val="Bullet"/>
        <w:numPr>
          <w:ilvl w:val="0"/>
          <w:numId w:val="10"/>
        </w:numPr>
        <w:tabs>
          <w:tab w:val="num" w:pos="2126"/>
          <w:tab w:val="num" w:pos="6663"/>
        </w:tabs>
        <w:ind w:left="1069"/>
        <w:rPr>
          <w:lang w:eastAsia="ar-SA"/>
        </w:rPr>
      </w:pPr>
      <w:r>
        <w:rPr>
          <w:lang w:eastAsia="ar-SA"/>
        </w:rPr>
        <w:t>increase a</w:t>
      </w:r>
      <w:r w:rsidRPr="00D46510">
        <w:rPr>
          <w:lang w:eastAsia="ar-SA"/>
        </w:rPr>
        <w:t xml:space="preserve">wareness of </w:t>
      </w:r>
      <w:r>
        <w:rPr>
          <w:lang w:eastAsia="ar-SA"/>
        </w:rPr>
        <w:t xml:space="preserve">BSP </w:t>
      </w:r>
      <w:r w:rsidRPr="00D46510">
        <w:rPr>
          <w:lang w:eastAsia="ar-SA"/>
        </w:rPr>
        <w:t>quality standards</w:t>
      </w:r>
      <w:r>
        <w:rPr>
          <w:lang w:eastAsia="ar-SA"/>
        </w:rPr>
        <w:t xml:space="preserve"> for colonoscopy procedures amongst endoscopists</w:t>
      </w:r>
    </w:p>
    <w:p w:rsidR="003B4CD0" w:rsidRDefault="003B4CD0" w:rsidP="00604AA9">
      <w:pPr>
        <w:pStyle w:val="Bullet"/>
        <w:numPr>
          <w:ilvl w:val="0"/>
          <w:numId w:val="10"/>
        </w:numPr>
        <w:tabs>
          <w:tab w:val="num" w:pos="2126"/>
          <w:tab w:val="num" w:pos="6663"/>
        </w:tabs>
        <w:ind w:left="1069"/>
        <w:rPr>
          <w:lang w:eastAsia="ar-SA"/>
        </w:rPr>
      </w:pPr>
      <w:r>
        <w:rPr>
          <w:lang w:eastAsia="ar-SA"/>
        </w:rPr>
        <w:t>increase awareness of BSP quality standards for CTC amongst radiology staff and ensure BSP participants are appropriately coded</w:t>
      </w:r>
    </w:p>
    <w:p w:rsidR="003B4CD0" w:rsidRDefault="003B4CD0" w:rsidP="00604AA9">
      <w:pPr>
        <w:pStyle w:val="Bullet"/>
        <w:numPr>
          <w:ilvl w:val="0"/>
          <w:numId w:val="10"/>
        </w:numPr>
        <w:tabs>
          <w:tab w:val="num" w:pos="2126"/>
          <w:tab w:val="num" w:pos="6663"/>
        </w:tabs>
        <w:ind w:left="1069"/>
        <w:rPr>
          <w:lang w:eastAsia="ar-SA"/>
        </w:rPr>
      </w:pPr>
      <w:proofErr w:type="gramStart"/>
      <w:r>
        <w:rPr>
          <w:lang w:eastAsia="ar-SA"/>
        </w:rPr>
        <w:t>clarify</w:t>
      </w:r>
      <w:proofErr w:type="gramEnd"/>
      <w:r>
        <w:rPr>
          <w:lang w:eastAsia="ar-SA"/>
        </w:rPr>
        <w:t xml:space="preserve"> the link between the GRS being used to improve quality of endoscopy in New Zealand </w:t>
      </w:r>
      <w:r w:rsidRPr="00D46510">
        <w:rPr>
          <w:lang w:eastAsia="ar-SA"/>
        </w:rPr>
        <w:t>and the BSP</w:t>
      </w:r>
      <w:r>
        <w:rPr>
          <w:lang w:eastAsia="ar-SA"/>
        </w:rPr>
        <w:t>’s</w:t>
      </w:r>
      <w:r w:rsidRPr="00D46510">
        <w:rPr>
          <w:lang w:eastAsia="ar-SA"/>
        </w:rPr>
        <w:t xml:space="preserve"> quality standards</w:t>
      </w:r>
      <w:r>
        <w:rPr>
          <w:lang w:eastAsia="ar-SA"/>
        </w:rPr>
        <w:t xml:space="preserve">. </w:t>
      </w:r>
    </w:p>
    <w:p w:rsidR="003B4CD0" w:rsidRPr="00C61A0C" w:rsidRDefault="003B4CD0" w:rsidP="003B4CD0">
      <w:r>
        <w:lastRenderedPageBreak/>
        <w:t>The following are considerations for the BSP quality standards and monitoring within the context of a potential national roll</w:t>
      </w:r>
      <w:r w:rsidR="00717552">
        <w:t>-</w:t>
      </w:r>
      <w:r>
        <w:t xml:space="preserve">out for bowel screening: </w:t>
      </w:r>
    </w:p>
    <w:p w:rsidR="003B4CD0" w:rsidRPr="006E3075" w:rsidRDefault="003B4CD0" w:rsidP="00604AA9">
      <w:pPr>
        <w:pStyle w:val="Bullet"/>
        <w:numPr>
          <w:ilvl w:val="0"/>
          <w:numId w:val="10"/>
        </w:numPr>
        <w:tabs>
          <w:tab w:val="num" w:pos="6663"/>
        </w:tabs>
        <w:ind w:left="1069"/>
      </w:pPr>
      <w:r w:rsidRPr="006E3075">
        <w:t xml:space="preserve">The importance of having a Quality Lead in the programme to ensure quality data collection, review of monitoring data and trends and to facilitate processes to review issues arising and to undertake quality improvement initiatives. </w:t>
      </w:r>
    </w:p>
    <w:p w:rsidR="003B4CD0" w:rsidRPr="006E3075" w:rsidRDefault="003B4CD0" w:rsidP="00604AA9">
      <w:pPr>
        <w:pStyle w:val="Bullet"/>
        <w:numPr>
          <w:ilvl w:val="0"/>
          <w:numId w:val="10"/>
        </w:numPr>
        <w:tabs>
          <w:tab w:val="num" w:pos="6663"/>
        </w:tabs>
        <w:ind w:left="1069"/>
      </w:pPr>
      <w:r w:rsidRPr="006E3075">
        <w:t xml:space="preserve">The Register must collect quality data to inform the quality standards.  Data audit and logic checks need to be part of the ongoing maintenance of the Register as well as having capacity and capability to run reports of the Register to inform the review of the quality standards.  </w:t>
      </w:r>
    </w:p>
    <w:p w:rsidR="003B4CD0" w:rsidRPr="006E3075" w:rsidRDefault="003B4CD0" w:rsidP="00604AA9">
      <w:pPr>
        <w:pStyle w:val="Bullet"/>
        <w:numPr>
          <w:ilvl w:val="0"/>
          <w:numId w:val="10"/>
        </w:numPr>
        <w:tabs>
          <w:tab w:val="num" w:pos="6663"/>
        </w:tabs>
        <w:ind w:left="1069"/>
      </w:pPr>
      <w:r w:rsidRPr="006E3075">
        <w:t xml:space="preserve">Consider aligning BSP quality standards with quality standards for laboratories (IANZ) to avoid unnecessary duplication, and to enable their inclusion in the IANZ annual audit.  </w:t>
      </w:r>
    </w:p>
    <w:p w:rsidR="003B4CD0" w:rsidRDefault="003B4CD0" w:rsidP="00604AA9">
      <w:pPr>
        <w:pStyle w:val="Bullet"/>
        <w:numPr>
          <w:ilvl w:val="0"/>
          <w:numId w:val="10"/>
        </w:numPr>
        <w:tabs>
          <w:tab w:val="num" w:pos="6663"/>
        </w:tabs>
        <w:ind w:left="1069"/>
      </w:pPr>
      <w:r w:rsidRPr="006E3075">
        <w:t xml:space="preserve">Consider how to align the BSP quality standards with the GRS.  </w:t>
      </w:r>
    </w:p>
    <w:p w:rsidR="003B4CD0" w:rsidRPr="003B4CD0" w:rsidRDefault="003B4CD0" w:rsidP="003B4CD0">
      <w:pPr>
        <w:rPr>
          <w:highlight w:val="yellow"/>
        </w:rPr>
      </w:pPr>
    </w:p>
    <w:p w:rsidR="009E487D" w:rsidRPr="009E487D" w:rsidRDefault="009E487D" w:rsidP="009E487D"/>
    <w:p w:rsidR="009E487D" w:rsidRDefault="009E487D">
      <w:pPr>
        <w:spacing w:before="0"/>
        <w:ind w:left="0"/>
        <w:rPr>
          <w:b/>
          <w:sz w:val="28"/>
          <w:szCs w:val="28"/>
        </w:rPr>
      </w:pPr>
      <w:r>
        <w:br w:type="page"/>
      </w:r>
    </w:p>
    <w:p w:rsidR="001B4015" w:rsidRDefault="009E487D" w:rsidP="009E487D">
      <w:pPr>
        <w:pStyle w:val="Heading2"/>
      </w:pPr>
      <w:bookmarkStart w:id="239" w:name="_Toc390872217"/>
      <w:bookmarkStart w:id="240" w:name="_Toc412540043"/>
      <w:r w:rsidRPr="00F04363">
        <w:lastRenderedPageBreak/>
        <w:t>3.</w:t>
      </w:r>
      <w:r w:rsidR="00926BA4" w:rsidRPr="00F04363">
        <w:t>8</w:t>
      </w:r>
      <w:r w:rsidRPr="00F04363">
        <w:tab/>
      </w:r>
      <w:r w:rsidR="001B4015" w:rsidRPr="00F04363">
        <w:t>Cost</w:t>
      </w:r>
      <w:r w:rsidR="000C7259" w:rsidRPr="00F04363">
        <w:t>ing</w:t>
      </w:r>
      <w:r w:rsidR="001B4015" w:rsidRPr="00F04363">
        <w:t xml:space="preserve"> analysis</w:t>
      </w:r>
      <w:bookmarkEnd w:id="239"/>
      <w:bookmarkEnd w:id="240"/>
      <w:r w:rsidR="001B4015" w:rsidRPr="008C525B">
        <w:t xml:space="preserve"> </w:t>
      </w:r>
      <w:r w:rsidR="005662A0">
        <w:t xml:space="preserve"> </w:t>
      </w:r>
    </w:p>
    <w:p w:rsidR="00A12D1B" w:rsidRDefault="00A12D1B" w:rsidP="00A12D1B">
      <w:pPr>
        <w:pBdr>
          <w:top w:val="single" w:sz="4" w:space="1" w:color="auto"/>
          <w:left w:val="single" w:sz="4" w:space="4" w:color="auto"/>
          <w:bottom w:val="single" w:sz="4" w:space="1" w:color="auto"/>
          <w:right w:val="single" w:sz="4" w:space="4" w:color="auto"/>
        </w:pBdr>
        <w:spacing w:before="60" w:after="120"/>
        <w:ind w:left="720"/>
        <w:rPr>
          <w:rFonts w:cs="Arial"/>
          <w:b/>
        </w:rPr>
      </w:pPr>
      <w:r>
        <w:rPr>
          <w:rFonts w:cs="Arial"/>
          <w:b/>
        </w:rPr>
        <w:t>Evaluation objective addressed in section</w:t>
      </w:r>
    </w:p>
    <w:p w:rsidR="00A12D1B" w:rsidRDefault="00A12D1B" w:rsidP="00A12D1B">
      <w:pPr>
        <w:pBdr>
          <w:top w:val="single" w:sz="4" w:space="1" w:color="auto"/>
          <w:left w:val="single" w:sz="4" w:space="4" w:color="auto"/>
          <w:bottom w:val="single" w:sz="4" w:space="1" w:color="auto"/>
          <w:right w:val="single" w:sz="4" w:space="4" w:color="auto"/>
        </w:pBdr>
        <w:spacing w:before="60" w:after="120"/>
        <w:ind w:left="720"/>
        <w:rPr>
          <w:rFonts w:cs="Arial"/>
        </w:rPr>
      </w:pPr>
      <w:r>
        <w:rPr>
          <w:i/>
        </w:rPr>
        <w:t xml:space="preserve">Costing analysis - </w:t>
      </w:r>
      <w:r>
        <w:t>To</w:t>
      </w:r>
      <w:r>
        <w:rPr>
          <w:rFonts w:cs="Arial"/>
        </w:rPr>
        <w:t xml:space="preserve"> explore the nature and quantum of costs associated with the design, implementation and operation of the pilot during the first screening round.  A full cost effectiveness analysis will be completed at the conclusion of the second screening round.</w:t>
      </w:r>
    </w:p>
    <w:p w:rsidR="00D27185" w:rsidRDefault="00D27185" w:rsidP="00D27185">
      <w:r>
        <w:t xml:space="preserve">This section presents the results of the report entitled </w:t>
      </w:r>
      <w:r w:rsidRPr="006A1EEC">
        <w:rPr>
          <w:b/>
        </w:rPr>
        <w:t>Interim costing analysis – costs of the fir</w:t>
      </w:r>
      <w:r>
        <w:rPr>
          <w:b/>
        </w:rPr>
        <w:t xml:space="preserve">st screening round (2012-2013) undertaken by </w:t>
      </w:r>
      <w:r w:rsidRPr="006A1EEC">
        <w:rPr>
          <w:b/>
        </w:rPr>
        <w:t>Sapere Research Group 2014</w:t>
      </w:r>
      <w:r>
        <w:t xml:space="preserve"> (Artus, Love, Blick and Poynton, 2014).  A full copy of the Sapere report is </w:t>
      </w:r>
      <w:r w:rsidR="00FE2A14">
        <w:t xml:space="preserve">in </w:t>
      </w:r>
      <w:hyperlink w:anchor="_Appendix_2:_" w:history="1">
        <w:r w:rsidR="00FE2A14" w:rsidRPr="00FE2A14">
          <w:rPr>
            <w:rStyle w:val="Hyperlink"/>
          </w:rPr>
          <w:t>Appendix 2</w:t>
        </w:r>
      </w:hyperlink>
      <w:r w:rsidR="00FE2A14">
        <w:t>.</w:t>
      </w:r>
    </w:p>
    <w:p w:rsidR="001A34B4" w:rsidRPr="00B222E0" w:rsidRDefault="001A34B4" w:rsidP="001A34B4">
      <w:pPr>
        <w:pStyle w:val="Heading3"/>
        <w:rPr>
          <w:i w:val="0"/>
        </w:rPr>
      </w:pPr>
      <w:r w:rsidRPr="00B222E0">
        <w:rPr>
          <w:i w:val="0"/>
        </w:rPr>
        <w:t xml:space="preserve">Introduction </w:t>
      </w:r>
    </w:p>
    <w:p w:rsidR="001A34B4" w:rsidRDefault="001A34B4" w:rsidP="001A34B4">
      <w:pPr>
        <w:autoSpaceDE w:val="0"/>
        <w:autoSpaceDN w:val="0"/>
        <w:adjustRightInd w:val="0"/>
        <w:spacing w:before="120"/>
      </w:pPr>
      <w:r>
        <w:t>The results from the costing analysis are presented as follows:</w:t>
      </w:r>
    </w:p>
    <w:p w:rsidR="001A34B4" w:rsidRDefault="001A34B4" w:rsidP="001A34B4">
      <w:pPr>
        <w:numPr>
          <w:ilvl w:val="0"/>
          <w:numId w:val="6"/>
        </w:numPr>
        <w:autoSpaceDE w:val="0"/>
        <w:autoSpaceDN w:val="0"/>
        <w:adjustRightInd w:val="0"/>
        <w:spacing w:before="60" w:after="120"/>
        <w:ind w:left="1134" w:hanging="425"/>
      </w:pPr>
      <w:r>
        <w:t xml:space="preserve">An analysis of the nature and quantum of costs associated with the design, implementation and operation of the pilot to date (including some detailed analysis related to specific aspects of the screening pathway and a forecast of estimated total cost of the BSP for two full screening rounds); and </w:t>
      </w:r>
    </w:p>
    <w:p w:rsidR="001A34B4" w:rsidRDefault="001A34B4" w:rsidP="001A34B4">
      <w:pPr>
        <w:numPr>
          <w:ilvl w:val="0"/>
          <w:numId w:val="6"/>
        </w:numPr>
        <w:autoSpaceDE w:val="0"/>
        <w:autoSpaceDN w:val="0"/>
        <w:adjustRightInd w:val="0"/>
        <w:spacing w:before="60" w:after="120"/>
        <w:ind w:left="1134" w:hanging="425"/>
      </w:pPr>
      <w:r>
        <w:t>An extrapolation of high-level estimates of the potential ‘steady state’ cost of operating a bowel screening programme on a national basis (excluding development/start-up costs and the on basis of some broad brush assumptions).</w:t>
      </w:r>
    </w:p>
    <w:p w:rsidR="001A34B4" w:rsidRDefault="001A34B4" w:rsidP="001A34B4">
      <w:pPr>
        <w:autoSpaceDE w:val="0"/>
        <w:autoSpaceDN w:val="0"/>
        <w:adjustRightInd w:val="0"/>
        <w:spacing w:before="120"/>
      </w:pPr>
      <w:r>
        <w:t>It is essential that two key caveats in relation to the results are acknowledged and that extreme care is taken to ensure that results are not placed out of this context:</w:t>
      </w:r>
    </w:p>
    <w:p w:rsidR="001A34B4" w:rsidRDefault="001A34B4" w:rsidP="001A34B4">
      <w:pPr>
        <w:numPr>
          <w:ilvl w:val="0"/>
          <w:numId w:val="6"/>
        </w:numPr>
        <w:autoSpaceDE w:val="0"/>
        <w:autoSpaceDN w:val="0"/>
        <w:adjustRightInd w:val="0"/>
        <w:spacing w:before="60" w:after="120"/>
        <w:ind w:left="1134" w:hanging="425"/>
      </w:pPr>
      <w:r>
        <w:t xml:space="preserve">Firstly, it is important to emphasise that this costing analysis is </w:t>
      </w:r>
      <w:r w:rsidRPr="00B30F88">
        <w:t>n</w:t>
      </w:r>
      <w:r w:rsidRPr="00F36FE5">
        <w:t xml:space="preserve">ot </w:t>
      </w:r>
      <w:r w:rsidRPr="00925412">
        <w:t>an incremental analysis</w:t>
      </w:r>
      <w:r>
        <w:t xml:space="preserve"> but rather takes a ‘snap-shot’ perspective of costs incurred to design and run the pilot in the first two years, with some assumption-based extrapolation to inform understanding of potential future costs.  As such, it does not account, for example, for the fact that some cancers detected as a result of pilot screening, may have been detected symptomatically anyway.   </w:t>
      </w:r>
    </w:p>
    <w:p w:rsidR="001A34B4" w:rsidRDefault="001A34B4" w:rsidP="001A34B4">
      <w:pPr>
        <w:numPr>
          <w:ilvl w:val="0"/>
          <w:numId w:val="6"/>
        </w:numPr>
        <w:autoSpaceDE w:val="0"/>
        <w:autoSpaceDN w:val="0"/>
        <w:adjustRightInd w:val="0"/>
        <w:spacing w:before="60" w:after="120"/>
        <w:ind w:left="1134" w:hanging="425"/>
      </w:pPr>
      <w:r>
        <w:t xml:space="preserve">Secondly, in extrapolating high-level estimates for the operating cost of bowel screening on a national basis, in the absence of key policy decisions about the configuration and implementation approach, we have based our analysis on some broad-brush assumptions about the way a national bowel screening programme may run in ‘steady state’.  Also, as stated above, the figures quoted relate to operating costs only. </w:t>
      </w:r>
    </w:p>
    <w:p w:rsidR="001A34B4" w:rsidRPr="00826574" w:rsidRDefault="001A34B4" w:rsidP="001A34B4">
      <w:pPr>
        <w:pStyle w:val="Heading3"/>
        <w:rPr>
          <w:i w:val="0"/>
        </w:rPr>
      </w:pPr>
      <w:r w:rsidRPr="00826574">
        <w:rPr>
          <w:i w:val="0"/>
        </w:rPr>
        <w:t xml:space="preserve">Method </w:t>
      </w:r>
    </w:p>
    <w:p w:rsidR="001A34B4" w:rsidRDefault="001A34B4" w:rsidP="001A34B4">
      <w:r>
        <w:t>The analytical approach, the methodology (</w:t>
      </w:r>
      <w:r w:rsidRPr="00A8645C">
        <w:t xml:space="preserve">including </w:t>
      </w:r>
      <w:r>
        <w:t xml:space="preserve">the modelling approach, </w:t>
      </w:r>
      <w:r w:rsidRPr="00A8645C">
        <w:t>definitions</w:t>
      </w:r>
      <w:r>
        <w:t xml:space="preserve"> of key terms,</w:t>
      </w:r>
      <w:r w:rsidRPr="00A8645C">
        <w:t xml:space="preserve"> </w:t>
      </w:r>
      <w:r>
        <w:t xml:space="preserve">data sources and assumptions) and results obtained for key input parameters </w:t>
      </w:r>
      <w:r w:rsidRPr="00916278">
        <w:t>are provided in full at Appendix 2.</w:t>
      </w:r>
      <w:r>
        <w:t xml:space="preserve">  </w:t>
      </w:r>
    </w:p>
    <w:p w:rsidR="001A34B4" w:rsidRDefault="001A34B4" w:rsidP="001A34B4">
      <w:pPr>
        <w:autoSpaceDE w:val="0"/>
        <w:autoSpaceDN w:val="0"/>
        <w:adjustRightInd w:val="0"/>
        <w:spacing w:before="120"/>
      </w:pPr>
      <w:r>
        <w:t>In broad terms, two primary costing approaches are applied:</w:t>
      </w:r>
    </w:p>
    <w:p w:rsidR="001A34B4" w:rsidRDefault="001A34B4" w:rsidP="001A34B4">
      <w:pPr>
        <w:numPr>
          <w:ilvl w:val="0"/>
          <w:numId w:val="6"/>
        </w:numPr>
        <w:autoSpaceDE w:val="0"/>
        <w:autoSpaceDN w:val="0"/>
        <w:adjustRightInd w:val="0"/>
        <w:spacing w:before="60" w:after="120"/>
        <w:ind w:left="1134" w:hanging="425"/>
      </w:pPr>
      <w:r>
        <w:t>A</w:t>
      </w:r>
      <w:r w:rsidRPr="00E114B9">
        <w:t>ssessment of the</w:t>
      </w:r>
      <w:r w:rsidRPr="006A1EEC">
        <w:t xml:space="preserve"> cost of the pilot</w:t>
      </w:r>
      <w:r>
        <w:t xml:space="preserve"> is based on a detailed bottom-up costing model of the screening pathway that determines unit costs for all key programme inputs and applies actual volumes of activity undertaken.  Primary data sources for this component are:</w:t>
      </w:r>
    </w:p>
    <w:p w:rsidR="001A34B4" w:rsidRPr="00F56A72" w:rsidRDefault="001A34B4" w:rsidP="001A34B4">
      <w:pPr>
        <w:pStyle w:val="Bullet"/>
        <w:numPr>
          <w:ilvl w:val="0"/>
          <w:numId w:val="13"/>
        </w:numPr>
        <w:tabs>
          <w:tab w:val="num" w:pos="2126"/>
          <w:tab w:val="num" w:pos="6663"/>
        </w:tabs>
        <w:rPr>
          <w:lang w:val="en-US"/>
        </w:rPr>
      </w:pPr>
      <w:r w:rsidRPr="00F56A72">
        <w:rPr>
          <w:b/>
          <w:lang w:val="en-US"/>
        </w:rPr>
        <w:t>Cost data:</w:t>
      </w:r>
      <w:r w:rsidRPr="00F56A72">
        <w:rPr>
          <w:lang w:val="en-US"/>
        </w:rPr>
        <w:t xml:space="preserve"> two detailed six month samples of actual cost data from the pilot; and cost data from the Ministry of Health.</w:t>
      </w:r>
    </w:p>
    <w:p w:rsidR="001A34B4" w:rsidRPr="00F56A72" w:rsidRDefault="001A34B4" w:rsidP="001A34B4">
      <w:pPr>
        <w:pStyle w:val="Bullet"/>
        <w:numPr>
          <w:ilvl w:val="0"/>
          <w:numId w:val="13"/>
        </w:numPr>
        <w:tabs>
          <w:tab w:val="num" w:pos="2126"/>
          <w:tab w:val="num" w:pos="6663"/>
        </w:tabs>
        <w:rPr>
          <w:lang w:val="en-US"/>
        </w:rPr>
      </w:pPr>
      <w:r w:rsidRPr="00F56A72">
        <w:rPr>
          <w:b/>
          <w:lang w:val="en-US"/>
        </w:rPr>
        <w:lastRenderedPageBreak/>
        <w:t>Volumes data:</w:t>
      </w:r>
      <w:r w:rsidRPr="00F56A72">
        <w:rPr>
          <w:lang w:val="en-US"/>
        </w:rPr>
        <w:t xml:space="preserve"> information reported by the BSP to the Ministry of Health on a bi-annual basis, identifying activity volumes for key parameters for the full two-year screening round; and data from the Ministry of Health published BSP monitoring indicators for the period to </w:t>
      </w:r>
      <w:r>
        <w:rPr>
          <w:lang w:val="en-US"/>
        </w:rPr>
        <w:t>December</w:t>
      </w:r>
      <w:r w:rsidRPr="00F56A72">
        <w:rPr>
          <w:lang w:val="en-US"/>
        </w:rPr>
        <w:t xml:space="preserve"> 2013.</w:t>
      </w:r>
    </w:p>
    <w:p w:rsidR="001A34B4" w:rsidRDefault="001A34B4" w:rsidP="001A34B4">
      <w:pPr>
        <w:numPr>
          <w:ilvl w:val="0"/>
          <w:numId w:val="6"/>
        </w:numPr>
        <w:autoSpaceDE w:val="0"/>
        <w:autoSpaceDN w:val="0"/>
        <w:adjustRightInd w:val="0"/>
        <w:spacing w:before="60" w:after="120"/>
        <w:ind w:left="1134" w:hanging="425"/>
      </w:pPr>
      <w:r>
        <w:t xml:space="preserve">Estimates of </w:t>
      </w:r>
      <w:r w:rsidRPr="006A1EEC">
        <w:t>costs associated with treatment of bowel cancers</w:t>
      </w:r>
      <w:r>
        <w:t xml:space="preserve"> detected as a result of the pilot are based on estimates of average NZ lifetime costs of treating bowel cancer diagnosed at different stages.  Primary data sources for this component are:</w:t>
      </w:r>
    </w:p>
    <w:p w:rsidR="001A34B4" w:rsidRPr="00F56A72" w:rsidRDefault="001A34B4" w:rsidP="001A34B4">
      <w:pPr>
        <w:pStyle w:val="Bullet"/>
        <w:numPr>
          <w:ilvl w:val="0"/>
          <w:numId w:val="13"/>
        </w:numPr>
        <w:tabs>
          <w:tab w:val="num" w:pos="2126"/>
          <w:tab w:val="num" w:pos="6663"/>
        </w:tabs>
        <w:rPr>
          <w:lang w:val="en-US"/>
        </w:rPr>
      </w:pPr>
      <w:r>
        <w:rPr>
          <w:lang w:val="en-US"/>
        </w:rPr>
        <w:t xml:space="preserve">A </w:t>
      </w:r>
      <w:r w:rsidRPr="00F56A72">
        <w:rPr>
          <w:lang w:val="en-US"/>
        </w:rPr>
        <w:t xml:space="preserve">data-extract </w:t>
      </w:r>
      <w:r>
        <w:rPr>
          <w:lang w:val="en-US"/>
        </w:rPr>
        <w:t xml:space="preserve">from Ministry of Health national data-sets </w:t>
      </w:r>
      <w:r w:rsidRPr="00F56A72">
        <w:rPr>
          <w:lang w:val="en-US"/>
        </w:rPr>
        <w:t>identif</w:t>
      </w:r>
      <w:r>
        <w:rPr>
          <w:lang w:val="en-US"/>
        </w:rPr>
        <w:t xml:space="preserve">ying </w:t>
      </w:r>
      <w:r w:rsidRPr="00F56A72">
        <w:rPr>
          <w:lang w:val="en-US"/>
        </w:rPr>
        <w:t xml:space="preserve">all publically funded health care activity for each New Zealander occurring from July 2006 - June 2011 with </w:t>
      </w:r>
      <w:r>
        <w:rPr>
          <w:lang w:val="en-US"/>
        </w:rPr>
        <w:t xml:space="preserve">national pricing applied; and </w:t>
      </w:r>
    </w:p>
    <w:p w:rsidR="001A34B4" w:rsidRDefault="001A34B4" w:rsidP="001A34B4">
      <w:pPr>
        <w:pStyle w:val="Bullet"/>
        <w:numPr>
          <w:ilvl w:val="0"/>
          <w:numId w:val="13"/>
        </w:numPr>
        <w:tabs>
          <w:tab w:val="num" w:pos="2126"/>
          <w:tab w:val="num" w:pos="6663"/>
        </w:tabs>
        <w:rPr>
          <w:lang w:val="en-US"/>
        </w:rPr>
      </w:pPr>
      <w:r w:rsidRPr="00F56A72">
        <w:rPr>
          <w:lang w:val="en-US"/>
        </w:rPr>
        <w:t xml:space="preserve">An extract from the New Zealand Cancer Registry (NZCR) from 2011 restricted to relevant ICD codes, to assess the distribution of bowel cancers diagnosed at each stage in New Zealand, prior to the introduction of the </w:t>
      </w:r>
      <w:r w:rsidR="009E39AE">
        <w:rPr>
          <w:lang w:val="en-US"/>
        </w:rPr>
        <w:t>BSP</w:t>
      </w:r>
      <w:r w:rsidRPr="00F56A72">
        <w:rPr>
          <w:lang w:val="en-US"/>
        </w:rPr>
        <w:t xml:space="preserve">.   </w:t>
      </w:r>
    </w:p>
    <w:p w:rsidR="001A34B4" w:rsidRDefault="001A34B4" w:rsidP="000C18B5">
      <w:pPr>
        <w:autoSpaceDE w:val="0"/>
        <w:autoSpaceDN w:val="0"/>
        <w:adjustRightInd w:val="0"/>
        <w:spacing w:before="120"/>
      </w:pPr>
      <w:r>
        <w:t xml:space="preserve">$ </w:t>
      </w:r>
      <w:proofErr w:type="gramStart"/>
      <w:r>
        <w:t>figures</w:t>
      </w:r>
      <w:proofErr w:type="gramEnd"/>
      <w:r>
        <w:t xml:space="preserve"> presented in this analysis are rounded to the nearest $1000 and quoted exclusive of GST.</w:t>
      </w:r>
    </w:p>
    <w:p w:rsidR="007C3D83" w:rsidRPr="00F04363" w:rsidRDefault="007C3D83" w:rsidP="00F04363">
      <w:pPr>
        <w:pStyle w:val="Heading3"/>
        <w:rPr>
          <w:i w:val="0"/>
        </w:rPr>
      </w:pPr>
      <w:bookmarkStart w:id="241" w:name="_Toc406582400"/>
      <w:r w:rsidRPr="00F04363">
        <w:rPr>
          <w:i w:val="0"/>
        </w:rPr>
        <w:t>Pilot development costs</w:t>
      </w:r>
      <w:bookmarkEnd w:id="241"/>
      <w:r w:rsidRPr="00F04363">
        <w:rPr>
          <w:i w:val="0"/>
        </w:rPr>
        <w:t xml:space="preserve"> </w:t>
      </w:r>
    </w:p>
    <w:p w:rsidR="007C3D83" w:rsidRDefault="007C3D83" w:rsidP="00F04363">
      <w:pPr>
        <w:autoSpaceDE w:val="0"/>
        <w:autoSpaceDN w:val="0"/>
        <w:adjustRightInd w:val="0"/>
        <w:spacing w:before="120"/>
      </w:pPr>
      <w:r>
        <w:t xml:space="preserve">The costs incurred to develop the pilot are estimated at </w:t>
      </w:r>
      <w:r w:rsidRPr="00F04363">
        <w:t>$3.148 million</w:t>
      </w:r>
      <w:r>
        <w:t xml:space="preserve">. The main elements of this estimate are: the contract with </w:t>
      </w:r>
      <w:r w:rsidR="00C50739">
        <w:t>WDHB</w:t>
      </w:r>
      <w:r>
        <w:t xml:space="preserve"> to plan for the implementation of the pilot during 2011 ($1.346 million); and the design and build of the pilot register ($1.608 million).  The estimate of development costs also includes expenditure incurred by the Ministry of Health in the development of promotional materials ($164,000). It does not include the cost of Ministry of Health staff time to produce the business case for the pilot.</w:t>
      </w:r>
    </w:p>
    <w:p w:rsidR="007C3D83" w:rsidRPr="00FD4FDE" w:rsidRDefault="007C3D83" w:rsidP="00FD4FDE">
      <w:pPr>
        <w:pStyle w:val="Heading3"/>
        <w:rPr>
          <w:i w:val="0"/>
        </w:rPr>
      </w:pPr>
      <w:bookmarkStart w:id="242" w:name="_Toc406582401"/>
      <w:r w:rsidRPr="00FD4FDE">
        <w:rPr>
          <w:i w:val="0"/>
        </w:rPr>
        <w:t>Pilot operating costs</w:t>
      </w:r>
      <w:bookmarkEnd w:id="242"/>
    </w:p>
    <w:p w:rsidR="007C3D83" w:rsidRDefault="00015F19" w:rsidP="00F04363">
      <w:pPr>
        <w:autoSpaceDE w:val="0"/>
        <w:autoSpaceDN w:val="0"/>
        <w:adjustRightInd w:val="0"/>
        <w:spacing w:before="120"/>
      </w:pPr>
      <w:r>
        <w:t>F</w:t>
      </w:r>
      <w:r w:rsidR="007C3D83">
        <w:t xml:space="preserve">rom the sample cost data we estimated that the total operating cost </w:t>
      </w:r>
      <w:r w:rsidR="007C3D83" w:rsidRPr="007549FF">
        <w:t xml:space="preserve">for </w:t>
      </w:r>
      <w:r w:rsidR="007C3D83">
        <w:t>the</w:t>
      </w:r>
      <w:r w:rsidR="007C3D83" w:rsidRPr="007549FF">
        <w:t xml:space="preserve"> twelve-month period</w:t>
      </w:r>
      <w:r w:rsidR="007C3D83">
        <w:t xml:space="preserve"> financial year 2012/13 was </w:t>
      </w:r>
      <w:r w:rsidR="007C3D83" w:rsidRPr="00F04363">
        <w:t>$5.580 million</w:t>
      </w:r>
      <w:r w:rsidR="007C3D83" w:rsidRPr="007549FF">
        <w:t>.</w:t>
      </w:r>
      <w:r w:rsidR="007C3D83">
        <w:t xml:space="preserve">  </w:t>
      </w:r>
      <w:r>
        <w:t>T</w:t>
      </w:r>
      <w:r w:rsidR="007C3D83">
        <w:t xml:space="preserve">he total annual operating costs were extrapolated for the preceding and following six months, as illustrated in </w:t>
      </w:r>
      <w:r w:rsidR="007C3D83" w:rsidRPr="00F04363">
        <w:fldChar w:fldCharType="begin"/>
      </w:r>
      <w:r w:rsidR="007C3D83" w:rsidRPr="00F04363">
        <w:instrText xml:space="preserve"> REF _Ref386380100 \h </w:instrText>
      </w:r>
      <w:r w:rsidR="00F04363" w:rsidRPr="00F04363">
        <w:instrText xml:space="preserve"> \* MERGEFORMAT </w:instrText>
      </w:r>
      <w:r w:rsidR="007C3D83" w:rsidRPr="00F04363">
        <w:fldChar w:fldCharType="separate"/>
      </w:r>
      <w:r w:rsidR="00957CD0">
        <w:t xml:space="preserve">Figure </w:t>
      </w:r>
      <w:r w:rsidR="007C3D83" w:rsidRPr="00F04363">
        <w:fldChar w:fldCharType="end"/>
      </w:r>
      <w:r w:rsidR="00F04363" w:rsidRPr="00F04363">
        <w:t>15</w:t>
      </w:r>
      <w:r w:rsidR="007C3D83" w:rsidRPr="00F04363">
        <w:t>.</w:t>
      </w:r>
    </w:p>
    <w:p w:rsidR="007C3D83" w:rsidRDefault="007C3D83" w:rsidP="00F04363">
      <w:pPr>
        <w:pStyle w:val="Figure"/>
      </w:pPr>
      <w:bookmarkStart w:id="243" w:name="_Ref386380100"/>
      <w:bookmarkStart w:id="244" w:name="_Ref387910945"/>
      <w:bookmarkStart w:id="245" w:name="_Toc406582454"/>
      <w:bookmarkStart w:id="246" w:name="_Toc412540142"/>
      <w:r>
        <w:lastRenderedPageBreak/>
        <w:t xml:space="preserve">Figure </w:t>
      </w:r>
      <w:bookmarkEnd w:id="243"/>
      <w:r w:rsidR="00F04363">
        <w:t>15</w:t>
      </w:r>
      <w:r>
        <w:t>: Estimated operating cost of the pilot – four six-month periods</w:t>
      </w:r>
      <w:bookmarkEnd w:id="244"/>
      <w:bookmarkEnd w:id="245"/>
      <w:bookmarkEnd w:id="246"/>
    </w:p>
    <w:p w:rsidR="007C3D83" w:rsidRDefault="007C3D83" w:rsidP="00F04363">
      <w:pPr>
        <w:pStyle w:val="UnnumtextBodytext"/>
        <w:ind w:left="709" w:hanging="142"/>
        <w:rPr>
          <w:b/>
          <w:bCs/>
          <w:lang w:eastAsia="en-GB"/>
        </w:rPr>
      </w:pPr>
      <w:bookmarkStart w:id="247" w:name="_Toc393369429"/>
      <w:bookmarkStart w:id="248" w:name="_Toc393371047"/>
      <w:r>
        <w:rPr>
          <w:noProof/>
        </w:rPr>
        <w:drawing>
          <wp:inline distT="0" distB="0" distL="0" distR="0" wp14:anchorId="1B0E3699" wp14:editId="0B515D1C">
            <wp:extent cx="4982321" cy="3227294"/>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7618" cy="3237203"/>
                    </a:xfrm>
                    <a:prstGeom prst="rect">
                      <a:avLst/>
                    </a:prstGeom>
                    <a:noFill/>
                  </pic:spPr>
                </pic:pic>
              </a:graphicData>
            </a:graphic>
          </wp:inline>
        </w:drawing>
      </w:r>
      <w:bookmarkEnd w:id="247"/>
      <w:bookmarkEnd w:id="248"/>
    </w:p>
    <w:p w:rsidR="00957CD0" w:rsidRPr="00F04363" w:rsidRDefault="007C3D83" w:rsidP="000B1408">
      <w:r w:rsidRPr="00F04363">
        <w:fldChar w:fldCharType="begin"/>
      </w:r>
      <w:r w:rsidRPr="00F04363">
        <w:instrText xml:space="preserve"> REF _Ref397026311 \h  \* MERGEFORMAT </w:instrText>
      </w:r>
      <w:r w:rsidRPr="00F04363">
        <w:fldChar w:fldCharType="separate"/>
      </w:r>
    </w:p>
    <w:p w:rsidR="007C3D83" w:rsidRPr="00F04363" w:rsidRDefault="00957CD0" w:rsidP="000B1408">
      <w:r w:rsidRPr="007C0659">
        <w:t xml:space="preserve">Table </w:t>
      </w:r>
      <w:r>
        <w:t>11</w:t>
      </w:r>
      <w:r w:rsidR="007C3D83" w:rsidRPr="00F04363">
        <w:fldChar w:fldCharType="end"/>
      </w:r>
      <w:r w:rsidR="007C3D83" w:rsidRPr="00F04363">
        <w:t xml:space="preserve"> </w:t>
      </w:r>
      <w:r w:rsidR="007C3D83" w:rsidRPr="00F04363">
        <w:fldChar w:fldCharType="begin"/>
      </w:r>
      <w:r w:rsidR="007C3D83" w:rsidRPr="00F04363">
        <w:instrText xml:space="preserve"> REF _Ref390343419 \p \h  \* MERGEFORMAT </w:instrText>
      </w:r>
      <w:r w:rsidR="007C3D83" w:rsidRPr="00F04363">
        <w:fldChar w:fldCharType="separate"/>
      </w:r>
      <w:r>
        <w:t>below</w:t>
      </w:r>
      <w:r w:rsidR="007C3D83" w:rsidRPr="00F04363">
        <w:fldChar w:fldCharType="end"/>
      </w:r>
      <w:r w:rsidR="007C3D83" w:rsidRPr="00F04363">
        <w:t xml:space="preserve"> provides a summary of all costs for the development and implementation of the first screening round, during 2012 and 2013.</w:t>
      </w:r>
      <w:bookmarkStart w:id="249" w:name="_Ref388529067"/>
      <w:bookmarkStart w:id="250" w:name="_Ref390343419"/>
      <w:r w:rsidR="007C3D83" w:rsidRPr="00F04363">
        <w:t xml:space="preserve"> This excludes treatment costs.</w:t>
      </w:r>
      <w:bookmarkStart w:id="251" w:name="_Ref397026311"/>
    </w:p>
    <w:p w:rsidR="007C3D83" w:rsidRDefault="007C3D83" w:rsidP="00EF52CA">
      <w:pPr>
        <w:pStyle w:val="Table"/>
        <w:spacing w:before="240"/>
      </w:pPr>
      <w:bookmarkStart w:id="252" w:name="_Ref406579706"/>
      <w:bookmarkStart w:id="253" w:name="_Ref406579724"/>
      <w:bookmarkStart w:id="254" w:name="_Toc406582437"/>
      <w:bookmarkStart w:id="255" w:name="_Toc412540164"/>
      <w:r w:rsidRPr="007C0659">
        <w:t xml:space="preserve">Table </w:t>
      </w:r>
      <w:r w:rsidR="000B1408">
        <w:t>11</w:t>
      </w:r>
      <w:bookmarkEnd w:id="249"/>
      <w:bookmarkEnd w:id="251"/>
      <w:bookmarkEnd w:id="252"/>
      <w:r w:rsidRPr="007C0659">
        <w:t>: Summary of costs for the first screening round</w:t>
      </w:r>
      <w:bookmarkEnd w:id="250"/>
      <w:bookmarkEnd w:id="253"/>
      <w:bookmarkEnd w:id="254"/>
      <w:bookmarkEnd w:id="255"/>
    </w:p>
    <w:tbl>
      <w:tblPr>
        <w:tblStyle w:val="TableSapereGrid"/>
        <w:tblW w:w="8363" w:type="dxa"/>
        <w:tblInd w:w="817" w:type="dxa"/>
        <w:tblLayout w:type="fixed"/>
        <w:tblLook w:val="04A0" w:firstRow="1" w:lastRow="0" w:firstColumn="1" w:lastColumn="0" w:noHBand="0" w:noVBand="1"/>
      </w:tblPr>
      <w:tblGrid>
        <w:gridCol w:w="2302"/>
        <w:gridCol w:w="1984"/>
        <w:gridCol w:w="2038"/>
        <w:gridCol w:w="2039"/>
      </w:tblGrid>
      <w:tr w:rsidR="007C3D83" w:rsidRPr="00015F19" w:rsidTr="00015F19">
        <w:trPr>
          <w:cnfStyle w:val="100000000000" w:firstRow="1" w:lastRow="0" w:firstColumn="0" w:lastColumn="0" w:oddVBand="0" w:evenVBand="0" w:oddHBand="0" w:evenHBand="0" w:firstRowFirstColumn="0" w:firstRowLastColumn="0" w:lastRowFirstColumn="0" w:lastRowLastColumn="0"/>
          <w:trHeight w:val="672"/>
        </w:trPr>
        <w:tc>
          <w:tcPr>
            <w:tcW w:w="2302" w:type="dxa"/>
            <w:tcMar>
              <w:top w:w="85" w:type="dxa"/>
              <w:bottom w:w="85" w:type="dxa"/>
            </w:tcMar>
          </w:tcPr>
          <w:p w:rsidR="007C3D83" w:rsidRPr="00015F19" w:rsidRDefault="007C3D83" w:rsidP="009074CB">
            <w:pPr>
              <w:pStyle w:val="Caption"/>
              <w:spacing w:before="60" w:after="20" w:line="240" w:lineRule="auto"/>
              <w:jc w:val="center"/>
              <w:rPr>
                <w:rFonts w:ascii="Arial" w:hAnsi="Arial" w:cs="Arial"/>
                <w:color w:val="FFFFFF" w:themeColor="background1"/>
                <w:sz w:val="20"/>
                <w:szCs w:val="20"/>
                <w:lang w:eastAsia="en-GB"/>
              </w:rPr>
            </w:pPr>
          </w:p>
        </w:tc>
        <w:tc>
          <w:tcPr>
            <w:tcW w:w="1984" w:type="dxa"/>
            <w:tcMar>
              <w:top w:w="85" w:type="dxa"/>
              <w:bottom w:w="85" w:type="dxa"/>
            </w:tcMar>
          </w:tcPr>
          <w:p w:rsidR="007C3D83" w:rsidRPr="00015F19" w:rsidRDefault="007C3D83" w:rsidP="009074CB">
            <w:pPr>
              <w:pStyle w:val="Caption"/>
              <w:spacing w:before="60" w:after="20" w:line="240" w:lineRule="auto"/>
              <w:jc w:val="center"/>
              <w:rPr>
                <w:rFonts w:ascii="Arial" w:hAnsi="Arial" w:cs="Arial"/>
                <w:color w:val="FFFFFF" w:themeColor="background1"/>
                <w:sz w:val="20"/>
                <w:szCs w:val="20"/>
                <w:lang w:eastAsia="en-GB"/>
              </w:rPr>
            </w:pPr>
            <w:r w:rsidRPr="00015F19">
              <w:rPr>
                <w:rFonts w:ascii="Arial" w:hAnsi="Arial" w:cs="Arial"/>
                <w:color w:val="FFFFFF" w:themeColor="background1"/>
                <w:sz w:val="20"/>
                <w:szCs w:val="20"/>
                <w:lang w:eastAsia="en-GB"/>
              </w:rPr>
              <w:t>Development phase</w:t>
            </w:r>
          </w:p>
        </w:tc>
        <w:tc>
          <w:tcPr>
            <w:tcW w:w="2038" w:type="dxa"/>
            <w:tcMar>
              <w:top w:w="85" w:type="dxa"/>
              <w:bottom w:w="85" w:type="dxa"/>
            </w:tcMar>
          </w:tcPr>
          <w:p w:rsidR="007C3D83" w:rsidRPr="00015F19" w:rsidRDefault="007C3D83" w:rsidP="009074CB">
            <w:pPr>
              <w:pStyle w:val="Caption"/>
              <w:spacing w:before="60" w:after="20" w:line="240" w:lineRule="auto"/>
              <w:jc w:val="center"/>
              <w:rPr>
                <w:rFonts w:ascii="Arial" w:hAnsi="Arial" w:cs="Arial"/>
                <w:color w:val="FFFFFF" w:themeColor="background1"/>
                <w:sz w:val="20"/>
                <w:szCs w:val="20"/>
                <w:lang w:eastAsia="en-GB"/>
              </w:rPr>
            </w:pPr>
            <w:r w:rsidRPr="00015F19">
              <w:rPr>
                <w:rFonts w:ascii="Arial" w:hAnsi="Arial" w:cs="Arial"/>
                <w:color w:val="FFFFFF" w:themeColor="background1"/>
                <w:sz w:val="20"/>
                <w:szCs w:val="20"/>
                <w:lang w:eastAsia="en-GB"/>
              </w:rPr>
              <w:t>Year 1 (2012)</w:t>
            </w:r>
          </w:p>
        </w:tc>
        <w:tc>
          <w:tcPr>
            <w:tcW w:w="2039" w:type="dxa"/>
            <w:tcMar>
              <w:top w:w="85" w:type="dxa"/>
              <w:bottom w:w="85" w:type="dxa"/>
            </w:tcMar>
          </w:tcPr>
          <w:p w:rsidR="007C3D83" w:rsidRPr="00015F19" w:rsidRDefault="007C3D83" w:rsidP="009074CB">
            <w:pPr>
              <w:pStyle w:val="Caption"/>
              <w:spacing w:before="60" w:after="20" w:line="240" w:lineRule="auto"/>
              <w:jc w:val="center"/>
              <w:rPr>
                <w:rFonts w:ascii="Arial" w:hAnsi="Arial" w:cs="Arial"/>
                <w:color w:val="FFFFFF" w:themeColor="background1"/>
                <w:sz w:val="20"/>
                <w:szCs w:val="20"/>
                <w:lang w:eastAsia="en-GB"/>
              </w:rPr>
            </w:pPr>
            <w:r w:rsidRPr="00015F19">
              <w:rPr>
                <w:rFonts w:ascii="Arial" w:hAnsi="Arial" w:cs="Arial"/>
                <w:color w:val="FFFFFF" w:themeColor="background1"/>
                <w:sz w:val="20"/>
                <w:szCs w:val="20"/>
                <w:lang w:eastAsia="en-GB"/>
              </w:rPr>
              <w:t>Year 2 (2013)</w:t>
            </w:r>
          </w:p>
        </w:tc>
      </w:tr>
      <w:tr w:rsidR="007C3D83" w:rsidRPr="00015F19" w:rsidTr="00015F19">
        <w:tc>
          <w:tcPr>
            <w:tcW w:w="2302" w:type="dxa"/>
            <w:tcBorders>
              <w:bottom w:val="single" w:sz="4" w:space="0" w:color="7B5E05"/>
            </w:tcBorders>
            <w:tcMar>
              <w:top w:w="85" w:type="dxa"/>
              <w:bottom w:w="85" w:type="dxa"/>
            </w:tcMar>
          </w:tcPr>
          <w:p w:rsidR="007C3D83" w:rsidRPr="00015F19" w:rsidRDefault="007C3D83" w:rsidP="009074CB">
            <w:pPr>
              <w:pStyle w:val="Caption"/>
              <w:spacing w:before="20" w:after="20" w:line="240" w:lineRule="auto"/>
              <w:rPr>
                <w:rFonts w:ascii="Arial" w:hAnsi="Arial" w:cs="Arial"/>
                <w:sz w:val="20"/>
                <w:szCs w:val="20"/>
                <w:lang w:eastAsia="en-GB"/>
              </w:rPr>
            </w:pPr>
            <w:r w:rsidRPr="00015F19">
              <w:rPr>
                <w:rFonts w:ascii="Arial" w:hAnsi="Arial" w:cs="Arial"/>
                <w:sz w:val="20"/>
                <w:szCs w:val="20"/>
                <w:lang w:eastAsia="en-GB"/>
              </w:rPr>
              <w:t>Development costs</w:t>
            </w:r>
          </w:p>
        </w:tc>
        <w:tc>
          <w:tcPr>
            <w:tcW w:w="1984" w:type="dxa"/>
            <w:tcBorders>
              <w:bottom w:val="single" w:sz="4" w:space="0" w:color="7B5E05"/>
            </w:tcBorders>
            <w:tcMar>
              <w:top w:w="85" w:type="dxa"/>
              <w:bottom w:w="85" w:type="dxa"/>
            </w:tcMar>
          </w:tcPr>
          <w:p w:rsidR="007C3D83" w:rsidRPr="00015F19" w:rsidRDefault="007C3D83" w:rsidP="009074CB">
            <w:pPr>
              <w:pStyle w:val="Caption"/>
              <w:spacing w:before="20" w:after="20" w:line="240" w:lineRule="auto"/>
              <w:jc w:val="right"/>
              <w:rPr>
                <w:rFonts w:ascii="Arial" w:hAnsi="Arial" w:cs="Arial"/>
                <w:b w:val="0"/>
                <w:color w:val="7B5E05"/>
                <w:sz w:val="20"/>
                <w:szCs w:val="20"/>
                <w:lang w:eastAsia="en-GB"/>
              </w:rPr>
            </w:pPr>
            <w:r w:rsidRPr="00015F19">
              <w:rPr>
                <w:rFonts w:ascii="Arial" w:hAnsi="Arial" w:cs="Arial"/>
                <w:sz w:val="20"/>
                <w:szCs w:val="20"/>
                <w:lang w:eastAsia="en-GB"/>
              </w:rPr>
              <w:t>$3,148,000</w:t>
            </w:r>
          </w:p>
        </w:tc>
        <w:tc>
          <w:tcPr>
            <w:tcW w:w="2038" w:type="dxa"/>
            <w:tcBorders>
              <w:bottom w:val="single" w:sz="4" w:space="0" w:color="7B5E05"/>
            </w:tcBorders>
            <w:tcMar>
              <w:top w:w="85" w:type="dxa"/>
              <w:bottom w:w="85" w:type="dxa"/>
            </w:tcMar>
          </w:tcPr>
          <w:p w:rsidR="007C3D83" w:rsidRPr="00015F19" w:rsidRDefault="007C3D83" w:rsidP="009074CB">
            <w:pPr>
              <w:pStyle w:val="Caption"/>
              <w:spacing w:before="20" w:after="20" w:line="240" w:lineRule="auto"/>
              <w:jc w:val="right"/>
              <w:rPr>
                <w:rFonts w:ascii="Arial" w:hAnsi="Arial" w:cs="Arial"/>
                <w:sz w:val="20"/>
                <w:szCs w:val="20"/>
                <w:lang w:eastAsia="en-GB"/>
              </w:rPr>
            </w:pPr>
          </w:p>
        </w:tc>
        <w:tc>
          <w:tcPr>
            <w:tcW w:w="2039" w:type="dxa"/>
            <w:tcBorders>
              <w:bottom w:val="single" w:sz="4" w:space="0" w:color="7B5E05"/>
            </w:tcBorders>
            <w:tcMar>
              <w:top w:w="85" w:type="dxa"/>
              <w:bottom w:w="85" w:type="dxa"/>
            </w:tcMar>
          </w:tcPr>
          <w:p w:rsidR="007C3D83" w:rsidRPr="00015F19" w:rsidRDefault="007C3D83" w:rsidP="009074CB">
            <w:pPr>
              <w:pStyle w:val="Caption"/>
              <w:spacing w:before="20" w:after="20" w:line="240" w:lineRule="auto"/>
              <w:jc w:val="right"/>
              <w:rPr>
                <w:rFonts w:ascii="Arial" w:hAnsi="Arial" w:cs="Arial"/>
                <w:sz w:val="20"/>
                <w:szCs w:val="20"/>
                <w:lang w:eastAsia="en-GB"/>
              </w:rPr>
            </w:pPr>
          </w:p>
        </w:tc>
      </w:tr>
      <w:tr w:rsidR="007C3D83" w:rsidRPr="00015F19" w:rsidTr="00015F19">
        <w:trPr>
          <w:trHeight w:val="194"/>
        </w:trPr>
        <w:tc>
          <w:tcPr>
            <w:tcW w:w="8363" w:type="dxa"/>
            <w:gridSpan w:val="4"/>
            <w:shd w:val="clear" w:color="auto" w:fill="BFBFBF" w:themeFill="background1" w:themeFillShade="BF"/>
            <w:tcMar>
              <w:top w:w="85" w:type="dxa"/>
              <w:bottom w:w="85" w:type="dxa"/>
            </w:tcMar>
            <w:vAlign w:val="bottom"/>
          </w:tcPr>
          <w:p w:rsidR="007C3D83" w:rsidRPr="00015F19" w:rsidRDefault="007C3D83" w:rsidP="009074CB">
            <w:pPr>
              <w:pStyle w:val="Caption"/>
              <w:spacing w:before="20" w:after="20" w:line="240" w:lineRule="auto"/>
              <w:rPr>
                <w:rFonts w:ascii="Arial" w:hAnsi="Arial" w:cs="Arial"/>
                <w:b w:val="0"/>
                <w:color w:val="7B5E05"/>
                <w:sz w:val="20"/>
                <w:szCs w:val="20"/>
                <w:lang w:eastAsia="en-GB"/>
              </w:rPr>
            </w:pPr>
            <w:r w:rsidRPr="00015F19">
              <w:rPr>
                <w:rFonts w:ascii="Arial" w:hAnsi="Arial" w:cs="Arial"/>
                <w:sz w:val="20"/>
                <w:szCs w:val="20"/>
                <w:lang w:eastAsia="en-GB"/>
              </w:rPr>
              <w:t>Operating costs</w:t>
            </w:r>
          </w:p>
        </w:tc>
      </w:tr>
      <w:tr w:rsidR="007C3D83" w:rsidRPr="00015F19" w:rsidTr="00015F19">
        <w:tc>
          <w:tcPr>
            <w:tcW w:w="2302" w:type="dxa"/>
            <w:tcMar>
              <w:top w:w="85" w:type="dxa"/>
              <w:bottom w:w="85" w:type="dxa"/>
            </w:tcMar>
            <w:vAlign w:val="bottom"/>
          </w:tcPr>
          <w:p w:rsidR="007C3D83" w:rsidRPr="00015F19" w:rsidRDefault="007C3D83" w:rsidP="009074CB">
            <w:pPr>
              <w:pStyle w:val="Caption"/>
              <w:spacing w:before="20" w:after="20" w:line="240" w:lineRule="auto"/>
              <w:rPr>
                <w:rFonts w:ascii="Arial" w:hAnsi="Arial" w:cs="Arial"/>
                <w:sz w:val="20"/>
                <w:szCs w:val="20"/>
                <w:lang w:eastAsia="en-GB"/>
              </w:rPr>
            </w:pPr>
            <w:r w:rsidRPr="00015F19">
              <w:rPr>
                <w:rFonts w:ascii="Arial" w:hAnsi="Arial" w:cs="Arial"/>
                <w:sz w:val="20"/>
                <w:szCs w:val="20"/>
                <w:lang w:eastAsia="en-GB"/>
              </w:rPr>
              <w:t xml:space="preserve">Fixed </w:t>
            </w:r>
          </w:p>
        </w:tc>
        <w:tc>
          <w:tcPr>
            <w:tcW w:w="1984" w:type="dxa"/>
            <w:tcMar>
              <w:top w:w="85" w:type="dxa"/>
              <w:bottom w:w="85" w:type="dxa"/>
            </w:tcMar>
          </w:tcPr>
          <w:p w:rsidR="007C3D83" w:rsidRPr="00015F19" w:rsidRDefault="007C3D83" w:rsidP="009074CB">
            <w:pPr>
              <w:pStyle w:val="Caption"/>
              <w:spacing w:before="20" w:after="20" w:line="240" w:lineRule="auto"/>
              <w:jc w:val="right"/>
              <w:rPr>
                <w:rFonts w:ascii="Arial" w:hAnsi="Arial" w:cs="Arial"/>
                <w:sz w:val="20"/>
                <w:szCs w:val="20"/>
                <w:lang w:eastAsia="en-GB"/>
              </w:rPr>
            </w:pPr>
          </w:p>
        </w:tc>
        <w:tc>
          <w:tcPr>
            <w:tcW w:w="2038" w:type="dxa"/>
            <w:tcMar>
              <w:top w:w="85" w:type="dxa"/>
              <w:bottom w:w="85" w:type="dxa"/>
            </w:tcMar>
          </w:tcPr>
          <w:p w:rsidR="007C3D83" w:rsidRPr="00015F19" w:rsidRDefault="007C3D83" w:rsidP="009074CB">
            <w:pPr>
              <w:spacing w:before="20" w:after="20"/>
              <w:jc w:val="right"/>
              <w:rPr>
                <w:rFonts w:cs="Arial"/>
                <w:b/>
                <w:color w:val="7B5E05"/>
                <w:sz w:val="20"/>
                <w:szCs w:val="20"/>
              </w:rPr>
            </w:pPr>
            <w:r w:rsidRPr="00015F19">
              <w:rPr>
                <w:rFonts w:cs="Arial"/>
                <w:sz w:val="20"/>
                <w:szCs w:val="20"/>
              </w:rPr>
              <w:t xml:space="preserve"> $2,780,000 </w:t>
            </w:r>
          </w:p>
        </w:tc>
        <w:tc>
          <w:tcPr>
            <w:tcW w:w="2039" w:type="dxa"/>
            <w:tcMar>
              <w:top w:w="85" w:type="dxa"/>
              <w:bottom w:w="85" w:type="dxa"/>
            </w:tcMar>
          </w:tcPr>
          <w:p w:rsidR="007C3D83" w:rsidRPr="00015F19" w:rsidRDefault="007C3D83" w:rsidP="009074CB">
            <w:pPr>
              <w:pStyle w:val="Caption"/>
              <w:spacing w:before="20" w:after="20" w:line="240" w:lineRule="auto"/>
              <w:jc w:val="right"/>
              <w:rPr>
                <w:rFonts w:ascii="Arial" w:hAnsi="Arial" w:cs="Arial"/>
                <w:b w:val="0"/>
                <w:color w:val="7B5E05"/>
                <w:sz w:val="20"/>
                <w:szCs w:val="20"/>
                <w:lang w:eastAsia="en-GB"/>
              </w:rPr>
            </w:pPr>
            <w:r w:rsidRPr="00015F19">
              <w:rPr>
                <w:rFonts w:ascii="Arial" w:hAnsi="Arial" w:cs="Arial"/>
                <w:b w:val="0"/>
                <w:sz w:val="20"/>
                <w:szCs w:val="20"/>
              </w:rPr>
              <w:t xml:space="preserve"> $2,651,000 </w:t>
            </w:r>
          </w:p>
        </w:tc>
      </w:tr>
      <w:tr w:rsidR="007C3D83" w:rsidRPr="00015F19" w:rsidTr="00015F19">
        <w:tc>
          <w:tcPr>
            <w:tcW w:w="2302" w:type="dxa"/>
            <w:tcMar>
              <w:top w:w="85" w:type="dxa"/>
              <w:bottom w:w="85" w:type="dxa"/>
            </w:tcMar>
          </w:tcPr>
          <w:p w:rsidR="007C3D83" w:rsidRPr="00015F19" w:rsidRDefault="007C3D83" w:rsidP="009074CB">
            <w:pPr>
              <w:pStyle w:val="Caption"/>
              <w:spacing w:before="20" w:after="20" w:line="240" w:lineRule="auto"/>
              <w:rPr>
                <w:rFonts w:ascii="Arial" w:hAnsi="Arial" w:cs="Arial"/>
                <w:b w:val="0"/>
                <w:color w:val="7B5E05"/>
                <w:sz w:val="20"/>
                <w:szCs w:val="20"/>
                <w:lang w:eastAsia="en-GB"/>
              </w:rPr>
            </w:pPr>
            <w:r w:rsidRPr="00015F19">
              <w:rPr>
                <w:rFonts w:ascii="Arial" w:hAnsi="Arial" w:cs="Arial"/>
                <w:sz w:val="20"/>
                <w:szCs w:val="20"/>
                <w:lang w:eastAsia="en-GB"/>
              </w:rPr>
              <w:t>Variable</w:t>
            </w:r>
          </w:p>
        </w:tc>
        <w:tc>
          <w:tcPr>
            <w:tcW w:w="1984" w:type="dxa"/>
            <w:tcMar>
              <w:top w:w="85" w:type="dxa"/>
              <w:bottom w:w="85" w:type="dxa"/>
            </w:tcMar>
          </w:tcPr>
          <w:p w:rsidR="007C3D83" w:rsidRPr="00015F19" w:rsidRDefault="007C3D83" w:rsidP="009074CB">
            <w:pPr>
              <w:pStyle w:val="Caption"/>
              <w:spacing w:before="20" w:after="20" w:line="240" w:lineRule="auto"/>
              <w:jc w:val="right"/>
              <w:rPr>
                <w:rFonts w:ascii="Arial" w:hAnsi="Arial" w:cs="Arial"/>
                <w:sz w:val="20"/>
                <w:szCs w:val="20"/>
                <w:lang w:eastAsia="en-GB"/>
              </w:rPr>
            </w:pPr>
          </w:p>
        </w:tc>
        <w:tc>
          <w:tcPr>
            <w:tcW w:w="2038" w:type="dxa"/>
            <w:tcMar>
              <w:top w:w="85" w:type="dxa"/>
              <w:bottom w:w="85" w:type="dxa"/>
            </w:tcMar>
          </w:tcPr>
          <w:p w:rsidR="007C3D83" w:rsidRPr="00015F19" w:rsidRDefault="007C3D83" w:rsidP="009074CB">
            <w:pPr>
              <w:spacing w:before="20" w:after="20"/>
              <w:jc w:val="right"/>
              <w:rPr>
                <w:rFonts w:cs="Arial"/>
                <w:b/>
                <w:color w:val="7B5E05"/>
                <w:sz w:val="20"/>
                <w:szCs w:val="20"/>
              </w:rPr>
            </w:pPr>
            <w:r w:rsidRPr="00015F19">
              <w:rPr>
                <w:rFonts w:cs="Arial"/>
                <w:sz w:val="20"/>
                <w:szCs w:val="20"/>
              </w:rPr>
              <w:t xml:space="preserve"> $1,653,000 </w:t>
            </w:r>
          </w:p>
        </w:tc>
        <w:tc>
          <w:tcPr>
            <w:tcW w:w="2039" w:type="dxa"/>
            <w:tcMar>
              <w:top w:w="85" w:type="dxa"/>
              <w:bottom w:w="85" w:type="dxa"/>
            </w:tcMar>
          </w:tcPr>
          <w:p w:rsidR="007C3D83" w:rsidRPr="00015F19" w:rsidRDefault="007C3D83" w:rsidP="009074CB">
            <w:pPr>
              <w:pStyle w:val="Caption"/>
              <w:spacing w:before="20" w:after="20" w:line="240" w:lineRule="auto"/>
              <w:jc w:val="right"/>
              <w:rPr>
                <w:rFonts w:ascii="Arial" w:hAnsi="Arial" w:cs="Arial"/>
                <w:b w:val="0"/>
                <w:color w:val="7B5E05"/>
                <w:sz w:val="20"/>
                <w:szCs w:val="20"/>
                <w:lang w:eastAsia="en-GB"/>
              </w:rPr>
            </w:pPr>
            <w:r w:rsidRPr="00015F19">
              <w:rPr>
                <w:rFonts w:ascii="Arial" w:hAnsi="Arial" w:cs="Arial"/>
                <w:b w:val="0"/>
                <w:sz w:val="20"/>
                <w:szCs w:val="20"/>
              </w:rPr>
              <w:t xml:space="preserve"> $2,520,000 </w:t>
            </w:r>
          </w:p>
        </w:tc>
      </w:tr>
      <w:tr w:rsidR="007C3D83" w:rsidRPr="00015F19" w:rsidTr="00015F19">
        <w:tc>
          <w:tcPr>
            <w:tcW w:w="2302" w:type="dxa"/>
            <w:tcBorders>
              <w:bottom w:val="single" w:sz="4" w:space="0" w:color="7B5E05"/>
            </w:tcBorders>
            <w:tcMar>
              <w:top w:w="85" w:type="dxa"/>
              <w:bottom w:w="85" w:type="dxa"/>
            </w:tcMar>
          </w:tcPr>
          <w:p w:rsidR="007C3D83" w:rsidRPr="00015F19" w:rsidRDefault="007C3D83" w:rsidP="009074CB">
            <w:pPr>
              <w:pStyle w:val="Caption"/>
              <w:spacing w:before="20" w:after="20" w:line="240" w:lineRule="auto"/>
              <w:jc w:val="right"/>
              <w:rPr>
                <w:rFonts w:ascii="Arial" w:hAnsi="Arial" w:cs="Arial"/>
                <w:b w:val="0"/>
                <w:color w:val="7B5E05"/>
                <w:sz w:val="20"/>
                <w:szCs w:val="20"/>
                <w:lang w:eastAsia="en-GB"/>
              </w:rPr>
            </w:pPr>
            <w:r w:rsidRPr="00015F19">
              <w:rPr>
                <w:rFonts w:ascii="Arial" w:hAnsi="Arial" w:cs="Arial"/>
                <w:sz w:val="20"/>
                <w:szCs w:val="20"/>
                <w:lang w:eastAsia="en-GB"/>
              </w:rPr>
              <w:t>Sub total</w:t>
            </w:r>
          </w:p>
        </w:tc>
        <w:tc>
          <w:tcPr>
            <w:tcW w:w="1984" w:type="dxa"/>
            <w:tcBorders>
              <w:bottom w:val="single" w:sz="4" w:space="0" w:color="7B5E05"/>
            </w:tcBorders>
            <w:tcMar>
              <w:top w:w="85" w:type="dxa"/>
              <w:bottom w:w="85" w:type="dxa"/>
            </w:tcMar>
          </w:tcPr>
          <w:p w:rsidR="007C3D83" w:rsidRPr="00015F19" w:rsidRDefault="007C3D83" w:rsidP="009074CB">
            <w:pPr>
              <w:pStyle w:val="Caption"/>
              <w:spacing w:before="20" w:after="20" w:line="240" w:lineRule="auto"/>
              <w:jc w:val="right"/>
              <w:rPr>
                <w:rFonts w:ascii="Arial" w:hAnsi="Arial" w:cs="Arial"/>
                <w:sz w:val="20"/>
                <w:szCs w:val="20"/>
                <w:lang w:eastAsia="en-GB"/>
              </w:rPr>
            </w:pPr>
          </w:p>
        </w:tc>
        <w:tc>
          <w:tcPr>
            <w:tcW w:w="2038" w:type="dxa"/>
            <w:tcBorders>
              <w:bottom w:val="single" w:sz="4" w:space="0" w:color="7B5E05"/>
            </w:tcBorders>
            <w:tcMar>
              <w:top w:w="85" w:type="dxa"/>
              <w:bottom w:w="85" w:type="dxa"/>
            </w:tcMar>
          </w:tcPr>
          <w:p w:rsidR="007C3D83" w:rsidRPr="00015F19" w:rsidRDefault="007C3D83" w:rsidP="009074CB">
            <w:pPr>
              <w:spacing w:before="20" w:after="20"/>
              <w:jc w:val="right"/>
              <w:rPr>
                <w:rFonts w:cs="Arial"/>
                <w:b/>
                <w:color w:val="7B5E05"/>
                <w:sz w:val="20"/>
                <w:szCs w:val="20"/>
              </w:rPr>
            </w:pPr>
            <w:r w:rsidRPr="00015F19">
              <w:rPr>
                <w:rFonts w:cs="Arial"/>
                <w:b/>
                <w:sz w:val="20"/>
                <w:szCs w:val="20"/>
              </w:rPr>
              <w:t xml:space="preserve"> $4,433,000 </w:t>
            </w:r>
          </w:p>
        </w:tc>
        <w:tc>
          <w:tcPr>
            <w:tcW w:w="2039" w:type="dxa"/>
            <w:tcBorders>
              <w:bottom w:val="single" w:sz="4" w:space="0" w:color="7B5E05"/>
            </w:tcBorders>
            <w:tcMar>
              <w:top w:w="85" w:type="dxa"/>
              <w:bottom w:w="85" w:type="dxa"/>
            </w:tcMar>
          </w:tcPr>
          <w:p w:rsidR="007C3D83" w:rsidRPr="00015F19" w:rsidRDefault="007C3D83" w:rsidP="009074CB">
            <w:pPr>
              <w:pStyle w:val="Caption"/>
              <w:spacing w:before="20" w:after="20" w:line="240" w:lineRule="auto"/>
              <w:jc w:val="right"/>
              <w:rPr>
                <w:rFonts w:ascii="Arial" w:hAnsi="Arial" w:cs="Arial"/>
                <w:b w:val="0"/>
                <w:color w:val="7B5E05"/>
                <w:sz w:val="20"/>
                <w:szCs w:val="20"/>
                <w:lang w:eastAsia="en-GB"/>
              </w:rPr>
            </w:pPr>
            <w:r w:rsidRPr="00015F19">
              <w:rPr>
                <w:rFonts w:ascii="Arial" w:hAnsi="Arial" w:cs="Arial"/>
                <w:sz w:val="20"/>
                <w:szCs w:val="20"/>
              </w:rPr>
              <w:t xml:space="preserve"> $5,172,000 </w:t>
            </w:r>
          </w:p>
        </w:tc>
      </w:tr>
      <w:tr w:rsidR="007C3D83" w:rsidRPr="00015F19" w:rsidTr="00015F19">
        <w:tc>
          <w:tcPr>
            <w:tcW w:w="8363" w:type="dxa"/>
            <w:gridSpan w:val="4"/>
            <w:shd w:val="clear" w:color="auto" w:fill="BFBFBF" w:themeFill="background1" w:themeFillShade="BF"/>
            <w:tcMar>
              <w:top w:w="85" w:type="dxa"/>
              <w:bottom w:w="85" w:type="dxa"/>
            </w:tcMar>
          </w:tcPr>
          <w:p w:rsidR="007C3D83" w:rsidRPr="00015F19" w:rsidRDefault="007C3D83" w:rsidP="00190B23">
            <w:pPr>
              <w:pStyle w:val="Caption"/>
              <w:spacing w:before="20" w:after="20" w:line="240" w:lineRule="auto"/>
              <w:rPr>
                <w:rFonts w:ascii="Arial" w:hAnsi="Arial" w:cs="Arial"/>
                <w:b w:val="0"/>
                <w:color w:val="7B5E05"/>
                <w:sz w:val="20"/>
                <w:szCs w:val="20"/>
                <w:lang w:eastAsia="en-GB"/>
              </w:rPr>
            </w:pPr>
            <w:r w:rsidRPr="00015F19">
              <w:rPr>
                <w:rFonts w:ascii="Arial" w:hAnsi="Arial" w:cs="Arial"/>
                <w:sz w:val="20"/>
                <w:szCs w:val="20"/>
                <w:lang w:eastAsia="en-GB"/>
              </w:rPr>
              <w:t>Additional M</w:t>
            </w:r>
            <w:r w:rsidR="00190B23">
              <w:rPr>
                <w:rFonts w:ascii="Arial" w:hAnsi="Arial" w:cs="Arial"/>
                <w:sz w:val="20"/>
                <w:szCs w:val="20"/>
                <w:lang w:eastAsia="en-GB"/>
              </w:rPr>
              <w:t>inistry of Health</w:t>
            </w:r>
          </w:p>
        </w:tc>
      </w:tr>
      <w:tr w:rsidR="007C3D83" w:rsidRPr="00015F19" w:rsidTr="00015F19">
        <w:trPr>
          <w:trHeight w:val="28"/>
        </w:trPr>
        <w:tc>
          <w:tcPr>
            <w:tcW w:w="2302" w:type="dxa"/>
            <w:tcMar>
              <w:top w:w="85" w:type="dxa"/>
              <w:bottom w:w="85" w:type="dxa"/>
            </w:tcMar>
          </w:tcPr>
          <w:p w:rsidR="007C3D83" w:rsidRPr="00015F19" w:rsidRDefault="007C3D83" w:rsidP="009074CB">
            <w:pPr>
              <w:pStyle w:val="Caption"/>
              <w:spacing w:before="20" w:after="20" w:line="240" w:lineRule="auto"/>
              <w:rPr>
                <w:rFonts w:ascii="Arial" w:hAnsi="Arial" w:cs="Arial"/>
                <w:b w:val="0"/>
                <w:color w:val="7B5E05"/>
                <w:sz w:val="20"/>
                <w:szCs w:val="20"/>
                <w:lang w:eastAsia="en-GB"/>
              </w:rPr>
            </w:pPr>
            <w:r w:rsidRPr="00015F19">
              <w:rPr>
                <w:rFonts w:ascii="Arial" w:hAnsi="Arial" w:cs="Arial"/>
                <w:sz w:val="20"/>
                <w:szCs w:val="20"/>
                <w:lang w:eastAsia="en-GB"/>
              </w:rPr>
              <w:t xml:space="preserve">Ministry oversight </w:t>
            </w:r>
            <w:r w:rsidRPr="00015F19">
              <w:rPr>
                <w:rStyle w:val="FootnoteReference"/>
                <w:rFonts w:ascii="Arial" w:hAnsi="Arial" w:cs="Arial"/>
                <w:b w:val="0"/>
                <w:lang w:eastAsia="en-GB"/>
              </w:rPr>
              <w:footnoteReference w:id="86"/>
            </w:r>
            <w:r w:rsidRPr="00015F19">
              <w:rPr>
                <w:rFonts w:ascii="Arial" w:hAnsi="Arial" w:cs="Arial"/>
                <w:sz w:val="20"/>
                <w:szCs w:val="20"/>
                <w:lang w:eastAsia="en-GB"/>
              </w:rPr>
              <w:t xml:space="preserve"> </w:t>
            </w:r>
          </w:p>
        </w:tc>
        <w:tc>
          <w:tcPr>
            <w:tcW w:w="1984" w:type="dxa"/>
            <w:tcMar>
              <w:top w:w="85" w:type="dxa"/>
              <w:bottom w:w="85" w:type="dxa"/>
            </w:tcMar>
          </w:tcPr>
          <w:p w:rsidR="007C3D83" w:rsidRPr="00015F19" w:rsidRDefault="007C3D83" w:rsidP="009074CB">
            <w:pPr>
              <w:pStyle w:val="Caption"/>
              <w:spacing w:before="20" w:after="20" w:line="240" w:lineRule="auto"/>
              <w:jc w:val="right"/>
              <w:rPr>
                <w:rFonts w:ascii="Arial" w:hAnsi="Arial" w:cs="Arial"/>
                <w:sz w:val="20"/>
                <w:szCs w:val="20"/>
                <w:lang w:eastAsia="en-GB"/>
              </w:rPr>
            </w:pPr>
          </w:p>
        </w:tc>
        <w:tc>
          <w:tcPr>
            <w:tcW w:w="2038" w:type="dxa"/>
            <w:tcMar>
              <w:top w:w="85" w:type="dxa"/>
              <w:bottom w:w="85" w:type="dxa"/>
            </w:tcMar>
          </w:tcPr>
          <w:p w:rsidR="007C3D83" w:rsidRPr="00015F19" w:rsidRDefault="007C3D83" w:rsidP="009074CB">
            <w:pPr>
              <w:spacing w:before="20" w:after="20"/>
              <w:jc w:val="right"/>
              <w:rPr>
                <w:rFonts w:cs="Arial"/>
                <w:b/>
                <w:color w:val="7B5E05"/>
                <w:sz w:val="20"/>
                <w:szCs w:val="20"/>
              </w:rPr>
            </w:pPr>
            <w:r w:rsidRPr="00015F19">
              <w:rPr>
                <w:rFonts w:cs="Arial"/>
                <w:sz w:val="20"/>
                <w:szCs w:val="20"/>
              </w:rPr>
              <w:t xml:space="preserve"> $495,000 </w:t>
            </w:r>
          </w:p>
        </w:tc>
        <w:tc>
          <w:tcPr>
            <w:tcW w:w="2039" w:type="dxa"/>
            <w:tcMar>
              <w:top w:w="85" w:type="dxa"/>
              <w:bottom w:w="85" w:type="dxa"/>
            </w:tcMar>
          </w:tcPr>
          <w:p w:rsidR="007C3D83" w:rsidRPr="00015F19" w:rsidRDefault="007C3D83" w:rsidP="009074CB">
            <w:pPr>
              <w:pStyle w:val="Caption"/>
              <w:spacing w:before="20" w:after="20" w:line="240" w:lineRule="auto"/>
              <w:jc w:val="right"/>
              <w:rPr>
                <w:rFonts w:ascii="Arial" w:hAnsi="Arial" w:cs="Arial"/>
                <w:b w:val="0"/>
                <w:color w:val="7B5E05"/>
                <w:sz w:val="20"/>
                <w:szCs w:val="20"/>
                <w:lang w:eastAsia="en-GB"/>
              </w:rPr>
            </w:pPr>
            <w:r w:rsidRPr="00015F19">
              <w:rPr>
                <w:rFonts w:ascii="Arial" w:hAnsi="Arial" w:cs="Arial"/>
                <w:b w:val="0"/>
                <w:sz w:val="20"/>
                <w:szCs w:val="20"/>
              </w:rPr>
              <w:t xml:space="preserve"> $495,000 </w:t>
            </w:r>
          </w:p>
        </w:tc>
      </w:tr>
      <w:tr w:rsidR="007C3D83" w:rsidRPr="00015F19" w:rsidTr="00015F19">
        <w:trPr>
          <w:trHeight w:val="32"/>
        </w:trPr>
        <w:tc>
          <w:tcPr>
            <w:tcW w:w="2302" w:type="dxa"/>
            <w:tcMar>
              <w:top w:w="85" w:type="dxa"/>
              <w:bottom w:w="85" w:type="dxa"/>
            </w:tcMar>
          </w:tcPr>
          <w:p w:rsidR="007C3D83" w:rsidRPr="00015F19" w:rsidRDefault="007C3D83" w:rsidP="009074CB">
            <w:pPr>
              <w:pStyle w:val="Caption"/>
              <w:spacing w:before="20" w:after="20" w:line="240" w:lineRule="auto"/>
              <w:jc w:val="right"/>
              <w:rPr>
                <w:rFonts w:ascii="Arial" w:hAnsi="Arial" w:cs="Arial"/>
                <w:b w:val="0"/>
                <w:color w:val="7B5E05"/>
                <w:sz w:val="20"/>
                <w:szCs w:val="20"/>
                <w:lang w:eastAsia="en-GB"/>
              </w:rPr>
            </w:pPr>
            <w:r w:rsidRPr="00015F19">
              <w:rPr>
                <w:rFonts w:ascii="Arial" w:hAnsi="Arial" w:cs="Arial"/>
                <w:sz w:val="20"/>
                <w:szCs w:val="20"/>
                <w:lang w:eastAsia="en-GB"/>
              </w:rPr>
              <w:t>Total</w:t>
            </w:r>
          </w:p>
        </w:tc>
        <w:tc>
          <w:tcPr>
            <w:tcW w:w="1984" w:type="dxa"/>
            <w:tcMar>
              <w:top w:w="85" w:type="dxa"/>
              <w:bottom w:w="85" w:type="dxa"/>
            </w:tcMar>
          </w:tcPr>
          <w:p w:rsidR="007C3D83" w:rsidRPr="00015F19" w:rsidRDefault="007C3D83" w:rsidP="009074CB">
            <w:pPr>
              <w:pStyle w:val="Caption"/>
              <w:spacing w:before="20" w:after="20" w:line="240" w:lineRule="auto"/>
              <w:jc w:val="right"/>
              <w:rPr>
                <w:rFonts w:ascii="Arial" w:hAnsi="Arial" w:cs="Arial"/>
                <w:sz w:val="20"/>
                <w:szCs w:val="20"/>
                <w:lang w:eastAsia="en-GB"/>
              </w:rPr>
            </w:pPr>
          </w:p>
        </w:tc>
        <w:tc>
          <w:tcPr>
            <w:tcW w:w="2038" w:type="dxa"/>
            <w:tcMar>
              <w:top w:w="85" w:type="dxa"/>
              <w:bottom w:w="85" w:type="dxa"/>
            </w:tcMar>
          </w:tcPr>
          <w:p w:rsidR="007C3D83" w:rsidRPr="00015F19" w:rsidRDefault="007C3D83" w:rsidP="009074CB">
            <w:pPr>
              <w:spacing w:before="20" w:after="20"/>
              <w:jc w:val="right"/>
              <w:rPr>
                <w:rFonts w:cs="Arial"/>
                <w:b/>
                <w:color w:val="7B5E05"/>
                <w:sz w:val="20"/>
                <w:szCs w:val="20"/>
              </w:rPr>
            </w:pPr>
            <w:r w:rsidRPr="00015F19">
              <w:rPr>
                <w:rFonts w:cs="Arial"/>
                <w:b/>
                <w:sz w:val="20"/>
                <w:szCs w:val="20"/>
              </w:rPr>
              <w:t xml:space="preserve"> $4,927,000 </w:t>
            </w:r>
          </w:p>
        </w:tc>
        <w:tc>
          <w:tcPr>
            <w:tcW w:w="2039" w:type="dxa"/>
            <w:tcMar>
              <w:top w:w="85" w:type="dxa"/>
              <w:bottom w:w="85" w:type="dxa"/>
            </w:tcMar>
          </w:tcPr>
          <w:p w:rsidR="007C3D83" w:rsidRPr="00015F19" w:rsidRDefault="007C3D83" w:rsidP="009074CB">
            <w:pPr>
              <w:pStyle w:val="Caption"/>
              <w:spacing w:before="20" w:after="20" w:line="240" w:lineRule="auto"/>
              <w:jc w:val="right"/>
              <w:rPr>
                <w:rFonts w:ascii="Arial" w:hAnsi="Arial" w:cs="Arial"/>
                <w:b w:val="0"/>
                <w:color w:val="7B5E05"/>
                <w:sz w:val="20"/>
                <w:szCs w:val="20"/>
                <w:lang w:eastAsia="en-GB"/>
              </w:rPr>
            </w:pPr>
            <w:r w:rsidRPr="00015F19">
              <w:rPr>
                <w:rFonts w:ascii="Arial" w:hAnsi="Arial" w:cs="Arial"/>
                <w:sz w:val="20"/>
                <w:szCs w:val="20"/>
              </w:rPr>
              <w:t xml:space="preserve"> $5,666,000 </w:t>
            </w:r>
          </w:p>
        </w:tc>
      </w:tr>
    </w:tbl>
    <w:p w:rsidR="007C3D83" w:rsidRDefault="007C3D83" w:rsidP="007C3D83">
      <w:pPr>
        <w:pStyle w:val="UnnumtextBodytext"/>
      </w:pPr>
    </w:p>
    <w:p w:rsidR="00F04363" w:rsidRDefault="00F04363">
      <w:pPr>
        <w:spacing w:before="0"/>
        <w:ind w:left="0"/>
      </w:pPr>
      <w:r>
        <w:br w:type="page"/>
      </w:r>
    </w:p>
    <w:p w:rsidR="007C3D83" w:rsidRPr="00F04363" w:rsidRDefault="00F04363" w:rsidP="00F04363">
      <w:r>
        <w:lastRenderedPageBreak/>
        <w:t>I</w:t>
      </w:r>
      <w:r w:rsidR="007C3D83" w:rsidRPr="00F04363">
        <w:t xml:space="preserve">n </w:t>
      </w:r>
      <w:r w:rsidR="00696085">
        <w:t xml:space="preserve">Figure 16 </w:t>
      </w:r>
      <w:r w:rsidR="007C3D83" w:rsidRPr="00F04363">
        <w:fldChar w:fldCharType="begin"/>
      </w:r>
      <w:r w:rsidR="007C3D83" w:rsidRPr="00F04363">
        <w:instrText xml:space="preserve"> REF _Ref393366602 \p \h </w:instrText>
      </w:r>
      <w:r>
        <w:instrText xml:space="preserve"> \* MERGEFORMAT </w:instrText>
      </w:r>
      <w:r w:rsidR="007C3D83" w:rsidRPr="00F04363">
        <w:fldChar w:fldCharType="separate"/>
      </w:r>
      <w:r w:rsidR="00957CD0">
        <w:t>below</w:t>
      </w:r>
      <w:r w:rsidR="007C3D83" w:rsidRPr="00F04363">
        <w:fldChar w:fldCharType="end"/>
      </w:r>
      <w:r w:rsidR="007C3D83" w:rsidRPr="00F04363">
        <w:t xml:space="preserve">, the estimated development cost of $3.148 million is presented alongside operating costs of $10.594 million.  The combination of all these costs gives a total of $13.742 million incurred in developing and operating the first two years of the Pilot (excluding the costs of treating cancers diagnosed). </w:t>
      </w:r>
    </w:p>
    <w:p w:rsidR="007C3D83" w:rsidRDefault="007C3D83" w:rsidP="00F04363">
      <w:pPr>
        <w:pStyle w:val="Figure"/>
      </w:pPr>
      <w:bookmarkStart w:id="256" w:name="_Ref393366602"/>
      <w:bookmarkStart w:id="257" w:name="_Toc406582455"/>
      <w:bookmarkStart w:id="258" w:name="_Toc412540143"/>
      <w:r>
        <w:t xml:space="preserve">Figure </w:t>
      </w:r>
      <w:r w:rsidR="00F04363">
        <w:t>16</w:t>
      </w:r>
      <w:r>
        <w:t>: Estimated cost of Pilot – development phase and Year 1 and Year 2</w:t>
      </w:r>
      <w:bookmarkEnd w:id="256"/>
      <w:bookmarkEnd w:id="257"/>
      <w:bookmarkEnd w:id="258"/>
    </w:p>
    <w:p w:rsidR="007C3D83" w:rsidRDefault="007C3D83" w:rsidP="00F04363">
      <w:pPr>
        <w:pStyle w:val="Caption"/>
        <w:keepNext w:val="0"/>
        <w:spacing w:after="0" w:line="240" w:lineRule="auto"/>
        <w:ind w:left="665" w:hanging="98"/>
      </w:pPr>
      <w:r>
        <w:rPr>
          <w:noProof/>
        </w:rPr>
        <w:drawing>
          <wp:inline distT="0" distB="0" distL="0" distR="0" wp14:anchorId="32C9FEFC" wp14:editId="0A47C7D1">
            <wp:extent cx="4580761" cy="29051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8536" cy="2916398"/>
                    </a:xfrm>
                    <a:prstGeom prst="rect">
                      <a:avLst/>
                    </a:prstGeom>
                    <a:noFill/>
                  </pic:spPr>
                </pic:pic>
              </a:graphicData>
            </a:graphic>
          </wp:inline>
        </w:drawing>
      </w:r>
    </w:p>
    <w:p w:rsidR="007C3D83" w:rsidRPr="00FD4FDE" w:rsidRDefault="007C3D83" w:rsidP="00FD4FDE">
      <w:pPr>
        <w:pStyle w:val="Heading3"/>
        <w:rPr>
          <w:i w:val="0"/>
        </w:rPr>
      </w:pPr>
      <w:bookmarkStart w:id="259" w:name="_Toc406582402"/>
      <w:r w:rsidRPr="00FD4FDE">
        <w:rPr>
          <w:i w:val="0"/>
        </w:rPr>
        <w:t>Cost of treating cancers detected through the BSP</w:t>
      </w:r>
      <w:bookmarkEnd w:id="259"/>
    </w:p>
    <w:p w:rsidR="007C3D83" w:rsidRDefault="0070076F" w:rsidP="00696085">
      <w:r>
        <w:t xml:space="preserve">Table </w:t>
      </w:r>
      <w:r w:rsidR="000B1408">
        <w:t>12</w:t>
      </w:r>
      <w:r w:rsidR="007C3D83">
        <w:t xml:space="preserve"> </w:t>
      </w:r>
      <w:r w:rsidR="007C3D83">
        <w:fldChar w:fldCharType="begin"/>
      </w:r>
      <w:r w:rsidR="007C3D83">
        <w:instrText xml:space="preserve"> REF _Ref404920707 \p \h </w:instrText>
      </w:r>
      <w:r w:rsidR="00F04363">
        <w:instrText xml:space="preserve"> \* MERGEFORMAT </w:instrText>
      </w:r>
      <w:r w:rsidR="007C3D83">
        <w:fldChar w:fldCharType="separate"/>
      </w:r>
      <w:r w:rsidR="00957CD0">
        <w:t>below</w:t>
      </w:r>
      <w:r w:rsidR="007C3D83">
        <w:fldChar w:fldCharType="end"/>
      </w:r>
      <w:r w:rsidR="007C3D83">
        <w:t xml:space="preserve"> provides an estimate of the lifetime cost of treating cancers that have been detected through the screening programme.   </w:t>
      </w:r>
    </w:p>
    <w:p w:rsidR="007C3D83" w:rsidRDefault="007C3D83" w:rsidP="00F04363">
      <w:r>
        <w:t>It is important again to emphasise that this estimate of treatment costs is not a fully developed incremental analysis.  If the pilot had not been in place, some of the early stage cancers may not have been detected during this time period and thus the cost of treatment is higher than may otherwise have been incurred.  However, the whole point of screening is to change the stage distribution of cancer; without a full incremental analysis, we are not able to fully understand the financial off-set of detecting these cancers earlier (rather than diagnosing them symptomatically at stage III later in the person’s life).</w:t>
      </w:r>
    </w:p>
    <w:p w:rsidR="007C3D83" w:rsidRPr="00F04363" w:rsidRDefault="007C3D83" w:rsidP="00F04363">
      <w:r>
        <w:t>On the basis of current information from the pilot, we do not have the ability to fully understand and adjust for this impact.</w:t>
      </w:r>
    </w:p>
    <w:p w:rsidR="000B1408" w:rsidRDefault="000B1408">
      <w:pPr>
        <w:spacing w:before="0"/>
        <w:ind w:left="0"/>
        <w:rPr>
          <w:b/>
          <w:sz w:val="20"/>
        </w:rPr>
      </w:pPr>
      <w:bookmarkStart w:id="260" w:name="_Ref404920703"/>
      <w:bookmarkStart w:id="261" w:name="_Ref404920707"/>
      <w:bookmarkStart w:id="262" w:name="_Toc406582438"/>
      <w:r>
        <w:br w:type="page"/>
      </w:r>
    </w:p>
    <w:p w:rsidR="007C3D83" w:rsidRDefault="007C3D83" w:rsidP="00DE1562">
      <w:pPr>
        <w:pStyle w:val="Table"/>
        <w:ind w:left="851"/>
      </w:pPr>
      <w:bookmarkStart w:id="263" w:name="_Toc412540165"/>
      <w:r>
        <w:lastRenderedPageBreak/>
        <w:t xml:space="preserve">Table </w:t>
      </w:r>
      <w:bookmarkEnd w:id="260"/>
      <w:r w:rsidR="000B1408">
        <w:t>12</w:t>
      </w:r>
      <w:r>
        <w:t>: Estimated lifetime cost of treating bowel cancer detected during the first screening round</w:t>
      </w:r>
      <w:bookmarkEnd w:id="261"/>
      <w:bookmarkEnd w:id="262"/>
      <w:bookmarkEnd w:id="263"/>
    </w:p>
    <w:tbl>
      <w:tblPr>
        <w:tblStyle w:val="TableSapereGrid"/>
        <w:tblW w:w="4568" w:type="pct"/>
        <w:tblInd w:w="959" w:type="dxa"/>
        <w:tblLook w:val="04A0" w:firstRow="1" w:lastRow="0" w:firstColumn="1" w:lastColumn="0" w:noHBand="0" w:noVBand="1"/>
      </w:tblPr>
      <w:tblGrid>
        <w:gridCol w:w="1150"/>
        <w:gridCol w:w="1660"/>
        <w:gridCol w:w="1923"/>
        <w:gridCol w:w="1923"/>
        <w:gridCol w:w="2349"/>
      </w:tblGrid>
      <w:tr w:rsidR="00FD4FDE" w:rsidRPr="00015F19" w:rsidTr="00DE1562">
        <w:trPr>
          <w:cnfStyle w:val="100000000000" w:firstRow="1" w:lastRow="0" w:firstColumn="0" w:lastColumn="0" w:oddVBand="0" w:evenVBand="0" w:oddHBand="0" w:evenHBand="0" w:firstRowFirstColumn="0" w:firstRowLastColumn="0" w:lastRowFirstColumn="0" w:lastRowLastColumn="0"/>
          <w:trHeight w:val="1376"/>
        </w:trPr>
        <w:tc>
          <w:tcPr>
            <w:tcW w:w="413" w:type="pct"/>
          </w:tcPr>
          <w:p w:rsidR="00FD4FDE" w:rsidRPr="00015F19" w:rsidRDefault="00FD4FDE" w:rsidP="00FD4FDE">
            <w:pPr>
              <w:widowControl w:val="0"/>
              <w:spacing w:before="60" w:after="60"/>
              <w:ind w:left="0"/>
              <w:jc w:val="center"/>
              <w:rPr>
                <w:rFonts w:cs="Arial"/>
                <w:b/>
                <w:color w:val="FFFFFF"/>
                <w:sz w:val="20"/>
                <w:szCs w:val="20"/>
                <w:lang w:eastAsia="en-NZ"/>
              </w:rPr>
            </w:pPr>
            <w:bookmarkStart w:id="264" w:name="_Ref387911798"/>
            <w:bookmarkStart w:id="265" w:name="_Ref391026857"/>
            <w:bookmarkStart w:id="266" w:name="_Ref391026865"/>
            <w:bookmarkStart w:id="267" w:name="_Ref391026888"/>
            <w:bookmarkStart w:id="268" w:name="_Toc391192826"/>
            <w:r w:rsidRPr="00015F19">
              <w:rPr>
                <w:rFonts w:cs="Arial"/>
                <w:b/>
                <w:color w:val="FFFFFF"/>
                <w:sz w:val="20"/>
                <w:szCs w:val="20"/>
                <w:lang w:eastAsia="en-NZ"/>
              </w:rPr>
              <w:t>Stage of diagnosis</w:t>
            </w:r>
          </w:p>
        </w:tc>
        <w:tc>
          <w:tcPr>
            <w:tcW w:w="978" w:type="pct"/>
          </w:tcPr>
          <w:p w:rsidR="00FD4FDE" w:rsidRPr="00015F19" w:rsidRDefault="00FD4FDE" w:rsidP="00FD4FDE">
            <w:pPr>
              <w:widowControl w:val="0"/>
              <w:spacing w:before="60" w:after="60"/>
              <w:ind w:left="0"/>
              <w:jc w:val="center"/>
              <w:rPr>
                <w:rFonts w:cs="Arial"/>
                <w:b/>
                <w:color w:val="FFFFFF"/>
                <w:sz w:val="20"/>
                <w:szCs w:val="20"/>
                <w:lang w:eastAsia="en-NZ"/>
              </w:rPr>
            </w:pPr>
            <w:r w:rsidRPr="00015F19">
              <w:rPr>
                <w:rFonts w:cs="Arial"/>
                <w:b/>
                <w:color w:val="FFFFFF"/>
                <w:sz w:val="20"/>
                <w:szCs w:val="20"/>
                <w:lang w:eastAsia="en-NZ"/>
              </w:rPr>
              <w:t>Stage distribution (Jan 2012-</w:t>
            </w:r>
          </w:p>
          <w:p w:rsidR="00FD4FDE" w:rsidRPr="00015F19" w:rsidRDefault="00FD4FDE" w:rsidP="00FD4FDE">
            <w:pPr>
              <w:widowControl w:val="0"/>
              <w:spacing w:before="60" w:after="60"/>
              <w:ind w:left="0"/>
              <w:jc w:val="center"/>
              <w:rPr>
                <w:rFonts w:cs="Arial"/>
                <w:b/>
                <w:color w:val="FFFFFF"/>
                <w:sz w:val="20"/>
                <w:szCs w:val="20"/>
                <w:lang w:eastAsia="en-NZ"/>
              </w:rPr>
            </w:pPr>
            <w:r w:rsidRPr="00015F19">
              <w:rPr>
                <w:rFonts w:cs="Arial"/>
                <w:b/>
                <w:color w:val="FFFFFF"/>
                <w:sz w:val="20"/>
                <w:szCs w:val="20"/>
                <w:lang w:eastAsia="en-NZ"/>
              </w:rPr>
              <w:t>Dec 2013)</w:t>
            </w:r>
          </w:p>
        </w:tc>
        <w:tc>
          <w:tcPr>
            <w:tcW w:w="1124" w:type="pct"/>
          </w:tcPr>
          <w:p w:rsidR="00FD4FDE" w:rsidRPr="00015F19" w:rsidRDefault="00FD4FDE" w:rsidP="00FD4FDE">
            <w:pPr>
              <w:widowControl w:val="0"/>
              <w:spacing w:before="60" w:after="60"/>
              <w:ind w:left="0"/>
              <w:jc w:val="center"/>
              <w:rPr>
                <w:rFonts w:cs="Arial"/>
                <w:b/>
                <w:color w:val="FFFFFF"/>
                <w:sz w:val="20"/>
                <w:szCs w:val="20"/>
                <w:lang w:eastAsia="en-NZ"/>
              </w:rPr>
            </w:pPr>
            <w:r w:rsidRPr="00015F19">
              <w:rPr>
                <w:rFonts w:cs="Arial"/>
                <w:b/>
                <w:color w:val="FFFFFF"/>
                <w:sz w:val="20"/>
                <w:szCs w:val="20"/>
                <w:lang w:eastAsia="en-NZ"/>
              </w:rPr>
              <w:t>Estimate of cancers detected by stage</w:t>
            </w:r>
          </w:p>
        </w:tc>
        <w:tc>
          <w:tcPr>
            <w:tcW w:w="1124" w:type="pct"/>
          </w:tcPr>
          <w:p w:rsidR="00FD4FDE" w:rsidRPr="00015F19" w:rsidRDefault="00FD4FDE" w:rsidP="00FD4FDE">
            <w:pPr>
              <w:widowControl w:val="0"/>
              <w:spacing w:before="60" w:after="60"/>
              <w:ind w:left="0"/>
              <w:jc w:val="center"/>
              <w:rPr>
                <w:rFonts w:cs="Arial"/>
                <w:b/>
                <w:color w:val="FFFFFF"/>
                <w:sz w:val="20"/>
                <w:szCs w:val="20"/>
                <w:lang w:eastAsia="en-NZ"/>
              </w:rPr>
            </w:pPr>
            <w:r w:rsidRPr="00015F19">
              <w:rPr>
                <w:rFonts w:cs="Arial"/>
                <w:b/>
                <w:color w:val="FFFFFF"/>
                <w:sz w:val="20"/>
                <w:szCs w:val="20"/>
                <w:lang w:eastAsia="en-NZ"/>
              </w:rPr>
              <w:t>Estimate NZ ave.  lifetime cost of bowel cancer by stage ($NZ2011)</w:t>
            </w:r>
          </w:p>
        </w:tc>
        <w:tc>
          <w:tcPr>
            <w:tcW w:w="1360" w:type="pct"/>
          </w:tcPr>
          <w:p w:rsidR="00FD4FDE" w:rsidRPr="00015F19" w:rsidRDefault="00FD4FDE" w:rsidP="00FD4FDE">
            <w:pPr>
              <w:widowControl w:val="0"/>
              <w:spacing w:before="60" w:after="60"/>
              <w:ind w:left="0"/>
              <w:jc w:val="center"/>
              <w:rPr>
                <w:rFonts w:cs="Arial"/>
                <w:b/>
                <w:color w:val="FFFFFF"/>
                <w:sz w:val="20"/>
                <w:szCs w:val="20"/>
                <w:lang w:eastAsia="en-NZ"/>
              </w:rPr>
            </w:pPr>
            <w:r w:rsidRPr="00015F19">
              <w:rPr>
                <w:rFonts w:cs="Arial"/>
                <w:b/>
                <w:color w:val="FFFFFF"/>
                <w:sz w:val="20"/>
                <w:szCs w:val="20"/>
                <w:lang w:eastAsia="en-NZ"/>
              </w:rPr>
              <w:t>Total cost</w:t>
            </w:r>
          </w:p>
          <w:p w:rsidR="00FD4FDE" w:rsidRPr="00015F19" w:rsidRDefault="00FD4FDE" w:rsidP="00FD4FDE">
            <w:pPr>
              <w:widowControl w:val="0"/>
              <w:spacing w:before="60" w:after="60"/>
              <w:ind w:left="0"/>
              <w:jc w:val="center"/>
              <w:rPr>
                <w:rFonts w:cs="Arial"/>
                <w:b/>
                <w:color w:val="FFFFFF"/>
                <w:sz w:val="20"/>
                <w:szCs w:val="20"/>
                <w:lang w:eastAsia="en-NZ"/>
              </w:rPr>
            </w:pPr>
            <w:r w:rsidRPr="00015F19">
              <w:rPr>
                <w:rFonts w:cs="Arial"/>
                <w:b/>
                <w:color w:val="FFFFFF"/>
                <w:sz w:val="20"/>
                <w:szCs w:val="20"/>
                <w:lang w:eastAsia="en-NZ"/>
              </w:rPr>
              <w:t>($NZ2011,</w:t>
            </w:r>
          </w:p>
          <w:p w:rsidR="00FD4FDE" w:rsidRPr="00015F19" w:rsidRDefault="00FD4FDE" w:rsidP="00FD4FDE">
            <w:pPr>
              <w:widowControl w:val="0"/>
              <w:spacing w:before="60" w:after="60"/>
              <w:ind w:left="0"/>
              <w:jc w:val="center"/>
              <w:rPr>
                <w:rFonts w:cs="Arial"/>
                <w:b/>
                <w:color w:val="FFFFFF"/>
                <w:sz w:val="20"/>
                <w:szCs w:val="20"/>
                <w:lang w:eastAsia="en-NZ"/>
              </w:rPr>
            </w:pPr>
            <w:r w:rsidRPr="00015F19">
              <w:rPr>
                <w:rFonts w:cs="Arial"/>
                <w:b/>
                <w:color w:val="FFFFFF"/>
                <w:sz w:val="20"/>
                <w:szCs w:val="20"/>
                <w:lang w:eastAsia="en-NZ"/>
              </w:rPr>
              <w:t>millions)</w:t>
            </w:r>
          </w:p>
        </w:tc>
      </w:tr>
      <w:tr w:rsidR="00FD4FDE" w:rsidRPr="00015F19" w:rsidTr="00DE1562">
        <w:trPr>
          <w:trHeight w:val="356"/>
        </w:trPr>
        <w:tc>
          <w:tcPr>
            <w:tcW w:w="413" w:type="pct"/>
            <w:shd w:val="clear" w:color="auto" w:fill="FFFFFF" w:themeFill="background1"/>
          </w:tcPr>
          <w:p w:rsidR="00FD4FDE" w:rsidRPr="00015F19" w:rsidRDefault="00FD4FDE" w:rsidP="00FD4FDE">
            <w:pPr>
              <w:widowControl w:val="0"/>
              <w:spacing w:before="60" w:after="60"/>
              <w:ind w:left="0"/>
              <w:jc w:val="center"/>
              <w:rPr>
                <w:rFonts w:cs="Arial"/>
                <w:sz w:val="20"/>
                <w:szCs w:val="20"/>
                <w:lang w:eastAsia="en-NZ"/>
              </w:rPr>
            </w:pPr>
            <w:r w:rsidRPr="00015F19">
              <w:rPr>
                <w:rFonts w:cs="Arial"/>
                <w:sz w:val="20"/>
                <w:szCs w:val="20"/>
                <w:lang w:eastAsia="en-NZ"/>
              </w:rPr>
              <w:t>I</w:t>
            </w:r>
          </w:p>
        </w:tc>
        <w:tc>
          <w:tcPr>
            <w:tcW w:w="978"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44.4%</w:t>
            </w:r>
          </w:p>
        </w:tc>
        <w:tc>
          <w:tcPr>
            <w:tcW w:w="1124"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57</w:t>
            </w:r>
          </w:p>
        </w:tc>
        <w:tc>
          <w:tcPr>
            <w:tcW w:w="1124"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$33,000</w:t>
            </w:r>
          </w:p>
        </w:tc>
        <w:tc>
          <w:tcPr>
            <w:tcW w:w="1360"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$1,881,000</w:t>
            </w:r>
          </w:p>
        </w:tc>
      </w:tr>
      <w:tr w:rsidR="00FD4FDE" w:rsidRPr="00015F19" w:rsidTr="00DE1562">
        <w:trPr>
          <w:trHeight w:val="342"/>
        </w:trPr>
        <w:tc>
          <w:tcPr>
            <w:tcW w:w="413" w:type="pct"/>
            <w:shd w:val="clear" w:color="auto" w:fill="FFFFFF" w:themeFill="background1"/>
          </w:tcPr>
          <w:p w:rsidR="00FD4FDE" w:rsidRPr="00015F19" w:rsidRDefault="00FD4FDE" w:rsidP="00FD4FDE">
            <w:pPr>
              <w:widowControl w:val="0"/>
              <w:spacing w:before="60" w:after="60"/>
              <w:ind w:left="0"/>
              <w:jc w:val="center"/>
              <w:rPr>
                <w:rFonts w:cs="Arial"/>
                <w:sz w:val="20"/>
                <w:szCs w:val="20"/>
                <w:lang w:eastAsia="en-NZ"/>
              </w:rPr>
            </w:pPr>
            <w:r w:rsidRPr="00015F19">
              <w:rPr>
                <w:rFonts w:cs="Arial"/>
                <w:sz w:val="20"/>
                <w:szCs w:val="20"/>
                <w:lang w:eastAsia="en-NZ"/>
              </w:rPr>
              <w:t>II</w:t>
            </w:r>
          </w:p>
        </w:tc>
        <w:tc>
          <w:tcPr>
            <w:tcW w:w="978"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24.1%</w:t>
            </w:r>
          </w:p>
        </w:tc>
        <w:tc>
          <w:tcPr>
            <w:tcW w:w="1124"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31</w:t>
            </w:r>
          </w:p>
        </w:tc>
        <w:tc>
          <w:tcPr>
            <w:tcW w:w="1124"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$53,000</w:t>
            </w:r>
          </w:p>
        </w:tc>
        <w:tc>
          <w:tcPr>
            <w:tcW w:w="1360"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$1,643,000</w:t>
            </w:r>
          </w:p>
        </w:tc>
      </w:tr>
      <w:tr w:rsidR="00FD4FDE" w:rsidRPr="00015F19" w:rsidTr="00DE1562">
        <w:trPr>
          <w:trHeight w:val="342"/>
        </w:trPr>
        <w:tc>
          <w:tcPr>
            <w:tcW w:w="413" w:type="pct"/>
            <w:shd w:val="clear" w:color="auto" w:fill="FFFFFF" w:themeFill="background1"/>
          </w:tcPr>
          <w:p w:rsidR="00FD4FDE" w:rsidRPr="00015F19" w:rsidRDefault="00FD4FDE" w:rsidP="00FD4FDE">
            <w:pPr>
              <w:widowControl w:val="0"/>
              <w:spacing w:before="60" w:after="60"/>
              <w:ind w:left="0"/>
              <w:jc w:val="center"/>
              <w:rPr>
                <w:rFonts w:cs="Arial"/>
                <w:sz w:val="20"/>
                <w:szCs w:val="20"/>
                <w:lang w:eastAsia="en-NZ"/>
              </w:rPr>
            </w:pPr>
            <w:r w:rsidRPr="00015F19">
              <w:rPr>
                <w:rFonts w:cs="Arial"/>
                <w:sz w:val="20"/>
                <w:szCs w:val="20"/>
                <w:lang w:eastAsia="en-NZ"/>
              </w:rPr>
              <w:t>III</w:t>
            </w:r>
          </w:p>
        </w:tc>
        <w:tc>
          <w:tcPr>
            <w:tcW w:w="978"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22.3%</w:t>
            </w:r>
          </w:p>
        </w:tc>
        <w:tc>
          <w:tcPr>
            <w:tcW w:w="1124"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29</w:t>
            </w:r>
          </w:p>
        </w:tc>
        <w:tc>
          <w:tcPr>
            <w:tcW w:w="1124"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$70,000</w:t>
            </w:r>
          </w:p>
        </w:tc>
        <w:tc>
          <w:tcPr>
            <w:tcW w:w="1360" w:type="pct"/>
            <w:shd w:val="clear" w:color="auto" w:fill="FFFFFF" w:themeFill="background1"/>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$2,030,000</w:t>
            </w:r>
          </w:p>
        </w:tc>
      </w:tr>
      <w:tr w:rsidR="00FD4FDE" w:rsidRPr="00015F19" w:rsidTr="00DE1562">
        <w:trPr>
          <w:trHeight w:val="342"/>
        </w:trPr>
        <w:tc>
          <w:tcPr>
            <w:tcW w:w="413" w:type="pct"/>
            <w:shd w:val="clear" w:color="auto" w:fill="auto"/>
          </w:tcPr>
          <w:p w:rsidR="00FD4FDE" w:rsidRPr="00015F19" w:rsidRDefault="00FD4FDE" w:rsidP="00FD4FDE">
            <w:pPr>
              <w:widowControl w:val="0"/>
              <w:spacing w:before="60" w:after="60"/>
              <w:ind w:left="0"/>
              <w:jc w:val="center"/>
              <w:rPr>
                <w:rFonts w:cs="Arial"/>
                <w:sz w:val="20"/>
                <w:szCs w:val="20"/>
                <w:lang w:eastAsia="en-NZ"/>
              </w:rPr>
            </w:pPr>
            <w:r w:rsidRPr="00015F19">
              <w:rPr>
                <w:rFonts w:cs="Arial"/>
                <w:sz w:val="20"/>
                <w:szCs w:val="20"/>
                <w:lang w:eastAsia="en-NZ"/>
              </w:rPr>
              <w:t>IV</w:t>
            </w:r>
          </w:p>
        </w:tc>
        <w:tc>
          <w:tcPr>
            <w:tcW w:w="978" w:type="pct"/>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9.3%</w:t>
            </w:r>
          </w:p>
        </w:tc>
        <w:tc>
          <w:tcPr>
            <w:tcW w:w="1124" w:type="pct"/>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12</w:t>
            </w:r>
          </w:p>
        </w:tc>
        <w:tc>
          <w:tcPr>
            <w:tcW w:w="1124" w:type="pct"/>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$52,000</w:t>
            </w:r>
          </w:p>
        </w:tc>
        <w:tc>
          <w:tcPr>
            <w:tcW w:w="1360" w:type="pct"/>
            <w:shd w:val="clear" w:color="auto" w:fill="auto"/>
          </w:tcPr>
          <w:p w:rsidR="00FD4FDE" w:rsidRPr="00015F19" w:rsidRDefault="00FD4FDE" w:rsidP="00FD4FDE">
            <w:pPr>
              <w:widowControl w:val="0"/>
              <w:spacing w:before="60" w:after="60"/>
              <w:ind w:left="0"/>
              <w:jc w:val="right"/>
              <w:rPr>
                <w:rFonts w:cs="Arial"/>
                <w:sz w:val="20"/>
                <w:szCs w:val="20"/>
                <w:lang w:eastAsia="en-NZ"/>
              </w:rPr>
            </w:pPr>
            <w:r w:rsidRPr="00015F19">
              <w:rPr>
                <w:rFonts w:cs="Arial"/>
                <w:sz w:val="20"/>
                <w:szCs w:val="20"/>
                <w:lang w:eastAsia="en-NZ"/>
              </w:rPr>
              <w:t>$624,000</w:t>
            </w:r>
          </w:p>
        </w:tc>
      </w:tr>
      <w:tr w:rsidR="00FD4FDE" w:rsidRPr="00015F19" w:rsidTr="00DE1562">
        <w:trPr>
          <w:trHeight w:val="356"/>
        </w:trPr>
        <w:tc>
          <w:tcPr>
            <w:tcW w:w="1391" w:type="pct"/>
            <w:gridSpan w:val="2"/>
            <w:shd w:val="clear" w:color="auto" w:fill="auto"/>
          </w:tcPr>
          <w:p w:rsidR="00FD4FDE" w:rsidRPr="00015F19" w:rsidRDefault="00FD4FDE" w:rsidP="00FD4FDE">
            <w:pPr>
              <w:widowControl w:val="0"/>
              <w:spacing w:before="60" w:after="60"/>
              <w:ind w:left="0"/>
              <w:jc w:val="right"/>
              <w:rPr>
                <w:rFonts w:cs="Arial"/>
                <w:b/>
                <w:sz w:val="20"/>
                <w:szCs w:val="20"/>
                <w:lang w:eastAsia="en-NZ"/>
              </w:rPr>
            </w:pPr>
            <w:r w:rsidRPr="00015F19">
              <w:rPr>
                <w:rFonts w:cs="Arial"/>
                <w:b/>
                <w:sz w:val="20"/>
                <w:szCs w:val="20"/>
                <w:lang w:eastAsia="en-NZ"/>
              </w:rPr>
              <w:t>Total (actuals)</w:t>
            </w:r>
          </w:p>
        </w:tc>
        <w:tc>
          <w:tcPr>
            <w:tcW w:w="1124" w:type="pct"/>
          </w:tcPr>
          <w:p w:rsidR="00FD4FDE" w:rsidRPr="00015F19" w:rsidRDefault="00FD4FDE" w:rsidP="00FD4FDE">
            <w:pPr>
              <w:widowControl w:val="0"/>
              <w:spacing w:before="60" w:after="60"/>
              <w:ind w:left="0"/>
              <w:jc w:val="right"/>
              <w:rPr>
                <w:rFonts w:cs="Arial"/>
                <w:b/>
                <w:sz w:val="20"/>
                <w:szCs w:val="20"/>
                <w:lang w:eastAsia="en-NZ"/>
              </w:rPr>
            </w:pPr>
            <w:r w:rsidRPr="00015F19">
              <w:rPr>
                <w:rFonts w:cs="Arial"/>
                <w:b/>
                <w:sz w:val="20"/>
                <w:szCs w:val="20"/>
                <w:lang w:eastAsia="en-NZ"/>
              </w:rPr>
              <w:t>129</w:t>
            </w:r>
          </w:p>
        </w:tc>
        <w:tc>
          <w:tcPr>
            <w:tcW w:w="1124" w:type="pct"/>
          </w:tcPr>
          <w:p w:rsidR="00FD4FDE" w:rsidRPr="00015F19" w:rsidRDefault="00FD4FDE" w:rsidP="00FD4FDE">
            <w:pPr>
              <w:widowControl w:val="0"/>
              <w:spacing w:before="60" w:after="60"/>
              <w:ind w:left="0"/>
              <w:rPr>
                <w:rFonts w:cs="Arial"/>
                <w:sz w:val="20"/>
                <w:szCs w:val="20"/>
                <w:lang w:eastAsia="en-NZ"/>
              </w:rPr>
            </w:pPr>
          </w:p>
        </w:tc>
        <w:tc>
          <w:tcPr>
            <w:tcW w:w="1360" w:type="pct"/>
            <w:shd w:val="clear" w:color="auto" w:fill="auto"/>
          </w:tcPr>
          <w:p w:rsidR="00FD4FDE" w:rsidRPr="00015F19" w:rsidRDefault="00FD4FDE" w:rsidP="00FD4FDE">
            <w:pPr>
              <w:widowControl w:val="0"/>
              <w:spacing w:before="60" w:after="60"/>
              <w:ind w:left="0"/>
              <w:jc w:val="right"/>
              <w:rPr>
                <w:rFonts w:cs="Arial"/>
                <w:b/>
                <w:sz w:val="20"/>
                <w:szCs w:val="20"/>
                <w:lang w:eastAsia="en-NZ"/>
              </w:rPr>
            </w:pPr>
            <w:r w:rsidRPr="00015F19">
              <w:rPr>
                <w:rFonts w:cs="Arial"/>
                <w:b/>
                <w:sz w:val="20"/>
                <w:szCs w:val="20"/>
                <w:lang w:eastAsia="en-NZ"/>
              </w:rPr>
              <w:t>$6,178,000</w:t>
            </w:r>
          </w:p>
        </w:tc>
      </w:tr>
    </w:tbl>
    <w:p w:rsidR="00493443" w:rsidRDefault="00493443">
      <w:pPr>
        <w:spacing w:before="0"/>
        <w:ind w:left="0"/>
        <w:rPr>
          <w:highlight w:val="green"/>
        </w:rPr>
      </w:pPr>
    </w:p>
    <w:p w:rsidR="007C3D83" w:rsidRPr="00FD4FDE" w:rsidRDefault="007C3D83" w:rsidP="00FD4FDE">
      <w:pPr>
        <w:pStyle w:val="Heading3"/>
        <w:rPr>
          <w:i w:val="0"/>
        </w:rPr>
      </w:pPr>
      <w:bookmarkStart w:id="269" w:name="_Toc406582403"/>
      <w:bookmarkStart w:id="270" w:name="_Toc391192827"/>
      <w:bookmarkEnd w:id="264"/>
      <w:bookmarkEnd w:id="265"/>
      <w:bookmarkEnd w:id="266"/>
      <w:bookmarkEnd w:id="267"/>
      <w:bookmarkEnd w:id="268"/>
      <w:r w:rsidRPr="00FD4FDE">
        <w:rPr>
          <w:i w:val="0"/>
        </w:rPr>
        <w:t>Drilling down into the data (years 1-2)</w:t>
      </w:r>
      <w:bookmarkEnd w:id="269"/>
    </w:p>
    <w:p w:rsidR="007C3D83" w:rsidRPr="000C18B5" w:rsidRDefault="007C3D83" w:rsidP="007C3D83">
      <w:pPr>
        <w:pStyle w:val="Heading3"/>
        <w:numPr>
          <w:ilvl w:val="3"/>
          <w:numId w:val="0"/>
        </w:numPr>
        <w:tabs>
          <w:tab w:val="num" w:pos="851"/>
        </w:tabs>
        <w:spacing w:before="220" w:after="80" w:line="260" w:lineRule="atLeast"/>
        <w:ind w:left="851" w:hanging="851"/>
        <w:rPr>
          <w:sz w:val="22"/>
        </w:rPr>
      </w:pPr>
      <w:bookmarkStart w:id="271" w:name="_Toc406582404"/>
      <w:r w:rsidRPr="000C18B5">
        <w:rPr>
          <w:sz w:val="22"/>
        </w:rPr>
        <w:t>Relative cost of screening pathway stages</w:t>
      </w:r>
      <w:bookmarkEnd w:id="271"/>
    </w:p>
    <w:p w:rsidR="007C3D83" w:rsidRPr="000B1408" w:rsidRDefault="007C3D83" w:rsidP="000B1408">
      <w:pPr>
        <w:autoSpaceDE w:val="0"/>
        <w:autoSpaceDN w:val="0"/>
        <w:adjustRightInd w:val="0"/>
        <w:spacing w:before="120"/>
      </w:pPr>
      <w:r w:rsidRPr="000B1408">
        <w:t>As shown in</w:t>
      </w:r>
      <w:r w:rsidR="00026D35">
        <w:t xml:space="preserve"> Figure 17</w:t>
      </w:r>
      <w:r w:rsidRPr="000B1408">
        <w:t xml:space="preserve">, the screening pathway can be viewed as having four discrete phases. Looking at the pilot operating costs through this lens can help to determine where the bulk of the costs are incurred and where the costs-per-outcome are highest.   </w:t>
      </w:r>
    </w:p>
    <w:p w:rsidR="007C3D83" w:rsidRPr="00EE2149" w:rsidDel="007F7D7F" w:rsidRDefault="007C3D83" w:rsidP="00F04363">
      <w:pPr>
        <w:pStyle w:val="Figure"/>
      </w:pPr>
      <w:bookmarkStart w:id="272" w:name="_Toc406582456"/>
      <w:bookmarkStart w:id="273" w:name="_Toc412540144"/>
      <w:r>
        <w:t xml:space="preserve">Figure </w:t>
      </w:r>
      <w:r w:rsidR="00F04363">
        <w:t>17</w:t>
      </w:r>
      <w:r>
        <w:t xml:space="preserve">: </w:t>
      </w:r>
      <w:r w:rsidRPr="00CE2367">
        <w:t xml:space="preserve">Four high-level stages of the screening pathway </w:t>
      </w:r>
      <w:r>
        <w:t>and associated overheads</w:t>
      </w:r>
      <w:bookmarkEnd w:id="272"/>
      <w:bookmarkEnd w:id="273"/>
    </w:p>
    <w:p w:rsidR="007C3D83" w:rsidRPr="00704F7C" w:rsidRDefault="007C3D83" w:rsidP="007C3D83">
      <w:pPr>
        <w:spacing w:before="40" w:after="200"/>
        <w:ind w:hanging="28"/>
        <w:rPr>
          <w:rFonts w:eastAsia="Calibri"/>
          <w:lang w:eastAsia="en-US"/>
        </w:rPr>
      </w:pPr>
      <w:r w:rsidRPr="004E29EA">
        <w:rPr>
          <w:noProof/>
          <w:lang w:eastAsia="en-NZ"/>
        </w:rPr>
        <w:drawing>
          <wp:inline distT="0" distB="0" distL="0" distR="0" wp14:anchorId="7EC94E3A" wp14:editId="0BCAF4D8">
            <wp:extent cx="5143500" cy="1897686"/>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57404" cy="1902816"/>
                    </a:xfrm>
                    <a:prstGeom prst="rect">
                      <a:avLst/>
                    </a:prstGeom>
                  </pic:spPr>
                </pic:pic>
              </a:graphicData>
            </a:graphic>
          </wp:inline>
        </w:drawing>
      </w:r>
    </w:p>
    <w:p w:rsidR="007C3D83" w:rsidRPr="00FD4FDE" w:rsidRDefault="007C3D83" w:rsidP="000C18B5">
      <w:pPr>
        <w:pStyle w:val="Bullet"/>
        <w:numPr>
          <w:ilvl w:val="0"/>
          <w:numId w:val="0"/>
        </w:numPr>
        <w:ind w:left="709"/>
      </w:pPr>
      <w:r w:rsidRPr="00FD4FDE">
        <w:t xml:space="preserve">The high-level results of this stage-by-stage cost analysis (estimates of annual cost based on the 2012 and 2013 samples of cost data) are shown in </w:t>
      </w:r>
      <w:r w:rsidR="00DE1562">
        <w:fldChar w:fldCharType="begin"/>
      </w:r>
      <w:r w:rsidR="00DE1562">
        <w:instrText xml:space="preserve"> REF _Ref404920794 \h </w:instrText>
      </w:r>
      <w:r w:rsidR="00DE1562">
        <w:fldChar w:fldCharType="separate"/>
      </w:r>
      <w:r w:rsidR="00957CD0">
        <w:t xml:space="preserve">Figure </w:t>
      </w:r>
      <w:r w:rsidR="00957CD0">
        <w:rPr>
          <w:noProof/>
        </w:rPr>
        <w:t>1</w:t>
      </w:r>
      <w:r w:rsidR="00DE1562">
        <w:fldChar w:fldCharType="end"/>
      </w:r>
      <w:r w:rsidR="00DE1562">
        <w:t>8</w:t>
      </w:r>
      <w:r w:rsidRPr="00FD4FDE">
        <w:t xml:space="preserve">.  It illustrates that stages 1 and 3 of the pathway consume the largest relative proportion of resources by far (37% and 43%, respectively).  This may not be surprising when it is considered that the initial laboratory testing is largely automated and that the histology component deals with relatively small volumes (i.e. the positivity rate from initial testing is generally 7-8% and around 75% of those who receive a colonoscopy as a result then have samples being sent for histology).  </w:t>
      </w:r>
      <w:bookmarkStart w:id="274" w:name="_Ref397026963"/>
    </w:p>
    <w:p w:rsidR="007C3D83" w:rsidRDefault="007C3D83" w:rsidP="00F04363">
      <w:pPr>
        <w:pStyle w:val="Figure"/>
      </w:pPr>
      <w:bookmarkStart w:id="275" w:name="_Ref404920794"/>
      <w:bookmarkStart w:id="276" w:name="_Toc406582457"/>
      <w:bookmarkStart w:id="277" w:name="_Toc412540145"/>
      <w:r>
        <w:lastRenderedPageBreak/>
        <w:t xml:space="preserve">Figure </w:t>
      </w:r>
      <w:fldSimple w:instr=" SEQ Figure \* ARABIC ">
        <w:r w:rsidR="00957CD0">
          <w:rPr>
            <w:noProof/>
          </w:rPr>
          <w:t>1</w:t>
        </w:r>
      </w:fldSimple>
      <w:bookmarkEnd w:id="275"/>
      <w:r w:rsidR="00696085">
        <w:t>8</w:t>
      </w:r>
      <w:r>
        <w:t>: Stages of the screening pathway – relative costs</w:t>
      </w:r>
      <w:bookmarkEnd w:id="276"/>
      <w:bookmarkEnd w:id="277"/>
      <w:r>
        <w:t xml:space="preserve"> </w:t>
      </w:r>
    </w:p>
    <w:bookmarkEnd w:id="274"/>
    <w:p w:rsidR="007C3D83" w:rsidRDefault="007C3D83" w:rsidP="00FD4FDE">
      <w:pPr>
        <w:pStyle w:val="Caption"/>
        <w:keepNext w:val="0"/>
        <w:spacing w:after="240" w:line="240" w:lineRule="auto"/>
        <w:ind w:left="807" w:hanging="98"/>
      </w:pPr>
      <w:r>
        <w:rPr>
          <w:noProof/>
        </w:rPr>
        <w:drawing>
          <wp:inline distT="0" distB="0" distL="0" distR="0" wp14:anchorId="041FB9FF" wp14:editId="502F0F9A">
            <wp:extent cx="4890925" cy="334327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0925" cy="3343275"/>
                    </a:xfrm>
                    <a:prstGeom prst="rect">
                      <a:avLst/>
                    </a:prstGeom>
                    <a:noFill/>
                  </pic:spPr>
                </pic:pic>
              </a:graphicData>
            </a:graphic>
          </wp:inline>
        </w:drawing>
      </w:r>
    </w:p>
    <w:p w:rsidR="007C3D83" w:rsidRPr="000C18B5" w:rsidRDefault="007C3D83" w:rsidP="000C18B5">
      <w:pPr>
        <w:pStyle w:val="Heading3"/>
        <w:numPr>
          <w:ilvl w:val="3"/>
          <w:numId w:val="0"/>
        </w:numPr>
        <w:tabs>
          <w:tab w:val="num" w:pos="851"/>
        </w:tabs>
        <w:spacing w:before="220" w:after="80" w:line="260" w:lineRule="atLeast"/>
        <w:ind w:left="851" w:hanging="851"/>
        <w:rPr>
          <w:sz w:val="22"/>
        </w:rPr>
      </w:pPr>
      <w:bookmarkStart w:id="278" w:name="_Toc393291044"/>
      <w:bookmarkStart w:id="279" w:name="_Toc393291166"/>
      <w:bookmarkStart w:id="280" w:name="_Toc393291750"/>
      <w:bookmarkStart w:id="281" w:name="_Toc393295048"/>
      <w:bookmarkStart w:id="282" w:name="_Toc406582405"/>
      <w:bookmarkEnd w:id="278"/>
      <w:bookmarkEnd w:id="279"/>
      <w:bookmarkEnd w:id="280"/>
      <w:bookmarkEnd w:id="281"/>
      <w:r w:rsidRPr="000C18B5">
        <w:rPr>
          <w:sz w:val="22"/>
        </w:rPr>
        <w:t>Average cost per ‘process outcome’ for each stage</w:t>
      </w:r>
      <w:bookmarkEnd w:id="282"/>
    </w:p>
    <w:p w:rsidR="007C3D83" w:rsidRPr="000B1408" w:rsidRDefault="007C3D83" w:rsidP="000B1408">
      <w:pPr>
        <w:autoSpaceDE w:val="0"/>
        <w:autoSpaceDN w:val="0"/>
        <w:adjustRightInd w:val="0"/>
        <w:spacing w:before="120"/>
      </w:pPr>
      <w:r w:rsidRPr="000B1408">
        <w:t xml:space="preserve">The cost of the four stages of the pathway can also be examined on a cost-per-outcome basis. </w:t>
      </w:r>
      <w:r>
        <w:t>These unit costs have been developed by dividing the annual operating cost for each stage by a key process outcome measure,</w:t>
      </w:r>
      <w:r w:rsidRPr="000B1408">
        <w:t xml:space="preserve"> as shown in </w:t>
      </w:r>
      <w:r w:rsidR="00E25DDE">
        <w:t>Table 13:</w:t>
      </w:r>
    </w:p>
    <w:p w:rsidR="007C3D83" w:rsidRPr="00FD4FDE" w:rsidRDefault="007C3D83" w:rsidP="00FD4FDE">
      <w:pPr>
        <w:numPr>
          <w:ilvl w:val="0"/>
          <w:numId w:val="6"/>
        </w:numPr>
        <w:autoSpaceDE w:val="0"/>
        <w:autoSpaceDN w:val="0"/>
        <w:adjustRightInd w:val="0"/>
        <w:spacing w:before="60" w:after="120"/>
        <w:ind w:left="1134" w:hanging="425"/>
      </w:pPr>
      <w:r w:rsidRPr="00FD4FDE">
        <w:t xml:space="preserve">The cost incurred for each person who returns a sample to the laboratory is relatively low ($64 per person) due to high volumes at this stage of the pathway (based on a figure of 32,129 people between July 2012 and June 2013).  </w:t>
      </w:r>
      <w:r>
        <w:t xml:space="preserve">Stage one can also be subdivided into two categories – promotion, outreach and targeted support to potential participants (44% of stage one costs) and mail-outs and sample collection activities (56%). Using this split, </w:t>
      </w:r>
      <w:r w:rsidRPr="00FD4FDE">
        <w:t xml:space="preserve">$28 per person of the stage one unit cost relates to </w:t>
      </w:r>
      <w:r>
        <w:t>promotion, outreach and targeted support efforts and $36 per person to mail-outs and sample collection activities.</w:t>
      </w:r>
    </w:p>
    <w:p w:rsidR="007C3D83" w:rsidRPr="00FD4FDE" w:rsidRDefault="007C3D83" w:rsidP="00FD4FDE">
      <w:pPr>
        <w:numPr>
          <w:ilvl w:val="0"/>
          <w:numId w:val="6"/>
        </w:numPr>
        <w:autoSpaceDE w:val="0"/>
        <w:autoSpaceDN w:val="0"/>
        <w:adjustRightInd w:val="0"/>
        <w:spacing w:before="60" w:after="120"/>
        <w:ind w:left="1134" w:hanging="425"/>
      </w:pPr>
      <w:r w:rsidRPr="00FD4FDE">
        <w:t xml:space="preserve">Similarly, the laboratory testing of the samples and the advising of the results has a relatively low unit cost ($18) due to a combination of high volumes (based on a figure of 40,884 kit tests being conducted between July 2012 and June 2013) and the role that automation plays in the testing process. </w:t>
      </w:r>
    </w:p>
    <w:p w:rsidR="007C3D83" w:rsidRPr="00FD4FDE" w:rsidRDefault="007C3D83" w:rsidP="00FD4FDE">
      <w:pPr>
        <w:numPr>
          <w:ilvl w:val="0"/>
          <w:numId w:val="6"/>
        </w:numPr>
        <w:autoSpaceDE w:val="0"/>
        <w:autoSpaceDN w:val="0"/>
        <w:adjustRightInd w:val="0"/>
        <w:spacing w:before="60" w:after="120"/>
        <w:ind w:left="1134" w:hanging="425"/>
      </w:pPr>
      <w:r w:rsidRPr="00FD4FDE">
        <w:t xml:space="preserve">In contrast, the cost of a colonoscopy per person is relatively more costly ($1,107 per person on average). This high unit cost </w:t>
      </w:r>
      <w:r w:rsidR="00E43A45">
        <w:t xml:space="preserve">is </w:t>
      </w:r>
      <w:r w:rsidRPr="00FD4FDE">
        <w:t xml:space="preserve">not unexpected given that the procedure is carried out in a clinical environment and involves skilled labour. </w:t>
      </w:r>
    </w:p>
    <w:p w:rsidR="007C3D83" w:rsidRPr="00FD4FDE" w:rsidRDefault="007C3D83" w:rsidP="00FD4FDE">
      <w:pPr>
        <w:numPr>
          <w:ilvl w:val="0"/>
          <w:numId w:val="6"/>
        </w:numPr>
        <w:autoSpaceDE w:val="0"/>
        <w:autoSpaceDN w:val="0"/>
        <w:adjustRightInd w:val="0"/>
        <w:spacing w:before="60" w:after="120"/>
        <w:ind w:left="1134" w:hanging="425"/>
      </w:pPr>
      <w:r w:rsidRPr="00FD4FDE">
        <w:t xml:space="preserve">Histology being conducted as a result of a colonoscopy has the second highest unit costs ($190 per person), likely due to the cost of the trained and skilled labour inputs involved even though the volumes are smaller at this stage of the screening pathway (based on a figure of 1,618 tests being conducted between July 2012 and June 2013). </w:t>
      </w:r>
    </w:p>
    <w:p w:rsidR="007C3D83" w:rsidRDefault="007C3D83" w:rsidP="009A2154">
      <w:pPr>
        <w:pStyle w:val="Table"/>
        <w:ind w:hanging="28"/>
      </w:pPr>
      <w:bookmarkStart w:id="283" w:name="_Toc406582439"/>
      <w:bookmarkStart w:id="284" w:name="_Toc412540166"/>
      <w:r>
        <w:lastRenderedPageBreak/>
        <w:t xml:space="preserve">Table </w:t>
      </w:r>
      <w:fldSimple w:instr=" SEQ Table \* ARABIC ">
        <w:r w:rsidR="00957CD0">
          <w:rPr>
            <w:noProof/>
          </w:rPr>
          <w:t>1</w:t>
        </w:r>
      </w:fldSimple>
      <w:r w:rsidR="00696085">
        <w:t>3</w:t>
      </w:r>
      <w:r>
        <w:t xml:space="preserve">: </w:t>
      </w:r>
      <w:r w:rsidRPr="00417744">
        <w:t>Unit cost for process outcomes at each stage of the screening pathway</w:t>
      </w:r>
      <w:bookmarkEnd w:id="283"/>
      <w:bookmarkEnd w:id="284"/>
    </w:p>
    <w:tbl>
      <w:tblPr>
        <w:tblStyle w:val="TableSapereGrid"/>
        <w:tblW w:w="8361" w:type="dxa"/>
        <w:tblInd w:w="817" w:type="dxa"/>
        <w:tblLayout w:type="fixed"/>
        <w:tblLook w:val="0620" w:firstRow="1" w:lastRow="0" w:firstColumn="0" w:lastColumn="0" w:noHBand="1" w:noVBand="1"/>
      </w:tblPr>
      <w:tblGrid>
        <w:gridCol w:w="2126"/>
        <w:gridCol w:w="1558"/>
        <w:gridCol w:w="1559"/>
        <w:gridCol w:w="1703"/>
        <w:gridCol w:w="1415"/>
      </w:tblGrid>
      <w:tr w:rsidR="007C3D83" w:rsidRPr="00DE1562" w:rsidTr="009A2154">
        <w:trPr>
          <w:cnfStyle w:val="100000000000" w:firstRow="1" w:lastRow="0" w:firstColumn="0" w:lastColumn="0" w:oddVBand="0" w:evenVBand="0" w:oddHBand="0" w:evenHBand="0" w:firstRowFirstColumn="0" w:firstRowLastColumn="0" w:lastRowFirstColumn="0" w:lastRowLastColumn="0"/>
          <w:cantSplit/>
          <w:trHeight w:val="570"/>
        </w:trPr>
        <w:tc>
          <w:tcPr>
            <w:tcW w:w="2126" w:type="dxa"/>
            <w:tcMar>
              <w:right w:w="57" w:type="dxa"/>
            </w:tcMar>
          </w:tcPr>
          <w:p w:rsidR="007C3D83" w:rsidRPr="00DE1562" w:rsidRDefault="007C3D83" w:rsidP="009074CB">
            <w:pPr>
              <w:pStyle w:val="Table-headingrow1"/>
              <w:rPr>
                <w:rFonts w:ascii="Arial" w:hAnsi="Arial" w:cs="Arial"/>
              </w:rPr>
            </w:pPr>
          </w:p>
        </w:tc>
        <w:tc>
          <w:tcPr>
            <w:tcW w:w="1558" w:type="dxa"/>
            <w:tcMar>
              <w:right w:w="57" w:type="dxa"/>
            </w:tcMar>
          </w:tcPr>
          <w:p w:rsidR="007C3D83" w:rsidRPr="00DE1562" w:rsidRDefault="007C3D83" w:rsidP="009074CB">
            <w:pPr>
              <w:pStyle w:val="Table-headingrow1"/>
              <w:jc w:val="center"/>
              <w:rPr>
                <w:rFonts w:ascii="Arial" w:hAnsi="Arial" w:cs="Arial"/>
              </w:rPr>
            </w:pPr>
            <w:r w:rsidRPr="00DE1562">
              <w:rPr>
                <w:rFonts w:ascii="Arial" w:hAnsi="Arial" w:cs="Arial"/>
              </w:rPr>
              <w:t>1. Obtain the samples</w:t>
            </w:r>
          </w:p>
        </w:tc>
        <w:tc>
          <w:tcPr>
            <w:tcW w:w="1559" w:type="dxa"/>
            <w:tcMar>
              <w:right w:w="57" w:type="dxa"/>
            </w:tcMar>
          </w:tcPr>
          <w:p w:rsidR="007C3D83" w:rsidRPr="00DE1562" w:rsidRDefault="007C3D83" w:rsidP="009074CB">
            <w:pPr>
              <w:pStyle w:val="Table-headingrow1"/>
              <w:ind w:left="5"/>
              <w:jc w:val="center"/>
              <w:rPr>
                <w:rFonts w:ascii="Arial" w:hAnsi="Arial" w:cs="Arial"/>
              </w:rPr>
            </w:pPr>
            <w:r w:rsidRPr="00DE1562">
              <w:rPr>
                <w:rFonts w:ascii="Arial" w:hAnsi="Arial" w:cs="Arial"/>
              </w:rPr>
              <w:t>2. Test the samples</w:t>
            </w:r>
          </w:p>
        </w:tc>
        <w:tc>
          <w:tcPr>
            <w:tcW w:w="1703" w:type="dxa"/>
            <w:tcMar>
              <w:right w:w="57" w:type="dxa"/>
            </w:tcMar>
          </w:tcPr>
          <w:p w:rsidR="007C3D83" w:rsidRPr="00DE1562" w:rsidRDefault="007C3D83" w:rsidP="009074CB">
            <w:pPr>
              <w:pStyle w:val="Table-headingrow1"/>
              <w:jc w:val="center"/>
              <w:rPr>
                <w:rFonts w:ascii="Arial" w:hAnsi="Arial" w:cs="Arial"/>
              </w:rPr>
            </w:pPr>
            <w:r w:rsidRPr="00DE1562">
              <w:rPr>
                <w:rFonts w:ascii="Arial" w:hAnsi="Arial" w:cs="Arial"/>
              </w:rPr>
              <w:t>3. Conduct colonoscopies</w:t>
            </w:r>
          </w:p>
        </w:tc>
        <w:tc>
          <w:tcPr>
            <w:tcW w:w="1415" w:type="dxa"/>
            <w:tcMar>
              <w:right w:w="57" w:type="dxa"/>
            </w:tcMar>
          </w:tcPr>
          <w:p w:rsidR="007C3D83" w:rsidRPr="00DE1562" w:rsidRDefault="007C3D83" w:rsidP="009074CB">
            <w:pPr>
              <w:pStyle w:val="Table-headingrow1"/>
              <w:jc w:val="center"/>
              <w:rPr>
                <w:rFonts w:ascii="Arial" w:hAnsi="Arial" w:cs="Arial"/>
              </w:rPr>
            </w:pPr>
            <w:r w:rsidRPr="00DE1562">
              <w:rPr>
                <w:rFonts w:ascii="Arial" w:hAnsi="Arial" w:cs="Arial"/>
              </w:rPr>
              <w:t>4. Histology</w:t>
            </w:r>
          </w:p>
          <w:p w:rsidR="007C3D83" w:rsidRPr="00DE1562" w:rsidRDefault="007C3D83" w:rsidP="009074CB">
            <w:pPr>
              <w:pStyle w:val="Table-headingrow1"/>
              <w:ind w:left="215" w:hanging="210"/>
              <w:rPr>
                <w:rFonts w:ascii="Arial" w:hAnsi="Arial" w:cs="Arial"/>
              </w:rPr>
            </w:pPr>
          </w:p>
        </w:tc>
      </w:tr>
      <w:tr w:rsidR="007C3D83" w:rsidRPr="00DE1562" w:rsidTr="009A2154">
        <w:trPr>
          <w:cantSplit/>
          <w:trHeight w:val="570"/>
        </w:trPr>
        <w:tc>
          <w:tcPr>
            <w:tcW w:w="2126" w:type="dxa"/>
            <w:shd w:val="clear" w:color="auto" w:fill="auto"/>
            <w:tcMar>
              <w:top w:w="85" w:type="dxa"/>
              <w:bottom w:w="85" w:type="dxa"/>
            </w:tcMar>
          </w:tcPr>
          <w:p w:rsidR="007C3D83" w:rsidRPr="00DE1562" w:rsidRDefault="007C3D83" w:rsidP="009074CB">
            <w:pPr>
              <w:pStyle w:val="Table-bodytext"/>
              <w:spacing w:after="0"/>
              <w:rPr>
                <w:rFonts w:ascii="Arial" w:hAnsi="Arial" w:cs="Arial"/>
                <w:b/>
              </w:rPr>
            </w:pPr>
            <w:r w:rsidRPr="00DE1562">
              <w:rPr>
                <w:rFonts w:ascii="Arial" w:hAnsi="Arial" w:cs="Arial"/>
                <w:b/>
              </w:rPr>
              <w:t>Total cost (A)</w:t>
            </w:r>
          </w:p>
        </w:tc>
        <w:tc>
          <w:tcPr>
            <w:tcW w:w="1558"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$2,054,000</w:t>
            </w:r>
          </w:p>
        </w:tc>
        <w:tc>
          <w:tcPr>
            <w:tcW w:w="1559"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$748,000</w:t>
            </w:r>
          </w:p>
        </w:tc>
        <w:tc>
          <w:tcPr>
            <w:tcW w:w="1703"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$2,397,000</w:t>
            </w:r>
          </w:p>
        </w:tc>
        <w:tc>
          <w:tcPr>
            <w:tcW w:w="1415"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$307,000</w:t>
            </w:r>
          </w:p>
        </w:tc>
      </w:tr>
      <w:tr w:rsidR="007C3D83" w:rsidRPr="00DE1562" w:rsidTr="009A2154">
        <w:trPr>
          <w:cantSplit/>
          <w:trHeight w:val="570"/>
        </w:trPr>
        <w:tc>
          <w:tcPr>
            <w:tcW w:w="2126" w:type="dxa"/>
            <w:shd w:val="clear" w:color="auto" w:fill="auto"/>
            <w:tcMar>
              <w:top w:w="85" w:type="dxa"/>
              <w:bottom w:w="85" w:type="dxa"/>
            </w:tcMar>
          </w:tcPr>
          <w:p w:rsidR="007C3D83" w:rsidRPr="00DE1562" w:rsidRDefault="007C3D83" w:rsidP="009074CB">
            <w:pPr>
              <w:pStyle w:val="Table-bodytext"/>
              <w:spacing w:after="0"/>
              <w:rPr>
                <w:rFonts w:ascii="Arial" w:hAnsi="Arial" w:cs="Arial"/>
                <w:b/>
              </w:rPr>
            </w:pPr>
            <w:r w:rsidRPr="00DE1562">
              <w:rPr>
                <w:rFonts w:ascii="Arial" w:hAnsi="Arial" w:cs="Arial"/>
                <w:b/>
              </w:rPr>
              <w:t xml:space="preserve">Process outcome measure </w:t>
            </w:r>
          </w:p>
        </w:tc>
        <w:tc>
          <w:tcPr>
            <w:tcW w:w="1558" w:type="dxa"/>
            <w:shd w:val="clear" w:color="auto" w:fill="auto"/>
            <w:tcMar>
              <w:top w:w="85" w:type="dxa"/>
              <w:left w:w="85" w:type="dxa"/>
              <w:bottom w:w="85" w:type="dxa"/>
              <w:right w:w="85" w:type="dxa"/>
            </w:tcMar>
          </w:tcPr>
          <w:p w:rsidR="007C3D83" w:rsidRPr="00DE1562" w:rsidRDefault="007C3D83" w:rsidP="009074CB">
            <w:pPr>
              <w:pStyle w:val="Table-bodytext"/>
              <w:spacing w:after="0"/>
              <w:jc w:val="center"/>
              <w:rPr>
                <w:rFonts w:ascii="Arial" w:hAnsi="Arial" w:cs="Arial"/>
              </w:rPr>
            </w:pPr>
            <w:r w:rsidRPr="00DE1562">
              <w:rPr>
                <w:rFonts w:ascii="Arial" w:hAnsi="Arial" w:cs="Arial"/>
              </w:rPr>
              <w:t>Person returning a sample</w:t>
            </w:r>
          </w:p>
        </w:tc>
        <w:tc>
          <w:tcPr>
            <w:tcW w:w="1559" w:type="dxa"/>
            <w:shd w:val="clear" w:color="auto" w:fill="auto"/>
            <w:tcMar>
              <w:top w:w="85" w:type="dxa"/>
              <w:left w:w="85" w:type="dxa"/>
              <w:bottom w:w="85" w:type="dxa"/>
              <w:right w:w="85" w:type="dxa"/>
            </w:tcMar>
          </w:tcPr>
          <w:p w:rsidR="007C3D83" w:rsidRPr="00DE1562" w:rsidRDefault="007C3D83" w:rsidP="009074CB">
            <w:pPr>
              <w:pStyle w:val="Table-bodytext"/>
              <w:spacing w:after="0"/>
              <w:jc w:val="center"/>
              <w:rPr>
                <w:rFonts w:ascii="Arial" w:hAnsi="Arial" w:cs="Arial"/>
              </w:rPr>
            </w:pPr>
            <w:r w:rsidRPr="00DE1562">
              <w:rPr>
                <w:rFonts w:ascii="Arial" w:hAnsi="Arial" w:cs="Arial"/>
              </w:rPr>
              <w:t>Samples tested at laboratory</w:t>
            </w:r>
          </w:p>
        </w:tc>
        <w:tc>
          <w:tcPr>
            <w:tcW w:w="1703" w:type="dxa"/>
            <w:shd w:val="clear" w:color="auto" w:fill="auto"/>
            <w:tcMar>
              <w:top w:w="85" w:type="dxa"/>
              <w:left w:w="85" w:type="dxa"/>
              <w:bottom w:w="85" w:type="dxa"/>
              <w:right w:w="85" w:type="dxa"/>
            </w:tcMar>
          </w:tcPr>
          <w:p w:rsidR="007C3D83" w:rsidRPr="00DE1562" w:rsidRDefault="007C3D83" w:rsidP="009074CB">
            <w:pPr>
              <w:pStyle w:val="Table-bodytext"/>
              <w:spacing w:after="0"/>
              <w:jc w:val="center"/>
              <w:rPr>
                <w:rFonts w:ascii="Arial" w:hAnsi="Arial" w:cs="Arial"/>
              </w:rPr>
            </w:pPr>
            <w:r w:rsidRPr="00DE1562">
              <w:rPr>
                <w:rFonts w:ascii="Arial" w:hAnsi="Arial" w:cs="Arial"/>
              </w:rPr>
              <w:t>Person receiving a colonoscopy</w:t>
            </w:r>
          </w:p>
        </w:tc>
        <w:tc>
          <w:tcPr>
            <w:tcW w:w="1415" w:type="dxa"/>
            <w:shd w:val="clear" w:color="auto" w:fill="auto"/>
            <w:tcMar>
              <w:top w:w="85" w:type="dxa"/>
              <w:left w:w="85" w:type="dxa"/>
              <w:bottom w:w="85" w:type="dxa"/>
              <w:right w:w="85" w:type="dxa"/>
            </w:tcMar>
          </w:tcPr>
          <w:p w:rsidR="007C3D83" w:rsidRPr="00DE1562" w:rsidRDefault="007C3D83" w:rsidP="009074CB">
            <w:pPr>
              <w:pStyle w:val="Table-bodytext"/>
              <w:spacing w:after="0"/>
              <w:jc w:val="center"/>
              <w:rPr>
                <w:rFonts w:ascii="Arial" w:hAnsi="Arial" w:cs="Arial"/>
              </w:rPr>
            </w:pPr>
            <w:r w:rsidRPr="00DE1562">
              <w:rPr>
                <w:rFonts w:ascii="Arial" w:hAnsi="Arial" w:cs="Arial"/>
              </w:rPr>
              <w:t xml:space="preserve">Histology conducted </w:t>
            </w:r>
          </w:p>
        </w:tc>
      </w:tr>
      <w:tr w:rsidR="007C3D83" w:rsidRPr="00DE1562" w:rsidTr="009A2154">
        <w:trPr>
          <w:cantSplit/>
          <w:trHeight w:val="570"/>
        </w:trPr>
        <w:tc>
          <w:tcPr>
            <w:tcW w:w="2126" w:type="dxa"/>
            <w:shd w:val="clear" w:color="auto" w:fill="auto"/>
            <w:tcMar>
              <w:top w:w="85" w:type="dxa"/>
              <w:bottom w:w="85" w:type="dxa"/>
            </w:tcMar>
          </w:tcPr>
          <w:p w:rsidR="007C3D83" w:rsidRPr="00DE1562" w:rsidRDefault="007C3D83" w:rsidP="009074CB">
            <w:pPr>
              <w:pStyle w:val="Table-bodytext"/>
              <w:spacing w:after="0"/>
              <w:rPr>
                <w:rFonts w:ascii="Arial" w:hAnsi="Arial" w:cs="Arial"/>
                <w:b/>
              </w:rPr>
            </w:pPr>
            <w:r w:rsidRPr="00DE1562">
              <w:rPr>
                <w:rFonts w:ascii="Arial" w:hAnsi="Arial" w:cs="Arial"/>
                <w:b/>
              </w:rPr>
              <w:t>Volume of units of outcome (B)</w:t>
            </w:r>
          </w:p>
        </w:tc>
        <w:tc>
          <w:tcPr>
            <w:tcW w:w="1558"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32,129</w:t>
            </w:r>
          </w:p>
        </w:tc>
        <w:tc>
          <w:tcPr>
            <w:tcW w:w="1559"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40,884</w:t>
            </w:r>
          </w:p>
        </w:tc>
        <w:tc>
          <w:tcPr>
            <w:tcW w:w="1703"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2,165</w:t>
            </w:r>
          </w:p>
        </w:tc>
        <w:tc>
          <w:tcPr>
            <w:tcW w:w="1415"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1,618</w:t>
            </w:r>
          </w:p>
        </w:tc>
      </w:tr>
      <w:tr w:rsidR="007C3D83" w:rsidRPr="00DE1562" w:rsidTr="009A2154">
        <w:trPr>
          <w:cantSplit/>
          <w:trHeight w:val="570"/>
        </w:trPr>
        <w:tc>
          <w:tcPr>
            <w:tcW w:w="2126" w:type="dxa"/>
            <w:shd w:val="clear" w:color="auto" w:fill="auto"/>
            <w:tcMar>
              <w:top w:w="85" w:type="dxa"/>
              <w:bottom w:w="85" w:type="dxa"/>
            </w:tcMar>
          </w:tcPr>
          <w:p w:rsidR="007C3D83" w:rsidRPr="00DE1562" w:rsidRDefault="007C3D83" w:rsidP="009074CB">
            <w:pPr>
              <w:pStyle w:val="Table-bodytext"/>
              <w:spacing w:after="0"/>
              <w:rPr>
                <w:rFonts w:ascii="Arial" w:hAnsi="Arial" w:cs="Arial"/>
                <w:b/>
              </w:rPr>
            </w:pPr>
            <w:r w:rsidRPr="00DE1562">
              <w:rPr>
                <w:rFonts w:ascii="Arial" w:hAnsi="Arial" w:cs="Arial"/>
                <w:b/>
              </w:rPr>
              <w:t>Cost per unit of outcome (A/B)</w:t>
            </w:r>
          </w:p>
        </w:tc>
        <w:tc>
          <w:tcPr>
            <w:tcW w:w="1558"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$63.92</w:t>
            </w:r>
          </w:p>
        </w:tc>
        <w:tc>
          <w:tcPr>
            <w:tcW w:w="1559"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$18.30</w:t>
            </w:r>
          </w:p>
        </w:tc>
        <w:tc>
          <w:tcPr>
            <w:tcW w:w="1703"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$1,107.03</w:t>
            </w:r>
          </w:p>
        </w:tc>
        <w:tc>
          <w:tcPr>
            <w:tcW w:w="1415" w:type="dxa"/>
            <w:shd w:val="clear" w:color="auto" w:fill="auto"/>
            <w:tcMar>
              <w:top w:w="85" w:type="dxa"/>
              <w:left w:w="113" w:type="dxa"/>
              <w:bottom w:w="85" w:type="dxa"/>
              <w:right w:w="113" w:type="dxa"/>
            </w:tcMar>
          </w:tcPr>
          <w:p w:rsidR="007C3D83" w:rsidRPr="00DE1562" w:rsidRDefault="007C3D83" w:rsidP="009074CB">
            <w:pPr>
              <w:pStyle w:val="Table-bodytext"/>
              <w:spacing w:after="0"/>
              <w:jc w:val="right"/>
              <w:rPr>
                <w:rFonts w:ascii="Arial" w:hAnsi="Arial" w:cs="Arial"/>
              </w:rPr>
            </w:pPr>
            <w:r w:rsidRPr="00DE1562">
              <w:rPr>
                <w:rFonts w:ascii="Arial" w:hAnsi="Arial" w:cs="Arial"/>
              </w:rPr>
              <w:t>$189.75</w:t>
            </w:r>
          </w:p>
        </w:tc>
      </w:tr>
    </w:tbl>
    <w:p w:rsidR="007C3D83" w:rsidRDefault="007C3D83" w:rsidP="007C3D83">
      <w:pPr>
        <w:pStyle w:val="UnnumtextBullet1"/>
        <w:numPr>
          <w:ilvl w:val="0"/>
          <w:numId w:val="0"/>
        </w:numPr>
        <w:ind w:left="425"/>
      </w:pPr>
    </w:p>
    <w:p w:rsidR="007C3D83" w:rsidRDefault="007C3D83" w:rsidP="00FD4FDE">
      <w:pPr>
        <w:autoSpaceDE w:val="0"/>
        <w:autoSpaceDN w:val="0"/>
        <w:adjustRightInd w:val="0"/>
        <w:spacing w:before="120"/>
      </w:pPr>
      <w:r>
        <w:t xml:space="preserve">We combined the operating costs for stages one and two and divide by the number of people returning a kit for testing to derive a </w:t>
      </w:r>
      <w:r w:rsidRPr="00FD4FDE">
        <w:t>cost per participant screened</w:t>
      </w:r>
      <w:r>
        <w:t xml:space="preserve"> of $87.21.</w:t>
      </w:r>
    </w:p>
    <w:p w:rsidR="007C3D83" w:rsidRPr="00805E76" w:rsidRDefault="007C3D83" w:rsidP="00FD4FDE">
      <w:pPr>
        <w:autoSpaceDE w:val="0"/>
        <w:autoSpaceDN w:val="0"/>
        <w:adjustRightInd w:val="0"/>
        <w:spacing w:before="120"/>
      </w:pPr>
      <w:r>
        <w:t xml:space="preserve">We also derive a </w:t>
      </w:r>
      <w:r w:rsidRPr="00FD4FDE">
        <w:t>cost per participant receiving investigation</w:t>
      </w:r>
      <w:r>
        <w:t xml:space="preserve"> of $1,268.76 by combining the operating costs for stages 3 &amp; 4 and dividing by the number of colonoscopies conducted (acknowledging that most of these participants go on to have histology). </w:t>
      </w:r>
    </w:p>
    <w:p w:rsidR="007C3D83" w:rsidRDefault="007C3D83" w:rsidP="00FD4FDE">
      <w:pPr>
        <w:autoSpaceDE w:val="0"/>
        <w:autoSpaceDN w:val="0"/>
        <w:adjustRightInd w:val="0"/>
        <w:spacing w:before="120"/>
      </w:pPr>
      <w:bookmarkStart w:id="285" w:name="_Toc397026892"/>
      <w:bookmarkStart w:id="286" w:name="_Toc397027017"/>
      <w:bookmarkStart w:id="287" w:name="_Toc397033450"/>
      <w:bookmarkEnd w:id="285"/>
      <w:bookmarkEnd w:id="286"/>
      <w:bookmarkEnd w:id="287"/>
      <w:r>
        <w:t xml:space="preserve">The unit costs used for the variable cost components are shown in </w:t>
      </w:r>
      <w:r>
        <w:fldChar w:fldCharType="begin"/>
      </w:r>
      <w:r>
        <w:instrText xml:space="preserve"> REF _Ref397600958 \h </w:instrText>
      </w:r>
      <w:r w:rsidR="00FD4FDE">
        <w:instrText xml:space="preserve"> \* MERGEFORMAT </w:instrText>
      </w:r>
      <w:r>
        <w:fldChar w:fldCharType="separate"/>
      </w:r>
      <w:r w:rsidR="00957CD0">
        <w:t xml:space="preserve">Table </w:t>
      </w:r>
      <w:r>
        <w:fldChar w:fldCharType="end"/>
      </w:r>
      <w:r w:rsidR="00F50FF2">
        <w:t>1</w:t>
      </w:r>
      <w:r w:rsidR="000B1408">
        <w:t>4</w:t>
      </w:r>
      <w:r>
        <w:t xml:space="preserve"> below.</w:t>
      </w:r>
      <w:r>
        <w:br w:type="page"/>
      </w:r>
    </w:p>
    <w:p w:rsidR="007C3D83" w:rsidRDefault="007C3D83" w:rsidP="00DE1562">
      <w:pPr>
        <w:pStyle w:val="Table"/>
        <w:ind w:left="0" w:hanging="426"/>
      </w:pPr>
      <w:bookmarkStart w:id="288" w:name="_Ref397600958"/>
      <w:bookmarkStart w:id="289" w:name="_Toc406582440"/>
      <w:bookmarkStart w:id="290" w:name="_Toc412540167"/>
      <w:r>
        <w:lastRenderedPageBreak/>
        <w:t xml:space="preserve">Table </w:t>
      </w:r>
      <w:bookmarkEnd w:id="288"/>
      <w:r w:rsidR="00EF52CA">
        <w:t>1</w:t>
      </w:r>
      <w:r w:rsidR="00696085">
        <w:t>4</w:t>
      </w:r>
      <w:r>
        <w:t>: Unit cost of variable cost components, by stage of pathway</w:t>
      </w:r>
      <w:bookmarkEnd w:id="289"/>
      <w:bookmarkEnd w:id="290"/>
    </w:p>
    <w:tbl>
      <w:tblPr>
        <w:tblStyle w:val="TableSapereGrid"/>
        <w:tblW w:w="5404" w:type="pct"/>
        <w:tblInd w:w="-318" w:type="dxa"/>
        <w:tblLayout w:type="fixed"/>
        <w:tblCellMar>
          <w:top w:w="57" w:type="dxa"/>
          <w:bottom w:w="57" w:type="dxa"/>
        </w:tblCellMar>
        <w:tblLook w:val="04A0" w:firstRow="1" w:lastRow="0" w:firstColumn="1" w:lastColumn="0" w:noHBand="0" w:noVBand="1"/>
      </w:tblPr>
      <w:tblGrid>
        <w:gridCol w:w="3383"/>
        <w:gridCol w:w="6115"/>
        <w:gridCol w:w="1155"/>
      </w:tblGrid>
      <w:tr w:rsidR="00FD4FDE" w:rsidRPr="00DE1562" w:rsidTr="00DE1562">
        <w:trPr>
          <w:cnfStyle w:val="100000000000" w:firstRow="1" w:lastRow="0" w:firstColumn="0" w:lastColumn="0" w:oddVBand="0" w:evenVBand="0" w:oddHBand="0" w:evenHBand="0" w:firstRowFirstColumn="0" w:firstRowLastColumn="0" w:lastRowFirstColumn="0" w:lastRowLastColumn="0"/>
          <w:trHeight w:val="197"/>
        </w:trPr>
        <w:tc>
          <w:tcPr>
            <w:tcW w:w="1588" w:type="pct"/>
            <w:noWrap/>
            <w:hideMark/>
          </w:tcPr>
          <w:p w:rsidR="00FD4FDE" w:rsidRPr="00DE1562" w:rsidRDefault="00FD4FDE" w:rsidP="00FD4FDE">
            <w:pPr>
              <w:spacing w:before="0" w:line="260" w:lineRule="atLeast"/>
              <w:ind w:left="0"/>
              <w:rPr>
                <w:rFonts w:eastAsia="Calibri" w:cs="Arial"/>
                <w:b/>
                <w:color w:val="FFFFFF"/>
                <w:sz w:val="20"/>
                <w:szCs w:val="20"/>
                <w:lang w:eastAsia="en-US"/>
              </w:rPr>
            </w:pPr>
            <w:r w:rsidRPr="00DE1562">
              <w:rPr>
                <w:rFonts w:eastAsia="Calibri" w:cs="Arial"/>
                <w:b/>
                <w:color w:val="FFFFFF"/>
                <w:sz w:val="20"/>
                <w:szCs w:val="20"/>
                <w:lang w:eastAsia="en-US"/>
              </w:rPr>
              <w:t>Process step</w:t>
            </w:r>
          </w:p>
        </w:tc>
        <w:tc>
          <w:tcPr>
            <w:tcW w:w="2870" w:type="pct"/>
            <w:noWrap/>
            <w:hideMark/>
          </w:tcPr>
          <w:p w:rsidR="00FD4FDE" w:rsidRPr="00DE1562" w:rsidRDefault="00FD4FDE" w:rsidP="00FD4FDE">
            <w:pPr>
              <w:spacing w:before="0" w:line="260" w:lineRule="atLeast"/>
              <w:ind w:left="0"/>
              <w:rPr>
                <w:rFonts w:eastAsia="Calibri" w:cs="Arial"/>
                <w:b/>
                <w:color w:val="FFFFFF"/>
                <w:sz w:val="20"/>
                <w:szCs w:val="20"/>
                <w:lang w:eastAsia="en-US"/>
              </w:rPr>
            </w:pPr>
            <w:r w:rsidRPr="00DE1562">
              <w:rPr>
                <w:rFonts w:eastAsia="Calibri" w:cs="Arial"/>
                <w:b/>
                <w:color w:val="FFFFFF"/>
                <w:sz w:val="20"/>
                <w:szCs w:val="20"/>
                <w:lang w:eastAsia="en-US"/>
              </w:rPr>
              <w:t>Components</w:t>
            </w:r>
          </w:p>
        </w:tc>
        <w:tc>
          <w:tcPr>
            <w:tcW w:w="542" w:type="pct"/>
          </w:tcPr>
          <w:p w:rsidR="00FD4FDE" w:rsidRPr="00DE1562" w:rsidRDefault="00FD4FDE" w:rsidP="00FD4FDE">
            <w:pPr>
              <w:spacing w:before="0" w:line="260" w:lineRule="atLeast"/>
              <w:ind w:left="0"/>
              <w:jc w:val="center"/>
              <w:rPr>
                <w:rFonts w:eastAsia="Calibri" w:cs="Arial"/>
                <w:b/>
                <w:color w:val="FFFFFF"/>
                <w:sz w:val="20"/>
                <w:szCs w:val="20"/>
                <w:lang w:eastAsia="en-US"/>
              </w:rPr>
            </w:pPr>
            <w:r w:rsidRPr="00DE1562">
              <w:rPr>
                <w:rFonts w:eastAsia="Calibri" w:cs="Arial"/>
                <w:b/>
                <w:color w:val="FFFFFF"/>
                <w:sz w:val="20"/>
                <w:szCs w:val="20"/>
                <w:lang w:eastAsia="en-US"/>
              </w:rPr>
              <w:t>Unit cost</w:t>
            </w:r>
          </w:p>
        </w:tc>
      </w:tr>
      <w:tr w:rsidR="00FD4FDE" w:rsidRPr="00DE1562" w:rsidTr="00FD4FDE">
        <w:trPr>
          <w:trHeight w:val="284"/>
        </w:trPr>
        <w:tc>
          <w:tcPr>
            <w:tcW w:w="5000" w:type="pct"/>
            <w:gridSpan w:val="3"/>
            <w:shd w:val="clear" w:color="auto" w:fill="DDD9C3" w:themeFill="background2" w:themeFillShade="E6"/>
            <w:noWrap/>
            <w:vAlign w:val="center"/>
          </w:tcPr>
          <w:p w:rsidR="00FD4FDE" w:rsidRPr="00DE1562" w:rsidRDefault="00FD4FDE" w:rsidP="00FD4FDE">
            <w:pPr>
              <w:spacing w:before="0" w:line="260" w:lineRule="atLeast"/>
              <w:ind w:left="0"/>
              <w:rPr>
                <w:rFonts w:eastAsia="Calibri" w:cs="Arial"/>
                <w:b/>
                <w:sz w:val="20"/>
                <w:szCs w:val="20"/>
                <w:lang w:eastAsia="en-US"/>
              </w:rPr>
            </w:pPr>
            <w:r w:rsidRPr="00DE1562">
              <w:rPr>
                <w:rFonts w:eastAsia="Calibri" w:cs="Arial"/>
                <w:b/>
                <w:sz w:val="20"/>
                <w:szCs w:val="20"/>
                <w:lang w:eastAsia="en-US"/>
              </w:rPr>
              <w:t>Stage 1: Obtain samples</w:t>
            </w:r>
          </w:p>
        </w:tc>
      </w:tr>
      <w:tr w:rsidR="00FD4FDE" w:rsidRPr="00DE1562" w:rsidTr="00DE1562">
        <w:trPr>
          <w:trHeight w:val="465"/>
        </w:trPr>
        <w:tc>
          <w:tcPr>
            <w:tcW w:w="1588"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Pre-invitation letter sent</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Letterhead, Letter printing, Brochure "All About Bowel Screening", DLE envelope, Postage</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$1.20</w:t>
            </w:r>
          </w:p>
        </w:tc>
      </w:tr>
      <w:tr w:rsidR="00FD4FDE" w:rsidRPr="00DE1562" w:rsidTr="00DE1562">
        <w:trPr>
          <w:trHeight w:val="643"/>
        </w:trPr>
        <w:tc>
          <w:tcPr>
            <w:tcW w:w="1588" w:type="pct"/>
            <w:noWrap/>
            <w:hideMark/>
          </w:tcPr>
          <w:p w:rsidR="00FD4FDE" w:rsidRPr="00DE1562" w:rsidRDefault="00497141" w:rsidP="00FD4FDE">
            <w:pPr>
              <w:spacing w:before="0" w:line="260" w:lineRule="atLeast"/>
              <w:ind w:left="0"/>
              <w:rPr>
                <w:rFonts w:eastAsia="Calibri" w:cs="Arial"/>
                <w:color w:val="000000"/>
                <w:sz w:val="18"/>
                <w:szCs w:val="18"/>
                <w:lang w:eastAsia="en-US"/>
              </w:rPr>
            </w:pPr>
            <w:r>
              <w:rPr>
                <w:rFonts w:eastAsia="Calibri" w:cs="Arial"/>
                <w:color w:val="000000"/>
                <w:sz w:val="18"/>
                <w:szCs w:val="18"/>
                <w:lang w:eastAsia="en-US"/>
              </w:rPr>
              <w:t>i</w:t>
            </w:r>
            <w:r w:rsidR="00FD4FDE" w:rsidRPr="00DE1562">
              <w:rPr>
                <w:rFonts w:eastAsia="Calibri" w:cs="Arial"/>
                <w:color w:val="000000"/>
                <w:sz w:val="18"/>
                <w:szCs w:val="18"/>
                <w:lang w:eastAsia="en-US"/>
              </w:rPr>
              <w:t>FOBT kit sent (includes re-sends) </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Sample bottles, Sample collection sheet, Plastic zip lock bags, Collation and packaging of test kits, Letterhead, Overprinting of letterhead, Letter printing, C5 envelope, C5 envelope postage, Pamphlet "Quick Reference Guide"</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$5.62</w:t>
            </w:r>
          </w:p>
        </w:tc>
      </w:tr>
      <w:tr w:rsidR="00FD4FDE" w:rsidRPr="00DE1562" w:rsidTr="00DE1562">
        <w:trPr>
          <w:trHeight w:val="880"/>
        </w:trPr>
        <w:tc>
          <w:tcPr>
            <w:tcW w:w="1588"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Standard follow-up at four weeks (reminder letter)</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Letterhead, Letter printing, DLE envelope, Postage</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$1.13</w:t>
            </w:r>
          </w:p>
        </w:tc>
      </w:tr>
      <w:tr w:rsidR="00FD4FDE" w:rsidRPr="00DE1562" w:rsidTr="00DE1562">
        <w:trPr>
          <w:trHeight w:val="667"/>
        </w:trPr>
        <w:tc>
          <w:tcPr>
            <w:tcW w:w="1588" w:type="pct"/>
            <w:noWrap/>
            <w:hideMark/>
          </w:tcPr>
          <w:p w:rsidR="00FD4FDE" w:rsidRPr="00DE1562" w:rsidRDefault="00497141" w:rsidP="00FD4FDE">
            <w:pPr>
              <w:spacing w:before="0" w:line="260" w:lineRule="atLeast"/>
              <w:ind w:left="0"/>
              <w:rPr>
                <w:rFonts w:eastAsia="Calibri" w:cs="Arial"/>
                <w:color w:val="000000"/>
                <w:sz w:val="18"/>
                <w:szCs w:val="18"/>
                <w:lang w:eastAsia="en-US"/>
              </w:rPr>
            </w:pPr>
            <w:r>
              <w:rPr>
                <w:rFonts w:eastAsia="Calibri" w:cs="Arial"/>
                <w:color w:val="000000"/>
                <w:sz w:val="18"/>
                <w:szCs w:val="18"/>
                <w:lang w:eastAsia="en-US"/>
              </w:rPr>
              <w:t>i</w:t>
            </w:r>
            <w:r w:rsidR="00FD4FDE" w:rsidRPr="00DE1562">
              <w:rPr>
                <w:rFonts w:eastAsia="Calibri" w:cs="Arial"/>
                <w:color w:val="000000"/>
                <w:sz w:val="18"/>
                <w:szCs w:val="18"/>
                <w:lang w:eastAsia="en-US"/>
              </w:rPr>
              <w:t>FOBT kit returned to NZ Post mail centre</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Sample return envelope (production), Sample return postage</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$2.33</w:t>
            </w:r>
          </w:p>
        </w:tc>
      </w:tr>
      <w:tr w:rsidR="00FD4FDE" w:rsidRPr="00DE1562" w:rsidTr="00DE1562">
        <w:trPr>
          <w:trHeight w:val="300"/>
        </w:trPr>
        <w:tc>
          <w:tcPr>
            <w:tcW w:w="1588" w:type="pct"/>
            <w:noWrap/>
            <w:hideMark/>
          </w:tcPr>
          <w:p w:rsidR="00FD4FDE" w:rsidRPr="00DE1562" w:rsidRDefault="00497141" w:rsidP="00645695">
            <w:pPr>
              <w:spacing w:before="0" w:line="260" w:lineRule="atLeast"/>
              <w:ind w:left="0"/>
              <w:rPr>
                <w:rFonts w:eastAsia="Calibri" w:cs="Arial"/>
                <w:color w:val="000000"/>
                <w:sz w:val="18"/>
                <w:szCs w:val="18"/>
                <w:lang w:eastAsia="en-US"/>
              </w:rPr>
            </w:pPr>
            <w:r>
              <w:rPr>
                <w:rFonts w:eastAsia="Calibri" w:cs="Arial"/>
                <w:color w:val="000000"/>
                <w:sz w:val="18"/>
                <w:szCs w:val="18"/>
                <w:lang w:eastAsia="en-US"/>
              </w:rPr>
              <w:t>i</w:t>
            </w:r>
            <w:r w:rsidR="00FD4FDE" w:rsidRPr="00DE1562">
              <w:rPr>
                <w:rFonts w:eastAsia="Calibri" w:cs="Arial"/>
                <w:color w:val="000000"/>
                <w:sz w:val="18"/>
                <w:szCs w:val="18"/>
                <w:lang w:eastAsia="en-US"/>
              </w:rPr>
              <w:t>FOBT kit couriered to Lab</w:t>
            </w:r>
            <w:r w:rsidR="00645695">
              <w:rPr>
                <w:rFonts w:eastAsia="Calibri" w:cs="Arial"/>
                <w:color w:val="000000"/>
                <w:sz w:val="18"/>
                <w:szCs w:val="18"/>
                <w:lang w:eastAsia="en-US"/>
              </w:rPr>
              <w:t>PLUS</w:t>
            </w:r>
          </w:p>
        </w:tc>
        <w:tc>
          <w:tcPr>
            <w:tcW w:w="2870" w:type="pct"/>
            <w:noWrap/>
            <w:hideMark/>
          </w:tcPr>
          <w:p w:rsidR="00FD4FDE" w:rsidRPr="00DE1562" w:rsidRDefault="00FD4FDE" w:rsidP="00645695">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 xml:space="preserve">Courier trips of </w:t>
            </w:r>
            <w:r w:rsidR="00E43A45">
              <w:rPr>
                <w:rFonts w:eastAsia="Calibri" w:cs="Arial"/>
                <w:color w:val="000000"/>
                <w:sz w:val="18"/>
                <w:szCs w:val="18"/>
                <w:lang w:eastAsia="en-US"/>
              </w:rPr>
              <w:t>i</w:t>
            </w:r>
            <w:r w:rsidRPr="00DE1562">
              <w:rPr>
                <w:rFonts w:eastAsia="Calibri" w:cs="Arial"/>
                <w:color w:val="000000"/>
                <w:sz w:val="18"/>
                <w:szCs w:val="18"/>
                <w:lang w:eastAsia="en-US"/>
              </w:rPr>
              <w:t>FOBT kits from Mail Centre to LabP</w:t>
            </w:r>
            <w:r w:rsidR="00645695">
              <w:rPr>
                <w:rFonts w:eastAsia="Calibri" w:cs="Arial"/>
                <w:color w:val="000000"/>
                <w:sz w:val="18"/>
                <w:szCs w:val="18"/>
                <w:lang w:eastAsia="en-US"/>
              </w:rPr>
              <w:t>LUS</w:t>
            </w:r>
            <w:r w:rsidRPr="00DE1562">
              <w:rPr>
                <w:rFonts w:eastAsia="Calibri" w:cs="Arial"/>
                <w:color w:val="000000"/>
                <w:sz w:val="18"/>
                <w:szCs w:val="18"/>
                <w:lang w:eastAsia="en-US"/>
              </w:rPr>
              <w:t xml:space="preserve">; return of consent forms to Coordination Centre </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$41.68</w:t>
            </w:r>
          </w:p>
        </w:tc>
      </w:tr>
      <w:tr w:rsidR="00FD4FDE" w:rsidRPr="00DE1562" w:rsidTr="00FD4FDE">
        <w:trPr>
          <w:trHeight w:val="289"/>
        </w:trPr>
        <w:tc>
          <w:tcPr>
            <w:tcW w:w="5000" w:type="pct"/>
            <w:gridSpan w:val="3"/>
            <w:shd w:val="clear" w:color="auto" w:fill="DDD9C3" w:themeFill="background2" w:themeFillShade="E6"/>
            <w:noWrap/>
            <w:vAlign w:val="center"/>
          </w:tcPr>
          <w:p w:rsidR="00FD4FDE" w:rsidRPr="00DE1562" w:rsidRDefault="00FD4FDE" w:rsidP="00FD4FDE">
            <w:pPr>
              <w:spacing w:before="0" w:line="260" w:lineRule="atLeast"/>
              <w:ind w:left="0"/>
              <w:rPr>
                <w:rFonts w:eastAsia="Calibri" w:cs="Arial"/>
                <w:b/>
                <w:sz w:val="20"/>
                <w:szCs w:val="20"/>
                <w:lang w:eastAsia="en-US"/>
              </w:rPr>
            </w:pPr>
            <w:r w:rsidRPr="00DE1562">
              <w:rPr>
                <w:rFonts w:eastAsia="Calibri" w:cs="Arial"/>
                <w:b/>
                <w:sz w:val="20"/>
                <w:szCs w:val="20"/>
                <w:lang w:eastAsia="en-US"/>
              </w:rPr>
              <w:t>Stage 2: Test the samples</w:t>
            </w:r>
          </w:p>
        </w:tc>
      </w:tr>
      <w:tr w:rsidR="00FD4FDE" w:rsidRPr="00DE1562" w:rsidTr="00DE1562">
        <w:trPr>
          <w:trHeight w:val="461"/>
        </w:trPr>
        <w:tc>
          <w:tcPr>
            <w:tcW w:w="1588" w:type="pct"/>
            <w:noWrap/>
            <w:hideMark/>
          </w:tcPr>
          <w:p w:rsidR="00FD4FDE" w:rsidRPr="00DE1562" w:rsidRDefault="00497141" w:rsidP="00FD4FDE">
            <w:pPr>
              <w:spacing w:before="0" w:line="260" w:lineRule="atLeast"/>
              <w:ind w:left="0"/>
              <w:rPr>
                <w:rFonts w:eastAsia="Calibri" w:cs="Arial"/>
                <w:color w:val="000000"/>
                <w:sz w:val="18"/>
                <w:szCs w:val="18"/>
                <w:lang w:eastAsia="en-US"/>
              </w:rPr>
            </w:pPr>
            <w:r>
              <w:rPr>
                <w:rFonts w:eastAsia="Calibri" w:cs="Arial"/>
                <w:color w:val="000000"/>
                <w:sz w:val="18"/>
                <w:szCs w:val="18"/>
                <w:lang w:eastAsia="en-US"/>
              </w:rPr>
              <w:t>i</w:t>
            </w:r>
            <w:r w:rsidR="00FD4FDE" w:rsidRPr="00DE1562">
              <w:rPr>
                <w:rFonts w:eastAsia="Calibri" w:cs="Arial"/>
                <w:color w:val="000000"/>
                <w:sz w:val="18"/>
                <w:szCs w:val="18"/>
                <w:lang w:eastAsia="en-US"/>
              </w:rPr>
              <w:t>FOBT kit read at laboratory</w:t>
            </w:r>
          </w:p>
        </w:tc>
        <w:tc>
          <w:tcPr>
            <w:tcW w:w="2870" w:type="pct"/>
            <w:noWrap/>
            <w:hideMark/>
          </w:tcPr>
          <w:p w:rsidR="00FD4FDE" w:rsidRPr="00DE1562" w:rsidRDefault="00645695" w:rsidP="00645695">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LabP</w:t>
            </w:r>
            <w:r>
              <w:rPr>
                <w:rFonts w:eastAsia="Calibri" w:cs="Arial"/>
                <w:color w:val="000000"/>
                <w:sz w:val="18"/>
                <w:szCs w:val="18"/>
                <w:lang w:eastAsia="en-US"/>
              </w:rPr>
              <w:t>LUS</w:t>
            </w:r>
            <w:r w:rsidRPr="00DE1562">
              <w:rPr>
                <w:rFonts w:eastAsia="Calibri" w:cs="Arial"/>
                <w:color w:val="000000"/>
                <w:sz w:val="18"/>
                <w:szCs w:val="18"/>
                <w:lang w:eastAsia="en-US"/>
              </w:rPr>
              <w:t xml:space="preserve"> </w:t>
            </w:r>
            <w:r w:rsidR="00FD4FDE" w:rsidRPr="00DE1562">
              <w:rPr>
                <w:rFonts w:eastAsia="Calibri" w:cs="Arial"/>
                <w:color w:val="000000"/>
                <w:sz w:val="18"/>
                <w:szCs w:val="18"/>
                <w:lang w:eastAsia="en-US"/>
              </w:rPr>
              <w:t xml:space="preserve">processing cost, Lab orders of reagents </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$7.07</w:t>
            </w:r>
          </w:p>
        </w:tc>
      </w:tr>
      <w:tr w:rsidR="00FD4FDE" w:rsidRPr="00DE1562" w:rsidTr="00DE1562">
        <w:trPr>
          <w:trHeight w:val="213"/>
        </w:trPr>
        <w:tc>
          <w:tcPr>
            <w:tcW w:w="1588"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Negative result</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Letterhead, Letter printing, Pamphlet "All Clear", DLE envelope, Postage</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$1.20</w:t>
            </w:r>
          </w:p>
        </w:tc>
      </w:tr>
      <w:tr w:rsidR="00FD4FDE" w:rsidRPr="00DE1562" w:rsidTr="00DE1562">
        <w:trPr>
          <w:trHeight w:val="300"/>
        </w:trPr>
        <w:tc>
          <w:tcPr>
            <w:tcW w:w="1588"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GP informs patient of positive result</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GP payment for managing positive iFOBT</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$60.00</w:t>
            </w:r>
          </w:p>
        </w:tc>
      </w:tr>
      <w:tr w:rsidR="00FD4FDE" w:rsidRPr="00DE1562" w:rsidTr="00FD4FDE">
        <w:trPr>
          <w:trHeight w:val="284"/>
        </w:trPr>
        <w:tc>
          <w:tcPr>
            <w:tcW w:w="5000" w:type="pct"/>
            <w:gridSpan w:val="3"/>
            <w:shd w:val="clear" w:color="auto" w:fill="DDD9C3" w:themeFill="background2" w:themeFillShade="E6"/>
            <w:noWrap/>
            <w:vAlign w:val="center"/>
          </w:tcPr>
          <w:p w:rsidR="00FD4FDE" w:rsidRPr="00DE1562" w:rsidRDefault="00FD4FDE" w:rsidP="00FD4FDE">
            <w:pPr>
              <w:spacing w:before="0" w:line="260" w:lineRule="atLeast"/>
              <w:ind w:left="0"/>
              <w:rPr>
                <w:rFonts w:eastAsia="Calibri" w:cs="Arial"/>
                <w:b/>
                <w:sz w:val="20"/>
                <w:szCs w:val="20"/>
                <w:lang w:eastAsia="en-US"/>
              </w:rPr>
            </w:pPr>
            <w:r w:rsidRPr="00DE1562">
              <w:rPr>
                <w:rFonts w:eastAsia="Calibri" w:cs="Arial"/>
                <w:b/>
                <w:sz w:val="20"/>
                <w:szCs w:val="20"/>
                <w:lang w:eastAsia="en-US"/>
              </w:rPr>
              <w:t>Stage 3: Conduct colonoscopies</w:t>
            </w:r>
          </w:p>
        </w:tc>
      </w:tr>
      <w:tr w:rsidR="00FD4FDE" w:rsidRPr="00DE1562" w:rsidTr="00DE1562">
        <w:trPr>
          <w:trHeight w:val="663"/>
        </w:trPr>
        <w:tc>
          <w:tcPr>
            <w:tcW w:w="1588"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Colonoscopy preparation (following telephone assessment)</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Letter printing, Pamphlet "Further Investigation", Bowel preparation instruction sheet, Colonoscopy Information Sheet, Glycoprep, Bisercodyl, Bisercodyl bottling/labelling, Courier pack</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$19.66</w:t>
            </w:r>
          </w:p>
        </w:tc>
      </w:tr>
      <w:tr w:rsidR="00FD4FDE" w:rsidRPr="00DE1562" w:rsidTr="00DE1562">
        <w:trPr>
          <w:trHeight w:val="285"/>
        </w:trPr>
        <w:tc>
          <w:tcPr>
            <w:tcW w:w="1588" w:type="pct"/>
            <w:vMerge w:val="restar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Colonoscopy - under local anaesthetic</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 xml:space="preserve">In-house salaried colonoscopists </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$123.08</w:t>
            </w:r>
          </w:p>
        </w:tc>
      </w:tr>
      <w:tr w:rsidR="00FD4FDE" w:rsidRPr="00DE1562" w:rsidTr="00DE1562">
        <w:trPr>
          <w:trHeight w:val="285"/>
        </w:trPr>
        <w:tc>
          <w:tcPr>
            <w:tcW w:w="1588" w:type="pct"/>
            <w:vMerge/>
            <w:noWrap/>
          </w:tcPr>
          <w:p w:rsidR="00FD4FDE" w:rsidRPr="00DE1562" w:rsidRDefault="00FD4FDE" w:rsidP="00FD4FDE">
            <w:pPr>
              <w:spacing w:before="0" w:line="260" w:lineRule="atLeast"/>
              <w:ind w:left="0"/>
              <w:rPr>
                <w:rFonts w:eastAsia="Calibri" w:cs="Arial"/>
                <w:color w:val="000000"/>
                <w:sz w:val="18"/>
                <w:szCs w:val="18"/>
                <w:lang w:eastAsia="en-US"/>
              </w:rPr>
            </w:pPr>
          </w:p>
        </w:tc>
        <w:tc>
          <w:tcPr>
            <w:tcW w:w="2870" w:type="pct"/>
            <w:noWrap/>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In-house - private contractor</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$350.00</w:t>
            </w:r>
          </w:p>
        </w:tc>
      </w:tr>
      <w:tr w:rsidR="00FD4FDE" w:rsidRPr="00DE1562" w:rsidTr="00DE1562">
        <w:trPr>
          <w:trHeight w:val="285"/>
        </w:trPr>
        <w:tc>
          <w:tcPr>
            <w:tcW w:w="1588" w:type="pct"/>
            <w:vMerge/>
            <w:noWrap/>
          </w:tcPr>
          <w:p w:rsidR="00FD4FDE" w:rsidRPr="00DE1562" w:rsidRDefault="00FD4FDE" w:rsidP="00FD4FDE">
            <w:pPr>
              <w:spacing w:before="0" w:line="260" w:lineRule="atLeast"/>
              <w:ind w:left="0"/>
              <w:rPr>
                <w:rFonts w:eastAsia="Calibri" w:cs="Arial"/>
                <w:color w:val="000000"/>
                <w:sz w:val="18"/>
                <w:szCs w:val="18"/>
                <w:lang w:eastAsia="en-US"/>
              </w:rPr>
            </w:pPr>
          </w:p>
        </w:tc>
        <w:tc>
          <w:tcPr>
            <w:tcW w:w="2870" w:type="pct"/>
            <w:noWrap/>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"Temporary increase" capacity</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$1,000.00</w:t>
            </w:r>
          </w:p>
        </w:tc>
      </w:tr>
      <w:tr w:rsidR="00FD4FDE" w:rsidRPr="00DE1562" w:rsidTr="00DE1562">
        <w:trPr>
          <w:trHeight w:val="285"/>
        </w:trPr>
        <w:tc>
          <w:tcPr>
            <w:tcW w:w="1588" w:type="pct"/>
            <w:vMerge/>
            <w:noWrap/>
          </w:tcPr>
          <w:p w:rsidR="00FD4FDE" w:rsidRPr="00DE1562" w:rsidRDefault="00FD4FDE" w:rsidP="00FD4FDE">
            <w:pPr>
              <w:spacing w:before="0" w:line="260" w:lineRule="atLeast"/>
              <w:ind w:left="0"/>
              <w:rPr>
                <w:rFonts w:eastAsia="Calibri" w:cs="Arial"/>
                <w:color w:val="000000"/>
                <w:sz w:val="18"/>
                <w:szCs w:val="18"/>
                <w:lang w:eastAsia="en-US"/>
              </w:rPr>
            </w:pPr>
          </w:p>
        </w:tc>
        <w:tc>
          <w:tcPr>
            <w:tcW w:w="2870" w:type="pct"/>
            <w:noWrap/>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Clinical supplies for in-house procedure</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$117.85</w:t>
            </w:r>
          </w:p>
        </w:tc>
      </w:tr>
      <w:tr w:rsidR="00FD4FDE" w:rsidRPr="00DE1562" w:rsidTr="00DE1562">
        <w:trPr>
          <w:trHeight w:val="288"/>
        </w:trPr>
        <w:tc>
          <w:tcPr>
            <w:tcW w:w="1588"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Colonoscopy - under general anaesthetic</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In-house service</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$1,001.50</w:t>
            </w:r>
          </w:p>
        </w:tc>
      </w:tr>
      <w:tr w:rsidR="00FD4FDE" w:rsidRPr="00DE1562" w:rsidTr="00DE1562">
        <w:trPr>
          <w:trHeight w:val="669"/>
        </w:trPr>
        <w:tc>
          <w:tcPr>
            <w:tcW w:w="1588"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Colonoscopy - ProVation reports</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Report (paper), Report (printing - colour), DLE Envelope, Postage</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$0.68</w:t>
            </w:r>
          </w:p>
        </w:tc>
      </w:tr>
      <w:tr w:rsidR="00FD4FDE" w:rsidRPr="00DE1562" w:rsidTr="00DE1562">
        <w:trPr>
          <w:trHeight w:val="288"/>
        </w:trPr>
        <w:tc>
          <w:tcPr>
            <w:tcW w:w="1588"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 xml:space="preserve">Alternative investigation </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 xml:space="preserve">Participant receives CT colonoscopy </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$427.75</w:t>
            </w:r>
          </w:p>
        </w:tc>
      </w:tr>
      <w:tr w:rsidR="00FD4FDE" w:rsidRPr="00DE1562" w:rsidTr="00FD4FDE">
        <w:trPr>
          <w:trHeight w:val="284"/>
        </w:trPr>
        <w:tc>
          <w:tcPr>
            <w:tcW w:w="5000" w:type="pct"/>
            <w:gridSpan w:val="3"/>
            <w:shd w:val="clear" w:color="auto" w:fill="DDD9C3" w:themeFill="background2" w:themeFillShade="E6"/>
            <w:noWrap/>
            <w:vAlign w:val="center"/>
          </w:tcPr>
          <w:p w:rsidR="00FD4FDE" w:rsidRPr="00DE1562" w:rsidRDefault="00FD4FDE" w:rsidP="00FD4FDE">
            <w:pPr>
              <w:spacing w:before="0" w:line="260" w:lineRule="atLeast"/>
              <w:ind w:left="0"/>
              <w:rPr>
                <w:rFonts w:eastAsia="Calibri" w:cs="Arial"/>
                <w:b/>
                <w:sz w:val="20"/>
                <w:szCs w:val="20"/>
                <w:lang w:eastAsia="en-US"/>
              </w:rPr>
            </w:pPr>
            <w:r w:rsidRPr="00DE1562">
              <w:rPr>
                <w:rFonts w:eastAsia="Calibri" w:cs="Arial"/>
                <w:b/>
                <w:sz w:val="20"/>
                <w:szCs w:val="20"/>
                <w:lang w:eastAsia="en-US"/>
              </w:rPr>
              <w:t>Stage 4:  Histology</w:t>
            </w:r>
          </w:p>
        </w:tc>
      </w:tr>
      <w:tr w:rsidR="00FD4FDE" w:rsidRPr="00DE1562" w:rsidTr="00DE1562">
        <w:trPr>
          <w:trHeight w:val="389"/>
        </w:trPr>
        <w:tc>
          <w:tcPr>
            <w:tcW w:w="1588"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Histology </w:t>
            </w:r>
          </w:p>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 </w:t>
            </w:r>
          </w:p>
        </w:tc>
        <w:tc>
          <w:tcPr>
            <w:tcW w:w="2870" w:type="pct"/>
            <w:noWrap/>
            <w:hideMark/>
          </w:tcPr>
          <w:p w:rsidR="00FD4FDE" w:rsidRPr="00DE1562" w:rsidRDefault="00FD4FDE" w:rsidP="00FD4FDE">
            <w:pPr>
              <w:spacing w:before="0" w:line="260" w:lineRule="atLeast"/>
              <w:ind w:left="0"/>
              <w:rPr>
                <w:rFonts w:eastAsia="Calibri" w:cs="Arial"/>
                <w:color w:val="000000"/>
                <w:sz w:val="18"/>
                <w:szCs w:val="18"/>
                <w:lang w:eastAsia="en-US"/>
              </w:rPr>
            </w:pPr>
            <w:r w:rsidRPr="00DE1562">
              <w:rPr>
                <w:rFonts w:eastAsia="Calibri" w:cs="Arial"/>
                <w:color w:val="000000"/>
                <w:sz w:val="18"/>
                <w:szCs w:val="18"/>
                <w:lang w:eastAsia="en-US"/>
              </w:rPr>
              <w:t>Analysis per participant, Laboratory handling fee, Specimen courier, Histology results letter (paper), Histology results letter (printing), Envelope, Postage</w:t>
            </w:r>
          </w:p>
        </w:tc>
        <w:tc>
          <w:tcPr>
            <w:tcW w:w="542" w:type="pct"/>
          </w:tcPr>
          <w:p w:rsidR="00FD4FDE" w:rsidRPr="00DE1562" w:rsidRDefault="00FD4FDE" w:rsidP="00FD4FDE">
            <w:pPr>
              <w:spacing w:before="0" w:line="260" w:lineRule="atLeast"/>
              <w:ind w:left="0" w:right="113"/>
              <w:jc w:val="right"/>
              <w:rPr>
                <w:rFonts w:eastAsia="Calibri" w:cs="Arial"/>
                <w:color w:val="000000"/>
                <w:sz w:val="18"/>
                <w:szCs w:val="18"/>
                <w:lang w:eastAsia="en-US"/>
              </w:rPr>
            </w:pPr>
            <w:r w:rsidRPr="00DE1562">
              <w:rPr>
                <w:rFonts w:eastAsia="Calibri" w:cs="Arial"/>
                <w:color w:val="000000"/>
                <w:sz w:val="18"/>
                <w:szCs w:val="18"/>
                <w:lang w:eastAsia="en-US"/>
              </w:rPr>
              <w:t>$151.38</w:t>
            </w:r>
          </w:p>
        </w:tc>
      </w:tr>
    </w:tbl>
    <w:p w:rsidR="007C3D83" w:rsidRPr="000C18B5" w:rsidRDefault="007C3D83" w:rsidP="000C18B5">
      <w:pPr>
        <w:pStyle w:val="Heading3"/>
        <w:numPr>
          <w:ilvl w:val="3"/>
          <w:numId w:val="0"/>
        </w:numPr>
        <w:tabs>
          <w:tab w:val="num" w:pos="851"/>
        </w:tabs>
        <w:spacing w:before="220" w:after="80" w:line="260" w:lineRule="atLeast"/>
        <w:ind w:left="851" w:hanging="851"/>
        <w:rPr>
          <w:sz w:val="22"/>
        </w:rPr>
      </w:pPr>
      <w:bookmarkStart w:id="291" w:name="_Toc406582406"/>
      <w:r w:rsidRPr="000C18B5">
        <w:rPr>
          <w:sz w:val="22"/>
        </w:rPr>
        <w:lastRenderedPageBreak/>
        <w:t>Average cost for key screening outcomes</w:t>
      </w:r>
      <w:bookmarkEnd w:id="291"/>
    </w:p>
    <w:p w:rsidR="007C3D83" w:rsidRPr="00FD4FDE" w:rsidRDefault="007C3D83" w:rsidP="00FD4FDE">
      <w:pPr>
        <w:autoSpaceDE w:val="0"/>
        <w:autoSpaceDN w:val="0"/>
        <w:adjustRightInd w:val="0"/>
        <w:spacing w:before="120"/>
      </w:pPr>
      <w:r w:rsidRPr="00FD4FDE">
        <w:t xml:space="preserve">The cost per cancer and per lesion detected is a useful measure of the cost of the pilot in terms of key screening outcomes, given that at this stage in the evaluation full cost effectiveness analysis is not yet feasible.  </w:t>
      </w:r>
    </w:p>
    <w:p w:rsidR="007C3D83" w:rsidRDefault="007C3D83" w:rsidP="00FD4FDE">
      <w:pPr>
        <w:autoSpaceDE w:val="0"/>
        <w:autoSpaceDN w:val="0"/>
        <w:adjustRightInd w:val="0"/>
        <w:spacing w:before="120"/>
      </w:pPr>
      <w:r>
        <w:t xml:space="preserve">Screening for colorectal cancer includes removing premalignant lesions (adenomas) during the colonoscopy. These adenomas thus never present as cancers, meaning that the incidence of colorectal cancer declines with screening. For this reason, it is important to present the cost of screening per lesion (adenoma and cancer) detected as well as per cancer. </w:t>
      </w:r>
    </w:p>
    <w:p w:rsidR="007C3D83" w:rsidRPr="000C18B5" w:rsidRDefault="007C3D83" w:rsidP="000C18B5">
      <w:pPr>
        <w:pStyle w:val="Heading3"/>
        <w:numPr>
          <w:ilvl w:val="3"/>
          <w:numId w:val="0"/>
        </w:numPr>
        <w:tabs>
          <w:tab w:val="num" w:pos="851"/>
        </w:tabs>
        <w:spacing w:before="300" w:after="80" w:line="260" w:lineRule="atLeast"/>
        <w:ind w:left="851" w:hanging="851"/>
        <w:rPr>
          <w:sz w:val="22"/>
        </w:rPr>
      </w:pPr>
      <w:r w:rsidRPr="000C18B5">
        <w:rPr>
          <w:sz w:val="22"/>
        </w:rPr>
        <w:t xml:space="preserve">Cost per cancer detected </w:t>
      </w:r>
    </w:p>
    <w:p w:rsidR="007C3D83" w:rsidRPr="00FD4FDE" w:rsidRDefault="007C3D83" w:rsidP="00FD4FDE">
      <w:pPr>
        <w:autoSpaceDE w:val="0"/>
        <w:autoSpaceDN w:val="0"/>
        <w:adjustRightInd w:val="0"/>
        <w:spacing w:before="120"/>
      </w:pPr>
      <w:r w:rsidRPr="00FD4FDE">
        <w:fldChar w:fldCharType="begin"/>
      </w:r>
      <w:r w:rsidRPr="00FD4FDE">
        <w:instrText xml:space="preserve"> REF _Ref386413475 \h </w:instrText>
      </w:r>
      <w:r w:rsidR="00FD4FDE">
        <w:instrText xml:space="preserve"> \* MERGEFORMAT </w:instrText>
      </w:r>
      <w:r w:rsidRPr="00FD4FDE">
        <w:fldChar w:fldCharType="separate"/>
      </w:r>
      <w:r w:rsidR="00957CD0">
        <w:t xml:space="preserve">Table </w:t>
      </w:r>
      <w:r w:rsidRPr="00FD4FDE">
        <w:fldChar w:fldCharType="end"/>
      </w:r>
      <w:r w:rsidR="00DE1562">
        <w:t>15</w:t>
      </w:r>
      <w:r w:rsidRPr="00FD4FDE">
        <w:t xml:space="preserve"> </w:t>
      </w:r>
      <w:r w:rsidRPr="00FD4FDE">
        <w:fldChar w:fldCharType="begin"/>
      </w:r>
      <w:r w:rsidRPr="00FD4FDE">
        <w:instrText xml:space="preserve"> REF _Ref391029362 \p \h </w:instrText>
      </w:r>
      <w:r w:rsidR="00FD4FDE">
        <w:instrText xml:space="preserve"> \* MERGEFORMAT </w:instrText>
      </w:r>
      <w:r w:rsidRPr="00FD4FDE">
        <w:fldChar w:fldCharType="separate"/>
      </w:r>
      <w:r w:rsidR="00957CD0">
        <w:t>below</w:t>
      </w:r>
      <w:r w:rsidRPr="00FD4FDE">
        <w:fldChar w:fldCharType="end"/>
      </w:r>
      <w:r w:rsidRPr="00FD4FDE">
        <w:t xml:space="preserve"> presents the numbers cancers detected during the first two years of the pilot (129) alongside the operating cost over the same period ($10,593,900). This gives an operating cost per cancer detected of $82,100.  </w:t>
      </w:r>
    </w:p>
    <w:p w:rsidR="007C3D83" w:rsidRDefault="007C3D83" w:rsidP="00EF52CA">
      <w:pPr>
        <w:pStyle w:val="Table"/>
        <w:spacing w:before="240"/>
      </w:pPr>
      <w:bookmarkStart w:id="292" w:name="_Ref386413475"/>
      <w:bookmarkStart w:id="293" w:name="_Ref391029362"/>
      <w:bookmarkStart w:id="294" w:name="_Toc406582441"/>
      <w:bookmarkStart w:id="295" w:name="_Toc412540168"/>
      <w:r>
        <w:t xml:space="preserve">Table </w:t>
      </w:r>
      <w:bookmarkEnd w:id="292"/>
      <w:r w:rsidR="000B1408">
        <w:t>15</w:t>
      </w:r>
      <w:r>
        <w:t>: Estimated operating cost per cancer detected</w:t>
      </w:r>
      <w:bookmarkEnd w:id="293"/>
      <w:r>
        <w:t xml:space="preserve"> during first two years</w:t>
      </w:r>
      <w:bookmarkEnd w:id="294"/>
      <w:bookmarkEnd w:id="295"/>
    </w:p>
    <w:tbl>
      <w:tblPr>
        <w:tblStyle w:val="TableSapereGrid"/>
        <w:tblW w:w="0" w:type="auto"/>
        <w:tblInd w:w="817" w:type="dxa"/>
        <w:tblLook w:val="04A0" w:firstRow="1" w:lastRow="0" w:firstColumn="1" w:lastColumn="0" w:noHBand="0" w:noVBand="1"/>
      </w:tblPr>
      <w:tblGrid>
        <w:gridCol w:w="4429"/>
        <w:gridCol w:w="2039"/>
      </w:tblGrid>
      <w:tr w:rsidR="007C3D83" w:rsidRPr="00EF52CA" w:rsidTr="00DE1562">
        <w:trPr>
          <w:cnfStyle w:val="100000000000" w:firstRow="1" w:lastRow="0" w:firstColumn="0" w:lastColumn="0" w:oddVBand="0" w:evenVBand="0" w:oddHBand="0" w:evenHBand="0" w:firstRowFirstColumn="0" w:firstRowLastColumn="0" w:lastRowFirstColumn="0" w:lastRowLastColumn="0"/>
          <w:cantSplit/>
        </w:trPr>
        <w:tc>
          <w:tcPr>
            <w:tcW w:w="4429" w:type="dxa"/>
          </w:tcPr>
          <w:p w:rsidR="007C3D83" w:rsidRPr="00EF52CA" w:rsidRDefault="007C3D83" w:rsidP="009074CB">
            <w:pPr>
              <w:pStyle w:val="Table-headingrow1"/>
              <w:keepNext/>
              <w:spacing w:line="240" w:lineRule="auto"/>
              <w:rPr>
                <w:rFonts w:ascii="Arial" w:hAnsi="Arial" w:cs="Arial"/>
              </w:rPr>
            </w:pPr>
            <w:r w:rsidRPr="00EF52CA">
              <w:rPr>
                <w:rFonts w:ascii="Arial" w:hAnsi="Arial" w:cs="Arial"/>
              </w:rPr>
              <w:t>Indicator</w:t>
            </w:r>
          </w:p>
        </w:tc>
        <w:tc>
          <w:tcPr>
            <w:tcW w:w="2039" w:type="dxa"/>
          </w:tcPr>
          <w:p w:rsidR="007C3D83" w:rsidRPr="00EF52CA" w:rsidRDefault="007C3D83" w:rsidP="009074CB">
            <w:pPr>
              <w:pStyle w:val="Table-headingrow1"/>
              <w:keepNext/>
              <w:spacing w:line="240" w:lineRule="auto"/>
              <w:jc w:val="center"/>
              <w:rPr>
                <w:rFonts w:ascii="Arial" w:hAnsi="Arial" w:cs="Arial"/>
              </w:rPr>
            </w:pPr>
            <w:r w:rsidRPr="00EF52CA">
              <w:rPr>
                <w:rFonts w:ascii="Arial" w:hAnsi="Arial" w:cs="Arial"/>
              </w:rPr>
              <w:t>Total</w:t>
            </w:r>
          </w:p>
        </w:tc>
      </w:tr>
      <w:tr w:rsidR="007C3D83" w:rsidRPr="00EF52CA" w:rsidTr="00DE1562">
        <w:trPr>
          <w:cantSplit/>
        </w:trPr>
        <w:tc>
          <w:tcPr>
            <w:tcW w:w="4429" w:type="dxa"/>
            <w:tcMar>
              <w:top w:w="85" w:type="dxa"/>
              <w:bottom w:w="85" w:type="dxa"/>
            </w:tcMar>
          </w:tcPr>
          <w:p w:rsidR="007C3D83" w:rsidRPr="00EF52CA" w:rsidRDefault="007C3D83" w:rsidP="009074CB">
            <w:pPr>
              <w:pStyle w:val="Table-bodytext"/>
              <w:keepNext/>
              <w:spacing w:after="80" w:line="240" w:lineRule="auto"/>
              <w:rPr>
                <w:rFonts w:ascii="Arial" w:hAnsi="Arial" w:cs="Arial"/>
              </w:rPr>
            </w:pPr>
            <w:r w:rsidRPr="00EF52CA">
              <w:rPr>
                <w:rFonts w:ascii="Arial" w:hAnsi="Arial" w:cs="Arial"/>
              </w:rPr>
              <w:t>Number of cancers detected</w:t>
            </w:r>
          </w:p>
        </w:tc>
        <w:tc>
          <w:tcPr>
            <w:tcW w:w="2039" w:type="dxa"/>
            <w:tcMar>
              <w:top w:w="85" w:type="dxa"/>
              <w:bottom w:w="85" w:type="dxa"/>
            </w:tcMar>
          </w:tcPr>
          <w:p w:rsidR="007C3D83" w:rsidRPr="00EF52CA" w:rsidRDefault="007C3D83" w:rsidP="009074CB">
            <w:pPr>
              <w:pStyle w:val="Table-bodytext"/>
              <w:keepNext/>
              <w:spacing w:after="80" w:line="240" w:lineRule="auto"/>
              <w:ind w:right="574"/>
              <w:jc w:val="right"/>
              <w:rPr>
                <w:rFonts w:ascii="Arial" w:hAnsi="Arial" w:cs="Arial"/>
                <w:b/>
                <w:color w:val="7B5E05"/>
              </w:rPr>
            </w:pPr>
            <w:r w:rsidRPr="00EF52CA">
              <w:rPr>
                <w:rFonts w:ascii="Arial" w:hAnsi="Arial" w:cs="Arial"/>
              </w:rPr>
              <w:t>129</w:t>
            </w:r>
          </w:p>
        </w:tc>
      </w:tr>
      <w:tr w:rsidR="007C3D83" w:rsidRPr="00EF52CA" w:rsidTr="00DE1562">
        <w:trPr>
          <w:cantSplit/>
        </w:trPr>
        <w:tc>
          <w:tcPr>
            <w:tcW w:w="4429" w:type="dxa"/>
            <w:tcMar>
              <w:top w:w="85" w:type="dxa"/>
              <w:bottom w:w="85" w:type="dxa"/>
            </w:tcMar>
          </w:tcPr>
          <w:p w:rsidR="007C3D83" w:rsidRPr="00EF52CA" w:rsidRDefault="007C3D83" w:rsidP="009074CB">
            <w:pPr>
              <w:pStyle w:val="Table-bodytext"/>
              <w:spacing w:after="80" w:line="240" w:lineRule="auto"/>
              <w:rPr>
                <w:rFonts w:ascii="Arial" w:hAnsi="Arial" w:cs="Arial"/>
              </w:rPr>
            </w:pPr>
            <w:r w:rsidRPr="00EF52CA">
              <w:rPr>
                <w:rFonts w:ascii="Arial" w:hAnsi="Arial" w:cs="Arial"/>
              </w:rPr>
              <w:t>Operating costs</w:t>
            </w:r>
          </w:p>
        </w:tc>
        <w:tc>
          <w:tcPr>
            <w:tcW w:w="2039" w:type="dxa"/>
            <w:tcMar>
              <w:top w:w="85" w:type="dxa"/>
              <w:bottom w:w="85" w:type="dxa"/>
            </w:tcMar>
          </w:tcPr>
          <w:p w:rsidR="007C3D83" w:rsidRPr="00EF52CA" w:rsidRDefault="007C3D83" w:rsidP="009074CB">
            <w:pPr>
              <w:pStyle w:val="Table-bodytext"/>
              <w:spacing w:after="80" w:line="240" w:lineRule="auto"/>
              <w:ind w:right="574"/>
              <w:jc w:val="right"/>
              <w:rPr>
                <w:rFonts w:ascii="Arial" w:hAnsi="Arial" w:cs="Arial"/>
              </w:rPr>
            </w:pPr>
            <w:r w:rsidRPr="00EF52CA">
              <w:rPr>
                <w:rFonts w:ascii="Arial" w:hAnsi="Arial" w:cs="Arial"/>
              </w:rPr>
              <w:t>$10,593,900</w:t>
            </w:r>
          </w:p>
        </w:tc>
      </w:tr>
      <w:tr w:rsidR="007C3D83" w:rsidRPr="00EF52CA" w:rsidTr="00DE1562">
        <w:trPr>
          <w:cantSplit/>
        </w:trPr>
        <w:tc>
          <w:tcPr>
            <w:tcW w:w="4429" w:type="dxa"/>
            <w:tcMar>
              <w:top w:w="85" w:type="dxa"/>
              <w:bottom w:w="85" w:type="dxa"/>
            </w:tcMar>
          </w:tcPr>
          <w:p w:rsidR="007C3D83" w:rsidRPr="00EF52CA" w:rsidRDefault="007C3D83" w:rsidP="009074CB">
            <w:pPr>
              <w:pStyle w:val="Table-bodytext"/>
              <w:spacing w:after="80" w:line="240" w:lineRule="auto"/>
              <w:rPr>
                <w:rFonts w:ascii="Arial" w:hAnsi="Arial" w:cs="Arial"/>
              </w:rPr>
            </w:pPr>
            <w:r w:rsidRPr="00EF52CA">
              <w:rPr>
                <w:rFonts w:ascii="Arial" w:hAnsi="Arial" w:cs="Arial"/>
              </w:rPr>
              <w:t>Operating cost per cancer detected</w:t>
            </w:r>
          </w:p>
        </w:tc>
        <w:tc>
          <w:tcPr>
            <w:tcW w:w="2039" w:type="dxa"/>
            <w:tcMar>
              <w:top w:w="85" w:type="dxa"/>
              <w:bottom w:w="85" w:type="dxa"/>
            </w:tcMar>
          </w:tcPr>
          <w:p w:rsidR="007C3D83" w:rsidRPr="00EF52CA" w:rsidRDefault="007C3D83" w:rsidP="009074CB">
            <w:pPr>
              <w:pStyle w:val="Table-bodytext"/>
              <w:spacing w:after="80" w:line="240" w:lineRule="auto"/>
              <w:ind w:right="574"/>
              <w:jc w:val="right"/>
              <w:rPr>
                <w:rFonts w:ascii="Arial" w:hAnsi="Arial" w:cs="Arial"/>
              </w:rPr>
            </w:pPr>
            <w:r w:rsidRPr="00EF52CA">
              <w:rPr>
                <w:rFonts w:ascii="Arial" w:hAnsi="Arial" w:cs="Arial"/>
              </w:rPr>
              <w:t>$82,100</w:t>
            </w:r>
          </w:p>
        </w:tc>
      </w:tr>
    </w:tbl>
    <w:p w:rsidR="007C3D83" w:rsidRPr="00EF52CA" w:rsidRDefault="007C3D83" w:rsidP="00696085">
      <w:pPr>
        <w:pStyle w:val="Notes"/>
        <w:numPr>
          <w:ilvl w:val="8"/>
          <w:numId w:val="33"/>
        </w:numPr>
        <w:spacing w:before="60" w:line="160" w:lineRule="atLeast"/>
        <w:ind w:firstLine="142"/>
        <w:rPr>
          <w:rFonts w:ascii="Arial" w:hAnsi="Arial" w:cs="Arial"/>
        </w:rPr>
      </w:pPr>
      <w:r w:rsidRPr="00EF52CA">
        <w:rPr>
          <w:rFonts w:ascii="Arial" w:hAnsi="Arial" w:cs="Arial"/>
        </w:rPr>
        <w:t>Figures rounded to nearest $100.</w:t>
      </w:r>
    </w:p>
    <w:p w:rsidR="007C3D83" w:rsidRDefault="007C3D83" w:rsidP="000C18B5">
      <w:pPr>
        <w:pStyle w:val="Heading3"/>
        <w:numPr>
          <w:ilvl w:val="3"/>
          <w:numId w:val="0"/>
        </w:numPr>
        <w:tabs>
          <w:tab w:val="num" w:pos="851"/>
        </w:tabs>
        <w:spacing w:before="300" w:after="80" w:line="260" w:lineRule="atLeast"/>
        <w:ind w:left="851" w:hanging="851"/>
      </w:pPr>
      <w:r>
        <w:t xml:space="preserve">Cost per lesion detected </w:t>
      </w:r>
    </w:p>
    <w:p w:rsidR="007C3D83" w:rsidRPr="00FD4FDE" w:rsidRDefault="007C3D83" w:rsidP="00FD4FDE">
      <w:pPr>
        <w:autoSpaceDE w:val="0"/>
        <w:autoSpaceDN w:val="0"/>
        <w:adjustRightInd w:val="0"/>
        <w:spacing w:before="120"/>
      </w:pPr>
      <w:r w:rsidRPr="00FD4FDE">
        <w:fldChar w:fldCharType="begin"/>
      </w:r>
      <w:r w:rsidRPr="00FD4FDE">
        <w:instrText xml:space="preserve"> REF _Ref393367289 \h </w:instrText>
      </w:r>
      <w:r w:rsidR="00FD4FDE">
        <w:instrText xml:space="preserve"> \* MERGEFORMAT </w:instrText>
      </w:r>
      <w:r w:rsidRPr="00FD4FDE">
        <w:fldChar w:fldCharType="separate"/>
      </w:r>
      <w:r w:rsidR="00957CD0">
        <w:t xml:space="preserve">Table </w:t>
      </w:r>
      <w:r w:rsidRPr="00FD4FDE">
        <w:fldChar w:fldCharType="end"/>
      </w:r>
      <w:r w:rsidR="00EF52CA">
        <w:t>1</w:t>
      </w:r>
      <w:r w:rsidR="000B1408" w:rsidRPr="00FD4FDE">
        <w:t>6</w:t>
      </w:r>
      <w:r w:rsidRPr="00FD4FDE">
        <w:t xml:space="preserve">, </w:t>
      </w:r>
      <w:r w:rsidRPr="00FD4FDE">
        <w:fldChar w:fldCharType="begin"/>
      </w:r>
      <w:r w:rsidRPr="00FD4FDE">
        <w:instrText xml:space="preserve"> REF _Ref393367332 \p \h </w:instrText>
      </w:r>
      <w:r w:rsidR="00FD4FDE">
        <w:instrText xml:space="preserve"> \* MERGEFORMAT </w:instrText>
      </w:r>
      <w:r w:rsidRPr="00FD4FDE">
        <w:fldChar w:fldCharType="separate"/>
      </w:r>
      <w:r w:rsidR="00957CD0">
        <w:t>below</w:t>
      </w:r>
      <w:r w:rsidRPr="00FD4FDE">
        <w:fldChar w:fldCharType="end"/>
      </w:r>
      <w:r w:rsidRPr="00FD4FDE">
        <w:t xml:space="preserve">, presents the number of lesions (cancers or adenomas) detected during the first two years of the pilot (1,896) alongside the operating cost (as before). The cost per lesion detected is $5,600.  </w:t>
      </w:r>
    </w:p>
    <w:p w:rsidR="007C3D83" w:rsidRDefault="007C3D83" w:rsidP="00EF52CA">
      <w:pPr>
        <w:pStyle w:val="Table"/>
        <w:spacing w:before="240"/>
      </w:pPr>
      <w:bookmarkStart w:id="296" w:name="_Ref393367289"/>
      <w:bookmarkStart w:id="297" w:name="_Ref393367332"/>
      <w:bookmarkStart w:id="298" w:name="_Toc406582442"/>
      <w:bookmarkStart w:id="299" w:name="_Toc412540169"/>
      <w:r>
        <w:t xml:space="preserve">Table </w:t>
      </w:r>
      <w:bookmarkEnd w:id="296"/>
      <w:r w:rsidR="000B1408">
        <w:t>16</w:t>
      </w:r>
      <w:r>
        <w:t>: Estimated operating cost per lesion detected</w:t>
      </w:r>
      <w:bookmarkEnd w:id="297"/>
      <w:bookmarkEnd w:id="298"/>
      <w:bookmarkEnd w:id="299"/>
    </w:p>
    <w:tbl>
      <w:tblPr>
        <w:tblStyle w:val="TableSapereGrid"/>
        <w:tblW w:w="0" w:type="auto"/>
        <w:tblInd w:w="817" w:type="dxa"/>
        <w:tblLook w:val="04A0" w:firstRow="1" w:lastRow="0" w:firstColumn="1" w:lastColumn="0" w:noHBand="0" w:noVBand="1"/>
      </w:tblPr>
      <w:tblGrid>
        <w:gridCol w:w="4429"/>
        <w:gridCol w:w="2039"/>
      </w:tblGrid>
      <w:tr w:rsidR="007C3D83" w:rsidRPr="00EF52CA" w:rsidTr="00EF52CA">
        <w:trPr>
          <w:cnfStyle w:val="100000000000" w:firstRow="1" w:lastRow="0" w:firstColumn="0" w:lastColumn="0" w:oddVBand="0" w:evenVBand="0" w:oddHBand="0" w:evenHBand="0" w:firstRowFirstColumn="0" w:firstRowLastColumn="0" w:lastRowFirstColumn="0" w:lastRowLastColumn="0"/>
          <w:cantSplit/>
        </w:trPr>
        <w:tc>
          <w:tcPr>
            <w:tcW w:w="4429" w:type="dxa"/>
          </w:tcPr>
          <w:p w:rsidR="007C3D83" w:rsidRPr="00EF52CA" w:rsidRDefault="007C3D83" w:rsidP="009074CB">
            <w:pPr>
              <w:pStyle w:val="Table-headingrow1"/>
              <w:keepNext/>
              <w:spacing w:line="240" w:lineRule="auto"/>
              <w:rPr>
                <w:rFonts w:ascii="Arial" w:hAnsi="Arial" w:cs="Arial"/>
              </w:rPr>
            </w:pPr>
            <w:r w:rsidRPr="00EF52CA">
              <w:rPr>
                <w:rFonts w:ascii="Arial" w:hAnsi="Arial" w:cs="Arial"/>
              </w:rPr>
              <w:t>Indicator</w:t>
            </w:r>
          </w:p>
        </w:tc>
        <w:tc>
          <w:tcPr>
            <w:tcW w:w="2039" w:type="dxa"/>
          </w:tcPr>
          <w:p w:rsidR="007C3D83" w:rsidRPr="00EF52CA" w:rsidRDefault="007C3D83" w:rsidP="009074CB">
            <w:pPr>
              <w:pStyle w:val="Table-headingrow1"/>
              <w:keepNext/>
              <w:spacing w:line="240" w:lineRule="auto"/>
              <w:jc w:val="center"/>
              <w:rPr>
                <w:rFonts w:ascii="Arial" w:hAnsi="Arial" w:cs="Arial"/>
              </w:rPr>
            </w:pPr>
            <w:r w:rsidRPr="00EF52CA">
              <w:rPr>
                <w:rFonts w:ascii="Arial" w:hAnsi="Arial" w:cs="Arial"/>
              </w:rPr>
              <w:t>Total</w:t>
            </w:r>
          </w:p>
        </w:tc>
      </w:tr>
      <w:tr w:rsidR="007C3D83" w:rsidRPr="00EF52CA" w:rsidTr="00EF52CA">
        <w:trPr>
          <w:cantSplit/>
        </w:trPr>
        <w:tc>
          <w:tcPr>
            <w:tcW w:w="4429" w:type="dxa"/>
            <w:tcMar>
              <w:top w:w="85" w:type="dxa"/>
              <w:bottom w:w="85" w:type="dxa"/>
            </w:tcMar>
          </w:tcPr>
          <w:p w:rsidR="007C3D83" w:rsidRPr="00EF52CA" w:rsidRDefault="007C3D83" w:rsidP="009074CB">
            <w:pPr>
              <w:pStyle w:val="Table-bodytext"/>
              <w:keepNext/>
              <w:spacing w:after="80" w:line="240" w:lineRule="auto"/>
              <w:rPr>
                <w:rFonts w:ascii="Arial" w:hAnsi="Arial" w:cs="Arial"/>
              </w:rPr>
            </w:pPr>
            <w:r w:rsidRPr="00EF52CA">
              <w:rPr>
                <w:rFonts w:ascii="Arial" w:hAnsi="Arial" w:cs="Arial"/>
              </w:rPr>
              <w:t>Number of lesions detected</w:t>
            </w:r>
          </w:p>
        </w:tc>
        <w:tc>
          <w:tcPr>
            <w:tcW w:w="2039" w:type="dxa"/>
            <w:tcMar>
              <w:top w:w="85" w:type="dxa"/>
              <w:bottom w:w="85" w:type="dxa"/>
            </w:tcMar>
          </w:tcPr>
          <w:p w:rsidR="007C3D83" w:rsidRPr="00EF52CA" w:rsidRDefault="007C3D83" w:rsidP="009074CB">
            <w:pPr>
              <w:pStyle w:val="Table-bodytext"/>
              <w:keepNext/>
              <w:spacing w:after="80" w:line="240" w:lineRule="auto"/>
              <w:ind w:right="574"/>
              <w:jc w:val="right"/>
              <w:rPr>
                <w:rFonts w:ascii="Arial" w:hAnsi="Arial" w:cs="Arial"/>
                <w:b/>
                <w:color w:val="7B5E05"/>
              </w:rPr>
            </w:pPr>
            <w:r w:rsidRPr="00EF52CA">
              <w:rPr>
                <w:rFonts w:ascii="Arial" w:hAnsi="Arial" w:cs="Arial"/>
              </w:rPr>
              <w:t>1,896</w:t>
            </w:r>
          </w:p>
        </w:tc>
      </w:tr>
      <w:tr w:rsidR="007C3D83" w:rsidRPr="00EF52CA" w:rsidTr="00EF52CA">
        <w:trPr>
          <w:cantSplit/>
        </w:trPr>
        <w:tc>
          <w:tcPr>
            <w:tcW w:w="4429" w:type="dxa"/>
            <w:tcMar>
              <w:top w:w="85" w:type="dxa"/>
              <w:bottom w:w="85" w:type="dxa"/>
            </w:tcMar>
          </w:tcPr>
          <w:p w:rsidR="007C3D83" w:rsidRPr="00EF52CA" w:rsidRDefault="007C3D83" w:rsidP="009074CB">
            <w:pPr>
              <w:pStyle w:val="Table-bodytext"/>
              <w:spacing w:after="80" w:line="240" w:lineRule="auto"/>
              <w:rPr>
                <w:rFonts w:ascii="Arial" w:hAnsi="Arial" w:cs="Arial"/>
              </w:rPr>
            </w:pPr>
            <w:r w:rsidRPr="00EF52CA">
              <w:rPr>
                <w:rFonts w:ascii="Arial" w:hAnsi="Arial" w:cs="Arial"/>
              </w:rPr>
              <w:t>Operating costs</w:t>
            </w:r>
          </w:p>
        </w:tc>
        <w:tc>
          <w:tcPr>
            <w:tcW w:w="2039" w:type="dxa"/>
            <w:tcMar>
              <w:top w:w="85" w:type="dxa"/>
              <w:bottom w:w="85" w:type="dxa"/>
            </w:tcMar>
          </w:tcPr>
          <w:p w:rsidR="007C3D83" w:rsidRPr="00EF52CA" w:rsidRDefault="007C3D83" w:rsidP="009074CB">
            <w:pPr>
              <w:pStyle w:val="Table-bodytext"/>
              <w:spacing w:after="80" w:line="240" w:lineRule="auto"/>
              <w:ind w:right="574"/>
              <w:jc w:val="right"/>
              <w:rPr>
                <w:rFonts w:ascii="Arial" w:hAnsi="Arial" w:cs="Arial"/>
              </w:rPr>
            </w:pPr>
            <w:r w:rsidRPr="00EF52CA">
              <w:rPr>
                <w:rFonts w:ascii="Arial" w:hAnsi="Arial" w:cs="Arial"/>
              </w:rPr>
              <w:t>$10,593,900</w:t>
            </w:r>
          </w:p>
        </w:tc>
      </w:tr>
      <w:tr w:rsidR="007C3D83" w:rsidRPr="00EF52CA" w:rsidTr="00EF52CA">
        <w:trPr>
          <w:cantSplit/>
        </w:trPr>
        <w:tc>
          <w:tcPr>
            <w:tcW w:w="4429" w:type="dxa"/>
            <w:tcMar>
              <w:top w:w="85" w:type="dxa"/>
              <w:bottom w:w="85" w:type="dxa"/>
            </w:tcMar>
          </w:tcPr>
          <w:p w:rsidR="007C3D83" w:rsidRPr="00EF52CA" w:rsidRDefault="007C3D83" w:rsidP="009074CB">
            <w:pPr>
              <w:pStyle w:val="Table-bodytext"/>
              <w:spacing w:after="80" w:line="240" w:lineRule="auto"/>
              <w:rPr>
                <w:rFonts w:ascii="Arial" w:hAnsi="Arial" w:cs="Arial"/>
              </w:rPr>
            </w:pPr>
            <w:r w:rsidRPr="00EF52CA">
              <w:rPr>
                <w:rFonts w:ascii="Arial" w:hAnsi="Arial" w:cs="Arial"/>
              </w:rPr>
              <w:t>Operating cost per lesion detected</w:t>
            </w:r>
          </w:p>
        </w:tc>
        <w:tc>
          <w:tcPr>
            <w:tcW w:w="2039" w:type="dxa"/>
            <w:tcMar>
              <w:top w:w="85" w:type="dxa"/>
              <w:bottom w:w="85" w:type="dxa"/>
            </w:tcMar>
          </w:tcPr>
          <w:p w:rsidR="007C3D83" w:rsidRPr="00EF52CA" w:rsidRDefault="007C3D83" w:rsidP="009074CB">
            <w:pPr>
              <w:pStyle w:val="Table-bodytext"/>
              <w:spacing w:after="80" w:line="240" w:lineRule="auto"/>
              <w:ind w:right="574"/>
              <w:jc w:val="right"/>
              <w:rPr>
                <w:rFonts w:ascii="Arial" w:hAnsi="Arial" w:cs="Arial"/>
                <w:b/>
                <w:color w:val="7B5E05"/>
              </w:rPr>
            </w:pPr>
            <w:r w:rsidRPr="00EF52CA">
              <w:rPr>
                <w:rFonts w:ascii="Arial" w:hAnsi="Arial" w:cs="Arial"/>
              </w:rPr>
              <w:t>$5,600</w:t>
            </w:r>
          </w:p>
        </w:tc>
      </w:tr>
    </w:tbl>
    <w:p w:rsidR="007C3D83" w:rsidRPr="00EF52CA" w:rsidRDefault="007C3D83" w:rsidP="00696085">
      <w:pPr>
        <w:pStyle w:val="Notes"/>
        <w:numPr>
          <w:ilvl w:val="8"/>
          <w:numId w:val="33"/>
        </w:numPr>
        <w:spacing w:before="60" w:line="160" w:lineRule="atLeast"/>
        <w:ind w:firstLine="142"/>
        <w:rPr>
          <w:rFonts w:ascii="Arial" w:hAnsi="Arial" w:cs="Arial"/>
        </w:rPr>
      </w:pPr>
      <w:r w:rsidRPr="00EF52CA">
        <w:rPr>
          <w:rFonts w:ascii="Arial" w:hAnsi="Arial" w:cs="Arial"/>
        </w:rPr>
        <w:t>Figures rounded to nearest $100.</w:t>
      </w:r>
    </w:p>
    <w:p w:rsidR="007C3D83" w:rsidRDefault="007C3D83" w:rsidP="007C3D83">
      <w:pPr>
        <w:rPr>
          <w:rFonts w:cs="Arial"/>
          <w:b/>
          <w:bCs/>
          <w:color w:val="000000"/>
          <w:sz w:val="32"/>
          <w:szCs w:val="24"/>
        </w:rPr>
      </w:pPr>
      <w:r>
        <w:br w:type="page"/>
      </w:r>
    </w:p>
    <w:p w:rsidR="007C3D83" w:rsidRPr="000C18B5" w:rsidRDefault="007C3D83" w:rsidP="000C18B5">
      <w:pPr>
        <w:pStyle w:val="Heading3"/>
        <w:rPr>
          <w:i w:val="0"/>
        </w:rPr>
      </w:pPr>
      <w:bookmarkStart w:id="300" w:name="_Toc406582407"/>
      <w:r w:rsidRPr="000C18B5">
        <w:rPr>
          <w:i w:val="0"/>
        </w:rPr>
        <w:lastRenderedPageBreak/>
        <w:t>Costs of specific types of activity</w:t>
      </w:r>
      <w:bookmarkEnd w:id="300"/>
      <w:r w:rsidRPr="000C18B5">
        <w:rPr>
          <w:i w:val="0"/>
        </w:rPr>
        <w:t xml:space="preserve"> </w:t>
      </w:r>
    </w:p>
    <w:p w:rsidR="007C3D83" w:rsidRDefault="007C3D83" w:rsidP="00FD4FDE">
      <w:pPr>
        <w:autoSpaceDE w:val="0"/>
        <w:autoSpaceDN w:val="0"/>
        <w:adjustRightInd w:val="0"/>
        <w:spacing w:before="120"/>
      </w:pPr>
      <w:r>
        <w:t>Further analysis was completed to drill down into the cost of specific types of activity that takes place within the four phases of the screening pathway, to enable us to build our understanding of key cost drivers.</w:t>
      </w:r>
    </w:p>
    <w:p w:rsidR="007C3D83" w:rsidRPr="000C18B5" w:rsidRDefault="007C3D83" w:rsidP="000C18B5">
      <w:pPr>
        <w:pStyle w:val="Heading3"/>
        <w:numPr>
          <w:ilvl w:val="3"/>
          <w:numId w:val="0"/>
        </w:numPr>
        <w:tabs>
          <w:tab w:val="num" w:pos="851"/>
        </w:tabs>
        <w:spacing w:before="300" w:after="80" w:line="260" w:lineRule="atLeast"/>
        <w:ind w:left="851" w:hanging="851"/>
        <w:rPr>
          <w:sz w:val="22"/>
        </w:rPr>
      </w:pPr>
      <w:r w:rsidRPr="000C18B5">
        <w:rPr>
          <w:sz w:val="22"/>
        </w:rPr>
        <w:t xml:space="preserve">Improving participation of under-screened populations </w:t>
      </w:r>
    </w:p>
    <w:p w:rsidR="007C3D83" w:rsidRDefault="007C3D83" w:rsidP="00FD4FDE">
      <w:pPr>
        <w:autoSpaceDE w:val="0"/>
        <w:autoSpaceDN w:val="0"/>
        <w:adjustRightInd w:val="0"/>
        <w:spacing w:before="120"/>
      </w:pPr>
      <w:r>
        <w:t xml:space="preserve">The pilot undertakes a number of activities aimed at improving the participation of population groups that may be more likely to encounter barriers to access due to language or cultural reasons.  Four sizeable populations receive additional focus aimed at improving their rates of participation – Māori and Pacific peoples, as the well as the relatively large Chinese and Korean-speaking populations that reside within </w:t>
      </w:r>
      <w:r w:rsidR="00C50739">
        <w:t>WDHB</w:t>
      </w:r>
      <w:r>
        <w:t xml:space="preserve">. </w:t>
      </w:r>
    </w:p>
    <w:p w:rsidR="007C3D83" w:rsidRDefault="007C3D83" w:rsidP="00FD4FDE">
      <w:pPr>
        <w:autoSpaceDE w:val="0"/>
        <w:autoSpaceDN w:val="0"/>
        <w:adjustRightInd w:val="0"/>
        <w:spacing w:before="120"/>
      </w:pPr>
      <w:r>
        <w:t xml:space="preserve">The pilot has employed coordinators with relevant language and cultural expertise to undertake community outreach activities, such as </w:t>
      </w:r>
      <w:r w:rsidRPr="00872F1A">
        <w:t xml:space="preserve">presentations about the </w:t>
      </w:r>
      <w:r>
        <w:t>p</w:t>
      </w:r>
      <w:r w:rsidRPr="00872F1A">
        <w:t>ilot to a range of ethnic specific community groups and churches</w:t>
      </w:r>
      <w:r>
        <w:t xml:space="preserve"> (</w:t>
      </w:r>
      <w:r w:rsidRPr="00872F1A">
        <w:t xml:space="preserve">for example, there were than 100 such </w:t>
      </w:r>
      <w:r>
        <w:t xml:space="preserve">presentations in </w:t>
      </w:r>
      <w:r w:rsidRPr="00872F1A">
        <w:t>2012/13 year</w:t>
      </w:r>
      <w:r>
        <w:t>)</w:t>
      </w:r>
      <w:r w:rsidRPr="00872F1A">
        <w:t xml:space="preserve">. </w:t>
      </w:r>
      <w:r>
        <w:t xml:space="preserve"> The coordinators also assist </w:t>
      </w:r>
      <w:r w:rsidRPr="00872F1A">
        <w:t xml:space="preserve">in the development of </w:t>
      </w:r>
      <w:r>
        <w:t xml:space="preserve">information </w:t>
      </w:r>
      <w:r w:rsidRPr="00872F1A">
        <w:t>resources (</w:t>
      </w:r>
      <w:r>
        <w:t xml:space="preserve">i.e. </w:t>
      </w:r>
      <w:r w:rsidRPr="00872F1A">
        <w:t>posters, translations of resources)</w:t>
      </w:r>
      <w:r>
        <w:t xml:space="preserve"> and by </w:t>
      </w:r>
      <w:r w:rsidRPr="00872F1A">
        <w:t>recording radio ad</w:t>
      </w:r>
      <w:r>
        <w:t xml:space="preserve">vertisements and appearing on community </w:t>
      </w:r>
      <w:r w:rsidRPr="00872F1A">
        <w:t xml:space="preserve">radio </w:t>
      </w:r>
      <w:r>
        <w:t>and television shows</w:t>
      </w:r>
      <w:r w:rsidRPr="00872F1A">
        <w:t>.</w:t>
      </w:r>
      <w:r>
        <w:t xml:space="preserve">  </w:t>
      </w:r>
      <w:r w:rsidRPr="00872F1A">
        <w:t>Th</w:t>
      </w:r>
      <w:r>
        <w:t>e</w:t>
      </w:r>
      <w:r w:rsidRPr="00872F1A">
        <w:t xml:space="preserve"> team also takes responsibility for follow-up calls to </w:t>
      </w:r>
      <w:r>
        <w:t xml:space="preserve">people within these populations </w:t>
      </w:r>
      <w:r w:rsidRPr="00872F1A">
        <w:t xml:space="preserve">who have not responded to the pre-invitation letter </w:t>
      </w:r>
      <w:r>
        <w:t xml:space="preserve">and to people </w:t>
      </w:r>
      <w:r w:rsidRPr="00872F1A">
        <w:t>who have returned a test kit which cannot be tested (e.g. due to errors in the accompanying documentation)</w:t>
      </w:r>
      <w:r>
        <w:t xml:space="preserve"> in order to </w:t>
      </w:r>
      <w:r w:rsidRPr="00872F1A">
        <w:t>explain</w:t>
      </w:r>
      <w:r>
        <w:t xml:space="preserve"> </w:t>
      </w:r>
      <w:r w:rsidRPr="00872F1A">
        <w:t xml:space="preserve">the error and </w:t>
      </w:r>
      <w:r>
        <w:t xml:space="preserve">to </w:t>
      </w:r>
      <w:r w:rsidRPr="00872F1A">
        <w:t>send</w:t>
      </w:r>
      <w:r>
        <w:t xml:space="preserve"> </w:t>
      </w:r>
      <w:r w:rsidRPr="00872F1A">
        <w:t>out a second kit.</w:t>
      </w:r>
    </w:p>
    <w:p w:rsidR="007C3D83" w:rsidRDefault="007C3D83" w:rsidP="00FD4FDE">
      <w:pPr>
        <w:autoSpaceDE w:val="0"/>
        <w:autoSpaceDN w:val="0"/>
        <w:adjustRightInd w:val="0"/>
        <w:spacing w:before="120"/>
      </w:pPr>
      <w:r>
        <w:t xml:space="preserve">Some of the direct costs involved in the provision of these services are straightforward to measure.   The pilot employs a Māori coordinator, a Samoan coordinator, a Chinese coordinator and a Korean coordinator with bilingual language abilities and cultural knowledge.  The coordinators are contracted to work between 0.4 and 0.6 of a full-time equivalent.  In addition, there are two contracts with community providers that work with Pacific peoples. </w:t>
      </w:r>
    </w:p>
    <w:p w:rsidR="007C3D83" w:rsidRDefault="007C3D83" w:rsidP="00FD4FDE">
      <w:pPr>
        <w:autoSpaceDE w:val="0"/>
        <w:autoSpaceDN w:val="0"/>
        <w:adjustRightInd w:val="0"/>
        <w:spacing w:before="120"/>
      </w:pPr>
      <w:r w:rsidRPr="006D35CC">
        <w:t xml:space="preserve">The direct cost of all of these services is estimated at an average of </w:t>
      </w:r>
      <w:r w:rsidRPr="00FD4FDE">
        <w:t>$187,000 per year</w:t>
      </w:r>
      <w:r w:rsidRPr="006D35CC">
        <w:t xml:space="preserve"> in Year 1 and Year 2. As a proportion of the direc</w:t>
      </w:r>
      <w:r>
        <w:t>t annual operating cost of the p</w:t>
      </w:r>
      <w:r w:rsidRPr="006D35CC">
        <w:t>ilot for those years, these costs equate to an average of 3.5%.</w:t>
      </w:r>
    </w:p>
    <w:p w:rsidR="007C3D83" w:rsidRDefault="007C3D83" w:rsidP="00FD4FDE">
      <w:pPr>
        <w:autoSpaceDE w:val="0"/>
        <w:autoSpaceDN w:val="0"/>
        <w:adjustRightInd w:val="0"/>
        <w:spacing w:before="120"/>
      </w:pPr>
      <w:r>
        <w:t>As well as the potential limitation of this analysis (in that all costs may not be captured) it is not straightforward to calculate the unit cost of these outreach activities in the absence of detailed activity and outcome data.  Within the course of day, a coordinator may need to search out contact numbers and make a variety of approaches to a particular individual; ultimately, the outcome may result in agreement to provide a sample, a decline or no response.  For the period of time under consideration for this analysis, the pilot did not hold information on outcomes to this level, though subsequently systems have been established to collect this.</w:t>
      </w:r>
    </w:p>
    <w:p w:rsidR="007C3D83" w:rsidRPr="000C18B5" w:rsidRDefault="007C3D83" w:rsidP="000C18B5">
      <w:pPr>
        <w:pStyle w:val="Heading3"/>
        <w:numPr>
          <w:ilvl w:val="3"/>
          <w:numId w:val="0"/>
        </w:numPr>
        <w:tabs>
          <w:tab w:val="num" w:pos="851"/>
        </w:tabs>
        <w:spacing w:before="300" w:after="80" w:line="260" w:lineRule="atLeast"/>
        <w:ind w:left="851" w:hanging="851"/>
        <w:rPr>
          <w:sz w:val="22"/>
        </w:rPr>
      </w:pPr>
      <w:r w:rsidRPr="000C18B5">
        <w:rPr>
          <w:sz w:val="22"/>
        </w:rPr>
        <w:t>Cost of colonoscopy</w:t>
      </w:r>
    </w:p>
    <w:p w:rsidR="007C3D83" w:rsidRDefault="007C3D83" w:rsidP="00FD4FDE">
      <w:pPr>
        <w:autoSpaceDE w:val="0"/>
        <w:autoSpaceDN w:val="0"/>
        <w:adjustRightInd w:val="0"/>
        <w:spacing w:before="120"/>
      </w:pPr>
      <w:r w:rsidRPr="006D35CC">
        <w:t>As noted</w:t>
      </w:r>
      <w:r>
        <w:t xml:space="preserve"> earlier</w:t>
      </w:r>
      <w:r w:rsidRPr="006D35CC">
        <w:t>, the pilot has purchas</w:t>
      </w:r>
      <w:r>
        <w:t xml:space="preserve">ed colonoscopies in different ways, although all pilot volumes are delivered at Waitakere Hospital. </w:t>
      </w:r>
      <w:r>
        <w:fldChar w:fldCharType="begin"/>
      </w:r>
      <w:r>
        <w:instrText xml:space="preserve"> REF _Ref393293590 \h </w:instrText>
      </w:r>
      <w:r w:rsidR="00FD4FDE">
        <w:instrText xml:space="preserve"> \* MERGEFORMAT </w:instrText>
      </w:r>
      <w:r>
        <w:fldChar w:fldCharType="separate"/>
      </w:r>
      <w:r w:rsidR="00957CD0">
        <w:t xml:space="preserve">Table </w:t>
      </w:r>
      <w:r>
        <w:fldChar w:fldCharType="end"/>
      </w:r>
      <w:r w:rsidR="00F50FF2">
        <w:t>1</w:t>
      </w:r>
      <w:r w:rsidR="000B1408">
        <w:t>7</w:t>
      </w:r>
      <w:r w:rsidRPr="006D35CC">
        <w:t xml:space="preserve"> below presents a breakdown of the estimated unit prices for each </w:t>
      </w:r>
      <w:r>
        <w:t>type of lead colonoscopist arrangement</w:t>
      </w:r>
      <w:r w:rsidRPr="006D35CC">
        <w:t xml:space="preserve">, along with the volumes delivered in Year 1 (2012) and Year 2 (2013) and the </w:t>
      </w:r>
      <w:r>
        <w:t>associated</w:t>
      </w:r>
      <w:r w:rsidRPr="006D35CC">
        <w:t xml:space="preserve"> cost in those years. </w:t>
      </w:r>
      <w:r>
        <w:t xml:space="preserve"> </w:t>
      </w:r>
    </w:p>
    <w:p w:rsidR="007C3D83" w:rsidRDefault="007C3D83" w:rsidP="00FD4FDE">
      <w:pPr>
        <w:autoSpaceDE w:val="0"/>
        <w:autoSpaceDN w:val="0"/>
        <w:adjustRightInd w:val="0"/>
        <w:spacing w:before="120"/>
      </w:pPr>
      <w:r w:rsidRPr="006D35CC">
        <w:t>The overall cost of colonoscopi</w:t>
      </w:r>
      <w:r>
        <w:t xml:space="preserve">es – including the nursing team, clinical supplies, equipment, and facility costs – </w:t>
      </w:r>
      <w:r w:rsidRPr="006D35CC">
        <w:t>is estimated at $</w:t>
      </w:r>
      <w:r>
        <w:t>1,042 million</w:t>
      </w:r>
      <w:r w:rsidRPr="006D35CC">
        <w:t xml:space="preserve"> in Year 1 and $</w:t>
      </w:r>
      <w:r>
        <w:t>1,550 million</w:t>
      </w:r>
      <w:r w:rsidRPr="006D35CC">
        <w:t xml:space="preserve"> in Year 2.</w:t>
      </w:r>
      <w:r>
        <w:t xml:space="preserve">  </w:t>
      </w:r>
      <w:r w:rsidRPr="006D35CC">
        <w:lastRenderedPageBreak/>
        <w:t xml:space="preserve">This increase is driven by the higher volumes being delivered </w:t>
      </w:r>
      <w:r>
        <w:t xml:space="preserve">in Year 2 </w:t>
      </w:r>
      <w:r w:rsidRPr="006D35CC">
        <w:t xml:space="preserve">and by </w:t>
      </w:r>
      <w:r>
        <w:t xml:space="preserve">the </w:t>
      </w:r>
      <w:r w:rsidRPr="006D35CC">
        <w:t>more expens</w:t>
      </w:r>
      <w:r>
        <w:t>ive cost of volumes provided through the temporary arrangement described above</w:t>
      </w:r>
      <w:r w:rsidRPr="006D35CC">
        <w:t>.</w:t>
      </w:r>
    </w:p>
    <w:p w:rsidR="00FD4FDE" w:rsidRDefault="00FD4FDE" w:rsidP="00FD4FDE">
      <w:pPr>
        <w:autoSpaceDE w:val="0"/>
        <w:autoSpaceDN w:val="0"/>
        <w:adjustRightInd w:val="0"/>
        <w:spacing w:before="120"/>
      </w:pPr>
    </w:p>
    <w:p w:rsidR="007C3D83" w:rsidRDefault="007C3D83" w:rsidP="000B1408">
      <w:pPr>
        <w:pStyle w:val="Table"/>
      </w:pPr>
      <w:bookmarkStart w:id="301" w:name="_Ref393293590"/>
      <w:bookmarkStart w:id="302" w:name="_Toc406582443"/>
      <w:bookmarkStart w:id="303" w:name="_Toc412540170"/>
      <w:r>
        <w:t xml:space="preserve">Table </w:t>
      </w:r>
      <w:bookmarkEnd w:id="301"/>
      <w:r w:rsidR="00696085">
        <w:t>1</w:t>
      </w:r>
      <w:r w:rsidR="000B1408">
        <w:t>7</w:t>
      </w:r>
      <w:r w:rsidR="00823B20">
        <w:t xml:space="preserve">: Colonoscopy volumes and </w:t>
      </w:r>
      <w:r>
        <w:t>colonoscopist costs in year 1 and 2</w:t>
      </w:r>
      <w:bookmarkEnd w:id="302"/>
      <w:bookmarkEnd w:id="303"/>
    </w:p>
    <w:tbl>
      <w:tblPr>
        <w:tblStyle w:val="TableSapereGrid"/>
        <w:tblW w:w="8219" w:type="dxa"/>
        <w:tblInd w:w="959" w:type="dxa"/>
        <w:tblLook w:val="04A0" w:firstRow="1" w:lastRow="0" w:firstColumn="1" w:lastColumn="0" w:noHBand="0" w:noVBand="1"/>
      </w:tblPr>
      <w:tblGrid>
        <w:gridCol w:w="2302"/>
        <w:gridCol w:w="2126"/>
        <w:gridCol w:w="1753"/>
        <w:gridCol w:w="2038"/>
      </w:tblGrid>
      <w:tr w:rsidR="00FD4FDE" w:rsidRPr="00EF52CA" w:rsidTr="00EF52CA">
        <w:trPr>
          <w:cnfStyle w:val="100000000000" w:firstRow="1" w:lastRow="0" w:firstColumn="0" w:lastColumn="0" w:oddVBand="0" w:evenVBand="0" w:oddHBand="0" w:evenHBand="0" w:firstRowFirstColumn="0" w:firstRowLastColumn="0" w:lastRowFirstColumn="0" w:lastRowLastColumn="0"/>
        </w:trPr>
        <w:tc>
          <w:tcPr>
            <w:tcW w:w="2302" w:type="dxa"/>
          </w:tcPr>
          <w:p w:rsidR="00FD4FDE" w:rsidRPr="00EF52CA" w:rsidRDefault="00FD4FDE" w:rsidP="00FD4FDE">
            <w:pPr>
              <w:spacing w:before="0" w:after="170" w:line="260" w:lineRule="atLeast"/>
              <w:ind w:left="0"/>
              <w:jc w:val="center"/>
              <w:rPr>
                <w:rFonts w:cs="Arial"/>
                <w:b/>
                <w:color w:val="FFFFFF"/>
                <w:lang w:eastAsia="en-NZ"/>
              </w:rPr>
            </w:pPr>
          </w:p>
        </w:tc>
        <w:tc>
          <w:tcPr>
            <w:tcW w:w="2126" w:type="dxa"/>
          </w:tcPr>
          <w:p w:rsidR="00FD4FDE" w:rsidRPr="00EF52CA" w:rsidRDefault="00FD4FDE" w:rsidP="00FD4FDE">
            <w:pPr>
              <w:spacing w:before="0" w:after="80" w:line="260" w:lineRule="atLeast"/>
              <w:ind w:left="0"/>
              <w:jc w:val="center"/>
              <w:rPr>
                <w:rFonts w:cs="Arial"/>
                <w:b/>
                <w:color w:val="FFFFFF"/>
                <w:sz w:val="20"/>
                <w:szCs w:val="20"/>
              </w:rPr>
            </w:pPr>
            <w:r w:rsidRPr="00EF52CA">
              <w:rPr>
                <w:rFonts w:cs="Arial"/>
                <w:b/>
                <w:color w:val="FFFFFF"/>
                <w:sz w:val="20"/>
                <w:szCs w:val="20"/>
              </w:rPr>
              <w:t>WDHB salaried colonoscopist</w:t>
            </w:r>
          </w:p>
        </w:tc>
        <w:tc>
          <w:tcPr>
            <w:tcW w:w="1753" w:type="dxa"/>
          </w:tcPr>
          <w:p w:rsidR="00FD4FDE" w:rsidRPr="00EF52CA" w:rsidRDefault="00FD4FDE" w:rsidP="00FD4FDE">
            <w:pPr>
              <w:spacing w:before="0" w:after="80" w:line="260" w:lineRule="atLeast"/>
              <w:ind w:left="0"/>
              <w:jc w:val="center"/>
              <w:rPr>
                <w:rFonts w:cs="Arial"/>
                <w:b/>
                <w:color w:val="FFFFFF"/>
                <w:sz w:val="20"/>
                <w:szCs w:val="20"/>
              </w:rPr>
            </w:pPr>
            <w:r w:rsidRPr="00EF52CA">
              <w:rPr>
                <w:rFonts w:cs="Arial"/>
                <w:b/>
                <w:color w:val="FFFFFF"/>
                <w:sz w:val="20"/>
                <w:szCs w:val="20"/>
              </w:rPr>
              <w:t>WDHB  contracted colonoscopist</w:t>
            </w:r>
          </w:p>
        </w:tc>
        <w:tc>
          <w:tcPr>
            <w:tcW w:w="2038" w:type="dxa"/>
          </w:tcPr>
          <w:p w:rsidR="00FD4FDE" w:rsidRPr="00EF52CA" w:rsidRDefault="00FD4FDE" w:rsidP="00FD4FDE">
            <w:pPr>
              <w:spacing w:before="0" w:after="80" w:line="260" w:lineRule="atLeast"/>
              <w:ind w:left="0"/>
              <w:jc w:val="center"/>
              <w:rPr>
                <w:rFonts w:cs="Arial"/>
                <w:b/>
                <w:color w:val="FFFFFF"/>
                <w:sz w:val="20"/>
                <w:szCs w:val="20"/>
              </w:rPr>
            </w:pPr>
            <w:r w:rsidRPr="00EF52CA">
              <w:rPr>
                <w:rFonts w:cs="Arial"/>
                <w:b/>
                <w:color w:val="FFFFFF"/>
                <w:sz w:val="20"/>
                <w:szCs w:val="20"/>
              </w:rPr>
              <w:t>Temporary increased capacity</w:t>
            </w:r>
          </w:p>
        </w:tc>
      </w:tr>
      <w:tr w:rsidR="00FD4FDE" w:rsidRPr="00EF52CA" w:rsidTr="00EF52CA">
        <w:tc>
          <w:tcPr>
            <w:tcW w:w="2302" w:type="dxa"/>
          </w:tcPr>
          <w:p w:rsidR="00FD4FDE" w:rsidRPr="00EF52CA" w:rsidRDefault="00FD4FDE" w:rsidP="00FD4FDE">
            <w:pPr>
              <w:spacing w:before="0" w:line="260" w:lineRule="atLeast"/>
              <w:ind w:left="0"/>
              <w:rPr>
                <w:rFonts w:cs="Arial"/>
                <w:sz w:val="20"/>
                <w:szCs w:val="20"/>
              </w:rPr>
            </w:pPr>
            <w:r w:rsidRPr="00EF52CA">
              <w:rPr>
                <w:rFonts w:cs="Arial"/>
                <w:sz w:val="20"/>
                <w:szCs w:val="20"/>
              </w:rPr>
              <w:t>Unit price for lead colonoscopist (estimate)</w:t>
            </w:r>
          </w:p>
        </w:tc>
        <w:tc>
          <w:tcPr>
            <w:tcW w:w="2126"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$123</w:t>
            </w:r>
          </w:p>
        </w:tc>
        <w:tc>
          <w:tcPr>
            <w:tcW w:w="1753"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$350</w:t>
            </w:r>
          </w:p>
        </w:tc>
        <w:tc>
          <w:tcPr>
            <w:tcW w:w="2038"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$1,000</w:t>
            </w:r>
          </w:p>
        </w:tc>
      </w:tr>
      <w:tr w:rsidR="00FD4FDE" w:rsidRPr="00EF52CA" w:rsidTr="00EF52CA">
        <w:tc>
          <w:tcPr>
            <w:tcW w:w="2302" w:type="dxa"/>
          </w:tcPr>
          <w:p w:rsidR="00FD4FDE" w:rsidRPr="00EF52CA" w:rsidRDefault="00FD4FDE" w:rsidP="00FD4FDE">
            <w:pPr>
              <w:spacing w:before="0" w:line="260" w:lineRule="atLeast"/>
              <w:ind w:left="0"/>
              <w:rPr>
                <w:rFonts w:cs="Arial"/>
                <w:b/>
                <w:color w:val="7B5E05"/>
                <w:sz w:val="20"/>
                <w:szCs w:val="20"/>
              </w:rPr>
            </w:pPr>
            <w:r w:rsidRPr="00EF52CA">
              <w:rPr>
                <w:rFonts w:cs="Arial"/>
                <w:sz w:val="20"/>
                <w:szCs w:val="20"/>
              </w:rPr>
              <w:t>Volumes - Year 1</w:t>
            </w:r>
          </w:p>
        </w:tc>
        <w:tc>
          <w:tcPr>
            <w:tcW w:w="2126"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622</w:t>
            </w:r>
          </w:p>
        </w:tc>
        <w:tc>
          <w:tcPr>
            <w:tcW w:w="1753"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722</w:t>
            </w:r>
          </w:p>
        </w:tc>
        <w:tc>
          <w:tcPr>
            <w:tcW w:w="2038"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86</w:t>
            </w:r>
          </w:p>
        </w:tc>
      </w:tr>
      <w:tr w:rsidR="00FD4FDE" w:rsidRPr="00EF52CA" w:rsidTr="00EF52CA">
        <w:tc>
          <w:tcPr>
            <w:tcW w:w="2302" w:type="dxa"/>
          </w:tcPr>
          <w:p w:rsidR="00FD4FDE" w:rsidRPr="00EF52CA" w:rsidRDefault="00FD4FDE" w:rsidP="00FD4FDE">
            <w:pPr>
              <w:spacing w:before="0" w:line="260" w:lineRule="atLeast"/>
              <w:ind w:left="0"/>
              <w:rPr>
                <w:rFonts w:cs="Arial"/>
                <w:b/>
                <w:color w:val="7B5E05"/>
                <w:sz w:val="20"/>
                <w:szCs w:val="20"/>
              </w:rPr>
            </w:pPr>
            <w:r w:rsidRPr="00EF52CA">
              <w:rPr>
                <w:rFonts w:cs="Arial"/>
                <w:sz w:val="20"/>
                <w:szCs w:val="20"/>
              </w:rPr>
              <w:t>Volumes - Year 2</w:t>
            </w:r>
          </w:p>
        </w:tc>
        <w:tc>
          <w:tcPr>
            <w:tcW w:w="2126"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882</w:t>
            </w:r>
          </w:p>
        </w:tc>
        <w:tc>
          <w:tcPr>
            <w:tcW w:w="1753"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1,050</w:t>
            </w:r>
          </w:p>
        </w:tc>
        <w:tc>
          <w:tcPr>
            <w:tcW w:w="2038"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343</w:t>
            </w:r>
          </w:p>
        </w:tc>
      </w:tr>
      <w:tr w:rsidR="00FD4FDE" w:rsidRPr="00EF52CA" w:rsidTr="00EF52CA">
        <w:tc>
          <w:tcPr>
            <w:tcW w:w="2302" w:type="dxa"/>
          </w:tcPr>
          <w:p w:rsidR="00FD4FDE" w:rsidRPr="00EF52CA" w:rsidRDefault="00FD4FDE" w:rsidP="00823B20">
            <w:pPr>
              <w:spacing w:before="0" w:line="260" w:lineRule="atLeast"/>
              <w:ind w:left="0"/>
              <w:rPr>
                <w:rFonts w:cs="Arial"/>
                <w:b/>
                <w:color w:val="7B5E05"/>
                <w:sz w:val="20"/>
                <w:szCs w:val="20"/>
              </w:rPr>
            </w:pPr>
            <w:r w:rsidRPr="00EF52CA">
              <w:rPr>
                <w:rFonts w:cs="Arial"/>
                <w:sz w:val="20"/>
                <w:szCs w:val="20"/>
              </w:rPr>
              <w:t xml:space="preserve">Colonoscopist </w:t>
            </w:r>
            <w:r w:rsidR="00823B20">
              <w:rPr>
                <w:rFonts w:cs="Arial"/>
                <w:sz w:val="20"/>
                <w:szCs w:val="20"/>
              </w:rPr>
              <w:t xml:space="preserve">costs </w:t>
            </w:r>
            <w:r w:rsidRPr="00EF52CA">
              <w:rPr>
                <w:rFonts w:cs="Arial"/>
                <w:sz w:val="20"/>
                <w:szCs w:val="20"/>
              </w:rPr>
              <w:t>- Year 1</w:t>
            </w:r>
          </w:p>
        </w:tc>
        <w:tc>
          <w:tcPr>
            <w:tcW w:w="2126" w:type="dxa"/>
          </w:tcPr>
          <w:p w:rsidR="00FD4FDE" w:rsidRPr="00EF52CA" w:rsidRDefault="00FD4FDE" w:rsidP="00972ADC">
            <w:pPr>
              <w:spacing w:before="0" w:line="260" w:lineRule="atLeast"/>
              <w:ind w:left="0"/>
              <w:jc w:val="right"/>
              <w:rPr>
                <w:rFonts w:cs="Arial"/>
                <w:b/>
                <w:color w:val="7B5E05"/>
                <w:sz w:val="20"/>
                <w:szCs w:val="20"/>
              </w:rPr>
            </w:pPr>
            <w:r w:rsidRPr="00EF52CA">
              <w:rPr>
                <w:rFonts w:cs="Arial"/>
                <w:sz w:val="20"/>
                <w:szCs w:val="20"/>
              </w:rPr>
              <w:t>$</w:t>
            </w:r>
            <w:r w:rsidR="00972ADC">
              <w:rPr>
                <w:rFonts w:cs="Arial"/>
                <w:sz w:val="20"/>
                <w:szCs w:val="20"/>
              </w:rPr>
              <w:t>105</w:t>
            </w:r>
            <w:r w:rsidRPr="00EF52CA">
              <w:rPr>
                <w:rFonts w:cs="Arial"/>
                <w:sz w:val="20"/>
                <w:szCs w:val="20"/>
              </w:rPr>
              <w:t>,600</w:t>
            </w:r>
          </w:p>
        </w:tc>
        <w:tc>
          <w:tcPr>
            <w:tcW w:w="1753"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$252,700</w:t>
            </w:r>
          </w:p>
        </w:tc>
        <w:tc>
          <w:tcPr>
            <w:tcW w:w="2038"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$86,000</w:t>
            </w:r>
          </w:p>
        </w:tc>
      </w:tr>
      <w:tr w:rsidR="00FD4FDE" w:rsidRPr="00EF52CA" w:rsidTr="00EF52CA">
        <w:tc>
          <w:tcPr>
            <w:tcW w:w="2302" w:type="dxa"/>
          </w:tcPr>
          <w:p w:rsidR="00FD4FDE" w:rsidRPr="00EF52CA" w:rsidRDefault="00FD4FDE" w:rsidP="00823B20">
            <w:pPr>
              <w:spacing w:before="0" w:line="260" w:lineRule="atLeast"/>
              <w:ind w:left="0"/>
              <w:rPr>
                <w:rFonts w:cs="Arial"/>
                <w:b/>
                <w:color w:val="7B5E05"/>
                <w:sz w:val="20"/>
                <w:szCs w:val="20"/>
              </w:rPr>
            </w:pPr>
            <w:r w:rsidRPr="00EF52CA">
              <w:rPr>
                <w:rFonts w:cs="Arial"/>
                <w:sz w:val="20"/>
                <w:szCs w:val="20"/>
              </w:rPr>
              <w:t xml:space="preserve">Colonoscopist </w:t>
            </w:r>
            <w:r w:rsidR="00823B20">
              <w:rPr>
                <w:rFonts w:cs="Arial"/>
                <w:sz w:val="20"/>
                <w:szCs w:val="20"/>
              </w:rPr>
              <w:t xml:space="preserve">costs </w:t>
            </w:r>
            <w:r w:rsidRPr="00EF52CA">
              <w:rPr>
                <w:rFonts w:cs="Arial"/>
                <w:sz w:val="20"/>
                <w:szCs w:val="20"/>
              </w:rPr>
              <w:t>- Year 2</w:t>
            </w:r>
          </w:p>
        </w:tc>
        <w:tc>
          <w:tcPr>
            <w:tcW w:w="2126" w:type="dxa"/>
          </w:tcPr>
          <w:p w:rsidR="00FD4FDE" w:rsidRPr="00EF52CA" w:rsidRDefault="00FD4FDE" w:rsidP="00972ADC">
            <w:pPr>
              <w:spacing w:before="0" w:line="260" w:lineRule="atLeast"/>
              <w:ind w:left="0"/>
              <w:jc w:val="right"/>
              <w:rPr>
                <w:rFonts w:cs="Arial"/>
                <w:b/>
                <w:color w:val="7B5E05"/>
                <w:sz w:val="20"/>
                <w:szCs w:val="20"/>
              </w:rPr>
            </w:pPr>
            <w:r w:rsidRPr="00EF52CA">
              <w:rPr>
                <w:rFonts w:cs="Arial"/>
                <w:sz w:val="20"/>
                <w:szCs w:val="20"/>
              </w:rPr>
              <w:t>$1</w:t>
            </w:r>
            <w:r w:rsidR="00972ADC">
              <w:rPr>
                <w:rFonts w:cs="Arial"/>
                <w:sz w:val="20"/>
                <w:szCs w:val="20"/>
              </w:rPr>
              <w:t>32</w:t>
            </w:r>
            <w:r w:rsidRPr="00EF52CA">
              <w:rPr>
                <w:rFonts w:cs="Arial"/>
                <w:sz w:val="20"/>
                <w:szCs w:val="20"/>
              </w:rPr>
              <w:t>,</w:t>
            </w:r>
            <w:r w:rsidR="00972ADC">
              <w:rPr>
                <w:rFonts w:cs="Arial"/>
                <w:sz w:val="20"/>
                <w:szCs w:val="20"/>
              </w:rPr>
              <w:t>4</w:t>
            </w:r>
            <w:r w:rsidRPr="00EF52CA">
              <w:rPr>
                <w:rFonts w:cs="Arial"/>
                <w:sz w:val="20"/>
                <w:szCs w:val="20"/>
              </w:rPr>
              <w:t>00</w:t>
            </w:r>
          </w:p>
        </w:tc>
        <w:tc>
          <w:tcPr>
            <w:tcW w:w="1753"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$367,500</w:t>
            </w:r>
          </w:p>
        </w:tc>
        <w:tc>
          <w:tcPr>
            <w:tcW w:w="2038" w:type="dxa"/>
          </w:tcPr>
          <w:p w:rsidR="00FD4FDE" w:rsidRPr="00EF52CA" w:rsidRDefault="00FD4FDE" w:rsidP="00FD4FDE">
            <w:pPr>
              <w:spacing w:before="0" w:line="260" w:lineRule="atLeast"/>
              <w:ind w:left="0"/>
              <w:jc w:val="right"/>
              <w:rPr>
                <w:rFonts w:cs="Arial"/>
                <w:b/>
                <w:color w:val="7B5E05"/>
                <w:sz w:val="20"/>
                <w:szCs w:val="20"/>
              </w:rPr>
            </w:pPr>
            <w:r w:rsidRPr="00EF52CA">
              <w:rPr>
                <w:rFonts w:cs="Arial"/>
                <w:sz w:val="20"/>
                <w:szCs w:val="20"/>
              </w:rPr>
              <w:t>$343,000</w:t>
            </w:r>
          </w:p>
        </w:tc>
      </w:tr>
    </w:tbl>
    <w:p w:rsidR="007C3D83" w:rsidRPr="00FD4FDE" w:rsidRDefault="007C3D83" w:rsidP="00FD4FDE">
      <w:pPr>
        <w:pStyle w:val="UnnumtextBodytext"/>
        <w:spacing w:before="60"/>
        <w:ind w:left="1134"/>
        <w:rPr>
          <w:rFonts w:ascii="Arial" w:hAnsi="Arial" w:cs="Arial"/>
          <w:sz w:val="20"/>
          <w:szCs w:val="20"/>
          <w:lang w:eastAsia="en-GB"/>
        </w:rPr>
      </w:pPr>
      <w:r w:rsidRPr="00FD4FDE">
        <w:rPr>
          <w:rFonts w:ascii="Arial" w:hAnsi="Arial" w:cs="Arial"/>
          <w:b/>
          <w:sz w:val="20"/>
          <w:szCs w:val="20"/>
          <w:lang w:eastAsia="en-GB"/>
        </w:rPr>
        <w:t>Note</w:t>
      </w:r>
      <w:r w:rsidRPr="00FD4FDE">
        <w:rPr>
          <w:rFonts w:ascii="Arial" w:hAnsi="Arial" w:cs="Arial"/>
          <w:sz w:val="20"/>
          <w:szCs w:val="20"/>
          <w:lang w:eastAsia="en-GB"/>
        </w:rPr>
        <w:t xml:space="preserve">: these costs do not include a range of other costs associated with colonoscopy delivery, including patient preparation, nursing team, clinical supplies and the equipment and clinical space at the endoscopy unity at Waitakere Hospital. </w:t>
      </w:r>
    </w:p>
    <w:p w:rsidR="007C3D83" w:rsidRPr="000C18B5" w:rsidRDefault="007C3D83" w:rsidP="000C18B5">
      <w:pPr>
        <w:pStyle w:val="Heading3"/>
        <w:numPr>
          <w:ilvl w:val="3"/>
          <w:numId w:val="0"/>
        </w:numPr>
        <w:tabs>
          <w:tab w:val="num" w:pos="851"/>
        </w:tabs>
        <w:spacing w:before="300" w:after="80" w:line="260" w:lineRule="atLeast"/>
        <w:ind w:left="851" w:hanging="851"/>
        <w:rPr>
          <w:sz w:val="22"/>
        </w:rPr>
      </w:pPr>
      <w:r w:rsidRPr="000C18B5">
        <w:rPr>
          <w:sz w:val="22"/>
        </w:rPr>
        <w:t>Mix of colonoscopy providers</w:t>
      </w:r>
    </w:p>
    <w:p w:rsidR="007C3D83" w:rsidRDefault="007C3D83" w:rsidP="00FD4FDE">
      <w:pPr>
        <w:autoSpaceDE w:val="0"/>
        <w:autoSpaceDN w:val="0"/>
        <w:adjustRightInd w:val="0"/>
        <w:spacing w:before="120"/>
      </w:pPr>
      <w:r>
        <w:t xml:space="preserve">Colonoscopies are a relatively expensive stage in the screening pathway and the cost per output has been dependent on the provider used. We therefore examine the pilot’s colonoscopy volumes to test the extent to which they determine the differences in the direct annual operating cost incurred in Year 1 (2012) and Year 2 (2013). We hold the volume of colonoscopies conducted in Year 1 constant, while scaling the mix of providers to that used in Year 2. This means that the share of colonoscopy volumes decreases for salaried DHB staff (44% to 39%) and private contractors (50% to 46%) while ‘temporary increased capacity’ increases (6% to 15%).  </w:t>
      </w:r>
    </w:p>
    <w:p w:rsidR="007C3D83" w:rsidRDefault="007C3D83" w:rsidP="00FD4FDE">
      <w:pPr>
        <w:autoSpaceDE w:val="0"/>
        <w:autoSpaceDN w:val="0"/>
        <w:adjustRightInd w:val="0"/>
        <w:spacing w:before="120"/>
      </w:pPr>
      <w:r>
        <w:t>Under this scenario, the direct annual operating cost of the Pilot</w:t>
      </w:r>
      <w:r w:rsidR="00972ADC">
        <w:t xml:space="preserve"> in Year 1 (2012) would be $4.552</w:t>
      </w:r>
      <w:r>
        <w:t xml:space="preserve"> million</w:t>
      </w:r>
      <w:r w:rsidR="003D355C">
        <w:t xml:space="preserve">, which is </w:t>
      </w:r>
      <w:r>
        <w:t>$</w:t>
      </w:r>
      <w:r w:rsidR="00972ADC">
        <w:t>119</w:t>
      </w:r>
      <w:r>
        <w:t xml:space="preserve">,000 or </w:t>
      </w:r>
      <w:r w:rsidR="00972ADC">
        <w:t>2</w:t>
      </w:r>
      <w:r>
        <w:t xml:space="preserve">.7% higher </w:t>
      </w:r>
      <w:r w:rsidR="003D355C">
        <w:t xml:space="preserve">than </w:t>
      </w:r>
      <w:r>
        <w:t>the base case of $4.433</w:t>
      </w:r>
      <w:r w:rsidR="003D355C">
        <w:t xml:space="preserve"> million</w:t>
      </w:r>
      <w:r>
        <w:t>.  This accounts for approximately 1</w:t>
      </w:r>
      <w:r w:rsidR="00972ADC">
        <w:t>6</w:t>
      </w:r>
      <w:r>
        <w:t xml:space="preserve">% of the difference in the direct annual operating cost between Year 1 (2012) and Year 2 (2013).  This suggests that the difference in volumes – e.g. the number kits returned for testing was 28% higher in Year 2 – is the more important factor in explaining the difference between the annual operating cost in Year 1 and Year 2 than the mix of colonoscopy providers. </w:t>
      </w:r>
    </w:p>
    <w:p w:rsidR="007C3D83" w:rsidRPr="000C18B5" w:rsidRDefault="007C3D83" w:rsidP="007C3D83">
      <w:pPr>
        <w:pStyle w:val="Heading3"/>
        <w:numPr>
          <w:ilvl w:val="3"/>
          <w:numId w:val="0"/>
        </w:numPr>
        <w:tabs>
          <w:tab w:val="num" w:pos="851"/>
        </w:tabs>
        <w:spacing w:before="300" w:after="80" w:line="260" w:lineRule="atLeast"/>
        <w:ind w:left="851" w:hanging="851"/>
        <w:rPr>
          <w:sz w:val="22"/>
        </w:rPr>
      </w:pPr>
      <w:bookmarkStart w:id="304" w:name="_Toc406582408"/>
      <w:r w:rsidRPr="000C18B5">
        <w:rPr>
          <w:sz w:val="22"/>
        </w:rPr>
        <w:t>Cost of involving Primary Health Teams</w:t>
      </w:r>
      <w:bookmarkEnd w:id="304"/>
    </w:p>
    <w:p w:rsidR="007C3D83" w:rsidRDefault="007C3D83" w:rsidP="00FD4FDE">
      <w:pPr>
        <w:autoSpaceDE w:val="0"/>
        <w:autoSpaceDN w:val="0"/>
        <w:adjustRightInd w:val="0"/>
        <w:spacing w:before="120"/>
      </w:pPr>
      <w:r w:rsidRPr="003A319A">
        <w:t>General practitioners are contracted to inform</w:t>
      </w:r>
      <w:r>
        <w:t xml:space="preserve"> and advise</w:t>
      </w:r>
      <w:r w:rsidRPr="003A319A">
        <w:t xml:space="preserve"> their patients</w:t>
      </w:r>
      <w:r>
        <w:t xml:space="preserve"> who have su</w:t>
      </w:r>
      <w:r w:rsidRPr="003A319A">
        <w:t>bmit</w:t>
      </w:r>
      <w:r>
        <w:t>ted a</w:t>
      </w:r>
      <w:r w:rsidRPr="003A319A">
        <w:t xml:space="preserve"> kit </w:t>
      </w:r>
      <w:r>
        <w:t xml:space="preserve">that </w:t>
      </w:r>
      <w:r w:rsidRPr="003A319A">
        <w:t xml:space="preserve">is found to have a positive result. The payment for advising </w:t>
      </w:r>
      <w:r>
        <w:t xml:space="preserve">of </w:t>
      </w:r>
      <w:r w:rsidRPr="003A319A">
        <w:t>a positive kit is made on a fee</w:t>
      </w:r>
      <w:r>
        <w:t xml:space="preserve">-for service basis and was set </w:t>
      </w:r>
      <w:r w:rsidRPr="003A319A">
        <w:t>at $60</w:t>
      </w:r>
      <w:r>
        <w:t xml:space="preserve"> for each referral.</w:t>
      </w:r>
      <w:r w:rsidRPr="003A319A">
        <w:t xml:space="preserve">  </w:t>
      </w:r>
    </w:p>
    <w:p w:rsidR="007C3D83" w:rsidRPr="003A319A" w:rsidRDefault="007C3D83" w:rsidP="00FD4FDE">
      <w:pPr>
        <w:autoSpaceDE w:val="0"/>
        <w:autoSpaceDN w:val="0"/>
        <w:adjustRightInd w:val="0"/>
        <w:spacing w:before="120"/>
      </w:pPr>
      <w:r w:rsidRPr="003A319A">
        <w:t>The total amount for this service is estimate</w:t>
      </w:r>
      <w:r>
        <w:t>d</w:t>
      </w:r>
      <w:r w:rsidRPr="003A319A">
        <w:t xml:space="preserve"> at </w:t>
      </w:r>
      <w:r w:rsidRPr="00FD4FDE">
        <w:t>$119,000</w:t>
      </w:r>
      <w:r w:rsidRPr="003A319A">
        <w:t xml:space="preserve"> in Year 1</w:t>
      </w:r>
      <w:r>
        <w:t xml:space="preserve"> (based on 1,952 positive results)</w:t>
      </w:r>
      <w:r w:rsidRPr="003A319A">
        <w:t xml:space="preserve"> and </w:t>
      </w:r>
      <w:r w:rsidRPr="00FD4FDE">
        <w:t>$169,000</w:t>
      </w:r>
      <w:r w:rsidRPr="003A319A">
        <w:t xml:space="preserve"> in Year 2</w:t>
      </w:r>
      <w:r>
        <w:t xml:space="preserve"> (2,818 positive results). These estimates may be </w:t>
      </w:r>
      <w:r>
        <w:lastRenderedPageBreak/>
        <w:t>slightly above the actual costs incurred, given anecdotal evidence that a small number of general practices were, initially, not claiming this fee. Furthermore, some patients did not have a general practitioner. These caveats are not considered to be substantial enough to warrant an adjustment to these estimated figures.</w:t>
      </w:r>
    </w:p>
    <w:p w:rsidR="007C3D83" w:rsidRPr="000C18B5" w:rsidRDefault="007C3D83" w:rsidP="007C3D83">
      <w:pPr>
        <w:pStyle w:val="Heading3"/>
        <w:numPr>
          <w:ilvl w:val="3"/>
          <w:numId w:val="0"/>
        </w:numPr>
        <w:tabs>
          <w:tab w:val="num" w:pos="851"/>
        </w:tabs>
        <w:spacing w:before="300" w:after="80" w:line="260" w:lineRule="atLeast"/>
        <w:ind w:left="851" w:hanging="851"/>
        <w:rPr>
          <w:sz w:val="22"/>
        </w:rPr>
      </w:pPr>
      <w:bookmarkStart w:id="305" w:name="_Toc406582409"/>
      <w:r w:rsidRPr="000C18B5">
        <w:rPr>
          <w:sz w:val="22"/>
        </w:rPr>
        <w:t>Cost of spoiled kits</w:t>
      </w:r>
      <w:bookmarkEnd w:id="305"/>
    </w:p>
    <w:p w:rsidR="007C3D83" w:rsidRDefault="007C3D83" w:rsidP="00FD4FDE">
      <w:r>
        <w:t>Spoiled kits accounted for 14% of all kits returned by participants to the laboratory for testing on average in Year 1 and Year 2.  The average cost per year of testing spoiled kits is estimated at $78,000 in direct costs which equates to 1.6%, on average, of the direct annual operating cost of the pilot.</w:t>
      </w:r>
    </w:p>
    <w:p w:rsidR="007C3D83" w:rsidRPr="00FD4FDE" w:rsidRDefault="007C3D83" w:rsidP="00FD4FDE">
      <w:pPr>
        <w:autoSpaceDE w:val="0"/>
        <w:autoSpaceDN w:val="0"/>
        <w:adjustRightInd w:val="0"/>
        <w:spacing w:before="120"/>
      </w:pPr>
      <w:r>
        <w:t xml:space="preserve">This estimate includes the cost of the spoiled kit itself, the initial postage and packaging, the postage for the sample being returned, and the testing of the sample at the laboratory. It does not include the pre-invitation letter and the follow-up letter at four weeks, as these items form part of the initial contact that would be incurred only once. Also excluded are cost items that are relatively fixed and insensitive to the volume of spoiled kits, such as the follow up with priority populations, daily courier trips of the kits from the mail centre to the laboratory, and </w:t>
      </w:r>
      <w:r w:rsidR="00C50739">
        <w:t>WDHB</w:t>
      </w:r>
      <w:r>
        <w:t xml:space="preserve"> corporate overheads.</w:t>
      </w:r>
    </w:p>
    <w:p w:rsidR="007C3D83" w:rsidRPr="002076A9" w:rsidRDefault="007C3D83" w:rsidP="002076A9">
      <w:pPr>
        <w:pStyle w:val="Heading3"/>
        <w:rPr>
          <w:i w:val="0"/>
        </w:rPr>
      </w:pPr>
      <w:bookmarkStart w:id="306" w:name="_Toc383647127"/>
      <w:bookmarkStart w:id="307" w:name="_Toc383680819"/>
      <w:bookmarkStart w:id="308" w:name="_Toc383681881"/>
      <w:bookmarkStart w:id="309" w:name="_Toc386280438"/>
      <w:bookmarkStart w:id="310" w:name="_Toc386286521"/>
      <w:bookmarkStart w:id="311" w:name="_Toc386288312"/>
      <w:bookmarkStart w:id="312" w:name="_Toc386288511"/>
      <w:bookmarkStart w:id="313" w:name="_Toc386370958"/>
      <w:bookmarkStart w:id="314" w:name="_Toc386372565"/>
      <w:bookmarkStart w:id="315" w:name="_Toc386378524"/>
      <w:bookmarkStart w:id="316" w:name="_Toc386378871"/>
      <w:bookmarkStart w:id="317" w:name="_Toc386379705"/>
      <w:bookmarkStart w:id="318" w:name="_Toc386383204"/>
      <w:bookmarkStart w:id="319" w:name="_Toc386383557"/>
      <w:bookmarkStart w:id="320" w:name="_Toc386384637"/>
      <w:bookmarkStart w:id="321" w:name="_Toc386388156"/>
      <w:bookmarkStart w:id="322" w:name="_Toc386389417"/>
      <w:bookmarkStart w:id="323" w:name="_Toc386389870"/>
      <w:bookmarkStart w:id="324" w:name="_Toc386389952"/>
      <w:bookmarkStart w:id="325" w:name="_Toc386394416"/>
      <w:bookmarkStart w:id="326" w:name="_Toc386394563"/>
      <w:bookmarkStart w:id="327" w:name="_Toc386394696"/>
      <w:bookmarkStart w:id="328" w:name="_Toc386395311"/>
      <w:bookmarkStart w:id="329" w:name="_Toc386395926"/>
      <w:bookmarkStart w:id="330" w:name="_Toc386396978"/>
      <w:bookmarkStart w:id="331" w:name="_Toc386397750"/>
      <w:bookmarkStart w:id="332" w:name="_Toc386401252"/>
      <w:bookmarkStart w:id="333" w:name="_Toc386401507"/>
      <w:bookmarkStart w:id="334" w:name="_Toc386403856"/>
      <w:bookmarkStart w:id="335" w:name="_Toc386404964"/>
      <w:bookmarkStart w:id="336" w:name="_Toc386405638"/>
      <w:bookmarkStart w:id="337" w:name="_Toc386409379"/>
      <w:bookmarkStart w:id="338" w:name="_Toc386409602"/>
      <w:bookmarkStart w:id="339" w:name="_Toc386413066"/>
      <w:bookmarkStart w:id="340" w:name="_Toc386413744"/>
      <w:bookmarkStart w:id="341" w:name="_Toc386414456"/>
      <w:bookmarkStart w:id="342" w:name="_Toc386414972"/>
      <w:bookmarkStart w:id="343" w:name="_Toc386415259"/>
      <w:bookmarkStart w:id="344" w:name="_Toc386417001"/>
      <w:bookmarkStart w:id="345" w:name="_Toc386438495"/>
      <w:bookmarkStart w:id="346" w:name="_Toc386440833"/>
      <w:bookmarkStart w:id="347" w:name="_Toc386441141"/>
      <w:bookmarkStart w:id="348" w:name="_Toc406582410"/>
      <w:bookmarkStart w:id="349" w:name="_Toc391192834"/>
      <w:bookmarkEnd w:id="27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2076A9">
        <w:rPr>
          <w:i w:val="0"/>
        </w:rPr>
        <w:t>Forecast total cost of the pilot (Years 1-4)</w:t>
      </w:r>
      <w:bookmarkEnd w:id="348"/>
    </w:p>
    <w:p w:rsidR="007C3D83" w:rsidRPr="002076A9" w:rsidRDefault="007C3D83" w:rsidP="00FD4FDE">
      <w:pPr>
        <w:pStyle w:val="Heading3"/>
        <w:numPr>
          <w:ilvl w:val="3"/>
          <w:numId w:val="0"/>
        </w:numPr>
        <w:tabs>
          <w:tab w:val="num" w:pos="851"/>
        </w:tabs>
        <w:spacing w:before="300" w:after="80" w:line="260" w:lineRule="atLeast"/>
        <w:ind w:left="851" w:hanging="851"/>
        <w:rPr>
          <w:sz w:val="22"/>
        </w:rPr>
      </w:pPr>
      <w:bookmarkStart w:id="350" w:name="_Toc406582411"/>
      <w:r w:rsidRPr="002076A9">
        <w:rPr>
          <w:sz w:val="22"/>
        </w:rPr>
        <w:t>Operating costs</w:t>
      </w:r>
      <w:bookmarkEnd w:id="350"/>
    </w:p>
    <w:p w:rsidR="007C3D83" w:rsidRPr="00FD4FDE" w:rsidRDefault="007C3D83" w:rsidP="00FD4FDE">
      <w:r w:rsidRPr="00FD4FDE">
        <w:t xml:space="preserve">The forecast operating cost estimates for Year 3 (2014) and Year 4 (2015) of the pilot are shown below in </w:t>
      </w:r>
      <w:r w:rsidR="00E43A45">
        <w:t xml:space="preserve">Figure </w:t>
      </w:r>
      <w:r w:rsidR="00696085">
        <w:t>19</w:t>
      </w:r>
      <w:r w:rsidRPr="00FD4FDE">
        <w:t xml:space="preserve">.  The forecast operating cost is $2.753 million for each of the six-month periods, which combined give a forecast operating cost of $5.505 million per year for year 3 and year 4 of the Pilot (excluding development costs but including Ministry of Health oversight).   These forecasts are slightly lower than the estimated operating cost for Year 2 ($5.666 million), which was relatively high due to the temporary increased capacity for colonoscopy procedures. </w:t>
      </w:r>
    </w:p>
    <w:p w:rsidR="007C3D83" w:rsidRPr="00F04363" w:rsidRDefault="007C3D83" w:rsidP="00F04363">
      <w:pPr>
        <w:pStyle w:val="Figure"/>
      </w:pPr>
      <w:bookmarkStart w:id="351" w:name="_Ref386440876"/>
      <w:bookmarkStart w:id="352" w:name="_Ref387925738"/>
      <w:bookmarkStart w:id="353" w:name="_Toc406582458"/>
      <w:bookmarkStart w:id="354" w:name="_Toc412540146"/>
      <w:r w:rsidRPr="00F04363">
        <w:t xml:space="preserve">Figure </w:t>
      </w:r>
      <w:bookmarkEnd w:id="351"/>
      <w:r w:rsidR="00696085">
        <w:t>19</w:t>
      </w:r>
      <w:r w:rsidRPr="00F04363">
        <w:t xml:space="preserve">: Pilot operating cost – forecasting </w:t>
      </w:r>
      <w:bookmarkEnd w:id="352"/>
      <w:r w:rsidRPr="00F04363">
        <w:t>years 3 and 4</w:t>
      </w:r>
      <w:bookmarkEnd w:id="353"/>
      <w:bookmarkEnd w:id="354"/>
    </w:p>
    <w:p w:rsidR="007C3D83" w:rsidRPr="007C3D83" w:rsidRDefault="007C3D83" w:rsidP="00EF52CA">
      <w:pPr>
        <w:spacing w:before="0" w:after="80" w:line="260" w:lineRule="atLeast"/>
        <w:ind w:left="749" w:hanging="40"/>
        <w:rPr>
          <w:rFonts w:ascii="Garamond" w:hAnsi="Garamond"/>
          <w:b/>
          <w:bCs/>
          <w:lang w:eastAsia="en-NZ"/>
        </w:rPr>
      </w:pPr>
      <w:r w:rsidRPr="007C3D83">
        <w:rPr>
          <w:rFonts w:ascii="Garamond" w:hAnsi="Garamond"/>
          <w:b/>
          <w:bCs/>
          <w:noProof/>
          <w:lang w:eastAsia="en-NZ"/>
        </w:rPr>
        <w:drawing>
          <wp:inline distT="0" distB="0" distL="0" distR="0" wp14:anchorId="387667FA" wp14:editId="317FC447">
            <wp:extent cx="4599663" cy="3064933"/>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9663" cy="3064933"/>
                    </a:xfrm>
                    <a:prstGeom prst="rect">
                      <a:avLst/>
                    </a:prstGeom>
                    <a:noFill/>
                  </pic:spPr>
                </pic:pic>
              </a:graphicData>
            </a:graphic>
          </wp:inline>
        </w:drawing>
      </w:r>
    </w:p>
    <w:p w:rsidR="007C3D83" w:rsidRPr="002076A9" w:rsidRDefault="007C3D83" w:rsidP="00FD4FDE">
      <w:pPr>
        <w:pStyle w:val="Heading3"/>
        <w:numPr>
          <w:ilvl w:val="3"/>
          <w:numId w:val="0"/>
        </w:numPr>
        <w:tabs>
          <w:tab w:val="num" w:pos="851"/>
        </w:tabs>
        <w:spacing w:before="300" w:after="80" w:line="260" w:lineRule="atLeast"/>
        <w:ind w:left="851" w:hanging="851"/>
        <w:rPr>
          <w:sz w:val="22"/>
        </w:rPr>
      </w:pPr>
      <w:bookmarkStart w:id="355" w:name="_Toc406582412"/>
      <w:r w:rsidRPr="002076A9">
        <w:rPr>
          <w:sz w:val="22"/>
        </w:rPr>
        <w:lastRenderedPageBreak/>
        <w:t>Summary of total cost for delivery of the pilot</w:t>
      </w:r>
      <w:bookmarkEnd w:id="355"/>
    </w:p>
    <w:p w:rsidR="007C3D83" w:rsidRPr="007C3D83" w:rsidRDefault="007C3D83" w:rsidP="00FD4FDE">
      <w:pPr>
        <w:rPr>
          <w:lang w:eastAsia="en-NZ"/>
        </w:rPr>
      </w:pPr>
      <w:r w:rsidRPr="007C3D83">
        <w:rPr>
          <w:lang w:eastAsia="en-NZ"/>
        </w:rPr>
        <w:t xml:space="preserve">As shown in </w:t>
      </w:r>
      <w:r w:rsidR="00696085">
        <w:rPr>
          <w:lang w:eastAsia="en-NZ"/>
        </w:rPr>
        <w:t>Table 18</w:t>
      </w:r>
      <w:r w:rsidRPr="007C3D83">
        <w:rPr>
          <w:lang w:eastAsia="en-NZ"/>
        </w:rPr>
        <w:t xml:space="preserve">, the total cost for delivery of the pilot over the four years (including full absorption of all pilot development costs) is forecast to be </w:t>
      </w:r>
      <w:r w:rsidRPr="007C3D83">
        <w:rPr>
          <w:b/>
          <w:lang w:eastAsia="en-NZ"/>
        </w:rPr>
        <w:t>$24.753 million.</w:t>
      </w:r>
    </w:p>
    <w:p w:rsidR="007C3D83" w:rsidRPr="000B1408" w:rsidRDefault="007C3D83" w:rsidP="00972ADC">
      <w:pPr>
        <w:pStyle w:val="Table"/>
        <w:spacing w:before="120"/>
      </w:pPr>
      <w:bookmarkStart w:id="356" w:name="_Toc406582444"/>
      <w:bookmarkStart w:id="357" w:name="_Toc412540171"/>
      <w:r w:rsidRPr="000B1408">
        <w:t xml:space="preserve">Table </w:t>
      </w:r>
      <w:r w:rsidR="00696085">
        <w:t>18</w:t>
      </w:r>
      <w:r w:rsidRPr="000B1408">
        <w:t>: Summary Pilot cost – estimates and forecast</w:t>
      </w:r>
      <w:bookmarkEnd w:id="356"/>
      <w:bookmarkEnd w:id="357"/>
    </w:p>
    <w:tbl>
      <w:tblPr>
        <w:tblStyle w:val="TableSapereGrid"/>
        <w:tblW w:w="0" w:type="auto"/>
        <w:tblInd w:w="794" w:type="dxa"/>
        <w:tblLayout w:type="fixed"/>
        <w:tblLook w:val="04A0" w:firstRow="1" w:lastRow="0" w:firstColumn="1" w:lastColumn="0" w:noHBand="0" w:noVBand="1"/>
      </w:tblPr>
      <w:tblGrid>
        <w:gridCol w:w="1985"/>
        <w:gridCol w:w="1080"/>
        <w:gridCol w:w="1081"/>
        <w:gridCol w:w="1081"/>
        <w:gridCol w:w="1081"/>
        <w:gridCol w:w="1081"/>
        <w:gridCol w:w="1081"/>
      </w:tblGrid>
      <w:tr w:rsidR="00FD4FDE" w:rsidRPr="00EF52CA" w:rsidTr="00EF52CA">
        <w:trPr>
          <w:cnfStyle w:val="100000000000" w:firstRow="1" w:lastRow="0" w:firstColumn="0" w:lastColumn="0" w:oddVBand="0" w:evenVBand="0" w:oddHBand="0" w:evenHBand="0" w:firstRowFirstColumn="0" w:firstRowLastColumn="0" w:lastRowFirstColumn="0" w:lastRowLastColumn="0"/>
        </w:trPr>
        <w:tc>
          <w:tcPr>
            <w:tcW w:w="1985" w:type="dxa"/>
            <w:tcMar>
              <w:left w:w="85" w:type="dxa"/>
              <w:right w:w="57" w:type="dxa"/>
            </w:tcMar>
          </w:tcPr>
          <w:p w:rsidR="00FD4FDE" w:rsidRPr="00EF52CA" w:rsidRDefault="00FD4FDE" w:rsidP="00FD4FDE">
            <w:pPr>
              <w:spacing w:before="0"/>
              <w:ind w:left="0"/>
              <w:jc w:val="center"/>
              <w:rPr>
                <w:rFonts w:cs="Arial"/>
                <w:b/>
                <w:color w:val="FFFFFF"/>
                <w:sz w:val="20"/>
                <w:lang w:eastAsia="en-NZ"/>
              </w:rPr>
            </w:pPr>
          </w:p>
        </w:tc>
        <w:tc>
          <w:tcPr>
            <w:tcW w:w="1080" w:type="dxa"/>
            <w:tcMar>
              <w:left w:w="85" w:type="dxa"/>
              <w:right w:w="57" w:type="dxa"/>
            </w:tcMar>
          </w:tcPr>
          <w:p w:rsidR="00FD4FDE" w:rsidRPr="00EF52CA" w:rsidRDefault="00FD4FDE" w:rsidP="00FD4FDE">
            <w:pPr>
              <w:spacing w:before="0"/>
              <w:ind w:left="0"/>
              <w:jc w:val="center"/>
              <w:rPr>
                <w:rFonts w:cs="Arial"/>
                <w:b/>
                <w:color w:val="FFFFFF"/>
                <w:sz w:val="20"/>
                <w:lang w:eastAsia="en-NZ"/>
              </w:rPr>
            </w:pPr>
          </w:p>
        </w:tc>
        <w:tc>
          <w:tcPr>
            <w:tcW w:w="1081" w:type="dxa"/>
          </w:tcPr>
          <w:p w:rsidR="00FD4FDE" w:rsidRPr="00EF52CA" w:rsidRDefault="00FD4FDE" w:rsidP="00FD4FDE">
            <w:pPr>
              <w:spacing w:before="0"/>
              <w:ind w:left="0"/>
              <w:jc w:val="center"/>
              <w:rPr>
                <w:rFonts w:cs="Arial"/>
                <w:b/>
                <w:color w:val="FFFFFF"/>
                <w:sz w:val="20"/>
                <w:lang w:eastAsia="en-NZ"/>
              </w:rPr>
            </w:pPr>
            <w:r w:rsidRPr="00EF52CA">
              <w:rPr>
                <w:rFonts w:cs="Arial"/>
                <w:b/>
                <w:color w:val="FFFFFF"/>
                <w:sz w:val="20"/>
                <w:lang w:eastAsia="en-NZ"/>
              </w:rPr>
              <w:t>Year 1 (2012)</w:t>
            </w:r>
          </w:p>
        </w:tc>
        <w:tc>
          <w:tcPr>
            <w:tcW w:w="1081" w:type="dxa"/>
          </w:tcPr>
          <w:p w:rsidR="00FD4FDE" w:rsidRPr="00EF52CA" w:rsidRDefault="00FD4FDE" w:rsidP="00FD4FDE">
            <w:pPr>
              <w:spacing w:before="0"/>
              <w:ind w:left="0"/>
              <w:jc w:val="center"/>
              <w:rPr>
                <w:rFonts w:cs="Arial"/>
                <w:b/>
                <w:color w:val="FFFFFF"/>
                <w:sz w:val="20"/>
                <w:lang w:eastAsia="en-NZ"/>
              </w:rPr>
            </w:pPr>
            <w:r w:rsidRPr="00EF52CA">
              <w:rPr>
                <w:rFonts w:cs="Arial"/>
                <w:b/>
                <w:color w:val="FFFFFF"/>
                <w:sz w:val="20"/>
                <w:lang w:eastAsia="en-NZ"/>
              </w:rPr>
              <w:t>Year 2 (2013)</w:t>
            </w:r>
          </w:p>
        </w:tc>
        <w:tc>
          <w:tcPr>
            <w:tcW w:w="1081" w:type="dxa"/>
          </w:tcPr>
          <w:p w:rsidR="00FD4FDE" w:rsidRPr="00EF52CA" w:rsidRDefault="00FD4FDE" w:rsidP="00FD4FDE">
            <w:pPr>
              <w:spacing w:before="0"/>
              <w:ind w:left="0"/>
              <w:jc w:val="center"/>
              <w:rPr>
                <w:rFonts w:cs="Arial"/>
                <w:b/>
                <w:color w:val="FFFFFF"/>
                <w:sz w:val="20"/>
                <w:lang w:eastAsia="en-NZ"/>
              </w:rPr>
            </w:pPr>
            <w:r w:rsidRPr="00EF52CA">
              <w:rPr>
                <w:rFonts w:cs="Arial"/>
                <w:b/>
                <w:color w:val="FFFFFF"/>
                <w:sz w:val="20"/>
                <w:lang w:eastAsia="en-NZ"/>
              </w:rPr>
              <w:t>Year 3 (2014)</w:t>
            </w:r>
          </w:p>
        </w:tc>
        <w:tc>
          <w:tcPr>
            <w:tcW w:w="1081" w:type="dxa"/>
          </w:tcPr>
          <w:p w:rsidR="00FD4FDE" w:rsidRPr="00EF52CA" w:rsidRDefault="00FD4FDE" w:rsidP="00FD4FDE">
            <w:pPr>
              <w:spacing w:before="0"/>
              <w:ind w:left="0"/>
              <w:jc w:val="center"/>
              <w:rPr>
                <w:rFonts w:cs="Arial"/>
                <w:b/>
                <w:color w:val="FFFFFF"/>
                <w:sz w:val="20"/>
                <w:lang w:eastAsia="en-NZ"/>
              </w:rPr>
            </w:pPr>
            <w:r w:rsidRPr="00EF52CA">
              <w:rPr>
                <w:rFonts w:cs="Arial"/>
                <w:b/>
                <w:color w:val="FFFFFF"/>
                <w:sz w:val="20"/>
                <w:lang w:eastAsia="en-NZ"/>
              </w:rPr>
              <w:t>Year 4 (2015)</w:t>
            </w:r>
          </w:p>
        </w:tc>
        <w:tc>
          <w:tcPr>
            <w:tcW w:w="1081" w:type="dxa"/>
          </w:tcPr>
          <w:p w:rsidR="00FD4FDE" w:rsidRPr="00EF52CA" w:rsidRDefault="00FD4FDE" w:rsidP="00FD4FDE">
            <w:pPr>
              <w:spacing w:before="0"/>
              <w:ind w:left="0"/>
              <w:jc w:val="center"/>
              <w:rPr>
                <w:rFonts w:cs="Arial"/>
                <w:b/>
                <w:color w:val="FFFFFF"/>
                <w:sz w:val="20"/>
                <w:lang w:eastAsia="en-NZ"/>
              </w:rPr>
            </w:pPr>
            <w:r w:rsidRPr="00EF52CA">
              <w:rPr>
                <w:rFonts w:cs="Arial"/>
                <w:b/>
                <w:color w:val="FFFFFF"/>
                <w:sz w:val="20"/>
                <w:lang w:eastAsia="en-NZ"/>
              </w:rPr>
              <w:t>Total</w:t>
            </w:r>
          </w:p>
        </w:tc>
      </w:tr>
      <w:tr w:rsidR="00FD4FDE" w:rsidRPr="00EF52CA" w:rsidTr="00972ADC">
        <w:tc>
          <w:tcPr>
            <w:tcW w:w="1985" w:type="dxa"/>
          </w:tcPr>
          <w:p w:rsidR="00FD4FDE" w:rsidRPr="00EF52CA" w:rsidRDefault="00FD4FDE" w:rsidP="00FD4FDE">
            <w:pPr>
              <w:spacing w:before="0"/>
              <w:ind w:left="0"/>
              <w:rPr>
                <w:rFonts w:cs="Arial"/>
                <w:sz w:val="20"/>
                <w:szCs w:val="20"/>
                <w:lang w:eastAsia="en-NZ"/>
              </w:rPr>
            </w:pPr>
            <w:r w:rsidRPr="00EF52CA">
              <w:rPr>
                <w:rFonts w:cs="Arial"/>
                <w:sz w:val="20"/>
                <w:szCs w:val="20"/>
                <w:lang w:eastAsia="en-NZ"/>
              </w:rPr>
              <w:t>Development cost</w:t>
            </w:r>
          </w:p>
        </w:tc>
        <w:tc>
          <w:tcPr>
            <w:tcW w:w="1080" w:type="dxa"/>
          </w:tcPr>
          <w:p w:rsidR="00FD4FDE" w:rsidRPr="00EF52CA" w:rsidRDefault="00FD4FDE" w:rsidP="00FD4FDE">
            <w:pPr>
              <w:tabs>
                <w:tab w:val="left" w:pos="750"/>
              </w:tabs>
              <w:spacing w:before="0"/>
              <w:ind w:left="0" w:right="78"/>
              <w:jc w:val="right"/>
              <w:rPr>
                <w:rFonts w:cs="Arial"/>
                <w:sz w:val="20"/>
                <w:szCs w:val="20"/>
                <w:lang w:eastAsia="en-NZ"/>
              </w:rPr>
            </w:pPr>
            <w:r w:rsidRPr="00EF52CA">
              <w:rPr>
                <w:rFonts w:cs="Arial"/>
                <w:sz w:val="20"/>
                <w:szCs w:val="20"/>
                <w:lang w:eastAsia="en-NZ"/>
              </w:rPr>
              <w:t>$3.148m</w:t>
            </w:r>
          </w:p>
        </w:tc>
        <w:tc>
          <w:tcPr>
            <w:tcW w:w="1081" w:type="dxa"/>
          </w:tcPr>
          <w:p w:rsidR="00FD4FDE" w:rsidRPr="00EF52CA" w:rsidRDefault="00FD4FDE" w:rsidP="00FD4FDE">
            <w:pPr>
              <w:spacing w:before="0"/>
              <w:ind w:left="0"/>
              <w:jc w:val="right"/>
              <w:rPr>
                <w:rFonts w:cs="Arial"/>
                <w:sz w:val="20"/>
                <w:szCs w:val="20"/>
                <w:lang w:eastAsia="en-NZ"/>
              </w:rPr>
            </w:pPr>
          </w:p>
        </w:tc>
        <w:tc>
          <w:tcPr>
            <w:tcW w:w="1081" w:type="dxa"/>
          </w:tcPr>
          <w:p w:rsidR="00FD4FDE" w:rsidRPr="00EF52CA" w:rsidRDefault="00FD4FDE" w:rsidP="00FD4FDE">
            <w:pPr>
              <w:spacing w:before="0"/>
              <w:ind w:left="0"/>
              <w:jc w:val="right"/>
              <w:rPr>
                <w:rFonts w:cs="Arial"/>
                <w:sz w:val="20"/>
                <w:szCs w:val="20"/>
                <w:lang w:eastAsia="en-NZ"/>
              </w:rPr>
            </w:pPr>
          </w:p>
        </w:tc>
        <w:tc>
          <w:tcPr>
            <w:tcW w:w="1081" w:type="dxa"/>
          </w:tcPr>
          <w:p w:rsidR="00FD4FDE" w:rsidRPr="00EF52CA" w:rsidRDefault="00FD4FDE" w:rsidP="00FD4FDE">
            <w:pPr>
              <w:spacing w:before="0"/>
              <w:ind w:left="0"/>
              <w:jc w:val="right"/>
              <w:rPr>
                <w:rFonts w:cs="Arial"/>
                <w:sz w:val="20"/>
                <w:szCs w:val="20"/>
                <w:lang w:eastAsia="en-NZ"/>
              </w:rPr>
            </w:pPr>
          </w:p>
        </w:tc>
        <w:tc>
          <w:tcPr>
            <w:tcW w:w="1081" w:type="dxa"/>
          </w:tcPr>
          <w:p w:rsidR="00FD4FDE" w:rsidRPr="00EF52CA" w:rsidRDefault="00FD4FDE" w:rsidP="00FD4FDE">
            <w:pPr>
              <w:spacing w:before="0"/>
              <w:ind w:left="0"/>
              <w:jc w:val="right"/>
              <w:rPr>
                <w:rFonts w:cs="Arial"/>
                <w:sz w:val="20"/>
                <w:szCs w:val="20"/>
                <w:lang w:eastAsia="en-NZ"/>
              </w:rPr>
            </w:pPr>
          </w:p>
        </w:tc>
        <w:tc>
          <w:tcPr>
            <w:tcW w:w="1081" w:type="dxa"/>
            <w:tcMar>
              <w:left w:w="28" w:type="dxa"/>
              <w:right w:w="57" w:type="dxa"/>
            </w:tcMar>
          </w:tcPr>
          <w:p w:rsidR="00FD4FDE" w:rsidRPr="00EF52CA" w:rsidRDefault="00FD4FDE" w:rsidP="00FD4FDE">
            <w:pPr>
              <w:spacing w:before="0"/>
              <w:ind w:left="0" w:right="79"/>
              <w:jc w:val="right"/>
              <w:rPr>
                <w:rFonts w:cs="Arial"/>
                <w:sz w:val="20"/>
                <w:szCs w:val="20"/>
                <w:lang w:eastAsia="en-NZ"/>
              </w:rPr>
            </w:pPr>
            <w:r w:rsidRPr="00EF52CA">
              <w:rPr>
                <w:rFonts w:cs="Arial"/>
                <w:sz w:val="20"/>
                <w:szCs w:val="20"/>
                <w:lang w:eastAsia="en-NZ"/>
              </w:rPr>
              <w:t>$3.148m</w:t>
            </w:r>
          </w:p>
        </w:tc>
      </w:tr>
      <w:tr w:rsidR="00FD4FDE" w:rsidRPr="00EF52CA" w:rsidTr="00F31162">
        <w:trPr>
          <w:trHeight w:val="594"/>
        </w:trPr>
        <w:tc>
          <w:tcPr>
            <w:tcW w:w="1985" w:type="dxa"/>
          </w:tcPr>
          <w:p w:rsidR="00FD4FDE" w:rsidRPr="00EF52CA" w:rsidRDefault="00FD4FDE" w:rsidP="00FD4FDE">
            <w:pPr>
              <w:spacing w:before="0"/>
              <w:ind w:left="0"/>
              <w:rPr>
                <w:rFonts w:cs="Arial"/>
                <w:sz w:val="20"/>
                <w:szCs w:val="20"/>
                <w:lang w:eastAsia="en-NZ"/>
              </w:rPr>
            </w:pPr>
            <w:r w:rsidRPr="00EF52CA">
              <w:rPr>
                <w:rFonts w:cs="Arial"/>
                <w:sz w:val="20"/>
                <w:szCs w:val="20"/>
                <w:lang w:eastAsia="en-NZ"/>
              </w:rPr>
              <w:t xml:space="preserve">Operating cost (including </w:t>
            </w:r>
            <w:r w:rsidR="00190B23" w:rsidRPr="00EF52CA">
              <w:rPr>
                <w:rFonts w:cs="Arial"/>
                <w:sz w:val="20"/>
                <w:szCs w:val="20"/>
                <w:lang w:eastAsia="en-NZ"/>
              </w:rPr>
              <w:t>M</w:t>
            </w:r>
            <w:r w:rsidR="00190B23">
              <w:rPr>
                <w:rFonts w:cs="Arial"/>
                <w:sz w:val="20"/>
                <w:szCs w:val="20"/>
                <w:lang w:eastAsia="en-NZ"/>
              </w:rPr>
              <w:t>inistry of Health</w:t>
            </w:r>
            <w:r w:rsidRPr="00EF52CA">
              <w:rPr>
                <w:rFonts w:cs="Arial"/>
                <w:sz w:val="20"/>
                <w:szCs w:val="20"/>
                <w:lang w:eastAsia="en-NZ"/>
              </w:rPr>
              <w:t xml:space="preserve"> oversight costs)</w:t>
            </w:r>
          </w:p>
        </w:tc>
        <w:tc>
          <w:tcPr>
            <w:tcW w:w="1080" w:type="dxa"/>
            <w:vAlign w:val="center"/>
          </w:tcPr>
          <w:p w:rsidR="00FD4FDE" w:rsidRPr="00EF52CA" w:rsidRDefault="00FD4FDE" w:rsidP="00F31162">
            <w:pPr>
              <w:spacing w:before="0"/>
              <w:ind w:left="0"/>
              <w:jc w:val="center"/>
              <w:rPr>
                <w:rFonts w:cs="Arial"/>
                <w:sz w:val="20"/>
                <w:szCs w:val="20"/>
                <w:lang w:eastAsia="en-NZ"/>
              </w:rPr>
            </w:pPr>
          </w:p>
        </w:tc>
        <w:tc>
          <w:tcPr>
            <w:tcW w:w="1081" w:type="dxa"/>
            <w:vAlign w:val="center"/>
          </w:tcPr>
          <w:p w:rsidR="00FD4FDE" w:rsidRPr="00EF52CA" w:rsidRDefault="00FD4FDE" w:rsidP="00F31162">
            <w:pPr>
              <w:tabs>
                <w:tab w:val="left" w:pos="750"/>
              </w:tabs>
              <w:spacing w:before="0"/>
              <w:ind w:left="0" w:right="78"/>
              <w:jc w:val="center"/>
              <w:rPr>
                <w:rFonts w:cs="Arial"/>
                <w:sz w:val="20"/>
                <w:szCs w:val="20"/>
                <w:lang w:eastAsia="en-NZ"/>
              </w:rPr>
            </w:pPr>
            <w:r w:rsidRPr="00EF52CA">
              <w:rPr>
                <w:rFonts w:cs="Arial"/>
                <w:sz w:val="20"/>
                <w:szCs w:val="20"/>
                <w:lang w:eastAsia="en-NZ"/>
              </w:rPr>
              <w:t>$4.927m</w:t>
            </w:r>
          </w:p>
        </w:tc>
        <w:tc>
          <w:tcPr>
            <w:tcW w:w="1081" w:type="dxa"/>
            <w:vAlign w:val="center"/>
          </w:tcPr>
          <w:p w:rsidR="00FD4FDE" w:rsidRPr="00EF52CA" w:rsidRDefault="00FD4FDE" w:rsidP="00F31162">
            <w:pPr>
              <w:tabs>
                <w:tab w:val="left" w:pos="750"/>
              </w:tabs>
              <w:spacing w:before="0"/>
              <w:ind w:left="0" w:right="78"/>
              <w:jc w:val="center"/>
              <w:rPr>
                <w:rFonts w:cs="Arial"/>
                <w:sz w:val="20"/>
                <w:szCs w:val="20"/>
                <w:lang w:eastAsia="en-NZ"/>
              </w:rPr>
            </w:pPr>
            <w:r w:rsidRPr="00EF52CA">
              <w:rPr>
                <w:rFonts w:cs="Arial"/>
                <w:sz w:val="20"/>
                <w:szCs w:val="20"/>
                <w:lang w:eastAsia="en-NZ"/>
              </w:rPr>
              <w:t>$5.666m</w:t>
            </w:r>
          </w:p>
        </w:tc>
        <w:tc>
          <w:tcPr>
            <w:tcW w:w="1081" w:type="dxa"/>
            <w:vAlign w:val="center"/>
          </w:tcPr>
          <w:p w:rsidR="00FD4FDE" w:rsidRPr="00EF52CA" w:rsidRDefault="00FD4FDE" w:rsidP="00F31162">
            <w:pPr>
              <w:tabs>
                <w:tab w:val="left" w:pos="750"/>
              </w:tabs>
              <w:spacing w:before="0"/>
              <w:ind w:left="0" w:right="78"/>
              <w:jc w:val="center"/>
              <w:rPr>
                <w:rFonts w:cs="Arial"/>
                <w:sz w:val="20"/>
                <w:szCs w:val="20"/>
                <w:lang w:eastAsia="en-NZ"/>
              </w:rPr>
            </w:pPr>
            <w:r w:rsidRPr="00EF52CA">
              <w:rPr>
                <w:rFonts w:cs="Arial"/>
                <w:sz w:val="20"/>
                <w:szCs w:val="20"/>
                <w:lang w:eastAsia="en-NZ"/>
              </w:rPr>
              <w:t>$5.505m</w:t>
            </w:r>
          </w:p>
        </w:tc>
        <w:tc>
          <w:tcPr>
            <w:tcW w:w="1081" w:type="dxa"/>
            <w:vAlign w:val="center"/>
          </w:tcPr>
          <w:p w:rsidR="00FD4FDE" w:rsidRPr="00EF52CA" w:rsidRDefault="00FD4FDE" w:rsidP="00F31162">
            <w:pPr>
              <w:tabs>
                <w:tab w:val="left" w:pos="750"/>
              </w:tabs>
              <w:spacing w:before="0"/>
              <w:ind w:left="0" w:right="78"/>
              <w:jc w:val="center"/>
              <w:rPr>
                <w:rFonts w:cs="Arial"/>
                <w:sz w:val="20"/>
                <w:szCs w:val="20"/>
                <w:lang w:eastAsia="en-NZ"/>
              </w:rPr>
            </w:pPr>
            <w:r w:rsidRPr="00EF52CA">
              <w:rPr>
                <w:rFonts w:cs="Arial"/>
                <w:sz w:val="20"/>
                <w:szCs w:val="20"/>
                <w:lang w:eastAsia="en-NZ"/>
              </w:rPr>
              <w:t>$5.505m</w:t>
            </w:r>
          </w:p>
        </w:tc>
        <w:tc>
          <w:tcPr>
            <w:tcW w:w="1081" w:type="dxa"/>
            <w:tcMar>
              <w:left w:w="28" w:type="dxa"/>
              <w:right w:w="57" w:type="dxa"/>
            </w:tcMar>
            <w:vAlign w:val="center"/>
          </w:tcPr>
          <w:p w:rsidR="00FD4FDE" w:rsidRPr="00EF52CA" w:rsidRDefault="00FD4FDE" w:rsidP="00F31162">
            <w:pPr>
              <w:spacing w:before="0"/>
              <w:ind w:left="0" w:right="79"/>
              <w:jc w:val="center"/>
              <w:rPr>
                <w:rFonts w:cs="Arial"/>
                <w:sz w:val="20"/>
                <w:szCs w:val="20"/>
                <w:lang w:eastAsia="en-NZ"/>
              </w:rPr>
            </w:pPr>
            <w:r w:rsidRPr="00EF52CA">
              <w:rPr>
                <w:rFonts w:cs="Arial"/>
                <w:sz w:val="20"/>
                <w:szCs w:val="20"/>
                <w:lang w:eastAsia="en-NZ"/>
              </w:rPr>
              <w:t>$2</w:t>
            </w:r>
            <w:r w:rsidR="00972ADC">
              <w:rPr>
                <w:rFonts w:cs="Arial"/>
                <w:sz w:val="20"/>
                <w:szCs w:val="20"/>
                <w:lang w:eastAsia="en-NZ"/>
              </w:rPr>
              <w:t>1</w:t>
            </w:r>
            <w:r w:rsidRPr="00EF52CA">
              <w:rPr>
                <w:rFonts w:cs="Arial"/>
                <w:sz w:val="20"/>
                <w:szCs w:val="20"/>
                <w:lang w:eastAsia="en-NZ"/>
              </w:rPr>
              <w:t>.</w:t>
            </w:r>
            <w:r w:rsidR="00972ADC">
              <w:rPr>
                <w:rFonts w:cs="Arial"/>
                <w:sz w:val="20"/>
                <w:szCs w:val="20"/>
                <w:lang w:eastAsia="en-NZ"/>
              </w:rPr>
              <w:t>60</w:t>
            </w:r>
            <w:r w:rsidRPr="00EF52CA">
              <w:rPr>
                <w:rFonts w:cs="Arial"/>
                <w:sz w:val="20"/>
                <w:szCs w:val="20"/>
                <w:lang w:eastAsia="en-NZ"/>
              </w:rPr>
              <w:t>4m</w:t>
            </w:r>
          </w:p>
        </w:tc>
      </w:tr>
      <w:tr w:rsidR="00EF52CA" w:rsidRPr="00EF52CA" w:rsidTr="00972ADC">
        <w:trPr>
          <w:trHeight w:val="594"/>
        </w:trPr>
        <w:tc>
          <w:tcPr>
            <w:tcW w:w="7389" w:type="dxa"/>
            <w:gridSpan w:val="6"/>
          </w:tcPr>
          <w:p w:rsidR="00EF52CA" w:rsidRPr="00EF52CA" w:rsidRDefault="00EF52CA" w:rsidP="00FD4FDE">
            <w:pPr>
              <w:tabs>
                <w:tab w:val="left" w:pos="750"/>
              </w:tabs>
              <w:spacing w:before="0"/>
              <w:ind w:left="0" w:right="78"/>
              <w:jc w:val="right"/>
              <w:rPr>
                <w:rFonts w:cs="Arial"/>
                <w:sz w:val="20"/>
                <w:szCs w:val="20"/>
                <w:lang w:eastAsia="en-NZ"/>
              </w:rPr>
            </w:pPr>
            <w:r w:rsidRPr="00EF52CA">
              <w:rPr>
                <w:rFonts w:cs="Arial"/>
                <w:b/>
                <w:sz w:val="20"/>
                <w:szCs w:val="20"/>
                <w:lang w:eastAsia="en-NZ"/>
              </w:rPr>
              <w:t>Total cost</w:t>
            </w:r>
          </w:p>
        </w:tc>
        <w:tc>
          <w:tcPr>
            <w:tcW w:w="1081" w:type="dxa"/>
            <w:tcMar>
              <w:left w:w="28" w:type="dxa"/>
              <w:right w:w="57" w:type="dxa"/>
            </w:tcMar>
          </w:tcPr>
          <w:p w:rsidR="00972ADC" w:rsidRDefault="00EF52CA" w:rsidP="00972ADC">
            <w:pPr>
              <w:spacing w:before="0"/>
              <w:ind w:left="0" w:right="79"/>
              <w:jc w:val="right"/>
              <w:rPr>
                <w:rFonts w:cs="Arial"/>
                <w:b/>
                <w:sz w:val="20"/>
                <w:szCs w:val="20"/>
                <w:lang w:eastAsia="en-NZ"/>
              </w:rPr>
            </w:pPr>
            <w:r w:rsidRPr="00EF52CA">
              <w:rPr>
                <w:rFonts w:cs="Arial"/>
                <w:b/>
                <w:sz w:val="20"/>
                <w:szCs w:val="20"/>
                <w:lang w:eastAsia="en-NZ"/>
              </w:rPr>
              <w:t>$24.753</w:t>
            </w:r>
          </w:p>
          <w:p w:rsidR="00EF52CA" w:rsidRPr="00EF52CA" w:rsidRDefault="00972ADC" w:rsidP="00972ADC">
            <w:pPr>
              <w:spacing w:before="0"/>
              <w:ind w:left="0" w:right="79"/>
              <w:jc w:val="right"/>
              <w:rPr>
                <w:rFonts w:cs="Arial"/>
                <w:sz w:val="20"/>
                <w:szCs w:val="20"/>
                <w:lang w:eastAsia="en-NZ"/>
              </w:rPr>
            </w:pPr>
            <w:r>
              <w:rPr>
                <w:rFonts w:cs="Arial"/>
                <w:b/>
                <w:sz w:val="20"/>
                <w:szCs w:val="20"/>
                <w:lang w:eastAsia="en-NZ"/>
              </w:rPr>
              <w:t>million</w:t>
            </w:r>
          </w:p>
        </w:tc>
      </w:tr>
    </w:tbl>
    <w:p w:rsidR="007C3D83" w:rsidRPr="006D56EA" w:rsidRDefault="007C3D83" w:rsidP="00493443">
      <w:pPr>
        <w:autoSpaceDE w:val="0"/>
        <w:autoSpaceDN w:val="0"/>
        <w:adjustRightInd w:val="0"/>
        <w:spacing w:before="60" w:after="120"/>
        <w:rPr>
          <w:i/>
        </w:rPr>
      </w:pPr>
    </w:p>
    <w:p w:rsidR="007C3D83" w:rsidRPr="002076A9" w:rsidRDefault="007C3D83" w:rsidP="002076A9">
      <w:pPr>
        <w:pStyle w:val="Heading3"/>
        <w:rPr>
          <w:i w:val="0"/>
        </w:rPr>
      </w:pPr>
      <w:bookmarkStart w:id="358" w:name="_Toc406582413"/>
      <w:bookmarkStart w:id="359" w:name="_Ref390335336"/>
      <w:bookmarkStart w:id="360" w:name="_Ref388244211"/>
      <w:bookmarkStart w:id="361" w:name="_Toc391192838"/>
      <w:bookmarkEnd w:id="349"/>
      <w:r w:rsidRPr="002076A9">
        <w:rPr>
          <w:i w:val="0"/>
        </w:rPr>
        <w:t>Estimating the ‘steady state’ cost of a national programme</w:t>
      </w:r>
      <w:bookmarkEnd w:id="358"/>
    </w:p>
    <w:p w:rsidR="007C3D83" w:rsidRPr="002076A9" w:rsidRDefault="007C3D83" w:rsidP="000C18B5">
      <w:pPr>
        <w:pStyle w:val="Heading3"/>
        <w:numPr>
          <w:ilvl w:val="3"/>
          <w:numId w:val="0"/>
        </w:numPr>
        <w:tabs>
          <w:tab w:val="num" w:pos="851"/>
        </w:tabs>
        <w:spacing w:before="300" w:after="80" w:line="260" w:lineRule="atLeast"/>
        <w:ind w:left="851" w:hanging="851"/>
        <w:rPr>
          <w:sz w:val="22"/>
        </w:rPr>
      </w:pPr>
      <w:bookmarkStart w:id="362" w:name="_Toc397033462"/>
      <w:bookmarkStart w:id="363" w:name="_Toc406582414"/>
      <w:bookmarkEnd w:id="362"/>
      <w:r w:rsidRPr="002076A9">
        <w:rPr>
          <w:sz w:val="22"/>
        </w:rPr>
        <w:t>Estimated annual ‘steady state’ operating cost for base case</w:t>
      </w:r>
      <w:bookmarkEnd w:id="363"/>
      <w:r w:rsidRPr="002076A9">
        <w:rPr>
          <w:sz w:val="22"/>
        </w:rPr>
        <w:t xml:space="preserve"> </w:t>
      </w:r>
    </w:p>
    <w:p w:rsidR="007C3D83" w:rsidRPr="002076A9" w:rsidRDefault="007C3D83" w:rsidP="002076A9">
      <w:pPr>
        <w:pStyle w:val="Bullet"/>
        <w:numPr>
          <w:ilvl w:val="0"/>
          <w:numId w:val="0"/>
        </w:numPr>
        <w:ind w:left="709"/>
        <w:rPr>
          <w:b/>
        </w:rPr>
      </w:pPr>
      <w:bookmarkStart w:id="364" w:name="_Toc406582415"/>
      <w:r w:rsidRPr="002076A9">
        <w:rPr>
          <w:b/>
        </w:rPr>
        <w:t>National view</w:t>
      </w:r>
      <w:bookmarkEnd w:id="364"/>
    </w:p>
    <w:p w:rsidR="007C3D83" w:rsidRDefault="007C3D83" w:rsidP="000C18B5">
      <w:pPr>
        <w:pStyle w:val="Bullet"/>
        <w:numPr>
          <w:ilvl w:val="0"/>
          <w:numId w:val="0"/>
        </w:numPr>
        <w:ind w:left="709"/>
      </w:pPr>
      <w:r>
        <w:t xml:space="preserve">The main result metric is the </w:t>
      </w:r>
      <w:r w:rsidRPr="00FD4FDE">
        <w:t>annual operating cost</w:t>
      </w:r>
      <w:r>
        <w:t xml:space="preserve"> of a national screening programme in steady state – this </w:t>
      </w:r>
      <w:r w:rsidRPr="00EE7DAB">
        <w:t>exclud</w:t>
      </w:r>
      <w:r>
        <w:t>es</w:t>
      </w:r>
      <w:r w:rsidRPr="00EE7DAB">
        <w:t xml:space="preserve"> development costs </w:t>
      </w:r>
      <w:r>
        <w:t xml:space="preserve">and </w:t>
      </w:r>
      <w:r w:rsidRPr="00EE7DAB">
        <w:t>Ministry of Health oversight</w:t>
      </w:r>
      <w:r>
        <w:t xml:space="preserve">. The annual operating cost of a national programme is estimated at </w:t>
      </w:r>
      <w:r w:rsidRPr="00FD4FDE">
        <w:t>$39.073 million</w:t>
      </w:r>
      <w:r>
        <w:t xml:space="preserve"> – or 7.8 times higher than our estimate of the annual operating cost of </w:t>
      </w:r>
      <w:r w:rsidRPr="00FD4FDE">
        <w:t>$5.010 million</w:t>
      </w:r>
      <w:r>
        <w:t xml:space="preserve"> for the pilot in Year 4.   </w:t>
      </w:r>
    </w:p>
    <w:p w:rsidR="007C3D83" w:rsidRDefault="007C3D83" w:rsidP="000C18B5">
      <w:pPr>
        <w:pStyle w:val="Bullet"/>
        <w:numPr>
          <w:ilvl w:val="0"/>
          <w:numId w:val="0"/>
        </w:numPr>
        <w:ind w:left="709"/>
      </w:pPr>
      <w:r>
        <w:t xml:space="preserve">To a large extent, this result reflects a scaling up for the national population aged 50-74 years, which is approximately 8 times larger than the equivalent population at </w:t>
      </w:r>
      <w:r w:rsidR="00C50739">
        <w:t>WDHB</w:t>
      </w:r>
      <w:r>
        <w:t>. Whereas the fixed costs for national programme are assumed to be 8.0 times those of the pilot, differences in the age profile and ethnic groups within the national population contribute to the variable costs being slightly less than 8 times those incurred in the pilot.</w:t>
      </w:r>
    </w:p>
    <w:p w:rsidR="007C3D83" w:rsidRPr="002076A9" w:rsidRDefault="007C3D83" w:rsidP="002076A9">
      <w:pPr>
        <w:pStyle w:val="Bullet"/>
        <w:numPr>
          <w:ilvl w:val="0"/>
          <w:numId w:val="0"/>
        </w:numPr>
        <w:ind w:left="709"/>
        <w:rPr>
          <w:b/>
        </w:rPr>
      </w:pPr>
      <w:bookmarkStart w:id="365" w:name="_Toc406582416"/>
      <w:r w:rsidRPr="002076A9">
        <w:rPr>
          <w:b/>
        </w:rPr>
        <w:t>Regional view</w:t>
      </w:r>
      <w:bookmarkEnd w:id="365"/>
    </w:p>
    <w:p w:rsidR="007C3D83" w:rsidRDefault="007C3D83" w:rsidP="000C18B5">
      <w:pPr>
        <w:pStyle w:val="Bullet"/>
        <w:numPr>
          <w:ilvl w:val="0"/>
          <w:numId w:val="0"/>
        </w:numPr>
        <w:ind w:left="709"/>
      </w:pPr>
      <w:r>
        <w:t>The national programme is also considered on a regional basis and t</w:t>
      </w:r>
      <w:r w:rsidRPr="00590631">
        <w:t xml:space="preserve">he results are shown </w:t>
      </w:r>
      <w:r>
        <w:t xml:space="preserve">alongside the national view </w:t>
      </w:r>
      <w:r w:rsidRPr="00590631">
        <w:t>in</w:t>
      </w:r>
      <w:r>
        <w:t xml:space="preserve"> </w:t>
      </w:r>
      <w:r w:rsidR="00E25DDE">
        <w:t>Table 19</w:t>
      </w:r>
      <w:r>
        <w:t xml:space="preserve">. The results for each region largely reflect their population share but slight differences in participation rates matter too. As noted earlier, the regional approach also factors in </w:t>
      </w:r>
      <w:r w:rsidRPr="00C67DFC">
        <w:t>differences in participation rates for each five-year age group and four ethnic groups of Māori, Pacific, Asian and Other</w:t>
      </w:r>
      <w:r>
        <w:t xml:space="preserve">, which are </w:t>
      </w:r>
      <w:r w:rsidRPr="00C67DFC">
        <w:t xml:space="preserve">applied to the </w:t>
      </w:r>
      <w:r>
        <w:t xml:space="preserve">mix of </w:t>
      </w:r>
      <w:r w:rsidRPr="00C67DFC">
        <w:t>age</w:t>
      </w:r>
      <w:r>
        <w:t xml:space="preserve"> and </w:t>
      </w:r>
      <w:r w:rsidRPr="00C67DFC">
        <w:t>ethnic group</w:t>
      </w:r>
      <w:r>
        <w:t>s</w:t>
      </w:r>
      <w:r w:rsidRPr="00C67DFC">
        <w:t xml:space="preserve"> among </w:t>
      </w:r>
      <w:r>
        <w:t xml:space="preserve">the four regional </w:t>
      </w:r>
      <w:r w:rsidRPr="00C67DFC">
        <w:t>population</w:t>
      </w:r>
      <w:r>
        <w:t>s</w:t>
      </w:r>
      <w:r w:rsidRPr="00C67DFC">
        <w:t>.</w:t>
      </w:r>
    </w:p>
    <w:p w:rsidR="007C3D83" w:rsidRDefault="007C3D83" w:rsidP="000C18B5">
      <w:pPr>
        <w:pStyle w:val="Bullet"/>
        <w:numPr>
          <w:ilvl w:val="0"/>
          <w:numId w:val="0"/>
        </w:numPr>
        <w:ind w:left="709"/>
      </w:pPr>
      <w:r>
        <w:t>As a result, the Northern Region, which has higher proportions of groups that tend to have lower participation rates (i.e. Māori, Pacific and younger age groups), has a slightly lower participation rate (54%) than the Southern Region (58%), which has an older age profile. The rates for the Midland and Central Regions match that derived for the national model (56%).</w:t>
      </w:r>
    </w:p>
    <w:p w:rsidR="000C18B5" w:rsidRDefault="000C18B5" w:rsidP="00FD4FDE">
      <w:pPr>
        <w:spacing w:before="0" w:after="170" w:line="260" w:lineRule="atLeast"/>
        <w:ind w:left="0"/>
      </w:pPr>
    </w:p>
    <w:p w:rsidR="002076A9" w:rsidRDefault="002076A9" w:rsidP="00FD4FDE">
      <w:pPr>
        <w:spacing w:before="0" w:after="170" w:line="260" w:lineRule="atLeast"/>
        <w:ind w:left="0"/>
      </w:pPr>
    </w:p>
    <w:p w:rsidR="007C3D83" w:rsidRDefault="007C3D83" w:rsidP="002076A9">
      <w:pPr>
        <w:pStyle w:val="Table"/>
      </w:pPr>
      <w:bookmarkStart w:id="366" w:name="_Toc406582445"/>
      <w:bookmarkStart w:id="367" w:name="_Toc412540172"/>
      <w:r w:rsidRPr="00E468C9">
        <w:lastRenderedPageBreak/>
        <w:t xml:space="preserve">Table </w:t>
      </w:r>
      <w:r w:rsidR="000B1408">
        <w:t>19</w:t>
      </w:r>
      <w:r w:rsidRPr="00E468C9">
        <w:t>:</w:t>
      </w:r>
      <w:r>
        <w:t xml:space="preserve"> </w:t>
      </w:r>
      <w:r w:rsidRPr="00E468C9">
        <w:t>National model - estimated annual operating cost in steady state</w:t>
      </w:r>
      <w:r>
        <w:t>, by region</w:t>
      </w:r>
      <w:bookmarkEnd w:id="366"/>
      <w:bookmarkEnd w:id="367"/>
    </w:p>
    <w:tbl>
      <w:tblPr>
        <w:tblStyle w:val="TableGrid"/>
        <w:tblW w:w="8930" w:type="dxa"/>
        <w:tblInd w:w="817" w:type="dxa"/>
        <w:tblLayout w:type="fixed"/>
        <w:tblCellMar>
          <w:top w:w="28" w:type="dxa"/>
          <w:bottom w:w="28" w:type="dxa"/>
        </w:tblCellMar>
        <w:tblLook w:val="04A0" w:firstRow="1" w:lastRow="0" w:firstColumn="1" w:lastColumn="0" w:noHBand="0" w:noVBand="1"/>
      </w:tblPr>
      <w:tblGrid>
        <w:gridCol w:w="3544"/>
        <w:gridCol w:w="1077"/>
        <w:gridCol w:w="1077"/>
        <w:gridCol w:w="1077"/>
        <w:gridCol w:w="1077"/>
        <w:gridCol w:w="1078"/>
      </w:tblGrid>
      <w:tr w:rsidR="000C18B5" w:rsidRPr="00EF52CA" w:rsidTr="00EF52CA">
        <w:trPr>
          <w:trHeight w:val="240"/>
        </w:trPr>
        <w:tc>
          <w:tcPr>
            <w:tcW w:w="3544" w:type="dxa"/>
            <w:shd w:val="clear" w:color="auto" w:fill="7B5E05"/>
          </w:tcPr>
          <w:p w:rsidR="000C18B5" w:rsidRPr="00EF52CA" w:rsidRDefault="000C18B5" w:rsidP="000C18B5">
            <w:pPr>
              <w:spacing w:before="60" w:after="60"/>
              <w:ind w:left="0"/>
              <w:jc w:val="center"/>
              <w:rPr>
                <w:rFonts w:cs="Arial"/>
                <w:b/>
                <w:color w:val="FFFFFF"/>
                <w:sz w:val="20"/>
                <w:szCs w:val="20"/>
                <w:lang w:eastAsia="en-NZ"/>
              </w:rPr>
            </w:pPr>
          </w:p>
        </w:tc>
        <w:tc>
          <w:tcPr>
            <w:tcW w:w="1077" w:type="dxa"/>
            <w:shd w:val="clear" w:color="auto" w:fill="7B5E05"/>
          </w:tcPr>
          <w:p w:rsidR="000C18B5" w:rsidRPr="00EF52CA" w:rsidRDefault="000C18B5" w:rsidP="000C18B5">
            <w:pPr>
              <w:spacing w:before="60" w:after="60"/>
              <w:ind w:left="0"/>
              <w:jc w:val="center"/>
              <w:rPr>
                <w:rFonts w:cs="Arial"/>
                <w:b/>
                <w:color w:val="FFFFFF"/>
                <w:sz w:val="18"/>
                <w:szCs w:val="18"/>
                <w:lang w:eastAsia="en-NZ"/>
              </w:rPr>
            </w:pPr>
            <w:r w:rsidRPr="00EF52CA">
              <w:rPr>
                <w:rFonts w:cs="Arial"/>
                <w:b/>
                <w:color w:val="FFFFFF"/>
                <w:sz w:val="18"/>
                <w:szCs w:val="18"/>
                <w:lang w:eastAsia="en-NZ"/>
              </w:rPr>
              <w:t>Northern</w:t>
            </w:r>
          </w:p>
        </w:tc>
        <w:tc>
          <w:tcPr>
            <w:tcW w:w="1077" w:type="dxa"/>
            <w:shd w:val="clear" w:color="auto" w:fill="7B5E05"/>
          </w:tcPr>
          <w:p w:rsidR="000C18B5" w:rsidRPr="00EF52CA" w:rsidRDefault="000C18B5" w:rsidP="000C18B5">
            <w:pPr>
              <w:spacing w:before="60" w:after="60"/>
              <w:ind w:left="0"/>
              <w:jc w:val="center"/>
              <w:rPr>
                <w:rFonts w:cs="Arial"/>
                <w:b/>
                <w:color w:val="FFFFFF"/>
                <w:sz w:val="18"/>
                <w:szCs w:val="18"/>
                <w:lang w:eastAsia="en-NZ"/>
              </w:rPr>
            </w:pPr>
            <w:r w:rsidRPr="00EF52CA">
              <w:rPr>
                <w:rFonts w:cs="Arial"/>
                <w:b/>
                <w:color w:val="FFFFFF"/>
                <w:sz w:val="18"/>
                <w:szCs w:val="18"/>
                <w:lang w:eastAsia="en-NZ"/>
              </w:rPr>
              <w:t>Midland</w:t>
            </w:r>
          </w:p>
        </w:tc>
        <w:tc>
          <w:tcPr>
            <w:tcW w:w="1077" w:type="dxa"/>
            <w:shd w:val="clear" w:color="auto" w:fill="7B5E05"/>
          </w:tcPr>
          <w:p w:rsidR="000C18B5" w:rsidRPr="00EF52CA" w:rsidRDefault="000C18B5" w:rsidP="000C18B5">
            <w:pPr>
              <w:spacing w:before="60" w:after="60"/>
              <w:ind w:left="0"/>
              <w:jc w:val="center"/>
              <w:rPr>
                <w:rFonts w:cs="Arial"/>
                <w:b/>
                <w:color w:val="FFFFFF"/>
                <w:sz w:val="18"/>
                <w:szCs w:val="18"/>
                <w:lang w:eastAsia="en-NZ"/>
              </w:rPr>
            </w:pPr>
            <w:r w:rsidRPr="00EF52CA">
              <w:rPr>
                <w:rFonts w:cs="Arial"/>
                <w:b/>
                <w:color w:val="FFFFFF"/>
                <w:sz w:val="18"/>
                <w:szCs w:val="18"/>
                <w:lang w:eastAsia="en-NZ"/>
              </w:rPr>
              <w:t>Central</w:t>
            </w:r>
          </w:p>
        </w:tc>
        <w:tc>
          <w:tcPr>
            <w:tcW w:w="1077" w:type="dxa"/>
            <w:shd w:val="clear" w:color="auto" w:fill="7B5E05"/>
          </w:tcPr>
          <w:p w:rsidR="000C18B5" w:rsidRPr="00EF52CA" w:rsidRDefault="000C18B5" w:rsidP="000C18B5">
            <w:pPr>
              <w:spacing w:before="60" w:after="60"/>
              <w:ind w:left="0"/>
              <w:jc w:val="center"/>
              <w:rPr>
                <w:rFonts w:cs="Arial"/>
                <w:b/>
                <w:color w:val="FFFFFF"/>
                <w:sz w:val="18"/>
                <w:szCs w:val="18"/>
                <w:lang w:eastAsia="en-NZ"/>
              </w:rPr>
            </w:pPr>
            <w:r w:rsidRPr="00EF52CA">
              <w:rPr>
                <w:rFonts w:cs="Arial"/>
                <w:b/>
                <w:color w:val="FFFFFF"/>
                <w:sz w:val="18"/>
                <w:szCs w:val="18"/>
                <w:lang w:eastAsia="en-NZ"/>
              </w:rPr>
              <w:t>Southern</w:t>
            </w:r>
          </w:p>
        </w:tc>
        <w:tc>
          <w:tcPr>
            <w:tcW w:w="1078" w:type="dxa"/>
            <w:shd w:val="clear" w:color="auto" w:fill="7B5E05"/>
          </w:tcPr>
          <w:p w:rsidR="000C18B5" w:rsidRPr="00EF52CA" w:rsidRDefault="000C18B5" w:rsidP="000C18B5">
            <w:pPr>
              <w:spacing w:before="60" w:after="60"/>
              <w:ind w:left="0"/>
              <w:jc w:val="center"/>
              <w:rPr>
                <w:rFonts w:cs="Arial"/>
                <w:b/>
                <w:color w:val="FFFFFF"/>
                <w:sz w:val="18"/>
                <w:szCs w:val="18"/>
                <w:lang w:eastAsia="en-NZ"/>
              </w:rPr>
            </w:pPr>
            <w:r w:rsidRPr="00EF52CA">
              <w:rPr>
                <w:rFonts w:cs="Arial"/>
                <w:b/>
                <w:color w:val="FFFFFF"/>
                <w:sz w:val="18"/>
                <w:szCs w:val="18"/>
                <w:lang w:eastAsia="en-NZ"/>
              </w:rPr>
              <w:t>Total</w:t>
            </w:r>
          </w:p>
        </w:tc>
      </w:tr>
      <w:tr w:rsidR="000C18B5" w:rsidRPr="00EF52CA" w:rsidTr="00EF52CA">
        <w:trPr>
          <w:trHeight w:val="225"/>
        </w:trPr>
        <w:tc>
          <w:tcPr>
            <w:tcW w:w="8930" w:type="dxa"/>
            <w:gridSpan w:val="6"/>
            <w:shd w:val="clear" w:color="auto" w:fill="D9D9D9" w:themeFill="background1" w:themeFillShade="D9"/>
          </w:tcPr>
          <w:p w:rsidR="000C18B5" w:rsidRPr="00EF52CA" w:rsidRDefault="000C18B5" w:rsidP="000C18B5">
            <w:pPr>
              <w:spacing w:before="60" w:after="60"/>
              <w:ind w:left="0"/>
              <w:rPr>
                <w:rFonts w:cs="Arial"/>
                <w:b/>
                <w:sz w:val="20"/>
                <w:szCs w:val="20"/>
                <w:lang w:eastAsia="en-NZ"/>
              </w:rPr>
            </w:pPr>
            <w:r w:rsidRPr="00EF52CA">
              <w:rPr>
                <w:rFonts w:cs="Arial"/>
                <w:b/>
                <w:sz w:val="20"/>
                <w:szCs w:val="20"/>
                <w:lang w:eastAsia="en-NZ"/>
              </w:rPr>
              <w:t>Regional costs ($ million)</w:t>
            </w:r>
          </w:p>
        </w:tc>
      </w:tr>
      <w:tr w:rsidR="000C18B5" w:rsidRPr="00EF52CA" w:rsidTr="00EF52CA">
        <w:trPr>
          <w:trHeight w:val="225"/>
        </w:trPr>
        <w:tc>
          <w:tcPr>
            <w:tcW w:w="3544" w:type="dxa"/>
          </w:tcPr>
          <w:p w:rsidR="000C18B5" w:rsidRPr="00EF52CA" w:rsidRDefault="000C18B5" w:rsidP="000C18B5">
            <w:pPr>
              <w:spacing w:before="60" w:after="60"/>
              <w:ind w:left="0"/>
              <w:rPr>
                <w:rFonts w:cs="Arial"/>
                <w:sz w:val="20"/>
                <w:szCs w:val="20"/>
                <w:lang w:eastAsia="en-NZ"/>
              </w:rPr>
            </w:pPr>
            <w:r w:rsidRPr="00EF52CA">
              <w:rPr>
                <w:rFonts w:cs="Arial"/>
                <w:sz w:val="20"/>
                <w:szCs w:val="20"/>
                <w:lang w:eastAsia="en-NZ"/>
              </w:rPr>
              <w:t>Variable operating cost</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$5.862 </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$3.483 </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$3.435 </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$4.568 </w:t>
            </w:r>
          </w:p>
        </w:tc>
        <w:tc>
          <w:tcPr>
            <w:tcW w:w="1078"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$17.348 </w:t>
            </w:r>
          </w:p>
        </w:tc>
      </w:tr>
      <w:tr w:rsidR="000C18B5" w:rsidRPr="00EF52CA" w:rsidTr="00EF52CA">
        <w:trPr>
          <w:trHeight w:val="225"/>
        </w:trPr>
        <w:tc>
          <w:tcPr>
            <w:tcW w:w="3544" w:type="dxa"/>
          </w:tcPr>
          <w:p w:rsidR="000C18B5" w:rsidRPr="00EF52CA" w:rsidRDefault="000C18B5" w:rsidP="000C18B5">
            <w:pPr>
              <w:spacing w:before="60" w:after="60"/>
              <w:ind w:left="0"/>
              <w:rPr>
                <w:rFonts w:cs="Arial"/>
                <w:sz w:val="20"/>
                <w:szCs w:val="20"/>
                <w:lang w:eastAsia="en-NZ"/>
              </w:rPr>
            </w:pPr>
            <w:r w:rsidRPr="00EF52CA">
              <w:rPr>
                <w:rFonts w:cs="Arial"/>
                <w:sz w:val="20"/>
                <w:szCs w:val="20"/>
                <w:lang w:eastAsia="en-NZ"/>
              </w:rPr>
              <w:t>Fixed operating cost</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$7.592 </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$4.311 </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$4.250 </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$5.572 </w:t>
            </w:r>
          </w:p>
        </w:tc>
        <w:tc>
          <w:tcPr>
            <w:tcW w:w="1078"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 xml:space="preserve"> $21.724 </w:t>
            </w:r>
          </w:p>
        </w:tc>
      </w:tr>
      <w:tr w:rsidR="000C18B5" w:rsidRPr="00EF52CA" w:rsidTr="00EF52CA">
        <w:trPr>
          <w:trHeight w:val="240"/>
        </w:trPr>
        <w:tc>
          <w:tcPr>
            <w:tcW w:w="3544" w:type="dxa"/>
          </w:tcPr>
          <w:p w:rsidR="000C18B5" w:rsidRPr="00EF52CA" w:rsidRDefault="000C18B5" w:rsidP="000C18B5">
            <w:pPr>
              <w:spacing w:before="60" w:after="60"/>
              <w:ind w:left="0"/>
              <w:rPr>
                <w:rFonts w:cs="Arial"/>
                <w:b/>
                <w:sz w:val="20"/>
                <w:szCs w:val="20"/>
                <w:lang w:eastAsia="en-NZ"/>
              </w:rPr>
            </w:pPr>
            <w:r w:rsidRPr="00EF52CA">
              <w:rPr>
                <w:rFonts w:cs="Arial"/>
                <w:b/>
                <w:sz w:val="20"/>
                <w:szCs w:val="20"/>
                <w:lang w:eastAsia="en-NZ"/>
              </w:rPr>
              <w:t>Annual operating cost</w:t>
            </w:r>
          </w:p>
        </w:tc>
        <w:tc>
          <w:tcPr>
            <w:tcW w:w="1077" w:type="dxa"/>
          </w:tcPr>
          <w:p w:rsidR="000C18B5" w:rsidRPr="00EF52CA" w:rsidRDefault="000C18B5" w:rsidP="000C18B5">
            <w:pPr>
              <w:spacing w:before="60" w:after="60"/>
              <w:ind w:left="0"/>
              <w:jc w:val="right"/>
              <w:rPr>
                <w:rFonts w:cs="Arial"/>
                <w:b/>
                <w:sz w:val="20"/>
                <w:szCs w:val="20"/>
                <w:lang w:eastAsia="en-NZ"/>
              </w:rPr>
            </w:pPr>
            <w:r w:rsidRPr="00EF52CA">
              <w:rPr>
                <w:rFonts w:cs="Arial"/>
                <w:b/>
                <w:sz w:val="20"/>
                <w:szCs w:val="20"/>
                <w:lang w:eastAsia="en-NZ"/>
              </w:rPr>
              <w:t xml:space="preserve"> $13.454 </w:t>
            </w:r>
          </w:p>
        </w:tc>
        <w:tc>
          <w:tcPr>
            <w:tcW w:w="1077" w:type="dxa"/>
          </w:tcPr>
          <w:p w:rsidR="000C18B5" w:rsidRPr="00EF52CA" w:rsidRDefault="000C18B5" w:rsidP="000C18B5">
            <w:pPr>
              <w:spacing w:before="60" w:after="60"/>
              <w:ind w:left="0"/>
              <w:jc w:val="right"/>
              <w:rPr>
                <w:rFonts w:cs="Arial"/>
                <w:b/>
                <w:sz w:val="20"/>
                <w:szCs w:val="20"/>
                <w:lang w:eastAsia="en-NZ"/>
              </w:rPr>
            </w:pPr>
            <w:r w:rsidRPr="00EF52CA">
              <w:rPr>
                <w:rFonts w:cs="Arial"/>
                <w:b/>
                <w:sz w:val="20"/>
                <w:szCs w:val="20"/>
                <w:lang w:eastAsia="en-NZ"/>
              </w:rPr>
              <w:t xml:space="preserve"> $7.794 </w:t>
            </w:r>
          </w:p>
        </w:tc>
        <w:tc>
          <w:tcPr>
            <w:tcW w:w="1077" w:type="dxa"/>
          </w:tcPr>
          <w:p w:rsidR="000C18B5" w:rsidRPr="00EF52CA" w:rsidRDefault="000C18B5" w:rsidP="000C18B5">
            <w:pPr>
              <w:spacing w:before="60" w:after="60"/>
              <w:ind w:left="0"/>
              <w:jc w:val="right"/>
              <w:rPr>
                <w:rFonts w:cs="Arial"/>
                <w:b/>
                <w:sz w:val="20"/>
                <w:szCs w:val="20"/>
                <w:lang w:eastAsia="en-NZ"/>
              </w:rPr>
            </w:pPr>
            <w:r w:rsidRPr="00EF52CA">
              <w:rPr>
                <w:rFonts w:cs="Arial"/>
                <w:b/>
                <w:sz w:val="20"/>
                <w:szCs w:val="20"/>
                <w:lang w:eastAsia="en-NZ"/>
              </w:rPr>
              <w:t xml:space="preserve"> $7.686 </w:t>
            </w:r>
          </w:p>
        </w:tc>
        <w:tc>
          <w:tcPr>
            <w:tcW w:w="1077" w:type="dxa"/>
          </w:tcPr>
          <w:p w:rsidR="000C18B5" w:rsidRPr="00EF52CA" w:rsidRDefault="000C18B5" w:rsidP="000C18B5">
            <w:pPr>
              <w:spacing w:before="60" w:after="60"/>
              <w:ind w:left="0"/>
              <w:jc w:val="right"/>
              <w:rPr>
                <w:rFonts w:cs="Arial"/>
                <w:b/>
                <w:sz w:val="20"/>
                <w:szCs w:val="20"/>
                <w:lang w:eastAsia="en-NZ"/>
              </w:rPr>
            </w:pPr>
            <w:r w:rsidRPr="00EF52CA">
              <w:rPr>
                <w:rFonts w:cs="Arial"/>
                <w:b/>
                <w:sz w:val="20"/>
                <w:szCs w:val="20"/>
                <w:lang w:eastAsia="en-NZ"/>
              </w:rPr>
              <w:t xml:space="preserve"> $10.139 </w:t>
            </w:r>
          </w:p>
        </w:tc>
        <w:tc>
          <w:tcPr>
            <w:tcW w:w="1078" w:type="dxa"/>
          </w:tcPr>
          <w:p w:rsidR="000C18B5" w:rsidRPr="00EF52CA" w:rsidRDefault="000C18B5" w:rsidP="000C18B5">
            <w:pPr>
              <w:spacing w:before="60" w:after="60"/>
              <w:ind w:left="0"/>
              <w:jc w:val="right"/>
              <w:rPr>
                <w:rFonts w:cs="Arial"/>
                <w:b/>
                <w:sz w:val="20"/>
                <w:szCs w:val="20"/>
                <w:lang w:eastAsia="en-NZ"/>
              </w:rPr>
            </w:pPr>
            <w:r w:rsidRPr="00EF52CA">
              <w:rPr>
                <w:rFonts w:cs="Arial"/>
                <w:b/>
                <w:sz w:val="20"/>
                <w:szCs w:val="20"/>
                <w:lang w:eastAsia="en-NZ"/>
              </w:rPr>
              <w:t xml:space="preserve"> $39.073 </w:t>
            </w:r>
          </w:p>
        </w:tc>
      </w:tr>
      <w:tr w:rsidR="000C18B5" w:rsidRPr="00EF52CA" w:rsidTr="00EF52CA">
        <w:trPr>
          <w:trHeight w:val="225"/>
        </w:trPr>
        <w:tc>
          <w:tcPr>
            <w:tcW w:w="8930" w:type="dxa"/>
            <w:gridSpan w:val="6"/>
            <w:shd w:val="clear" w:color="auto" w:fill="D9D9D9" w:themeFill="background1" w:themeFillShade="D9"/>
          </w:tcPr>
          <w:p w:rsidR="000C18B5" w:rsidRPr="00EF52CA" w:rsidRDefault="000C18B5" w:rsidP="000C18B5">
            <w:pPr>
              <w:spacing w:before="60" w:after="60"/>
              <w:ind w:left="0"/>
              <w:rPr>
                <w:rFonts w:cs="Arial"/>
                <w:b/>
                <w:sz w:val="20"/>
                <w:szCs w:val="20"/>
                <w:lang w:eastAsia="en-NZ"/>
              </w:rPr>
            </w:pPr>
            <w:r w:rsidRPr="00EF52CA">
              <w:rPr>
                <w:rFonts w:cs="Arial"/>
                <w:b/>
                <w:sz w:val="20"/>
                <w:szCs w:val="20"/>
                <w:lang w:eastAsia="en-NZ"/>
              </w:rPr>
              <w:t>Regional shares (%)</w:t>
            </w:r>
          </w:p>
        </w:tc>
      </w:tr>
      <w:tr w:rsidR="000C18B5" w:rsidRPr="00EF52CA" w:rsidTr="00EF52CA">
        <w:trPr>
          <w:trHeight w:val="225"/>
        </w:trPr>
        <w:tc>
          <w:tcPr>
            <w:tcW w:w="3544" w:type="dxa"/>
          </w:tcPr>
          <w:p w:rsidR="000C18B5" w:rsidRPr="00EF52CA" w:rsidRDefault="000C18B5" w:rsidP="000C18B5">
            <w:pPr>
              <w:spacing w:before="60" w:after="60"/>
              <w:ind w:left="0"/>
              <w:rPr>
                <w:rFonts w:cs="Arial"/>
                <w:sz w:val="20"/>
                <w:szCs w:val="20"/>
                <w:lang w:eastAsia="en-NZ"/>
              </w:rPr>
            </w:pPr>
            <w:r w:rsidRPr="00EF52CA">
              <w:rPr>
                <w:rFonts w:cs="Arial"/>
                <w:sz w:val="20"/>
                <w:szCs w:val="20"/>
                <w:lang w:eastAsia="en-NZ"/>
              </w:rPr>
              <w:t>Share of national population (50-74 years)</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34.9%</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19.8%</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19.6%</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25.6%</w:t>
            </w:r>
          </w:p>
        </w:tc>
        <w:tc>
          <w:tcPr>
            <w:tcW w:w="1078"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100.0%</w:t>
            </w:r>
          </w:p>
        </w:tc>
      </w:tr>
      <w:tr w:rsidR="000C18B5" w:rsidRPr="00EF52CA" w:rsidTr="00EF52CA">
        <w:trPr>
          <w:trHeight w:val="225"/>
        </w:trPr>
        <w:tc>
          <w:tcPr>
            <w:tcW w:w="3544" w:type="dxa"/>
          </w:tcPr>
          <w:p w:rsidR="000C18B5" w:rsidRPr="00EF52CA" w:rsidRDefault="000C18B5" w:rsidP="000C18B5">
            <w:pPr>
              <w:spacing w:before="60" w:after="60"/>
              <w:ind w:left="0"/>
              <w:rPr>
                <w:rFonts w:cs="Arial"/>
                <w:sz w:val="20"/>
                <w:szCs w:val="20"/>
                <w:lang w:eastAsia="en-NZ"/>
              </w:rPr>
            </w:pPr>
            <w:r w:rsidRPr="00EF52CA">
              <w:rPr>
                <w:rFonts w:cs="Arial"/>
                <w:sz w:val="20"/>
                <w:szCs w:val="20"/>
                <w:lang w:eastAsia="en-NZ"/>
              </w:rPr>
              <w:t>Share of total operating costs</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34.4%</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19.9%</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19.7%</w:t>
            </w:r>
          </w:p>
        </w:tc>
        <w:tc>
          <w:tcPr>
            <w:tcW w:w="1077"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25.9%</w:t>
            </w:r>
          </w:p>
        </w:tc>
        <w:tc>
          <w:tcPr>
            <w:tcW w:w="1078" w:type="dxa"/>
          </w:tcPr>
          <w:p w:rsidR="000C18B5" w:rsidRPr="00EF52CA" w:rsidRDefault="000C18B5" w:rsidP="000C18B5">
            <w:pPr>
              <w:spacing w:before="60" w:after="60"/>
              <w:ind w:left="0"/>
              <w:jc w:val="right"/>
              <w:rPr>
                <w:rFonts w:cs="Arial"/>
                <w:sz w:val="20"/>
                <w:szCs w:val="20"/>
                <w:lang w:eastAsia="en-NZ"/>
              </w:rPr>
            </w:pPr>
            <w:r w:rsidRPr="00EF52CA">
              <w:rPr>
                <w:rFonts w:cs="Arial"/>
                <w:sz w:val="20"/>
                <w:szCs w:val="20"/>
                <w:lang w:eastAsia="en-NZ"/>
              </w:rPr>
              <w:t>100.0%</w:t>
            </w:r>
          </w:p>
        </w:tc>
      </w:tr>
    </w:tbl>
    <w:p w:rsidR="007C3D83" w:rsidRDefault="007C3D83" w:rsidP="000C18B5">
      <w:pPr>
        <w:pStyle w:val="Bullet"/>
        <w:numPr>
          <w:ilvl w:val="0"/>
          <w:numId w:val="0"/>
        </w:numPr>
        <w:ind w:left="709"/>
      </w:pPr>
      <w:r>
        <w:fldChar w:fldCharType="begin"/>
      </w:r>
      <w:r>
        <w:instrText xml:space="preserve"> REF _Ref390626365 \h </w:instrText>
      </w:r>
      <w:r w:rsidR="00FD4FDE">
        <w:instrText xml:space="preserve"> \* MERGEFORMAT </w:instrText>
      </w:r>
      <w:r>
        <w:fldChar w:fldCharType="separate"/>
      </w:r>
      <w:r w:rsidR="00957CD0">
        <w:t xml:space="preserve">Figure </w:t>
      </w:r>
      <w:r>
        <w:fldChar w:fldCharType="end"/>
      </w:r>
      <w:r w:rsidR="00F50FF2">
        <w:t>2</w:t>
      </w:r>
      <w:r w:rsidR="00F04363">
        <w:t>0</w:t>
      </w:r>
      <w:r>
        <w:t xml:space="preserve"> shows that the Northern Region is modelled as having the highest share of total annual operating costs, at $13.454 million or 34.4% of national model costs. This is consistent with the region having the largest share of the national population aged 50-74 years (34.9%).  </w:t>
      </w:r>
    </w:p>
    <w:p w:rsidR="007C3D83" w:rsidRPr="00FD4FDE" w:rsidRDefault="007C3D83" w:rsidP="000C18B5">
      <w:pPr>
        <w:pStyle w:val="Bullet"/>
        <w:numPr>
          <w:ilvl w:val="0"/>
          <w:numId w:val="0"/>
        </w:numPr>
        <w:ind w:left="709"/>
      </w:pPr>
      <w:r>
        <w:t>Whereas the variable costs are determined by the size of each region’s population, adjusted for age and ethnic group differences in participation rates, the fixed costs are those derived for the national model and allocated on a population share basis.</w:t>
      </w:r>
    </w:p>
    <w:p w:rsidR="007C3D83" w:rsidRPr="00F04363" w:rsidRDefault="007C3D83" w:rsidP="00F04363">
      <w:pPr>
        <w:pStyle w:val="Figure"/>
      </w:pPr>
      <w:bookmarkStart w:id="368" w:name="_Ref390626365"/>
      <w:bookmarkStart w:id="369" w:name="_Ref390626359"/>
      <w:bookmarkStart w:id="370" w:name="_Toc406582459"/>
      <w:bookmarkStart w:id="371" w:name="_Toc412540147"/>
      <w:r>
        <w:t xml:space="preserve">Figure </w:t>
      </w:r>
      <w:bookmarkEnd w:id="368"/>
      <w:r w:rsidR="00696085">
        <w:t>2</w:t>
      </w:r>
      <w:r w:rsidR="00F04363">
        <w:t>0</w:t>
      </w:r>
      <w:r>
        <w:t>: Annual operating costs under the national model by region</w:t>
      </w:r>
      <w:bookmarkEnd w:id="369"/>
      <w:bookmarkEnd w:id="370"/>
      <w:bookmarkEnd w:id="371"/>
    </w:p>
    <w:p w:rsidR="007C3D83" w:rsidRDefault="007C3D83" w:rsidP="007C3D83">
      <w:pPr>
        <w:ind w:hanging="142"/>
        <w:rPr>
          <w:b/>
        </w:rPr>
      </w:pPr>
      <w:r w:rsidRPr="00BE33E9">
        <w:rPr>
          <w:noProof/>
          <w:lang w:eastAsia="en-NZ"/>
        </w:rPr>
        <w:drawing>
          <wp:inline distT="0" distB="0" distL="0" distR="0" wp14:anchorId="0D99A533" wp14:editId="5A633AFD">
            <wp:extent cx="5019675" cy="3227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19048" cy="3227202"/>
                    </a:xfrm>
                    <a:prstGeom prst="rect">
                      <a:avLst/>
                    </a:prstGeom>
                  </pic:spPr>
                </pic:pic>
              </a:graphicData>
            </a:graphic>
          </wp:inline>
        </w:drawing>
      </w:r>
    </w:p>
    <w:p w:rsidR="007C3D83" w:rsidRPr="00C549B2" w:rsidRDefault="007C3D83" w:rsidP="00C549B2">
      <w:pPr>
        <w:pStyle w:val="Heading3"/>
        <w:rPr>
          <w:i w:val="0"/>
        </w:rPr>
      </w:pPr>
      <w:bookmarkStart w:id="372" w:name="_Toc406582417"/>
      <w:bookmarkStart w:id="373" w:name="_Toc406594654"/>
      <w:bookmarkStart w:id="374" w:name="_Toc406602100"/>
      <w:bookmarkStart w:id="375" w:name="_Toc406666280"/>
      <w:r w:rsidRPr="00C549B2">
        <w:rPr>
          <w:i w:val="0"/>
        </w:rPr>
        <w:lastRenderedPageBreak/>
        <w:t>High and low estimates from sensitivity analysis</w:t>
      </w:r>
      <w:bookmarkEnd w:id="372"/>
      <w:bookmarkEnd w:id="373"/>
      <w:bookmarkEnd w:id="374"/>
      <w:bookmarkEnd w:id="375"/>
      <w:r w:rsidRPr="00C549B2">
        <w:rPr>
          <w:i w:val="0"/>
        </w:rPr>
        <w:t xml:space="preserve"> </w:t>
      </w:r>
    </w:p>
    <w:p w:rsidR="007C3D83" w:rsidRPr="004F786D" w:rsidRDefault="007C3D83" w:rsidP="00EF52CA">
      <w:pPr>
        <w:pStyle w:val="Bullet"/>
        <w:keepNext/>
        <w:numPr>
          <w:ilvl w:val="0"/>
          <w:numId w:val="0"/>
        </w:numPr>
        <w:ind w:left="709"/>
      </w:pPr>
      <w:r>
        <w:t xml:space="preserve">The results of sensitivity testing undertaken suggest a plausible range for the annual operating cost of a national screening programme in steady state as being between </w:t>
      </w:r>
      <w:r w:rsidRPr="00FD4FDE">
        <w:t>$26.531 million</w:t>
      </w:r>
      <w:r>
        <w:t xml:space="preserve"> and </w:t>
      </w:r>
      <w:r w:rsidRPr="00A013C6">
        <w:t xml:space="preserve"> </w:t>
      </w:r>
      <w:r w:rsidRPr="00FD4FDE">
        <w:t xml:space="preserve">$50.623 million </w:t>
      </w:r>
      <w:r w:rsidRPr="004F786D">
        <w:t>(with the base case estimate at</w:t>
      </w:r>
      <w:r w:rsidRPr="00FD4FDE">
        <w:t xml:space="preserve"> $39.073 million</w:t>
      </w:r>
      <w:r w:rsidRPr="004F786D">
        <w:t>).</w:t>
      </w:r>
    </w:p>
    <w:p w:rsidR="007C3D83" w:rsidRDefault="007C3D83" w:rsidP="000C18B5">
      <w:pPr>
        <w:pStyle w:val="Bullet"/>
        <w:numPr>
          <w:ilvl w:val="0"/>
          <w:numId w:val="0"/>
        </w:numPr>
        <w:ind w:left="709"/>
      </w:pPr>
      <w:r>
        <w:t>These low and high estimates are scenarios that have been constructed by combining the results of separate sensitivity tests of key elements among the fixed and variable costs, namely:</w:t>
      </w:r>
    </w:p>
    <w:p w:rsidR="007C3D83" w:rsidRDefault="007C3D83" w:rsidP="000C18B5">
      <w:pPr>
        <w:numPr>
          <w:ilvl w:val="0"/>
          <w:numId w:val="6"/>
        </w:numPr>
        <w:autoSpaceDE w:val="0"/>
        <w:autoSpaceDN w:val="0"/>
        <w:adjustRightInd w:val="0"/>
        <w:spacing w:before="60" w:after="120"/>
        <w:ind w:left="1134" w:hanging="425"/>
      </w:pPr>
      <w:r>
        <w:t>varying the scale-up factor for the fixed costs of the coordination centre to explore the potential impact of economies of scale;</w:t>
      </w:r>
    </w:p>
    <w:p w:rsidR="007C3D83" w:rsidRDefault="007C3D83" w:rsidP="000C18B5">
      <w:pPr>
        <w:numPr>
          <w:ilvl w:val="0"/>
          <w:numId w:val="6"/>
        </w:numPr>
        <w:autoSpaceDE w:val="0"/>
        <w:autoSpaceDN w:val="0"/>
        <w:adjustRightInd w:val="0"/>
        <w:spacing w:before="60" w:after="120"/>
        <w:ind w:left="1134" w:hanging="425"/>
      </w:pPr>
      <w:r>
        <w:t>varying the participation rate, which has a flow-on impact to the rest of the screening pathway and associated variable costs; and</w:t>
      </w:r>
    </w:p>
    <w:p w:rsidR="007C3D83" w:rsidRDefault="007C3D83" w:rsidP="000C18B5">
      <w:pPr>
        <w:numPr>
          <w:ilvl w:val="0"/>
          <w:numId w:val="6"/>
        </w:numPr>
        <w:autoSpaceDE w:val="0"/>
        <w:autoSpaceDN w:val="0"/>
        <w:adjustRightInd w:val="0"/>
        <w:spacing w:before="60" w:after="120"/>
        <w:ind w:left="1134" w:hanging="425"/>
      </w:pPr>
      <w:proofErr w:type="gramStart"/>
      <w:r>
        <w:t>varying</w:t>
      </w:r>
      <w:proofErr w:type="gramEnd"/>
      <w:r>
        <w:t xml:space="preserve"> the positivity rate, which also has a flow-on impact to later stages of the screening pathway, namely the variable costs of colonoscopies and histology.</w:t>
      </w:r>
    </w:p>
    <w:p w:rsidR="000C18B5" w:rsidRDefault="007C3D83" w:rsidP="000C18B5">
      <w:pPr>
        <w:pStyle w:val="Bullet"/>
        <w:numPr>
          <w:ilvl w:val="0"/>
          <w:numId w:val="0"/>
        </w:numPr>
        <w:ind w:left="709"/>
      </w:pPr>
      <w:r>
        <w:t xml:space="preserve">The individual results of these sensitivity tests are reported below. </w:t>
      </w:r>
    </w:p>
    <w:p w:rsidR="007C3D83" w:rsidRPr="002076A9" w:rsidRDefault="007C3D83" w:rsidP="002076A9">
      <w:pPr>
        <w:pStyle w:val="Heading3"/>
        <w:numPr>
          <w:ilvl w:val="3"/>
          <w:numId w:val="0"/>
        </w:numPr>
        <w:tabs>
          <w:tab w:val="num" w:pos="851"/>
        </w:tabs>
        <w:spacing w:before="300" w:after="80" w:line="260" w:lineRule="atLeast"/>
        <w:ind w:left="851" w:hanging="851"/>
        <w:rPr>
          <w:sz w:val="22"/>
        </w:rPr>
      </w:pPr>
      <w:bookmarkStart w:id="376" w:name="_Toc406582418"/>
      <w:r w:rsidRPr="002076A9">
        <w:rPr>
          <w:sz w:val="22"/>
        </w:rPr>
        <w:t>Fixed costs and potential economies of scale</w:t>
      </w:r>
      <w:bookmarkEnd w:id="376"/>
    </w:p>
    <w:p w:rsidR="007C3D83" w:rsidRDefault="007C3D83" w:rsidP="000C18B5">
      <w:pPr>
        <w:pStyle w:val="Bullet"/>
        <w:numPr>
          <w:ilvl w:val="0"/>
          <w:numId w:val="0"/>
        </w:numPr>
        <w:ind w:left="709"/>
      </w:pPr>
      <w:r>
        <w:t xml:space="preserve">Varying the scale-up factors use for the fixed cost components provides a plausible range for the annual operating cost of a national screening programme of between </w:t>
      </w:r>
      <w:r w:rsidRPr="00FD4FDE">
        <w:t>$29.736 million</w:t>
      </w:r>
      <w:r w:rsidRPr="00F359A0">
        <w:t xml:space="preserve"> </w:t>
      </w:r>
      <w:r>
        <w:t>and</w:t>
      </w:r>
      <w:r w:rsidRPr="00F359A0">
        <w:t xml:space="preserve"> </w:t>
      </w:r>
      <w:r w:rsidRPr="00FD4FDE">
        <w:t>$44.504 million</w:t>
      </w:r>
      <w:r w:rsidRPr="00F359A0">
        <w:t>.</w:t>
      </w:r>
      <w:r w:rsidRPr="004F1830">
        <w:t xml:space="preserve"> </w:t>
      </w:r>
    </w:p>
    <w:p w:rsidR="007C3D83" w:rsidRDefault="007C3D83" w:rsidP="000C18B5">
      <w:pPr>
        <w:pStyle w:val="Bullet"/>
        <w:numPr>
          <w:ilvl w:val="0"/>
          <w:numId w:val="0"/>
        </w:numPr>
        <w:ind w:left="709"/>
      </w:pPr>
      <w:r>
        <w:t>The results in</w:t>
      </w:r>
      <w:r w:rsidRPr="00E468C9">
        <w:t xml:space="preserve"> </w:t>
      </w:r>
      <w:r w:rsidR="00E25DDE">
        <w:t>Table 20</w:t>
      </w:r>
      <w:r>
        <w:t xml:space="preserve"> </w:t>
      </w:r>
      <w:r w:rsidRPr="00E468C9">
        <w:t>show how we have varied these scaling assumptions for these fixed cost elements to produce</w:t>
      </w:r>
      <w:r>
        <w:t xml:space="preserve"> these </w:t>
      </w:r>
      <w:r w:rsidRPr="00E468C9">
        <w:t>‘low’ and ‘high’ scenarios</w:t>
      </w:r>
      <w:r>
        <w:t>.</w:t>
      </w:r>
      <w:r w:rsidRPr="00E468C9">
        <w:t xml:space="preserve"> </w:t>
      </w:r>
    </w:p>
    <w:p w:rsidR="007C3D83" w:rsidRDefault="007C3D83" w:rsidP="000C18B5">
      <w:pPr>
        <w:pStyle w:val="Bullet"/>
        <w:numPr>
          <w:ilvl w:val="0"/>
          <w:numId w:val="0"/>
        </w:numPr>
        <w:ind w:left="709"/>
      </w:pPr>
      <w:r>
        <w:t xml:space="preserve">Departing from the base case scaling assumption of 8.0 – which is based on the eligible national population being approximately eight times larger than the Waitemata population – we test the assumption of community awareness activities and the coordination centre functions being four times as large as the pilot. This scalar of 4.0 allows for an increase in outreach activities on a national scale while also implying that there will be some economies of scale in that the larger volumes will not increase workload by an equivalent amount (e.g. </w:t>
      </w:r>
      <w:r w:rsidRPr="00486A5F">
        <w:t>programme management, clinical oversight, quality management, data management and analysis</w:t>
      </w:r>
      <w:r>
        <w:t>). This assumption reduces the annual fixed costs in the base case by $9.337 million.</w:t>
      </w:r>
    </w:p>
    <w:p w:rsidR="007C3D83" w:rsidRDefault="007C3D83" w:rsidP="000C18B5">
      <w:pPr>
        <w:pStyle w:val="Bullet"/>
        <w:numPr>
          <w:ilvl w:val="0"/>
          <w:numId w:val="0"/>
        </w:numPr>
        <w:ind w:left="709"/>
      </w:pPr>
      <w:r>
        <w:t xml:space="preserve">The high scenario tests a scaling factor of 10.0 as an upper bound. The rationale for this is that the larger national programme may involve an extra level of complexity that outweighs any economies of scale from higher volumes, for example additional layers </w:t>
      </w:r>
      <w:r w:rsidR="00F31162">
        <w:t xml:space="preserve">of </w:t>
      </w:r>
      <w:r>
        <w:t>programme management and coordination, quality control for national standards and auditing etc. This assumption increases the annual fixed costs in the base case by $5.431 million.</w:t>
      </w:r>
    </w:p>
    <w:p w:rsidR="002076A9" w:rsidRDefault="002076A9">
      <w:pPr>
        <w:spacing w:before="0"/>
        <w:ind w:left="0"/>
        <w:rPr>
          <w:b/>
          <w:sz w:val="20"/>
        </w:rPr>
      </w:pPr>
      <w:bookmarkStart w:id="377" w:name="_Toc406582446"/>
      <w:r>
        <w:br w:type="page"/>
      </w:r>
    </w:p>
    <w:p w:rsidR="007C3D83" w:rsidRDefault="007C3D83" w:rsidP="000B1408">
      <w:pPr>
        <w:pStyle w:val="Table"/>
      </w:pPr>
      <w:bookmarkStart w:id="378" w:name="_Toc412540173"/>
      <w:r w:rsidRPr="00E468C9">
        <w:lastRenderedPageBreak/>
        <w:t xml:space="preserve">Table </w:t>
      </w:r>
      <w:r w:rsidR="000B1408">
        <w:t>20</w:t>
      </w:r>
      <w:r w:rsidRPr="00E468C9">
        <w:t>:</w:t>
      </w:r>
      <w:r>
        <w:t xml:space="preserve"> </w:t>
      </w:r>
      <w:r w:rsidRPr="00E468C9">
        <w:t>National model - estimated annual operating cost in steady state</w:t>
      </w:r>
      <w:bookmarkEnd w:id="377"/>
      <w:bookmarkEnd w:id="378"/>
    </w:p>
    <w:tbl>
      <w:tblPr>
        <w:tblStyle w:val="TableSapereGrid"/>
        <w:tblW w:w="0" w:type="auto"/>
        <w:tblInd w:w="817" w:type="dxa"/>
        <w:tblCellMar>
          <w:top w:w="85" w:type="dxa"/>
          <w:bottom w:w="85" w:type="dxa"/>
        </w:tblCellMar>
        <w:tblLook w:val="04A0" w:firstRow="1" w:lastRow="0" w:firstColumn="1" w:lastColumn="0" w:noHBand="0" w:noVBand="1"/>
      </w:tblPr>
      <w:tblGrid>
        <w:gridCol w:w="3544"/>
        <w:gridCol w:w="1560"/>
        <w:gridCol w:w="1559"/>
        <w:gridCol w:w="1701"/>
      </w:tblGrid>
      <w:tr w:rsidR="000C18B5" w:rsidRPr="00EF52CA" w:rsidTr="00EF52CA">
        <w:trPr>
          <w:cnfStyle w:val="100000000000" w:firstRow="1" w:lastRow="0" w:firstColumn="0" w:lastColumn="0" w:oddVBand="0" w:evenVBand="0" w:oddHBand="0" w:evenHBand="0" w:firstRowFirstColumn="0" w:firstRowLastColumn="0" w:lastRowFirstColumn="0" w:lastRowLastColumn="0"/>
        </w:trPr>
        <w:tc>
          <w:tcPr>
            <w:tcW w:w="3544" w:type="dxa"/>
            <w:tcBorders>
              <w:bottom w:val="single" w:sz="4" w:space="0" w:color="7B5E05"/>
            </w:tcBorders>
          </w:tcPr>
          <w:p w:rsidR="000C18B5" w:rsidRPr="00EF52CA" w:rsidRDefault="000C18B5" w:rsidP="000C18B5">
            <w:pPr>
              <w:keepNext/>
              <w:spacing w:before="60" w:after="60" w:line="260" w:lineRule="atLeast"/>
              <w:ind w:left="0"/>
              <w:rPr>
                <w:rFonts w:cs="Arial"/>
                <w:b/>
                <w:color w:val="FFFFFF"/>
                <w:sz w:val="20"/>
                <w:lang w:eastAsia="en-NZ"/>
              </w:rPr>
            </w:pPr>
          </w:p>
        </w:tc>
        <w:tc>
          <w:tcPr>
            <w:tcW w:w="1560" w:type="dxa"/>
            <w:tcBorders>
              <w:bottom w:val="single" w:sz="4" w:space="0" w:color="7B5E05"/>
            </w:tcBorders>
          </w:tcPr>
          <w:p w:rsidR="000C18B5" w:rsidRPr="00EF52CA" w:rsidRDefault="000C18B5" w:rsidP="000C18B5">
            <w:pPr>
              <w:keepNext/>
              <w:spacing w:before="60" w:after="60" w:line="260" w:lineRule="atLeast"/>
              <w:ind w:left="0"/>
              <w:jc w:val="center"/>
              <w:rPr>
                <w:rFonts w:cs="Arial"/>
                <w:b/>
                <w:color w:val="FFFFFF"/>
                <w:sz w:val="20"/>
                <w:lang w:eastAsia="en-NZ"/>
              </w:rPr>
            </w:pPr>
            <w:r w:rsidRPr="00EF52CA">
              <w:rPr>
                <w:rFonts w:cs="Arial"/>
                <w:b/>
                <w:color w:val="FFFFFF"/>
                <w:sz w:val="20"/>
                <w:lang w:eastAsia="en-NZ"/>
              </w:rPr>
              <w:t>Low scenario</w:t>
            </w:r>
          </w:p>
        </w:tc>
        <w:tc>
          <w:tcPr>
            <w:tcW w:w="1559" w:type="dxa"/>
            <w:tcBorders>
              <w:bottom w:val="single" w:sz="4" w:space="0" w:color="7B5E05"/>
            </w:tcBorders>
          </w:tcPr>
          <w:p w:rsidR="000C18B5" w:rsidRPr="00EF52CA" w:rsidRDefault="000C18B5" w:rsidP="000C18B5">
            <w:pPr>
              <w:keepNext/>
              <w:spacing w:before="60" w:after="60" w:line="260" w:lineRule="atLeast"/>
              <w:ind w:left="0"/>
              <w:jc w:val="center"/>
              <w:rPr>
                <w:rFonts w:cs="Arial"/>
                <w:b/>
                <w:color w:val="FFFFFF"/>
                <w:sz w:val="20"/>
                <w:lang w:eastAsia="en-NZ"/>
              </w:rPr>
            </w:pPr>
            <w:r w:rsidRPr="00EF52CA">
              <w:rPr>
                <w:rFonts w:cs="Arial"/>
                <w:b/>
                <w:color w:val="FFFFFF"/>
                <w:sz w:val="20"/>
                <w:lang w:eastAsia="en-NZ"/>
              </w:rPr>
              <w:t>Base case</w:t>
            </w:r>
          </w:p>
        </w:tc>
        <w:tc>
          <w:tcPr>
            <w:tcW w:w="1701" w:type="dxa"/>
            <w:tcBorders>
              <w:bottom w:val="single" w:sz="4" w:space="0" w:color="7B5E05"/>
            </w:tcBorders>
          </w:tcPr>
          <w:p w:rsidR="000C18B5" w:rsidRPr="00EF52CA" w:rsidRDefault="000C18B5" w:rsidP="000C18B5">
            <w:pPr>
              <w:keepNext/>
              <w:spacing w:before="60" w:after="60" w:line="260" w:lineRule="atLeast"/>
              <w:ind w:left="0"/>
              <w:jc w:val="center"/>
              <w:rPr>
                <w:rFonts w:cs="Arial"/>
                <w:b/>
                <w:color w:val="FFFFFF"/>
                <w:sz w:val="20"/>
                <w:lang w:eastAsia="en-NZ"/>
              </w:rPr>
            </w:pPr>
            <w:r w:rsidRPr="00EF52CA">
              <w:rPr>
                <w:rFonts w:cs="Arial"/>
                <w:b/>
                <w:color w:val="FFFFFF"/>
                <w:sz w:val="20"/>
                <w:lang w:eastAsia="en-NZ"/>
              </w:rPr>
              <w:t>High scenario</w:t>
            </w:r>
          </w:p>
        </w:tc>
      </w:tr>
      <w:tr w:rsidR="000C18B5" w:rsidRPr="00EF52CA" w:rsidTr="00EF52CA">
        <w:trPr>
          <w:trHeight w:val="349"/>
        </w:trPr>
        <w:tc>
          <w:tcPr>
            <w:tcW w:w="8364" w:type="dxa"/>
            <w:gridSpan w:val="4"/>
            <w:shd w:val="clear" w:color="auto" w:fill="A6A6A6" w:themeFill="background1" w:themeFillShade="A6"/>
          </w:tcPr>
          <w:p w:rsidR="000C18B5" w:rsidRPr="00EF52CA" w:rsidRDefault="000C18B5" w:rsidP="000C18B5">
            <w:pPr>
              <w:keepNext/>
              <w:spacing w:before="40" w:after="20" w:line="190" w:lineRule="atLeast"/>
              <w:ind w:left="0" w:right="574"/>
              <w:rPr>
                <w:rFonts w:cs="Arial"/>
                <w:sz w:val="20"/>
                <w:lang w:eastAsia="en-NZ"/>
              </w:rPr>
            </w:pPr>
            <w:r w:rsidRPr="00EF52CA">
              <w:rPr>
                <w:rFonts w:cs="Arial"/>
                <w:b/>
                <w:sz w:val="20"/>
                <w:szCs w:val="20"/>
                <w:lang w:eastAsia="en-NZ"/>
              </w:rPr>
              <w:t>Scaling assumptions</w:t>
            </w:r>
          </w:p>
        </w:tc>
      </w:tr>
      <w:tr w:rsidR="000C18B5" w:rsidRPr="00EF52CA" w:rsidTr="00EF52CA">
        <w:tc>
          <w:tcPr>
            <w:tcW w:w="3544" w:type="dxa"/>
          </w:tcPr>
          <w:p w:rsidR="000C18B5" w:rsidRPr="00EF52CA" w:rsidRDefault="000C18B5" w:rsidP="000C18B5">
            <w:pPr>
              <w:spacing w:before="40" w:after="20" w:line="260" w:lineRule="atLeast"/>
              <w:ind w:left="0"/>
              <w:rPr>
                <w:rFonts w:cs="Arial"/>
                <w:sz w:val="20"/>
                <w:szCs w:val="20"/>
                <w:lang w:eastAsia="en-NZ"/>
              </w:rPr>
            </w:pPr>
            <w:r w:rsidRPr="00EF52CA">
              <w:rPr>
                <w:rFonts w:cs="Arial"/>
                <w:sz w:val="20"/>
                <w:szCs w:val="20"/>
                <w:lang w:eastAsia="en-NZ"/>
              </w:rPr>
              <w:t>Community awareness and outreach</w:t>
            </w:r>
          </w:p>
        </w:tc>
        <w:tc>
          <w:tcPr>
            <w:tcW w:w="1560" w:type="dxa"/>
          </w:tcPr>
          <w:p w:rsidR="000C18B5" w:rsidRPr="00EF52CA" w:rsidRDefault="000C18B5" w:rsidP="000C18B5">
            <w:pPr>
              <w:spacing w:before="40" w:after="20" w:line="260" w:lineRule="atLeast"/>
              <w:ind w:left="0"/>
              <w:jc w:val="right"/>
              <w:rPr>
                <w:rFonts w:cs="Arial"/>
                <w:b/>
                <w:color w:val="7B5E05"/>
                <w:sz w:val="20"/>
                <w:szCs w:val="20"/>
                <w:lang w:eastAsia="en-NZ"/>
              </w:rPr>
            </w:pPr>
            <w:r w:rsidRPr="00EF52CA">
              <w:rPr>
                <w:rFonts w:cs="Arial"/>
                <w:sz w:val="20"/>
                <w:szCs w:val="20"/>
                <w:lang w:eastAsia="en-NZ"/>
              </w:rPr>
              <w:t>4.0</w:t>
            </w:r>
          </w:p>
        </w:tc>
        <w:tc>
          <w:tcPr>
            <w:tcW w:w="1559" w:type="dxa"/>
          </w:tcPr>
          <w:p w:rsidR="000C18B5" w:rsidRPr="00EF52CA" w:rsidRDefault="000C18B5" w:rsidP="000C18B5">
            <w:pPr>
              <w:spacing w:before="40" w:after="20" w:line="260" w:lineRule="atLeast"/>
              <w:ind w:left="0"/>
              <w:jc w:val="right"/>
              <w:rPr>
                <w:rFonts w:cs="Arial"/>
                <w:b/>
                <w:color w:val="7B5E05"/>
                <w:sz w:val="20"/>
                <w:szCs w:val="20"/>
                <w:lang w:eastAsia="en-NZ"/>
              </w:rPr>
            </w:pPr>
            <w:r w:rsidRPr="00EF52CA">
              <w:rPr>
                <w:rFonts w:cs="Arial"/>
                <w:sz w:val="20"/>
                <w:szCs w:val="20"/>
                <w:lang w:eastAsia="en-NZ"/>
              </w:rPr>
              <w:t>8.0</w:t>
            </w:r>
          </w:p>
        </w:tc>
        <w:tc>
          <w:tcPr>
            <w:tcW w:w="1701" w:type="dxa"/>
          </w:tcPr>
          <w:p w:rsidR="000C18B5" w:rsidRPr="00EF52CA" w:rsidRDefault="000C18B5" w:rsidP="000C18B5">
            <w:pPr>
              <w:spacing w:before="40" w:after="20" w:line="260" w:lineRule="atLeast"/>
              <w:ind w:left="0" w:right="143"/>
              <w:jc w:val="right"/>
              <w:rPr>
                <w:rFonts w:cs="Arial"/>
                <w:b/>
                <w:color w:val="7B5E05"/>
                <w:sz w:val="20"/>
                <w:szCs w:val="20"/>
                <w:lang w:eastAsia="en-NZ"/>
              </w:rPr>
            </w:pPr>
            <w:r w:rsidRPr="00EF52CA">
              <w:rPr>
                <w:rFonts w:cs="Arial"/>
                <w:sz w:val="20"/>
                <w:szCs w:val="20"/>
                <w:lang w:eastAsia="en-NZ"/>
              </w:rPr>
              <w:t>10.0</w:t>
            </w:r>
          </w:p>
        </w:tc>
      </w:tr>
      <w:tr w:rsidR="000C18B5" w:rsidRPr="00EF52CA" w:rsidTr="00EF52CA">
        <w:tc>
          <w:tcPr>
            <w:tcW w:w="3544" w:type="dxa"/>
          </w:tcPr>
          <w:p w:rsidR="000C18B5" w:rsidRPr="00EF52CA" w:rsidRDefault="000C18B5" w:rsidP="000C18B5">
            <w:pPr>
              <w:spacing w:before="40" w:after="20" w:line="260" w:lineRule="atLeast"/>
              <w:ind w:left="0"/>
              <w:rPr>
                <w:rFonts w:cs="Arial"/>
                <w:sz w:val="20"/>
                <w:szCs w:val="20"/>
                <w:lang w:eastAsia="en-NZ"/>
              </w:rPr>
            </w:pPr>
            <w:r w:rsidRPr="00EF52CA">
              <w:rPr>
                <w:rFonts w:cs="Arial"/>
                <w:sz w:val="20"/>
                <w:szCs w:val="20"/>
                <w:lang w:eastAsia="en-NZ"/>
              </w:rPr>
              <w:t>Coordination Centre functions</w:t>
            </w:r>
          </w:p>
        </w:tc>
        <w:tc>
          <w:tcPr>
            <w:tcW w:w="1560" w:type="dxa"/>
          </w:tcPr>
          <w:p w:rsidR="000C18B5" w:rsidRPr="00EF52CA" w:rsidRDefault="000C18B5" w:rsidP="000C18B5">
            <w:pPr>
              <w:spacing w:before="40" w:after="20" w:line="260" w:lineRule="atLeast"/>
              <w:ind w:left="0"/>
              <w:jc w:val="right"/>
              <w:rPr>
                <w:rFonts w:cs="Arial"/>
                <w:b/>
                <w:color w:val="7B5E05"/>
                <w:sz w:val="20"/>
                <w:szCs w:val="20"/>
                <w:lang w:eastAsia="en-NZ"/>
              </w:rPr>
            </w:pPr>
            <w:r w:rsidRPr="00EF52CA">
              <w:rPr>
                <w:rFonts w:cs="Arial"/>
                <w:sz w:val="20"/>
                <w:szCs w:val="20"/>
                <w:lang w:eastAsia="en-NZ"/>
              </w:rPr>
              <w:t>4.0</w:t>
            </w:r>
          </w:p>
        </w:tc>
        <w:tc>
          <w:tcPr>
            <w:tcW w:w="1559" w:type="dxa"/>
          </w:tcPr>
          <w:p w:rsidR="000C18B5" w:rsidRPr="00EF52CA" w:rsidRDefault="000C18B5" w:rsidP="000C18B5">
            <w:pPr>
              <w:spacing w:before="40" w:after="20" w:line="260" w:lineRule="atLeast"/>
              <w:ind w:left="0"/>
              <w:jc w:val="right"/>
              <w:rPr>
                <w:rFonts w:cs="Arial"/>
                <w:b/>
                <w:color w:val="7B5E05"/>
                <w:sz w:val="20"/>
                <w:szCs w:val="20"/>
                <w:lang w:eastAsia="en-NZ"/>
              </w:rPr>
            </w:pPr>
            <w:r w:rsidRPr="00EF52CA">
              <w:rPr>
                <w:rFonts w:cs="Arial"/>
                <w:sz w:val="20"/>
                <w:szCs w:val="20"/>
                <w:lang w:eastAsia="en-NZ"/>
              </w:rPr>
              <w:t>8.0</w:t>
            </w:r>
          </w:p>
        </w:tc>
        <w:tc>
          <w:tcPr>
            <w:tcW w:w="1701" w:type="dxa"/>
          </w:tcPr>
          <w:p w:rsidR="000C18B5" w:rsidRPr="00EF52CA" w:rsidRDefault="000C18B5" w:rsidP="000C18B5">
            <w:pPr>
              <w:spacing w:before="40" w:after="20" w:line="260" w:lineRule="atLeast"/>
              <w:ind w:left="0" w:right="143"/>
              <w:jc w:val="right"/>
              <w:rPr>
                <w:rFonts w:cs="Arial"/>
                <w:b/>
                <w:color w:val="7B5E05"/>
                <w:sz w:val="20"/>
                <w:szCs w:val="20"/>
                <w:lang w:eastAsia="en-NZ"/>
              </w:rPr>
            </w:pPr>
            <w:r w:rsidRPr="00EF52CA">
              <w:rPr>
                <w:rFonts w:cs="Arial"/>
                <w:sz w:val="20"/>
                <w:szCs w:val="20"/>
                <w:lang w:eastAsia="en-NZ"/>
              </w:rPr>
              <w:t>10.0</w:t>
            </w:r>
          </w:p>
        </w:tc>
      </w:tr>
      <w:tr w:rsidR="000C18B5" w:rsidRPr="00EF52CA" w:rsidTr="00EF52CA">
        <w:tc>
          <w:tcPr>
            <w:tcW w:w="8364" w:type="dxa"/>
            <w:gridSpan w:val="4"/>
            <w:shd w:val="clear" w:color="auto" w:fill="A6A6A6" w:themeFill="background1" w:themeFillShade="A6"/>
          </w:tcPr>
          <w:p w:rsidR="000C18B5" w:rsidRPr="00EF52CA" w:rsidRDefault="000C18B5" w:rsidP="000C18B5">
            <w:pPr>
              <w:keepNext/>
              <w:spacing w:before="40" w:after="20" w:line="190" w:lineRule="atLeast"/>
              <w:ind w:left="0" w:right="574"/>
              <w:rPr>
                <w:rFonts w:cs="Arial"/>
                <w:sz w:val="20"/>
                <w:lang w:eastAsia="en-NZ"/>
              </w:rPr>
            </w:pPr>
            <w:r w:rsidRPr="00EF52CA">
              <w:rPr>
                <w:rFonts w:cs="Arial"/>
                <w:b/>
                <w:sz w:val="20"/>
                <w:szCs w:val="20"/>
                <w:lang w:eastAsia="en-NZ"/>
              </w:rPr>
              <w:t>Results</w:t>
            </w:r>
            <w:r w:rsidR="00672B33">
              <w:rPr>
                <w:rFonts w:cs="Arial"/>
                <w:b/>
                <w:sz w:val="20"/>
                <w:szCs w:val="20"/>
                <w:lang w:eastAsia="en-NZ"/>
              </w:rPr>
              <w:t xml:space="preserve"> ($ million)</w:t>
            </w:r>
          </w:p>
        </w:tc>
      </w:tr>
      <w:tr w:rsidR="000C18B5" w:rsidRPr="00EF52CA" w:rsidTr="00EF52CA">
        <w:tc>
          <w:tcPr>
            <w:tcW w:w="3544" w:type="dxa"/>
          </w:tcPr>
          <w:p w:rsidR="000C18B5" w:rsidRPr="00EF52CA" w:rsidRDefault="000C18B5" w:rsidP="000C18B5">
            <w:pPr>
              <w:spacing w:before="40" w:after="20" w:line="260" w:lineRule="atLeast"/>
              <w:ind w:left="0"/>
              <w:rPr>
                <w:rFonts w:eastAsia="Calibri" w:cs="Arial"/>
                <w:sz w:val="20"/>
                <w:szCs w:val="20"/>
                <w:vertAlign w:val="superscript"/>
                <w:lang w:eastAsia="en-NZ"/>
              </w:rPr>
            </w:pPr>
            <w:r w:rsidRPr="00EF52CA">
              <w:rPr>
                <w:rFonts w:cs="Arial"/>
                <w:sz w:val="20"/>
                <w:szCs w:val="20"/>
                <w:lang w:eastAsia="en-NZ"/>
              </w:rPr>
              <w:t>Annual variable costs</w:t>
            </w:r>
          </w:p>
        </w:tc>
        <w:tc>
          <w:tcPr>
            <w:tcW w:w="1560" w:type="dxa"/>
          </w:tcPr>
          <w:p w:rsidR="000C18B5" w:rsidRPr="00EF52CA" w:rsidRDefault="000C18B5" w:rsidP="000C18B5">
            <w:pPr>
              <w:spacing w:before="40" w:after="20" w:line="260" w:lineRule="atLeast"/>
              <w:ind w:left="0"/>
              <w:jc w:val="right"/>
              <w:rPr>
                <w:rFonts w:cs="Arial"/>
                <w:sz w:val="20"/>
                <w:szCs w:val="20"/>
                <w:lang w:eastAsia="en-NZ"/>
              </w:rPr>
            </w:pPr>
            <w:r w:rsidRPr="00EF52CA">
              <w:rPr>
                <w:rFonts w:cs="Arial"/>
                <w:sz w:val="20"/>
                <w:szCs w:val="20"/>
                <w:lang w:eastAsia="en-NZ"/>
              </w:rPr>
              <w:t xml:space="preserve"> $17.348 </w:t>
            </w:r>
          </w:p>
        </w:tc>
        <w:tc>
          <w:tcPr>
            <w:tcW w:w="1559" w:type="dxa"/>
          </w:tcPr>
          <w:p w:rsidR="000C18B5" w:rsidRPr="00EF52CA" w:rsidRDefault="000C18B5" w:rsidP="000C18B5">
            <w:pPr>
              <w:spacing w:before="40" w:after="20" w:line="260" w:lineRule="atLeast"/>
              <w:ind w:left="0"/>
              <w:jc w:val="right"/>
              <w:rPr>
                <w:rFonts w:cs="Arial"/>
                <w:sz w:val="20"/>
                <w:szCs w:val="20"/>
                <w:lang w:eastAsia="en-NZ"/>
              </w:rPr>
            </w:pPr>
            <w:r w:rsidRPr="00EF52CA">
              <w:rPr>
                <w:rFonts w:cs="Arial"/>
                <w:sz w:val="20"/>
                <w:szCs w:val="20"/>
                <w:lang w:eastAsia="en-NZ"/>
              </w:rPr>
              <w:t xml:space="preserve"> $17.348 </w:t>
            </w:r>
          </w:p>
        </w:tc>
        <w:tc>
          <w:tcPr>
            <w:tcW w:w="1701" w:type="dxa"/>
          </w:tcPr>
          <w:p w:rsidR="000C18B5" w:rsidRPr="00EF52CA" w:rsidRDefault="000C18B5" w:rsidP="000C18B5">
            <w:pPr>
              <w:spacing w:before="40" w:after="20" w:line="260" w:lineRule="atLeast"/>
              <w:ind w:left="0"/>
              <w:jc w:val="right"/>
              <w:rPr>
                <w:rFonts w:cs="Arial"/>
                <w:sz w:val="20"/>
                <w:szCs w:val="20"/>
                <w:lang w:eastAsia="en-NZ"/>
              </w:rPr>
            </w:pPr>
            <w:r w:rsidRPr="00EF52CA">
              <w:rPr>
                <w:rFonts w:cs="Arial"/>
                <w:sz w:val="20"/>
                <w:szCs w:val="20"/>
                <w:lang w:eastAsia="en-NZ"/>
              </w:rPr>
              <w:t xml:space="preserve"> $17.348 </w:t>
            </w:r>
          </w:p>
        </w:tc>
      </w:tr>
      <w:tr w:rsidR="000C18B5" w:rsidRPr="00EF52CA" w:rsidTr="00EF52CA">
        <w:tc>
          <w:tcPr>
            <w:tcW w:w="3544" w:type="dxa"/>
          </w:tcPr>
          <w:p w:rsidR="000C18B5" w:rsidRPr="00EF52CA" w:rsidRDefault="000C18B5" w:rsidP="000C18B5">
            <w:pPr>
              <w:spacing w:before="40" w:after="20" w:line="260" w:lineRule="atLeast"/>
              <w:ind w:left="0"/>
              <w:rPr>
                <w:rFonts w:eastAsia="Calibri" w:cs="Arial"/>
                <w:sz w:val="20"/>
                <w:szCs w:val="20"/>
                <w:lang w:eastAsia="en-NZ"/>
              </w:rPr>
            </w:pPr>
            <w:r w:rsidRPr="00EF52CA">
              <w:rPr>
                <w:rFonts w:cs="Arial"/>
                <w:sz w:val="20"/>
                <w:szCs w:val="20"/>
                <w:lang w:eastAsia="en-NZ"/>
              </w:rPr>
              <w:t>Annual fixed costs</w:t>
            </w:r>
          </w:p>
        </w:tc>
        <w:tc>
          <w:tcPr>
            <w:tcW w:w="1560" w:type="dxa"/>
          </w:tcPr>
          <w:p w:rsidR="000C18B5" w:rsidRPr="00EF52CA" w:rsidRDefault="000C18B5" w:rsidP="000C18B5">
            <w:pPr>
              <w:spacing w:before="40" w:after="20" w:line="260" w:lineRule="atLeast"/>
              <w:ind w:left="0"/>
              <w:jc w:val="right"/>
              <w:rPr>
                <w:rFonts w:cs="Arial"/>
                <w:sz w:val="20"/>
                <w:szCs w:val="20"/>
                <w:lang w:eastAsia="en-NZ"/>
              </w:rPr>
            </w:pPr>
            <w:r w:rsidRPr="00EF52CA">
              <w:rPr>
                <w:rFonts w:cs="Arial"/>
                <w:sz w:val="20"/>
                <w:szCs w:val="20"/>
                <w:lang w:eastAsia="en-NZ"/>
              </w:rPr>
              <w:t xml:space="preserve"> $12.387 </w:t>
            </w:r>
          </w:p>
        </w:tc>
        <w:tc>
          <w:tcPr>
            <w:tcW w:w="1559" w:type="dxa"/>
          </w:tcPr>
          <w:p w:rsidR="000C18B5" w:rsidRPr="00EF52CA" w:rsidRDefault="000C18B5" w:rsidP="000C18B5">
            <w:pPr>
              <w:spacing w:before="40" w:after="20" w:line="260" w:lineRule="atLeast"/>
              <w:ind w:left="0"/>
              <w:jc w:val="right"/>
              <w:rPr>
                <w:rFonts w:cs="Arial"/>
                <w:sz w:val="20"/>
                <w:szCs w:val="20"/>
                <w:lang w:eastAsia="en-NZ"/>
              </w:rPr>
            </w:pPr>
            <w:r w:rsidRPr="00EF52CA">
              <w:rPr>
                <w:rFonts w:cs="Arial"/>
                <w:sz w:val="20"/>
                <w:szCs w:val="20"/>
                <w:lang w:eastAsia="en-NZ"/>
              </w:rPr>
              <w:t xml:space="preserve"> $21.724 </w:t>
            </w:r>
          </w:p>
        </w:tc>
        <w:tc>
          <w:tcPr>
            <w:tcW w:w="1701" w:type="dxa"/>
          </w:tcPr>
          <w:p w:rsidR="000C18B5" w:rsidRPr="00EF52CA" w:rsidRDefault="000C18B5" w:rsidP="000C18B5">
            <w:pPr>
              <w:spacing w:before="40" w:after="20" w:line="260" w:lineRule="atLeast"/>
              <w:ind w:left="0"/>
              <w:jc w:val="right"/>
              <w:rPr>
                <w:rFonts w:cs="Arial"/>
                <w:sz w:val="20"/>
                <w:szCs w:val="20"/>
                <w:lang w:eastAsia="en-NZ"/>
              </w:rPr>
            </w:pPr>
            <w:r w:rsidRPr="00EF52CA">
              <w:rPr>
                <w:rFonts w:cs="Arial"/>
                <w:sz w:val="20"/>
                <w:szCs w:val="20"/>
                <w:lang w:eastAsia="en-NZ"/>
              </w:rPr>
              <w:t xml:space="preserve"> $27.156 </w:t>
            </w:r>
          </w:p>
        </w:tc>
      </w:tr>
      <w:tr w:rsidR="000C18B5" w:rsidRPr="00EF52CA" w:rsidTr="00EF52CA">
        <w:tc>
          <w:tcPr>
            <w:tcW w:w="3544" w:type="dxa"/>
          </w:tcPr>
          <w:p w:rsidR="000C18B5" w:rsidRPr="00EF52CA" w:rsidRDefault="000C18B5" w:rsidP="000C18B5">
            <w:pPr>
              <w:spacing w:before="40" w:after="20" w:line="260" w:lineRule="atLeast"/>
              <w:ind w:left="0"/>
              <w:rPr>
                <w:rFonts w:eastAsia="Calibri" w:cs="Arial"/>
                <w:b/>
                <w:sz w:val="20"/>
                <w:szCs w:val="20"/>
                <w:lang w:eastAsia="en-NZ"/>
              </w:rPr>
            </w:pPr>
            <w:r w:rsidRPr="00EF52CA">
              <w:rPr>
                <w:rFonts w:cs="Arial"/>
                <w:b/>
                <w:sz w:val="20"/>
                <w:szCs w:val="20"/>
                <w:lang w:eastAsia="en-NZ"/>
              </w:rPr>
              <w:t>Annual operating cost</w:t>
            </w:r>
          </w:p>
        </w:tc>
        <w:tc>
          <w:tcPr>
            <w:tcW w:w="1560" w:type="dxa"/>
          </w:tcPr>
          <w:p w:rsidR="000C18B5" w:rsidRPr="00EF52CA" w:rsidRDefault="000C18B5" w:rsidP="000C18B5">
            <w:pPr>
              <w:spacing w:before="40" w:after="20" w:line="260" w:lineRule="atLeast"/>
              <w:ind w:left="0"/>
              <w:jc w:val="right"/>
              <w:rPr>
                <w:rFonts w:cs="Arial"/>
                <w:b/>
                <w:sz w:val="20"/>
                <w:szCs w:val="20"/>
                <w:lang w:eastAsia="en-NZ"/>
              </w:rPr>
            </w:pPr>
            <w:r w:rsidRPr="00EF52CA">
              <w:rPr>
                <w:rFonts w:cs="Arial"/>
                <w:b/>
                <w:sz w:val="20"/>
                <w:szCs w:val="20"/>
                <w:lang w:eastAsia="en-NZ"/>
              </w:rPr>
              <w:t xml:space="preserve"> $29.736 </w:t>
            </w:r>
          </w:p>
        </w:tc>
        <w:tc>
          <w:tcPr>
            <w:tcW w:w="1559" w:type="dxa"/>
          </w:tcPr>
          <w:p w:rsidR="000C18B5" w:rsidRPr="00EF52CA" w:rsidRDefault="000C18B5" w:rsidP="000C18B5">
            <w:pPr>
              <w:spacing w:before="40" w:after="20" w:line="260" w:lineRule="atLeast"/>
              <w:ind w:left="0"/>
              <w:jc w:val="right"/>
              <w:rPr>
                <w:rFonts w:cs="Arial"/>
                <w:b/>
                <w:sz w:val="20"/>
                <w:szCs w:val="20"/>
                <w:lang w:eastAsia="en-NZ"/>
              </w:rPr>
            </w:pPr>
            <w:r w:rsidRPr="00EF52CA">
              <w:rPr>
                <w:rFonts w:cs="Arial"/>
                <w:b/>
                <w:sz w:val="20"/>
                <w:szCs w:val="20"/>
                <w:lang w:eastAsia="en-NZ"/>
              </w:rPr>
              <w:t xml:space="preserve"> $39.073 </w:t>
            </w:r>
          </w:p>
        </w:tc>
        <w:tc>
          <w:tcPr>
            <w:tcW w:w="1701" w:type="dxa"/>
          </w:tcPr>
          <w:p w:rsidR="000C18B5" w:rsidRPr="00EF52CA" w:rsidRDefault="000C18B5" w:rsidP="000C18B5">
            <w:pPr>
              <w:spacing w:before="40" w:after="20" w:line="260" w:lineRule="atLeast"/>
              <w:ind w:left="0"/>
              <w:jc w:val="right"/>
              <w:rPr>
                <w:rFonts w:cs="Arial"/>
                <w:b/>
                <w:sz w:val="20"/>
                <w:szCs w:val="20"/>
                <w:lang w:eastAsia="en-NZ"/>
              </w:rPr>
            </w:pPr>
            <w:r w:rsidRPr="00EF52CA">
              <w:rPr>
                <w:rFonts w:cs="Arial"/>
                <w:b/>
                <w:sz w:val="20"/>
                <w:szCs w:val="20"/>
                <w:lang w:eastAsia="en-NZ"/>
              </w:rPr>
              <w:t xml:space="preserve"> $44.504 </w:t>
            </w:r>
          </w:p>
        </w:tc>
      </w:tr>
    </w:tbl>
    <w:p w:rsidR="007C3D83" w:rsidRPr="002076A9" w:rsidRDefault="007C3D83" w:rsidP="007C3D83">
      <w:pPr>
        <w:pStyle w:val="Heading3"/>
        <w:numPr>
          <w:ilvl w:val="3"/>
          <w:numId w:val="0"/>
        </w:numPr>
        <w:tabs>
          <w:tab w:val="num" w:pos="851"/>
        </w:tabs>
        <w:spacing w:before="300" w:after="80" w:line="260" w:lineRule="atLeast"/>
        <w:ind w:left="851" w:hanging="851"/>
        <w:rPr>
          <w:sz w:val="22"/>
        </w:rPr>
      </w:pPr>
      <w:bookmarkStart w:id="379" w:name="_Toc393291062"/>
      <w:bookmarkStart w:id="380" w:name="_Toc393291184"/>
      <w:bookmarkStart w:id="381" w:name="_Toc393291768"/>
      <w:bookmarkStart w:id="382" w:name="_Toc393295066"/>
      <w:bookmarkStart w:id="383" w:name="_Toc406582419"/>
      <w:bookmarkEnd w:id="379"/>
      <w:bookmarkEnd w:id="380"/>
      <w:bookmarkEnd w:id="381"/>
      <w:bookmarkEnd w:id="382"/>
      <w:r w:rsidRPr="002076A9">
        <w:rPr>
          <w:sz w:val="22"/>
        </w:rPr>
        <w:t>Varying the participation rate</w:t>
      </w:r>
      <w:bookmarkEnd w:id="383"/>
    </w:p>
    <w:p w:rsidR="007C3D83" w:rsidRPr="00FD4FDE" w:rsidRDefault="007C3D83" w:rsidP="000C18B5">
      <w:pPr>
        <w:pStyle w:val="Bullet"/>
        <w:numPr>
          <w:ilvl w:val="0"/>
          <w:numId w:val="0"/>
        </w:numPr>
        <w:ind w:left="709"/>
      </w:pPr>
      <w:r w:rsidRPr="00FD4FDE">
        <w:t xml:space="preserve">The operating costs are sensitive to the participation rate – i.e. the proportion of clients who were sent a kit and then return it to the laboratory for testing.  In our base case, the participation rate of 56% was determined by applying age/ethnic group-specific rates from the pilot to the national population. </w:t>
      </w:r>
    </w:p>
    <w:p w:rsidR="007C3D83" w:rsidRPr="00FD4FDE" w:rsidRDefault="007C3D83" w:rsidP="000C18B5">
      <w:pPr>
        <w:pStyle w:val="Bullet"/>
        <w:numPr>
          <w:ilvl w:val="0"/>
          <w:numId w:val="0"/>
        </w:numPr>
        <w:ind w:left="709"/>
      </w:pPr>
      <w:r w:rsidRPr="00262124">
        <w:fldChar w:fldCharType="begin"/>
      </w:r>
      <w:r w:rsidRPr="00262124">
        <w:instrText xml:space="preserve"> REF _Ref388523820 \h </w:instrText>
      </w:r>
      <w:r w:rsidR="00FD4FDE" w:rsidRPr="00262124">
        <w:instrText xml:space="preserve"> \* MERGEFORMAT </w:instrText>
      </w:r>
      <w:r w:rsidRPr="00262124">
        <w:fldChar w:fldCharType="separate"/>
      </w:r>
      <w:r w:rsidR="00957CD0" w:rsidRPr="003E7E2B">
        <w:t xml:space="preserve">Figure </w:t>
      </w:r>
      <w:r w:rsidRPr="00262124">
        <w:fldChar w:fldCharType="end"/>
      </w:r>
      <w:r w:rsidR="00262124" w:rsidRPr="00262124">
        <w:t xml:space="preserve">21 </w:t>
      </w:r>
      <w:r w:rsidRPr="00262124">
        <w:t>shows</w:t>
      </w:r>
      <w:r w:rsidRPr="00FD4FDE">
        <w:t xml:space="preserve"> how different assumptions about the participation rate impact on the estimated annual operating cost of a national screening programme in steady state.  If the participation rate is assumed to be 46% – approximately 10 percentage points lower than the base case assumption of 56% – then the annual operating cost would be $36.820 million, or $2.252 million lower (-5.8%) than the base case of $39.073 million. Under the “high” scenario, where the participation rate is 62%, the annual operating cost would be $1.352 (+3.5%) million higher than the base case, at $40.425 million.</w:t>
      </w:r>
    </w:p>
    <w:p w:rsidR="007C3D83" w:rsidRDefault="007C3D83" w:rsidP="00F04363">
      <w:pPr>
        <w:pStyle w:val="Figure"/>
      </w:pPr>
      <w:bookmarkStart w:id="384" w:name="_Ref388523820"/>
      <w:bookmarkStart w:id="385" w:name="_Ref388523825"/>
      <w:bookmarkStart w:id="386" w:name="_Toc406582460"/>
      <w:bookmarkStart w:id="387" w:name="_Toc412540148"/>
      <w:r w:rsidRPr="003E7E2B">
        <w:t xml:space="preserve">Figure </w:t>
      </w:r>
      <w:bookmarkEnd w:id="384"/>
      <w:r w:rsidR="00F04363">
        <w:t>21</w:t>
      </w:r>
      <w:r w:rsidRPr="003E7E2B">
        <w:t>:</w:t>
      </w:r>
      <w:r>
        <w:t xml:space="preserve"> </w:t>
      </w:r>
      <w:r w:rsidRPr="003E7E2B">
        <w:t xml:space="preserve">Sensitivity of the annual operating cost </w:t>
      </w:r>
      <w:r>
        <w:t>(</w:t>
      </w:r>
      <w:r w:rsidRPr="003E7E2B">
        <w:t>steady state</w:t>
      </w:r>
      <w:r>
        <w:t>)</w:t>
      </w:r>
      <w:r w:rsidRPr="003E7E2B">
        <w:t xml:space="preserve"> to changes in the participation rate</w:t>
      </w:r>
      <w:bookmarkEnd w:id="385"/>
      <w:bookmarkEnd w:id="386"/>
      <w:bookmarkEnd w:id="387"/>
    </w:p>
    <w:p w:rsidR="007C3D83" w:rsidRDefault="007C3D83" w:rsidP="000C18B5">
      <w:pPr>
        <w:pStyle w:val="UnnumtextBodytext"/>
        <w:ind w:left="749" w:hanging="182"/>
        <w:rPr>
          <w:lang w:eastAsia="en-GB"/>
        </w:rPr>
      </w:pPr>
      <w:r>
        <w:rPr>
          <w:noProof/>
        </w:rPr>
        <w:drawing>
          <wp:inline distT="0" distB="0" distL="0" distR="0" wp14:anchorId="2BDAF538" wp14:editId="09FE421C">
            <wp:extent cx="4010445" cy="2573867"/>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3958" cy="2576121"/>
                    </a:xfrm>
                    <a:prstGeom prst="rect">
                      <a:avLst/>
                    </a:prstGeom>
                    <a:noFill/>
                  </pic:spPr>
                </pic:pic>
              </a:graphicData>
            </a:graphic>
          </wp:inline>
        </w:drawing>
      </w:r>
    </w:p>
    <w:p w:rsidR="007C3D83" w:rsidRPr="00C549B2" w:rsidRDefault="007C3D83" w:rsidP="00C549B2">
      <w:pPr>
        <w:pStyle w:val="Heading3"/>
        <w:numPr>
          <w:ilvl w:val="3"/>
          <w:numId w:val="0"/>
        </w:numPr>
        <w:tabs>
          <w:tab w:val="num" w:pos="851"/>
        </w:tabs>
        <w:spacing w:before="300" w:after="80" w:line="260" w:lineRule="atLeast"/>
        <w:ind w:left="851" w:hanging="851"/>
        <w:rPr>
          <w:sz w:val="22"/>
        </w:rPr>
      </w:pPr>
      <w:bookmarkStart w:id="388" w:name="_Toc406582420"/>
      <w:r w:rsidRPr="00C549B2">
        <w:rPr>
          <w:sz w:val="22"/>
        </w:rPr>
        <w:lastRenderedPageBreak/>
        <w:t>Varying the positivity rate of iFOBT</w:t>
      </w:r>
      <w:bookmarkEnd w:id="388"/>
    </w:p>
    <w:p w:rsidR="007C3D83" w:rsidRPr="00FD4FDE" w:rsidRDefault="007C3D83" w:rsidP="000C18B5">
      <w:pPr>
        <w:pStyle w:val="Bullet"/>
        <w:numPr>
          <w:ilvl w:val="0"/>
          <w:numId w:val="0"/>
        </w:numPr>
        <w:ind w:left="709"/>
      </w:pPr>
      <w:r w:rsidRPr="00FD4FDE">
        <w:t>The annual operating costs are fairly sensitive to small changes in the positivity rate (i.e. the proportion of positive results among clients who return a kit), as shown by adjustments of our base case assumption of 5.0%.  It should be noted that this base case assumption is somewhat lower than the average of the positivity rates for the first two years of the pilot, as reported in the Biannual Reports (i.e. approximately 7.5% across 2012 and 2013), as it was determined to be a more appropriate ‘steady state’ figure, following consultation with the Ministry of Health.</w:t>
      </w:r>
    </w:p>
    <w:p w:rsidR="007C3D83" w:rsidRPr="00FD4FDE" w:rsidRDefault="007C3D83" w:rsidP="000C18B5">
      <w:pPr>
        <w:pStyle w:val="Bullet"/>
        <w:numPr>
          <w:ilvl w:val="0"/>
          <w:numId w:val="0"/>
        </w:numPr>
        <w:ind w:left="709"/>
      </w:pPr>
      <w:r w:rsidRPr="00EF52CA">
        <w:fldChar w:fldCharType="begin"/>
      </w:r>
      <w:r w:rsidRPr="00EF52CA">
        <w:instrText xml:space="preserve"> REF _Ref388524101 \h </w:instrText>
      </w:r>
      <w:r w:rsidR="00FD4FDE" w:rsidRPr="00EF52CA">
        <w:instrText xml:space="preserve"> \* MERGEFORMAT </w:instrText>
      </w:r>
      <w:r w:rsidRPr="00EF52CA">
        <w:fldChar w:fldCharType="separate"/>
      </w:r>
      <w:r w:rsidR="00957CD0" w:rsidRPr="00E60A5F">
        <w:t xml:space="preserve">Figure </w:t>
      </w:r>
      <w:r w:rsidRPr="00EF52CA">
        <w:fldChar w:fldCharType="end"/>
      </w:r>
      <w:r w:rsidR="00EF52CA">
        <w:t>22</w:t>
      </w:r>
      <w:r w:rsidRPr="00FD4FDE">
        <w:t xml:space="preserve"> shows that the impact of varying the positivity rate assumption at intervals of half a percentage point.  If the positivity rate is assumed to be 4.0%, rather than the base case assumption of 5.0%, then the annual operating cost falls by $1.723 million (or -4.4%) to $37.350 million. Conversely, if the positivity rate is assumed to be higher, at 7.5%, the annual operating cost is $4.307 million higher (or +11.0</w:t>
      </w:r>
      <w:r w:rsidR="00F31162">
        <w:t>%</w:t>
      </w:r>
      <w:r w:rsidRPr="00FD4FDE">
        <w:t xml:space="preserve">) at $43.380 million. </w:t>
      </w:r>
    </w:p>
    <w:p w:rsidR="007C3D83" w:rsidRDefault="007C3D83" w:rsidP="00F04363">
      <w:pPr>
        <w:pStyle w:val="Figure"/>
      </w:pPr>
      <w:bookmarkStart w:id="389" w:name="_Ref388524101"/>
      <w:bookmarkStart w:id="390" w:name="_Ref388524105"/>
      <w:bookmarkStart w:id="391" w:name="_Toc406582461"/>
      <w:bookmarkStart w:id="392" w:name="_Toc412540149"/>
      <w:r w:rsidRPr="00E60A5F">
        <w:t xml:space="preserve">Figure </w:t>
      </w:r>
      <w:bookmarkEnd w:id="389"/>
      <w:r w:rsidR="00F04363">
        <w:t>22:</w:t>
      </w:r>
      <w:r>
        <w:t xml:space="preserve"> </w:t>
      </w:r>
      <w:r w:rsidRPr="00E60A5F">
        <w:t>Sensitivity of the annual operating cost in steady state to changes in the positivity rate</w:t>
      </w:r>
      <w:bookmarkEnd w:id="390"/>
      <w:bookmarkEnd w:id="391"/>
      <w:bookmarkEnd w:id="392"/>
      <w:r w:rsidRPr="004660C3">
        <w:t xml:space="preserve"> </w:t>
      </w:r>
    </w:p>
    <w:p w:rsidR="007C3D83" w:rsidRDefault="007C3D83" w:rsidP="000C18B5">
      <w:pPr>
        <w:pStyle w:val="Caption"/>
        <w:spacing w:after="0"/>
        <w:ind w:left="720" w:hanging="153"/>
        <w:rPr>
          <w:noProof/>
        </w:rPr>
      </w:pPr>
      <w:r>
        <w:rPr>
          <w:noProof/>
        </w:rPr>
        <w:drawing>
          <wp:inline distT="0" distB="0" distL="0" distR="0" wp14:anchorId="7A3ADAB3" wp14:editId="3EE4FD83">
            <wp:extent cx="5464557" cy="3445933"/>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8153" cy="3448200"/>
                    </a:xfrm>
                    <a:prstGeom prst="rect">
                      <a:avLst/>
                    </a:prstGeom>
                    <a:noFill/>
                  </pic:spPr>
                </pic:pic>
              </a:graphicData>
            </a:graphic>
          </wp:inline>
        </w:drawing>
      </w:r>
    </w:p>
    <w:p w:rsidR="00EF52CA" w:rsidRDefault="00EF52CA">
      <w:pPr>
        <w:spacing w:before="0"/>
        <w:ind w:left="0"/>
        <w:rPr>
          <w:b/>
          <w:i/>
          <w:szCs w:val="24"/>
        </w:rPr>
      </w:pPr>
      <w:bookmarkStart w:id="393" w:name="_Toc406582421"/>
      <w:r>
        <w:br w:type="page"/>
      </w:r>
    </w:p>
    <w:p w:rsidR="007C3D83" w:rsidRPr="002076A9" w:rsidRDefault="007C3D83" w:rsidP="00EF52CA">
      <w:pPr>
        <w:pStyle w:val="Heading3"/>
        <w:numPr>
          <w:ilvl w:val="3"/>
          <w:numId w:val="0"/>
        </w:numPr>
        <w:tabs>
          <w:tab w:val="num" w:pos="851"/>
        </w:tabs>
        <w:spacing w:before="300" w:after="80" w:line="260" w:lineRule="atLeast"/>
        <w:ind w:left="851" w:hanging="851"/>
        <w:rPr>
          <w:sz w:val="22"/>
        </w:rPr>
      </w:pPr>
      <w:r w:rsidRPr="002076A9">
        <w:rPr>
          <w:sz w:val="22"/>
        </w:rPr>
        <w:lastRenderedPageBreak/>
        <w:t>Combined impact of sensitivity testing</w:t>
      </w:r>
      <w:bookmarkEnd w:id="393"/>
    </w:p>
    <w:p w:rsidR="007C3D83" w:rsidRPr="00FD4FDE" w:rsidRDefault="007C3D83" w:rsidP="00EF52CA">
      <w:pPr>
        <w:pStyle w:val="Bullet"/>
        <w:keepNext/>
        <w:numPr>
          <w:ilvl w:val="0"/>
          <w:numId w:val="0"/>
        </w:numPr>
        <w:ind w:left="709"/>
      </w:pPr>
      <w:r w:rsidRPr="00FD4FDE">
        <w:t xml:space="preserve">The next step is to combine the sensitivity tests conducted on the fixed cost and variable cost components. </w:t>
      </w:r>
      <w:r w:rsidRPr="00FD4FDE">
        <w:fldChar w:fldCharType="begin"/>
      </w:r>
      <w:r w:rsidRPr="00FD4FDE">
        <w:instrText xml:space="preserve"> REF _Ref405499441 \h </w:instrText>
      </w:r>
      <w:r w:rsidR="00FD4FDE">
        <w:instrText xml:space="preserve"> \* MERGEFORMAT </w:instrText>
      </w:r>
      <w:r w:rsidRPr="00FD4FDE">
        <w:fldChar w:fldCharType="separate"/>
      </w:r>
      <w:r w:rsidR="00957CD0" w:rsidRPr="007E7D5D">
        <w:t xml:space="preserve">Table </w:t>
      </w:r>
      <w:r w:rsidRPr="00FD4FDE">
        <w:fldChar w:fldCharType="end"/>
      </w:r>
      <w:r w:rsidR="00EF52CA">
        <w:t xml:space="preserve"> 21</w:t>
      </w:r>
      <w:r w:rsidRPr="00FD4FDE">
        <w:t xml:space="preserve"> combines the low and high assumptions from the three tests into low and high scenarios. The combined impact of varying both </w:t>
      </w:r>
      <w:r w:rsidR="00F31162">
        <w:t xml:space="preserve">of </w:t>
      </w:r>
      <w:r w:rsidRPr="00FD4FDE">
        <w:t>the scaling factors for the fixed costs and values for participation and positivity rates is to provide a range of $26.531 million to $50.623 million</w:t>
      </w:r>
      <w:r w:rsidRPr="000C18B5">
        <w:t xml:space="preserve">. </w:t>
      </w:r>
      <w:r w:rsidR="00696085">
        <w:t>Table 21</w:t>
      </w:r>
      <w:r w:rsidRPr="00FD4FDE">
        <w:t xml:space="preserve"> also displays these combined low and high scenarios. </w:t>
      </w:r>
    </w:p>
    <w:p w:rsidR="007C3D83" w:rsidRDefault="007C3D83" w:rsidP="00EF52CA">
      <w:pPr>
        <w:pStyle w:val="Table"/>
      </w:pPr>
      <w:bookmarkStart w:id="394" w:name="_Ref388524220"/>
      <w:bookmarkStart w:id="395" w:name="_Ref405499441"/>
      <w:bookmarkStart w:id="396" w:name="_Ref388524224"/>
      <w:bookmarkStart w:id="397" w:name="_Toc406582447"/>
      <w:bookmarkStart w:id="398" w:name="_Toc412540174"/>
      <w:r w:rsidRPr="007E7D5D">
        <w:t xml:space="preserve">Table </w:t>
      </w:r>
      <w:bookmarkEnd w:id="394"/>
      <w:bookmarkEnd w:id="395"/>
      <w:r w:rsidR="00696085">
        <w:t>21</w:t>
      </w:r>
      <w:r w:rsidRPr="007E7D5D">
        <w:t>:</w:t>
      </w:r>
      <w:r>
        <w:t xml:space="preserve"> </w:t>
      </w:r>
      <w:r w:rsidRPr="007E7D5D">
        <w:t xml:space="preserve">National model - estimated annual operating cost </w:t>
      </w:r>
      <w:r>
        <w:t>with combined scenarios</w:t>
      </w:r>
      <w:bookmarkEnd w:id="396"/>
      <w:bookmarkEnd w:id="397"/>
      <w:bookmarkEnd w:id="398"/>
    </w:p>
    <w:tbl>
      <w:tblPr>
        <w:tblStyle w:val="TableSapereGrid"/>
        <w:tblW w:w="0" w:type="auto"/>
        <w:tblInd w:w="817" w:type="dxa"/>
        <w:tblLook w:val="04A0" w:firstRow="1" w:lastRow="0" w:firstColumn="1" w:lastColumn="0" w:noHBand="0" w:noVBand="1"/>
      </w:tblPr>
      <w:tblGrid>
        <w:gridCol w:w="2836"/>
        <w:gridCol w:w="1842"/>
        <w:gridCol w:w="1842"/>
        <w:gridCol w:w="1843"/>
      </w:tblGrid>
      <w:tr w:rsidR="000C18B5" w:rsidRPr="00672B33" w:rsidTr="00EF52CA">
        <w:trPr>
          <w:cnfStyle w:val="100000000000" w:firstRow="1" w:lastRow="0" w:firstColumn="0" w:lastColumn="0" w:oddVBand="0" w:evenVBand="0" w:oddHBand="0" w:evenHBand="0" w:firstRowFirstColumn="0" w:firstRowLastColumn="0" w:lastRowFirstColumn="0" w:lastRowLastColumn="0"/>
          <w:trHeight w:val="308"/>
        </w:trPr>
        <w:tc>
          <w:tcPr>
            <w:tcW w:w="2836" w:type="dxa"/>
            <w:tcBorders>
              <w:bottom w:val="single" w:sz="4" w:space="0" w:color="7B5E05"/>
            </w:tcBorders>
          </w:tcPr>
          <w:p w:rsidR="000C18B5" w:rsidRPr="005F28B3" w:rsidRDefault="000C18B5" w:rsidP="000C18B5">
            <w:pPr>
              <w:keepNext/>
              <w:spacing w:before="0"/>
              <w:ind w:left="0"/>
              <w:rPr>
                <w:rFonts w:cs="Arial"/>
                <w:b/>
                <w:color w:val="FFFFFF"/>
                <w:sz w:val="20"/>
                <w:lang w:eastAsia="en-NZ"/>
              </w:rPr>
            </w:pPr>
          </w:p>
        </w:tc>
        <w:tc>
          <w:tcPr>
            <w:tcW w:w="1842" w:type="dxa"/>
            <w:tcBorders>
              <w:bottom w:val="single" w:sz="4" w:space="0" w:color="7B5E05"/>
            </w:tcBorders>
          </w:tcPr>
          <w:p w:rsidR="000C18B5" w:rsidRPr="005F28B3" w:rsidRDefault="000C18B5" w:rsidP="000C18B5">
            <w:pPr>
              <w:keepNext/>
              <w:spacing w:before="0"/>
              <w:ind w:left="0"/>
              <w:jc w:val="center"/>
              <w:rPr>
                <w:rFonts w:cs="Arial"/>
                <w:b/>
                <w:color w:val="FFFFFF"/>
                <w:sz w:val="20"/>
                <w:lang w:eastAsia="en-NZ"/>
              </w:rPr>
            </w:pPr>
            <w:r w:rsidRPr="005F28B3">
              <w:rPr>
                <w:rFonts w:cs="Arial"/>
                <w:b/>
                <w:color w:val="FFFFFF"/>
                <w:sz w:val="20"/>
                <w:lang w:eastAsia="en-NZ"/>
              </w:rPr>
              <w:t>Low scenario</w:t>
            </w:r>
          </w:p>
        </w:tc>
        <w:tc>
          <w:tcPr>
            <w:tcW w:w="1842" w:type="dxa"/>
            <w:tcBorders>
              <w:bottom w:val="single" w:sz="4" w:space="0" w:color="7B5E05"/>
            </w:tcBorders>
          </w:tcPr>
          <w:p w:rsidR="000C18B5" w:rsidRPr="005F28B3" w:rsidRDefault="000C18B5" w:rsidP="000C18B5">
            <w:pPr>
              <w:keepNext/>
              <w:spacing w:before="0"/>
              <w:ind w:left="0"/>
              <w:jc w:val="center"/>
              <w:rPr>
                <w:rFonts w:cs="Arial"/>
                <w:b/>
                <w:color w:val="FFFFFF"/>
                <w:sz w:val="20"/>
                <w:lang w:eastAsia="en-NZ"/>
              </w:rPr>
            </w:pPr>
            <w:r w:rsidRPr="005F28B3">
              <w:rPr>
                <w:rFonts w:cs="Arial"/>
                <w:b/>
                <w:color w:val="FFFFFF"/>
                <w:sz w:val="20"/>
                <w:lang w:eastAsia="en-NZ"/>
              </w:rPr>
              <w:t>Base case</w:t>
            </w:r>
          </w:p>
        </w:tc>
        <w:tc>
          <w:tcPr>
            <w:tcW w:w="1843" w:type="dxa"/>
            <w:tcBorders>
              <w:bottom w:val="single" w:sz="4" w:space="0" w:color="7B5E05"/>
            </w:tcBorders>
          </w:tcPr>
          <w:p w:rsidR="000C18B5" w:rsidRPr="005F28B3" w:rsidRDefault="000C18B5" w:rsidP="000C18B5">
            <w:pPr>
              <w:keepNext/>
              <w:spacing w:before="0"/>
              <w:ind w:left="0"/>
              <w:jc w:val="center"/>
              <w:rPr>
                <w:rFonts w:cs="Arial"/>
                <w:b/>
                <w:color w:val="FFFFFF"/>
                <w:sz w:val="20"/>
                <w:lang w:eastAsia="en-NZ"/>
              </w:rPr>
            </w:pPr>
            <w:r w:rsidRPr="005F28B3">
              <w:rPr>
                <w:rFonts w:cs="Arial"/>
                <w:b/>
                <w:color w:val="FFFFFF"/>
                <w:sz w:val="20"/>
                <w:lang w:eastAsia="en-NZ"/>
              </w:rPr>
              <w:t>High scenario</w:t>
            </w:r>
          </w:p>
        </w:tc>
      </w:tr>
      <w:tr w:rsidR="000C18B5" w:rsidRPr="00672B33" w:rsidTr="00EF52CA">
        <w:tc>
          <w:tcPr>
            <w:tcW w:w="8363" w:type="dxa"/>
            <w:gridSpan w:val="4"/>
            <w:shd w:val="clear" w:color="auto" w:fill="A6A6A6" w:themeFill="background1" w:themeFillShade="A6"/>
          </w:tcPr>
          <w:p w:rsidR="000C18B5" w:rsidRPr="005F28B3" w:rsidRDefault="000C18B5" w:rsidP="000C18B5">
            <w:pPr>
              <w:spacing w:before="40" w:after="20"/>
              <w:ind w:left="0" w:right="142"/>
              <w:rPr>
                <w:rFonts w:cs="Arial"/>
                <w:b/>
                <w:sz w:val="20"/>
                <w:szCs w:val="20"/>
                <w:lang w:eastAsia="en-NZ"/>
              </w:rPr>
            </w:pPr>
            <w:r w:rsidRPr="005F28B3">
              <w:rPr>
                <w:rFonts w:cs="Arial"/>
                <w:b/>
                <w:sz w:val="20"/>
                <w:szCs w:val="20"/>
                <w:lang w:eastAsia="en-NZ"/>
              </w:rPr>
              <w:t>Sensitivity tests</w:t>
            </w:r>
          </w:p>
        </w:tc>
      </w:tr>
      <w:tr w:rsidR="000C18B5" w:rsidRPr="00672B33" w:rsidTr="00EF52CA">
        <w:tc>
          <w:tcPr>
            <w:tcW w:w="2836" w:type="dxa"/>
          </w:tcPr>
          <w:p w:rsidR="000C18B5" w:rsidRPr="005F28B3" w:rsidRDefault="000C18B5" w:rsidP="000C18B5">
            <w:pPr>
              <w:spacing w:before="40" w:after="20"/>
              <w:ind w:left="0"/>
              <w:rPr>
                <w:rFonts w:cs="Arial"/>
                <w:sz w:val="20"/>
                <w:szCs w:val="20"/>
                <w:lang w:eastAsia="en-NZ"/>
              </w:rPr>
            </w:pPr>
            <w:r w:rsidRPr="005F28B3">
              <w:rPr>
                <w:rFonts w:cs="Arial"/>
                <w:sz w:val="20"/>
                <w:szCs w:val="20"/>
                <w:lang w:eastAsia="en-NZ"/>
              </w:rPr>
              <w:t>Fixed costs scaling assumptions</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4.0</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8.0</w:t>
            </w:r>
          </w:p>
        </w:tc>
        <w:tc>
          <w:tcPr>
            <w:tcW w:w="1843" w:type="dxa"/>
          </w:tcPr>
          <w:p w:rsidR="000C18B5" w:rsidRPr="005F28B3" w:rsidRDefault="000C18B5" w:rsidP="000C18B5">
            <w:pPr>
              <w:spacing w:before="40" w:after="20"/>
              <w:ind w:left="0" w:right="143"/>
              <w:jc w:val="right"/>
              <w:rPr>
                <w:rFonts w:cs="Arial"/>
                <w:sz w:val="20"/>
                <w:szCs w:val="20"/>
                <w:lang w:eastAsia="en-NZ"/>
              </w:rPr>
            </w:pPr>
            <w:r w:rsidRPr="005F28B3">
              <w:rPr>
                <w:rFonts w:cs="Arial"/>
                <w:sz w:val="20"/>
                <w:szCs w:val="20"/>
                <w:lang w:eastAsia="en-NZ"/>
              </w:rPr>
              <w:t>10.0</w:t>
            </w:r>
          </w:p>
        </w:tc>
      </w:tr>
      <w:tr w:rsidR="000C18B5" w:rsidRPr="00672B33" w:rsidTr="00EF52CA">
        <w:tc>
          <w:tcPr>
            <w:tcW w:w="2836" w:type="dxa"/>
          </w:tcPr>
          <w:p w:rsidR="000C18B5" w:rsidRPr="005F28B3" w:rsidRDefault="000C18B5" w:rsidP="000C18B5">
            <w:pPr>
              <w:spacing w:before="40" w:after="20"/>
              <w:ind w:left="0"/>
              <w:rPr>
                <w:rFonts w:cs="Arial"/>
                <w:sz w:val="20"/>
                <w:szCs w:val="20"/>
                <w:lang w:eastAsia="en-NZ"/>
              </w:rPr>
            </w:pPr>
            <w:r w:rsidRPr="005F28B3">
              <w:rPr>
                <w:rFonts w:cs="Arial"/>
                <w:sz w:val="20"/>
                <w:szCs w:val="20"/>
                <w:lang w:eastAsia="en-NZ"/>
              </w:rPr>
              <w:t>Participation rate</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46.0%</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56.0%</w:t>
            </w:r>
          </w:p>
        </w:tc>
        <w:tc>
          <w:tcPr>
            <w:tcW w:w="1843" w:type="dxa"/>
          </w:tcPr>
          <w:p w:rsidR="000C18B5" w:rsidRPr="005F28B3" w:rsidRDefault="000C18B5" w:rsidP="000C18B5">
            <w:pPr>
              <w:spacing w:before="40" w:after="20"/>
              <w:ind w:left="0" w:right="143"/>
              <w:jc w:val="right"/>
              <w:rPr>
                <w:rFonts w:cs="Arial"/>
                <w:sz w:val="20"/>
                <w:szCs w:val="20"/>
                <w:lang w:eastAsia="en-NZ"/>
              </w:rPr>
            </w:pPr>
            <w:r w:rsidRPr="005F28B3">
              <w:rPr>
                <w:rFonts w:cs="Arial"/>
                <w:sz w:val="20"/>
                <w:szCs w:val="20"/>
                <w:lang w:eastAsia="en-NZ"/>
              </w:rPr>
              <w:t>62.0%</w:t>
            </w:r>
          </w:p>
        </w:tc>
      </w:tr>
      <w:tr w:rsidR="000C18B5" w:rsidRPr="00672B33" w:rsidTr="00EF52CA">
        <w:tc>
          <w:tcPr>
            <w:tcW w:w="2836" w:type="dxa"/>
          </w:tcPr>
          <w:p w:rsidR="000C18B5" w:rsidRPr="005F28B3" w:rsidRDefault="000C18B5" w:rsidP="000C18B5">
            <w:pPr>
              <w:spacing w:before="40" w:after="20"/>
              <w:ind w:left="0"/>
              <w:rPr>
                <w:rFonts w:cs="Arial"/>
                <w:sz w:val="20"/>
                <w:szCs w:val="20"/>
                <w:lang w:eastAsia="en-NZ"/>
              </w:rPr>
            </w:pPr>
            <w:r w:rsidRPr="005F28B3">
              <w:rPr>
                <w:rFonts w:cs="Arial"/>
                <w:sz w:val="20"/>
                <w:szCs w:val="20"/>
                <w:lang w:eastAsia="en-NZ"/>
              </w:rPr>
              <w:t>Positivity rate</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4.0%</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5.0%</w:t>
            </w:r>
          </w:p>
        </w:tc>
        <w:tc>
          <w:tcPr>
            <w:tcW w:w="1843" w:type="dxa"/>
          </w:tcPr>
          <w:p w:rsidR="000C18B5" w:rsidRPr="005F28B3" w:rsidRDefault="000C18B5" w:rsidP="000C18B5">
            <w:pPr>
              <w:spacing w:before="40" w:after="20"/>
              <w:ind w:left="0" w:right="143"/>
              <w:jc w:val="right"/>
              <w:rPr>
                <w:rFonts w:cs="Arial"/>
                <w:sz w:val="20"/>
                <w:szCs w:val="20"/>
                <w:lang w:eastAsia="en-NZ"/>
              </w:rPr>
            </w:pPr>
            <w:r w:rsidRPr="005F28B3">
              <w:rPr>
                <w:rFonts w:cs="Arial"/>
                <w:sz w:val="20"/>
                <w:szCs w:val="20"/>
                <w:lang w:eastAsia="en-NZ"/>
              </w:rPr>
              <w:t>7.5%</w:t>
            </w:r>
          </w:p>
        </w:tc>
      </w:tr>
      <w:tr w:rsidR="000C18B5" w:rsidRPr="00672B33" w:rsidTr="00EF52CA">
        <w:trPr>
          <w:trHeight w:val="286"/>
        </w:trPr>
        <w:tc>
          <w:tcPr>
            <w:tcW w:w="8363" w:type="dxa"/>
            <w:gridSpan w:val="4"/>
            <w:shd w:val="clear" w:color="auto" w:fill="A6A6A6" w:themeFill="background1" w:themeFillShade="A6"/>
            <w:vAlign w:val="center"/>
          </w:tcPr>
          <w:p w:rsidR="000C18B5" w:rsidRPr="005F28B3" w:rsidRDefault="000C18B5" w:rsidP="000C18B5">
            <w:pPr>
              <w:spacing w:before="40" w:after="20"/>
              <w:ind w:left="0" w:right="142"/>
              <w:rPr>
                <w:rFonts w:cs="Arial"/>
                <w:b/>
                <w:sz w:val="20"/>
                <w:szCs w:val="20"/>
                <w:lang w:eastAsia="en-NZ"/>
              </w:rPr>
            </w:pPr>
            <w:r w:rsidRPr="005F28B3">
              <w:rPr>
                <w:rFonts w:cs="Arial"/>
                <w:b/>
                <w:sz w:val="20"/>
                <w:szCs w:val="20"/>
                <w:lang w:eastAsia="en-NZ"/>
              </w:rPr>
              <w:t>Results</w:t>
            </w:r>
            <w:r w:rsidR="00672B33" w:rsidRPr="005F28B3">
              <w:rPr>
                <w:rFonts w:cs="Arial"/>
                <w:b/>
                <w:sz w:val="20"/>
                <w:szCs w:val="20"/>
                <w:lang w:eastAsia="en-NZ"/>
              </w:rPr>
              <w:t xml:space="preserve"> ($ million)</w:t>
            </w:r>
          </w:p>
        </w:tc>
      </w:tr>
      <w:tr w:rsidR="000C18B5" w:rsidRPr="00672B33" w:rsidTr="00EF52CA">
        <w:tc>
          <w:tcPr>
            <w:tcW w:w="2836" w:type="dxa"/>
          </w:tcPr>
          <w:p w:rsidR="000C18B5" w:rsidRPr="005F28B3" w:rsidRDefault="000C18B5" w:rsidP="000C18B5">
            <w:pPr>
              <w:spacing w:before="40" w:after="20"/>
              <w:ind w:left="0"/>
              <w:rPr>
                <w:rFonts w:eastAsia="Calibri" w:cs="Arial"/>
                <w:sz w:val="20"/>
                <w:szCs w:val="20"/>
                <w:lang w:eastAsia="en-NZ"/>
              </w:rPr>
            </w:pPr>
            <w:r w:rsidRPr="005F28B3">
              <w:rPr>
                <w:rFonts w:cs="Arial"/>
                <w:sz w:val="20"/>
                <w:szCs w:val="20"/>
                <w:lang w:eastAsia="en-NZ"/>
              </w:rPr>
              <w:t>Annual variable costs</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 xml:space="preserve"> $14.144 </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 xml:space="preserve"> $17.348 </w:t>
            </w:r>
          </w:p>
        </w:tc>
        <w:tc>
          <w:tcPr>
            <w:tcW w:w="1843"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 xml:space="preserve"> $23.467 </w:t>
            </w:r>
          </w:p>
        </w:tc>
      </w:tr>
      <w:tr w:rsidR="000C18B5" w:rsidRPr="00672B33" w:rsidTr="00EF52CA">
        <w:tc>
          <w:tcPr>
            <w:tcW w:w="2836" w:type="dxa"/>
          </w:tcPr>
          <w:p w:rsidR="000C18B5" w:rsidRPr="005F28B3" w:rsidRDefault="000C18B5" w:rsidP="000C18B5">
            <w:pPr>
              <w:spacing w:before="40" w:after="20"/>
              <w:ind w:left="0"/>
              <w:rPr>
                <w:rFonts w:eastAsia="Calibri" w:cs="Arial"/>
                <w:sz w:val="20"/>
                <w:szCs w:val="20"/>
                <w:lang w:eastAsia="en-NZ"/>
              </w:rPr>
            </w:pPr>
            <w:r w:rsidRPr="005F28B3">
              <w:rPr>
                <w:rFonts w:cs="Arial"/>
                <w:sz w:val="20"/>
                <w:szCs w:val="20"/>
                <w:lang w:eastAsia="en-NZ"/>
              </w:rPr>
              <w:t>Annual fixed costs</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 xml:space="preserve"> $12.387 </w:t>
            </w:r>
          </w:p>
        </w:tc>
        <w:tc>
          <w:tcPr>
            <w:tcW w:w="1842"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 xml:space="preserve"> $21.724 </w:t>
            </w:r>
          </w:p>
        </w:tc>
        <w:tc>
          <w:tcPr>
            <w:tcW w:w="1843" w:type="dxa"/>
          </w:tcPr>
          <w:p w:rsidR="000C18B5" w:rsidRPr="005F28B3" w:rsidRDefault="000C18B5" w:rsidP="000C18B5">
            <w:pPr>
              <w:spacing w:before="40" w:after="20"/>
              <w:ind w:left="0"/>
              <w:jc w:val="right"/>
              <w:rPr>
                <w:rFonts w:cs="Arial"/>
                <w:sz w:val="20"/>
                <w:szCs w:val="20"/>
                <w:lang w:eastAsia="en-NZ"/>
              </w:rPr>
            </w:pPr>
            <w:r w:rsidRPr="005F28B3">
              <w:rPr>
                <w:rFonts w:cs="Arial"/>
                <w:sz w:val="20"/>
                <w:szCs w:val="20"/>
                <w:lang w:eastAsia="en-NZ"/>
              </w:rPr>
              <w:t xml:space="preserve"> $27.156 </w:t>
            </w:r>
          </w:p>
        </w:tc>
      </w:tr>
      <w:tr w:rsidR="000C18B5" w:rsidRPr="00672B33" w:rsidTr="00EF52CA">
        <w:tc>
          <w:tcPr>
            <w:tcW w:w="2836" w:type="dxa"/>
          </w:tcPr>
          <w:p w:rsidR="000C18B5" w:rsidRPr="005F28B3" w:rsidRDefault="000C18B5" w:rsidP="000C18B5">
            <w:pPr>
              <w:spacing w:before="40" w:after="20"/>
              <w:ind w:left="0"/>
              <w:rPr>
                <w:rFonts w:eastAsia="Calibri" w:cs="Arial"/>
                <w:b/>
                <w:sz w:val="20"/>
                <w:szCs w:val="20"/>
                <w:lang w:eastAsia="en-NZ"/>
              </w:rPr>
            </w:pPr>
            <w:r w:rsidRPr="005F28B3">
              <w:rPr>
                <w:rFonts w:cs="Arial"/>
                <w:b/>
                <w:sz w:val="20"/>
                <w:szCs w:val="20"/>
                <w:lang w:eastAsia="en-NZ"/>
              </w:rPr>
              <w:t>Annual operating cost</w:t>
            </w:r>
          </w:p>
        </w:tc>
        <w:tc>
          <w:tcPr>
            <w:tcW w:w="1842" w:type="dxa"/>
          </w:tcPr>
          <w:p w:rsidR="000C18B5" w:rsidRPr="005F28B3" w:rsidRDefault="000C18B5" w:rsidP="000C18B5">
            <w:pPr>
              <w:spacing w:before="40" w:after="20"/>
              <w:ind w:left="0"/>
              <w:jc w:val="right"/>
              <w:rPr>
                <w:rFonts w:cs="Arial"/>
                <w:b/>
                <w:sz w:val="20"/>
                <w:szCs w:val="20"/>
                <w:lang w:eastAsia="en-NZ"/>
              </w:rPr>
            </w:pPr>
            <w:r w:rsidRPr="005F28B3">
              <w:rPr>
                <w:rFonts w:cs="Arial"/>
                <w:b/>
                <w:sz w:val="20"/>
                <w:szCs w:val="20"/>
                <w:lang w:eastAsia="en-NZ"/>
              </w:rPr>
              <w:t xml:space="preserve"> $26.531 </w:t>
            </w:r>
          </w:p>
        </w:tc>
        <w:tc>
          <w:tcPr>
            <w:tcW w:w="1842" w:type="dxa"/>
          </w:tcPr>
          <w:p w:rsidR="000C18B5" w:rsidRPr="005F28B3" w:rsidRDefault="000C18B5" w:rsidP="000C18B5">
            <w:pPr>
              <w:spacing w:before="40" w:after="20"/>
              <w:ind w:left="0"/>
              <w:jc w:val="right"/>
              <w:rPr>
                <w:rFonts w:cs="Arial"/>
                <w:b/>
                <w:sz w:val="20"/>
                <w:szCs w:val="20"/>
                <w:lang w:eastAsia="en-NZ"/>
              </w:rPr>
            </w:pPr>
            <w:r w:rsidRPr="005F28B3">
              <w:rPr>
                <w:rFonts w:cs="Arial"/>
                <w:b/>
                <w:sz w:val="20"/>
                <w:szCs w:val="20"/>
                <w:lang w:eastAsia="en-NZ"/>
              </w:rPr>
              <w:t xml:space="preserve"> $39.073 </w:t>
            </w:r>
          </w:p>
        </w:tc>
        <w:tc>
          <w:tcPr>
            <w:tcW w:w="1843" w:type="dxa"/>
          </w:tcPr>
          <w:p w:rsidR="000C18B5" w:rsidRPr="005F28B3" w:rsidRDefault="000C18B5" w:rsidP="000C18B5">
            <w:pPr>
              <w:spacing w:before="40" w:after="20"/>
              <w:ind w:left="0"/>
              <w:jc w:val="right"/>
              <w:rPr>
                <w:rFonts w:cs="Arial"/>
                <w:b/>
                <w:sz w:val="20"/>
                <w:szCs w:val="20"/>
                <w:lang w:eastAsia="en-NZ"/>
              </w:rPr>
            </w:pPr>
            <w:r w:rsidRPr="005F28B3">
              <w:rPr>
                <w:rFonts w:cs="Arial"/>
                <w:b/>
                <w:sz w:val="20"/>
                <w:szCs w:val="20"/>
                <w:lang w:eastAsia="en-NZ"/>
              </w:rPr>
              <w:t xml:space="preserve"> $50.623 </w:t>
            </w:r>
          </w:p>
        </w:tc>
      </w:tr>
    </w:tbl>
    <w:p w:rsidR="007C3D83" w:rsidRDefault="007C3D83" w:rsidP="007C3D83">
      <w:pPr>
        <w:pStyle w:val="UnnumtextBodytext"/>
      </w:pPr>
    </w:p>
    <w:p w:rsidR="007C3D83" w:rsidRPr="00C549B2" w:rsidRDefault="007C3D83" w:rsidP="00C549B2">
      <w:pPr>
        <w:pStyle w:val="Heading3"/>
        <w:rPr>
          <w:i w:val="0"/>
        </w:rPr>
      </w:pPr>
      <w:bookmarkStart w:id="399" w:name="_Toc406582422"/>
      <w:bookmarkStart w:id="400" w:name="_Toc406594655"/>
      <w:bookmarkStart w:id="401" w:name="_Toc406602101"/>
      <w:bookmarkStart w:id="402" w:name="_Toc406666281"/>
      <w:r w:rsidRPr="00C549B2">
        <w:rPr>
          <w:i w:val="0"/>
        </w:rPr>
        <w:t>Exploring the impact of variation in colonoscopy provision</w:t>
      </w:r>
      <w:bookmarkEnd w:id="399"/>
      <w:bookmarkEnd w:id="400"/>
      <w:bookmarkEnd w:id="401"/>
      <w:bookmarkEnd w:id="402"/>
      <w:r w:rsidRPr="00C549B2">
        <w:rPr>
          <w:i w:val="0"/>
        </w:rPr>
        <w:t xml:space="preserve">  </w:t>
      </w:r>
    </w:p>
    <w:p w:rsidR="007C3D83" w:rsidRPr="00FD4FDE" w:rsidRDefault="007C3D83" w:rsidP="000C18B5">
      <w:pPr>
        <w:pStyle w:val="Bullet"/>
        <w:numPr>
          <w:ilvl w:val="0"/>
          <w:numId w:val="0"/>
        </w:numPr>
        <w:ind w:left="709"/>
      </w:pPr>
      <w:r w:rsidRPr="00FD4FDE">
        <w:t>The model of the national bowel screening programme was tested for sensitivity to changes in the mix of colonoscopy provision. The mix of lead colonoscopists used in the base case reflects the average mix observed across the first two years of the pilot, namely, in-house DHB staff providing 40%, contractors providing 50%, and a level of ‘temporary increased capacity’ accounting for 10% of colonoscopy volumes delivered.</w:t>
      </w:r>
    </w:p>
    <w:p w:rsidR="007C3D83" w:rsidRPr="00FD4FDE" w:rsidRDefault="007C3D83" w:rsidP="000C18B5">
      <w:pPr>
        <w:pStyle w:val="Bullet"/>
        <w:numPr>
          <w:ilvl w:val="0"/>
          <w:numId w:val="0"/>
        </w:numPr>
        <w:ind w:left="709"/>
      </w:pPr>
      <w:r w:rsidRPr="00FD4FDE">
        <w:t>Arguably, a national programme in steady state might have more capacity in-house and rely less on contracted and temporary increased capacity. Such a scenario might offer greater certainty around capacity and at a lower cost. To that end, we model a “low” scenario where two-thirds (67%) of the volumes are delivered in-house by salaried DHB staff and one-third (33%) is delivered by private contractors working in-house. Under this scenario, the annual operating cost of the national programme would be $37.345 million</w:t>
      </w:r>
      <w:r w:rsidR="003D355C">
        <w:t xml:space="preserve">, which is </w:t>
      </w:r>
      <w:r w:rsidRPr="00FD4FDE">
        <w:t>$1.728 million or 4.4% lower than the base case of $39.073 million.</w:t>
      </w:r>
    </w:p>
    <w:p w:rsidR="007C3D83" w:rsidRPr="00FD4FDE" w:rsidRDefault="007C3D83" w:rsidP="000C18B5">
      <w:pPr>
        <w:pStyle w:val="Bullet"/>
        <w:numPr>
          <w:ilvl w:val="0"/>
          <w:numId w:val="0"/>
        </w:numPr>
        <w:ind w:left="709"/>
      </w:pPr>
      <w:r w:rsidRPr="00FD4FDE">
        <w:t>We also model a “high” scenario where approximately one-third (34%) of the volumes are delivered in-house by salaried DHB staff, one-third (33%) by private contractors working in-house, and one-third (33%) via temporary increased capacity. Under this scenario, the annual operating cost of the national programme would be $41.392 million</w:t>
      </w:r>
      <w:r w:rsidR="003D355C">
        <w:t xml:space="preserve">, which is </w:t>
      </w:r>
      <w:r w:rsidRPr="00FD4FDE">
        <w:t>$2.319 million or 5.9% higher than the base case.</w:t>
      </w:r>
    </w:p>
    <w:p w:rsidR="00C10009" w:rsidRPr="00C549B2" w:rsidRDefault="00C10009" w:rsidP="00C549B2">
      <w:pPr>
        <w:pStyle w:val="Heading3"/>
        <w:rPr>
          <w:i w:val="0"/>
        </w:rPr>
      </w:pPr>
      <w:bookmarkStart w:id="403" w:name="_Toc406594656"/>
      <w:bookmarkStart w:id="404" w:name="_Toc406602102"/>
      <w:bookmarkEnd w:id="359"/>
      <w:bookmarkEnd w:id="360"/>
      <w:bookmarkEnd w:id="361"/>
      <w:r w:rsidRPr="00C549B2">
        <w:rPr>
          <w:i w:val="0"/>
        </w:rPr>
        <w:lastRenderedPageBreak/>
        <w:t>Conclusions</w:t>
      </w:r>
      <w:bookmarkEnd w:id="403"/>
      <w:bookmarkEnd w:id="404"/>
    </w:p>
    <w:p w:rsidR="00C10009" w:rsidRPr="00FD4FDE" w:rsidRDefault="00C10009" w:rsidP="000C18B5">
      <w:pPr>
        <w:pStyle w:val="Bullet"/>
        <w:numPr>
          <w:ilvl w:val="0"/>
          <w:numId w:val="0"/>
        </w:numPr>
        <w:ind w:left="709"/>
      </w:pPr>
      <w:r w:rsidRPr="00FD4FDE">
        <w:t xml:space="preserve">Stepping back from the detail of analysis, this costing exercise has confirmed several features of the pilot screening pathway. </w:t>
      </w:r>
    </w:p>
    <w:p w:rsidR="00C10009" w:rsidRPr="00FD4FDE" w:rsidRDefault="00C10009" w:rsidP="000C18B5">
      <w:pPr>
        <w:pStyle w:val="Bullet"/>
        <w:numPr>
          <w:ilvl w:val="0"/>
          <w:numId w:val="0"/>
        </w:numPr>
        <w:ind w:left="709"/>
      </w:pPr>
      <w:r w:rsidRPr="00FD4FDE">
        <w:t xml:space="preserve">The volume of clients involved steadily decreases as the pathway stages progress – from initial contact via letter to the testing of the kits, through to the colonoscopies and histology being undertaken. Accordingly, the costs in the early stages of the pathway tend to be driven by higher volumes at relatively low unit costs, whereas the latter stages, which are more investigative and diagnostic in nature, are characterised by lower volumes and high unit costs. </w:t>
      </w:r>
    </w:p>
    <w:p w:rsidR="00C10009" w:rsidRPr="00FD4FDE" w:rsidRDefault="00C10009" w:rsidP="000C18B5">
      <w:pPr>
        <w:pStyle w:val="Bullet"/>
        <w:numPr>
          <w:ilvl w:val="0"/>
          <w:numId w:val="0"/>
        </w:numPr>
        <w:ind w:left="709"/>
      </w:pPr>
      <w:r w:rsidRPr="00FD4FDE">
        <w:t>The arranging and conducting of colonoscopies, which we have defined as ‘stage 3’ of the screening pathway, is the most expensive phase – on a per-unit basis and in terms of aggregate costs. Our modelling suggests that small movements in either the volume (i.e. the combination of client participation and positivity rates) or the unit cost of colonoscopies has the potential to materially affect the cost of the pilot. This stage probably represents the key risk in terms of annual</w:t>
      </w:r>
      <w:r>
        <w:t xml:space="preserve"> </w:t>
      </w:r>
      <w:r w:rsidRPr="00FD4FDE">
        <w:t xml:space="preserve">operating costs of the screening pathway, both for the next two years of the pilot, and for any future national roll-out. </w:t>
      </w:r>
    </w:p>
    <w:p w:rsidR="00C10009" w:rsidRPr="00FD4FDE" w:rsidRDefault="00C10009" w:rsidP="000C18B5">
      <w:pPr>
        <w:pStyle w:val="Bullet"/>
        <w:numPr>
          <w:ilvl w:val="0"/>
          <w:numId w:val="0"/>
        </w:numPr>
        <w:ind w:left="709"/>
      </w:pPr>
      <w:r w:rsidRPr="00FD4FDE">
        <w:t>It is also worth noting that the pilot has managed an increase in volumes as it has ramped up activity during Round 1. While these higher volumes have added to</w:t>
      </w:r>
      <w:r w:rsidR="00F31162">
        <w:t xml:space="preserve"> the</w:t>
      </w:r>
      <w:r w:rsidRPr="00FD4FDE">
        <w:t xml:space="preserve"> variable costs, the fixed costs have remained constant, or in some cases, declined, as internal systems have matured. The fixed costs generally relate to community awareness and sending out kits to clients as well as to general planning and oversight, clinical governance, and analysis and reporting. Many of these fixed cost elements offer scope for economies of scale if screening volumes increase. </w:t>
      </w:r>
      <w:r w:rsidRPr="00FD4FDE">
        <w:br w:type="page"/>
      </w:r>
    </w:p>
    <w:p w:rsidR="00037FE3" w:rsidRPr="00C95C03" w:rsidRDefault="005B025D" w:rsidP="00037FE3">
      <w:pPr>
        <w:pStyle w:val="Heading1"/>
        <w:rPr>
          <w:lang w:eastAsia="en-US"/>
        </w:rPr>
      </w:pPr>
      <w:bookmarkStart w:id="405" w:name="_Toc380499281"/>
      <w:bookmarkStart w:id="406" w:name="_Toc390872224"/>
      <w:bookmarkStart w:id="407" w:name="_Toc412540044"/>
      <w:r>
        <w:lastRenderedPageBreak/>
        <w:t>4</w:t>
      </w:r>
      <w:r w:rsidR="00037FE3" w:rsidRPr="00D27BBD">
        <w:t>.</w:t>
      </w:r>
      <w:r w:rsidR="00037FE3" w:rsidRPr="00D27BBD">
        <w:tab/>
        <w:t>References</w:t>
      </w:r>
      <w:bookmarkEnd w:id="405"/>
      <w:bookmarkEnd w:id="406"/>
      <w:bookmarkEnd w:id="407"/>
    </w:p>
    <w:p w:rsidR="00122976" w:rsidRDefault="00122976" w:rsidP="00122976">
      <w:pPr>
        <w:spacing w:after="120"/>
        <w:ind w:left="425"/>
        <w:rPr>
          <w:rFonts w:cs="Arial"/>
        </w:rPr>
      </w:pPr>
      <w:r w:rsidRPr="00122976">
        <w:rPr>
          <w:rFonts w:cs="Arial"/>
          <w:szCs w:val="24"/>
          <w:lang w:val="en-GB"/>
        </w:rPr>
        <w:t>Ananda S</w:t>
      </w:r>
      <w:r w:rsidR="000C030C">
        <w:rPr>
          <w:rFonts w:cs="Arial"/>
          <w:szCs w:val="24"/>
          <w:lang w:val="en-GB"/>
        </w:rPr>
        <w:t xml:space="preserve"> </w:t>
      </w:r>
      <w:r w:rsidRPr="00122976">
        <w:rPr>
          <w:rFonts w:cs="Arial"/>
          <w:szCs w:val="24"/>
          <w:lang w:val="en-GB"/>
        </w:rPr>
        <w:t>S, McLaughlin S</w:t>
      </w:r>
      <w:r w:rsidR="000C030C">
        <w:rPr>
          <w:rFonts w:cs="Arial"/>
          <w:szCs w:val="24"/>
          <w:lang w:val="en-GB"/>
        </w:rPr>
        <w:t xml:space="preserve"> </w:t>
      </w:r>
      <w:r w:rsidRPr="00122976">
        <w:rPr>
          <w:rFonts w:cs="Arial"/>
          <w:szCs w:val="24"/>
          <w:lang w:val="en-GB"/>
        </w:rPr>
        <w:t xml:space="preserve">J, Chen F et al. 2009. </w:t>
      </w:r>
      <w:proofErr w:type="gramStart"/>
      <w:r w:rsidRPr="00122976">
        <w:rPr>
          <w:rFonts w:cs="Arial"/>
          <w:szCs w:val="24"/>
          <w:lang w:val="en-GB"/>
        </w:rPr>
        <w:t>Initial impact of Australia’s National Bowel</w:t>
      </w:r>
      <w:r>
        <w:rPr>
          <w:rFonts w:cs="Arial"/>
        </w:rPr>
        <w:t xml:space="preserve"> Cancer Screening Program.</w:t>
      </w:r>
      <w:proofErr w:type="gramEnd"/>
      <w:r>
        <w:rPr>
          <w:rFonts w:cs="Arial"/>
        </w:rPr>
        <w:t xml:space="preserve"> </w:t>
      </w:r>
      <w:r w:rsidRPr="00037A61">
        <w:rPr>
          <w:rFonts w:cs="Arial"/>
          <w:i/>
        </w:rPr>
        <w:t>Medical Journal of Australia</w:t>
      </w:r>
      <w:r>
        <w:rPr>
          <w:rFonts w:cs="Arial"/>
        </w:rPr>
        <w:t xml:space="preserve"> 191:378-81.</w:t>
      </w:r>
    </w:p>
    <w:p w:rsidR="00122976" w:rsidRPr="003A76BB" w:rsidRDefault="00122976" w:rsidP="00122976">
      <w:pPr>
        <w:ind w:left="425"/>
        <w:rPr>
          <w:rFonts w:cs="Arial"/>
          <w:b/>
        </w:rPr>
      </w:pPr>
      <w:proofErr w:type="gramStart"/>
      <w:r w:rsidRPr="003A76BB">
        <w:t xml:space="preserve">Artus </w:t>
      </w:r>
      <w:r w:rsidR="003A76BB">
        <w:t>J, Love T, Blick G and Poynton</w:t>
      </w:r>
      <w:r w:rsidRPr="003A76BB">
        <w:t>.</w:t>
      </w:r>
      <w:proofErr w:type="gramEnd"/>
      <w:r w:rsidRPr="003A76BB">
        <w:t xml:space="preserve"> 2014. </w:t>
      </w:r>
      <w:r w:rsidR="00FF27DA">
        <w:rPr>
          <w:i/>
        </w:rPr>
        <w:t>Interim costing a</w:t>
      </w:r>
      <w:r w:rsidR="00FF27DA" w:rsidRPr="003A76BB">
        <w:rPr>
          <w:i/>
        </w:rPr>
        <w:t>nalysis</w:t>
      </w:r>
      <w:r w:rsidR="00FF27DA">
        <w:rPr>
          <w:i/>
        </w:rPr>
        <w:t xml:space="preserve"> – costs of the first screening round (2012-13)</w:t>
      </w:r>
      <w:r w:rsidR="00FF27DA" w:rsidRPr="003A76BB">
        <w:rPr>
          <w:i/>
        </w:rPr>
        <w:t>.</w:t>
      </w:r>
      <w:r w:rsidRPr="003A76BB">
        <w:t xml:space="preserve"> </w:t>
      </w:r>
      <w:proofErr w:type="gramStart"/>
      <w:r w:rsidRPr="003A76BB">
        <w:rPr>
          <w:rFonts w:cs="Arial"/>
        </w:rPr>
        <w:t>Prepared for the Ministry of Health.</w:t>
      </w:r>
      <w:proofErr w:type="gramEnd"/>
      <w:r w:rsidRPr="003A76BB">
        <w:rPr>
          <w:rFonts w:cs="Arial"/>
        </w:rPr>
        <w:t xml:space="preserve"> Wellington, New Zealand: Sapere Research Group.</w:t>
      </w:r>
    </w:p>
    <w:p w:rsidR="00122976" w:rsidRDefault="00122976" w:rsidP="00122976">
      <w:pPr>
        <w:spacing w:after="120"/>
        <w:ind w:left="425"/>
        <w:rPr>
          <w:rFonts w:cs="Arial"/>
        </w:rPr>
      </w:pPr>
      <w:proofErr w:type="gramStart"/>
      <w:r w:rsidRPr="003A76BB">
        <w:rPr>
          <w:rFonts w:cs="Arial"/>
        </w:rPr>
        <w:t>Australian Institute of Health and Welfare and Australian Government Department</w:t>
      </w:r>
      <w:r>
        <w:rPr>
          <w:rFonts w:cs="Arial"/>
        </w:rPr>
        <w:t xml:space="preserve"> of Health and Ageing.</w:t>
      </w:r>
      <w:proofErr w:type="gramEnd"/>
      <w:r>
        <w:rPr>
          <w:rFonts w:cs="Arial"/>
        </w:rPr>
        <w:t xml:space="preserve"> 2010. </w:t>
      </w:r>
      <w:r w:rsidRPr="00037A61">
        <w:rPr>
          <w:rFonts w:cs="Arial"/>
          <w:i/>
        </w:rPr>
        <w:t>National Bowel Cancer Screening Program: annual monitoring report 2009 data supplement 2010</w:t>
      </w:r>
      <w:r>
        <w:rPr>
          <w:rFonts w:cs="Arial"/>
        </w:rPr>
        <w:t>. Canberra: AIHW.</w:t>
      </w:r>
    </w:p>
    <w:p w:rsidR="00122976" w:rsidRDefault="00122976" w:rsidP="00122976">
      <w:pPr>
        <w:spacing w:after="120"/>
        <w:ind w:left="425"/>
        <w:rPr>
          <w:rFonts w:cs="Arial"/>
        </w:rPr>
      </w:pPr>
      <w:proofErr w:type="gramStart"/>
      <w:r w:rsidRPr="00F81F17">
        <w:rPr>
          <w:rFonts w:cs="Arial"/>
        </w:rPr>
        <w:t>Bowel Cancer Screening Pilot Monitoring and Evaluation Steering Committee.</w:t>
      </w:r>
      <w:proofErr w:type="gramEnd"/>
      <w:r w:rsidRPr="00F81F17">
        <w:rPr>
          <w:rFonts w:cs="Arial"/>
        </w:rPr>
        <w:t xml:space="preserve">  2005. </w:t>
      </w:r>
      <w:r w:rsidRPr="00F81F17">
        <w:rPr>
          <w:rFonts w:cs="Arial"/>
          <w:i/>
        </w:rPr>
        <w:t>Australia's Bowel Cancer Screening Pilot and Beyond</w:t>
      </w:r>
      <w:r w:rsidRPr="00F81F17">
        <w:rPr>
          <w:rFonts w:cs="Arial"/>
        </w:rPr>
        <w:t xml:space="preserve">: </w:t>
      </w:r>
      <w:r w:rsidRPr="00F81F17">
        <w:rPr>
          <w:rFonts w:cs="Arial"/>
          <w:i/>
        </w:rPr>
        <w:t>Final Evaluation Report</w:t>
      </w:r>
      <w:r w:rsidRPr="00F81F17">
        <w:rPr>
          <w:rFonts w:cs="Arial"/>
        </w:rPr>
        <w:t xml:space="preserve">. Canberra: Australian Government Department of Health and Ageing. </w:t>
      </w:r>
    </w:p>
    <w:p w:rsidR="00D2670F" w:rsidRDefault="00D2670F" w:rsidP="00D2670F">
      <w:pPr>
        <w:spacing w:after="120"/>
        <w:ind w:left="425"/>
        <w:rPr>
          <w:rFonts w:cs="Arial"/>
        </w:rPr>
      </w:pPr>
      <w:proofErr w:type="gramStart"/>
      <w:r>
        <w:rPr>
          <w:rFonts w:cs="Arial"/>
        </w:rPr>
        <w:t>Bowel</w:t>
      </w:r>
      <w:r w:rsidR="00C50275">
        <w:rPr>
          <w:rFonts w:cs="Arial"/>
        </w:rPr>
        <w:t xml:space="preserve"> </w:t>
      </w:r>
      <w:r>
        <w:rPr>
          <w:rFonts w:cs="Arial"/>
        </w:rPr>
        <w:t>Screening.</w:t>
      </w:r>
      <w:proofErr w:type="gramEnd"/>
      <w:r>
        <w:rPr>
          <w:rFonts w:cs="Arial"/>
        </w:rPr>
        <w:t xml:space="preserve"> 2012.  </w:t>
      </w:r>
      <w:r w:rsidRPr="004441E9">
        <w:rPr>
          <w:rFonts w:cs="Arial"/>
          <w:i/>
        </w:rPr>
        <w:t>BSP Patient Satisfaction Survey</w:t>
      </w:r>
      <w:r>
        <w:rPr>
          <w:rFonts w:cs="Arial"/>
        </w:rPr>
        <w:t xml:space="preserve">.  Bowel Screening: WDHB. </w:t>
      </w:r>
    </w:p>
    <w:p w:rsidR="006E678E" w:rsidRDefault="006E678E" w:rsidP="006E678E">
      <w:pPr>
        <w:spacing w:after="120"/>
        <w:ind w:left="425"/>
        <w:rPr>
          <w:rFonts w:cs="Arial"/>
        </w:rPr>
      </w:pPr>
      <w:proofErr w:type="gramStart"/>
      <w:r w:rsidRPr="006E678E">
        <w:rPr>
          <w:rFonts w:cs="Arial"/>
        </w:rPr>
        <w:t>Bynum S, Davis J, Lee Green B, Katz R. 2012.</w:t>
      </w:r>
      <w:proofErr w:type="gramEnd"/>
      <w:r w:rsidRPr="006E678E">
        <w:rPr>
          <w:rFonts w:cs="Arial"/>
        </w:rPr>
        <w:t xml:space="preserve"> Unwillingness to participate in colorectal cancer screening: Examining fears, attitudes, and medical mistrust in an ethnically diverse sample of adults 50 years and older. </w:t>
      </w:r>
      <w:r w:rsidRPr="006E678E">
        <w:rPr>
          <w:rFonts w:cs="Arial"/>
          <w:i/>
        </w:rPr>
        <w:t>American Journal of Health Promotion</w:t>
      </w:r>
      <w:r w:rsidRPr="006E678E">
        <w:rPr>
          <w:rFonts w:cs="Arial"/>
        </w:rPr>
        <w:t>, 26(5), 1-14.</w:t>
      </w:r>
      <w:r>
        <w:rPr>
          <w:rFonts w:cs="Arial"/>
        </w:rPr>
        <w:t xml:space="preserve"> </w:t>
      </w:r>
    </w:p>
    <w:p w:rsidR="00122976" w:rsidRDefault="00122976" w:rsidP="00122976">
      <w:pPr>
        <w:spacing w:after="120"/>
        <w:ind w:left="425"/>
        <w:rPr>
          <w:rFonts w:cs="Arial"/>
          <w:szCs w:val="24"/>
          <w:lang w:val="en-GB"/>
        </w:rPr>
      </w:pPr>
      <w:proofErr w:type="gramStart"/>
      <w:r>
        <w:rPr>
          <w:rFonts w:cs="Arial"/>
        </w:rPr>
        <w:t>Causey</w:t>
      </w:r>
      <w:r>
        <w:rPr>
          <w:rFonts w:cs="Arial"/>
          <w:szCs w:val="24"/>
          <w:lang w:val="en-GB"/>
        </w:rPr>
        <w:t xml:space="preserve"> C, Greenwald B. 2011.</w:t>
      </w:r>
      <w:proofErr w:type="gramEnd"/>
      <w:r>
        <w:rPr>
          <w:rFonts w:cs="Arial"/>
          <w:szCs w:val="24"/>
          <w:lang w:val="en-GB"/>
        </w:rPr>
        <w:t xml:space="preserve"> Promoting community awareness of the need for colorectal cancer prevention and screening: a replication study. </w:t>
      </w:r>
      <w:r>
        <w:rPr>
          <w:rFonts w:cs="Arial"/>
          <w:i/>
          <w:szCs w:val="24"/>
          <w:lang w:val="en-GB"/>
        </w:rPr>
        <w:t>Gastroenterology Nursing</w:t>
      </w:r>
      <w:r>
        <w:rPr>
          <w:rFonts w:cs="Arial"/>
          <w:szCs w:val="24"/>
          <w:lang w:val="en-GB"/>
        </w:rPr>
        <w:t xml:space="preserve"> 34(1):34-40.</w:t>
      </w:r>
    </w:p>
    <w:p w:rsidR="00122976" w:rsidRDefault="00122976" w:rsidP="00122976">
      <w:pPr>
        <w:spacing w:after="120"/>
        <w:ind w:left="425"/>
        <w:rPr>
          <w:rFonts w:cs="Arial"/>
        </w:rPr>
      </w:pPr>
      <w:r>
        <w:rPr>
          <w:rFonts w:cs="Arial"/>
        </w:rPr>
        <w:t>Chilton A, Rutter M (</w:t>
      </w:r>
      <w:proofErr w:type="gramStart"/>
      <w:r>
        <w:rPr>
          <w:rFonts w:cs="Arial"/>
        </w:rPr>
        <w:t>eds</w:t>
      </w:r>
      <w:proofErr w:type="gramEnd"/>
      <w:r>
        <w:rPr>
          <w:rFonts w:cs="Arial"/>
        </w:rPr>
        <w:t xml:space="preserve">). 2011. </w:t>
      </w:r>
      <w:r w:rsidRPr="009A0012">
        <w:rPr>
          <w:rFonts w:cs="Arial"/>
          <w:i/>
        </w:rPr>
        <w:t>Quality assurance guidelines for colonoscopy</w:t>
      </w:r>
      <w:r>
        <w:rPr>
          <w:rFonts w:cs="Arial"/>
        </w:rPr>
        <w:t>. Sheffield: NHS Cancer Screening Programmes.</w:t>
      </w:r>
    </w:p>
    <w:p w:rsidR="00122976" w:rsidRDefault="00122976" w:rsidP="00122976">
      <w:pPr>
        <w:ind w:left="425"/>
        <w:rPr>
          <w:rFonts w:cs="Arial"/>
          <w:szCs w:val="24"/>
          <w:lang w:val="en-GB"/>
        </w:rPr>
      </w:pPr>
      <w:r>
        <w:rPr>
          <w:rFonts w:cs="Arial"/>
          <w:szCs w:val="24"/>
          <w:lang w:val="en-GB"/>
        </w:rPr>
        <w:t xml:space="preserve">Christou A, Katzenellenbogen J, Thompson S. 2010. Australia's National Bowel Cancer Screening Program: does it work for Indigenous Australians? </w:t>
      </w:r>
      <w:r>
        <w:rPr>
          <w:rFonts w:cs="Arial"/>
          <w:i/>
          <w:szCs w:val="24"/>
          <w:lang w:val="en-GB"/>
        </w:rPr>
        <w:t>BioMed Central Public Health</w:t>
      </w:r>
      <w:r>
        <w:rPr>
          <w:rFonts w:cs="Arial"/>
          <w:szCs w:val="24"/>
          <w:lang w:val="en-GB"/>
        </w:rPr>
        <w:t xml:space="preserve"> 10(373): </w:t>
      </w:r>
    </w:p>
    <w:p w:rsidR="00122976" w:rsidRPr="00F34DC0" w:rsidRDefault="00122976" w:rsidP="00122976">
      <w:pPr>
        <w:ind w:left="425"/>
        <w:rPr>
          <w:rFonts w:cs="Arial"/>
          <w:i/>
        </w:rPr>
      </w:pPr>
      <w:r w:rsidRPr="00F34DC0">
        <w:rPr>
          <w:rFonts w:cs="Arial"/>
        </w:rPr>
        <w:t>Cole S</w:t>
      </w:r>
      <w:r>
        <w:rPr>
          <w:rFonts w:cs="Arial"/>
        </w:rPr>
        <w:t xml:space="preserve"> R, Smith et al. 2007. </w:t>
      </w:r>
      <w:r w:rsidRPr="00F34DC0">
        <w:rPr>
          <w:rFonts w:cs="Arial"/>
        </w:rPr>
        <w:t xml:space="preserve">An advance notification letter increases participation </w:t>
      </w:r>
      <w:r>
        <w:rPr>
          <w:rFonts w:cs="Arial"/>
        </w:rPr>
        <w:t>in colorectal cancer screening.</w:t>
      </w:r>
      <w:r w:rsidRPr="00F34DC0">
        <w:rPr>
          <w:rFonts w:cs="Arial"/>
        </w:rPr>
        <w:t xml:space="preserve"> </w:t>
      </w:r>
      <w:r w:rsidRPr="00F34DC0">
        <w:rPr>
          <w:rFonts w:cs="Arial"/>
          <w:i/>
        </w:rPr>
        <w:t xml:space="preserve">Journal of Medical Screening </w:t>
      </w:r>
      <w:r w:rsidRPr="00B36412">
        <w:rPr>
          <w:rFonts w:cs="Arial"/>
        </w:rPr>
        <w:t>14(2):73-5.</w:t>
      </w:r>
    </w:p>
    <w:p w:rsidR="00122976" w:rsidRDefault="00122976" w:rsidP="00122976">
      <w:pPr>
        <w:spacing w:after="120"/>
        <w:ind w:left="425"/>
        <w:rPr>
          <w:rFonts w:cs="Arial"/>
        </w:rPr>
      </w:pPr>
      <w:proofErr w:type="gramStart"/>
      <w:r w:rsidRPr="00744428">
        <w:rPr>
          <w:rFonts w:cs="Arial"/>
        </w:rPr>
        <w:t>Colorectal Cancer Screening Advisory Group.</w:t>
      </w:r>
      <w:proofErr w:type="gramEnd"/>
      <w:r w:rsidRPr="00744428">
        <w:rPr>
          <w:rFonts w:cs="Arial"/>
        </w:rPr>
        <w:t xml:space="preserve"> 2006. </w:t>
      </w:r>
      <w:r w:rsidRPr="00744428">
        <w:rPr>
          <w:rFonts w:cs="Arial"/>
          <w:i/>
        </w:rPr>
        <w:t>Report of the Colorectal Cancer Screening Advisory Group.</w:t>
      </w:r>
      <w:r w:rsidRPr="00744428">
        <w:rPr>
          <w:rFonts w:cs="Arial"/>
        </w:rPr>
        <w:t xml:space="preserve"> Wellington: Ministry of Health. </w:t>
      </w:r>
      <w:r>
        <w:rPr>
          <w:rFonts w:cs="Arial"/>
        </w:rPr>
        <w:t xml:space="preserve">URL: </w:t>
      </w:r>
      <w:hyperlink r:id="rId42" w:history="1">
        <w:r w:rsidRPr="0016191E">
          <w:rPr>
            <w:rStyle w:val="Hyperlink"/>
            <w:rFonts w:cs="Arial"/>
          </w:rPr>
          <w:t>www.health.govt.nz/system/files/documents/publications/crcreport14nov2006.pdf</w:t>
        </w:r>
      </w:hyperlink>
      <w:r>
        <w:rPr>
          <w:rFonts w:cs="Arial"/>
        </w:rPr>
        <w:t xml:space="preserve"> </w:t>
      </w:r>
      <w:r w:rsidRPr="00744428">
        <w:rPr>
          <w:rFonts w:cs="Arial"/>
        </w:rPr>
        <w:t>(Accessed 8 May 2014).</w:t>
      </w:r>
    </w:p>
    <w:p w:rsidR="00DF77B0" w:rsidRDefault="00760B85" w:rsidP="00DF77B0">
      <w:pPr>
        <w:ind w:left="425"/>
      </w:pPr>
      <w:proofErr w:type="gramStart"/>
      <w:r>
        <w:t>European Commission.</w:t>
      </w:r>
      <w:proofErr w:type="gramEnd"/>
      <w:r>
        <w:t xml:space="preserve"> </w:t>
      </w:r>
      <w:r w:rsidR="00DF77B0">
        <w:t xml:space="preserve">2010. </w:t>
      </w:r>
      <w:r w:rsidR="00DF77B0" w:rsidRPr="00DF77B0">
        <w:t xml:space="preserve">European </w:t>
      </w:r>
      <w:r w:rsidR="00621EA1">
        <w:t>G</w:t>
      </w:r>
      <w:r w:rsidR="00DF77B0" w:rsidRPr="00DF77B0">
        <w:t xml:space="preserve">uidelines for </w:t>
      </w:r>
      <w:r w:rsidR="00621EA1">
        <w:t>Q</w:t>
      </w:r>
      <w:r w:rsidR="00DF77B0" w:rsidRPr="00DF77B0">
        <w:t xml:space="preserve">uality </w:t>
      </w:r>
      <w:r w:rsidR="00621EA1">
        <w:t>A</w:t>
      </w:r>
      <w:r w:rsidR="00DF77B0" w:rsidRPr="00DF77B0">
        <w:t xml:space="preserve">ssurance in </w:t>
      </w:r>
      <w:r w:rsidR="00621EA1">
        <w:t>C</w:t>
      </w:r>
      <w:r w:rsidR="00DF77B0" w:rsidRPr="00DF77B0">
        <w:t xml:space="preserve">olorectal </w:t>
      </w:r>
      <w:r w:rsidR="00621EA1">
        <w:t>C</w:t>
      </w:r>
      <w:r w:rsidR="00DF77B0" w:rsidRPr="00DF77B0">
        <w:t xml:space="preserve">ancer </w:t>
      </w:r>
      <w:r w:rsidR="00621EA1">
        <w:t>S</w:t>
      </w:r>
      <w:r w:rsidR="00DF77B0" w:rsidRPr="00DF77B0">
        <w:t xml:space="preserve">creening and </w:t>
      </w:r>
      <w:r w:rsidR="00621EA1">
        <w:t>D</w:t>
      </w:r>
      <w:r w:rsidR="00DF77B0" w:rsidRPr="00DF77B0">
        <w:t>iagnosis.</w:t>
      </w:r>
      <w:r w:rsidR="00621EA1">
        <w:t xml:space="preserve"> </w:t>
      </w:r>
    </w:p>
    <w:p w:rsidR="00205FD6" w:rsidRDefault="00AE19D4" w:rsidP="00205FD6">
      <w:pPr>
        <w:ind w:left="425"/>
      </w:pPr>
      <w:r>
        <w:t xml:space="preserve">Faivre J, Arveux P, Milan C et al.  1991. Participation in mass screening for colorectal cancer: Results of screening and rescreening from the Burgundy study. </w:t>
      </w:r>
      <w:proofErr w:type="gramStart"/>
      <w:r>
        <w:rPr>
          <w:i/>
        </w:rPr>
        <w:t>European Journal of Cancer Prevention</w:t>
      </w:r>
      <w:r>
        <w:t>.</w:t>
      </w:r>
      <w:proofErr w:type="gramEnd"/>
      <w:r>
        <w:t xml:space="preserve"> 1, 49-55.</w:t>
      </w:r>
    </w:p>
    <w:p w:rsidR="005853D0" w:rsidRDefault="005853D0" w:rsidP="005853D0">
      <w:pPr>
        <w:ind w:left="425"/>
      </w:pPr>
      <w:r>
        <w:t xml:space="preserve">Federici A, Giorgi Rossi P, Bartolozzi F </w:t>
      </w:r>
      <w:r w:rsidR="00621EA1">
        <w:t>et al</w:t>
      </w:r>
      <w:r>
        <w:t xml:space="preserve">. 2006. The role of GPs in increasing compliance to colorectal cancer screening: a randomised controlled trial (Italy). </w:t>
      </w:r>
      <w:r w:rsidRPr="00B36412">
        <w:rPr>
          <w:i/>
        </w:rPr>
        <w:t>Cancer Causes Control</w:t>
      </w:r>
      <w:r>
        <w:t xml:space="preserve"> 17(1)</w:t>
      </w:r>
      <w:r w:rsidR="00621EA1">
        <w:t>:</w:t>
      </w:r>
      <w:r>
        <w:t>45-52.</w:t>
      </w:r>
    </w:p>
    <w:p w:rsidR="00AB2998" w:rsidRDefault="00AB2998" w:rsidP="00AB2998">
      <w:pPr>
        <w:ind w:left="425"/>
        <w:rPr>
          <w:rFonts w:cs="Arial"/>
        </w:rPr>
      </w:pPr>
      <w:proofErr w:type="gramStart"/>
      <w:r w:rsidRPr="00AB2998">
        <w:lastRenderedPageBreak/>
        <w:t xml:space="preserve">Gastroenterological </w:t>
      </w:r>
      <w:r w:rsidRPr="00EC7AAC">
        <w:t>Society of Australia.</w:t>
      </w:r>
      <w:proofErr w:type="gramEnd"/>
      <w:r w:rsidRPr="00EC7AAC">
        <w:t xml:space="preserve"> 2006. </w:t>
      </w:r>
      <w:r w:rsidRPr="00B36412">
        <w:rPr>
          <w:i/>
        </w:rPr>
        <w:t>Endoscopic Facilities and Services</w:t>
      </w:r>
      <w:r>
        <w:rPr>
          <w:rFonts w:cs="Arial"/>
          <w:i/>
        </w:rPr>
        <w:t xml:space="preserve"> Guidelines. </w:t>
      </w:r>
      <w:r>
        <w:rPr>
          <w:rFonts w:cs="Arial"/>
        </w:rPr>
        <w:t xml:space="preserve"> </w:t>
      </w:r>
      <w:proofErr w:type="gramStart"/>
      <w:r w:rsidRPr="00B36412">
        <w:rPr>
          <w:rFonts w:cs="Arial"/>
          <w:i/>
        </w:rPr>
        <w:t>3</w:t>
      </w:r>
      <w:r w:rsidRPr="00B36412">
        <w:rPr>
          <w:rFonts w:cs="Arial"/>
          <w:i/>
          <w:vertAlign w:val="superscript"/>
        </w:rPr>
        <w:t>rd</w:t>
      </w:r>
      <w:r w:rsidRPr="00B36412">
        <w:rPr>
          <w:rFonts w:cs="Arial"/>
          <w:i/>
        </w:rPr>
        <w:t xml:space="preserve"> Edition.</w:t>
      </w:r>
      <w:proofErr w:type="gramEnd"/>
      <w:r>
        <w:rPr>
          <w:rFonts w:cs="Arial"/>
        </w:rPr>
        <w:t xml:space="preserve"> </w:t>
      </w:r>
      <w:r w:rsidR="00205FD6">
        <w:rPr>
          <w:rFonts w:cs="Arial"/>
        </w:rPr>
        <w:t>Australia: Digestive Health Association</w:t>
      </w:r>
      <w:r w:rsidR="00621EA1">
        <w:rPr>
          <w:rFonts w:cs="Arial"/>
        </w:rPr>
        <w:t>.</w:t>
      </w:r>
    </w:p>
    <w:p w:rsidR="00EB319D" w:rsidRPr="00BE4DA1" w:rsidRDefault="00EB319D" w:rsidP="00EB319D">
      <w:pPr>
        <w:ind w:left="425"/>
      </w:pPr>
      <w:r w:rsidRPr="00BE4DA1">
        <w:t>Green T, Richardson A</w:t>
      </w:r>
      <w:r>
        <w:t>,</w:t>
      </w:r>
      <w:r w:rsidRPr="00BE4DA1">
        <w:t xml:space="preserve"> </w:t>
      </w:r>
      <w:r>
        <w:t xml:space="preserve">Parry </w:t>
      </w:r>
      <w:r w:rsidRPr="00BE4DA1">
        <w:t xml:space="preserve">S. </w:t>
      </w:r>
      <w:r>
        <w:t xml:space="preserve">2012. </w:t>
      </w:r>
      <w:proofErr w:type="gramStart"/>
      <w:r w:rsidRPr="00BE4DA1">
        <w:t>Colonoscopy requirements of population screening for colorectal cancer in New Zealand.</w:t>
      </w:r>
      <w:proofErr w:type="gramEnd"/>
      <w:r w:rsidRPr="00BE4DA1">
        <w:t xml:space="preserve"> </w:t>
      </w:r>
      <w:r w:rsidRPr="00BE4DA1">
        <w:rPr>
          <w:i/>
        </w:rPr>
        <w:t>New Zealand Medical Journal</w:t>
      </w:r>
      <w:r w:rsidRPr="00BE4DA1">
        <w:t xml:space="preserve"> </w:t>
      </w:r>
      <w:r w:rsidRPr="00EB319D">
        <w:t>125</w:t>
      </w:r>
      <w:r w:rsidRPr="00BE4DA1">
        <w:t>, 85-95.</w:t>
      </w:r>
    </w:p>
    <w:p w:rsidR="00CE1B13" w:rsidRDefault="00CE1B13" w:rsidP="00CE1B13">
      <w:pPr>
        <w:ind w:left="425"/>
      </w:pPr>
      <w:r>
        <w:t xml:space="preserve">Griffith S, Turner T, Williams F. 2013. </w:t>
      </w:r>
      <w:proofErr w:type="gramStart"/>
      <w:r w:rsidRPr="00B36412">
        <w:rPr>
          <w:i/>
        </w:rPr>
        <w:t>Making the Call.</w:t>
      </w:r>
      <w:proofErr w:type="gramEnd"/>
      <w:r>
        <w:t xml:space="preserve"> Auckland: Waitemat</w:t>
      </w:r>
      <w:r w:rsidR="00D43304">
        <w:t>a</w:t>
      </w:r>
      <w:r>
        <w:t xml:space="preserve"> DHB.</w:t>
      </w:r>
    </w:p>
    <w:p w:rsidR="00853EA9" w:rsidRPr="00853EA9" w:rsidRDefault="00853EA9" w:rsidP="00853EA9">
      <w:pPr>
        <w:ind w:left="425"/>
      </w:pPr>
      <w:r w:rsidRPr="00853EA9">
        <w:t xml:space="preserve">Guittet L, Bouvier V, Mariotte N et al. 2009. </w:t>
      </w:r>
      <w:proofErr w:type="gramStart"/>
      <w:r w:rsidRPr="00853EA9">
        <w:t>Comparison of a guaiac and an immunochemical faecal occult blood test for the detection of colonic lesions according to lesion type and location.</w:t>
      </w:r>
      <w:proofErr w:type="gramEnd"/>
      <w:r w:rsidRPr="00853EA9">
        <w:t xml:space="preserve"> </w:t>
      </w:r>
      <w:r w:rsidRPr="00853EA9">
        <w:rPr>
          <w:i/>
        </w:rPr>
        <w:t>British Journal of Cancer</w:t>
      </w:r>
      <w:r w:rsidRPr="00853EA9">
        <w:t xml:space="preserve"> 100:1230-35.</w:t>
      </w:r>
    </w:p>
    <w:p w:rsidR="00122976" w:rsidRDefault="00122976" w:rsidP="00122976">
      <w:pPr>
        <w:ind w:left="425"/>
        <w:rPr>
          <w:rFonts w:cs="Arial"/>
        </w:rPr>
      </w:pPr>
      <w:r>
        <w:rPr>
          <w:rFonts w:cs="Arial"/>
        </w:rPr>
        <w:t xml:space="preserve">Hol L, Wilschut JA, van Ballegooijen M.  2009. Screening for colorectal cancer: random comparison of guaiac and immunochemical faecal occult blood testing at different cut-off levels.  </w:t>
      </w:r>
      <w:r w:rsidRPr="00592721">
        <w:rPr>
          <w:rFonts w:cs="Arial"/>
          <w:i/>
        </w:rPr>
        <w:t>British Journal of Cancer</w:t>
      </w:r>
      <w:r>
        <w:rPr>
          <w:rFonts w:cs="Arial"/>
        </w:rPr>
        <w:t xml:space="preserve"> 100:1103-10.</w:t>
      </w:r>
    </w:p>
    <w:p w:rsidR="00330B74" w:rsidRDefault="00330B74" w:rsidP="00330B74">
      <w:pPr>
        <w:ind w:left="425"/>
      </w:pPr>
      <w:proofErr w:type="gramStart"/>
      <w:r>
        <w:t>Kish L. 1965.</w:t>
      </w:r>
      <w:proofErr w:type="gramEnd"/>
      <w:r>
        <w:t xml:space="preserve"> </w:t>
      </w:r>
      <w:proofErr w:type="gramStart"/>
      <w:r>
        <w:rPr>
          <w:i/>
        </w:rPr>
        <w:t>Survey Sampling</w:t>
      </w:r>
      <w:r>
        <w:t>.</w:t>
      </w:r>
      <w:proofErr w:type="gramEnd"/>
      <w:r>
        <w:t xml:space="preserve"> John Wiley: New York. </w:t>
      </w:r>
    </w:p>
    <w:p w:rsidR="005853D0" w:rsidRDefault="005853D0" w:rsidP="005853D0">
      <w:pPr>
        <w:ind w:left="425"/>
        <w:rPr>
          <w:rFonts w:cs="Arial"/>
          <w:szCs w:val="24"/>
          <w:lang w:val="en-GB"/>
        </w:rPr>
      </w:pPr>
      <w:r>
        <w:t>Koo</w:t>
      </w:r>
      <w:r>
        <w:rPr>
          <w:rFonts w:cs="Arial"/>
          <w:szCs w:val="24"/>
          <w:lang w:val="en-GB"/>
        </w:rPr>
        <w:t xml:space="preserve"> J H, Arasaratnam M M, Liu K, et al. 2010. </w:t>
      </w:r>
      <w:proofErr w:type="gramStart"/>
      <w:r>
        <w:rPr>
          <w:rFonts w:cs="Arial"/>
          <w:szCs w:val="24"/>
          <w:lang w:val="en-GB"/>
        </w:rPr>
        <w:t>Knowledge, perception and practices of colorectal cancer screening in an ethnically diverse population.</w:t>
      </w:r>
      <w:proofErr w:type="gramEnd"/>
      <w:r>
        <w:rPr>
          <w:rFonts w:cs="Arial"/>
          <w:szCs w:val="24"/>
          <w:lang w:val="en-GB"/>
        </w:rPr>
        <w:t xml:space="preserve"> </w:t>
      </w:r>
      <w:r>
        <w:rPr>
          <w:rFonts w:cs="Arial"/>
          <w:i/>
          <w:szCs w:val="24"/>
          <w:lang w:val="en-GB"/>
        </w:rPr>
        <w:t>Cancer Epidemiology</w:t>
      </w:r>
      <w:r>
        <w:rPr>
          <w:rFonts w:cs="Arial"/>
          <w:szCs w:val="24"/>
          <w:lang w:val="en-GB"/>
        </w:rPr>
        <w:t xml:space="preserve"> 34(5)</w:t>
      </w:r>
      <w:r w:rsidR="00E463BE">
        <w:rPr>
          <w:rFonts w:cs="Arial"/>
          <w:szCs w:val="24"/>
          <w:lang w:val="en-GB"/>
        </w:rPr>
        <w:t>:</w:t>
      </w:r>
      <w:r>
        <w:rPr>
          <w:rFonts w:cs="Arial"/>
          <w:szCs w:val="24"/>
          <w:lang w:val="en-GB"/>
        </w:rPr>
        <w:t xml:space="preserve"> 604-10.</w:t>
      </w:r>
    </w:p>
    <w:p w:rsidR="00122976" w:rsidRDefault="00122976" w:rsidP="00122976">
      <w:pPr>
        <w:ind w:left="425"/>
        <w:rPr>
          <w:rFonts w:cs="Arial"/>
        </w:rPr>
      </w:pPr>
      <w:proofErr w:type="gramStart"/>
      <w:r w:rsidRPr="00122976">
        <w:t>Lansdorp</w:t>
      </w:r>
      <w:r>
        <w:rPr>
          <w:rFonts w:cs="Arial"/>
        </w:rPr>
        <w:t>-Vogelaar I, von Karsa L. Chapter 1 Introduction.</w:t>
      </w:r>
      <w:proofErr w:type="gramEnd"/>
      <w:r>
        <w:rPr>
          <w:rFonts w:cs="Arial"/>
        </w:rPr>
        <w:t xml:space="preserve"> In: Segnan N, Patnick J, von Karsa L (</w:t>
      </w:r>
      <w:proofErr w:type="gramStart"/>
      <w:r>
        <w:rPr>
          <w:rFonts w:cs="Arial"/>
        </w:rPr>
        <w:t>eds</w:t>
      </w:r>
      <w:proofErr w:type="gramEnd"/>
      <w:r>
        <w:rPr>
          <w:rFonts w:cs="Arial"/>
        </w:rPr>
        <w:t xml:space="preserve">). 2010. </w:t>
      </w:r>
      <w:r w:rsidRPr="00ED7A2D">
        <w:rPr>
          <w:rFonts w:cs="Arial"/>
          <w:i/>
        </w:rPr>
        <w:t>European guidelines for quality assurance in colorectal cancer screening and diagnosis.</w:t>
      </w:r>
      <w:r>
        <w:rPr>
          <w:rFonts w:cs="Arial"/>
        </w:rPr>
        <w:t xml:space="preserve"> </w:t>
      </w:r>
      <w:proofErr w:type="gramStart"/>
      <w:r>
        <w:rPr>
          <w:rFonts w:cs="Arial"/>
        </w:rPr>
        <w:t>European Commission.</w:t>
      </w:r>
      <w:proofErr w:type="gramEnd"/>
    </w:p>
    <w:p w:rsidR="00122976" w:rsidRDefault="00122976" w:rsidP="00122976">
      <w:pPr>
        <w:ind w:left="425"/>
        <w:rPr>
          <w:rFonts w:cs="Arial"/>
        </w:rPr>
      </w:pPr>
      <w:r w:rsidRPr="00122976">
        <w:t>Lee</w:t>
      </w:r>
      <w:r>
        <w:rPr>
          <w:rFonts w:cs="Arial"/>
        </w:rPr>
        <w:t xml:space="preserve"> T</w:t>
      </w:r>
      <w:r w:rsidR="008A026D">
        <w:rPr>
          <w:rFonts w:cs="Arial"/>
        </w:rPr>
        <w:t xml:space="preserve"> </w:t>
      </w:r>
      <w:r>
        <w:rPr>
          <w:rFonts w:cs="Arial"/>
        </w:rPr>
        <w:t>J</w:t>
      </w:r>
      <w:r w:rsidR="008A026D">
        <w:rPr>
          <w:rFonts w:cs="Arial"/>
        </w:rPr>
        <w:t xml:space="preserve"> </w:t>
      </w:r>
      <w:r>
        <w:rPr>
          <w:rFonts w:cs="Arial"/>
        </w:rPr>
        <w:t>W, Rutter M</w:t>
      </w:r>
      <w:r w:rsidR="008A026D">
        <w:rPr>
          <w:rFonts w:cs="Arial"/>
        </w:rPr>
        <w:t xml:space="preserve"> </w:t>
      </w:r>
      <w:r>
        <w:rPr>
          <w:rFonts w:cs="Arial"/>
        </w:rPr>
        <w:t>D, Blanks R</w:t>
      </w:r>
      <w:r w:rsidR="008A026D">
        <w:rPr>
          <w:rFonts w:cs="Arial"/>
        </w:rPr>
        <w:t xml:space="preserve"> </w:t>
      </w:r>
      <w:r>
        <w:rPr>
          <w:rFonts w:cs="Arial"/>
        </w:rPr>
        <w:t xml:space="preserve">G et al. 2012. Colonoscopy quality measures: experience from the NHS Bowel Cancer Screening Programme. </w:t>
      </w:r>
      <w:proofErr w:type="gramStart"/>
      <w:r w:rsidRPr="00D205F4">
        <w:rPr>
          <w:rFonts w:cs="Arial"/>
          <w:i/>
        </w:rPr>
        <w:t>Gut</w:t>
      </w:r>
      <w:r>
        <w:rPr>
          <w:rFonts w:cs="Arial"/>
        </w:rPr>
        <w:t xml:space="preserve">  61:1050</w:t>
      </w:r>
      <w:proofErr w:type="gramEnd"/>
      <w:r>
        <w:rPr>
          <w:rFonts w:cs="Arial"/>
        </w:rPr>
        <w:t>-7.</w:t>
      </w:r>
    </w:p>
    <w:p w:rsidR="00E03D16" w:rsidRDefault="00E03D16" w:rsidP="00E03D16">
      <w:pPr>
        <w:ind w:left="425"/>
        <w:rPr>
          <w:rFonts w:cs="Arial"/>
        </w:rPr>
      </w:pPr>
      <w:r>
        <w:t xml:space="preserve">Litmus Limited. 2011. </w:t>
      </w:r>
      <w:r w:rsidRPr="00E03D16">
        <w:rPr>
          <w:i/>
        </w:rPr>
        <w:t>The E</w:t>
      </w:r>
      <w:r>
        <w:rPr>
          <w:i/>
        </w:rPr>
        <w:t>valuation Plan for the Bowel Screening Pilot 2011–2016.</w:t>
      </w:r>
      <w:r>
        <w:rPr>
          <w:rFonts w:cs="Arial"/>
        </w:rPr>
        <w:t>Prepared for the Ministry of Health. Wellington, New Zealand: Litmus Limited.</w:t>
      </w:r>
    </w:p>
    <w:p w:rsidR="007D3D26" w:rsidRDefault="007D3D26" w:rsidP="007D3D26">
      <w:pPr>
        <w:ind w:left="425"/>
        <w:rPr>
          <w:rFonts w:cs="Arial"/>
        </w:rPr>
      </w:pPr>
      <w:r>
        <w:t xml:space="preserve">Litmus Limited. 2012. </w:t>
      </w:r>
      <w:r>
        <w:rPr>
          <w:i/>
        </w:rPr>
        <w:t xml:space="preserve">Evaluation of the Bowel Screening Pilot – </w:t>
      </w:r>
      <w:r w:rsidRPr="00B36412">
        <w:rPr>
          <w:i/>
        </w:rPr>
        <w:t>Baseline Population Survey</w:t>
      </w:r>
      <w:r>
        <w:rPr>
          <w:i/>
        </w:rPr>
        <w:t xml:space="preserve"> Findings</w:t>
      </w:r>
      <w:r>
        <w:t xml:space="preserve">. </w:t>
      </w:r>
      <w:proofErr w:type="gramStart"/>
      <w:r>
        <w:rPr>
          <w:rFonts w:cs="Arial"/>
        </w:rPr>
        <w:t>Prepared for the Ministry of Health.</w:t>
      </w:r>
      <w:proofErr w:type="gramEnd"/>
      <w:r>
        <w:rPr>
          <w:rFonts w:cs="Arial"/>
        </w:rPr>
        <w:t xml:space="preserve"> Wellington, New Zealand: Litmus Limited.</w:t>
      </w:r>
    </w:p>
    <w:p w:rsidR="007D3D26" w:rsidRDefault="007D3D26" w:rsidP="007D3D26">
      <w:pPr>
        <w:ind w:left="425"/>
        <w:rPr>
          <w:rFonts w:cs="Arial"/>
        </w:rPr>
      </w:pPr>
      <w:r>
        <w:t xml:space="preserve">Litmus Limited. </w:t>
      </w:r>
      <w:proofErr w:type="gramStart"/>
      <w:r>
        <w:t xml:space="preserve">2012a. </w:t>
      </w:r>
      <w:r>
        <w:rPr>
          <w:i/>
        </w:rPr>
        <w:t xml:space="preserve">Evaluation of the Bowel Screening Pilot – </w:t>
      </w:r>
      <w:r w:rsidRPr="00B36412">
        <w:rPr>
          <w:i/>
        </w:rPr>
        <w:t>Baseline Provider Survey</w:t>
      </w:r>
      <w:r>
        <w:rPr>
          <w:i/>
        </w:rPr>
        <w:t xml:space="preserve"> Findings</w:t>
      </w:r>
      <w:r>
        <w:t>.</w:t>
      </w:r>
      <w:proofErr w:type="gramEnd"/>
      <w:r>
        <w:t xml:space="preserve"> </w:t>
      </w:r>
      <w:proofErr w:type="gramStart"/>
      <w:r>
        <w:rPr>
          <w:rFonts w:cs="Arial"/>
        </w:rPr>
        <w:t>Prepared for the Ministry of Health.</w:t>
      </w:r>
      <w:proofErr w:type="gramEnd"/>
      <w:r>
        <w:rPr>
          <w:rFonts w:cs="Arial"/>
        </w:rPr>
        <w:t xml:space="preserve"> Wellington, New Zealand: Litmus Limited.</w:t>
      </w:r>
    </w:p>
    <w:p w:rsidR="00135635" w:rsidRDefault="00135635" w:rsidP="00135635">
      <w:pPr>
        <w:ind w:left="425"/>
      </w:pPr>
      <w:r w:rsidRPr="00135635">
        <w:t>Litmus</w:t>
      </w:r>
      <w:r w:rsidR="008A026D">
        <w:t xml:space="preserve"> Limited</w:t>
      </w:r>
      <w:r>
        <w:rPr>
          <w:i/>
        </w:rPr>
        <w:t xml:space="preserve">. </w:t>
      </w:r>
      <w:proofErr w:type="gramStart"/>
      <w:r>
        <w:t>2012b</w:t>
      </w:r>
      <w:r>
        <w:rPr>
          <w:i/>
        </w:rPr>
        <w:t>. HPV Immunisation Programme Implementation Evaluation - Final Report.</w:t>
      </w:r>
      <w:proofErr w:type="gramEnd"/>
      <w:r>
        <w:rPr>
          <w:i/>
        </w:rPr>
        <w:t xml:space="preserve">  </w:t>
      </w:r>
      <w:r>
        <w:t>Wellington, New Zealand: Litmus Limited.</w:t>
      </w:r>
    </w:p>
    <w:p w:rsidR="007D3D26" w:rsidRDefault="007D3D26" w:rsidP="007D3D26">
      <w:pPr>
        <w:ind w:left="425"/>
        <w:rPr>
          <w:rFonts w:cs="Arial"/>
        </w:rPr>
      </w:pPr>
      <w:r>
        <w:t xml:space="preserve">Litmus </w:t>
      </w:r>
      <w:r>
        <w:rPr>
          <w:rFonts w:cs="Arial"/>
        </w:rPr>
        <w:t>Limited</w:t>
      </w:r>
      <w:r>
        <w:t xml:space="preserve">. 2013. </w:t>
      </w:r>
      <w:r>
        <w:rPr>
          <w:i/>
        </w:rPr>
        <w:t xml:space="preserve">Evaluation of the Bowel Screening Pilot – </w:t>
      </w:r>
      <w:r w:rsidRPr="00B36412">
        <w:rPr>
          <w:i/>
        </w:rPr>
        <w:t>Eligible Population Perspective</w:t>
      </w:r>
      <w:r>
        <w:rPr>
          <w:i/>
        </w:rPr>
        <w:t>s.</w:t>
      </w:r>
      <w:r>
        <w:t xml:space="preserve"> </w:t>
      </w:r>
      <w:proofErr w:type="gramStart"/>
      <w:r>
        <w:rPr>
          <w:rFonts w:cs="Arial"/>
        </w:rPr>
        <w:t>Prepared for the Ministry of Health.</w:t>
      </w:r>
      <w:proofErr w:type="gramEnd"/>
      <w:r>
        <w:rPr>
          <w:rFonts w:cs="Arial"/>
        </w:rPr>
        <w:t xml:space="preserve"> Wellington, New Zealand: Litmus Limited.</w:t>
      </w:r>
    </w:p>
    <w:p w:rsidR="007D3D26" w:rsidRDefault="007D3D26" w:rsidP="007D3D26">
      <w:pPr>
        <w:ind w:left="425"/>
        <w:rPr>
          <w:rFonts w:cs="Arial"/>
        </w:rPr>
      </w:pPr>
      <w:r>
        <w:t xml:space="preserve">Litmus </w:t>
      </w:r>
      <w:r>
        <w:rPr>
          <w:rFonts w:cs="Arial"/>
        </w:rPr>
        <w:t>Limited</w:t>
      </w:r>
      <w:r>
        <w:t xml:space="preserve">. </w:t>
      </w:r>
      <w:proofErr w:type="gramStart"/>
      <w:r>
        <w:t xml:space="preserve">2013a. </w:t>
      </w:r>
      <w:r>
        <w:rPr>
          <w:i/>
        </w:rPr>
        <w:t xml:space="preserve">Evaluation of the Bowel Screening Pilot – Findings from the </w:t>
      </w:r>
      <w:r w:rsidRPr="00B36412">
        <w:rPr>
          <w:i/>
        </w:rPr>
        <w:t>2012 Immersion Visit</w:t>
      </w:r>
      <w:r>
        <w:rPr>
          <w:i/>
        </w:rPr>
        <w:t>.</w:t>
      </w:r>
      <w:proofErr w:type="gramEnd"/>
      <w:r>
        <w:t xml:space="preserve"> </w:t>
      </w:r>
      <w:proofErr w:type="gramStart"/>
      <w:r>
        <w:rPr>
          <w:rFonts w:cs="Arial"/>
        </w:rPr>
        <w:t>Prepared for the Ministry of Health.</w:t>
      </w:r>
      <w:proofErr w:type="gramEnd"/>
      <w:r>
        <w:rPr>
          <w:rFonts w:cs="Arial"/>
        </w:rPr>
        <w:t xml:space="preserve"> Wellington, New Zealand: Litmus Limited.</w:t>
      </w:r>
    </w:p>
    <w:p w:rsidR="007D3D26" w:rsidRDefault="007D3D26" w:rsidP="007D3D26">
      <w:pPr>
        <w:ind w:left="425"/>
        <w:rPr>
          <w:rFonts w:cs="Arial"/>
        </w:rPr>
      </w:pPr>
      <w:r>
        <w:t xml:space="preserve">Litmus </w:t>
      </w:r>
      <w:r>
        <w:rPr>
          <w:rFonts w:cs="Arial"/>
        </w:rPr>
        <w:t>Limited</w:t>
      </w:r>
      <w:r>
        <w:t xml:space="preserve">. 2014.  </w:t>
      </w:r>
      <w:r>
        <w:rPr>
          <w:i/>
        </w:rPr>
        <w:t xml:space="preserve">Evaluation of the Bowel Screening Pilot – Findings from the </w:t>
      </w:r>
      <w:r w:rsidRPr="00B36412">
        <w:rPr>
          <w:i/>
        </w:rPr>
        <w:t>2013 Immersion Visit</w:t>
      </w:r>
      <w:r>
        <w:rPr>
          <w:i/>
        </w:rPr>
        <w:t>.</w:t>
      </w:r>
      <w:r>
        <w:t xml:space="preserve"> </w:t>
      </w:r>
      <w:proofErr w:type="gramStart"/>
      <w:r>
        <w:rPr>
          <w:rFonts w:cs="Arial"/>
        </w:rPr>
        <w:t>Prepared for the Ministry of Health.</w:t>
      </w:r>
      <w:proofErr w:type="gramEnd"/>
      <w:r>
        <w:rPr>
          <w:rFonts w:cs="Arial"/>
        </w:rPr>
        <w:t xml:space="preserve"> Wellington, New Zealand: Litmus Limited.</w:t>
      </w:r>
    </w:p>
    <w:p w:rsidR="007D3D26" w:rsidRDefault="007D3D26" w:rsidP="007D3D26">
      <w:pPr>
        <w:ind w:left="425"/>
        <w:rPr>
          <w:rFonts w:cs="Arial"/>
        </w:rPr>
      </w:pPr>
      <w:r>
        <w:t xml:space="preserve">Litmus Limited. 2014a. </w:t>
      </w:r>
      <w:r>
        <w:rPr>
          <w:i/>
        </w:rPr>
        <w:t xml:space="preserve">Evaluation of the Bowel Screening Pilot – </w:t>
      </w:r>
      <w:r w:rsidRPr="00B36412">
        <w:rPr>
          <w:i/>
        </w:rPr>
        <w:t>2013 Follow up WDHB Population Survey Findings</w:t>
      </w:r>
      <w:r>
        <w:t xml:space="preserve">. </w:t>
      </w:r>
      <w:proofErr w:type="gramStart"/>
      <w:r>
        <w:rPr>
          <w:rFonts w:cs="Arial"/>
        </w:rPr>
        <w:t>Prepared for the Ministry of Health.</w:t>
      </w:r>
      <w:proofErr w:type="gramEnd"/>
      <w:r>
        <w:rPr>
          <w:rFonts w:cs="Arial"/>
        </w:rPr>
        <w:t xml:space="preserve"> Wellington, New Zealand: Litmus Limited.</w:t>
      </w:r>
    </w:p>
    <w:p w:rsidR="007D3D26" w:rsidRDefault="007D3D26" w:rsidP="007D3D26">
      <w:pPr>
        <w:ind w:left="425"/>
        <w:rPr>
          <w:rFonts w:cs="Arial"/>
        </w:rPr>
      </w:pPr>
      <w:r>
        <w:lastRenderedPageBreak/>
        <w:t xml:space="preserve">Litmus Limited. </w:t>
      </w:r>
      <w:proofErr w:type="gramStart"/>
      <w:r>
        <w:t xml:space="preserve">2014b. </w:t>
      </w:r>
      <w:r>
        <w:rPr>
          <w:i/>
        </w:rPr>
        <w:t xml:space="preserve">Evaluation of the Bowel Screening Pilot – </w:t>
      </w:r>
      <w:r w:rsidRPr="00B36412">
        <w:rPr>
          <w:i/>
        </w:rPr>
        <w:t>2013 Follow-up Provider Survey Findings</w:t>
      </w:r>
      <w:r>
        <w:t>.</w:t>
      </w:r>
      <w:proofErr w:type="gramEnd"/>
      <w:r>
        <w:t xml:space="preserve"> </w:t>
      </w:r>
      <w:proofErr w:type="gramStart"/>
      <w:r>
        <w:rPr>
          <w:rFonts w:cs="Arial"/>
        </w:rPr>
        <w:t>Prepared for the Ministry of Health.</w:t>
      </w:r>
      <w:proofErr w:type="gramEnd"/>
      <w:r>
        <w:rPr>
          <w:rFonts w:cs="Arial"/>
        </w:rPr>
        <w:t xml:space="preserve"> Wellington, New Zealand: Litmus Limited.</w:t>
      </w:r>
    </w:p>
    <w:p w:rsidR="007D3D26" w:rsidRDefault="007D3D26" w:rsidP="007D3D26">
      <w:pPr>
        <w:ind w:left="425"/>
        <w:rPr>
          <w:rFonts w:cs="Arial"/>
        </w:rPr>
      </w:pPr>
      <w:r>
        <w:t xml:space="preserve">Litmus Limited. </w:t>
      </w:r>
      <w:proofErr w:type="gramStart"/>
      <w:r>
        <w:t xml:space="preserve">2014c. </w:t>
      </w:r>
      <w:r>
        <w:rPr>
          <w:i/>
        </w:rPr>
        <w:t xml:space="preserve">Evaluation of the Bowel Screening Pilot – </w:t>
      </w:r>
      <w:r w:rsidRPr="00B36412">
        <w:rPr>
          <w:i/>
        </w:rPr>
        <w:t>Role of General Practice</w:t>
      </w:r>
      <w:r w:rsidRPr="00A071B0">
        <w:rPr>
          <w:i/>
        </w:rPr>
        <w:t>.</w:t>
      </w:r>
      <w:proofErr w:type="gramEnd"/>
      <w:r w:rsidRPr="00A071B0">
        <w:t xml:space="preserve"> </w:t>
      </w:r>
      <w:proofErr w:type="gramStart"/>
      <w:r w:rsidRPr="00631DE6">
        <w:rPr>
          <w:rFonts w:cs="Arial"/>
        </w:rPr>
        <w:t xml:space="preserve">Prepared </w:t>
      </w:r>
      <w:r>
        <w:rPr>
          <w:rFonts w:cs="Arial"/>
        </w:rPr>
        <w:t>for the Ministry of Health.</w:t>
      </w:r>
      <w:proofErr w:type="gramEnd"/>
      <w:r>
        <w:rPr>
          <w:rFonts w:cs="Arial"/>
        </w:rPr>
        <w:t xml:space="preserve"> Wellington, New Zealand: Litmus Limited.</w:t>
      </w:r>
    </w:p>
    <w:p w:rsidR="00B868B3" w:rsidRDefault="00B868B3" w:rsidP="00B868B3">
      <w:pPr>
        <w:ind w:left="425"/>
      </w:pPr>
      <w:proofErr w:type="gramStart"/>
      <w:r w:rsidRPr="00B05C8D">
        <w:t>Ministry of</w:t>
      </w:r>
      <w:r>
        <w:t xml:space="preserve"> Health.</w:t>
      </w:r>
      <w:proofErr w:type="gramEnd"/>
      <w:r>
        <w:t xml:space="preserve"> 2004. </w:t>
      </w:r>
      <w:r w:rsidRPr="00B36412">
        <w:rPr>
          <w:i/>
        </w:rPr>
        <w:t>Surveillance and Management of Groups at Increased Risk of Colorectal Cancer.</w:t>
      </w:r>
      <w:r>
        <w:t xml:space="preserve"> Wellington, New Zealand: Ministry of Health.</w:t>
      </w:r>
    </w:p>
    <w:p w:rsidR="00122976" w:rsidRDefault="00122976" w:rsidP="00122976">
      <w:pPr>
        <w:ind w:left="425" w:right="-282"/>
        <w:rPr>
          <w:rFonts w:cs="Arial"/>
        </w:rPr>
      </w:pPr>
      <w:r>
        <w:rPr>
          <w:rFonts w:cs="Arial"/>
        </w:rPr>
        <w:t xml:space="preserve">Major D, Bryant H, </w:t>
      </w:r>
      <w:proofErr w:type="gramStart"/>
      <w:r>
        <w:rPr>
          <w:rFonts w:cs="Arial"/>
        </w:rPr>
        <w:t>Delaney</w:t>
      </w:r>
      <w:proofErr w:type="gramEnd"/>
      <w:r>
        <w:rPr>
          <w:rFonts w:cs="Arial"/>
        </w:rPr>
        <w:t xml:space="preserve"> M. 2013.Colorectal cancer screening in Canada: results from the first round of screening for five provincial programs. </w:t>
      </w:r>
      <w:r w:rsidRPr="00ED7A2D">
        <w:rPr>
          <w:rFonts w:cs="Arial"/>
          <w:i/>
        </w:rPr>
        <w:t>Current Oncology</w:t>
      </w:r>
      <w:r>
        <w:rPr>
          <w:rFonts w:cs="Arial"/>
        </w:rPr>
        <w:t xml:space="preserve"> 20:252-7.</w:t>
      </w:r>
    </w:p>
    <w:p w:rsidR="00D53C8B" w:rsidRPr="00D53C8B" w:rsidRDefault="00D53C8B" w:rsidP="00D53C8B">
      <w:pPr>
        <w:ind w:left="425" w:right="-282"/>
        <w:rPr>
          <w:rFonts w:cs="Arial"/>
        </w:rPr>
      </w:pPr>
      <w:proofErr w:type="gramStart"/>
      <w:r w:rsidRPr="00D53C8B">
        <w:rPr>
          <w:rFonts w:cs="Arial"/>
        </w:rPr>
        <w:t>Ministry of Health.</w:t>
      </w:r>
      <w:proofErr w:type="gramEnd"/>
      <w:r w:rsidRPr="00D53C8B">
        <w:rPr>
          <w:rFonts w:cs="Arial"/>
        </w:rPr>
        <w:t xml:space="preserve"> 2002a. </w:t>
      </w:r>
      <w:r w:rsidRPr="00D53C8B">
        <w:rPr>
          <w:rFonts w:cs="Arial"/>
          <w:i/>
        </w:rPr>
        <w:t>Cancer in New Zealand: trends and projections</w:t>
      </w:r>
      <w:r w:rsidRPr="00D53C8B">
        <w:rPr>
          <w:rFonts w:cs="Arial"/>
        </w:rPr>
        <w:t>. Wellington: Ministry of Health.</w:t>
      </w:r>
    </w:p>
    <w:p w:rsidR="00D97373" w:rsidRPr="00D53C8B" w:rsidRDefault="00D97373" w:rsidP="00D97373">
      <w:pPr>
        <w:ind w:left="425" w:right="-282"/>
        <w:rPr>
          <w:i/>
        </w:rPr>
      </w:pPr>
      <w:proofErr w:type="gramStart"/>
      <w:r w:rsidRPr="00D53C8B">
        <w:t>Ministry of Health</w:t>
      </w:r>
      <w:r w:rsidR="00A071B0" w:rsidRPr="00D53C8B">
        <w:t>.</w:t>
      </w:r>
      <w:proofErr w:type="gramEnd"/>
      <w:r w:rsidRPr="00D53C8B">
        <w:t xml:space="preserve"> 2010</w:t>
      </w:r>
      <w:r w:rsidRPr="00D53C8B">
        <w:rPr>
          <w:i/>
        </w:rPr>
        <w:t xml:space="preserve">. Bowel Cancer Programme: Literature Review: What interventions will optimise participation of Māori and Pacific peoples to, and through, the bowel cancer screening pathway? </w:t>
      </w:r>
      <w:r w:rsidRPr="00D53C8B">
        <w:t>Wellington</w:t>
      </w:r>
      <w:r w:rsidR="00A071B0" w:rsidRPr="00D53C8B">
        <w:t>, New Zealand: Ministry of Health</w:t>
      </w:r>
      <w:r w:rsidRPr="00D53C8B">
        <w:t>.</w:t>
      </w:r>
    </w:p>
    <w:p w:rsidR="00D53C8B" w:rsidRPr="00D53C8B" w:rsidRDefault="00D53C8B" w:rsidP="00D53C8B">
      <w:pPr>
        <w:ind w:left="425" w:right="-282"/>
        <w:rPr>
          <w:rFonts w:cs="Arial"/>
        </w:rPr>
      </w:pPr>
      <w:proofErr w:type="gramStart"/>
      <w:r w:rsidRPr="00D53C8B">
        <w:rPr>
          <w:rFonts w:cs="Arial"/>
        </w:rPr>
        <w:t>Ministry of Health.</w:t>
      </w:r>
      <w:proofErr w:type="gramEnd"/>
      <w:r w:rsidRPr="00D53C8B">
        <w:rPr>
          <w:rFonts w:cs="Arial"/>
        </w:rPr>
        <w:t xml:space="preserve"> 2010a. </w:t>
      </w:r>
      <w:r w:rsidRPr="00D53C8B">
        <w:rPr>
          <w:rFonts w:cs="Arial"/>
          <w:i/>
        </w:rPr>
        <w:t>Cancer Projections: Incidence 2004–08 to 2014–18</w:t>
      </w:r>
      <w:r w:rsidRPr="00D53C8B">
        <w:rPr>
          <w:rFonts w:cs="Arial"/>
        </w:rPr>
        <w:t>. Wellington: Ministry of Health.</w:t>
      </w:r>
    </w:p>
    <w:p w:rsidR="00AB2998" w:rsidRPr="00B05C8D" w:rsidRDefault="00AB2998" w:rsidP="00AB2998">
      <w:pPr>
        <w:ind w:left="425"/>
      </w:pPr>
      <w:proofErr w:type="gramStart"/>
      <w:r>
        <w:t>Ministry of Health.</w:t>
      </w:r>
      <w:proofErr w:type="gramEnd"/>
      <w:r>
        <w:t xml:space="preserve"> 2011</w:t>
      </w:r>
      <w:r>
        <w:rPr>
          <w:i/>
        </w:rPr>
        <w:t xml:space="preserve">. Policy and Operational Procedures for the Bowel Screening Pilot [BPOP].  Final Version 1.0 (dated 1 November 2011). </w:t>
      </w:r>
      <w:r w:rsidRPr="00B05C8D">
        <w:t>Wellington</w:t>
      </w:r>
      <w:r w:rsidR="00A071B0">
        <w:t>, New Zealand: Ministry of Health</w:t>
      </w:r>
      <w:r>
        <w:t>.</w:t>
      </w:r>
    </w:p>
    <w:p w:rsidR="00AB2998" w:rsidRDefault="00AB2998" w:rsidP="00AB2998">
      <w:pPr>
        <w:ind w:left="425"/>
      </w:pPr>
      <w:proofErr w:type="gramStart"/>
      <w:r>
        <w:t>Ministry of Health.</w:t>
      </w:r>
      <w:proofErr w:type="gramEnd"/>
      <w:r>
        <w:t xml:space="preserve"> 2011a</w:t>
      </w:r>
      <w:r>
        <w:rPr>
          <w:i/>
        </w:rPr>
        <w:t xml:space="preserve">. </w:t>
      </w:r>
      <w:r w:rsidRPr="00233464">
        <w:rPr>
          <w:rFonts w:cs="Arial"/>
          <w:i/>
        </w:rPr>
        <w:t>Bowel Screening Pilot</w:t>
      </w:r>
      <w:r>
        <w:rPr>
          <w:rFonts w:cs="Arial"/>
          <w:i/>
        </w:rPr>
        <w:t>: Immunochemical Faecal Occult Blood Test (iFOBT): Draft Performance Quality Standards</w:t>
      </w:r>
      <w:r>
        <w:rPr>
          <w:i/>
        </w:rPr>
        <w:t xml:space="preserve">. Final Version 1.1 (dated December 2011). </w:t>
      </w:r>
      <w:r w:rsidRPr="006D5F26">
        <w:t>Wellington</w:t>
      </w:r>
      <w:r w:rsidR="00A02973">
        <w:t>, New Zealand: Ministry of Health</w:t>
      </w:r>
      <w:r w:rsidRPr="00BA1E75">
        <w:t>.</w:t>
      </w:r>
    </w:p>
    <w:p w:rsidR="00AB2998" w:rsidRPr="00874489" w:rsidRDefault="00AB2998" w:rsidP="00AB2998">
      <w:pPr>
        <w:ind w:left="425"/>
      </w:pPr>
      <w:proofErr w:type="gramStart"/>
      <w:r>
        <w:t>Ministry of Health.</w:t>
      </w:r>
      <w:proofErr w:type="gramEnd"/>
      <w:r>
        <w:t xml:space="preserve"> </w:t>
      </w:r>
      <w:proofErr w:type="gramStart"/>
      <w:r>
        <w:t>2011b</w:t>
      </w:r>
      <w:r>
        <w:rPr>
          <w:i/>
        </w:rPr>
        <w:t xml:space="preserve">. </w:t>
      </w:r>
      <w:r>
        <w:rPr>
          <w:rFonts w:cs="Arial"/>
          <w:i/>
        </w:rPr>
        <w:t xml:space="preserve">Standards for Endoscopy (Colonoscopy) Facilities Bowel Screening </w:t>
      </w:r>
      <w:r w:rsidRPr="00874489">
        <w:rPr>
          <w:rFonts w:cs="Arial"/>
          <w:i/>
        </w:rPr>
        <w:t>Pilot.</w:t>
      </w:r>
      <w:proofErr w:type="gramEnd"/>
      <w:r w:rsidRPr="00874489">
        <w:rPr>
          <w:rFonts w:cs="Arial"/>
          <w:i/>
        </w:rPr>
        <w:t xml:space="preserve"> </w:t>
      </w:r>
      <w:r w:rsidRPr="00874489">
        <w:rPr>
          <w:i/>
        </w:rPr>
        <w:t xml:space="preserve">Version 2 (dated August 2011). </w:t>
      </w:r>
      <w:r w:rsidRPr="00874489">
        <w:t>Wellington</w:t>
      </w:r>
      <w:r w:rsidR="00A02973">
        <w:t>, New Zealand: Ministry of Health</w:t>
      </w:r>
      <w:r w:rsidRPr="00874489">
        <w:t>.</w:t>
      </w:r>
    </w:p>
    <w:p w:rsidR="00DF77B0" w:rsidRDefault="00760B85" w:rsidP="00DF77B0">
      <w:pPr>
        <w:ind w:left="425"/>
      </w:pPr>
      <w:proofErr w:type="gramStart"/>
      <w:r>
        <w:t>Ministry of Health.</w:t>
      </w:r>
      <w:proofErr w:type="gramEnd"/>
      <w:r>
        <w:t xml:space="preserve"> </w:t>
      </w:r>
      <w:r w:rsidR="00DF77B0">
        <w:t xml:space="preserve">2012. </w:t>
      </w:r>
      <w:r w:rsidR="00DF77B0" w:rsidRPr="00B36412">
        <w:rPr>
          <w:i/>
        </w:rPr>
        <w:t>Bowel Screening Pilot Interim Quality Standards version 2.0.</w:t>
      </w:r>
      <w:r w:rsidR="00DF77B0" w:rsidRPr="00DF77B0">
        <w:t xml:space="preserve"> </w:t>
      </w:r>
      <w:r w:rsidR="00A02973">
        <w:t>Wellington, New Zealand: Ministry of Health</w:t>
      </w:r>
    </w:p>
    <w:p w:rsidR="00AB2998" w:rsidRPr="00233464" w:rsidRDefault="00AB2998" w:rsidP="00AB2998">
      <w:pPr>
        <w:ind w:left="425"/>
      </w:pPr>
      <w:proofErr w:type="gramStart"/>
      <w:r>
        <w:t>Ministry of Health.</w:t>
      </w:r>
      <w:proofErr w:type="gramEnd"/>
      <w:r>
        <w:t xml:space="preserve"> 2012a</w:t>
      </w:r>
      <w:r w:rsidRPr="00233464">
        <w:rPr>
          <w:i/>
        </w:rPr>
        <w:t xml:space="preserve">. </w:t>
      </w:r>
      <w:r w:rsidRPr="00233464">
        <w:rPr>
          <w:rFonts w:cs="Arial"/>
          <w:i/>
        </w:rPr>
        <w:t>Bowel Screening Pilot</w:t>
      </w:r>
      <w:r w:rsidRPr="00233464">
        <w:rPr>
          <w:i/>
          <w:lang w:val="en-US"/>
        </w:rPr>
        <w:t xml:space="preserve"> Interim Quality Standards</w:t>
      </w:r>
      <w:r>
        <w:rPr>
          <w:i/>
          <w:lang w:val="en-US"/>
        </w:rPr>
        <w:t>:</w:t>
      </w:r>
      <w:r w:rsidRPr="00233464">
        <w:rPr>
          <w:i/>
          <w:lang w:val="en-US"/>
        </w:rPr>
        <w:t xml:space="preserve"> Version</w:t>
      </w:r>
      <w:r w:rsidRPr="00233464">
        <w:rPr>
          <w:i/>
        </w:rPr>
        <w:t xml:space="preserve"> </w:t>
      </w:r>
      <w:r>
        <w:rPr>
          <w:i/>
        </w:rPr>
        <w:t>1.2 (dated 14 May 2012</w:t>
      </w:r>
      <w:r w:rsidRPr="00512923">
        <w:rPr>
          <w:i/>
        </w:rPr>
        <w:t xml:space="preserve">). </w:t>
      </w:r>
      <w:r w:rsidRPr="00512923">
        <w:t>Wellington</w:t>
      </w:r>
      <w:r w:rsidR="002760EE">
        <w:t>, New Zealand: Ministry of Health</w:t>
      </w:r>
      <w:r w:rsidRPr="00512923">
        <w:t>.</w:t>
      </w:r>
    </w:p>
    <w:p w:rsidR="00122976" w:rsidRPr="00744428" w:rsidRDefault="00122976" w:rsidP="00122976">
      <w:pPr>
        <w:ind w:left="425"/>
        <w:rPr>
          <w:rFonts w:cs="Arial"/>
          <w:lang w:eastAsia="en-NZ"/>
        </w:rPr>
      </w:pPr>
      <w:proofErr w:type="gramStart"/>
      <w:r w:rsidRPr="00122976">
        <w:t>Ministry</w:t>
      </w:r>
      <w:r w:rsidRPr="00744428">
        <w:rPr>
          <w:rFonts w:cs="Arial"/>
        </w:rPr>
        <w:t xml:space="preserve"> of Health.</w:t>
      </w:r>
      <w:proofErr w:type="gramEnd"/>
      <w:r w:rsidRPr="00744428">
        <w:rPr>
          <w:rFonts w:cs="Arial"/>
        </w:rPr>
        <w:t xml:space="preserve"> 2013. </w:t>
      </w:r>
      <w:r w:rsidRPr="00744428">
        <w:rPr>
          <w:rFonts w:cs="Arial"/>
          <w:i/>
        </w:rPr>
        <w:t>Cancer: New registrations and deaths 2010</w:t>
      </w:r>
      <w:r w:rsidRPr="00744428">
        <w:rPr>
          <w:rFonts w:cs="Arial"/>
        </w:rPr>
        <w:t xml:space="preserve">. </w:t>
      </w:r>
      <w:r>
        <w:rPr>
          <w:rFonts w:cs="Arial"/>
        </w:rPr>
        <w:t>URL</w:t>
      </w:r>
      <w:r w:rsidRPr="00744428">
        <w:rPr>
          <w:rFonts w:cs="Arial"/>
        </w:rPr>
        <w:t xml:space="preserve">: </w:t>
      </w:r>
      <w:hyperlink r:id="rId43" w:history="1">
        <w:r w:rsidRPr="00744428">
          <w:rPr>
            <w:rStyle w:val="Hyperlink"/>
            <w:rFonts w:cs="Arial"/>
          </w:rPr>
          <w:t>www.health.govt.nz/publication/cancer-new-registrations-and-deaths-2010</w:t>
        </w:r>
      </w:hyperlink>
      <w:r w:rsidRPr="00744428">
        <w:rPr>
          <w:rFonts w:cs="Arial"/>
        </w:rPr>
        <w:t xml:space="preserve"> (Accessed 5 May 2014).</w:t>
      </w:r>
    </w:p>
    <w:p w:rsidR="00AB2998" w:rsidRDefault="00AB2998" w:rsidP="002E41E5">
      <w:pPr>
        <w:keepNext/>
        <w:keepLines/>
        <w:ind w:left="425"/>
      </w:pPr>
      <w:proofErr w:type="gramStart"/>
      <w:r>
        <w:t>Ministry of Health.</w:t>
      </w:r>
      <w:proofErr w:type="gramEnd"/>
      <w:r>
        <w:t xml:space="preserve"> 2013a. </w:t>
      </w:r>
      <w:r w:rsidRPr="00117293">
        <w:rPr>
          <w:i/>
        </w:rPr>
        <w:t>Bowel Screening Pilot January 2012 to June 2013 results</w:t>
      </w:r>
      <w:r>
        <w:rPr>
          <w:i/>
        </w:rPr>
        <w:t xml:space="preserve">.  </w:t>
      </w:r>
      <w:proofErr w:type="gramStart"/>
      <w:r>
        <w:t>Accessed online.</w:t>
      </w:r>
      <w:proofErr w:type="gramEnd"/>
      <w:r>
        <w:t xml:space="preserve"> </w:t>
      </w:r>
      <w:hyperlink r:id="rId44" w:history="1">
        <w:r w:rsidRPr="00A46BD4">
          <w:rPr>
            <w:rStyle w:val="Hyperlink"/>
          </w:rPr>
          <w:t>http://www.health.govt.nz/our-work/diseases-and-conditions/cancer-programme/bowel-cancer-programme/bowel-screening-pilot/bowel-screening-pilot-results/bowel-screening-pilot-january-2012-june-2013-results</w:t>
        </w:r>
      </w:hyperlink>
      <w:r>
        <w:t xml:space="preserve"> </w:t>
      </w:r>
    </w:p>
    <w:p w:rsidR="00AB2998" w:rsidRPr="00233464" w:rsidRDefault="00AB2998" w:rsidP="00AB2998">
      <w:pPr>
        <w:ind w:left="425"/>
      </w:pPr>
      <w:proofErr w:type="gramStart"/>
      <w:r>
        <w:t>Ministry of Health.</w:t>
      </w:r>
      <w:proofErr w:type="gramEnd"/>
      <w:r>
        <w:t xml:space="preserve"> 2013c</w:t>
      </w:r>
      <w:r w:rsidRPr="00233464">
        <w:rPr>
          <w:i/>
        </w:rPr>
        <w:t xml:space="preserve">. </w:t>
      </w:r>
      <w:r w:rsidRPr="00233464">
        <w:rPr>
          <w:rFonts w:cs="Arial"/>
          <w:i/>
        </w:rPr>
        <w:t>Bowel Screening Pilot</w:t>
      </w:r>
      <w:r w:rsidRPr="00233464">
        <w:rPr>
          <w:i/>
          <w:lang w:val="en-US"/>
        </w:rPr>
        <w:t xml:space="preserve"> Interim Quality Standards</w:t>
      </w:r>
      <w:r>
        <w:rPr>
          <w:i/>
          <w:lang w:val="en-US"/>
        </w:rPr>
        <w:t>:</w:t>
      </w:r>
      <w:r w:rsidRPr="00233464">
        <w:rPr>
          <w:i/>
          <w:lang w:val="en-US"/>
        </w:rPr>
        <w:t xml:space="preserve"> Version</w:t>
      </w:r>
      <w:r w:rsidRPr="00233464">
        <w:rPr>
          <w:i/>
        </w:rPr>
        <w:t xml:space="preserve"> </w:t>
      </w:r>
      <w:r>
        <w:rPr>
          <w:i/>
        </w:rPr>
        <w:t>2.0 (dated 30 March 2013</w:t>
      </w:r>
      <w:r w:rsidRPr="00512923">
        <w:rPr>
          <w:i/>
        </w:rPr>
        <w:t xml:space="preserve">). </w:t>
      </w:r>
      <w:r w:rsidRPr="00512923">
        <w:t>Wellington</w:t>
      </w:r>
      <w:r w:rsidR="002760EE">
        <w:t>, New Zealand: Ministry of Health</w:t>
      </w:r>
      <w:r w:rsidRPr="00512923">
        <w:t>.</w:t>
      </w:r>
    </w:p>
    <w:p w:rsidR="00AB2998" w:rsidRPr="00233464" w:rsidRDefault="00AB2998" w:rsidP="00AB2998">
      <w:pPr>
        <w:ind w:left="425"/>
      </w:pPr>
      <w:proofErr w:type="gramStart"/>
      <w:r w:rsidRPr="00874489">
        <w:lastRenderedPageBreak/>
        <w:t>Ministry of Health.</w:t>
      </w:r>
      <w:proofErr w:type="gramEnd"/>
      <w:r w:rsidRPr="00874489">
        <w:t xml:space="preserve"> </w:t>
      </w:r>
      <w:proofErr w:type="gramStart"/>
      <w:r w:rsidRPr="00874489">
        <w:t>201</w:t>
      </w:r>
      <w:r>
        <w:t>3d</w:t>
      </w:r>
      <w:r w:rsidRPr="00874489">
        <w:rPr>
          <w:i/>
        </w:rPr>
        <w:t xml:space="preserve">. </w:t>
      </w:r>
      <w:r w:rsidRPr="00874489">
        <w:rPr>
          <w:rFonts w:cs="Arial"/>
          <w:i/>
        </w:rPr>
        <w:t xml:space="preserve">Final Service Delivery Model for the Bowel Screening Pilot </w:t>
      </w:r>
      <w:r w:rsidRPr="00874489">
        <w:rPr>
          <w:i/>
        </w:rPr>
        <w:t>Version 4.</w:t>
      </w:r>
      <w:proofErr w:type="gramEnd"/>
      <w:r w:rsidRPr="00874489">
        <w:rPr>
          <w:i/>
        </w:rPr>
        <w:t xml:space="preserve"> </w:t>
      </w:r>
      <w:r w:rsidRPr="00874489">
        <w:t>Wellington</w:t>
      </w:r>
      <w:r w:rsidR="002760EE">
        <w:t>, New Zealand: Ministry of Health</w:t>
      </w:r>
      <w:r w:rsidRPr="00874489">
        <w:t>.</w:t>
      </w:r>
    </w:p>
    <w:p w:rsidR="00122976" w:rsidRDefault="00122976" w:rsidP="00122976">
      <w:pPr>
        <w:ind w:left="425" w:right="-282"/>
        <w:rPr>
          <w:rFonts w:cs="Arial"/>
          <w:lang w:eastAsia="en-NZ"/>
        </w:rPr>
      </w:pPr>
      <w:proofErr w:type="gramStart"/>
      <w:r>
        <w:rPr>
          <w:rFonts w:cs="Arial"/>
        </w:rPr>
        <w:t>Moss S, Ancelle-Park R, Brenner H. Chapter 3 Evaluation and interpretation of screening outcomes.</w:t>
      </w:r>
      <w:proofErr w:type="gramEnd"/>
      <w:r>
        <w:rPr>
          <w:rFonts w:cs="Arial"/>
        </w:rPr>
        <w:t xml:space="preserve"> In: Segnan N, Patnick J, von Karsa L (</w:t>
      </w:r>
      <w:proofErr w:type="gramStart"/>
      <w:r>
        <w:rPr>
          <w:rFonts w:cs="Arial"/>
        </w:rPr>
        <w:t>eds</w:t>
      </w:r>
      <w:proofErr w:type="gramEnd"/>
      <w:r>
        <w:rPr>
          <w:rFonts w:cs="Arial"/>
        </w:rPr>
        <w:t xml:space="preserve">). 2010. </w:t>
      </w:r>
      <w:r>
        <w:rPr>
          <w:rFonts w:cs="Arial"/>
          <w:i/>
        </w:rPr>
        <w:t>European guidelines for quality assurance in colorectal cancer screening and diagnosis.</w:t>
      </w:r>
      <w:r>
        <w:rPr>
          <w:rFonts w:cs="Arial"/>
        </w:rPr>
        <w:t xml:space="preserve"> </w:t>
      </w:r>
      <w:proofErr w:type="gramStart"/>
      <w:r>
        <w:rPr>
          <w:rFonts w:cs="Arial"/>
        </w:rPr>
        <w:t>European Commission.</w:t>
      </w:r>
      <w:proofErr w:type="gramEnd"/>
    </w:p>
    <w:p w:rsidR="00920AF6" w:rsidRDefault="00920AF6" w:rsidP="00920AF6">
      <w:pPr>
        <w:spacing w:after="120"/>
        <w:ind w:left="425"/>
      </w:pPr>
      <w:r>
        <w:t xml:space="preserve">National Bowel Cancer Tumour Standards Working Group. 2013. </w:t>
      </w:r>
      <w:r>
        <w:rPr>
          <w:i/>
        </w:rPr>
        <w:t>Standards of Service Provision for Bowel Cancer Patients in New Zealand – Provisional</w:t>
      </w:r>
      <w:r>
        <w:t xml:space="preserve">. Wellington: Ministry of Health. </w:t>
      </w:r>
    </w:p>
    <w:p w:rsidR="00122976" w:rsidRDefault="00122976" w:rsidP="00122976">
      <w:pPr>
        <w:ind w:left="425" w:right="-282"/>
        <w:rPr>
          <w:rFonts w:cs="Arial"/>
          <w:lang w:eastAsia="en-NZ"/>
        </w:rPr>
      </w:pPr>
      <w:r>
        <w:rPr>
          <w:rFonts w:cs="Arial"/>
          <w:lang w:eastAsia="en-NZ"/>
        </w:rPr>
        <w:t xml:space="preserve">National </w:t>
      </w:r>
      <w:r>
        <w:rPr>
          <w:rFonts w:cs="Arial"/>
        </w:rPr>
        <w:t>Cancer</w:t>
      </w:r>
      <w:r>
        <w:rPr>
          <w:rFonts w:cs="Arial"/>
          <w:lang w:eastAsia="en-NZ"/>
        </w:rPr>
        <w:t xml:space="preserve"> Institute. 2013. International cancer screening network. </w:t>
      </w:r>
      <w:proofErr w:type="gramStart"/>
      <w:r>
        <w:rPr>
          <w:rFonts w:cs="Arial"/>
          <w:lang w:eastAsia="en-NZ"/>
        </w:rPr>
        <w:t>Age-adjusted colorectal cancer incidence and mortality rates for 2008 for 32 countries, organized by region of the world, participating in the ICSN.</w:t>
      </w:r>
      <w:proofErr w:type="gramEnd"/>
      <w:r>
        <w:rPr>
          <w:rFonts w:cs="Arial"/>
          <w:lang w:eastAsia="en-NZ"/>
        </w:rPr>
        <w:t xml:space="preserve"> URL: </w:t>
      </w:r>
      <w:hyperlink r:id="rId45" w:history="1">
        <w:r>
          <w:rPr>
            <w:rStyle w:val="Hyperlink"/>
            <w:rFonts w:cs="Arial"/>
            <w:lang w:eastAsia="en-NZ"/>
          </w:rPr>
          <w:t>www.appliedresearch.cancer.gov/icsn/colorectal/mortality.html</w:t>
        </w:r>
      </w:hyperlink>
      <w:r>
        <w:rPr>
          <w:rFonts w:cs="Arial"/>
          <w:lang w:eastAsia="en-NZ"/>
        </w:rPr>
        <w:t xml:space="preserve"> (Accessed 5 May 2014).</w:t>
      </w:r>
    </w:p>
    <w:p w:rsidR="00DF77B0" w:rsidRDefault="00DF77B0" w:rsidP="00DF77B0">
      <w:pPr>
        <w:ind w:left="425"/>
      </w:pPr>
      <w:proofErr w:type="gramStart"/>
      <w:r>
        <w:t>National Health Service Bowel Cancer Screening Programme.</w:t>
      </w:r>
      <w:proofErr w:type="gramEnd"/>
      <w:r>
        <w:t xml:space="preserve"> 2011. </w:t>
      </w:r>
      <w:r w:rsidRPr="00B36412">
        <w:rPr>
          <w:i/>
        </w:rPr>
        <w:t xml:space="preserve">Quality </w:t>
      </w:r>
      <w:r w:rsidR="00195FBC">
        <w:rPr>
          <w:i/>
        </w:rPr>
        <w:t>A</w:t>
      </w:r>
      <w:r w:rsidRPr="00B36412">
        <w:rPr>
          <w:i/>
        </w:rPr>
        <w:t xml:space="preserve">ssurance </w:t>
      </w:r>
      <w:r w:rsidR="00195FBC">
        <w:rPr>
          <w:i/>
        </w:rPr>
        <w:t>G</w:t>
      </w:r>
      <w:r w:rsidRPr="00B36412">
        <w:rPr>
          <w:i/>
        </w:rPr>
        <w:t xml:space="preserve">uidelines for </w:t>
      </w:r>
      <w:r w:rsidR="00195FBC">
        <w:rPr>
          <w:i/>
        </w:rPr>
        <w:t>C</w:t>
      </w:r>
      <w:r w:rsidRPr="00B36412">
        <w:rPr>
          <w:i/>
        </w:rPr>
        <w:t xml:space="preserve">olonoscopy. </w:t>
      </w:r>
      <w:proofErr w:type="gramStart"/>
      <w:r w:rsidRPr="00B36412">
        <w:rPr>
          <w:i/>
        </w:rPr>
        <w:t>Publication No 6</w:t>
      </w:r>
      <w:r w:rsidR="009433F2">
        <w:rPr>
          <w:i/>
        </w:rPr>
        <w:t>.</w:t>
      </w:r>
      <w:proofErr w:type="gramEnd"/>
      <w:r>
        <w:t xml:space="preserve"> </w:t>
      </w:r>
    </w:p>
    <w:p w:rsidR="000A4284" w:rsidRDefault="000A4284" w:rsidP="000A4284">
      <w:pPr>
        <w:ind w:left="425"/>
        <w:rPr>
          <w:lang w:val="mi-NZ"/>
        </w:rPr>
      </w:pPr>
      <w:r>
        <w:t xml:space="preserve">New Zealand Guidelines Group. 2004. </w:t>
      </w:r>
      <w:r>
        <w:rPr>
          <w:i/>
        </w:rPr>
        <w:t xml:space="preserve">Guidance on Surveillance for People at Increased Risk of Colorectal Cancer. </w:t>
      </w:r>
      <w:r>
        <w:rPr>
          <w:lang w:val="mi-NZ"/>
        </w:rPr>
        <w:t xml:space="preserve">Wellington: </w:t>
      </w:r>
      <w:r>
        <w:t>New Zealand Guidelines Group</w:t>
      </w:r>
    </w:p>
    <w:p w:rsidR="000A4284" w:rsidRDefault="000A4284" w:rsidP="000A4284">
      <w:pPr>
        <w:ind w:left="425"/>
      </w:pPr>
      <w:r>
        <w:t xml:space="preserve">New Zealand Guidelines Group. 2009. </w:t>
      </w:r>
      <w:r>
        <w:rPr>
          <w:i/>
        </w:rPr>
        <w:t xml:space="preserve">Suspected </w:t>
      </w:r>
      <w:r w:rsidR="00195FBC">
        <w:rPr>
          <w:i/>
        </w:rPr>
        <w:t>C</w:t>
      </w:r>
      <w:r>
        <w:rPr>
          <w:i/>
        </w:rPr>
        <w:t xml:space="preserve">ancer in </w:t>
      </w:r>
      <w:r w:rsidR="00195FBC">
        <w:rPr>
          <w:i/>
        </w:rPr>
        <w:t>P</w:t>
      </w:r>
      <w:r>
        <w:rPr>
          <w:i/>
        </w:rPr>
        <w:t xml:space="preserve">rimary </w:t>
      </w:r>
      <w:r w:rsidR="00195FBC">
        <w:rPr>
          <w:i/>
        </w:rPr>
        <w:t>C</w:t>
      </w:r>
      <w:r>
        <w:rPr>
          <w:i/>
        </w:rPr>
        <w:t xml:space="preserve">are: </w:t>
      </w:r>
      <w:r w:rsidR="00195FBC">
        <w:rPr>
          <w:i/>
        </w:rPr>
        <w:t>G</w:t>
      </w:r>
      <w:r>
        <w:rPr>
          <w:i/>
        </w:rPr>
        <w:t>uidelines for investigation, referral and reducing ethnic disparities.</w:t>
      </w:r>
      <w:r>
        <w:t xml:space="preserve"> Wellington: New Zealand Guidelines Group.</w:t>
      </w:r>
    </w:p>
    <w:p w:rsidR="00756A8A" w:rsidRDefault="00756A8A" w:rsidP="00756A8A">
      <w:pPr>
        <w:ind w:left="425"/>
        <w:rPr>
          <w:lang w:eastAsia="ar-SA"/>
        </w:rPr>
      </w:pPr>
      <w:r w:rsidRPr="009D55B8">
        <w:t>Phoenix</w:t>
      </w:r>
      <w:r w:rsidRPr="009D55B8">
        <w:rPr>
          <w:lang w:eastAsia="ar-SA"/>
        </w:rPr>
        <w:t xml:space="preserve">. 2013. </w:t>
      </w:r>
      <w:r w:rsidRPr="00B36412">
        <w:rPr>
          <w:i/>
          <w:lang w:eastAsia="ar-SA"/>
        </w:rPr>
        <w:t>Communication Testing Research</w:t>
      </w:r>
      <w:r w:rsidRPr="009D55B8">
        <w:rPr>
          <w:lang w:eastAsia="ar-SA"/>
        </w:rPr>
        <w:t>. Auckland: Phoenix.</w:t>
      </w:r>
    </w:p>
    <w:p w:rsidR="00D97373" w:rsidRDefault="00D97373" w:rsidP="00D97373">
      <w:pPr>
        <w:ind w:left="425"/>
        <w:rPr>
          <w:rFonts w:cs="Arial"/>
          <w:szCs w:val="24"/>
          <w:lang w:val="en-GB"/>
        </w:rPr>
      </w:pPr>
      <w:r>
        <w:rPr>
          <w:rFonts w:cs="Arial"/>
          <w:szCs w:val="24"/>
          <w:lang w:val="en-GB"/>
        </w:rPr>
        <w:t xml:space="preserve">Power E, Miles A, von Wagner C </w:t>
      </w:r>
      <w:r w:rsidR="00195FBC">
        <w:rPr>
          <w:rFonts w:cs="Arial"/>
          <w:szCs w:val="24"/>
          <w:lang w:val="en-GB"/>
        </w:rPr>
        <w:t>et al.</w:t>
      </w:r>
      <w:r>
        <w:rPr>
          <w:rFonts w:cs="Arial"/>
          <w:szCs w:val="24"/>
          <w:lang w:val="en-GB"/>
        </w:rPr>
        <w:t xml:space="preserve"> 2009. Uptake of colorectal cancer screening: system, provider and individual factors and strategies to improve participation. </w:t>
      </w:r>
      <w:r>
        <w:rPr>
          <w:rFonts w:cs="Arial"/>
          <w:i/>
          <w:szCs w:val="24"/>
          <w:lang w:val="en-GB"/>
        </w:rPr>
        <w:t>Future Oncology</w:t>
      </w:r>
      <w:r>
        <w:rPr>
          <w:rFonts w:cs="Arial"/>
          <w:szCs w:val="24"/>
          <w:lang w:val="en-GB"/>
        </w:rPr>
        <w:t xml:space="preserve"> 5(9)</w:t>
      </w:r>
      <w:r w:rsidR="00195FBC">
        <w:rPr>
          <w:rFonts w:cs="Arial"/>
          <w:szCs w:val="24"/>
          <w:lang w:val="en-GB"/>
        </w:rPr>
        <w:t>:</w:t>
      </w:r>
      <w:r>
        <w:rPr>
          <w:rFonts w:cs="Arial"/>
          <w:szCs w:val="24"/>
          <w:lang w:val="en-GB"/>
        </w:rPr>
        <w:t>1371-88.</w:t>
      </w:r>
    </w:p>
    <w:p w:rsidR="006F01EF" w:rsidRDefault="006F01EF" w:rsidP="006F01EF">
      <w:pPr>
        <w:ind w:left="425"/>
        <w:rPr>
          <w:rFonts w:cs="Arial"/>
        </w:rPr>
      </w:pPr>
      <w:r w:rsidRPr="0046313F">
        <w:t xml:space="preserve">Read D, Shanthakumar M, Borman B. 2014. </w:t>
      </w:r>
      <w:proofErr w:type="gramStart"/>
      <w:r w:rsidRPr="0046313F">
        <w:rPr>
          <w:i/>
        </w:rPr>
        <w:t>Results of the First Round of the Bowel Screening Pilot</w:t>
      </w:r>
      <w:r w:rsidRPr="0046313F">
        <w:t>.</w:t>
      </w:r>
      <w:proofErr w:type="gramEnd"/>
      <w:r w:rsidRPr="0046313F">
        <w:t xml:space="preserve">  </w:t>
      </w:r>
      <w:proofErr w:type="gramStart"/>
      <w:r w:rsidRPr="0046313F">
        <w:rPr>
          <w:rFonts w:cs="Arial"/>
        </w:rPr>
        <w:t>Prepared for the Ministry of Health.</w:t>
      </w:r>
      <w:proofErr w:type="gramEnd"/>
      <w:r w:rsidRPr="0046313F">
        <w:rPr>
          <w:rFonts w:cs="Arial"/>
        </w:rPr>
        <w:t xml:space="preserve"> Wellington, New Zealand: Centre for Public Health Research, Massey University.</w:t>
      </w:r>
    </w:p>
    <w:p w:rsidR="00D97373" w:rsidRDefault="00D97373" w:rsidP="00D97373">
      <w:pPr>
        <w:ind w:left="425"/>
        <w:rPr>
          <w:rFonts w:cs="Arial"/>
          <w:szCs w:val="24"/>
          <w:lang w:val="en-GB"/>
        </w:rPr>
      </w:pPr>
      <w:proofErr w:type="gramStart"/>
      <w:r>
        <w:rPr>
          <w:rFonts w:cs="Arial"/>
          <w:szCs w:val="24"/>
          <w:lang w:val="en-GB"/>
        </w:rPr>
        <w:t>Reeder A I</w:t>
      </w:r>
      <w:r w:rsidR="001453AE">
        <w:rPr>
          <w:rFonts w:cs="Arial"/>
          <w:szCs w:val="24"/>
          <w:lang w:val="en-GB"/>
        </w:rPr>
        <w:t>.</w:t>
      </w:r>
      <w:r>
        <w:rPr>
          <w:rFonts w:cs="Arial"/>
          <w:szCs w:val="24"/>
          <w:lang w:val="en-GB"/>
        </w:rPr>
        <w:t xml:space="preserve"> 2011.</w:t>
      </w:r>
      <w:proofErr w:type="gramEnd"/>
      <w:r>
        <w:rPr>
          <w:rFonts w:cs="Arial"/>
          <w:szCs w:val="24"/>
          <w:lang w:val="en-GB"/>
        </w:rPr>
        <w:t xml:space="preserve"> </w:t>
      </w:r>
      <w:r w:rsidR="00205FD6">
        <w:rPr>
          <w:rFonts w:cs="Arial"/>
          <w:szCs w:val="24"/>
          <w:lang w:val="en-GB"/>
        </w:rPr>
        <w:t>‘</w:t>
      </w:r>
      <w:r>
        <w:rPr>
          <w:rFonts w:cs="Arial"/>
          <w:szCs w:val="24"/>
          <w:lang w:val="en-GB"/>
        </w:rPr>
        <w:t>It's a small price to pay for life</w:t>
      </w:r>
      <w:r w:rsidR="00205FD6">
        <w:rPr>
          <w:rFonts w:cs="Arial"/>
          <w:szCs w:val="24"/>
          <w:lang w:val="en-GB"/>
        </w:rPr>
        <w:t>’</w:t>
      </w:r>
      <w:r>
        <w:rPr>
          <w:rFonts w:cs="Arial"/>
          <w:szCs w:val="24"/>
          <w:lang w:val="en-GB"/>
        </w:rPr>
        <w:t xml:space="preserve">: faecal occult blood test (FOBT) screening for colorectal cancer, perceived barriers and facilitators. </w:t>
      </w:r>
      <w:r>
        <w:rPr>
          <w:rFonts w:cs="Arial"/>
          <w:i/>
          <w:szCs w:val="24"/>
          <w:lang w:val="en-GB"/>
        </w:rPr>
        <w:t>The New Zealand Medical Journal</w:t>
      </w:r>
      <w:r>
        <w:rPr>
          <w:rFonts w:cs="Arial"/>
          <w:szCs w:val="24"/>
          <w:lang w:val="en-GB"/>
        </w:rPr>
        <w:t xml:space="preserve"> 124(1331)</w:t>
      </w:r>
      <w:r w:rsidR="00195FBC">
        <w:rPr>
          <w:rFonts w:cs="Arial"/>
          <w:szCs w:val="24"/>
          <w:lang w:val="en-GB"/>
        </w:rPr>
        <w:t>:</w:t>
      </w:r>
      <w:r>
        <w:rPr>
          <w:rFonts w:cs="Arial"/>
          <w:szCs w:val="24"/>
          <w:lang w:val="en-GB"/>
        </w:rPr>
        <w:t>11-7.</w:t>
      </w:r>
    </w:p>
    <w:p w:rsidR="00122976" w:rsidRPr="00744428" w:rsidRDefault="00122976" w:rsidP="00122976">
      <w:pPr>
        <w:ind w:left="425"/>
        <w:rPr>
          <w:rFonts w:cs="Arial"/>
        </w:rPr>
      </w:pPr>
      <w:r w:rsidRPr="00122976">
        <w:t>Robson</w:t>
      </w:r>
      <w:r w:rsidRPr="00744428">
        <w:rPr>
          <w:rFonts w:cs="Arial"/>
        </w:rPr>
        <w:t xml:space="preserve"> B, Cormack D, Purdie G. 2006. </w:t>
      </w:r>
      <w:r w:rsidRPr="00744428">
        <w:rPr>
          <w:rFonts w:cs="Arial"/>
          <w:i/>
        </w:rPr>
        <w:t>Unequal impact: Māori and non-Māori cancer statistics 1996-2001.</w:t>
      </w:r>
      <w:r w:rsidRPr="00744428">
        <w:rPr>
          <w:rFonts w:cs="Arial"/>
        </w:rPr>
        <w:t xml:space="preserve"> Wellington: Ministry of Health. </w:t>
      </w:r>
      <w:r>
        <w:rPr>
          <w:rFonts w:cs="Arial"/>
        </w:rPr>
        <w:t>URL</w:t>
      </w:r>
      <w:r w:rsidRPr="00744428">
        <w:rPr>
          <w:rFonts w:cs="Arial"/>
        </w:rPr>
        <w:t xml:space="preserve">: </w:t>
      </w:r>
      <w:hyperlink r:id="rId46" w:history="1">
        <w:r w:rsidRPr="00744428">
          <w:rPr>
            <w:rStyle w:val="Hyperlink"/>
            <w:rFonts w:cs="Arial"/>
          </w:rPr>
          <w:t>www.health.govt.nz/system/files/documents/publications/unequal-impact-maori-nonmaori-cancer-statistics-96-01.pdf</w:t>
        </w:r>
      </w:hyperlink>
      <w:r w:rsidRPr="00744428">
        <w:rPr>
          <w:rFonts w:cs="Arial"/>
        </w:rPr>
        <w:t xml:space="preserve"> (Accessed 8 May 2014).</w:t>
      </w:r>
    </w:p>
    <w:p w:rsidR="006F648E" w:rsidRDefault="006F648E" w:rsidP="006F648E">
      <w:pPr>
        <w:ind w:left="425"/>
        <w:rPr>
          <w:lang w:eastAsia="en-NZ"/>
        </w:rPr>
      </w:pPr>
      <w:r>
        <w:rPr>
          <w:lang w:eastAsia="en-NZ"/>
        </w:rPr>
        <w:t>Segnan N, Patnick J, v</w:t>
      </w:r>
      <w:r w:rsidRPr="001B22D6">
        <w:rPr>
          <w:lang w:eastAsia="en-NZ"/>
        </w:rPr>
        <w:t xml:space="preserve">on Karsa L. (Eds). 2010. </w:t>
      </w:r>
      <w:r w:rsidRPr="001332E0">
        <w:rPr>
          <w:i/>
          <w:lang w:eastAsia="en-NZ"/>
        </w:rPr>
        <w:t xml:space="preserve">European Guidelines for Quality Assurance in Colorectal Cancer Screening and Diagnosis. </w:t>
      </w:r>
      <w:proofErr w:type="gramStart"/>
      <w:r w:rsidRPr="00B36412">
        <w:rPr>
          <w:lang w:eastAsia="en-NZ"/>
        </w:rPr>
        <w:t>E</w:t>
      </w:r>
      <w:r w:rsidRPr="001B22D6">
        <w:rPr>
          <w:lang w:eastAsia="en-NZ"/>
        </w:rPr>
        <w:t>uropean Union</w:t>
      </w:r>
      <w:r>
        <w:rPr>
          <w:lang w:eastAsia="en-NZ"/>
        </w:rPr>
        <w:t>.</w:t>
      </w:r>
      <w:proofErr w:type="gramEnd"/>
      <w:r>
        <w:rPr>
          <w:lang w:eastAsia="en-NZ"/>
        </w:rPr>
        <w:t xml:space="preserve"> </w:t>
      </w:r>
    </w:p>
    <w:p w:rsidR="00D97373" w:rsidRDefault="00D97373" w:rsidP="00D97373">
      <w:pPr>
        <w:ind w:left="425"/>
        <w:rPr>
          <w:rFonts w:cs="Arial"/>
          <w:szCs w:val="24"/>
          <w:lang w:val="en-GB"/>
        </w:rPr>
      </w:pPr>
      <w:r>
        <w:rPr>
          <w:rFonts w:cs="Arial"/>
          <w:szCs w:val="24"/>
          <w:lang w:val="en-GB"/>
        </w:rPr>
        <w:t>Senore C, Malila N, Minozzi S</w:t>
      </w:r>
      <w:r w:rsidR="00D2139D">
        <w:rPr>
          <w:rFonts w:cs="Arial"/>
          <w:szCs w:val="24"/>
          <w:lang w:val="en-GB"/>
        </w:rPr>
        <w:t xml:space="preserve"> et al.</w:t>
      </w:r>
      <w:r>
        <w:rPr>
          <w:rFonts w:cs="Arial"/>
          <w:szCs w:val="24"/>
          <w:lang w:val="en-GB"/>
        </w:rPr>
        <w:t xml:space="preserve"> 2010. </w:t>
      </w:r>
      <w:proofErr w:type="gramStart"/>
      <w:r>
        <w:rPr>
          <w:rFonts w:cs="Arial"/>
          <w:szCs w:val="24"/>
          <w:lang w:val="en-GB"/>
        </w:rPr>
        <w:t>How to enhance physician and public acceptance and utilisation of colon cancer screening recommendations.</w:t>
      </w:r>
      <w:proofErr w:type="gramEnd"/>
      <w:r>
        <w:rPr>
          <w:rFonts w:cs="Arial"/>
          <w:szCs w:val="24"/>
          <w:lang w:val="en-GB"/>
        </w:rPr>
        <w:t xml:space="preserve"> </w:t>
      </w:r>
      <w:r>
        <w:rPr>
          <w:rFonts w:cs="Arial"/>
          <w:i/>
          <w:szCs w:val="24"/>
          <w:lang w:val="en-GB"/>
        </w:rPr>
        <w:t>Best Practice and Research Clinical Gastroenterology</w:t>
      </w:r>
      <w:r>
        <w:rPr>
          <w:rFonts w:cs="Arial"/>
          <w:szCs w:val="24"/>
          <w:lang w:val="en-GB"/>
        </w:rPr>
        <w:t xml:space="preserve"> 24(4)</w:t>
      </w:r>
      <w:r w:rsidR="00D2139D">
        <w:rPr>
          <w:rFonts w:cs="Arial"/>
          <w:szCs w:val="24"/>
          <w:lang w:val="en-GB"/>
        </w:rPr>
        <w:t>:</w:t>
      </w:r>
      <w:r>
        <w:rPr>
          <w:rFonts w:cs="Arial"/>
          <w:szCs w:val="24"/>
          <w:lang w:val="en-GB"/>
        </w:rPr>
        <w:t>509-20.</w:t>
      </w:r>
    </w:p>
    <w:p w:rsidR="00135635" w:rsidRDefault="00135635" w:rsidP="00135635">
      <w:pPr>
        <w:spacing w:after="120"/>
        <w:ind w:left="425"/>
        <w:rPr>
          <w:rFonts w:cs="Arial"/>
        </w:rPr>
      </w:pPr>
      <w:r>
        <w:rPr>
          <w:rFonts w:cs="Arial"/>
        </w:rPr>
        <w:lastRenderedPageBreak/>
        <w:t xml:space="preserve">Shaw C. 2005. </w:t>
      </w:r>
      <w:r>
        <w:rPr>
          <w:rFonts w:cs="Arial"/>
          <w:i/>
        </w:rPr>
        <w:t xml:space="preserve">Colorectal Cancer Screening in New Zealand: Equity Impact Assessment.  </w:t>
      </w:r>
      <w:r>
        <w:rPr>
          <w:rFonts w:cs="Arial"/>
        </w:rPr>
        <w:t>Wellington</w:t>
      </w:r>
      <w:r w:rsidR="00D2139D">
        <w:rPr>
          <w:rFonts w:cs="Arial"/>
        </w:rPr>
        <w:t>, New Zealand</w:t>
      </w:r>
      <w:r>
        <w:rPr>
          <w:rFonts w:cs="Arial"/>
        </w:rPr>
        <w:t>: National Screening Unit.</w:t>
      </w:r>
    </w:p>
    <w:p w:rsidR="00331C98" w:rsidRDefault="00331C98" w:rsidP="00331C98">
      <w:pPr>
        <w:spacing w:after="120"/>
        <w:ind w:left="425"/>
        <w:rPr>
          <w:rFonts w:cs="Arial"/>
        </w:rPr>
      </w:pPr>
      <w:r w:rsidRPr="00820D89">
        <w:rPr>
          <w:rFonts w:cs="Arial"/>
        </w:rPr>
        <w:t xml:space="preserve">Sporle </w:t>
      </w:r>
      <w:r>
        <w:rPr>
          <w:rFonts w:cs="Arial"/>
        </w:rPr>
        <w:t>A</w:t>
      </w:r>
      <w:r w:rsidR="00D2139D">
        <w:rPr>
          <w:rFonts w:cs="Arial"/>
        </w:rPr>
        <w:t>,</w:t>
      </w:r>
      <w:r>
        <w:rPr>
          <w:rFonts w:cs="Arial"/>
        </w:rPr>
        <w:t xml:space="preserve"> </w:t>
      </w:r>
      <w:r w:rsidRPr="00820D89">
        <w:rPr>
          <w:rFonts w:cs="Arial"/>
        </w:rPr>
        <w:t>Koea</w:t>
      </w:r>
      <w:r>
        <w:rPr>
          <w:rFonts w:cs="Arial"/>
        </w:rPr>
        <w:t xml:space="preserve"> J</w:t>
      </w:r>
      <w:r w:rsidR="00D2139D">
        <w:rPr>
          <w:rFonts w:cs="Arial"/>
        </w:rPr>
        <w:t>.</w:t>
      </w:r>
      <w:r>
        <w:rPr>
          <w:rFonts w:cs="Arial"/>
        </w:rPr>
        <w:t xml:space="preserve"> 2004</w:t>
      </w:r>
      <w:r w:rsidR="00D2139D">
        <w:rPr>
          <w:rFonts w:cs="Arial"/>
        </w:rPr>
        <w:t>.</w:t>
      </w:r>
      <w:r w:rsidRPr="00820D89">
        <w:rPr>
          <w:rFonts w:cs="Arial"/>
        </w:rPr>
        <w:t xml:space="preserve"> M</w:t>
      </w:r>
      <w:r>
        <w:rPr>
          <w:rFonts w:cs="Arial"/>
        </w:rPr>
        <w:t>ā</w:t>
      </w:r>
      <w:r w:rsidRPr="00820D89">
        <w:rPr>
          <w:rFonts w:cs="Arial"/>
        </w:rPr>
        <w:t>ori responsiveness in health and medical research: key is</w:t>
      </w:r>
      <w:r>
        <w:rPr>
          <w:rFonts w:cs="Arial"/>
        </w:rPr>
        <w:t xml:space="preserve">sues for researchers (part 1). </w:t>
      </w:r>
      <w:r w:rsidR="003D209D" w:rsidRPr="009D3202">
        <w:rPr>
          <w:rFonts w:cs="Arial"/>
          <w:i/>
        </w:rPr>
        <w:t>The New Zealand Medical Journal</w:t>
      </w:r>
      <w:r w:rsidR="003D209D">
        <w:rPr>
          <w:rFonts w:cs="Arial"/>
          <w:i/>
        </w:rPr>
        <w:t xml:space="preserve"> </w:t>
      </w:r>
      <w:r w:rsidR="003D209D" w:rsidRPr="00820D89">
        <w:rPr>
          <w:rFonts w:cs="Arial"/>
        </w:rPr>
        <w:t>117</w:t>
      </w:r>
      <w:r w:rsidR="003D209D">
        <w:rPr>
          <w:rFonts w:cs="Arial"/>
        </w:rPr>
        <w:t>(</w:t>
      </w:r>
      <w:r w:rsidR="003D209D" w:rsidRPr="00820D89">
        <w:rPr>
          <w:rFonts w:cs="Arial"/>
        </w:rPr>
        <w:t>1199</w:t>
      </w:r>
      <w:r w:rsidR="003D209D">
        <w:rPr>
          <w:rFonts w:cs="Arial"/>
        </w:rPr>
        <w:t>):</w:t>
      </w:r>
      <w:r w:rsidR="003D209D" w:rsidRPr="00820D89">
        <w:rPr>
          <w:rFonts w:cs="Arial"/>
        </w:rPr>
        <w:t xml:space="preserve"> </w:t>
      </w:r>
    </w:p>
    <w:p w:rsidR="00122976" w:rsidRDefault="00122976" w:rsidP="00122976">
      <w:pPr>
        <w:ind w:left="425"/>
        <w:rPr>
          <w:rStyle w:val="slug-doi"/>
          <w:rFonts w:cs="Arial"/>
          <w:i/>
          <w:iCs/>
          <w:color w:val="333333"/>
          <w:lang w:val="en"/>
        </w:rPr>
      </w:pPr>
      <w:r>
        <w:rPr>
          <w:rFonts w:cs="Arial"/>
        </w:rPr>
        <w:t>Steele R</w:t>
      </w:r>
      <w:r w:rsidR="008A026D">
        <w:rPr>
          <w:rFonts w:cs="Arial"/>
        </w:rPr>
        <w:t xml:space="preserve"> </w:t>
      </w:r>
      <w:r>
        <w:rPr>
          <w:rFonts w:cs="Arial"/>
        </w:rPr>
        <w:t>J</w:t>
      </w:r>
      <w:r w:rsidR="008A026D">
        <w:rPr>
          <w:rFonts w:cs="Arial"/>
        </w:rPr>
        <w:t xml:space="preserve"> </w:t>
      </w:r>
      <w:r>
        <w:rPr>
          <w:rFonts w:cs="Arial"/>
        </w:rPr>
        <w:t xml:space="preserve">C, Kostourou I, McClements P et al. 2010. Effect of repeated invitations on uptake of colorectal cancer screening using faecal occult blood testing: analysis of prevalence and incidence screening. </w:t>
      </w:r>
      <w:r w:rsidRPr="009A0012">
        <w:rPr>
          <w:rFonts w:cs="Arial"/>
          <w:i/>
        </w:rPr>
        <w:t>British Medical Journal</w:t>
      </w:r>
      <w:r>
        <w:rPr>
          <w:rFonts w:cs="Arial"/>
        </w:rPr>
        <w:t xml:space="preserve"> </w:t>
      </w:r>
      <w:r w:rsidRPr="00C21B26">
        <w:rPr>
          <w:rStyle w:val="pop-slug-vol"/>
          <w:rFonts w:cs="Arial"/>
          <w:iCs/>
          <w:color w:val="333333"/>
          <w:lang w:val="en"/>
        </w:rPr>
        <w:t>341</w:t>
      </w:r>
      <w:r>
        <w:rPr>
          <w:rStyle w:val="pop-slug-vol"/>
          <w:rFonts w:cs="Arial"/>
          <w:i/>
          <w:iCs/>
          <w:color w:val="333333"/>
          <w:lang w:val="en"/>
        </w:rPr>
        <w:t xml:space="preserve"> </w:t>
      </w:r>
      <w:r w:rsidRPr="00C21B26">
        <w:rPr>
          <w:rStyle w:val="slug-doi"/>
          <w:rFonts w:cs="Arial"/>
          <w:iCs/>
          <w:color w:val="333333"/>
          <w:lang w:val="en"/>
        </w:rPr>
        <w:t>doi:</w:t>
      </w:r>
      <w:r w:rsidRPr="00C21B26">
        <w:rPr>
          <w:rStyle w:val="slug-doi"/>
          <w:rFonts w:cs="Arial"/>
          <w:i/>
          <w:iCs/>
          <w:color w:val="333333"/>
          <w:lang w:val="en"/>
        </w:rPr>
        <w:t xml:space="preserve"> </w:t>
      </w:r>
      <w:hyperlink r:id="rId47" w:history="1">
        <w:r w:rsidRPr="00910BFB">
          <w:rPr>
            <w:rStyle w:val="Hyperlink"/>
            <w:rFonts w:cs="Arial"/>
            <w:i/>
            <w:iCs/>
            <w:lang w:val="en"/>
          </w:rPr>
          <w:t>http://dx.doi.org/10.1136/bmj.c5531</w:t>
        </w:r>
      </w:hyperlink>
    </w:p>
    <w:p w:rsidR="000A4284" w:rsidRDefault="000A4284" w:rsidP="000A4284">
      <w:pPr>
        <w:ind w:left="425"/>
        <w:rPr>
          <w:rFonts w:ascii="MyriadPro-Regular" w:hAnsi="MyriadPro-Regular" w:cs="MyriadPro-Regular"/>
          <w:sz w:val="16"/>
          <w:szCs w:val="16"/>
          <w:lang w:eastAsia="en-NZ"/>
        </w:rPr>
      </w:pPr>
      <w:proofErr w:type="gramStart"/>
      <w:r w:rsidRPr="00BB62ED">
        <w:t>The National Bowel Cancer Screening Program Quality Working Group.</w:t>
      </w:r>
      <w:proofErr w:type="gramEnd"/>
      <w:r>
        <w:t xml:space="preserve"> 2009. </w:t>
      </w:r>
      <w:r w:rsidRPr="00BB62ED">
        <w:rPr>
          <w:i/>
        </w:rPr>
        <w:t xml:space="preserve">Improving Colonoscopy Services in Australia. </w:t>
      </w:r>
      <w:r w:rsidR="00D2139D">
        <w:t xml:space="preserve">Canberra: </w:t>
      </w:r>
      <w:r w:rsidRPr="00BB62ED">
        <w:t>Australian Government Department of Health and Ageing</w:t>
      </w:r>
      <w:r>
        <w:rPr>
          <w:rFonts w:ascii="MyriadPro-Regular" w:hAnsi="MyriadPro-Regular" w:cs="MyriadPro-Regular"/>
          <w:sz w:val="16"/>
          <w:szCs w:val="16"/>
          <w:lang w:eastAsia="en-NZ"/>
        </w:rPr>
        <w:t>.</w:t>
      </w:r>
    </w:p>
    <w:p w:rsidR="00122976" w:rsidRDefault="00122976" w:rsidP="00122976">
      <w:pPr>
        <w:ind w:left="425"/>
        <w:rPr>
          <w:rFonts w:cs="Arial"/>
        </w:rPr>
      </w:pPr>
      <w:r w:rsidRPr="00122976">
        <w:t>Towler</w:t>
      </w:r>
      <w:r>
        <w:rPr>
          <w:rFonts w:cs="Arial"/>
        </w:rPr>
        <w:t xml:space="preserve"> B, Irwig L, Glasziou P et al. 1998. </w:t>
      </w:r>
      <w:proofErr w:type="gramStart"/>
      <w:r>
        <w:rPr>
          <w:rFonts w:cs="Arial"/>
        </w:rPr>
        <w:t>A systematic review of the effects of screening for colorectal cancer using the faecal occult blood test, Hemoccult.</w:t>
      </w:r>
      <w:proofErr w:type="gramEnd"/>
      <w:r>
        <w:rPr>
          <w:rFonts w:cs="Arial"/>
        </w:rPr>
        <w:t xml:space="preserve"> </w:t>
      </w:r>
      <w:r w:rsidRPr="008B73E1">
        <w:rPr>
          <w:rFonts w:cs="Arial"/>
          <w:i/>
        </w:rPr>
        <w:t>British Medical Journal</w:t>
      </w:r>
      <w:r>
        <w:rPr>
          <w:rFonts w:cs="Arial"/>
        </w:rPr>
        <w:t xml:space="preserve"> 317:559-65.</w:t>
      </w:r>
    </w:p>
    <w:p w:rsidR="00122976" w:rsidRPr="00E9026A" w:rsidRDefault="00122976" w:rsidP="00122976">
      <w:pPr>
        <w:ind w:left="425"/>
        <w:rPr>
          <w:rFonts w:cs="Arial"/>
        </w:rPr>
      </w:pPr>
      <w:proofErr w:type="gramStart"/>
      <w:r w:rsidRPr="00122976">
        <w:t>UK</w:t>
      </w:r>
      <w:r w:rsidRPr="00E9026A">
        <w:rPr>
          <w:rFonts w:cs="Arial"/>
        </w:rPr>
        <w:t xml:space="preserve"> Colorectal Cancer Screening Pilot Group</w:t>
      </w:r>
      <w:r>
        <w:rPr>
          <w:rFonts w:cs="Arial"/>
        </w:rPr>
        <w:t>.</w:t>
      </w:r>
      <w:proofErr w:type="gramEnd"/>
      <w:r>
        <w:rPr>
          <w:rFonts w:cs="Arial"/>
        </w:rPr>
        <w:t xml:space="preserve"> 2004</w:t>
      </w:r>
      <w:r w:rsidRPr="00E9026A">
        <w:rPr>
          <w:rFonts w:cs="Arial"/>
        </w:rPr>
        <w:t xml:space="preserve">. Results of the first round of a demonstration pilot of screening for colorectal cancer in the United Kingdom. </w:t>
      </w:r>
      <w:r w:rsidRPr="00E9026A">
        <w:rPr>
          <w:rFonts w:cs="Arial"/>
          <w:i/>
        </w:rPr>
        <w:t xml:space="preserve">British Medical Journal </w:t>
      </w:r>
      <w:r w:rsidRPr="00E9026A">
        <w:rPr>
          <w:rFonts w:cs="Arial"/>
        </w:rPr>
        <w:t>329:133-8</w:t>
      </w:r>
      <w:r>
        <w:rPr>
          <w:rFonts w:cs="Arial"/>
        </w:rPr>
        <w:t>.</w:t>
      </w:r>
    </w:p>
    <w:p w:rsidR="000A4284" w:rsidRPr="00A113D0" w:rsidRDefault="00C50739" w:rsidP="000A4284">
      <w:pPr>
        <w:ind w:left="425"/>
        <w:rPr>
          <w:bCs/>
        </w:rPr>
      </w:pPr>
      <w:proofErr w:type="gramStart"/>
      <w:r>
        <w:rPr>
          <w:bCs/>
        </w:rPr>
        <w:t>Waitemata</w:t>
      </w:r>
      <w:r w:rsidR="000A4284">
        <w:rPr>
          <w:bCs/>
        </w:rPr>
        <w:t xml:space="preserve"> District Health Board.</w:t>
      </w:r>
      <w:proofErr w:type="gramEnd"/>
      <w:r w:rsidR="000A4284">
        <w:rPr>
          <w:bCs/>
        </w:rPr>
        <w:t xml:space="preserve"> 2012a. </w:t>
      </w:r>
      <w:r w:rsidR="000A4284" w:rsidRPr="00510022">
        <w:rPr>
          <w:bCs/>
          <w:i/>
        </w:rPr>
        <w:t>Bowel</w:t>
      </w:r>
      <w:r w:rsidR="000A4284">
        <w:rPr>
          <w:bCs/>
          <w:i/>
        </w:rPr>
        <w:t xml:space="preserve"> </w:t>
      </w:r>
      <w:r w:rsidR="000A4284" w:rsidRPr="00510022">
        <w:rPr>
          <w:bCs/>
          <w:i/>
        </w:rPr>
        <w:t>Screening</w:t>
      </w:r>
      <w:r w:rsidR="000A4284">
        <w:rPr>
          <w:bCs/>
          <w:i/>
        </w:rPr>
        <w:t xml:space="preserve"> Pilot</w:t>
      </w:r>
      <w:r w:rsidR="000A4284" w:rsidRPr="00510022">
        <w:rPr>
          <w:bCs/>
          <w:i/>
        </w:rPr>
        <w:t xml:space="preserve">: </w:t>
      </w:r>
      <w:r w:rsidR="000A4284">
        <w:rPr>
          <w:bCs/>
          <w:i/>
        </w:rPr>
        <w:t>Biannual Report January 1 – June 30 2012</w:t>
      </w:r>
      <w:r w:rsidR="000A4284">
        <w:rPr>
          <w:bCs/>
        </w:rPr>
        <w:t xml:space="preserve">. Auckland, New Zealand: </w:t>
      </w:r>
      <w:r w:rsidR="00D43304">
        <w:rPr>
          <w:lang w:eastAsia="en-NZ"/>
        </w:rPr>
        <w:t>Waitemata</w:t>
      </w:r>
      <w:r w:rsidR="00D43304">
        <w:rPr>
          <w:bCs/>
        </w:rPr>
        <w:t xml:space="preserve"> District Health Board</w:t>
      </w:r>
      <w:r w:rsidR="000A4284">
        <w:rPr>
          <w:bCs/>
        </w:rPr>
        <w:t>.</w:t>
      </w:r>
    </w:p>
    <w:p w:rsidR="000A4284" w:rsidRDefault="00C50739" w:rsidP="000A4284">
      <w:pPr>
        <w:ind w:left="425"/>
        <w:rPr>
          <w:bCs/>
        </w:rPr>
      </w:pPr>
      <w:proofErr w:type="gramStart"/>
      <w:r>
        <w:rPr>
          <w:lang w:eastAsia="en-NZ"/>
        </w:rPr>
        <w:t>Waitemata</w:t>
      </w:r>
      <w:r w:rsidR="000A4284" w:rsidRPr="000A4284">
        <w:rPr>
          <w:lang w:eastAsia="en-NZ"/>
        </w:rPr>
        <w:t xml:space="preserve"> District Health Board.</w:t>
      </w:r>
      <w:proofErr w:type="gramEnd"/>
      <w:r w:rsidR="000A4284" w:rsidRPr="000A4284">
        <w:rPr>
          <w:lang w:eastAsia="en-NZ"/>
        </w:rPr>
        <w:t xml:space="preserve"> 2012b. </w:t>
      </w:r>
      <w:r w:rsidR="000A4284" w:rsidRPr="00B36412">
        <w:rPr>
          <w:i/>
          <w:lang w:eastAsia="en-NZ"/>
        </w:rPr>
        <w:t>Bowel Screening Pilot: Quarterly Progress Report</w:t>
      </w:r>
      <w:r w:rsidR="000A4284">
        <w:rPr>
          <w:bCs/>
          <w:i/>
        </w:rPr>
        <w:t xml:space="preserve"> 1 July – 31 September 2012</w:t>
      </w:r>
      <w:r w:rsidR="000A4284">
        <w:rPr>
          <w:bCs/>
        </w:rPr>
        <w:t xml:space="preserve">. Auckland, New Zealand: </w:t>
      </w:r>
      <w:r w:rsidR="00D43304">
        <w:rPr>
          <w:lang w:eastAsia="en-NZ"/>
        </w:rPr>
        <w:t>Waitemata</w:t>
      </w:r>
      <w:r w:rsidR="00D43304">
        <w:rPr>
          <w:bCs/>
        </w:rPr>
        <w:t xml:space="preserve"> District Health Board</w:t>
      </w:r>
      <w:r w:rsidR="000A4284">
        <w:rPr>
          <w:bCs/>
        </w:rPr>
        <w:t>.</w:t>
      </w:r>
    </w:p>
    <w:p w:rsidR="00CF57F1" w:rsidRDefault="00C50739" w:rsidP="00CF57F1">
      <w:pPr>
        <w:ind w:left="425"/>
        <w:rPr>
          <w:bCs/>
        </w:rPr>
      </w:pPr>
      <w:proofErr w:type="gramStart"/>
      <w:r>
        <w:rPr>
          <w:lang w:eastAsia="en-NZ"/>
        </w:rPr>
        <w:t>Waitemata</w:t>
      </w:r>
      <w:r w:rsidR="00CF57F1">
        <w:rPr>
          <w:bCs/>
        </w:rPr>
        <w:t xml:space="preserve"> District Health Board.</w:t>
      </w:r>
      <w:proofErr w:type="gramEnd"/>
      <w:r w:rsidR="00CF57F1">
        <w:rPr>
          <w:bCs/>
        </w:rPr>
        <w:t xml:space="preserve"> 2012c. </w:t>
      </w:r>
      <w:r w:rsidR="00CF57F1" w:rsidRPr="00510022">
        <w:rPr>
          <w:bCs/>
          <w:i/>
        </w:rPr>
        <w:t>Bowel</w:t>
      </w:r>
      <w:r w:rsidR="00CF57F1">
        <w:rPr>
          <w:bCs/>
          <w:i/>
        </w:rPr>
        <w:t xml:space="preserve"> </w:t>
      </w:r>
      <w:r w:rsidR="00CF57F1" w:rsidRPr="00510022">
        <w:rPr>
          <w:bCs/>
          <w:i/>
        </w:rPr>
        <w:t>Screening: Resource for providers working with the Bowel</w:t>
      </w:r>
      <w:r w:rsidR="00CF57F1">
        <w:rPr>
          <w:bCs/>
          <w:i/>
        </w:rPr>
        <w:t xml:space="preserve"> </w:t>
      </w:r>
      <w:r w:rsidR="00CF57F1" w:rsidRPr="00510022">
        <w:rPr>
          <w:bCs/>
          <w:i/>
        </w:rPr>
        <w:t>Screening Pilot</w:t>
      </w:r>
      <w:r w:rsidR="00CF57F1">
        <w:rPr>
          <w:bCs/>
        </w:rPr>
        <w:t xml:space="preserve">. Auckland, New Zealand: </w:t>
      </w:r>
      <w:r w:rsidR="00D43304">
        <w:rPr>
          <w:lang w:eastAsia="en-NZ"/>
        </w:rPr>
        <w:t>Waitemata</w:t>
      </w:r>
      <w:r w:rsidR="00D43304">
        <w:rPr>
          <w:bCs/>
        </w:rPr>
        <w:t xml:space="preserve"> District Health Board</w:t>
      </w:r>
      <w:r w:rsidR="00E22FE9">
        <w:rPr>
          <w:bCs/>
        </w:rPr>
        <w:t>.</w:t>
      </w:r>
    </w:p>
    <w:p w:rsidR="009074CB" w:rsidRPr="00A113D0" w:rsidRDefault="009074CB" w:rsidP="009074CB">
      <w:pPr>
        <w:ind w:left="425"/>
        <w:rPr>
          <w:bCs/>
        </w:rPr>
      </w:pPr>
      <w:proofErr w:type="gramStart"/>
      <w:r w:rsidRPr="009074CB">
        <w:rPr>
          <w:lang w:eastAsia="en-NZ"/>
        </w:rPr>
        <w:t>Waitemata</w:t>
      </w:r>
      <w:r>
        <w:rPr>
          <w:bCs/>
        </w:rPr>
        <w:t xml:space="preserve"> District Health Board.</w:t>
      </w:r>
      <w:proofErr w:type="gramEnd"/>
      <w:r>
        <w:rPr>
          <w:bCs/>
        </w:rPr>
        <w:t xml:space="preserve"> 2012d. </w:t>
      </w:r>
      <w:r>
        <w:rPr>
          <w:bCs/>
          <w:i/>
        </w:rPr>
        <w:t xml:space="preserve">Strategic Communications Plan for </w:t>
      </w:r>
      <w:r w:rsidR="003D209D">
        <w:rPr>
          <w:bCs/>
          <w:i/>
        </w:rPr>
        <w:t>Bowel Screening</w:t>
      </w:r>
      <w:r>
        <w:rPr>
          <w:bCs/>
          <w:i/>
        </w:rPr>
        <w:t xml:space="preserve"> Pilot (2012-2015)</w:t>
      </w:r>
      <w:r>
        <w:rPr>
          <w:bCs/>
        </w:rPr>
        <w:t xml:space="preserve">. Auckland, New Zealand: </w:t>
      </w:r>
      <w:r w:rsidR="00D43304">
        <w:rPr>
          <w:lang w:eastAsia="en-NZ"/>
        </w:rPr>
        <w:t>Waitemata</w:t>
      </w:r>
      <w:r w:rsidR="00D43304">
        <w:rPr>
          <w:bCs/>
        </w:rPr>
        <w:t xml:space="preserve"> District Health Board</w:t>
      </w:r>
      <w:r>
        <w:rPr>
          <w:bCs/>
        </w:rPr>
        <w:t>.</w:t>
      </w:r>
    </w:p>
    <w:p w:rsidR="000A4284" w:rsidRDefault="00D43304" w:rsidP="000A4284">
      <w:pPr>
        <w:ind w:left="425"/>
        <w:rPr>
          <w:lang w:eastAsia="en-NZ"/>
        </w:rPr>
      </w:pPr>
      <w:proofErr w:type="gramStart"/>
      <w:r>
        <w:rPr>
          <w:lang w:eastAsia="en-NZ"/>
        </w:rPr>
        <w:t>Waitemata</w:t>
      </w:r>
      <w:r>
        <w:rPr>
          <w:bCs/>
        </w:rPr>
        <w:t xml:space="preserve"> District Health Board</w:t>
      </w:r>
      <w:r w:rsidR="000A4284">
        <w:rPr>
          <w:lang w:eastAsia="en-NZ"/>
        </w:rPr>
        <w:t>.</w:t>
      </w:r>
      <w:proofErr w:type="gramEnd"/>
      <w:r w:rsidR="000A4284">
        <w:rPr>
          <w:lang w:eastAsia="en-NZ"/>
        </w:rPr>
        <w:t xml:space="preserve"> 2013. </w:t>
      </w:r>
      <w:r w:rsidR="000A4284" w:rsidRPr="00455C79">
        <w:rPr>
          <w:i/>
          <w:lang w:eastAsia="en-NZ"/>
        </w:rPr>
        <w:t xml:space="preserve">Bowel Screening </w:t>
      </w:r>
      <w:r w:rsidR="000A4284">
        <w:rPr>
          <w:i/>
          <w:lang w:eastAsia="en-NZ"/>
        </w:rPr>
        <w:t>Pilot:</w:t>
      </w:r>
      <w:r w:rsidR="000A4284" w:rsidRPr="00455C79">
        <w:rPr>
          <w:i/>
          <w:lang w:eastAsia="en-NZ"/>
        </w:rPr>
        <w:t xml:space="preserve"> Patient Satisfaction Survey 2013.</w:t>
      </w:r>
      <w:r w:rsidR="000A4284">
        <w:rPr>
          <w:lang w:eastAsia="en-NZ"/>
        </w:rPr>
        <w:t xml:space="preserve"> Auckland</w:t>
      </w:r>
      <w:r w:rsidR="00E22FE9">
        <w:rPr>
          <w:lang w:eastAsia="en-NZ"/>
        </w:rPr>
        <w:t>, New Zealand</w:t>
      </w:r>
      <w:r w:rsidR="000A4284">
        <w:rPr>
          <w:lang w:eastAsia="en-NZ"/>
        </w:rPr>
        <w:t xml:space="preserve">: </w:t>
      </w:r>
      <w:r>
        <w:rPr>
          <w:lang w:eastAsia="en-NZ"/>
        </w:rPr>
        <w:t>Waitemata</w:t>
      </w:r>
      <w:r>
        <w:rPr>
          <w:bCs/>
        </w:rPr>
        <w:t xml:space="preserve"> District Health Board</w:t>
      </w:r>
      <w:r w:rsidR="000A4284">
        <w:rPr>
          <w:lang w:eastAsia="en-NZ"/>
        </w:rPr>
        <w:t xml:space="preserve">. </w:t>
      </w:r>
    </w:p>
    <w:p w:rsidR="000A4284" w:rsidRDefault="00D43304" w:rsidP="000A4284">
      <w:pPr>
        <w:ind w:left="425"/>
        <w:rPr>
          <w:lang w:eastAsia="en-NZ"/>
        </w:rPr>
      </w:pPr>
      <w:proofErr w:type="gramStart"/>
      <w:r>
        <w:rPr>
          <w:lang w:eastAsia="en-NZ"/>
        </w:rPr>
        <w:t>Waitemata</w:t>
      </w:r>
      <w:r>
        <w:rPr>
          <w:bCs/>
        </w:rPr>
        <w:t xml:space="preserve"> District Health Board</w:t>
      </w:r>
      <w:r w:rsidR="000A4284">
        <w:rPr>
          <w:lang w:eastAsia="en-NZ"/>
        </w:rPr>
        <w:t>.</w:t>
      </w:r>
      <w:proofErr w:type="gramEnd"/>
      <w:r w:rsidR="000A4284">
        <w:rPr>
          <w:lang w:eastAsia="en-NZ"/>
        </w:rPr>
        <w:t xml:space="preserve"> 2013a. </w:t>
      </w:r>
      <w:r w:rsidR="000A4284" w:rsidRPr="00455C79">
        <w:rPr>
          <w:i/>
          <w:lang w:eastAsia="en-NZ"/>
        </w:rPr>
        <w:t xml:space="preserve">Bowel Screening </w:t>
      </w:r>
      <w:r w:rsidR="000A4284">
        <w:rPr>
          <w:i/>
          <w:lang w:eastAsia="en-NZ"/>
        </w:rPr>
        <w:t xml:space="preserve">Pilot: Biannual Report – July 1 – December 31 2012. </w:t>
      </w:r>
      <w:r w:rsidR="000A4284">
        <w:rPr>
          <w:lang w:eastAsia="en-NZ"/>
        </w:rPr>
        <w:t>Auckland</w:t>
      </w:r>
      <w:r w:rsidR="00E22FE9">
        <w:rPr>
          <w:lang w:eastAsia="en-NZ"/>
        </w:rPr>
        <w:t>, New Zealand</w:t>
      </w:r>
      <w:r w:rsidR="000A4284">
        <w:rPr>
          <w:lang w:eastAsia="en-NZ"/>
        </w:rPr>
        <w:t xml:space="preserve">: </w:t>
      </w:r>
      <w:r>
        <w:rPr>
          <w:lang w:eastAsia="en-NZ"/>
        </w:rPr>
        <w:t>Waitemata</w:t>
      </w:r>
      <w:r>
        <w:rPr>
          <w:bCs/>
        </w:rPr>
        <w:t xml:space="preserve"> District Health Board</w:t>
      </w:r>
      <w:r w:rsidR="000A4284">
        <w:rPr>
          <w:lang w:eastAsia="en-NZ"/>
        </w:rPr>
        <w:t xml:space="preserve">. </w:t>
      </w:r>
    </w:p>
    <w:p w:rsidR="000A4284" w:rsidRDefault="00D43304" w:rsidP="000A4284">
      <w:pPr>
        <w:ind w:left="425"/>
        <w:rPr>
          <w:lang w:eastAsia="en-NZ"/>
        </w:rPr>
      </w:pPr>
      <w:proofErr w:type="gramStart"/>
      <w:r>
        <w:rPr>
          <w:lang w:eastAsia="en-NZ"/>
        </w:rPr>
        <w:t>Waitemata</w:t>
      </w:r>
      <w:r>
        <w:rPr>
          <w:bCs/>
        </w:rPr>
        <w:t xml:space="preserve"> District Health Board</w:t>
      </w:r>
      <w:r w:rsidR="000A4284">
        <w:rPr>
          <w:lang w:eastAsia="en-NZ"/>
        </w:rPr>
        <w:t>.</w:t>
      </w:r>
      <w:proofErr w:type="gramEnd"/>
      <w:r w:rsidR="000A4284">
        <w:rPr>
          <w:lang w:eastAsia="en-NZ"/>
        </w:rPr>
        <w:t xml:space="preserve"> 2013b. </w:t>
      </w:r>
      <w:r w:rsidR="000A4284" w:rsidRPr="000A4284">
        <w:rPr>
          <w:i/>
          <w:lang w:eastAsia="en-NZ"/>
        </w:rPr>
        <w:t>Bowel Screening Pilot: Biannual Report – January 1 – June 30</w:t>
      </w:r>
      <w:r w:rsidR="000A4284">
        <w:rPr>
          <w:i/>
          <w:lang w:eastAsia="en-NZ"/>
        </w:rPr>
        <w:t xml:space="preserve"> 2013. </w:t>
      </w:r>
      <w:r w:rsidR="000A4284">
        <w:rPr>
          <w:lang w:eastAsia="en-NZ"/>
        </w:rPr>
        <w:t>Auckland</w:t>
      </w:r>
      <w:r w:rsidR="00E22FE9">
        <w:rPr>
          <w:lang w:eastAsia="en-NZ"/>
        </w:rPr>
        <w:t>, New Zealand</w:t>
      </w:r>
      <w:r w:rsidR="000A4284">
        <w:rPr>
          <w:lang w:eastAsia="en-NZ"/>
        </w:rPr>
        <w:t xml:space="preserve">: </w:t>
      </w:r>
      <w:r>
        <w:rPr>
          <w:lang w:eastAsia="en-NZ"/>
        </w:rPr>
        <w:t>Waitemata</w:t>
      </w:r>
      <w:r>
        <w:rPr>
          <w:bCs/>
        </w:rPr>
        <w:t xml:space="preserve"> District Health Board</w:t>
      </w:r>
      <w:r w:rsidR="000A4284">
        <w:rPr>
          <w:lang w:eastAsia="en-NZ"/>
        </w:rPr>
        <w:t xml:space="preserve">. </w:t>
      </w:r>
    </w:p>
    <w:p w:rsidR="008D4218" w:rsidRDefault="00D43304" w:rsidP="008D4218">
      <w:pPr>
        <w:ind w:left="425"/>
        <w:rPr>
          <w:lang w:eastAsia="en-NZ"/>
        </w:rPr>
      </w:pPr>
      <w:proofErr w:type="gramStart"/>
      <w:r>
        <w:rPr>
          <w:lang w:eastAsia="en-NZ"/>
        </w:rPr>
        <w:t>Waitemata</w:t>
      </w:r>
      <w:r>
        <w:rPr>
          <w:bCs/>
        </w:rPr>
        <w:t xml:space="preserve"> District Health Board</w:t>
      </w:r>
      <w:r w:rsidR="008D4218">
        <w:rPr>
          <w:lang w:eastAsia="en-NZ"/>
        </w:rPr>
        <w:t>.</w:t>
      </w:r>
      <w:proofErr w:type="gramEnd"/>
      <w:r w:rsidR="008D4218">
        <w:rPr>
          <w:lang w:eastAsia="en-NZ"/>
        </w:rPr>
        <w:t xml:space="preserve"> 2013c. </w:t>
      </w:r>
      <w:r w:rsidR="008D4218" w:rsidRPr="000A4284">
        <w:rPr>
          <w:i/>
          <w:lang w:eastAsia="en-NZ"/>
        </w:rPr>
        <w:t xml:space="preserve">Bowel Screening Pilot: Biannual Report – </w:t>
      </w:r>
      <w:r w:rsidR="008D4218">
        <w:rPr>
          <w:i/>
          <w:lang w:eastAsia="en-NZ"/>
        </w:rPr>
        <w:t xml:space="preserve">July 1 – December 31 </w:t>
      </w:r>
      <w:r w:rsidR="008D4218" w:rsidRPr="000A4284">
        <w:rPr>
          <w:i/>
          <w:lang w:eastAsia="en-NZ"/>
        </w:rPr>
        <w:t>30</w:t>
      </w:r>
      <w:r w:rsidR="008D4218">
        <w:rPr>
          <w:i/>
          <w:lang w:eastAsia="en-NZ"/>
        </w:rPr>
        <w:t xml:space="preserve"> 2013. </w:t>
      </w:r>
      <w:r w:rsidR="008D4218">
        <w:rPr>
          <w:lang w:eastAsia="en-NZ"/>
        </w:rPr>
        <w:t>Auckland</w:t>
      </w:r>
      <w:r w:rsidR="00E22FE9">
        <w:rPr>
          <w:lang w:eastAsia="en-NZ"/>
        </w:rPr>
        <w:t>, New Zealand</w:t>
      </w:r>
      <w:r w:rsidR="008D4218">
        <w:rPr>
          <w:lang w:eastAsia="en-NZ"/>
        </w:rPr>
        <w:t xml:space="preserve">: </w:t>
      </w:r>
      <w:r>
        <w:rPr>
          <w:lang w:eastAsia="en-NZ"/>
        </w:rPr>
        <w:t>Waitemata</w:t>
      </w:r>
      <w:r>
        <w:rPr>
          <w:bCs/>
        </w:rPr>
        <w:t xml:space="preserve"> District Health Board</w:t>
      </w:r>
      <w:r w:rsidR="008D4218">
        <w:rPr>
          <w:lang w:eastAsia="en-NZ"/>
        </w:rPr>
        <w:t xml:space="preserve">. </w:t>
      </w:r>
    </w:p>
    <w:p w:rsidR="00122976" w:rsidRPr="00744428" w:rsidRDefault="00122976" w:rsidP="00122976">
      <w:pPr>
        <w:ind w:left="425"/>
        <w:rPr>
          <w:rFonts w:cs="Arial"/>
        </w:rPr>
      </w:pPr>
      <w:r w:rsidRPr="00744428">
        <w:rPr>
          <w:rFonts w:cs="Arial"/>
        </w:rPr>
        <w:t xml:space="preserve">Weller D, Alexander F, Orbell S et al. 2003. </w:t>
      </w:r>
      <w:proofErr w:type="gramStart"/>
      <w:r w:rsidRPr="00744428">
        <w:rPr>
          <w:rFonts w:cs="Arial"/>
        </w:rPr>
        <w:t xml:space="preserve">Evaluation of the UK Colorectal Cancer </w:t>
      </w:r>
      <w:r w:rsidRPr="00122976">
        <w:t>Screening</w:t>
      </w:r>
      <w:r w:rsidRPr="00744428">
        <w:rPr>
          <w:rFonts w:cs="Arial"/>
        </w:rPr>
        <w:t xml:space="preserve"> Pilot.</w:t>
      </w:r>
      <w:proofErr w:type="gramEnd"/>
      <w:r w:rsidRPr="00744428">
        <w:rPr>
          <w:rFonts w:cs="Arial"/>
        </w:rPr>
        <w:t xml:space="preserve"> </w:t>
      </w:r>
      <w:proofErr w:type="gramStart"/>
      <w:r w:rsidRPr="00744428">
        <w:rPr>
          <w:rFonts w:cs="Arial"/>
        </w:rPr>
        <w:t>Final report.</w:t>
      </w:r>
      <w:proofErr w:type="gramEnd"/>
      <w:r w:rsidRPr="00744428">
        <w:rPr>
          <w:rFonts w:cs="Arial"/>
        </w:rPr>
        <w:t xml:space="preserve"> </w:t>
      </w:r>
      <w:r>
        <w:rPr>
          <w:rFonts w:cs="Arial"/>
        </w:rPr>
        <w:t>URL</w:t>
      </w:r>
      <w:r w:rsidRPr="00744428">
        <w:rPr>
          <w:rFonts w:cs="Arial"/>
        </w:rPr>
        <w:t xml:space="preserve">: </w:t>
      </w:r>
      <w:hyperlink r:id="rId48" w:history="1">
        <w:r w:rsidRPr="00744428">
          <w:rPr>
            <w:rStyle w:val="Hyperlink"/>
            <w:rFonts w:cs="Arial"/>
          </w:rPr>
          <w:t>http://www.cancerscreening.nhs.uk/bowel/finalreport.pdf</w:t>
        </w:r>
      </w:hyperlink>
      <w:r w:rsidRPr="00744428">
        <w:rPr>
          <w:rFonts w:cs="Arial"/>
        </w:rPr>
        <w:t xml:space="preserve"> (Accessed 7 May 2014).</w:t>
      </w:r>
    </w:p>
    <w:p w:rsidR="003965AE" w:rsidRPr="00744428" w:rsidRDefault="003965AE" w:rsidP="003965AE">
      <w:pPr>
        <w:ind w:left="425"/>
        <w:rPr>
          <w:rFonts w:cs="Arial"/>
        </w:rPr>
      </w:pPr>
      <w:r>
        <w:rPr>
          <w:rFonts w:cs="Arial"/>
        </w:rPr>
        <w:t xml:space="preserve">Weller D, Moss S, Butler P et al. 2006. </w:t>
      </w:r>
      <w:r w:rsidRPr="0017034B">
        <w:rPr>
          <w:rFonts w:cs="Arial"/>
          <w:i/>
        </w:rPr>
        <w:t xml:space="preserve">English pilot of bowel cancer screening: an evaluation of the second round. </w:t>
      </w:r>
      <w:proofErr w:type="gramStart"/>
      <w:r w:rsidRPr="0017034B">
        <w:rPr>
          <w:rFonts w:cs="Arial"/>
          <w:i/>
        </w:rPr>
        <w:t>Final report to the Department of Health</w:t>
      </w:r>
      <w:r>
        <w:rPr>
          <w:rFonts w:cs="Arial"/>
        </w:rPr>
        <w:t>.</w:t>
      </w:r>
      <w:proofErr w:type="gramEnd"/>
      <w:r>
        <w:rPr>
          <w:rFonts w:cs="Arial"/>
        </w:rPr>
        <w:t xml:space="preserve"> Edinburgh: University of Edinburgh.</w:t>
      </w:r>
    </w:p>
    <w:p w:rsidR="003965AE" w:rsidRPr="00744428" w:rsidRDefault="003965AE" w:rsidP="003965AE">
      <w:pPr>
        <w:ind w:left="425"/>
        <w:rPr>
          <w:rFonts w:cs="Arial"/>
        </w:rPr>
      </w:pPr>
      <w:r w:rsidRPr="00744428">
        <w:rPr>
          <w:rFonts w:cs="Arial"/>
        </w:rPr>
        <w:lastRenderedPageBreak/>
        <w:t xml:space="preserve">Weller D, Coleman D, Robertson R et al. 2007. The UK colorectal cancer screening pilot: results of the second round of screening in England. </w:t>
      </w:r>
      <w:r w:rsidRPr="00744428">
        <w:rPr>
          <w:rFonts w:cs="Arial"/>
          <w:i/>
        </w:rPr>
        <w:t>British Journal of Cancer</w:t>
      </w:r>
      <w:r w:rsidRPr="00744428">
        <w:rPr>
          <w:rFonts w:cs="Arial"/>
        </w:rPr>
        <w:t xml:space="preserve"> 97:1601-5.</w:t>
      </w:r>
    </w:p>
    <w:p w:rsidR="00D97373" w:rsidRDefault="00D97373" w:rsidP="00D97373">
      <w:pPr>
        <w:spacing w:after="120"/>
        <w:ind w:left="425"/>
        <w:rPr>
          <w:rFonts w:cs="Arial"/>
          <w:szCs w:val="24"/>
          <w:lang w:val="en-GB"/>
        </w:rPr>
      </w:pPr>
      <w:proofErr w:type="gramStart"/>
      <w:r>
        <w:rPr>
          <w:rFonts w:cs="Arial"/>
          <w:szCs w:val="24"/>
          <w:lang w:val="en-GB"/>
        </w:rPr>
        <w:t>Weller D P, Patnick J, McIntosh H</w:t>
      </w:r>
      <w:r w:rsidR="00E22FE9">
        <w:rPr>
          <w:rFonts w:cs="Arial"/>
          <w:szCs w:val="24"/>
          <w:lang w:val="en-GB"/>
        </w:rPr>
        <w:t xml:space="preserve"> et al.</w:t>
      </w:r>
      <w:r>
        <w:rPr>
          <w:rFonts w:cs="Arial"/>
          <w:szCs w:val="24"/>
          <w:lang w:val="en-GB"/>
        </w:rPr>
        <w:t xml:space="preserve"> 2009.</w:t>
      </w:r>
      <w:proofErr w:type="gramEnd"/>
      <w:r>
        <w:rPr>
          <w:rFonts w:cs="Arial"/>
          <w:szCs w:val="24"/>
          <w:lang w:val="en-GB"/>
        </w:rPr>
        <w:t xml:space="preserve"> Uptake in cancer screening programmes. </w:t>
      </w:r>
      <w:r>
        <w:rPr>
          <w:rFonts w:cs="Arial"/>
          <w:i/>
          <w:szCs w:val="24"/>
          <w:lang w:val="en-GB"/>
        </w:rPr>
        <w:t>Lancet Oncology</w:t>
      </w:r>
      <w:r>
        <w:rPr>
          <w:rFonts w:cs="Arial"/>
          <w:szCs w:val="24"/>
          <w:lang w:val="en-GB"/>
        </w:rPr>
        <w:t xml:space="preserve"> 10(7)</w:t>
      </w:r>
      <w:r w:rsidR="00E22FE9">
        <w:rPr>
          <w:rFonts w:cs="Arial"/>
          <w:szCs w:val="24"/>
          <w:lang w:val="en-GB"/>
        </w:rPr>
        <w:t>:</w:t>
      </w:r>
      <w:r>
        <w:rPr>
          <w:rFonts w:cs="Arial"/>
          <w:szCs w:val="24"/>
          <w:lang w:val="en-GB"/>
        </w:rPr>
        <w:t>693-9.</w:t>
      </w:r>
    </w:p>
    <w:p w:rsidR="00EB319D" w:rsidRPr="00EB319D" w:rsidRDefault="00EB319D" w:rsidP="00EB319D">
      <w:pPr>
        <w:spacing w:after="120"/>
        <w:ind w:left="425"/>
        <w:rPr>
          <w:rFonts w:cs="Arial"/>
          <w:szCs w:val="24"/>
          <w:lang w:val="en-GB"/>
        </w:rPr>
      </w:pPr>
      <w:proofErr w:type="gramStart"/>
      <w:r>
        <w:t>Yeoman</w:t>
      </w:r>
      <w:r w:rsidRPr="00BE4DA1">
        <w:t xml:space="preserve"> A</w:t>
      </w:r>
      <w:r>
        <w:t>, Parry</w:t>
      </w:r>
      <w:r w:rsidRPr="00BE4DA1">
        <w:t xml:space="preserve"> S.</w:t>
      </w:r>
      <w:proofErr w:type="gramEnd"/>
      <w:r w:rsidRPr="00BE4DA1">
        <w:t xml:space="preserve"> </w:t>
      </w:r>
      <w:r>
        <w:t xml:space="preserve"> 2007. </w:t>
      </w:r>
      <w:r w:rsidRPr="00BE4DA1">
        <w:t xml:space="preserve">A survey of colonoscopy capacity in New Zealand’s public hospitals. </w:t>
      </w:r>
      <w:proofErr w:type="gramStart"/>
      <w:r w:rsidRPr="00BE4DA1">
        <w:rPr>
          <w:i/>
        </w:rPr>
        <w:t xml:space="preserve">New Zealand Medical </w:t>
      </w:r>
      <w:r w:rsidRPr="00EB319D">
        <w:rPr>
          <w:i/>
        </w:rPr>
        <w:t>Journal</w:t>
      </w:r>
      <w:r w:rsidRPr="00EB319D">
        <w:rPr>
          <w:rFonts w:cs="Arial"/>
          <w:szCs w:val="24"/>
          <w:lang w:val="en-GB"/>
        </w:rPr>
        <w:t xml:space="preserve"> 120.</w:t>
      </w:r>
      <w:proofErr w:type="gramEnd"/>
    </w:p>
    <w:p w:rsidR="00D97373" w:rsidRDefault="00957CD0" w:rsidP="000E050E">
      <w:pPr>
        <w:spacing w:after="120"/>
        <w:ind w:left="425"/>
      </w:pPr>
      <w:hyperlink r:id="rId49" w:history="1">
        <w:r w:rsidR="00AE19D4" w:rsidRPr="00AE19D4">
          <w:t>Zorzi M</w:t>
        </w:r>
      </w:hyperlink>
      <w:r w:rsidR="00AE19D4" w:rsidRPr="00AE19D4">
        <w:t xml:space="preserve">, </w:t>
      </w:r>
      <w:hyperlink r:id="rId50" w:history="1">
        <w:r w:rsidR="00AE19D4" w:rsidRPr="00AE19D4">
          <w:t>Falcini F</w:t>
        </w:r>
      </w:hyperlink>
      <w:r w:rsidR="00AE19D4" w:rsidRPr="00AE19D4">
        <w:t xml:space="preserve">, </w:t>
      </w:r>
      <w:hyperlink r:id="rId51" w:history="1">
        <w:r w:rsidR="00AE19D4" w:rsidRPr="00AE19D4">
          <w:t>Fedato C</w:t>
        </w:r>
      </w:hyperlink>
      <w:r w:rsidR="00AE19D4" w:rsidRPr="00AE19D4">
        <w:t xml:space="preserve">, </w:t>
      </w:r>
      <w:hyperlink r:id="rId52" w:history="1">
        <w:r w:rsidR="00AE19D4" w:rsidRPr="00AE19D4">
          <w:t>Grazzini G</w:t>
        </w:r>
      </w:hyperlink>
      <w:r w:rsidR="00AE19D4" w:rsidRPr="00AE19D4">
        <w:t xml:space="preserve">, </w:t>
      </w:r>
      <w:hyperlink r:id="rId53" w:history="1">
        <w:r w:rsidR="00AE19D4" w:rsidRPr="00AE19D4">
          <w:t>de' Bianchi PS</w:t>
        </w:r>
      </w:hyperlink>
      <w:r w:rsidR="00AE19D4" w:rsidRPr="00AE19D4">
        <w:t xml:space="preserve">, </w:t>
      </w:r>
      <w:hyperlink r:id="rId54" w:history="1">
        <w:r w:rsidR="00AE19D4" w:rsidRPr="00AE19D4">
          <w:t>Senore C</w:t>
        </w:r>
      </w:hyperlink>
      <w:r w:rsidR="00AE19D4" w:rsidRPr="00AE19D4">
        <w:t xml:space="preserve">, </w:t>
      </w:r>
      <w:hyperlink r:id="rId55" w:history="1">
        <w:r w:rsidR="00AE19D4" w:rsidRPr="00AE19D4">
          <w:t>Vettorazzi M</w:t>
        </w:r>
      </w:hyperlink>
      <w:r w:rsidR="00AE19D4" w:rsidRPr="00AE19D4">
        <w:t xml:space="preserve">, </w:t>
      </w:r>
      <w:hyperlink r:id="rId56" w:history="1">
        <w:r w:rsidR="00AE19D4" w:rsidRPr="00AE19D4">
          <w:t>Visioli C</w:t>
        </w:r>
      </w:hyperlink>
      <w:r w:rsidR="00AE19D4" w:rsidRPr="00AE19D4">
        <w:t xml:space="preserve">, </w:t>
      </w:r>
      <w:hyperlink r:id="rId57" w:history="1">
        <w:r w:rsidR="00AE19D4" w:rsidRPr="00AE19D4">
          <w:t>Zappa M</w:t>
        </w:r>
      </w:hyperlink>
      <w:r w:rsidR="00AE19D4" w:rsidRPr="00AE19D4">
        <w:t xml:space="preserve"> 2008. Screening for colorectal cancer in Italy: 2006 survey.  </w:t>
      </w:r>
      <w:hyperlink r:id="rId58" w:tooltip="Epidemiologia e prevenzione." w:history="1">
        <w:proofErr w:type="gramStart"/>
        <w:r w:rsidR="00AE19D4" w:rsidRPr="00AE19D4">
          <w:rPr>
            <w:i/>
          </w:rPr>
          <w:t>Epidemiology e Prevenzione</w:t>
        </w:r>
        <w:r w:rsidR="00AE19D4" w:rsidRPr="00AE19D4">
          <w:t>.</w:t>
        </w:r>
        <w:proofErr w:type="gramEnd"/>
      </w:hyperlink>
      <w:r w:rsidR="00AE19D4" w:rsidRPr="00AE19D4">
        <w:t xml:space="preserve"> 2008 Mar-Apr</w:t>
      </w:r>
      <w:r w:rsidR="003D209D" w:rsidRPr="00AE19D4">
        <w:t>; 32</w:t>
      </w:r>
      <w:r w:rsidR="00AE19D4" w:rsidRPr="00AE19D4">
        <w:t>(2 Suppl 1):55-68.</w:t>
      </w:r>
    </w:p>
    <w:p w:rsidR="00920AF6" w:rsidRDefault="00920AF6" w:rsidP="000E050E">
      <w:pPr>
        <w:spacing w:after="120"/>
        <w:ind w:left="425"/>
      </w:pPr>
    </w:p>
    <w:p w:rsidR="00037FE3" w:rsidRPr="00C95C03" w:rsidRDefault="00037FE3" w:rsidP="00037FE3">
      <w:pPr>
        <w:pStyle w:val="Heading1"/>
        <w:rPr>
          <w:lang w:eastAsia="en-US"/>
        </w:rPr>
      </w:pPr>
      <w:r w:rsidRPr="00C95C03">
        <w:br w:type="page"/>
      </w:r>
      <w:bookmarkStart w:id="408" w:name="_Toc380499282"/>
      <w:bookmarkStart w:id="409" w:name="_Toc390872226"/>
      <w:bookmarkStart w:id="410" w:name="_Toc412540045"/>
      <w:r w:rsidR="005B025D">
        <w:lastRenderedPageBreak/>
        <w:t>5</w:t>
      </w:r>
      <w:r w:rsidRPr="00C95C03">
        <w:t>.</w:t>
      </w:r>
      <w:r w:rsidRPr="00C95C03">
        <w:tab/>
        <w:t>Glossary</w:t>
      </w:r>
      <w:bookmarkEnd w:id="408"/>
      <w:bookmarkEnd w:id="409"/>
      <w:bookmarkEnd w:id="410"/>
    </w:p>
    <w:p w:rsidR="00037FE3" w:rsidRDefault="00037FE3" w:rsidP="00EA55DB">
      <w:pPr>
        <w:rPr>
          <w:lang w:val="en-US"/>
        </w:rPr>
      </w:pPr>
      <w:r>
        <w:rPr>
          <w:lang w:val="en-US"/>
        </w:rPr>
        <w:t xml:space="preserve">For clarification, in this report the following abbreviations have been used: </w:t>
      </w:r>
    </w:p>
    <w:p w:rsidR="003A598E" w:rsidRPr="003A598E" w:rsidRDefault="003A598E" w:rsidP="00604AA9">
      <w:pPr>
        <w:numPr>
          <w:ilvl w:val="0"/>
          <w:numId w:val="7"/>
        </w:numPr>
        <w:autoSpaceDE w:val="0"/>
        <w:autoSpaceDN w:val="0"/>
        <w:adjustRightInd w:val="0"/>
        <w:spacing w:before="120"/>
        <w:ind w:left="1134" w:hanging="425"/>
      </w:pPr>
      <w:r>
        <w:t xml:space="preserve">ADHB – Auckland DHB </w:t>
      </w:r>
    </w:p>
    <w:p w:rsidR="003A598E" w:rsidRPr="003A598E" w:rsidRDefault="003A598E" w:rsidP="00604AA9">
      <w:pPr>
        <w:numPr>
          <w:ilvl w:val="0"/>
          <w:numId w:val="7"/>
        </w:numPr>
        <w:autoSpaceDE w:val="0"/>
        <w:autoSpaceDN w:val="0"/>
        <w:adjustRightInd w:val="0"/>
        <w:spacing w:before="120"/>
        <w:ind w:left="1134" w:hanging="425"/>
      </w:pPr>
      <w:r w:rsidRPr="003A598E">
        <w:t xml:space="preserve">BPOP – Policy and Operational Procedures for the Bowel Screening Pilot </w:t>
      </w:r>
    </w:p>
    <w:p w:rsidR="00EA55DB" w:rsidRPr="00EA55DB" w:rsidRDefault="00EA55DB" w:rsidP="00604AA9">
      <w:pPr>
        <w:numPr>
          <w:ilvl w:val="0"/>
          <w:numId w:val="7"/>
        </w:numPr>
        <w:autoSpaceDE w:val="0"/>
        <w:autoSpaceDN w:val="0"/>
        <w:adjustRightInd w:val="0"/>
        <w:spacing w:before="120"/>
        <w:ind w:left="1134" w:hanging="425"/>
      </w:pPr>
      <w:r w:rsidRPr="00EA55DB">
        <w:t xml:space="preserve">BSP – Bowel Screening Pilot </w:t>
      </w:r>
    </w:p>
    <w:p w:rsidR="00EA55DB" w:rsidRPr="00EA55DB" w:rsidRDefault="00EA55DB" w:rsidP="00604AA9">
      <w:pPr>
        <w:numPr>
          <w:ilvl w:val="0"/>
          <w:numId w:val="7"/>
        </w:numPr>
        <w:autoSpaceDE w:val="0"/>
        <w:autoSpaceDN w:val="0"/>
        <w:adjustRightInd w:val="0"/>
        <w:spacing w:before="120"/>
        <w:ind w:left="1134" w:hanging="425"/>
      </w:pPr>
      <w:r w:rsidRPr="00EA55DB">
        <w:t xml:space="preserve">CAR – community awareness raising </w:t>
      </w:r>
    </w:p>
    <w:p w:rsidR="00EA55DB" w:rsidRPr="00EA55DB" w:rsidRDefault="00EA55DB" w:rsidP="00604AA9">
      <w:pPr>
        <w:numPr>
          <w:ilvl w:val="0"/>
          <w:numId w:val="7"/>
        </w:numPr>
        <w:autoSpaceDE w:val="0"/>
        <w:autoSpaceDN w:val="0"/>
        <w:adjustRightInd w:val="0"/>
        <w:spacing w:before="120"/>
        <w:ind w:left="1134" w:hanging="425"/>
      </w:pPr>
      <w:r w:rsidRPr="00EA55DB">
        <w:t xml:space="preserve">CATI – </w:t>
      </w:r>
      <w:r w:rsidRPr="00C95C03">
        <w:t>computer-assisted telephone interviewing</w:t>
      </w:r>
    </w:p>
    <w:p w:rsidR="00D15946" w:rsidRPr="00D15946" w:rsidRDefault="00D15946" w:rsidP="00604AA9">
      <w:pPr>
        <w:numPr>
          <w:ilvl w:val="0"/>
          <w:numId w:val="7"/>
        </w:numPr>
        <w:autoSpaceDE w:val="0"/>
        <w:autoSpaceDN w:val="0"/>
        <w:adjustRightInd w:val="0"/>
        <w:spacing w:before="120"/>
        <w:ind w:left="1134" w:hanging="425"/>
        <w:rPr>
          <w:lang w:val="en-US"/>
        </w:rPr>
      </w:pPr>
      <w:r w:rsidRPr="00D15946">
        <w:rPr>
          <w:rFonts w:cs="Arial"/>
        </w:rPr>
        <w:t xml:space="preserve">CPHR </w:t>
      </w:r>
      <w:r>
        <w:t xml:space="preserve">– </w:t>
      </w:r>
      <w:r w:rsidRPr="00D15946">
        <w:rPr>
          <w:rFonts w:cs="Arial"/>
        </w:rPr>
        <w:t xml:space="preserve">Centre for Public Health Research </w:t>
      </w:r>
    </w:p>
    <w:p w:rsidR="00EA55DB" w:rsidRPr="003A598E" w:rsidRDefault="00EA55DB" w:rsidP="00604AA9">
      <w:pPr>
        <w:numPr>
          <w:ilvl w:val="0"/>
          <w:numId w:val="7"/>
        </w:numPr>
        <w:autoSpaceDE w:val="0"/>
        <w:autoSpaceDN w:val="0"/>
        <w:adjustRightInd w:val="0"/>
        <w:spacing w:before="120"/>
        <w:ind w:left="1134" w:hanging="425"/>
        <w:rPr>
          <w:lang w:val="en-US"/>
        </w:rPr>
      </w:pPr>
      <w:r w:rsidRPr="003A598E">
        <w:rPr>
          <w:lang w:val="en-US"/>
        </w:rPr>
        <w:t xml:space="preserve">CNS – clinical nurse specialists </w:t>
      </w:r>
    </w:p>
    <w:p w:rsidR="003A598E" w:rsidRDefault="003A598E" w:rsidP="00604AA9">
      <w:pPr>
        <w:numPr>
          <w:ilvl w:val="0"/>
          <w:numId w:val="7"/>
        </w:numPr>
        <w:autoSpaceDE w:val="0"/>
        <w:autoSpaceDN w:val="0"/>
        <w:adjustRightInd w:val="0"/>
        <w:spacing w:before="120"/>
        <w:ind w:left="1134" w:hanging="425"/>
        <w:rPr>
          <w:lang w:val="en-US"/>
        </w:rPr>
      </w:pPr>
      <w:r w:rsidRPr="003A598E">
        <w:rPr>
          <w:lang w:val="en-US"/>
        </w:rPr>
        <w:t xml:space="preserve">CTC – Computerised Tomographic Colonography </w:t>
      </w:r>
    </w:p>
    <w:p w:rsidR="00EA55DB" w:rsidRPr="003A598E" w:rsidRDefault="00EA55DB" w:rsidP="00604AA9">
      <w:pPr>
        <w:numPr>
          <w:ilvl w:val="0"/>
          <w:numId w:val="7"/>
        </w:numPr>
        <w:autoSpaceDE w:val="0"/>
        <w:autoSpaceDN w:val="0"/>
        <w:adjustRightInd w:val="0"/>
        <w:spacing w:before="120"/>
        <w:ind w:left="1134" w:hanging="425"/>
        <w:rPr>
          <w:lang w:val="en-US"/>
        </w:rPr>
      </w:pPr>
      <w:r w:rsidRPr="003A598E">
        <w:rPr>
          <w:lang w:val="en-US"/>
        </w:rPr>
        <w:t>DHB – District Health Board</w:t>
      </w:r>
    </w:p>
    <w:p w:rsidR="003A598E" w:rsidRDefault="003A598E" w:rsidP="00604AA9">
      <w:pPr>
        <w:numPr>
          <w:ilvl w:val="0"/>
          <w:numId w:val="7"/>
        </w:numPr>
        <w:autoSpaceDE w:val="0"/>
        <w:autoSpaceDN w:val="0"/>
        <w:adjustRightInd w:val="0"/>
        <w:spacing w:before="120"/>
        <w:ind w:left="1134" w:hanging="425"/>
        <w:rPr>
          <w:lang w:val="en-US"/>
        </w:rPr>
      </w:pPr>
      <w:r w:rsidRPr="003A598E">
        <w:rPr>
          <w:lang w:val="en-US"/>
        </w:rPr>
        <w:t>DNA – did not attend</w:t>
      </w:r>
    </w:p>
    <w:p w:rsidR="003A598E" w:rsidRDefault="003A598E" w:rsidP="00604AA9">
      <w:pPr>
        <w:numPr>
          <w:ilvl w:val="0"/>
          <w:numId w:val="7"/>
        </w:numPr>
        <w:autoSpaceDE w:val="0"/>
        <w:autoSpaceDN w:val="0"/>
        <w:adjustRightInd w:val="0"/>
        <w:spacing w:before="120"/>
        <w:ind w:left="1134" w:hanging="425"/>
        <w:rPr>
          <w:lang w:val="en-US"/>
        </w:rPr>
      </w:pPr>
      <w:r>
        <w:rPr>
          <w:lang w:val="en-US"/>
        </w:rPr>
        <w:t xml:space="preserve">FTE – </w:t>
      </w:r>
      <w:r w:rsidR="009A0362">
        <w:rPr>
          <w:lang w:val="en-US"/>
        </w:rPr>
        <w:t>f</w:t>
      </w:r>
      <w:r w:rsidR="009A0362" w:rsidRPr="003A598E">
        <w:rPr>
          <w:lang w:val="en-US"/>
        </w:rPr>
        <w:t>ull</w:t>
      </w:r>
      <w:r w:rsidR="009A0362">
        <w:rPr>
          <w:lang w:val="en-US"/>
        </w:rPr>
        <w:t xml:space="preserve"> </w:t>
      </w:r>
      <w:r w:rsidRPr="003A598E">
        <w:rPr>
          <w:lang w:val="en-US"/>
        </w:rPr>
        <w:t xml:space="preserve">time equivalent </w:t>
      </w:r>
    </w:p>
    <w:p w:rsidR="003A598E" w:rsidRPr="003A598E" w:rsidRDefault="003A598E" w:rsidP="00604AA9">
      <w:pPr>
        <w:numPr>
          <w:ilvl w:val="0"/>
          <w:numId w:val="7"/>
        </w:numPr>
        <w:autoSpaceDE w:val="0"/>
        <w:autoSpaceDN w:val="0"/>
        <w:adjustRightInd w:val="0"/>
        <w:spacing w:before="120"/>
        <w:ind w:left="1134" w:hanging="425"/>
        <w:rPr>
          <w:lang w:val="en-US"/>
        </w:rPr>
      </w:pPr>
      <w:r w:rsidRPr="003A598E">
        <w:rPr>
          <w:lang w:val="en-US"/>
        </w:rPr>
        <w:t>IANZ – International Accreditation New Zealand is the accreditation body of the Testing Laboratory Registration Council in New Zealand</w:t>
      </w:r>
    </w:p>
    <w:p w:rsidR="005336F5" w:rsidRDefault="005336F5" w:rsidP="00604AA9">
      <w:pPr>
        <w:numPr>
          <w:ilvl w:val="0"/>
          <w:numId w:val="7"/>
        </w:numPr>
        <w:autoSpaceDE w:val="0"/>
        <w:autoSpaceDN w:val="0"/>
        <w:adjustRightInd w:val="0"/>
        <w:spacing w:before="120"/>
        <w:ind w:left="1134" w:hanging="425"/>
        <w:rPr>
          <w:lang w:val="en-US"/>
        </w:rPr>
      </w:pPr>
      <w:r>
        <w:rPr>
          <w:lang w:eastAsia="ar-SA"/>
        </w:rPr>
        <w:t>iPIM</w:t>
      </w:r>
      <w:r w:rsidRPr="00995633">
        <w:rPr>
          <w:lang w:eastAsia="ar-SA"/>
        </w:rPr>
        <w:t xml:space="preserve">s </w:t>
      </w:r>
      <w:r w:rsidRPr="003A598E">
        <w:rPr>
          <w:lang w:val="en-US"/>
        </w:rPr>
        <w:t>–</w:t>
      </w:r>
      <w:r>
        <w:rPr>
          <w:lang w:eastAsia="ar-SA"/>
        </w:rPr>
        <w:t xml:space="preserve"> </w:t>
      </w:r>
      <w:r w:rsidRPr="00995633">
        <w:rPr>
          <w:lang w:eastAsia="ar-SA"/>
        </w:rPr>
        <w:t>WDHB’s Intelligent P</w:t>
      </w:r>
      <w:r>
        <w:rPr>
          <w:lang w:eastAsia="ar-SA"/>
        </w:rPr>
        <w:t>atient Information Systems</w:t>
      </w:r>
    </w:p>
    <w:p w:rsidR="00EA55DB" w:rsidRPr="003A598E" w:rsidRDefault="00EA55DB" w:rsidP="00604AA9">
      <w:pPr>
        <w:numPr>
          <w:ilvl w:val="0"/>
          <w:numId w:val="7"/>
        </w:numPr>
        <w:autoSpaceDE w:val="0"/>
        <w:autoSpaceDN w:val="0"/>
        <w:adjustRightInd w:val="0"/>
        <w:spacing w:before="120"/>
        <w:ind w:left="1134" w:hanging="425"/>
        <w:rPr>
          <w:lang w:val="en-US"/>
        </w:rPr>
      </w:pPr>
      <w:proofErr w:type="gramStart"/>
      <w:r w:rsidRPr="003A598E">
        <w:rPr>
          <w:lang w:val="en-US"/>
        </w:rPr>
        <w:t>iFOBT</w:t>
      </w:r>
      <w:proofErr w:type="gramEnd"/>
      <w:r w:rsidRPr="003A598E">
        <w:rPr>
          <w:lang w:val="en-US"/>
        </w:rPr>
        <w:t xml:space="preserve"> – immunochemical faecal occult blood test</w:t>
      </w:r>
      <w:r w:rsidRPr="00697D47">
        <w:rPr>
          <w:rStyle w:val="FootnoteReference"/>
        </w:rPr>
        <w:footnoteReference w:id="87"/>
      </w:r>
      <w:r w:rsidRPr="003A598E">
        <w:rPr>
          <w:lang w:val="en-US"/>
        </w:rPr>
        <w:t xml:space="preserve">. A single sample iFOBT test is being used in the BSP. The test is known as OC-Sensor. </w:t>
      </w:r>
    </w:p>
    <w:p w:rsidR="00EA55DB" w:rsidRPr="003A598E" w:rsidRDefault="00EA55DB" w:rsidP="00604AA9">
      <w:pPr>
        <w:numPr>
          <w:ilvl w:val="0"/>
          <w:numId w:val="7"/>
        </w:numPr>
        <w:autoSpaceDE w:val="0"/>
        <w:autoSpaceDN w:val="0"/>
        <w:adjustRightInd w:val="0"/>
        <w:spacing w:before="120"/>
        <w:ind w:left="1134" w:hanging="425"/>
        <w:rPr>
          <w:lang w:val="en-US"/>
        </w:rPr>
      </w:pPr>
      <w:r w:rsidRPr="003A598E">
        <w:rPr>
          <w:lang w:val="en-US"/>
        </w:rPr>
        <w:t>General practice – refers generically to the differing systems and models in which primary care is delivered</w:t>
      </w:r>
    </w:p>
    <w:p w:rsidR="003A598E" w:rsidRDefault="003A598E" w:rsidP="00604AA9">
      <w:pPr>
        <w:numPr>
          <w:ilvl w:val="0"/>
          <w:numId w:val="7"/>
        </w:numPr>
        <w:autoSpaceDE w:val="0"/>
        <w:autoSpaceDN w:val="0"/>
        <w:adjustRightInd w:val="0"/>
        <w:spacing w:before="120"/>
        <w:ind w:left="1134" w:hanging="425"/>
        <w:rPr>
          <w:lang w:val="en-US"/>
        </w:rPr>
      </w:pPr>
      <w:r>
        <w:rPr>
          <w:lang w:val="en-US"/>
        </w:rPr>
        <w:t xml:space="preserve">GE – Gastroenterologists  </w:t>
      </w:r>
    </w:p>
    <w:p w:rsidR="003A598E" w:rsidRDefault="003A598E" w:rsidP="00604AA9">
      <w:pPr>
        <w:numPr>
          <w:ilvl w:val="0"/>
          <w:numId w:val="7"/>
        </w:numPr>
        <w:autoSpaceDE w:val="0"/>
        <w:autoSpaceDN w:val="0"/>
        <w:adjustRightInd w:val="0"/>
        <w:spacing w:before="120"/>
        <w:ind w:left="1134" w:hanging="425"/>
        <w:rPr>
          <w:lang w:val="en-US"/>
        </w:rPr>
      </w:pPr>
      <w:r>
        <w:rPr>
          <w:lang w:val="en-US"/>
        </w:rPr>
        <w:t>GP – General Practitioner</w:t>
      </w:r>
    </w:p>
    <w:p w:rsidR="003A598E" w:rsidRDefault="003A598E" w:rsidP="00604AA9">
      <w:pPr>
        <w:numPr>
          <w:ilvl w:val="0"/>
          <w:numId w:val="7"/>
        </w:numPr>
        <w:autoSpaceDE w:val="0"/>
        <w:autoSpaceDN w:val="0"/>
        <w:adjustRightInd w:val="0"/>
        <w:spacing w:before="120"/>
        <w:ind w:left="1134" w:hanging="425"/>
        <w:rPr>
          <w:lang w:val="en-US"/>
        </w:rPr>
      </w:pPr>
      <w:r>
        <w:rPr>
          <w:lang w:val="en-US"/>
        </w:rPr>
        <w:t xml:space="preserve">GRS – Global Rating Scale </w:t>
      </w:r>
    </w:p>
    <w:p w:rsidR="003A598E" w:rsidRDefault="003A598E" w:rsidP="00604AA9">
      <w:pPr>
        <w:numPr>
          <w:ilvl w:val="0"/>
          <w:numId w:val="7"/>
        </w:numPr>
        <w:autoSpaceDE w:val="0"/>
        <w:autoSpaceDN w:val="0"/>
        <w:adjustRightInd w:val="0"/>
        <w:spacing w:before="120"/>
        <w:ind w:left="1134" w:hanging="425"/>
        <w:rPr>
          <w:lang w:val="en-US"/>
        </w:rPr>
      </w:pPr>
      <w:r>
        <w:rPr>
          <w:lang w:val="en-US"/>
        </w:rPr>
        <w:t>MDM – multi-disciplinary meeting</w:t>
      </w:r>
    </w:p>
    <w:p w:rsidR="003A598E" w:rsidRDefault="003A598E" w:rsidP="00604AA9">
      <w:pPr>
        <w:numPr>
          <w:ilvl w:val="0"/>
          <w:numId w:val="7"/>
        </w:numPr>
        <w:autoSpaceDE w:val="0"/>
        <w:autoSpaceDN w:val="0"/>
        <w:adjustRightInd w:val="0"/>
        <w:spacing w:before="120"/>
        <w:ind w:left="1134" w:hanging="425"/>
        <w:rPr>
          <w:lang w:val="en-US"/>
        </w:rPr>
      </w:pPr>
      <w:r>
        <w:rPr>
          <w:lang w:val="en-US"/>
        </w:rPr>
        <w:t>NHI – National Health Index</w:t>
      </w:r>
    </w:p>
    <w:p w:rsidR="00EA55DB" w:rsidRPr="00EA55DB" w:rsidRDefault="00EA55DB" w:rsidP="00604AA9">
      <w:pPr>
        <w:numPr>
          <w:ilvl w:val="0"/>
          <w:numId w:val="7"/>
        </w:numPr>
        <w:autoSpaceDE w:val="0"/>
        <w:autoSpaceDN w:val="0"/>
        <w:adjustRightInd w:val="0"/>
        <w:spacing w:before="120"/>
        <w:ind w:left="1134" w:hanging="425"/>
      </w:pPr>
      <w:r w:rsidRPr="00EA55DB">
        <w:t xml:space="preserve">Non-responders – people who have received a pre-invitation, invitation and reminder letter, </w:t>
      </w:r>
      <w:r w:rsidRPr="00DD0A99">
        <w:t>ha</w:t>
      </w:r>
      <w:r>
        <w:t>ve</w:t>
      </w:r>
      <w:r w:rsidRPr="00DD0A99">
        <w:t xml:space="preserve"> not returned a completed kit, </w:t>
      </w:r>
      <w:r w:rsidRPr="00EA55DB">
        <w:t>and have not contacted the Coordination Centre to opt out of the BSP</w:t>
      </w:r>
    </w:p>
    <w:p w:rsidR="00D15946" w:rsidRPr="00802D10" w:rsidRDefault="00EF13B4" w:rsidP="00D15946">
      <w:pPr>
        <w:numPr>
          <w:ilvl w:val="0"/>
          <w:numId w:val="7"/>
        </w:numPr>
        <w:autoSpaceDE w:val="0"/>
        <w:autoSpaceDN w:val="0"/>
        <w:adjustRightInd w:val="0"/>
        <w:spacing w:before="120"/>
        <w:ind w:left="1134" w:hanging="425"/>
      </w:pPr>
      <w:r w:rsidRPr="00802D10">
        <w:t xml:space="preserve">PHO </w:t>
      </w:r>
      <w:r w:rsidRPr="00EA55DB">
        <w:t>–</w:t>
      </w:r>
      <w:r>
        <w:t xml:space="preserve"> </w:t>
      </w:r>
      <w:r w:rsidRPr="00802D10">
        <w:t xml:space="preserve">Primary Health Organisation </w:t>
      </w:r>
    </w:p>
    <w:p w:rsidR="003A598E" w:rsidRDefault="003A598E" w:rsidP="00604AA9">
      <w:pPr>
        <w:numPr>
          <w:ilvl w:val="0"/>
          <w:numId w:val="7"/>
        </w:numPr>
        <w:autoSpaceDE w:val="0"/>
        <w:autoSpaceDN w:val="0"/>
        <w:adjustRightInd w:val="0"/>
        <w:spacing w:before="120"/>
        <w:ind w:left="1134" w:hanging="425"/>
        <w:rPr>
          <w:lang w:val="en-US"/>
        </w:rPr>
      </w:pPr>
      <w:r>
        <w:rPr>
          <w:lang w:val="en-US"/>
        </w:rPr>
        <w:t xml:space="preserve">Spoilt kits – refers to iFOBT kits where the test has not been performed or labelled correctly.  Most spoilt kits are due to date and label issues </w:t>
      </w:r>
    </w:p>
    <w:p w:rsidR="00802D10" w:rsidRDefault="00802D10" w:rsidP="00EF13B4">
      <w:pPr>
        <w:numPr>
          <w:ilvl w:val="0"/>
          <w:numId w:val="7"/>
        </w:numPr>
        <w:autoSpaceDE w:val="0"/>
        <w:autoSpaceDN w:val="0"/>
        <w:adjustRightInd w:val="0"/>
        <w:spacing w:before="120"/>
        <w:ind w:left="1134" w:hanging="425"/>
        <w:rPr>
          <w:lang w:val="en-US"/>
        </w:rPr>
      </w:pPr>
      <w:r>
        <w:rPr>
          <w:lang w:val="en-US"/>
        </w:rPr>
        <w:t xml:space="preserve">TAT </w:t>
      </w:r>
      <w:r w:rsidRPr="00EA55DB">
        <w:t>–</w:t>
      </w:r>
      <w:r>
        <w:t xml:space="preserve"> </w:t>
      </w:r>
      <w:r w:rsidR="0091546E">
        <w:t>Turnaround</w:t>
      </w:r>
      <w:r>
        <w:t xml:space="preserve"> time</w:t>
      </w:r>
    </w:p>
    <w:p w:rsidR="00EA55DB" w:rsidRPr="00EA55DB" w:rsidRDefault="00EA55DB" w:rsidP="00604AA9">
      <w:pPr>
        <w:numPr>
          <w:ilvl w:val="0"/>
          <w:numId w:val="7"/>
        </w:numPr>
        <w:autoSpaceDE w:val="0"/>
        <w:autoSpaceDN w:val="0"/>
        <w:adjustRightInd w:val="0"/>
        <w:spacing w:before="120"/>
        <w:ind w:left="1134" w:hanging="425"/>
      </w:pPr>
      <w:r w:rsidRPr="00EA55DB">
        <w:t xml:space="preserve">The </w:t>
      </w:r>
      <w:r w:rsidR="00EB35F4">
        <w:t>p</w:t>
      </w:r>
      <w:r w:rsidRPr="00EA55DB">
        <w:t>ilot – the Bowel Screening Pilot/BSP</w:t>
      </w:r>
    </w:p>
    <w:p w:rsidR="00D15946" w:rsidRDefault="00D15946" w:rsidP="00604AA9">
      <w:pPr>
        <w:numPr>
          <w:ilvl w:val="0"/>
          <w:numId w:val="7"/>
        </w:numPr>
        <w:autoSpaceDE w:val="0"/>
        <w:autoSpaceDN w:val="0"/>
        <w:adjustRightInd w:val="0"/>
        <w:spacing w:before="120"/>
        <w:ind w:left="1134" w:hanging="425"/>
      </w:pPr>
      <w:r>
        <w:rPr>
          <w:rFonts w:cs="Arial"/>
        </w:rPr>
        <w:t xml:space="preserve">UK </w:t>
      </w:r>
      <w:r>
        <w:t>–</w:t>
      </w:r>
      <w:r>
        <w:rPr>
          <w:rFonts w:cs="Arial"/>
        </w:rPr>
        <w:t xml:space="preserve"> United Kingdom </w:t>
      </w:r>
    </w:p>
    <w:p w:rsidR="00EA55DB" w:rsidRPr="00EA55DB" w:rsidRDefault="00EA55DB" w:rsidP="00604AA9">
      <w:pPr>
        <w:numPr>
          <w:ilvl w:val="0"/>
          <w:numId w:val="7"/>
        </w:numPr>
        <w:autoSpaceDE w:val="0"/>
        <w:autoSpaceDN w:val="0"/>
        <w:adjustRightInd w:val="0"/>
        <w:spacing w:before="120"/>
        <w:ind w:left="1134" w:hanging="425"/>
      </w:pPr>
      <w:r w:rsidRPr="00EA55DB">
        <w:t xml:space="preserve">WDHB - </w:t>
      </w:r>
      <w:r w:rsidR="00C50739">
        <w:t>Waitemata</w:t>
      </w:r>
      <w:r w:rsidRPr="00EA55DB">
        <w:t xml:space="preserve"> District Health Board </w:t>
      </w:r>
    </w:p>
    <w:p w:rsidR="001F3B04" w:rsidRDefault="001F3B04" w:rsidP="00604AA9">
      <w:pPr>
        <w:numPr>
          <w:ilvl w:val="0"/>
          <w:numId w:val="7"/>
        </w:numPr>
        <w:autoSpaceDE w:val="0"/>
        <w:autoSpaceDN w:val="0"/>
        <w:adjustRightInd w:val="0"/>
        <w:spacing w:before="120"/>
        <w:ind w:left="1134" w:hanging="425"/>
      </w:pPr>
      <w:r>
        <w:rPr>
          <w:rFonts w:cs="Arial"/>
        </w:rPr>
        <w:lastRenderedPageBreak/>
        <w:t xml:space="preserve">WHEU - </w:t>
      </w:r>
      <w:r w:rsidRPr="00F12FA8">
        <w:t>Waitakere</w:t>
      </w:r>
      <w:r w:rsidRPr="005609CF">
        <w:rPr>
          <w:rFonts w:cs="Arial"/>
        </w:rPr>
        <w:t xml:space="preserve"> Hospital Endoscopy Unit </w:t>
      </w:r>
    </w:p>
    <w:p w:rsidR="006A4CE0" w:rsidRPr="009433F2" w:rsidRDefault="00EA55DB" w:rsidP="00F12FA8">
      <w:pPr>
        <w:numPr>
          <w:ilvl w:val="0"/>
          <w:numId w:val="7"/>
        </w:numPr>
        <w:autoSpaceDE w:val="0"/>
        <w:autoSpaceDN w:val="0"/>
        <w:adjustRightInd w:val="0"/>
        <w:spacing w:before="120"/>
        <w:ind w:left="1134" w:hanging="425"/>
        <w:rPr>
          <w:rFonts w:cs="Arial"/>
        </w:rPr>
      </w:pPr>
      <w:r w:rsidRPr="009433F2">
        <w:rPr>
          <w:rFonts w:cs="Arial"/>
        </w:rPr>
        <w:t>The Register – BSP information system</w:t>
      </w:r>
    </w:p>
    <w:p w:rsidR="006A4CE0" w:rsidRDefault="006A4CE0" w:rsidP="006A4CE0">
      <w:pPr>
        <w:ind w:left="2268" w:hanging="1701"/>
        <w:rPr>
          <w:b/>
          <w:sz w:val="28"/>
          <w:szCs w:val="28"/>
        </w:rPr>
        <w:sectPr w:rsidR="006A4CE0" w:rsidSect="0052139C">
          <w:headerReference w:type="even" r:id="rId59"/>
          <w:headerReference w:type="default" r:id="rId60"/>
          <w:footerReference w:type="default" r:id="rId61"/>
          <w:headerReference w:type="first" r:id="rId62"/>
          <w:footerReference w:type="first" r:id="rId63"/>
          <w:pgSz w:w="11909" w:h="16834" w:code="9"/>
          <w:pgMar w:top="1701" w:right="1134" w:bottom="1701" w:left="1134" w:header="567" w:footer="567" w:gutter="0"/>
          <w:cols w:space="720"/>
          <w:docGrid w:linePitch="299"/>
        </w:sectPr>
      </w:pPr>
    </w:p>
    <w:p w:rsidR="0065371A" w:rsidRDefault="0046313F" w:rsidP="00B67B88">
      <w:pPr>
        <w:pStyle w:val="Heading1"/>
      </w:pPr>
      <w:bookmarkStart w:id="411" w:name="_Toc390872227"/>
      <w:bookmarkStart w:id="412" w:name="_Toc412540046"/>
      <w:bookmarkStart w:id="413" w:name="_Toc390786685"/>
      <w:r w:rsidRPr="00F579CC">
        <w:lastRenderedPageBreak/>
        <w:t>Appendices</w:t>
      </w:r>
      <w:bookmarkEnd w:id="411"/>
      <w:bookmarkEnd w:id="412"/>
    </w:p>
    <w:p w:rsidR="0046313F" w:rsidRDefault="0046313F" w:rsidP="001633DF">
      <w:pPr>
        <w:pStyle w:val="Heading2"/>
        <w:rPr>
          <w:rFonts w:eastAsiaTheme="minorHAnsi" w:cs="Arial"/>
          <w:sz w:val="32"/>
          <w:lang w:eastAsia="en-US"/>
        </w:rPr>
      </w:pPr>
      <w:bookmarkStart w:id="414" w:name="_Appendix_1:_"/>
      <w:bookmarkStart w:id="415" w:name="_Toc390872228"/>
      <w:bookmarkStart w:id="416" w:name="_Toc412540047"/>
      <w:bookmarkEnd w:id="414"/>
      <w:r w:rsidRPr="0046313F">
        <w:rPr>
          <w:rFonts w:eastAsiaTheme="majorEastAsia"/>
          <w:lang w:val="en-US" w:eastAsia="ja-JP"/>
        </w:rPr>
        <w:t>Appendix</w:t>
      </w:r>
      <w:r>
        <w:rPr>
          <w:rFonts w:eastAsiaTheme="majorEastAsia"/>
          <w:lang w:val="en-US" w:eastAsia="ja-JP"/>
        </w:rPr>
        <w:t xml:space="preserve"> 1</w:t>
      </w:r>
      <w:r w:rsidRPr="0046313F">
        <w:rPr>
          <w:rFonts w:eastAsiaTheme="majorEastAsia"/>
          <w:lang w:val="en-US" w:eastAsia="ja-JP"/>
        </w:rPr>
        <w:t xml:space="preserve">:  </w:t>
      </w:r>
      <w:bookmarkEnd w:id="413"/>
      <w:bookmarkEnd w:id="415"/>
      <w:r w:rsidR="001633DF">
        <w:rPr>
          <w:rFonts w:eastAsiaTheme="majorEastAsia"/>
          <w:lang w:val="en-US" w:eastAsia="ja-JP"/>
        </w:rPr>
        <w:t>Epidemiology Report (Read et al</w:t>
      </w:r>
      <w:r w:rsidR="00A67709">
        <w:rPr>
          <w:rFonts w:eastAsiaTheme="majorEastAsia"/>
          <w:lang w:val="en-US" w:eastAsia="ja-JP"/>
        </w:rPr>
        <w:t>.</w:t>
      </w:r>
      <w:r w:rsidR="001633DF">
        <w:rPr>
          <w:rFonts w:eastAsiaTheme="majorEastAsia"/>
          <w:lang w:val="en-US" w:eastAsia="ja-JP"/>
        </w:rPr>
        <w:t xml:space="preserve"> 2014)</w:t>
      </w:r>
      <w:bookmarkEnd w:id="416"/>
      <w:r w:rsidR="005662A0">
        <w:rPr>
          <w:rFonts w:eastAsiaTheme="majorEastAsia"/>
          <w:lang w:val="en-US" w:eastAsia="ja-JP"/>
        </w:rPr>
        <w:t xml:space="preserve"> </w:t>
      </w:r>
    </w:p>
    <w:p w:rsidR="00B77083" w:rsidRDefault="00122976" w:rsidP="00B77083">
      <w:pPr>
        <w:ind w:left="425"/>
        <w:rPr>
          <w:rFonts w:cs="Arial"/>
        </w:rPr>
      </w:pPr>
      <w:r w:rsidRPr="000111A6">
        <w:rPr>
          <w:u w:val="single"/>
        </w:rPr>
        <w:t>Double c</w:t>
      </w:r>
      <w:r w:rsidR="001633DF" w:rsidRPr="000111A6">
        <w:rPr>
          <w:u w:val="single"/>
        </w:rPr>
        <w:t>lick on the page</w:t>
      </w:r>
      <w:r w:rsidR="001633DF" w:rsidRPr="00FF27DA">
        <w:t xml:space="preserve"> </w:t>
      </w:r>
      <w:r w:rsidR="001633DF">
        <w:t xml:space="preserve">below to access the complete epidemiology report: Read D, Shanthakumar M, Borman B. 2014. </w:t>
      </w:r>
      <w:proofErr w:type="gramStart"/>
      <w:r w:rsidR="001633DF">
        <w:rPr>
          <w:i/>
        </w:rPr>
        <w:t>Results of the First Round of the Bowel Screening Pilot</w:t>
      </w:r>
      <w:r w:rsidR="001633DF">
        <w:t>.</w:t>
      </w:r>
      <w:proofErr w:type="gramEnd"/>
      <w:r w:rsidR="001633DF">
        <w:t xml:space="preserve">  </w:t>
      </w:r>
      <w:proofErr w:type="gramStart"/>
      <w:r w:rsidR="001633DF">
        <w:rPr>
          <w:rFonts w:cs="Arial"/>
        </w:rPr>
        <w:t>Prepared for the Ministry of Health.</w:t>
      </w:r>
      <w:proofErr w:type="gramEnd"/>
      <w:r w:rsidR="001633DF">
        <w:rPr>
          <w:rFonts w:cs="Arial"/>
        </w:rPr>
        <w:t xml:space="preserve"> Wellington, New Zealand: Centre for Public Health Research, Massey University.</w:t>
      </w:r>
    </w:p>
    <w:p w:rsidR="009724F7" w:rsidRPr="009724F7" w:rsidRDefault="00BB4907" w:rsidP="000111A6">
      <w:pPr>
        <w:ind w:left="425"/>
        <w:jc w:val="center"/>
      </w:pPr>
      <w:r w:rsidRPr="00BB4907">
        <w:object w:dxaOrig="8925" w:dyaOrig="12630" w14:anchorId="24F92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473.25pt" o:ole="" o:bordertopcolor="this" o:borderleftcolor="this" o:borderbottomcolor="this" o:borderrightcolor="this">
            <v:imagedata r:id="rId64" o:title=""/>
            <w10:bordertop type="single" width="4"/>
            <w10:borderleft type="single" width="4"/>
            <w10:borderbottom type="single" width="4"/>
            <w10:borderright type="single" width="4"/>
          </v:shape>
          <o:OLEObject Type="Embed" ProgID="AcroExch.Document.11" ShapeID="_x0000_i1025" DrawAspect="Content" ObjectID="_1494336134" r:id="rId65"/>
        </w:object>
      </w:r>
    </w:p>
    <w:p w:rsidR="00B77083" w:rsidRPr="009724F7" w:rsidRDefault="00B77083" w:rsidP="00B77083">
      <w:pPr>
        <w:spacing w:before="0"/>
        <w:ind w:left="0"/>
        <w:jc w:val="center"/>
      </w:pPr>
    </w:p>
    <w:p w:rsidR="00BB4907" w:rsidRDefault="00BB4907">
      <w:pPr>
        <w:spacing w:before="0"/>
        <w:ind w:left="0"/>
        <w:rPr>
          <w:rFonts w:eastAsiaTheme="majorEastAsia"/>
          <w:b/>
          <w:sz w:val="28"/>
          <w:szCs w:val="28"/>
          <w:lang w:val="en-US" w:eastAsia="ja-JP"/>
        </w:rPr>
      </w:pPr>
      <w:bookmarkStart w:id="417" w:name="_Toc390872229"/>
      <w:r>
        <w:rPr>
          <w:rFonts w:eastAsiaTheme="majorEastAsia"/>
          <w:lang w:val="en-US" w:eastAsia="ja-JP"/>
        </w:rPr>
        <w:br w:type="page"/>
      </w:r>
    </w:p>
    <w:p w:rsidR="00FB1E0B" w:rsidRDefault="00FB1E0B" w:rsidP="00FB1E0B">
      <w:pPr>
        <w:pStyle w:val="Heading2"/>
        <w:rPr>
          <w:rFonts w:eastAsiaTheme="majorEastAsia"/>
          <w:lang w:val="en-US" w:eastAsia="ja-JP"/>
        </w:rPr>
      </w:pPr>
      <w:bookmarkStart w:id="418" w:name="_Appendix_2:_"/>
      <w:bookmarkStart w:id="419" w:name="_Toc412540048"/>
      <w:bookmarkEnd w:id="418"/>
      <w:r w:rsidRPr="0046313F">
        <w:rPr>
          <w:rFonts w:eastAsiaTheme="majorEastAsia"/>
          <w:lang w:val="en-US" w:eastAsia="ja-JP"/>
        </w:rPr>
        <w:lastRenderedPageBreak/>
        <w:t>Appendix</w:t>
      </w:r>
      <w:r>
        <w:rPr>
          <w:rFonts w:eastAsiaTheme="majorEastAsia"/>
          <w:lang w:val="en-US" w:eastAsia="ja-JP"/>
        </w:rPr>
        <w:t xml:space="preserve"> 2</w:t>
      </w:r>
      <w:r w:rsidRPr="0046313F">
        <w:rPr>
          <w:rFonts w:eastAsiaTheme="majorEastAsia"/>
          <w:lang w:val="en-US" w:eastAsia="ja-JP"/>
        </w:rPr>
        <w:t xml:space="preserve">:  </w:t>
      </w:r>
      <w:r>
        <w:rPr>
          <w:rFonts w:eastAsiaTheme="majorEastAsia"/>
          <w:lang w:val="en-US" w:eastAsia="ja-JP"/>
        </w:rPr>
        <w:t>Interim costing</w:t>
      </w:r>
      <w:r w:rsidRPr="0046313F">
        <w:rPr>
          <w:rFonts w:eastAsiaTheme="majorEastAsia"/>
          <w:lang w:val="en-US" w:eastAsia="ja-JP"/>
        </w:rPr>
        <w:t xml:space="preserve"> </w:t>
      </w:r>
      <w:r>
        <w:rPr>
          <w:rFonts w:eastAsiaTheme="majorEastAsia"/>
          <w:lang w:val="en-US" w:eastAsia="ja-JP"/>
        </w:rPr>
        <w:t>a</w:t>
      </w:r>
      <w:r w:rsidRPr="0046313F">
        <w:rPr>
          <w:rFonts w:eastAsiaTheme="majorEastAsia"/>
          <w:lang w:val="en-US" w:eastAsia="ja-JP"/>
        </w:rPr>
        <w:t>nalysis</w:t>
      </w:r>
      <w:r>
        <w:rPr>
          <w:rFonts w:eastAsiaTheme="majorEastAsia"/>
          <w:lang w:val="en-US" w:eastAsia="ja-JP"/>
        </w:rPr>
        <w:t xml:space="preserve"> </w:t>
      </w:r>
      <w:r w:rsidR="006B041D">
        <w:rPr>
          <w:rFonts w:eastAsiaTheme="majorEastAsia"/>
          <w:lang w:val="en-US" w:eastAsia="ja-JP"/>
        </w:rPr>
        <w:t>(Sapere Research Group, 2014)</w:t>
      </w:r>
      <w:bookmarkEnd w:id="419"/>
    </w:p>
    <w:p w:rsidR="009B019C" w:rsidRPr="003A76BB" w:rsidRDefault="009B019C" w:rsidP="009B019C">
      <w:pPr>
        <w:ind w:left="425"/>
        <w:rPr>
          <w:rFonts w:cs="Arial"/>
          <w:b/>
        </w:rPr>
      </w:pPr>
      <w:r w:rsidRPr="000111A6">
        <w:rPr>
          <w:u w:val="single"/>
        </w:rPr>
        <w:t>Double click on the page</w:t>
      </w:r>
      <w:r w:rsidRPr="00FF27DA">
        <w:t xml:space="preserve"> </w:t>
      </w:r>
      <w:r>
        <w:t>below to access the complete interim costing analysis</w:t>
      </w:r>
      <w:r w:rsidR="00FF27DA">
        <w:t xml:space="preserve"> report</w:t>
      </w:r>
      <w:r>
        <w:t xml:space="preserve">: </w:t>
      </w:r>
      <w:r w:rsidRPr="003A76BB">
        <w:t xml:space="preserve">Artus </w:t>
      </w:r>
      <w:r>
        <w:t>J, Love T, Blick G and Poynton</w:t>
      </w:r>
      <w:r w:rsidRPr="003A76BB">
        <w:t xml:space="preserve">. 2014. </w:t>
      </w:r>
      <w:r w:rsidR="00FF27DA">
        <w:rPr>
          <w:i/>
        </w:rPr>
        <w:t>Interim costing a</w:t>
      </w:r>
      <w:r w:rsidRPr="003A76BB">
        <w:rPr>
          <w:i/>
        </w:rPr>
        <w:t>nalysis</w:t>
      </w:r>
      <w:r w:rsidR="00FF27DA">
        <w:rPr>
          <w:i/>
        </w:rPr>
        <w:t xml:space="preserve"> – costs of the first screening round (2012-13)</w:t>
      </w:r>
      <w:r w:rsidRPr="003A76BB">
        <w:rPr>
          <w:i/>
        </w:rPr>
        <w:t>.</w:t>
      </w:r>
      <w:r w:rsidRPr="003A76BB">
        <w:t xml:space="preserve"> </w:t>
      </w:r>
      <w:proofErr w:type="gramStart"/>
      <w:r w:rsidRPr="003A76BB">
        <w:rPr>
          <w:rFonts w:cs="Arial"/>
        </w:rPr>
        <w:t>Prepared for the Ministry of Health.</w:t>
      </w:r>
      <w:proofErr w:type="gramEnd"/>
      <w:r w:rsidRPr="003A76BB">
        <w:rPr>
          <w:rFonts w:cs="Arial"/>
        </w:rPr>
        <w:t xml:space="preserve"> Wellington, New Zealand: Sapere Research Group.</w:t>
      </w:r>
    </w:p>
    <w:p w:rsidR="009B019C" w:rsidRDefault="009B019C" w:rsidP="009B019C">
      <w:pPr>
        <w:ind w:left="425"/>
        <w:rPr>
          <w:rFonts w:eastAsiaTheme="majorEastAsia"/>
          <w:lang w:val="en-US" w:eastAsia="ja-JP"/>
        </w:rPr>
      </w:pPr>
    </w:p>
    <w:bookmarkStart w:id="420" w:name="_Toc383636048"/>
    <w:bookmarkStart w:id="421" w:name="_Toc383641474"/>
    <w:bookmarkStart w:id="422" w:name="_Toc383647112"/>
    <w:bookmarkStart w:id="423" w:name="_Toc383680804"/>
    <w:bookmarkStart w:id="424" w:name="_Toc383681866"/>
    <w:bookmarkStart w:id="425" w:name="_Toc386280423"/>
    <w:bookmarkStart w:id="426" w:name="_Toc393289398"/>
    <w:bookmarkStart w:id="427" w:name="_Toc393291035"/>
    <w:bookmarkStart w:id="428" w:name="_Toc393291157"/>
    <w:bookmarkStart w:id="429" w:name="_Toc393291741"/>
    <w:bookmarkStart w:id="430" w:name="_Toc393295039"/>
    <w:bookmarkEnd w:id="420"/>
    <w:bookmarkEnd w:id="421"/>
    <w:bookmarkEnd w:id="422"/>
    <w:bookmarkEnd w:id="423"/>
    <w:bookmarkEnd w:id="424"/>
    <w:bookmarkEnd w:id="425"/>
    <w:bookmarkEnd w:id="426"/>
    <w:bookmarkEnd w:id="427"/>
    <w:bookmarkEnd w:id="428"/>
    <w:bookmarkEnd w:id="429"/>
    <w:bookmarkEnd w:id="430"/>
    <w:p w:rsidR="005F28B3" w:rsidRDefault="00FF27DA" w:rsidP="009B019C">
      <w:pPr>
        <w:spacing w:before="0"/>
        <w:ind w:left="0"/>
        <w:jc w:val="center"/>
      </w:pPr>
      <w:r w:rsidRPr="009B019C">
        <w:object w:dxaOrig="8925" w:dyaOrig="12630">
          <v:shape id="_x0000_i1026" type="#_x0000_t75" style="width:329.25pt;height:466.5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AcroExch.Document.11" ShapeID="_x0000_i1026" DrawAspect="Content" ObjectID="_1494336135" r:id="rId67"/>
        </w:object>
      </w:r>
    </w:p>
    <w:p w:rsidR="00FF27DA" w:rsidRDefault="00FF27DA" w:rsidP="009B019C">
      <w:pPr>
        <w:spacing w:before="0"/>
        <w:ind w:left="0"/>
        <w:jc w:val="center"/>
      </w:pPr>
    </w:p>
    <w:p w:rsidR="00FF27DA" w:rsidRDefault="00FF27DA" w:rsidP="009B019C">
      <w:pPr>
        <w:spacing w:before="0"/>
        <w:ind w:left="0"/>
        <w:jc w:val="center"/>
        <w:rPr>
          <w:b/>
          <w:sz w:val="28"/>
          <w:szCs w:val="28"/>
        </w:rPr>
      </w:pPr>
    </w:p>
    <w:p w:rsidR="009B019C" w:rsidRDefault="009B019C">
      <w:pPr>
        <w:spacing w:before="0"/>
        <w:ind w:left="0"/>
        <w:rPr>
          <w:b/>
          <w:sz w:val="28"/>
          <w:szCs w:val="28"/>
        </w:rPr>
      </w:pPr>
      <w:r>
        <w:br w:type="page"/>
      </w:r>
    </w:p>
    <w:p w:rsidR="003A64D0" w:rsidRDefault="00EC3C68" w:rsidP="003A64D0">
      <w:pPr>
        <w:pStyle w:val="Heading2"/>
      </w:pPr>
      <w:bookmarkStart w:id="431" w:name="_Toc412540049"/>
      <w:r w:rsidRPr="00822E35">
        <w:lastRenderedPageBreak/>
        <w:t xml:space="preserve">Appendix </w:t>
      </w:r>
      <w:r w:rsidR="00D27185">
        <w:t>3</w:t>
      </w:r>
      <w:r w:rsidR="003A64D0" w:rsidRPr="00822E35">
        <w:t xml:space="preserve">: </w:t>
      </w:r>
      <w:r w:rsidR="00753530">
        <w:t xml:space="preserve"> </w:t>
      </w:r>
      <w:r w:rsidR="003A64D0" w:rsidRPr="00822E35">
        <w:t>Overview of M</w:t>
      </w:r>
      <w:r w:rsidR="002476C8" w:rsidRPr="00822E35">
        <w:rPr>
          <w:rFonts w:cs="Arial"/>
        </w:rPr>
        <w:t>ā</w:t>
      </w:r>
      <w:r w:rsidR="003A64D0" w:rsidRPr="00822E35">
        <w:t>ori and Pacific respondent survey results</w:t>
      </w:r>
      <w:bookmarkEnd w:id="417"/>
      <w:bookmarkEnd w:id="431"/>
      <w:r w:rsidR="003A64D0">
        <w:t xml:space="preserve"> </w:t>
      </w:r>
    </w:p>
    <w:p w:rsidR="003A64D0" w:rsidRDefault="003A64D0" w:rsidP="003A64D0">
      <w:r>
        <w:t>The following is a summary of the statistically significant differences in the responses by M</w:t>
      </w:r>
      <w:r>
        <w:rPr>
          <w:rFonts w:cs="Arial"/>
        </w:rPr>
        <w:t>ā</w:t>
      </w:r>
      <w:r>
        <w:t xml:space="preserve">ori and Pacific respondents in the 2013 eligible WDHB population survey (Litmus 2014a). </w:t>
      </w:r>
    </w:p>
    <w:p w:rsidR="003A64D0" w:rsidRDefault="003A64D0" w:rsidP="003A64D0">
      <w:pPr>
        <w:pStyle w:val="Heading3"/>
      </w:pPr>
      <w:r w:rsidRPr="00065416">
        <w:t>Māori</w:t>
      </w:r>
      <w:r w:rsidRPr="00A82446">
        <w:t xml:space="preserve"> </w:t>
      </w:r>
      <w:r>
        <w:t xml:space="preserve">responses </w:t>
      </w:r>
    </w:p>
    <w:p w:rsidR="003A64D0" w:rsidRDefault="003A64D0" w:rsidP="003A64D0">
      <w:pPr>
        <w:pStyle w:val="Heading4"/>
      </w:pPr>
      <w:r w:rsidRPr="00A82446">
        <w:t xml:space="preserve">Eligible Māori </w:t>
      </w:r>
      <w:r>
        <w:t>respondents</w:t>
      </w:r>
      <w:r w:rsidRPr="00A82446">
        <w:t>: lower awareness of prevalence and risks factors</w:t>
      </w:r>
    </w:p>
    <w:p w:rsidR="003A64D0" w:rsidRPr="00C522B5" w:rsidRDefault="003A64D0" w:rsidP="00604AA9">
      <w:pPr>
        <w:numPr>
          <w:ilvl w:val="0"/>
          <w:numId w:val="7"/>
        </w:numPr>
        <w:autoSpaceDE w:val="0"/>
        <w:autoSpaceDN w:val="0"/>
        <w:adjustRightInd w:val="0"/>
        <w:spacing w:before="120"/>
        <w:ind w:left="1134" w:hanging="425"/>
      </w:pPr>
      <w:r w:rsidRPr="00C522B5">
        <w:t>Lower awareness of bowel cancer prevalen</w:t>
      </w:r>
      <w:r>
        <w:t xml:space="preserve">ce compared to </w:t>
      </w:r>
      <w:r w:rsidR="009F7472">
        <w:t>Other et</w:t>
      </w:r>
      <w:r>
        <w:t xml:space="preserve">hnicity </w:t>
      </w:r>
    </w:p>
    <w:p w:rsidR="003A64D0" w:rsidRDefault="003A64D0" w:rsidP="00604AA9">
      <w:pPr>
        <w:numPr>
          <w:ilvl w:val="1"/>
          <w:numId w:val="7"/>
        </w:numPr>
        <w:autoSpaceDE w:val="0"/>
        <w:autoSpaceDN w:val="0"/>
        <w:adjustRightInd w:val="0"/>
        <w:spacing w:before="120"/>
        <w:ind w:left="1701" w:hanging="567"/>
      </w:pPr>
      <w:r>
        <w:rPr>
          <w:lang w:eastAsia="ar-SA"/>
        </w:rPr>
        <w:t>S</w:t>
      </w:r>
      <w:r w:rsidRPr="00C522B5">
        <w:rPr>
          <w:lang w:eastAsia="ar-SA"/>
        </w:rPr>
        <w:t>econd most common cancer in men</w:t>
      </w:r>
      <w:r>
        <w:rPr>
          <w:lang w:eastAsia="ar-SA"/>
        </w:rPr>
        <w:t xml:space="preserve">: </w:t>
      </w:r>
      <w:r w:rsidRPr="00C522B5">
        <w:rPr>
          <w:lang w:eastAsia="ar-SA"/>
        </w:rPr>
        <w:t xml:space="preserve">31% </w:t>
      </w:r>
      <w:r>
        <w:rPr>
          <w:lang w:eastAsia="ar-SA"/>
        </w:rPr>
        <w:t xml:space="preserve">of </w:t>
      </w:r>
      <w:r w:rsidRPr="00C522B5">
        <w:rPr>
          <w:lang w:eastAsia="ar-SA"/>
        </w:rPr>
        <w:t xml:space="preserve">Māori </w:t>
      </w:r>
      <w:r>
        <w:rPr>
          <w:lang w:eastAsia="ar-SA"/>
        </w:rPr>
        <w:t>are aware compared to</w:t>
      </w:r>
      <w:r w:rsidRPr="00C522B5">
        <w:rPr>
          <w:lang w:eastAsia="ar-SA"/>
        </w:rPr>
        <w:t xml:space="preserve"> 39% </w:t>
      </w:r>
      <w:r w:rsidR="009F7472">
        <w:t>Other et</w:t>
      </w:r>
      <w:r>
        <w:t xml:space="preserve">hnicity </w:t>
      </w:r>
    </w:p>
    <w:p w:rsidR="003A64D0" w:rsidRPr="00C522B5" w:rsidRDefault="003A64D0" w:rsidP="00604AA9">
      <w:pPr>
        <w:numPr>
          <w:ilvl w:val="1"/>
          <w:numId w:val="7"/>
        </w:numPr>
        <w:autoSpaceDE w:val="0"/>
        <w:autoSpaceDN w:val="0"/>
        <w:adjustRightInd w:val="0"/>
        <w:spacing w:before="120"/>
        <w:ind w:left="1701" w:hanging="567"/>
      </w:pPr>
      <w:r>
        <w:t>S</w:t>
      </w:r>
      <w:r w:rsidRPr="00C522B5">
        <w:t>econd most common cancer in women</w:t>
      </w:r>
      <w:r>
        <w:t xml:space="preserve">: </w:t>
      </w:r>
      <w:r w:rsidRPr="00C522B5">
        <w:rPr>
          <w:lang w:eastAsia="ar-SA"/>
        </w:rPr>
        <w:t>10%</w:t>
      </w:r>
      <w:r w:rsidRPr="00C522B5">
        <w:t xml:space="preserve"> </w:t>
      </w:r>
      <w:r>
        <w:t xml:space="preserve">of </w:t>
      </w:r>
      <w:r w:rsidRPr="00C522B5">
        <w:t xml:space="preserve">Māori </w:t>
      </w:r>
      <w:r>
        <w:t xml:space="preserve">are aware compared to </w:t>
      </w:r>
      <w:r w:rsidRPr="00C522B5">
        <w:t xml:space="preserve">21% </w:t>
      </w:r>
      <w:r w:rsidR="009F7472">
        <w:t>Other et</w:t>
      </w:r>
      <w:r>
        <w:t xml:space="preserve">hnicity </w:t>
      </w:r>
      <w:r w:rsidRPr="00C522B5">
        <w:t xml:space="preserve">in 2013 </w:t>
      </w:r>
    </w:p>
    <w:p w:rsidR="003A64D0" w:rsidRDefault="003A64D0" w:rsidP="00604AA9">
      <w:pPr>
        <w:numPr>
          <w:ilvl w:val="0"/>
          <w:numId w:val="7"/>
        </w:numPr>
        <w:autoSpaceDE w:val="0"/>
        <w:autoSpaceDN w:val="0"/>
        <w:adjustRightInd w:val="0"/>
        <w:spacing w:before="120"/>
        <w:ind w:left="1134" w:hanging="425"/>
        <w:rPr>
          <w:lang w:eastAsia="ar-SA"/>
        </w:rPr>
      </w:pPr>
      <w:r w:rsidRPr="00C522B5">
        <w:t xml:space="preserve">Less well informed about the risk factors for bowel cancer than </w:t>
      </w:r>
      <w:r w:rsidR="009F7472">
        <w:t>Other et</w:t>
      </w:r>
      <w:r>
        <w:t xml:space="preserve">hnicity </w:t>
      </w:r>
    </w:p>
    <w:p w:rsidR="003A64D0" w:rsidRPr="00A82446" w:rsidRDefault="003A64D0" w:rsidP="00604AA9">
      <w:pPr>
        <w:numPr>
          <w:ilvl w:val="1"/>
          <w:numId w:val="7"/>
        </w:numPr>
        <w:tabs>
          <w:tab w:val="num" w:pos="720"/>
        </w:tabs>
        <w:autoSpaceDE w:val="0"/>
        <w:autoSpaceDN w:val="0"/>
        <w:adjustRightInd w:val="0"/>
        <w:spacing w:before="120"/>
        <w:ind w:left="1701" w:hanging="567"/>
        <w:rPr>
          <w:lang w:eastAsia="ar-SA"/>
        </w:rPr>
      </w:pPr>
      <w:r w:rsidRPr="00A82446">
        <w:rPr>
          <w:lang w:eastAsia="ar-SA"/>
        </w:rPr>
        <w:t xml:space="preserve">Less agreement: a close relative with bowel cancer is a risk factor (45% </w:t>
      </w:r>
      <w:r>
        <w:rPr>
          <w:lang w:eastAsia="ar-SA"/>
        </w:rPr>
        <w:t xml:space="preserve">of </w:t>
      </w:r>
      <w:r w:rsidRPr="00A82446">
        <w:rPr>
          <w:lang w:eastAsia="ar-SA"/>
        </w:rPr>
        <w:t xml:space="preserve">Māori </w:t>
      </w:r>
      <w:r>
        <w:t>strongly/ somewhat agree</w:t>
      </w:r>
      <w:r w:rsidRPr="00A82446">
        <w:rPr>
          <w:lang w:eastAsia="ar-SA"/>
        </w:rPr>
        <w:t xml:space="preserve"> </w:t>
      </w:r>
      <w:r>
        <w:rPr>
          <w:lang w:eastAsia="ar-SA"/>
        </w:rPr>
        <w:t xml:space="preserve">compared to </w:t>
      </w:r>
      <w:r w:rsidRPr="00A82446">
        <w:rPr>
          <w:lang w:eastAsia="ar-SA"/>
        </w:rPr>
        <w:t xml:space="preserve">76% </w:t>
      </w:r>
      <w:r w:rsidR="009F7472">
        <w:t>Other et</w:t>
      </w:r>
      <w:r>
        <w:t>hnicity</w:t>
      </w:r>
      <w:r w:rsidRPr="00A82446">
        <w:rPr>
          <w:lang w:eastAsia="ar-SA"/>
        </w:rPr>
        <w:t xml:space="preserve">) </w:t>
      </w:r>
    </w:p>
    <w:p w:rsidR="003A64D0" w:rsidRPr="00A82446" w:rsidRDefault="003A64D0" w:rsidP="00604AA9">
      <w:pPr>
        <w:numPr>
          <w:ilvl w:val="1"/>
          <w:numId w:val="7"/>
        </w:numPr>
        <w:autoSpaceDE w:val="0"/>
        <w:autoSpaceDN w:val="0"/>
        <w:adjustRightInd w:val="0"/>
        <w:spacing w:before="120"/>
        <w:ind w:left="1701" w:hanging="567"/>
        <w:rPr>
          <w:lang w:eastAsia="ar-SA"/>
        </w:rPr>
      </w:pPr>
      <w:r w:rsidRPr="00A82446">
        <w:rPr>
          <w:lang w:eastAsia="ar-SA"/>
        </w:rPr>
        <w:t xml:space="preserve">Less agreement: having a diet low in fibre can increase chance of developing bowel cancer (49% </w:t>
      </w:r>
      <w:r>
        <w:rPr>
          <w:lang w:eastAsia="ar-SA"/>
        </w:rPr>
        <w:t xml:space="preserve">of </w:t>
      </w:r>
      <w:r w:rsidRPr="00A82446">
        <w:rPr>
          <w:lang w:eastAsia="ar-SA"/>
        </w:rPr>
        <w:t xml:space="preserve">Māori </w:t>
      </w:r>
      <w:r>
        <w:t>strongly/ somewhat agree</w:t>
      </w:r>
      <w:r w:rsidRPr="00A82446">
        <w:rPr>
          <w:lang w:eastAsia="ar-SA"/>
        </w:rPr>
        <w:t xml:space="preserve"> </w:t>
      </w:r>
      <w:r>
        <w:rPr>
          <w:lang w:eastAsia="ar-SA"/>
        </w:rPr>
        <w:t xml:space="preserve">compared to </w:t>
      </w:r>
      <w:r w:rsidRPr="00A82446">
        <w:rPr>
          <w:lang w:eastAsia="ar-SA"/>
        </w:rPr>
        <w:t xml:space="preserve">74% </w:t>
      </w:r>
      <w:r w:rsidR="009F7472">
        <w:t>Other et</w:t>
      </w:r>
      <w:r>
        <w:t>hnicity</w:t>
      </w:r>
      <w:r w:rsidRPr="00A82446">
        <w:rPr>
          <w:lang w:eastAsia="ar-SA"/>
        </w:rPr>
        <w:t>)</w:t>
      </w:r>
    </w:p>
    <w:p w:rsidR="003A64D0" w:rsidRPr="00A82446" w:rsidRDefault="003A64D0" w:rsidP="00604AA9">
      <w:pPr>
        <w:numPr>
          <w:ilvl w:val="1"/>
          <w:numId w:val="7"/>
        </w:numPr>
        <w:autoSpaceDE w:val="0"/>
        <w:autoSpaceDN w:val="0"/>
        <w:adjustRightInd w:val="0"/>
        <w:spacing w:before="120"/>
        <w:ind w:left="1701" w:hanging="567"/>
        <w:rPr>
          <w:lang w:eastAsia="ar-SA"/>
        </w:rPr>
      </w:pPr>
      <w:r w:rsidRPr="00A82446">
        <w:rPr>
          <w:lang w:eastAsia="ar-SA"/>
        </w:rPr>
        <w:t xml:space="preserve">More likely to disagree:  eating fewer than five servings of fruit and vegetables a day can increase a person’s chance of developing bowel cancer (61% </w:t>
      </w:r>
      <w:r>
        <w:rPr>
          <w:lang w:eastAsia="ar-SA"/>
        </w:rPr>
        <w:t xml:space="preserve">of </w:t>
      </w:r>
      <w:r w:rsidRPr="00A82446">
        <w:rPr>
          <w:lang w:eastAsia="ar-SA"/>
        </w:rPr>
        <w:t xml:space="preserve">Māori </w:t>
      </w:r>
      <w:r>
        <w:t>strongly/ somewhat agree</w:t>
      </w:r>
      <w:r w:rsidRPr="00A82446">
        <w:rPr>
          <w:lang w:eastAsia="ar-SA"/>
        </w:rPr>
        <w:t xml:space="preserve"> </w:t>
      </w:r>
      <w:r>
        <w:rPr>
          <w:lang w:eastAsia="ar-SA"/>
        </w:rPr>
        <w:t xml:space="preserve">compared to </w:t>
      </w:r>
      <w:r w:rsidRPr="00A82446">
        <w:rPr>
          <w:lang w:eastAsia="ar-SA"/>
        </w:rPr>
        <w:t xml:space="preserve">34% </w:t>
      </w:r>
      <w:proofErr w:type="gramStart"/>
      <w:r w:rsidR="009F7472">
        <w:t>Other</w:t>
      </w:r>
      <w:proofErr w:type="gramEnd"/>
      <w:r w:rsidR="009F7472">
        <w:t xml:space="preserve"> et</w:t>
      </w:r>
      <w:r>
        <w:t>hnicity).</w:t>
      </w:r>
    </w:p>
    <w:p w:rsidR="003A64D0" w:rsidRDefault="003A64D0" w:rsidP="003A64D0">
      <w:pPr>
        <w:pStyle w:val="Heading4"/>
      </w:pPr>
      <w:r w:rsidRPr="00A82446">
        <w:t>Eligible Māori population: lower awareness symptoms and tests</w:t>
      </w:r>
    </w:p>
    <w:p w:rsidR="003A64D0" w:rsidRPr="00A82446" w:rsidRDefault="003A64D0" w:rsidP="00604AA9">
      <w:pPr>
        <w:numPr>
          <w:ilvl w:val="0"/>
          <w:numId w:val="7"/>
        </w:numPr>
        <w:tabs>
          <w:tab w:val="num" w:pos="720"/>
        </w:tabs>
        <w:autoSpaceDE w:val="0"/>
        <w:autoSpaceDN w:val="0"/>
        <w:adjustRightInd w:val="0"/>
        <w:spacing w:before="120"/>
        <w:ind w:left="1134" w:hanging="425"/>
      </w:pPr>
      <w:r w:rsidRPr="00A82446">
        <w:t xml:space="preserve">Lower unprompted awareness of symptoms </w:t>
      </w:r>
      <w:r w:rsidR="002476C8">
        <w:t xml:space="preserve">of bowel cancer </w:t>
      </w:r>
    </w:p>
    <w:p w:rsidR="003A64D0" w:rsidRPr="00A82446" w:rsidRDefault="003A64D0" w:rsidP="00604AA9">
      <w:pPr>
        <w:numPr>
          <w:ilvl w:val="1"/>
          <w:numId w:val="7"/>
        </w:numPr>
        <w:autoSpaceDE w:val="0"/>
        <w:autoSpaceDN w:val="0"/>
        <w:adjustRightInd w:val="0"/>
        <w:spacing w:before="120"/>
        <w:ind w:left="1701" w:hanging="567"/>
        <w:rPr>
          <w:lang w:eastAsia="ar-SA"/>
        </w:rPr>
      </w:pPr>
      <w:r w:rsidRPr="00A82446">
        <w:rPr>
          <w:lang w:eastAsia="ar-SA"/>
        </w:rPr>
        <w:t xml:space="preserve">69% </w:t>
      </w:r>
      <w:r>
        <w:rPr>
          <w:lang w:eastAsia="ar-SA"/>
        </w:rPr>
        <w:t>of M</w:t>
      </w:r>
      <w:r>
        <w:rPr>
          <w:rFonts w:cs="Arial"/>
          <w:lang w:eastAsia="ar-SA"/>
        </w:rPr>
        <w:t>ā</w:t>
      </w:r>
      <w:r>
        <w:rPr>
          <w:lang w:eastAsia="ar-SA"/>
        </w:rPr>
        <w:t xml:space="preserve">ori </w:t>
      </w:r>
      <w:r w:rsidRPr="00A82446">
        <w:rPr>
          <w:lang w:eastAsia="ar-SA"/>
        </w:rPr>
        <w:t xml:space="preserve">mention unprompted blood in bowel motions (85% </w:t>
      </w:r>
      <w:r w:rsidR="009F7472">
        <w:t>Other et</w:t>
      </w:r>
      <w:r>
        <w:t>hnicity</w:t>
      </w:r>
      <w:r w:rsidRPr="00A82446">
        <w:rPr>
          <w:lang w:eastAsia="ar-SA"/>
        </w:rPr>
        <w:t xml:space="preserve">) </w:t>
      </w:r>
    </w:p>
    <w:p w:rsidR="003A64D0" w:rsidRPr="00A82446" w:rsidRDefault="003A64D0" w:rsidP="00604AA9">
      <w:pPr>
        <w:numPr>
          <w:ilvl w:val="1"/>
          <w:numId w:val="7"/>
        </w:numPr>
        <w:autoSpaceDE w:val="0"/>
        <w:autoSpaceDN w:val="0"/>
        <w:adjustRightInd w:val="0"/>
        <w:spacing w:before="120"/>
        <w:ind w:left="1701" w:hanging="567"/>
        <w:rPr>
          <w:lang w:eastAsia="ar-SA"/>
        </w:rPr>
      </w:pPr>
      <w:r w:rsidRPr="00A82446">
        <w:rPr>
          <w:lang w:eastAsia="ar-SA"/>
        </w:rPr>
        <w:t xml:space="preserve">28% </w:t>
      </w:r>
      <w:r>
        <w:rPr>
          <w:lang w:eastAsia="ar-SA"/>
        </w:rPr>
        <w:t>of M</w:t>
      </w:r>
      <w:r>
        <w:rPr>
          <w:rFonts w:cs="Arial"/>
          <w:lang w:eastAsia="ar-SA"/>
        </w:rPr>
        <w:t>ā</w:t>
      </w:r>
      <w:r>
        <w:rPr>
          <w:lang w:eastAsia="ar-SA"/>
        </w:rPr>
        <w:t xml:space="preserve">ori </w:t>
      </w:r>
      <w:r w:rsidRPr="00A82446">
        <w:rPr>
          <w:lang w:eastAsia="ar-SA"/>
        </w:rPr>
        <w:t xml:space="preserve">mention unprompted change in toilet habits (60% </w:t>
      </w:r>
      <w:r w:rsidR="009F7472">
        <w:t>Other et</w:t>
      </w:r>
      <w:r>
        <w:t>hnicity</w:t>
      </w:r>
      <w:r w:rsidRPr="00A82446">
        <w:rPr>
          <w:lang w:eastAsia="ar-SA"/>
        </w:rPr>
        <w:t xml:space="preserve">) </w:t>
      </w:r>
    </w:p>
    <w:p w:rsidR="003A64D0" w:rsidRPr="00A82446" w:rsidRDefault="003A64D0" w:rsidP="00604AA9">
      <w:pPr>
        <w:numPr>
          <w:ilvl w:val="0"/>
          <w:numId w:val="7"/>
        </w:numPr>
        <w:tabs>
          <w:tab w:val="num" w:pos="720"/>
        </w:tabs>
        <w:autoSpaceDE w:val="0"/>
        <w:autoSpaceDN w:val="0"/>
        <w:adjustRightInd w:val="0"/>
        <w:spacing w:before="120"/>
        <w:ind w:left="1134" w:hanging="425"/>
      </w:pPr>
      <w:r w:rsidRPr="00A82446">
        <w:t xml:space="preserve">Increasing but lower awareness </w:t>
      </w:r>
      <w:r w:rsidR="00A548A6">
        <w:t xml:space="preserve">of </w:t>
      </w:r>
      <w:r w:rsidRPr="00A82446">
        <w:t>bowel cancer tests</w:t>
      </w:r>
    </w:p>
    <w:p w:rsidR="003A64D0" w:rsidRPr="00A82446" w:rsidRDefault="003A64D0" w:rsidP="00604AA9">
      <w:pPr>
        <w:numPr>
          <w:ilvl w:val="1"/>
          <w:numId w:val="7"/>
        </w:numPr>
        <w:autoSpaceDE w:val="0"/>
        <w:autoSpaceDN w:val="0"/>
        <w:adjustRightInd w:val="0"/>
        <w:spacing w:before="120"/>
        <w:ind w:left="1701" w:hanging="567"/>
        <w:rPr>
          <w:lang w:eastAsia="ar-SA"/>
        </w:rPr>
      </w:pPr>
      <w:r w:rsidRPr="00A82446">
        <w:rPr>
          <w:lang w:eastAsia="ar-SA"/>
        </w:rPr>
        <w:t xml:space="preserve">51% </w:t>
      </w:r>
      <w:r>
        <w:rPr>
          <w:lang w:eastAsia="ar-SA"/>
        </w:rPr>
        <w:t>of M</w:t>
      </w:r>
      <w:r>
        <w:rPr>
          <w:rFonts w:cs="Arial"/>
          <w:lang w:eastAsia="ar-SA"/>
        </w:rPr>
        <w:t>ā</w:t>
      </w:r>
      <w:r>
        <w:rPr>
          <w:lang w:eastAsia="ar-SA"/>
        </w:rPr>
        <w:t xml:space="preserve">ori are </w:t>
      </w:r>
      <w:r w:rsidRPr="00A82446">
        <w:rPr>
          <w:lang w:eastAsia="ar-SA"/>
        </w:rPr>
        <w:t xml:space="preserve">aware of any test </w:t>
      </w:r>
      <w:r>
        <w:rPr>
          <w:lang w:eastAsia="ar-SA"/>
        </w:rPr>
        <w:t xml:space="preserve">up from 32% in 2011; </w:t>
      </w:r>
      <w:r w:rsidRPr="00A82446">
        <w:rPr>
          <w:lang w:eastAsia="ar-SA"/>
        </w:rPr>
        <w:t>76% other in 2013</w:t>
      </w:r>
    </w:p>
    <w:p w:rsidR="003A64D0" w:rsidRPr="00A82446" w:rsidRDefault="003A64D0" w:rsidP="00604AA9">
      <w:pPr>
        <w:numPr>
          <w:ilvl w:val="1"/>
          <w:numId w:val="7"/>
        </w:numPr>
        <w:autoSpaceDE w:val="0"/>
        <w:autoSpaceDN w:val="0"/>
        <w:adjustRightInd w:val="0"/>
        <w:spacing w:before="120"/>
        <w:ind w:left="1701" w:hanging="567"/>
        <w:rPr>
          <w:lang w:eastAsia="ar-SA"/>
        </w:rPr>
      </w:pPr>
      <w:r w:rsidRPr="00A82446">
        <w:rPr>
          <w:lang w:eastAsia="ar-SA"/>
        </w:rPr>
        <w:t xml:space="preserve">84% </w:t>
      </w:r>
      <w:r>
        <w:rPr>
          <w:lang w:eastAsia="ar-SA"/>
        </w:rPr>
        <w:t>of M</w:t>
      </w:r>
      <w:r>
        <w:rPr>
          <w:rFonts w:cs="Arial"/>
          <w:lang w:eastAsia="ar-SA"/>
        </w:rPr>
        <w:t>ā</w:t>
      </w:r>
      <w:r>
        <w:rPr>
          <w:lang w:eastAsia="ar-SA"/>
        </w:rPr>
        <w:t xml:space="preserve">ori have a </w:t>
      </w:r>
      <w:r w:rsidRPr="00A82446">
        <w:rPr>
          <w:lang w:eastAsia="ar-SA"/>
        </w:rPr>
        <w:t xml:space="preserve">prompted awareness of </w:t>
      </w:r>
      <w:r w:rsidR="00A548A6">
        <w:rPr>
          <w:lang w:eastAsia="ar-SA"/>
        </w:rPr>
        <w:t>i</w:t>
      </w:r>
      <w:r w:rsidRPr="00A82446">
        <w:rPr>
          <w:lang w:eastAsia="ar-SA"/>
        </w:rPr>
        <w:t xml:space="preserve">FOBT increased from 51% (similar to </w:t>
      </w:r>
      <w:proofErr w:type="gramStart"/>
      <w:r w:rsidR="009F7472">
        <w:t>Other</w:t>
      </w:r>
      <w:proofErr w:type="gramEnd"/>
      <w:r w:rsidR="009F7472">
        <w:t xml:space="preserve"> et</w:t>
      </w:r>
      <w:r>
        <w:t xml:space="preserve">hnicity </w:t>
      </w:r>
      <w:r w:rsidRPr="00A82446">
        <w:rPr>
          <w:lang w:eastAsia="ar-SA"/>
        </w:rPr>
        <w:t>91%)</w:t>
      </w:r>
    </w:p>
    <w:p w:rsidR="003A64D0" w:rsidRPr="00A82446" w:rsidRDefault="003A64D0" w:rsidP="00604AA9">
      <w:pPr>
        <w:numPr>
          <w:ilvl w:val="1"/>
          <w:numId w:val="7"/>
        </w:numPr>
        <w:autoSpaceDE w:val="0"/>
        <w:autoSpaceDN w:val="0"/>
        <w:adjustRightInd w:val="0"/>
        <w:spacing w:before="120"/>
        <w:ind w:left="1701" w:hanging="567"/>
        <w:rPr>
          <w:lang w:eastAsia="ar-SA"/>
        </w:rPr>
      </w:pPr>
      <w:r w:rsidRPr="00A82446">
        <w:rPr>
          <w:lang w:eastAsia="ar-SA"/>
        </w:rPr>
        <w:t xml:space="preserve">81% </w:t>
      </w:r>
      <w:r>
        <w:rPr>
          <w:lang w:eastAsia="ar-SA"/>
        </w:rPr>
        <w:t>of M</w:t>
      </w:r>
      <w:r>
        <w:rPr>
          <w:rFonts w:cs="Arial"/>
          <w:lang w:eastAsia="ar-SA"/>
        </w:rPr>
        <w:t>ā</w:t>
      </w:r>
      <w:r>
        <w:rPr>
          <w:lang w:eastAsia="ar-SA"/>
        </w:rPr>
        <w:t xml:space="preserve">ori have a prompted awareness of </w:t>
      </w:r>
      <w:r w:rsidRPr="00A82446">
        <w:rPr>
          <w:lang w:eastAsia="ar-SA"/>
        </w:rPr>
        <w:t xml:space="preserve">colonoscopy lower </w:t>
      </w:r>
      <w:r>
        <w:rPr>
          <w:lang w:eastAsia="ar-SA"/>
        </w:rPr>
        <w:t xml:space="preserve">the </w:t>
      </w:r>
      <w:r w:rsidR="009F7472">
        <w:t>Other et</w:t>
      </w:r>
      <w:r>
        <w:t xml:space="preserve">hnicity </w:t>
      </w:r>
      <w:r w:rsidRPr="00A82446">
        <w:rPr>
          <w:lang w:eastAsia="ar-SA"/>
        </w:rPr>
        <w:t xml:space="preserve">92% </w:t>
      </w:r>
    </w:p>
    <w:p w:rsidR="003A64D0" w:rsidRPr="00A82446" w:rsidRDefault="003A64D0" w:rsidP="00604AA9">
      <w:pPr>
        <w:numPr>
          <w:ilvl w:val="0"/>
          <w:numId w:val="7"/>
        </w:numPr>
        <w:tabs>
          <w:tab w:val="num" w:pos="720"/>
        </w:tabs>
        <w:autoSpaceDE w:val="0"/>
        <w:autoSpaceDN w:val="0"/>
        <w:adjustRightInd w:val="0"/>
        <w:spacing w:before="120"/>
        <w:ind w:left="1134" w:hanging="425"/>
      </w:pPr>
      <w:r w:rsidRPr="00A82446">
        <w:t>Less likely to have their doctor s</w:t>
      </w:r>
      <w:r>
        <w:t>uggest a bowel cancer test (18% compared to</w:t>
      </w:r>
      <w:r w:rsidRPr="00A82446">
        <w:t xml:space="preserve"> 28% </w:t>
      </w:r>
      <w:r w:rsidR="009F7472">
        <w:t>Other et</w:t>
      </w:r>
      <w:r>
        <w:t>hnicity</w:t>
      </w:r>
      <w:r w:rsidRPr="00A82446">
        <w:t>)</w:t>
      </w:r>
    </w:p>
    <w:p w:rsidR="003A64D0" w:rsidRDefault="003A64D0" w:rsidP="00604AA9">
      <w:pPr>
        <w:numPr>
          <w:ilvl w:val="0"/>
          <w:numId w:val="7"/>
        </w:numPr>
        <w:tabs>
          <w:tab w:val="num" w:pos="720"/>
        </w:tabs>
        <w:autoSpaceDE w:val="0"/>
        <w:autoSpaceDN w:val="0"/>
        <w:adjustRightInd w:val="0"/>
        <w:spacing w:before="120"/>
        <w:ind w:left="1134" w:hanging="425"/>
      </w:pPr>
      <w:r w:rsidRPr="00A82446">
        <w:t xml:space="preserve">Increasing but comparatively lower awareness of BSP </w:t>
      </w:r>
      <w:r w:rsidR="00A548A6">
        <w:t>(</w:t>
      </w:r>
      <w:r w:rsidRPr="00A82446">
        <w:t xml:space="preserve">75% in 2013 </w:t>
      </w:r>
      <w:r>
        <w:t xml:space="preserve">up from </w:t>
      </w:r>
      <w:r w:rsidRPr="00A82446">
        <w:t xml:space="preserve">18% in 2011; 90% </w:t>
      </w:r>
      <w:r w:rsidR="00A548A6">
        <w:t>O</w:t>
      </w:r>
      <w:r w:rsidRPr="00A82446">
        <w:t>ther</w:t>
      </w:r>
      <w:r>
        <w:t xml:space="preserve"> in 2013</w:t>
      </w:r>
      <w:r w:rsidR="00A548A6">
        <w:t>)</w:t>
      </w:r>
    </w:p>
    <w:p w:rsidR="00163BB6" w:rsidRDefault="00163BB6" w:rsidP="00604AA9">
      <w:pPr>
        <w:numPr>
          <w:ilvl w:val="0"/>
          <w:numId w:val="7"/>
        </w:numPr>
        <w:tabs>
          <w:tab w:val="num" w:pos="720"/>
        </w:tabs>
        <w:autoSpaceDE w:val="0"/>
        <w:autoSpaceDN w:val="0"/>
        <w:adjustRightInd w:val="0"/>
        <w:spacing w:before="120"/>
        <w:ind w:left="1134" w:hanging="425"/>
      </w:pPr>
      <w:r w:rsidRPr="000A08DE">
        <w:t>M</w:t>
      </w:r>
      <w:r w:rsidRPr="00163BB6">
        <w:rPr>
          <w:rFonts w:cs="Arial"/>
        </w:rPr>
        <w:t>ā</w:t>
      </w:r>
      <w:r w:rsidRPr="000A08DE">
        <w:t xml:space="preserve">ori (87%) are more likely to agree than the </w:t>
      </w:r>
      <w:proofErr w:type="gramStart"/>
      <w:r w:rsidRPr="000A08DE">
        <w:t>Other</w:t>
      </w:r>
      <w:proofErr w:type="gramEnd"/>
      <w:r w:rsidRPr="000A08DE">
        <w:t xml:space="preserve"> ethnic group (75%) that they are happy for the screening unit to contact them.</w:t>
      </w:r>
    </w:p>
    <w:p w:rsidR="003A64D0" w:rsidRDefault="003A64D0" w:rsidP="003A64D0">
      <w:pPr>
        <w:pStyle w:val="Heading3"/>
      </w:pPr>
      <w:r>
        <w:lastRenderedPageBreak/>
        <w:t>Pacific responses</w:t>
      </w:r>
    </w:p>
    <w:p w:rsidR="003A64D0" w:rsidRDefault="003A64D0" w:rsidP="003A64D0">
      <w:pPr>
        <w:pStyle w:val="Heading4"/>
      </w:pPr>
      <w:r w:rsidRPr="00E85152">
        <w:t xml:space="preserve">Eligible Pacific </w:t>
      </w:r>
      <w:r>
        <w:t>respondents</w:t>
      </w:r>
      <w:r w:rsidRPr="00E85152">
        <w:t xml:space="preserve"> – Lower awareness of risk factors</w:t>
      </w:r>
    </w:p>
    <w:p w:rsidR="003A64D0" w:rsidRPr="00065416" w:rsidRDefault="003A64D0" w:rsidP="00604AA9">
      <w:pPr>
        <w:numPr>
          <w:ilvl w:val="0"/>
          <w:numId w:val="7"/>
        </w:numPr>
        <w:tabs>
          <w:tab w:val="num" w:pos="720"/>
          <w:tab w:val="num" w:pos="1440"/>
        </w:tabs>
        <w:autoSpaceDE w:val="0"/>
        <w:autoSpaceDN w:val="0"/>
        <w:adjustRightInd w:val="0"/>
        <w:spacing w:before="120"/>
        <w:ind w:left="1134" w:hanging="425"/>
      </w:pPr>
      <w:r>
        <w:t>Pacific respondents are m</w:t>
      </w:r>
      <w:r w:rsidRPr="00065416">
        <w:t xml:space="preserve">ore aware </w:t>
      </w:r>
      <w:r>
        <w:t xml:space="preserve">that being </w:t>
      </w:r>
      <w:r w:rsidRPr="00065416">
        <w:t xml:space="preserve">overweight is a risk factor for bowel cancer (70% </w:t>
      </w:r>
      <w:r>
        <w:t xml:space="preserve">of Pacific strongly/ somewhat agree compared to </w:t>
      </w:r>
      <w:r w:rsidRPr="00065416">
        <w:t xml:space="preserve">57% </w:t>
      </w:r>
      <w:r w:rsidR="009F7472">
        <w:t>Other et</w:t>
      </w:r>
      <w:r>
        <w:t>hnicity</w:t>
      </w:r>
      <w:r w:rsidRPr="00065416">
        <w:t>)</w:t>
      </w:r>
    </w:p>
    <w:p w:rsidR="003A64D0" w:rsidRPr="00065416" w:rsidRDefault="003A64D0" w:rsidP="00604AA9">
      <w:pPr>
        <w:numPr>
          <w:ilvl w:val="0"/>
          <w:numId w:val="7"/>
        </w:numPr>
        <w:tabs>
          <w:tab w:val="num" w:pos="720"/>
          <w:tab w:val="num" w:pos="1440"/>
        </w:tabs>
        <w:autoSpaceDE w:val="0"/>
        <w:autoSpaceDN w:val="0"/>
        <w:adjustRightInd w:val="0"/>
        <w:spacing w:before="120"/>
        <w:ind w:left="1134" w:hanging="425"/>
      </w:pPr>
      <w:r w:rsidRPr="00065416">
        <w:t>But less aware of other risk factors than O</w:t>
      </w:r>
      <w:r w:rsidR="002E63AC">
        <w:t>ther ethnicity</w:t>
      </w:r>
      <w:r w:rsidRPr="00065416">
        <w:t>:</w:t>
      </w:r>
    </w:p>
    <w:p w:rsidR="003A64D0" w:rsidRPr="00065416" w:rsidRDefault="003A64D0" w:rsidP="00604AA9">
      <w:pPr>
        <w:numPr>
          <w:ilvl w:val="1"/>
          <w:numId w:val="7"/>
        </w:numPr>
        <w:autoSpaceDE w:val="0"/>
        <w:autoSpaceDN w:val="0"/>
        <w:adjustRightInd w:val="0"/>
        <w:spacing w:before="120"/>
        <w:ind w:left="1701" w:hanging="567"/>
        <w:rPr>
          <w:lang w:eastAsia="ar-SA"/>
        </w:rPr>
      </w:pPr>
      <w:r w:rsidRPr="00065416">
        <w:rPr>
          <w:lang w:eastAsia="ar-SA"/>
        </w:rPr>
        <w:t xml:space="preserve">less agreement: close relative with bowel cancer is a risk factor (48% </w:t>
      </w:r>
      <w:r>
        <w:t xml:space="preserve">of Pacific strongly/ somewhat agree compared to </w:t>
      </w:r>
      <w:r w:rsidRPr="00065416">
        <w:rPr>
          <w:lang w:eastAsia="ar-SA"/>
        </w:rPr>
        <w:t xml:space="preserve">76% </w:t>
      </w:r>
      <w:r w:rsidR="009F7472">
        <w:t>Other et</w:t>
      </w:r>
      <w:r>
        <w:t>hnicity</w:t>
      </w:r>
      <w:r w:rsidRPr="00065416">
        <w:rPr>
          <w:lang w:eastAsia="ar-SA"/>
        </w:rPr>
        <w:t xml:space="preserve">) </w:t>
      </w:r>
    </w:p>
    <w:p w:rsidR="003A64D0" w:rsidRPr="00065416" w:rsidRDefault="003A64D0" w:rsidP="00604AA9">
      <w:pPr>
        <w:numPr>
          <w:ilvl w:val="1"/>
          <w:numId w:val="7"/>
        </w:numPr>
        <w:autoSpaceDE w:val="0"/>
        <w:autoSpaceDN w:val="0"/>
        <w:adjustRightInd w:val="0"/>
        <w:spacing w:before="120"/>
        <w:ind w:left="1701" w:hanging="567"/>
        <w:rPr>
          <w:lang w:eastAsia="ar-SA"/>
        </w:rPr>
      </w:pPr>
      <w:r w:rsidRPr="00065416">
        <w:rPr>
          <w:lang w:eastAsia="ar-SA"/>
        </w:rPr>
        <w:t xml:space="preserve">less agreement: diet low in fibre can increase a person’s chance of developing bowel cancer (41% </w:t>
      </w:r>
      <w:r>
        <w:t>of Pacific strongly/ somewhat agree compared to</w:t>
      </w:r>
      <w:r w:rsidRPr="00065416">
        <w:rPr>
          <w:lang w:eastAsia="ar-SA"/>
        </w:rPr>
        <w:t xml:space="preserve"> 74% </w:t>
      </w:r>
      <w:r w:rsidR="009F7472">
        <w:t>Other et</w:t>
      </w:r>
      <w:r>
        <w:t>hnicity</w:t>
      </w:r>
      <w:r w:rsidRPr="00065416">
        <w:rPr>
          <w:lang w:eastAsia="ar-SA"/>
        </w:rPr>
        <w:t xml:space="preserve">) </w:t>
      </w:r>
    </w:p>
    <w:p w:rsidR="003A64D0" w:rsidRPr="00065416" w:rsidRDefault="003A64D0" w:rsidP="00604AA9">
      <w:pPr>
        <w:numPr>
          <w:ilvl w:val="1"/>
          <w:numId w:val="7"/>
        </w:numPr>
        <w:autoSpaceDE w:val="0"/>
        <w:autoSpaceDN w:val="0"/>
        <w:adjustRightInd w:val="0"/>
        <w:spacing w:before="120"/>
        <w:ind w:left="1701" w:hanging="567"/>
        <w:rPr>
          <w:lang w:eastAsia="ar-SA"/>
        </w:rPr>
      </w:pPr>
      <w:proofErr w:type="gramStart"/>
      <w:r w:rsidRPr="00065416">
        <w:rPr>
          <w:lang w:eastAsia="ar-SA"/>
        </w:rPr>
        <w:t>more</w:t>
      </w:r>
      <w:proofErr w:type="gramEnd"/>
      <w:r w:rsidRPr="00065416">
        <w:rPr>
          <w:lang w:eastAsia="ar-SA"/>
        </w:rPr>
        <w:t xml:space="preserve"> likely to </w:t>
      </w:r>
      <w:r w:rsidRPr="006058BD">
        <w:rPr>
          <w:lang w:eastAsia="ar-SA"/>
        </w:rPr>
        <w:t>disagree</w:t>
      </w:r>
      <w:r w:rsidRPr="00065416">
        <w:rPr>
          <w:lang w:eastAsia="ar-SA"/>
        </w:rPr>
        <w:t xml:space="preserve">: eating fewer fruit and vegetables can increase a person’s chance (54% </w:t>
      </w:r>
      <w:r>
        <w:t>of Pacific strongly/ somewhat disagree compared to</w:t>
      </w:r>
      <w:r w:rsidRPr="00065416">
        <w:rPr>
          <w:lang w:eastAsia="ar-SA"/>
        </w:rPr>
        <w:t xml:space="preserve"> 34% </w:t>
      </w:r>
      <w:r w:rsidR="003D209D">
        <w:rPr>
          <w:lang w:eastAsia="ar-SA"/>
        </w:rPr>
        <w:t xml:space="preserve">of </w:t>
      </w:r>
      <w:r w:rsidR="009F7472">
        <w:t>Other et</w:t>
      </w:r>
      <w:r>
        <w:t>hnicity</w:t>
      </w:r>
      <w:r w:rsidRPr="00065416">
        <w:rPr>
          <w:lang w:eastAsia="ar-SA"/>
        </w:rPr>
        <w:t>)</w:t>
      </w:r>
      <w:r>
        <w:rPr>
          <w:lang w:eastAsia="ar-SA"/>
        </w:rPr>
        <w:t>.</w:t>
      </w:r>
    </w:p>
    <w:p w:rsidR="003A64D0" w:rsidRDefault="003A64D0" w:rsidP="003A64D0">
      <w:pPr>
        <w:pStyle w:val="Heading4"/>
      </w:pPr>
      <w:r w:rsidRPr="00E85152">
        <w:t>Eligible Pacific population – Lower awareness symptoms</w:t>
      </w:r>
    </w:p>
    <w:p w:rsidR="003A64D0" w:rsidRPr="00E85152" w:rsidRDefault="003A64D0" w:rsidP="00604AA9">
      <w:pPr>
        <w:numPr>
          <w:ilvl w:val="0"/>
          <w:numId w:val="7"/>
        </w:numPr>
        <w:tabs>
          <w:tab w:val="num" w:pos="720"/>
          <w:tab w:val="num" w:pos="1440"/>
        </w:tabs>
        <w:autoSpaceDE w:val="0"/>
        <w:autoSpaceDN w:val="0"/>
        <w:adjustRightInd w:val="0"/>
        <w:spacing w:before="120"/>
        <w:ind w:left="1134" w:hanging="425"/>
      </w:pPr>
      <w:r>
        <w:t xml:space="preserve">Pacific respondents have lower awareness of </w:t>
      </w:r>
      <w:r w:rsidRPr="00E85152">
        <w:t xml:space="preserve">bowel cancer symptoms </w:t>
      </w:r>
      <w:r>
        <w:t xml:space="preserve">and </w:t>
      </w:r>
      <w:r w:rsidRPr="00E85152">
        <w:t xml:space="preserve">some </w:t>
      </w:r>
      <w:r>
        <w:t xml:space="preserve">Pacific respondents </w:t>
      </w:r>
      <w:r w:rsidRPr="00E85152">
        <w:t xml:space="preserve">disagree changes are </w:t>
      </w:r>
      <w:r>
        <w:t>related to bowel cancer</w:t>
      </w:r>
    </w:p>
    <w:p w:rsidR="003A64D0" w:rsidRPr="00E85152" w:rsidRDefault="003A64D0" w:rsidP="00604AA9">
      <w:pPr>
        <w:numPr>
          <w:ilvl w:val="1"/>
          <w:numId w:val="7"/>
        </w:numPr>
        <w:autoSpaceDE w:val="0"/>
        <w:autoSpaceDN w:val="0"/>
        <w:adjustRightInd w:val="0"/>
        <w:spacing w:before="120"/>
        <w:ind w:left="1701" w:hanging="567"/>
        <w:rPr>
          <w:lang w:eastAsia="ar-SA"/>
        </w:rPr>
      </w:pPr>
      <w:r w:rsidRPr="00E85152">
        <w:rPr>
          <w:lang w:eastAsia="ar-SA"/>
        </w:rPr>
        <w:t xml:space="preserve">35% </w:t>
      </w:r>
      <w:r>
        <w:rPr>
          <w:lang w:eastAsia="ar-SA"/>
        </w:rPr>
        <w:t xml:space="preserve">of Pacific respondents </w:t>
      </w:r>
      <w:r w:rsidRPr="00E85152">
        <w:rPr>
          <w:lang w:eastAsia="ar-SA"/>
        </w:rPr>
        <w:t>know no symptoms; decline from 55% in 2011 (unprompted)</w:t>
      </w:r>
    </w:p>
    <w:p w:rsidR="003A64D0" w:rsidRPr="00E85152" w:rsidRDefault="003A64D0" w:rsidP="00604AA9">
      <w:pPr>
        <w:numPr>
          <w:ilvl w:val="1"/>
          <w:numId w:val="7"/>
        </w:numPr>
        <w:autoSpaceDE w:val="0"/>
        <w:autoSpaceDN w:val="0"/>
        <w:adjustRightInd w:val="0"/>
        <w:spacing w:before="120"/>
        <w:ind w:left="1701" w:hanging="567"/>
        <w:rPr>
          <w:lang w:eastAsia="ar-SA"/>
        </w:rPr>
      </w:pPr>
      <w:r w:rsidRPr="00E85152">
        <w:rPr>
          <w:lang w:eastAsia="ar-SA"/>
        </w:rPr>
        <w:t xml:space="preserve">56% </w:t>
      </w:r>
      <w:r>
        <w:rPr>
          <w:lang w:eastAsia="ar-SA"/>
        </w:rPr>
        <w:t xml:space="preserve">of Pacific respondents </w:t>
      </w:r>
      <w:r w:rsidRPr="00E85152">
        <w:rPr>
          <w:lang w:eastAsia="ar-SA"/>
        </w:rPr>
        <w:t xml:space="preserve">mention unprompted blood in bowel motions (85% </w:t>
      </w:r>
      <w:r w:rsidR="009F7472">
        <w:t>Other et</w:t>
      </w:r>
      <w:r>
        <w:t>hnicity</w:t>
      </w:r>
      <w:r w:rsidRPr="00E85152">
        <w:rPr>
          <w:lang w:eastAsia="ar-SA"/>
        </w:rPr>
        <w:t xml:space="preserve">) </w:t>
      </w:r>
    </w:p>
    <w:p w:rsidR="003A64D0" w:rsidRPr="00E85152" w:rsidRDefault="003A64D0" w:rsidP="00604AA9">
      <w:pPr>
        <w:numPr>
          <w:ilvl w:val="2"/>
          <w:numId w:val="7"/>
        </w:numPr>
        <w:tabs>
          <w:tab w:val="num" w:pos="2160"/>
        </w:tabs>
        <w:autoSpaceDE w:val="0"/>
        <w:autoSpaceDN w:val="0"/>
        <w:adjustRightInd w:val="0"/>
        <w:spacing w:before="120"/>
        <w:rPr>
          <w:lang w:eastAsia="ar-SA"/>
        </w:rPr>
      </w:pPr>
      <w:r>
        <w:rPr>
          <w:lang w:eastAsia="ar-SA"/>
        </w:rPr>
        <w:t>when p</w:t>
      </w:r>
      <w:r w:rsidRPr="00E85152">
        <w:rPr>
          <w:lang w:eastAsia="ar-SA"/>
        </w:rPr>
        <w:t xml:space="preserve">rompted 65% </w:t>
      </w:r>
      <w:r>
        <w:rPr>
          <w:lang w:eastAsia="ar-SA"/>
        </w:rPr>
        <w:t xml:space="preserve">of Pacific respondents are </w:t>
      </w:r>
      <w:r w:rsidRPr="00E85152">
        <w:rPr>
          <w:lang w:eastAsia="ar-SA"/>
        </w:rPr>
        <w:t xml:space="preserve">aware </w:t>
      </w:r>
      <w:r>
        <w:rPr>
          <w:lang w:eastAsia="ar-SA"/>
        </w:rPr>
        <w:t xml:space="preserve">compared to </w:t>
      </w:r>
      <w:r w:rsidRPr="00E85152">
        <w:rPr>
          <w:lang w:eastAsia="ar-SA"/>
        </w:rPr>
        <w:t xml:space="preserve">87% </w:t>
      </w:r>
      <w:r w:rsidR="009F7472">
        <w:t>Other et</w:t>
      </w:r>
      <w:r>
        <w:t>hnicity</w:t>
      </w:r>
      <w:r w:rsidRPr="00E85152">
        <w:rPr>
          <w:lang w:eastAsia="ar-SA"/>
        </w:rPr>
        <w:t xml:space="preserve"> </w:t>
      </w:r>
    </w:p>
    <w:p w:rsidR="003A64D0" w:rsidRPr="00E85152" w:rsidRDefault="003A64D0" w:rsidP="00604AA9">
      <w:pPr>
        <w:numPr>
          <w:ilvl w:val="2"/>
          <w:numId w:val="7"/>
        </w:numPr>
        <w:tabs>
          <w:tab w:val="num" w:pos="2160"/>
        </w:tabs>
        <w:autoSpaceDE w:val="0"/>
        <w:autoSpaceDN w:val="0"/>
        <w:adjustRightInd w:val="0"/>
        <w:spacing w:before="120"/>
        <w:rPr>
          <w:lang w:eastAsia="ar-SA"/>
        </w:rPr>
      </w:pPr>
      <w:r w:rsidRPr="00E85152">
        <w:rPr>
          <w:lang w:eastAsia="ar-SA"/>
        </w:rPr>
        <w:t>27%</w:t>
      </w:r>
      <w:r>
        <w:rPr>
          <w:lang w:eastAsia="ar-SA"/>
        </w:rPr>
        <w:t xml:space="preserve"> of Pacific respondents</w:t>
      </w:r>
      <w:r w:rsidRPr="00E85152">
        <w:rPr>
          <w:lang w:eastAsia="ar-SA"/>
        </w:rPr>
        <w:t xml:space="preserve"> say </w:t>
      </w:r>
      <w:r>
        <w:rPr>
          <w:lang w:eastAsia="ar-SA"/>
        </w:rPr>
        <w:t xml:space="preserve">this is </w:t>
      </w:r>
      <w:r w:rsidRPr="00E85152">
        <w:rPr>
          <w:lang w:eastAsia="ar-SA"/>
        </w:rPr>
        <w:t>not a symptom</w:t>
      </w:r>
      <w:r>
        <w:rPr>
          <w:lang w:eastAsia="ar-SA"/>
        </w:rPr>
        <w:t xml:space="preserve"> of bowel cancer </w:t>
      </w:r>
    </w:p>
    <w:p w:rsidR="003A64D0" w:rsidRPr="00E85152" w:rsidRDefault="003A64D0" w:rsidP="00604AA9">
      <w:pPr>
        <w:numPr>
          <w:ilvl w:val="1"/>
          <w:numId w:val="7"/>
        </w:numPr>
        <w:autoSpaceDE w:val="0"/>
        <w:autoSpaceDN w:val="0"/>
        <w:adjustRightInd w:val="0"/>
        <w:spacing w:before="120"/>
        <w:ind w:left="1701" w:hanging="567"/>
        <w:rPr>
          <w:lang w:eastAsia="ar-SA"/>
        </w:rPr>
      </w:pPr>
      <w:r w:rsidRPr="00E85152">
        <w:rPr>
          <w:lang w:eastAsia="ar-SA"/>
        </w:rPr>
        <w:t xml:space="preserve">31% </w:t>
      </w:r>
      <w:r>
        <w:rPr>
          <w:lang w:eastAsia="ar-SA"/>
        </w:rPr>
        <w:t>of Pacific respondents</w:t>
      </w:r>
      <w:r w:rsidRPr="00E85152">
        <w:rPr>
          <w:lang w:eastAsia="ar-SA"/>
        </w:rPr>
        <w:t xml:space="preserve"> mention unprompted change in toilet habits (60% </w:t>
      </w:r>
      <w:r w:rsidR="009F7472">
        <w:t>Other et</w:t>
      </w:r>
      <w:r>
        <w:t>hnicity</w:t>
      </w:r>
      <w:r w:rsidRPr="00E85152">
        <w:rPr>
          <w:lang w:eastAsia="ar-SA"/>
        </w:rPr>
        <w:t xml:space="preserve">) </w:t>
      </w:r>
    </w:p>
    <w:p w:rsidR="003A64D0" w:rsidRPr="00E85152" w:rsidRDefault="003A64D0" w:rsidP="00604AA9">
      <w:pPr>
        <w:numPr>
          <w:ilvl w:val="2"/>
          <w:numId w:val="7"/>
        </w:numPr>
        <w:tabs>
          <w:tab w:val="num" w:pos="720"/>
          <w:tab w:val="num" w:pos="1440"/>
          <w:tab w:val="num" w:pos="2160"/>
        </w:tabs>
        <w:autoSpaceDE w:val="0"/>
        <w:autoSpaceDN w:val="0"/>
        <w:adjustRightInd w:val="0"/>
        <w:spacing w:before="120"/>
        <w:rPr>
          <w:lang w:eastAsia="ar-SA"/>
        </w:rPr>
      </w:pPr>
      <w:r>
        <w:rPr>
          <w:lang w:eastAsia="ar-SA"/>
        </w:rPr>
        <w:t xml:space="preserve">when prompted </w:t>
      </w:r>
      <w:r w:rsidRPr="00E85152">
        <w:rPr>
          <w:lang w:eastAsia="ar-SA"/>
        </w:rPr>
        <w:t xml:space="preserve">58% </w:t>
      </w:r>
      <w:r>
        <w:rPr>
          <w:lang w:eastAsia="ar-SA"/>
        </w:rPr>
        <w:t xml:space="preserve">of Pacific respondents are aware compared to </w:t>
      </w:r>
      <w:r w:rsidRPr="00E85152">
        <w:rPr>
          <w:lang w:eastAsia="ar-SA"/>
        </w:rPr>
        <w:t>78% Māori</w:t>
      </w:r>
    </w:p>
    <w:p w:rsidR="003A64D0" w:rsidRPr="00E85152" w:rsidRDefault="003A64D0" w:rsidP="00604AA9">
      <w:pPr>
        <w:numPr>
          <w:ilvl w:val="2"/>
          <w:numId w:val="7"/>
        </w:numPr>
        <w:tabs>
          <w:tab w:val="num" w:pos="2160"/>
        </w:tabs>
        <w:autoSpaceDE w:val="0"/>
        <w:autoSpaceDN w:val="0"/>
        <w:adjustRightInd w:val="0"/>
        <w:spacing w:before="120"/>
        <w:rPr>
          <w:lang w:eastAsia="ar-SA"/>
        </w:rPr>
      </w:pPr>
      <w:r w:rsidRPr="00E85152">
        <w:rPr>
          <w:lang w:eastAsia="ar-SA"/>
        </w:rPr>
        <w:t xml:space="preserve">29% </w:t>
      </w:r>
      <w:r>
        <w:rPr>
          <w:lang w:eastAsia="ar-SA"/>
        </w:rPr>
        <w:t>of Pacific respondents</w:t>
      </w:r>
      <w:r w:rsidRPr="00E85152">
        <w:rPr>
          <w:lang w:eastAsia="ar-SA"/>
        </w:rPr>
        <w:t xml:space="preserve"> say </w:t>
      </w:r>
      <w:r>
        <w:rPr>
          <w:lang w:eastAsia="ar-SA"/>
        </w:rPr>
        <w:t xml:space="preserve">this is </w:t>
      </w:r>
      <w:r w:rsidRPr="00E85152">
        <w:rPr>
          <w:lang w:eastAsia="ar-SA"/>
        </w:rPr>
        <w:t>not a symptom</w:t>
      </w:r>
      <w:r>
        <w:rPr>
          <w:lang w:eastAsia="ar-SA"/>
        </w:rPr>
        <w:t xml:space="preserve"> of bowel cancer.</w:t>
      </w:r>
    </w:p>
    <w:p w:rsidR="003A64D0" w:rsidRPr="00E85152" w:rsidRDefault="003A64D0" w:rsidP="00604AA9">
      <w:pPr>
        <w:numPr>
          <w:ilvl w:val="0"/>
          <w:numId w:val="7"/>
        </w:numPr>
        <w:tabs>
          <w:tab w:val="num" w:pos="720"/>
          <w:tab w:val="num" w:pos="1440"/>
          <w:tab w:val="num" w:pos="2160"/>
        </w:tabs>
        <w:autoSpaceDE w:val="0"/>
        <w:autoSpaceDN w:val="0"/>
        <w:adjustRightInd w:val="0"/>
        <w:spacing w:before="120"/>
        <w:ind w:left="1134" w:hanging="425"/>
      </w:pPr>
      <w:r>
        <w:t>Pacific respondents are n</w:t>
      </w:r>
      <w:r w:rsidRPr="00E85152">
        <w:t>ot</w:t>
      </w:r>
      <w:r w:rsidRPr="00E85152">
        <w:rPr>
          <w:lang w:eastAsia="ar-SA"/>
        </w:rPr>
        <w:t xml:space="preserve"> </w:t>
      </w:r>
      <w:r>
        <w:rPr>
          <w:lang w:eastAsia="ar-SA"/>
        </w:rPr>
        <w:t xml:space="preserve">or not at all </w:t>
      </w:r>
      <w:r w:rsidRPr="00E85152">
        <w:rPr>
          <w:lang w:eastAsia="ar-SA"/>
        </w:rPr>
        <w:t xml:space="preserve">confident </w:t>
      </w:r>
      <w:r>
        <w:rPr>
          <w:lang w:eastAsia="ar-SA"/>
        </w:rPr>
        <w:t xml:space="preserve">they </w:t>
      </w:r>
      <w:r w:rsidRPr="00E85152">
        <w:rPr>
          <w:lang w:eastAsia="ar-SA"/>
        </w:rPr>
        <w:t>can identify bowel</w:t>
      </w:r>
      <w:r w:rsidRPr="00E85152">
        <w:t xml:space="preserve"> </w:t>
      </w:r>
      <w:r>
        <w:t xml:space="preserve">cancer symptoms (34% compared to </w:t>
      </w:r>
      <w:r w:rsidRPr="00E85152">
        <w:t>23% other), but more likely to feel they may develop bowel cancer (22%</w:t>
      </w:r>
      <w:r>
        <w:t xml:space="preserve"> Pacific respondents compared to </w:t>
      </w:r>
      <w:r w:rsidRPr="00E85152">
        <w:t xml:space="preserve">9% </w:t>
      </w:r>
      <w:r w:rsidR="002E63AC">
        <w:t>O</w:t>
      </w:r>
      <w:r w:rsidR="002E63AC" w:rsidRPr="00E85152">
        <w:t>ther</w:t>
      </w:r>
      <w:r w:rsidR="002E63AC">
        <w:t xml:space="preserve"> </w:t>
      </w:r>
      <w:r>
        <w:t>say they are very or quite likely to develop bowel cancer)</w:t>
      </w:r>
      <w:r w:rsidRPr="00E85152">
        <w:t xml:space="preserve"> </w:t>
      </w:r>
    </w:p>
    <w:p w:rsidR="003A64D0" w:rsidRPr="00E85152" w:rsidRDefault="003A64D0" w:rsidP="00604AA9">
      <w:pPr>
        <w:numPr>
          <w:ilvl w:val="0"/>
          <w:numId w:val="7"/>
        </w:numPr>
        <w:tabs>
          <w:tab w:val="num" w:pos="720"/>
        </w:tabs>
        <w:autoSpaceDE w:val="0"/>
        <w:autoSpaceDN w:val="0"/>
        <w:adjustRightInd w:val="0"/>
        <w:spacing w:before="120"/>
        <w:ind w:left="1134" w:hanging="425"/>
      </w:pPr>
      <w:r w:rsidRPr="00E85152">
        <w:t>Less likely to report of family history of bowel cancer (9%</w:t>
      </w:r>
      <w:r>
        <w:t xml:space="preserve"> Pacific respondents compared to </w:t>
      </w:r>
      <w:r w:rsidRPr="00E85152">
        <w:t xml:space="preserve">24% </w:t>
      </w:r>
      <w:proofErr w:type="gramStart"/>
      <w:r w:rsidR="002E63AC">
        <w:t>O</w:t>
      </w:r>
      <w:r w:rsidR="002E63AC" w:rsidRPr="00E85152">
        <w:t>ther</w:t>
      </w:r>
      <w:proofErr w:type="gramEnd"/>
      <w:r w:rsidRPr="00E85152">
        <w:t>)</w:t>
      </w:r>
      <w:r>
        <w:t>.</w:t>
      </w:r>
      <w:r w:rsidRPr="00E85152">
        <w:t xml:space="preserve"> </w:t>
      </w:r>
    </w:p>
    <w:p w:rsidR="003A64D0" w:rsidRPr="00E85152" w:rsidRDefault="003A64D0" w:rsidP="003A64D0">
      <w:pPr>
        <w:pStyle w:val="Heading4"/>
      </w:pPr>
      <w:r w:rsidRPr="00E85152">
        <w:t>Eligible Pacific population – Lower awareness tests</w:t>
      </w:r>
    </w:p>
    <w:p w:rsidR="003A64D0" w:rsidRPr="00E85152" w:rsidRDefault="003A64D0" w:rsidP="00604AA9">
      <w:pPr>
        <w:numPr>
          <w:ilvl w:val="0"/>
          <w:numId w:val="7"/>
        </w:numPr>
        <w:tabs>
          <w:tab w:val="num" w:pos="720"/>
        </w:tabs>
        <w:autoSpaceDE w:val="0"/>
        <w:autoSpaceDN w:val="0"/>
        <w:adjustRightInd w:val="0"/>
        <w:spacing w:before="120"/>
        <w:ind w:left="1134" w:hanging="425"/>
      </w:pPr>
      <w:r w:rsidRPr="00E85152">
        <w:t>Lower awareness bowel cancer tests</w:t>
      </w:r>
    </w:p>
    <w:p w:rsidR="003A64D0" w:rsidRPr="00E85152" w:rsidRDefault="003A64D0" w:rsidP="00604AA9">
      <w:pPr>
        <w:numPr>
          <w:ilvl w:val="1"/>
          <w:numId w:val="7"/>
        </w:numPr>
        <w:autoSpaceDE w:val="0"/>
        <w:autoSpaceDN w:val="0"/>
        <w:adjustRightInd w:val="0"/>
        <w:spacing w:before="120"/>
        <w:ind w:left="1701" w:hanging="567"/>
        <w:rPr>
          <w:lang w:eastAsia="ar-SA"/>
        </w:rPr>
      </w:pPr>
      <w:r w:rsidRPr="00E85152">
        <w:rPr>
          <w:lang w:eastAsia="ar-SA"/>
        </w:rPr>
        <w:t xml:space="preserve">37% </w:t>
      </w:r>
      <w:r>
        <w:rPr>
          <w:lang w:eastAsia="ar-SA"/>
        </w:rPr>
        <w:t xml:space="preserve">of Pacific respondents are </w:t>
      </w:r>
      <w:r w:rsidRPr="00E85152">
        <w:rPr>
          <w:lang w:eastAsia="ar-SA"/>
        </w:rPr>
        <w:t xml:space="preserve">aware of </w:t>
      </w:r>
      <w:r>
        <w:rPr>
          <w:lang w:eastAsia="ar-SA"/>
        </w:rPr>
        <w:t xml:space="preserve">any </w:t>
      </w:r>
      <w:r w:rsidRPr="00E85152">
        <w:rPr>
          <w:lang w:eastAsia="ar-SA"/>
        </w:rPr>
        <w:t xml:space="preserve">tests </w:t>
      </w:r>
      <w:r>
        <w:rPr>
          <w:lang w:eastAsia="ar-SA"/>
        </w:rPr>
        <w:t xml:space="preserve">compared to </w:t>
      </w:r>
      <w:r w:rsidRPr="00E85152">
        <w:rPr>
          <w:lang w:eastAsia="ar-SA"/>
        </w:rPr>
        <w:t xml:space="preserve">76% </w:t>
      </w:r>
      <w:r w:rsidR="00BF1A82">
        <w:rPr>
          <w:lang w:eastAsia="ar-SA"/>
        </w:rPr>
        <w:t>O</w:t>
      </w:r>
      <w:r w:rsidR="00BF1A82" w:rsidRPr="00E85152">
        <w:rPr>
          <w:lang w:eastAsia="ar-SA"/>
        </w:rPr>
        <w:t>ther</w:t>
      </w:r>
      <w:r w:rsidR="00BF1A82">
        <w:rPr>
          <w:lang w:eastAsia="ar-SA"/>
        </w:rPr>
        <w:t xml:space="preserve"> ethnicity</w:t>
      </w:r>
    </w:p>
    <w:p w:rsidR="00BF1A82" w:rsidRDefault="003A64D0" w:rsidP="009433F2">
      <w:pPr>
        <w:keepNext/>
        <w:keepLines/>
        <w:numPr>
          <w:ilvl w:val="1"/>
          <w:numId w:val="7"/>
        </w:numPr>
        <w:autoSpaceDE w:val="0"/>
        <w:autoSpaceDN w:val="0"/>
        <w:adjustRightInd w:val="0"/>
        <w:spacing w:before="0"/>
        <w:ind w:left="1701" w:hanging="567"/>
        <w:rPr>
          <w:lang w:eastAsia="ar-SA"/>
        </w:rPr>
      </w:pPr>
      <w:r w:rsidRPr="00E85152">
        <w:rPr>
          <w:lang w:eastAsia="ar-SA"/>
        </w:rPr>
        <w:lastRenderedPageBreak/>
        <w:t>21%</w:t>
      </w:r>
      <w:r>
        <w:rPr>
          <w:lang w:eastAsia="ar-SA"/>
        </w:rPr>
        <w:t xml:space="preserve"> of Pacific respondents mentioned u</w:t>
      </w:r>
      <w:r w:rsidRPr="00E85152">
        <w:rPr>
          <w:lang w:eastAsia="ar-SA"/>
        </w:rPr>
        <w:t xml:space="preserve">nprompted </w:t>
      </w:r>
      <w:r>
        <w:rPr>
          <w:lang w:eastAsia="ar-SA"/>
        </w:rPr>
        <w:t>the</w:t>
      </w:r>
      <w:r w:rsidRPr="00E85152">
        <w:rPr>
          <w:lang w:eastAsia="ar-SA"/>
        </w:rPr>
        <w:t xml:space="preserve"> </w:t>
      </w:r>
      <w:r>
        <w:rPr>
          <w:lang w:eastAsia="ar-SA"/>
        </w:rPr>
        <w:t>i</w:t>
      </w:r>
      <w:r w:rsidRPr="00E85152">
        <w:rPr>
          <w:lang w:eastAsia="ar-SA"/>
        </w:rPr>
        <w:t xml:space="preserve">FOBT </w:t>
      </w:r>
      <w:r>
        <w:rPr>
          <w:lang w:eastAsia="ar-SA"/>
        </w:rPr>
        <w:t xml:space="preserve">compared to </w:t>
      </w:r>
      <w:r w:rsidRPr="00E85152">
        <w:rPr>
          <w:lang w:eastAsia="ar-SA"/>
        </w:rPr>
        <w:t xml:space="preserve">39% </w:t>
      </w:r>
      <w:r w:rsidR="009F7472">
        <w:t>Other et</w:t>
      </w:r>
      <w:r>
        <w:t>hnicity</w:t>
      </w:r>
    </w:p>
    <w:p w:rsidR="003A64D0" w:rsidRPr="00E85152" w:rsidRDefault="003A64D0" w:rsidP="009433F2">
      <w:pPr>
        <w:keepNext/>
        <w:keepLines/>
        <w:numPr>
          <w:ilvl w:val="1"/>
          <w:numId w:val="7"/>
        </w:numPr>
        <w:autoSpaceDE w:val="0"/>
        <w:autoSpaceDN w:val="0"/>
        <w:adjustRightInd w:val="0"/>
        <w:spacing w:before="120"/>
        <w:ind w:left="1701" w:hanging="567"/>
        <w:rPr>
          <w:lang w:eastAsia="ar-SA"/>
        </w:rPr>
      </w:pPr>
      <w:proofErr w:type="gramStart"/>
      <w:r>
        <w:rPr>
          <w:lang w:eastAsia="ar-SA"/>
        </w:rPr>
        <w:t>when</w:t>
      </w:r>
      <w:proofErr w:type="gramEnd"/>
      <w:r>
        <w:rPr>
          <w:lang w:eastAsia="ar-SA"/>
        </w:rPr>
        <w:t xml:space="preserve"> prompted </w:t>
      </w:r>
      <w:r w:rsidRPr="00E85152">
        <w:rPr>
          <w:lang w:eastAsia="ar-SA"/>
        </w:rPr>
        <w:t xml:space="preserve">77% </w:t>
      </w:r>
      <w:r>
        <w:rPr>
          <w:lang w:eastAsia="ar-SA"/>
        </w:rPr>
        <w:t>of Pacific respondents are aware</w:t>
      </w:r>
      <w:r w:rsidRPr="00E85152">
        <w:rPr>
          <w:lang w:eastAsia="ar-SA"/>
        </w:rPr>
        <w:t xml:space="preserve"> of </w:t>
      </w:r>
      <w:r>
        <w:rPr>
          <w:lang w:eastAsia="ar-SA"/>
        </w:rPr>
        <w:t>i</w:t>
      </w:r>
      <w:r w:rsidRPr="00E85152">
        <w:rPr>
          <w:lang w:eastAsia="ar-SA"/>
        </w:rPr>
        <w:t>FOBT</w:t>
      </w:r>
      <w:r>
        <w:rPr>
          <w:lang w:eastAsia="ar-SA"/>
        </w:rPr>
        <w:t>, an</w:t>
      </w:r>
      <w:r w:rsidRPr="00E85152">
        <w:rPr>
          <w:lang w:eastAsia="ar-SA"/>
        </w:rPr>
        <w:t xml:space="preserve"> increase from 40% in 2011 but lower </w:t>
      </w:r>
      <w:r w:rsidR="002E63AC">
        <w:rPr>
          <w:lang w:eastAsia="ar-SA"/>
        </w:rPr>
        <w:t xml:space="preserve">than </w:t>
      </w:r>
      <w:r w:rsidR="009F7472">
        <w:t>Other et</w:t>
      </w:r>
      <w:r>
        <w:t>hnicity</w:t>
      </w:r>
      <w:r w:rsidRPr="00E85152">
        <w:rPr>
          <w:lang w:eastAsia="ar-SA"/>
        </w:rPr>
        <w:t xml:space="preserve"> </w:t>
      </w:r>
      <w:r w:rsidR="002E63AC">
        <w:rPr>
          <w:lang w:eastAsia="ar-SA"/>
        </w:rPr>
        <w:t>(</w:t>
      </w:r>
      <w:r w:rsidRPr="00E85152">
        <w:rPr>
          <w:lang w:eastAsia="ar-SA"/>
        </w:rPr>
        <w:t>91%</w:t>
      </w:r>
      <w:r w:rsidR="002E63AC">
        <w:rPr>
          <w:lang w:eastAsia="ar-SA"/>
        </w:rPr>
        <w:t>)</w:t>
      </w:r>
    </w:p>
    <w:p w:rsidR="00BF1A82" w:rsidRDefault="003A64D0" w:rsidP="00BF1A82">
      <w:pPr>
        <w:numPr>
          <w:ilvl w:val="1"/>
          <w:numId w:val="7"/>
        </w:numPr>
        <w:autoSpaceDE w:val="0"/>
        <w:autoSpaceDN w:val="0"/>
        <w:adjustRightInd w:val="0"/>
        <w:spacing w:before="120"/>
        <w:ind w:left="1701" w:hanging="567"/>
        <w:rPr>
          <w:lang w:eastAsia="ar-SA"/>
        </w:rPr>
      </w:pPr>
      <w:r w:rsidRPr="00E85152">
        <w:rPr>
          <w:lang w:eastAsia="ar-SA"/>
        </w:rPr>
        <w:t xml:space="preserve">20% </w:t>
      </w:r>
      <w:r>
        <w:rPr>
          <w:lang w:eastAsia="ar-SA"/>
        </w:rPr>
        <w:t>Pacific respondents mentioned u</w:t>
      </w:r>
      <w:r w:rsidRPr="00E85152">
        <w:rPr>
          <w:lang w:eastAsia="ar-SA"/>
        </w:rPr>
        <w:t xml:space="preserve">nprompted colonoscopy </w:t>
      </w:r>
      <w:r>
        <w:rPr>
          <w:lang w:eastAsia="ar-SA"/>
        </w:rPr>
        <w:t>compared to</w:t>
      </w:r>
      <w:r w:rsidRPr="00E85152">
        <w:rPr>
          <w:lang w:eastAsia="ar-SA"/>
        </w:rPr>
        <w:t xml:space="preserve"> 44% </w:t>
      </w:r>
      <w:r w:rsidR="009F7472">
        <w:t>Other et</w:t>
      </w:r>
      <w:r>
        <w:t>hnicity</w:t>
      </w:r>
    </w:p>
    <w:p w:rsidR="003A64D0" w:rsidRPr="00E85152" w:rsidRDefault="003A64D0" w:rsidP="00BF1A82">
      <w:pPr>
        <w:numPr>
          <w:ilvl w:val="1"/>
          <w:numId w:val="7"/>
        </w:numPr>
        <w:autoSpaceDE w:val="0"/>
        <w:autoSpaceDN w:val="0"/>
        <w:adjustRightInd w:val="0"/>
        <w:spacing w:before="120"/>
        <w:ind w:left="1701" w:hanging="567"/>
        <w:rPr>
          <w:lang w:eastAsia="ar-SA"/>
        </w:rPr>
      </w:pPr>
      <w:r>
        <w:rPr>
          <w:lang w:eastAsia="ar-SA"/>
        </w:rPr>
        <w:t xml:space="preserve">when prompted </w:t>
      </w:r>
      <w:r w:rsidRPr="00E85152">
        <w:rPr>
          <w:lang w:eastAsia="ar-SA"/>
        </w:rPr>
        <w:t xml:space="preserve">62% </w:t>
      </w:r>
      <w:r>
        <w:rPr>
          <w:lang w:eastAsia="ar-SA"/>
        </w:rPr>
        <w:t>of Pacific respondents are aware</w:t>
      </w:r>
      <w:r w:rsidRPr="00E85152">
        <w:rPr>
          <w:lang w:eastAsia="ar-SA"/>
        </w:rPr>
        <w:t xml:space="preserve"> of colonoscopy </w:t>
      </w:r>
      <w:r>
        <w:rPr>
          <w:lang w:eastAsia="ar-SA"/>
        </w:rPr>
        <w:t xml:space="preserve">compared to </w:t>
      </w:r>
      <w:r w:rsidRPr="00E85152">
        <w:rPr>
          <w:lang w:eastAsia="ar-SA"/>
        </w:rPr>
        <w:t>93%</w:t>
      </w:r>
      <w:r>
        <w:rPr>
          <w:lang w:eastAsia="ar-SA"/>
        </w:rPr>
        <w:t xml:space="preserve"> </w:t>
      </w:r>
      <w:r w:rsidR="009F7472">
        <w:rPr>
          <w:lang w:eastAsia="ar-SA"/>
        </w:rPr>
        <w:t>Other et</w:t>
      </w:r>
      <w:r>
        <w:rPr>
          <w:lang w:eastAsia="ar-SA"/>
        </w:rPr>
        <w:t>hnicity</w:t>
      </w:r>
    </w:p>
    <w:p w:rsidR="003A64D0" w:rsidRPr="00E85152" w:rsidRDefault="003A64D0" w:rsidP="00604AA9">
      <w:pPr>
        <w:numPr>
          <w:ilvl w:val="0"/>
          <w:numId w:val="7"/>
        </w:numPr>
        <w:tabs>
          <w:tab w:val="num" w:pos="720"/>
        </w:tabs>
        <w:autoSpaceDE w:val="0"/>
        <w:autoSpaceDN w:val="0"/>
        <w:adjustRightInd w:val="0"/>
        <w:spacing w:before="120"/>
        <w:ind w:left="1134" w:hanging="425"/>
      </w:pPr>
      <w:r>
        <w:t>Pacific respondents are l</w:t>
      </w:r>
      <w:r w:rsidRPr="00E85152">
        <w:t xml:space="preserve">ess likely to have ever done </w:t>
      </w:r>
      <w:r>
        <w:t>i</w:t>
      </w:r>
      <w:r w:rsidRPr="00E85152">
        <w:t xml:space="preserve">FOBT (31% </w:t>
      </w:r>
      <w:r>
        <w:t xml:space="preserve">compared to </w:t>
      </w:r>
      <w:r w:rsidRPr="00E85152">
        <w:t xml:space="preserve">51% </w:t>
      </w:r>
      <w:r w:rsidR="009F7472">
        <w:t>Other et</w:t>
      </w:r>
      <w:r>
        <w:t>hnicity</w:t>
      </w:r>
      <w:r w:rsidRPr="00E85152">
        <w:t>)</w:t>
      </w:r>
    </w:p>
    <w:p w:rsidR="003A64D0" w:rsidRPr="00822E35" w:rsidRDefault="003A64D0" w:rsidP="00604AA9">
      <w:pPr>
        <w:numPr>
          <w:ilvl w:val="0"/>
          <w:numId w:val="7"/>
        </w:numPr>
        <w:tabs>
          <w:tab w:val="num" w:pos="720"/>
        </w:tabs>
        <w:autoSpaceDE w:val="0"/>
        <w:autoSpaceDN w:val="0"/>
        <w:adjustRightInd w:val="0"/>
        <w:spacing w:before="120"/>
        <w:ind w:left="1134" w:hanging="425"/>
      </w:pPr>
      <w:r>
        <w:t>Pacific respondents are m</w:t>
      </w:r>
      <w:r w:rsidRPr="00E85152">
        <w:t xml:space="preserve">ore likely to see </w:t>
      </w:r>
      <w:r>
        <w:t>i</w:t>
      </w:r>
      <w:r w:rsidRPr="00E85152">
        <w:t xml:space="preserve">FOBT as inconvenient, embarrassing, </w:t>
      </w:r>
      <w:r w:rsidRPr="00822E35">
        <w:t xml:space="preserve">inaccurate and painful (see </w:t>
      </w:r>
      <w:r w:rsidR="002E63AC">
        <w:t>F</w:t>
      </w:r>
      <w:r w:rsidR="00A02724" w:rsidRPr="00822E35">
        <w:t>igure</w:t>
      </w:r>
      <w:r w:rsidRPr="00822E35">
        <w:t xml:space="preserve"> </w:t>
      </w:r>
      <w:r w:rsidR="00822E35" w:rsidRPr="00822E35">
        <w:t>A3</w:t>
      </w:r>
      <w:r w:rsidR="002E63AC">
        <w:t>.1</w:t>
      </w:r>
      <w:r w:rsidRPr="00822E35">
        <w:t xml:space="preserve"> below)</w:t>
      </w:r>
    </w:p>
    <w:p w:rsidR="003A64D0" w:rsidRPr="00E85152" w:rsidRDefault="003A64D0" w:rsidP="00604AA9">
      <w:pPr>
        <w:numPr>
          <w:ilvl w:val="0"/>
          <w:numId w:val="7"/>
        </w:numPr>
        <w:tabs>
          <w:tab w:val="num" w:pos="720"/>
        </w:tabs>
        <w:autoSpaceDE w:val="0"/>
        <w:autoSpaceDN w:val="0"/>
        <w:adjustRightInd w:val="0"/>
        <w:spacing w:before="120"/>
        <w:ind w:left="1134" w:hanging="425"/>
      </w:pPr>
      <w:r w:rsidRPr="00E85152">
        <w:t xml:space="preserve">28% </w:t>
      </w:r>
      <w:r>
        <w:t xml:space="preserve">of Pacific respondents somewhat or strongly </w:t>
      </w:r>
      <w:r w:rsidRPr="00E85152">
        <w:t xml:space="preserve">agree </w:t>
      </w:r>
      <w:r>
        <w:t>i</w:t>
      </w:r>
      <w:r w:rsidRPr="00E85152">
        <w:t>FOBT</w:t>
      </w:r>
      <w:r>
        <w:t>s</w:t>
      </w:r>
      <w:r w:rsidRPr="00E85152">
        <w:t xml:space="preserve"> </w:t>
      </w:r>
      <w:r>
        <w:t xml:space="preserve">are </w:t>
      </w:r>
      <w:r w:rsidRPr="00E85152">
        <w:t>more trouble than they are worth (</w:t>
      </w:r>
      <w:r>
        <w:t>compared to 8% other)</w:t>
      </w:r>
    </w:p>
    <w:p w:rsidR="003A64D0" w:rsidRPr="00822E35" w:rsidRDefault="003A64D0" w:rsidP="00604AA9">
      <w:pPr>
        <w:numPr>
          <w:ilvl w:val="0"/>
          <w:numId w:val="7"/>
        </w:numPr>
        <w:tabs>
          <w:tab w:val="num" w:pos="720"/>
        </w:tabs>
        <w:autoSpaceDE w:val="0"/>
        <w:autoSpaceDN w:val="0"/>
        <w:adjustRightInd w:val="0"/>
        <w:spacing w:before="120"/>
        <w:ind w:left="1134" w:hanging="425"/>
      </w:pPr>
      <w:r>
        <w:t>Pacific respondents are m</w:t>
      </w:r>
      <w:r w:rsidRPr="00E85152">
        <w:t xml:space="preserve">ore likely to agree colonoscopies are painful (40%), </w:t>
      </w:r>
      <w:r w:rsidRPr="00822E35">
        <w:t xml:space="preserve">inaccurate (34%), and messy (36%) (see </w:t>
      </w:r>
      <w:r w:rsidR="002E63AC">
        <w:t>F</w:t>
      </w:r>
      <w:r w:rsidR="00A02724" w:rsidRPr="00822E35">
        <w:t>igure</w:t>
      </w:r>
      <w:r w:rsidRPr="00822E35">
        <w:t xml:space="preserve"> </w:t>
      </w:r>
      <w:r w:rsidR="00822E35" w:rsidRPr="00822E35">
        <w:t>A</w:t>
      </w:r>
      <w:r w:rsidR="002E63AC">
        <w:t>3.2</w:t>
      </w:r>
      <w:r w:rsidRPr="00822E35">
        <w:t xml:space="preserve"> below)</w:t>
      </w:r>
    </w:p>
    <w:p w:rsidR="003A64D0" w:rsidRDefault="003A64D0" w:rsidP="003A64D0">
      <w:pPr>
        <w:pStyle w:val="Heading4"/>
      </w:pPr>
      <w:r w:rsidRPr="00E85152">
        <w:t>Eligible Pacific population – lower awareness BSP</w:t>
      </w:r>
    </w:p>
    <w:p w:rsidR="003A64D0" w:rsidRPr="00E85152" w:rsidRDefault="003A64D0" w:rsidP="00604AA9">
      <w:pPr>
        <w:numPr>
          <w:ilvl w:val="0"/>
          <w:numId w:val="7"/>
        </w:numPr>
        <w:tabs>
          <w:tab w:val="num" w:pos="720"/>
        </w:tabs>
        <w:autoSpaceDE w:val="0"/>
        <w:autoSpaceDN w:val="0"/>
        <w:adjustRightInd w:val="0"/>
        <w:spacing w:before="120"/>
        <w:ind w:left="1134" w:hanging="425"/>
      </w:pPr>
      <w:r>
        <w:t>Pacific respondents have an i</w:t>
      </w:r>
      <w:r w:rsidRPr="00E85152">
        <w:t>ncreasing but comparatively lower awareness of BSP</w:t>
      </w:r>
    </w:p>
    <w:p w:rsidR="003A64D0" w:rsidRPr="00E85152" w:rsidRDefault="003A64D0" w:rsidP="00604AA9">
      <w:pPr>
        <w:numPr>
          <w:ilvl w:val="1"/>
          <w:numId w:val="7"/>
        </w:numPr>
        <w:autoSpaceDE w:val="0"/>
        <w:autoSpaceDN w:val="0"/>
        <w:adjustRightInd w:val="0"/>
        <w:spacing w:before="120"/>
        <w:ind w:left="1701" w:hanging="567"/>
        <w:rPr>
          <w:lang w:eastAsia="ar-SA"/>
        </w:rPr>
      </w:pPr>
      <w:r w:rsidRPr="00E85152">
        <w:rPr>
          <w:lang w:eastAsia="ar-SA"/>
        </w:rPr>
        <w:t xml:space="preserve">72% </w:t>
      </w:r>
      <w:r>
        <w:rPr>
          <w:lang w:eastAsia="ar-SA"/>
        </w:rPr>
        <w:t xml:space="preserve">of Pacific respondents are aware of the BSP </w:t>
      </w:r>
      <w:r w:rsidRPr="00E85152">
        <w:rPr>
          <w:lang w:eastAsia="ar-SA"/>
        </w:rPr>
        <w:t xml:space="preserve">in 2013 </w:t>
      </w:r>
      <w:r>
        <w:rPr>
          <w:lang w:eastAsia="ar-SA"/>
        </w:rPr>
        <w:t xml:space="preserve">compared to </w:t>
      </w:r>
      <w:r w:rsidRPr="00E85152">
        <w:rPr>
          <w:lang w:eastAsia="ar-SA"/>
        </w:rPr>
        <w:t xml:space="preserve">21% in 2011; </w:t>
      </w:r>
      <w:r>
        <w:rPr>
          <w:lang w:eastAsia="ar-SA"/>
        </w:rPr>
        <w:t>(</w:t>
      </w:r>
      <w:r w:rsidRPr="00E85152">
        <w:rPr>
          <w:lang w:eastAsia="ar-SA"/>
        </w:rPr>
        <w:t>90% other</w:t>
      </w:r>
      <w:r>
        <w:rPr>
          <w:lang w:eastAsia="ar-SA"/>
        </w:rPr>
        <w:t xml:space="preserve"> in 2013)</w:t>
      </w:r>
    </w:p>
    <w:p w:rsidR="003A64D0" w:rsidRPr="00E85152" w:rsidRDefault="003A64D0" w:rsidP="00604AA9">
      <w:pPr>
        <w:numPr>
          <w:ilvl w:val="0"/>
          <w:numId w:val="7"/>
        </w:numPr>
        <w:tabs>
          <w:tab w:val="num" w:pos="720"/>
        </w:tabs>
        <w:autoSpaceDE w:val="0"/>
        <w:autoSpaceDN w:val="0"/>
        <w:adjustRightInd w:val="0"/>
        <w:spacing w:before="120"/>
        <w:ind w:left="1134" w:hanging="425"/>
      </w:pPr>
      <w:r>
        <w:t>There is an i</w:t>
      </w:r>
      <w:r w:rsidRPr="00E85152">
        <w:t>ncrease in doctor</w:t>
      </w:r>
      <w:r>
        <w:t>s</w:t>
      </w:r>
      <w:r w:rsidRPr="00E85152">
        <w:t xml:space="preserve"> suggesting </w:t>
      </w:r>
      <w:r>
        <w:t xml:space="preserve">to Pacific respondents </w:t>
      </w:r>
      <w:r w:rsidRPr="00E85152">
        <w:t xml:space="preserve">they do a bowel cancer test (44% </w:t>
      </w:r>
      <w:r>
        <w:t>mentioned in 2013 compared to</w:t>
      </w:r>
      <w:r w:rsidRPr="00E85152">
        <w:t xml:space="preserve"> 14% in 2011)</w:t>
      </w:r>
      <w:r>
        <w:t>.</w:t>
      </w:r>
    </w:p>
    <w:p w:rsidR="00A915CD" w:rsidRPr="007C51D8" w:rsidRDefault="00A915CD" w:rsidP="007C51D8">
      <w:pPr>
        <w:pStyle w:val="Figure"/>
      </w:pPr>
      <w:bookmarkStart w:id="432" w:name="_Toc380499326"/>
      <w:bookmarkStart w:id="433" w:name="_Toc412540150"/>
      <w:r w:rsidRPr="007C51D8">
        <w:t xml:space="preserve">Figure </w:t>
      </w:r>
      <w:r w:rsidR="00CB31CD" w:rsidRPr="007C51D8">
        <w:t>A3.1</w:t>
      </w:r>
      <w:r w:rsidRPr="007C51D8">
        <w:t xml:space="preserve">: Agreement on statements about the </w:t>
      </w:r>
      <w:r w:rsidR="00497141">
        <w:t>i</w:t>
      </w:r>
      <w:r w:rsidRPr="007C51D8">
        <w:t xml:space="preserve">FOBT by ethnicity, </w:t>
      </w:r>
      <w:r w:rsidR="00D43304">
        <w:t>WDHB</w:t>
      </w:r>
      <w:r w:rsidRPr="007C51D8">
        <w:t>, 2013</w:t>
      </w:r>
      <w:bookmarkEnd w:id="432"/>
      <w:bookmarkEnd w:id="433"/>
    </w:p>
    <w:p w:rsidR="00A915CD" w:rsidRDefault="00A915CD" w:rsidP="003A64D0">
      <w:pPr>
        <w:autoSpaceDE w:val="0"/>
        <w:autoSpaceDN w:val="0"/>
        <w:adjustRightInd w:val="0"/>
        <w:spacing w:before="120"/>
      </w:pPr>
      <w:r>
        <w:rPr>
          <w:noProof/>
          <w:sz w:val="18"/>
          <w:lang w:eastAsia="en-NZ"/>
        </w:rPr>
        <w:drawing>
          <wp:inline distT="0" distB="0" distL="0" distR="0" wp14:anchorId="3786BE8E" wp14:editId="4749136B">
            <wp:extent cx="4834890" cy="315023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4890" cy="3150235"/>
                    </a:xfrm>
                    <a:prstGeom prst="rect">
                      <a:avLst/>
                    </a:prstGeom>
                    <a:noFill/>
                  </pic:spPr>
                </pic:pic>
              </a:graphicData>
            </a:graphic>
          </wp:inline>
        </w:drawing>
      </w:r>
    </w:p>
    <w:p w:rsidR="00A915CD" w:rsidRDefault="00A915CD" w:rsidP="00A915CD">
      <w:pPr>
        <w:spacing w:before="0"/>
        <w:rPr>
          <w:sz w:val="18"/>
        </w:rPr>
      </w:pPr>
      <w:r w:rsidRPr="00C95C03">
        <w:rPr>
          <w:sz w:val="18"/>
        </w:rPr>
        <w:t>Base: Respondents who have never had bowel cancer</w:t>
      </w:r>
      <w:r w:rsidRPr="00461D11">
        <w:rPr>
          <w:sz w:val="18"/>
        </w:rPr>
        <w:t xml:space="preserve"> </w:t>
      </w:r>
      <w:r>
        <w:rPr>
          <w:sz w:val="18"/>
        </w:rPr>
        <w:t>except those diagnosed by the BSP</w:t>
      </w:r>
      <w:r>
        <w:rPr>
          <w:sz w:val="18"/>
        </w:rPr>
        <w:br/>
      </w:r>
      <w:r w:rsidRPr="00C95C03">
        <w:rPr>
          <w:sz w:val="18"/>
        </w:rPr>
        <w:t xml:space="preserve">Source: BSP Evaluation telephone surveys, </w:t>
      </w:r>
      <w:r>
        <w:rPr>
          <w:sz w:val="18"/>
        </w:rPr>
        <w:t>2013</w:t>
      </w:r>
    </w:p>
    <w:p w:rsidR="00A915CD" w:rsidRDefault="00A915CD" w:rsidP="00A915CD">
      <w:pPr>
        <w:spacing w:before="0"/>
        <w:rPr>
          <w:sz w:val="18"/>
        </w:rPr>
      </w:pPr>
    </w:p>
    <w:p w:rsidR="00A915CD" w:rsidRDefault="00A915CD" w:rsidP="00A915CD">
      <w:pPr>
        <w:spacing w:before="0"/>
        <w:rPr>
          <w:sz w:val="18"/>
        </w:rPr>
      </w:pPr>
    </w:p>
    <w:p w:rsidR="00A915CD" w:rsidRDefault="00A915CD">
      <w:pPr>
        <w:spacing w:before="0"/>
        <w:ind w:left="0"/>
        <w:rPr>
          <w:sz w:val="18"/>
        </w:rPr>
      </w:pPr>
    </w:p>
    <w:p w:rsidR="00A02724" w:rsidRPr="007C51D8" w:rsidRDefault="00A02724" w:rsidP="007C51D8">
      <w:pPr>
        <w:pStyle w:val="Figure"/>
      </w:pPr>
      <w:bookmarkStart w:id="434" w:name="_Toc380499333"/>
      <w:bookmarkStart w:id="435" w:name="_Toc412540151"/>
      <w:r w:rsidRPr="007C51D8">
        <w:t xml:space="preserve">Figure </w:t>
      </w:r>
      <w:r w:rsidR="00CB31CD" w:rsidRPr="007C51D8">
        <w:t>A3.2</w:t>
      </w:r>
      <w:r w:rsidRPr="007C51D8">
        <w:t xml:space="preserve">: Agreement about colonoscopies by ethnicity, </w:t>
      </w:r>
      <w:r w:rsidR="00D43304">
        <w:t>WDHB</w:t>
      </w:r>
      <w:r w:rsidRPr="007C51D8">
        <w:t>, 2013</w:t>
      </w:r>
      <w:bookmarkEnd w:id="434"/>
      <w:bookmarkEnd w:id="435"/>
    </w:p>
    <w:p w:rsidR="00A02724" w:rsidRDefault="00A02724" w:rsidP="00A02724">
      <w:pPr>
        <w:spacing w:before="0" w:after="120"/>
        <w:rPr>
          <w:sz w:val="18"/>
        </w:rPr>
      </w:pPr>
      <w:r>
        <w:rPr>
          <w:noProof/>
          <w:sz w:val="18"/>
          <w:lang w:eastAsia="en-NZ"/>
        </w:rPr>
        <w:drawing>
          <wp:inline distT="0" distB="0" distL="0" distR="0" wp14:anchorId="597AD4CC" wp14:editId="584289A6">
            <wp:extent cx="4928235" cy="3211195"/>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28235" cy="3211195"/>
                    </a:xfrm>
                    <a:prstGeom prst="rect">
                      <a:avLst/>
                    </a:prstGeom>
                    <a:noFill/>
                  </pic:spPr>
                </pic:pic>
              </a:graphicData>
            </a:graphic>
          </wp:inline>
        </w:drawing>
      </w:r>
    </w:p>
    <w:p w:rsidR="00A02724" w:rsidRPr="00C95C03" w:rsidRDefault="00A02724" w:rsidP="00A02724">
      <w:pPr>
        <w:spacing w:before="0"/>
        <w:rPr>
          <w:sz w:val="18"/>
        </w:rPr>
      </w:pPr>
      <w:r w:rsidRPr="00C95C03">
        <w:rPr>
          <w:sz w:val="18"/>
        </w:rPr>
        <w:t>Base: Respondents who have never had bowel cancer</w:t>
      </w:r>
      <w:r>
        <w:rPr>
          <w:sz w:val="18"/>
        </w:rPr>
        <w:t xml:space="preserve"> except those diagnosed by the BSP</w:t>
      </w:r>
    </w:p>
    <w:p w:rsidR="00A02724" w:rsidRPr="00C95C03" w:rsidRDefault="00A02724" w:rsidP="00A02724">
      <w:pPr>
        <w:spacing w:before="0" w:after="120"/>
        <w:rPr>
          <w:sz w:val="18"/>
        </w:rPr>
      </w:pPr>
      <w:r w:rsidRPr="00C95C03">
        <w:rPr>
          <w:sz w:val="18"/>
        </w:rPr>
        <w:t>Source: BSP Evaluation telephone surveys</w:t>
      </w:r>
      <w:r>
        <w:rPr>
          <w:sz w:val="18"/>
        </w:rPr>
        <w:t xml:space="preserve"> 2013</w:t>
      </w:r>
    </w:p>
    <w:p w:rsidR="00B635B7" w:rsidRDefault="00B635B7">
      <w:pPr>
        <w:spacing w:before="0"/>
        <w:ind w:left="0"/>
      </w:pPr>
      <w:r>
        <w:br w:type="page"/>
      </w:r>
    </w:p>
    <w:p w:rsidR="00B635B7" w:rsidRPr="00957976" w:rsidRDefault="00B635B7" w:rsidP="007F7CA7">
      <w:pPr>
        <w:pStyle w:val="Heading2"/>
      </w:pPr>
      <w:bookmarkStart w:id="436" w:name="_Toc356566367"/>
      <w:bookmarkStart w:id="437" w:name="_Toc376617541"/>
      <w:bookmarkStart w:id="438" w:name="_Toc390872230"/>
      <w:bookmarkStart w:id="439" w:name="_Toc412540050"/>
      <w:r w:rsidRPr="00957976">
        <w:lastRenderedPageBreak/>
        <w:t xml:space="preserve">Appendix </w:t>
      </w:r>
      <w:r w:rsidR="003F0FF9">
        <w:t>4</w:t>
      </w:r>
      <w:r w:rsidRPr="00957976">
        <w:t>:</w:t>
      </w:r>
      <w:r w:rsidR="00753530">
        <w:t xml:space="preserve">  </w:t>
      </w:r>
      <w:r w:rsidRPr="00957976">
        <w:t>BSP monitoring indicators</w:t>
      </w:r>
      <w:bookmarkEnd w:id="436"/>
      <w:bookmarkEnd w:id="437"/>
      <w:bookmarkEnd w:id="438"/>
      <w:bookmarkEnd w:id="439"/>
      <w:r w:rsidRPr="00957976">
        <w:t xml:space="preserve"> </w:t>
      </w:r>
    </w:p>
    <w:p w:rsidR="00B635B7" w:rsidRDefault="00B635B7" w:rsidP="00B635B7">
      <w:r>
        <w:t xml:space="preserve">The Ministry </w:t>
      </w:r>
      <w:r w:rsidR="00F97FA3">
        <w:t xml:space="preserve">of Health </w:t>
      </w:r>
      <w:r>
        <w:t xml:space="preserve">developed a detailed set of monitoring indicators (the Indicators) which have been drawn up to monitor and evaluate the progress of the BSP.  Not all of the Indicators can be calculated at present, as some can only be completed at a later stage in the </w:t>
      </w:r>
      <w:r w:rsidR="00EB35F4">
        <w:t>p</w:t>
      </w:r>
      <w:r>
        <w:t>ilot.</w:t>
      </w:r>
    </w:p>
    <w:p w:rsidR="00B635B7" w:rsidRPr="007C51D8" w:rsidRDefault="00B635B7" w:rsidP="007C51D8">
      <w:pPr>
        <w:pStyle w:val="Table"/>
      </w:pPr>
      <w:bookmarkStart w:id="440" w:name="_Toc412540175"/>
      <w:r w:rsidRPr="007C51D8">
        <w:t xml:space="preserve">Table </w:t>
      </w:r>
      <w:r w:rsidR="00CB31CD" w:rsidRPr="007C51D8">
        <w:t>A4.1</w:t>
      </w:r>
      <w:r w:rsidRPr="007C51D8">
        <w:t xml:space="preserve">: New Zealand </w:t>
      </w:r>
      <w:r w:rsidR="007D48EE">
        <w:t>BSP</w:t>
      </w:r>
      <w:r w:rsidRPr="007C51D8">
        <w:t xml:space="preserve"> Monitoring Indicators 1 January 2012 to 3</w:t>
      </w:r>
      <w:r w:rsidR="00B65A34" w:rsidRPr="007C51D8">
        <w:t>1</w:t>
      </w:r>
      <w:r w:rsidRPr="007C51D8">
        <w:t xml:space="preserve"> </w:t>
      </w:r>
      <w:r w:rsidR="00B65A34" w:rsidRPr="007C51D8">
        <w:t>December</w:t>
      </w:r>
      <w:r w:rsidRPr="007C51D8">
        <w:t xml:space="preserve"> 2013</w:t>
      </w:r>
      <w:bookmarkEnd w:id="440"/>
    </w:p>
    <w:tbl>
      <w:tblPr>
        <w:tblW w:w="4441" w:type="pct"/>
        <w:tblCellSpacing w:w="0" w:type="dxa"/>
        <w:tblInd w:w="794" w:type="dxa"/>
        <w:tblBorders>
          <w:top w:val="single" w:sz="4" w:space="0" w:color="auto"/>
          <w:left w:val="single" w:sz="4" w:space="0" w:color="auto"/>
          <w:bottom w:val="single" w:sz="4" w:space="0" w:color="auto"/>
          <w:right w:val="single" w:sz="4" w:space="0" w:color="auto"/>
          <w:insideH w:val="dotted" w:sz="4" w:space="0" w:color="auto"/>
        </w:tblBorders>
        <w:tblCellMar>
          <w:left w:w="0" w:type="dxa"/>
          <w:right w:w="0" w:type="dxa"/>
        </w:tblCellMar>
        <w:tblLook w:val="04A0" w:firstRow="1" w:lastRow="0" w:firstColumn="1" w:lastColumn="0" w:noHBand="0" w:noVBand="1"/>
        <w:tblDescription w:val="Table giving a description and information on each of the indicators. "/>
      </w:tblPr>
      <w:tblGrid>
        <w:gridCol w:w="904"/>
        <w:gridCol w:w="1584"/>
        <w:gridCol w:w="3181"/>
        <w:gridCol w:w="1419"/>
        <w:gridCol w:w="1626"/>
      </w:tblGrid>
      <w:tr w:rsidR="00F12FA8" w:rsidRPr="00CA4E12" w:rsidTr="00952CE0">
        <w:trPr>
          <w:tblHeader/>
          <w:tblCellSpacing w:w="0" w:type="dxa"/>
        </w:trPr>
        <w:tc>
          <w:tcPr>
            <w:tcW w:w="0" w:type="auto"/>
            <w:tcBorders>
              <w:top w:val="single" w:sz="4" w:space="0" w:color="auto"/>
              <w:bottom w:val="single" w:sz="4" w:space="0" w:color="auto"/>
            </w:tcBorders>
            <w:shd w:val="clear" w:color="auto" w:fill="C2D69B" w:themeFill="accent3" w:themeFillTint="99"/>
            <w:tcMar>
              <w:top w:w="30" w:type="dxa"/>
              <w:left w:w="75" w:type="dxa"/>
              <w:bottom w:w="30" w:type="dxa"/>
              <w:right w:w="75" w:type="dxa"/>
            </w:tcMar>
            <w:vAlign w:val="bottom"/>
            <w:hideMark/>
          </w:tcPr>
          <w:p w:rsidR="00F12FA8" w:rsidRPr="00CA4E12" w:rsidRDefault="00F12FA8" w:rsidP="00952CE0">
            <w:pPr>
              <w:spacing w:before="0"/>
              <w:ind w:left="0"/>
              <w:rPr>
                <w:rFonts w:cs="Arial"/>
                <w:b/>
                <w:bCs/>
                <w:color w:val="000000"/>
                <w:sz w:val="16"/>
                <w:szCs w:val="16"/>
                <w:lang w:eastAsia="en-NZ"/>
              </w:rPr>
            </w:pPr>
            <w:r w:rsidRPr="00CA4E12">
              <w:rPr>
                <w:rFonts w:cs="Arial"/>
                <w:b/>
                <w:bCs/>
                <w:color w:val="000000"/>
                <w:sz w:val="16"/>
                <w:szCs w:val="16"/>
                <w:lang w:eastAsia="en-NZ"/>
              </w:rPr>
              <w:t>Indicator number</w:t>
            </w:r>
          </w:p>
        </w:tc>
        <w:tc>
          <w:tcPr>
            <w:tcW w:w="0" w:type="auto"/>
            <w:tcBorders>
              <w:top w:val="single" w:sz="4" w:space="0" w:color="auto"/>
              <w:bottom w:val="single" w:sz="4" w:space="0" w:color="auto"/>
            </w:tcBorders>
            <w:shd w:val="clear" w:color="auto" w:fill="C2D69B" w:themeFill="accent3" w:themeFillTint="99"/>
            <w:tcMar>
              <w:top w:w="30" w:type="dxa"/>
              <w:left w:w="75" w:type="dxa"/>
              <w:bottom w:w="30" w:type="dxa"/>
              <w:right w:w="75" w:type="dxa"/>
            </w:tcMar>
            <w:vAlign w:val="bottom"/>
            <w:hideMark/>
          </w:tcPr>
          <w:p w:rsidR="00F12FA8" w:rsidRPr="00CA4E12" w:rsidRDefault="00F12FA8" w:rsidP="00952CE0">
            <w:pPr>
              <w:spacing w:before="0"/>
              <w:ind w:left="0"/>
              <w:rPr>
                <w:rFonts w:cs="Arial"/>
                <w:b/>
                <w:bCs/>
                <w:color w:val="000000"/>
                <w:sz w:val="16"/>
                <w:szCs w:val="16"/>
                <w:lang w:eastAsia="en-NZ"/>
              </w:rPr>
            </w:pPr>
            <w:r w:rsidRPr="00CA4E12">
              <w:rPr>
                <w:rFonts w:cs="Arial"/>
                <w:b/>
                <w:bCs/>
                <w:color w:val="000000"/>
                <w:sz w:val="16"/>
                <w:szCs w:val="16"/>
                <w:lang w:eastAsia="en-NZ"/>
              </w:rPr>
              <w:t>Indicator description</w:t>
            </w:r>
          </w:p>
        </w:tc>
        <w:tc>
          <w:tcPr>
            <w:tcW w:w="1825" w:type="pct"/>
            <w:tcBorders>
              <w:top w:val="single" w:sz="4" w:space="0" w:color="auto"/>
              <w:bottom w:val="single" w:sz="4" w:space="0" w:color="auto"/>
            </w:tcBorders>
            <w:shd w:val="clear" w:color="auto" w:fill="C2D69B" w:themeFill="accent3" w:themeFillTint="99"/>
            <w:tcMar>
              <w:top w:w="30" w:type="dxa"/>
              <w:left w:w="75" w:type="dxa"/>
              <w:bottom w:w="30" w:type="dxa"/>
              <w:right w:w="75" w:type="dxa"/>
            </w:tcMar>
            <w:vAlign w:val="bottom"/>
            <w:hideMark/>
          </w:tcPr>
          <w:p w:rsidR="00F12FA8" w:rsidRPr="00CA4E12" w:rsidRDefault="00F12FA8" w:rsidP="00952CE0">
            <w:pPr>
              <w:spacing w:before="0"/>
              <w:ind w:left="0"/>
              <w:rPr>
                <w:rFonts w:cs="Arial"/>
                <w:b/>
                <w:bCs/>
                <w:color w:val="000000"/>
                <w:sz w:val="16"/>
                <w:szCs w:val="16"/>
                <w:lang w:eastAsia="en-NZ"/>
              </w:rPr>
            </w:pPr>
            <w:r w:rsidRPr="00CA4E12">
              <w:rPr>
                <w:rFonts w:cs="Arial"/>
                <w:b/>
                <w:bCs/>
                <w:color w:val="000000"/>
                <w:sz w:val="16"/>
                <w:szCs w:val="16"/>
                <w:lang w:eastAsia="en-NZ"/>
              </w:rPr>
              <w:t>Evidence</w:t>
            </w:r>
          </w:p>
        </w:tc>
        <w:tc>
          <w:tcPr>
            <w:tcW w:w="814" w:type="pct"/>
            <w:tcBorders>
              <w:top w:val="single" w:sz="4" w:space="0" w:color="auto"/>
              <w:bottom w:val="single" w:sz="4" w:space="0" w:color="auto"/>
            </w:tcBorders>
            <w:shd w:val="clear" w:color="auto" w:fill="C2D69B" w:themeFill="accent3" w:themeFillTint="99"/>
            <w:tcMar>
              <w:top w:w="30" w:type="dxa"/>
              <w:left w:w="75" w:type="dxa"/>
              <w:bottom w:w="30" w:type="dxa"/>
              <w:right w:w="75" w:type="dxa"/>
            </w:tcMar>
            <w:vAlign w:val="bottom"/>
            <w:hideMark/>
          </w:tcPr>
          <w:p w:rsidR="00F12FA8" w:rsidRPr="00CA4E12" w:rsidRDefault="00F12FA8" w:rsidP="00952CE0">
            <w:pPr>
              <w:spacing w:before="0"/>
              <w:ind w:left="0"/>
              <w:rPr>
                <w:rFonts w:cs="Arial"/>
                <w:b/>
                <w:bCs/>
                <w:color w:val="000000"/>
                <w:sz w:val="16"/>
                <w:szCs w:val="16"/>
                <w:lang w:eastAsia="en-NZ"/>
              </w:rPr>
            </w:pPr>
            <w:r w:rsidRPr="00CA4E12">
              <w:rPr>
                <w:rFonts w:cs="Arial"/>
                <w:b/>
                <w:bCs/>
                <w:color w:val="000000"/>
                <w:sz w:val="16"/>
                <w:szCs w:val="16"/>
                <w:lang w:eastAsia="en-NZ"/>
              </w:rPr>
              <w:t>Target</w:t>
            </w:r>
          </w:p>
        </w:tc>
        <w:tc>
          <w:tcPr>
            <w:tcW w:w="933" w:type="pct"/>
            <w:tcBorders>
              <w:top w:val="single" w:sz="4" w:space="0" w:color="auto"/>
              <w:bottom w:val="single" w:sz="4" w:space="0" w:color="auto"/>
            </w:tcBorders>
            <w:shd w:val="clear" w:color="auto" w:fill="C2D69B" w:themeFill="accent3" w:themeFillTint="99"/>
            <w:tcMar>
              <w:top w:w="30" w:type="dxa"/>
              <w:left w:w="75" w:type="dxa"/>
              <w:bottom w:w="30" w:type="dxa"/>
              <w:right w:w="75" w:type="dxa"/>
            </w:tcMar>
            <w:vAlign w:val="bottom"/>
            <w:hideMark/>
          </w:tcPr>
          <w:p w:rsidR="00F12FA8" w:rsidRPr="00CA4E12" w:rsidRDefault="00F12FA8" w:rsidP="00B65A34">
            <w:pPr>
              <w:spacing w:before="0"/>
              <w:ind w:left="0"/>
              <w:rPr>
                <w:rFonts w:cs="Arial"/>
                <w:b/>
                <w:bCs/>
                <w:color w:val="000000"/>
                <w:sz w:val="16"/>
                <w:szCs w:val="16"/>
                <w:lang w:eastAsia="en-NZ"/>
              </w:rPr>
            </w:pPr>
            <w:r w:rsidRPr="00CA4E12">
              <w:rPr>
                <w:rFonts w:cs="Arial"/>
                <w:b/>
                <w:bCs/>
                <w:color w:val="000000"/>
                <w:sz w:val="16"/>
                <w:szCs w:val="16"/>
                <w:lang w:eastAsia="en-NZ"/>
              </w:rPr>
              <w:t>Value (</w:t>
            </w:r>
            <w:r>
              <w:rPr>
                <w:rFonts w:cs="Arial"/>
                <w:b/>
                <w:bCs/>
                <w:color w:val="000000"/>
                <w:sz w:val="16"/>
                <w:szCs w:val="16"/>
                <w:lang w:eastAsia="en-NZ"/>
              </w:rPr>
              <w:t>1 January 2012 to 3</w:t>
            </w:r>
            <w:r w:rsidR="00B65A34">
              <w:rPr>
                <w:rFonts w:cs="Arial"/>
                <w:b/>
                <w:bCs/>
                <w:color w:val="000000"/>
                <w:sz w:val="16"/>
                <w:szCs w:val="16"/>
                <w:lang w:eastAsia="en-NZ"/>
              </w:rPr>
              <w:t>1 December</w:t>
            </w:r>
            <w:r w:rsidRPr="00CA4E12">
              <w:rPr>
                <w:rFonts w:cs="Arial"/>
                <w:b/>
                <w:bCs/>
                <w:color w:val="000000"/>
                <w:sz w:val="16"/>
                <w:szCs w:val="16"/>
                <w:lang w:eastAsia="en-NZ"/>
              </w:rPr>
              <w:t xml:space="preserve"> 2013)</w:t>
            </w:r>
          </w:p>
        </w:tc>
      </w:tr>
      <w:tr w:rsidR="00F12FA8" w:rsidRPr="00CA4E12" w:rsidTr="00952CE0">
        <w:trPr>
          <w:trHeight w:val="425"/>
          <w:tblCellSpacing w:w="0" w:type="dxa"/>
        </w:trPr>
        <w:tc>
          <w:tcPr>
            <w:tcW w:w="0" w:type="auto"/>
            <w:vMerge w:val="restart"/>
            <w:tcBorders>
              <w:top w:val="single" w:sz="4" w:space="0" w:color="auto"/>
              <w:bottom w:val="dotted" w:sz="4" w:space="0" w:color="auto"/>
            </w:tcBorders>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1</w:t>
            </w:r>
          </w:p>
        </w:tc>
        <w:tc>
          <w:tcPr>
            <w:tcW w:w="0" w:type="auto"/>
            <w:vMerge w:val="restart"/>
            <w:tcBorders>
              <w:top w:val="single" w:sz="4" w:space="0" w:color="auto"/>
              <w:bottom w:val="nil"/>
            </w:tcBorders>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Overall participation</w:t>
            </w:r>
          </w:p>
        </w:tc>
        <w:tc>
          <w:tcPr>
            <w:tcW w:w="1825" w:type="pct"/>
            <w:vMerge w:val="restart"/>
            <w:tcBorders>
              <w:top w:val="single" w:sz="4" w:space="0" w:color="auto"/>
              <w:bottom w:val="nil"/>
            </w:tcBorders>
            <w:tcMar>
              <w:top w:w="30" w:type="dxa"/>
              <w:left w:w="75" w:type="dxa"/>
              <w:bottom w:w="30" w:type="dxa"/>
              <w:right w:w="75" w:type="dxa"/>
            </w:tcMar>
            <w:hideMark/>
          </w:tcPr>
          <w:p w:rsidR="00F12FA8" w:rsidRPr="00CA4E12" w:rsidRDefault="00F12FA8" w:rsidP="00190B23">
            <w:pPr>
              <w:spacing w:before="0"/>
              <w:ind w:left="0"/>
              <w:rPr>
                <w:rFonts w:cs="Arial"/>
                <w:sz w:val="16"/>
                <w:szCs w:val="16"/>
                <w:lang w:eastAsia="en-NZ"/>
              </w:rPr>
            </w:pPr>
            <w:r w:rsidRPr="00CA4E12">
              <w:rPr>
                <w:rFonts w:cs="Arial"/>
                <w:sz w:val="16"/>
                <w:szCs w:val="16"/>
                <w:lang w:eastAsia="en-NZ"/>
              </w:rPr>
              <w:t>This is the % of people with a final iFOBT result (</w:t>
            </w:r>
            <w:r w:rsidR="003D209D">
              <w:rPr>
                <w:rFonts w:cs="Arial"/>
                <w:sz w:val="16"/>
                <w:szCs w:val="16"/>
                <w:lang w:eastAsia="en-NZ"/>
              </w:rPr>
              <w:t>positive</w:t>
            </w:r>
            <w:r w:rsidRPr="00CA4E12">
              <w:rPr>
                <w:rFonts w:cs="Arial"/>
                <w:sz w:val="16"/>
                <w:szCs w:val="16"/>
                <w:lang w:eastAsia="en-NZ"/>
              </w:rPr>
              <w:t xml:space="preserve"> or </w:t>
            </w:r>
            <w:r w:rsidR="003D209D">
              <w:rPr>
                <w:rFonts w:cs="Arial"/>
                <w:sz w:val="16"/>
                <w:szCs w:val="16"/>
                <w:lang w:eastAsia="en-NZ"/>
              </w:rPr>
              <w:t>negati</w:t>
            </w:r>
            <w:r w:rsidRPr="00CA4E12">
              <w:rPr>
                <w:rFonts w:cs="Arial"/>
                <w:sz w:val="16"/>
                <w:szCs w:val="16"/>
                <w:lang w:eastAsia="en-NZ"/>
              </w:rPr>
              <w:t>ve) out of all those invited by the programme (adjusted for undelivered kits and letters, those meeting exclusion criteria) for the first and subsequent screening round.</w:t>
            </w:r>
          </w:p>
        </w:tc>
        <w:tc>
          <w:tcPr>
            <w:tcW w:w="814" w:type="pct"/>
            <w:vMerge w:val="restart"/>
            <w:tcBorders>
              <w:top w:val="single" w:sz="4" w:space="0" w:color="auto"/>
              <w:bottom w:val="nil"/>
            </w:tcBorders>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60% first screen</w:t>
            </w:r>
          </w:p>
        </w:tc>
        <w:tc>
          <w:tcPr>
            <w:tcW w:w="933" w:type="pct"/>
            <w:vMerge w:val="restart"/>
            <w:tcBorders>
              <w:top w:val="single" w:sz="4" w:space="0" w:color="auto"/>
              <w:bottom w:val="nil"/>
            </w:tcBorders>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5</w:t>
            </w:r>
            <w:r w:rsidR="00B65A34">
              <w:rPr>
                <w:rFonts w:cs="Arial"/>
                <w:sz w:val="16"/>
                <w:szCs w:val="16"/>
                <w:lang w:eastAsia="en-NZ"/>
              </w:rPr>
              <w:t>3</w:t>
            </w:r>
            <w:r w:rsidRPr="00CA4E12">
              <w:rPr>
                <w:rFonts w:cs="Arial"/>
                <w:sz w:val="16"/>
                <w:szCs w:val="16"/>
                <w:lang w:eastAsia="en-NZ"/>
              </w:rPr>
              <w:t>.</w:t>
            </w:r>
            <w:r w:rsidR="00B65A34">
              <w:rPr>
                <w:rFonts w:cs="Arial"/>
                <w:sz w:val="16"/>
                <w:szCs w:val="16"/>
                <w:lang w:eastAsia="en-NZ"/>
              </w:rPr>
              <w:t>8</w:t>
            </w:r>
            <w:r w:rsidRPr="00CA4E12">
              <w:rPr>
                <w:rFonts w:cs="Arial"/>
                <w:sz w:val="16"/>
                <w:szCs w:val="16"/>
                <w:lang w:eastAsia="en-NZ"/>
              </w:rPr>
              <w:t>%</w:t>
            </w:r>
          </w:p>
        </w:tc>
      </w:tr>
      <w:tr w:rsidR="00F12FA8" w:rsidRPr="00CA4E12" w:rsidTr="00952CE0">
        <w:trPr>
          <w:trHeight w:val="516"/>
          <w:tblCellSpacing w:w="0" w:type="dxa"/>
        </w:trPr>
        <w:tc>
          <w:tcPr>
            <w:tcW w:w="0" w:type="auto"/>
            <w:vMerge/>
            <w:tcBorders>
              <w:top w:val="single" w:sz="4" w:space="0" w:color="auto"/>
              <w:bottom w:val="dotted" w:sz="4" w:space="0" w:color="auto"/>
            </w:tcBorders>
            <w:vAlign w:val="center"/>
            <w:hideMark/>
          </w:tcPr>
          <w:p w:rsidR="00F12FA8" w:rsidRPr="00CA4E12" w:rsidRDefault="00F12FA8" w:rsidP="00952CE0">
            <w:pPr>
              <w:spacing w:before="0"/>
              <w:ind w:left="0"/>
              <w:rPr>
                <w:rFonts w:cs="Arial"/>
                <w:sz w:val="16"/>
                <w:szCs w:val="16"/>
                <w:lang w:eastAsia="en-NZ"/>
              </w:rPr>
            </w:pPr>
          </w:p>
        </w:tc>
        <w:tc>
          <w:tcPr>
            <w:tcW w:w="0" w:type="auto"/>
            <w:vMerge/>
            <w:tcBorders>
              <w:top w:val="nil"/>
              <w:bottom w:val="nil"/>
            </w:tcBorders>
            <w:vAlign w:val="center"/>
            <w:hideMark/>
          </w:tcPr>
          <w:p w:rsidR="00F12FA8" w:rsidRPr="00CA4E12" w:rsidRDefault="00F12FA8" w:rsidP="00952CE0">
            <w:pPr>
              <w:spacing w:before="0"/>
              <w:ind w:left="0"/>
              <w:rPr>
                <w:rFonts w:cs="Arial"/>
                <w:sz w:val="16"/>
                <w:szCs w:val="16"/>
                <w:lang w:eastAsia="en-NZ"/>
              </w:rPr>
            </w:pPr>
          </w:p>
        </w:tc>
        <w:tc>
          <w:tcPr>
            <w:tcW w:w="1825" w:type="pct"/>
            <w:vMerge/>
            <w:tcBorders>
              <w:top w:val="nil"/>
              <w:bottom w:val="nil"/>
            </w:tcBorders>
            <w:vAlign w:val="center"/>
            <w:hideMark/>
          </w:tcPr>
          <w:p w:rsidR="00F12FA8" w:rsidRPr="00CA4E12" w:rsidRDefault="00F12FA8" w:rsidP="00952CE0">
            <w:pPr>
              <w:spacing w:before="0"/>
              <w:ind w:left="0"/>
              <w:rPr>
                <w:rFonts w:cs="Arial"/>
                <w:sz w:val="16"/>
                <w:szCs w:val="16"/>
                <w:lang w:eastAsia="en-NZ"/>
              </w:rPr>
            </w:pPr>
          </w:p>
        </w:tc>
        <w:tc>
          <w:tcPr>
            <w:tcW w:w="814" w:type="pct"/>
            <w:vMerge/>
            <w:tcBorders>
              <w:top w:val="nil"/>
              <w:bottom w:val="nil"/>
            </w:tcBorders>
            <w:vAlign w:val="center"/>
            <w:hideMark/>
          </w:tcPr>
          <w:p w:rsidR="00F12FA8" w:rsidRPr="00CA4E12" w:rsidRDefault="00F12FA8" w:rsidP="00952CE0">
            <w:pPr>
              <w:spacing w:before="0"/>
              <w:ind w:left="0"/>
              <w:rPr>
                <w:rFonts w:cs="Arial"/>
                <w:sz w:val="16"/>
                <w:szCs w:val="16"/>
                <w:lang w:eastAsia="en-NZ"/>
              </w:rPr>
            </w:pPr>
          </w:p>
        </w:tc>
        <w:tc>
          <w:tcPr>
            <w:tcW w:w="933" w:type="pct"/>
            <w:vMerge/>
            <w:tcBorders>
              <w:top w:val="nil"/>
              <w:bottom w:val="nil"/>
            </w:tcBorders>
            <w:vAlign w:val="center"/>
            <w:hideMark/>
          </w:tcPr>
          <w:p w:rsidR="00F12FA8" w:rsidRPr="00CA4E12" w:rsidRDefault="00F12FA8" w:rsidP="00952CE0">
            <w:pPr>
              <w:spacing w:before="0"/>
              <w:ind w:left="0"/>
              <w:rPr>
                <w:rFonts w:cs="Arial"/>
                <w:sz w:val="16"/>
                <w:szCs w:val="16"/>
                <w:lang w:eastAsia="en-NZ"/>
              </w:rPr>
            </w:pPr>
          </w:p>
        </w:tc>
      </w:tr>
      <w:tr w:rsidR="00F12FA8" w:rsidRPr="00CA4E12" w:rsidTr="00952CE0">
        <w:trPr>
          <w:tblCellSpacing w:w="0" w:type="dxa"/>
        </w:trPr>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2</w:t>
            </w:r>
          </w:p>
        </w:tc>
        <w:tc>
          <w:tcPr>
            <w:tcW w:w="0" w:type="auto"/>
            <w:tcBorders>
              <w:top w:val="dotted" w:sz="4" w:space="0" w:color="auto"/>
              <w:bottom w:val="dotted" w:sz="4" w:space="0" w:color="auto"/>
            </w:tcBorders>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Coverage</w:t>
            </w:r>
          </w:p>
        </w:tc>
        <w:tc>
          <w:tcPr>
            <w:tcW w:w="1825" w:type="pct"/>
            <w:tcBorders>
              <w:top w:val="dotted" w:sz="4" w:space="0" w:color="auto"/>
              <w:bottom w:val="dotted" w:sz="4" w:space="0" w:color="auto"/>
            </w:tcBorders>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This is the % of eligible people in WDHB who were invited to participate during the first screening round.</w:t>
            </w:r>
          </w:p>
        </w:tc>
        <w:tc>
          <w:tcPr>
            <w:tcW w:w="814" w:type="pct"/>
            <w:tcBorders>
              <w:top w:val="dotted" w:sz="4" w:space="0" w:color="auto"/>
              <w:bottom w:val="dotted" w:sz="4" w:space="0" w:color="auto"/>
            </w:tcBorders>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&gt;95%</w:t>
            </w:r>
          </w:p>
        </w:tc>
        <w:tc>
          <w:tcPr>
            <w:tcW w:w="933" w:type="pct"/>
            <w:tcBorders>
              <w:top w:val="dotted" w:sz="4" w:space="0" w:color="auto"/>
              <w:bottom w:val="dotted" w:sz="4" w:space="0" w:color="auto"/>
            </w:tcBorders>
            <w:tcMar>
              <w:top w:w="30" w:type="dxa"/>
              <w:left w:w="75" w:type="dxa"/>
              <w:bottom w:w="30" w:type="dxa"/>
              <w:right w:w="75" w:type="dxa"/>
            </w:tcMar>
            <w:hideMark/>
          </w:tcPr>
          <w:p w:rsidR="00F12FA8" w:rsidRPr="00CA4E12" w:rsidRDefault="00B65A34" w:rsidP="00952CE0">
            <w:pPr>
              <w:spacing w:before="0"/>
              <w:ind w:left="0"/>
              <w:rPr>
                <w:rFonts w:cs="Arial"/>
                <w:sz w:val="16"/>
                <w:szCs w:val="16"/>
                <w:lang w:eastAsia="en-NZ"/>
              </w:rPr>
            </w:pPr>
            <w:r>
              <w:rPr>
                <w:rFonts w:cs="Arial"/>
                <w:sz w:val="16"/>
                <w:szCs w:val="16"/>
                <w:lang w:eastAsia="en-NZ"/>
              </w:rPr>
              <w:t xml:space="preserve">To be advised </w:t>
            </w:r>
          </w:p>
        </w:tc>
      </w:tr>
      <w:tr w:rsidR="00F12FA8" w:rsidRPr="00CA4E12" w:rsidTr="00952CE0">
        <w:trPr>
          <w:tblCellSpacing w:w="0" w:type="dxa"/>
        </w:trPr>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3</w:t>
            </w:r>
          </w:p>
        </w:tc>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Pr>
                <w:rFonts w:cs="Arial"/>
                <w:sz w:val="16"/>
                <w:szCs w:val="16"/>
                <w:lang w:eastAsia="en-NZ"/>
              </w:rPr>
              <w:t>Time to colonoscopy as at 30 September</w:t>
            </w:r>
            <w:r w:rsidRPr="00CA4E12">
              <w:rPr>
                <w:rFonts w:cs="Arial"/>
                <w:sz w:val="16"/>
                <w:szCs w:val="16"/>
                <w:lang w:eastAsia="en-NZ"/>
              </w:rPr>
              <w:t xml:space="preserve"> 2013.</w:t>
            </w:r>
          </w:p>
        </w:tc>
        <w:tc>
          <w:tcPr>
            <w:tcW w:w="1825" w:type="pct"/>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This is the % of people whose time between the laboratory receiving a positive iFOBT to having a colonoscopy carried out was within a specified target (excludes persons who decline colonoscopy).</w:t>
            </w:r>
          </w:p>
        </w:tc>
        <w:tc>
          <w:tcPr>
            <w:tcW w:w="814"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95% &lt;11 weeks*</w:t>
            </w:r>
          </w:p>
        </w:tc>
        <w:tc>
          <w:tcPr>
            <w:tcW w:w="933" w:type="pc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9</w:t>
            </w:r>
            <w:r w:rsidR="00B65A34">
              <w:rPr>
                <w:rFonts w:cs="Arial"/>
                <w:sz w:val="16"/>
                <w:szCs w:val="16"/>
                <w:lang w:eastAsia="en-NZ"/>
              </w:rPr>
              <w:t>1</w:t>
            </w:r>
            <w:r w:rsidRPr="00CA4E12">
              <w:rPr>
                <w:rFonts w:cs="Arial"/>
                <w:sz w:val="16"/>
                <w:szCs w:val="16"/>
                <w:lang w:eastAsia="en-NZ"/>
              </w:rPr>
              <w:t>.</w:t>
            </w:r>
            <w:r w:rsidR="00B65A34">
              <w:rPr>
                <w:rFonts w:cs="Arial"/>
                <w:sz w:val="16"/>
                <w:szCs w:val="16"/>
                <w:lang w:eastAsia="en-NZ"/>
              </w:rPr>
              <w:t>3</w:t>
            </w:r>
            <w:r w:rsidRPr="00CA4E12">
              <w:rPr>
                <w:rFonts w:cs="Arial"/>
                <w:sz w:val="16"/>
                <w:szCs w:val="16"/>
                <w:lang w:eastAsia="en-NZ"/>
              </w:rPr>
              <w:t>%</w:t>
            </w:r>
          </w:p>
        </w:tc>
      </w:tr>
      <w:tr w:rsidR="00F12FA8" w:rsidRPr="00CA4E12" w:rsidTr="00952CE0">
        <w:trPr>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50% &lt; 5 weeks *</w:t>
            </w:r>
          </w:p>
        </w:tc>
        <w:tc>
          <w:tcPr>
            <w:tcW w:w="933" w:type="pct"/>
            <w:tcMar>
              <w:top w:w="30" w:type="dxa"/>
              <w:left w:w="75" w:type="dxa"/>
              <w:bottom w:w="30" w:type="dxa"/>
              <w:right w:w="75" w:type="dxa"/>
            </w:tcMar>
            <w:hideMark/>
          </w:tcPr>
          <w:p w:rsidR="00F12FA8" w:rsidRPr="00CA4E12" w:rsidRDefault="00B65A34" w:rsidP="00B65A34">
            <w:pPr>
              <w:spacing w:before="0"/>
              <w:ind w:left="0"/>
              <w:rPr>
                <w:rFonts w:cs="Arial"/>
                <w:sz w:val="16"/>
                <w:szCs w:val="16"/>
                <w:lang w:eastAsia="en-NZ"/>
              </w:rPr>
            </w:pPr>
            <w:r>
              <w:rPr>
                <w:rFonts w:cs="Arial"/>
                <w:sz w:val="16"/>
                <w:szCs w:val="16"/>
                <w:lang w:eastAsia="en-NZ"/>
              </w:rPr>
              <w:t>3</w:t>
            </w:r>
            <w:r w:rsidR="00F12FA8" w:rsidRPr="00CA4E12">
              <w:rPr>
                <w:rFonts w:cs="Arial"/>
                <w:sz w:val="16"/>
                <w:szCs w:val="16"/>
                <w:lang w:eastAsia="en-NZ"/>
              </w:rPr>
              <w:t>.</w:t>
            </w:r>
            <w:r>
              <w:rPr>
                <w:rFonts w:cs="Arial"/>
                <w:sz w:val="16"/>
                <w:szCs w:val="16"/>
                <w:lang w:eastAsia="en-NZ"/>
              </w:rPr>
              <w:t>6</w:t>
            </w:r>
            <w:r w:rsidR="00F12FA8" w:rsidRPr="00CA4E12">
              <w:rPr>
                <w:rFonts w:cs="Arial"/>
                <w:sz w:val="16"/>
                <w:szCs w:val="16"/>
                <w:lang w:eastAsia="en-NZ"/>
              </w:rPr>
              <w:t>%</w:t>
            </w:r>
          </w:p>
        </w:tc>
      </w:tr>
      <w:tr w:rsidR="00F12FA8" w:rsidRPr="00CA4E12" w:rsidTr="00952CE0">
        <w:trPr>
          <w:trHeight w:val="425"/>
          <w:tblCellSpacing w:w="0" w:type="dxa"/>
        </w:trPr>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4</w:t>
            </w:r>
          </w:p>
        </w:tc>
        <w:tc>
          <w:tcPr>
            <w:tcW w:w="0" w:type="auto"/>
            <w:vMerge w:val="restart"/>
            <w:tcBorders>
              <w:top w:val="dotted" w:sz="4" w:space="0" w:color="auto"/>
              <w:bottom w:val="dotted" w:sz="4" w:space="0" w:color="auto"/>
            </w:tcBorders>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Proportion of individuals with a positive screening test undergoing colonoscopy</w:t>
            </w:r>
          </w:p>
        </w:tc>
        <w:tc>
          <w:tcPr>
            <w:tcW w:w="1825" w:type="pct"/>
            <w:vMerge w:val="restart"/>
            <w:tcBorders>
              <w:top w:val="dotted" w:sz="4" w:space="0" w:color="auto"/>
              <w:bottom w:val="dotted" w:sz="4" w:space="0" w:color="auto"/>
            </w:tcBorders>
            <w:tcMar>
              <w:top w:w="30" w:type="dxa"/>
              <w:left w:w="75" w:type="dxa"/>
              <w:bottom w:w="30" w:type="dxa"/>
              <w:right w:w="75" w:type="dxa"/>
            </w:tcMar>
            <w:hideMark/>
          </w:tcPr>
          <w:p w:rsidR="00F12FA8" w:rsidRPr="00CA4E12" w:rsidRDefault="00F12FA8" w:rsidP="00183345">
            <w:pPr>
              <w:spacing w:before="0"/>
              <w:ind w:left="0"/>
              <w:rPr>
                <w:rFonts w:cs="Arial"/>
                <w:sz w:val="16"/>
                <w:szCs w:val="16"/>
                <w:lang w:eastAsia="en-NZ"/>
              </w:rPr>
            </w:pPr>
            <w:r w:rsidRPr="00CA4E12">
              <w:rPr>
                <w:rFonts w:cs="Arial"/>
                <w:sz w:val="16"/>
                <w:szCs w:val="16"/>
                <w:lang w:eastAsia="en-NZ"/>
              </w:rPr>
              <w:t>This is the % of screened people with a positive iFOBT result who undergo a colonoscopy or CT</w:t>
            </w:r>
            <w:r w:rsidR="00183345">
              <w:rPr>
                <w:rFonts w:cs="Arial"/>
                <w:sz w:val="16"/>
                <w:szCs w:val="16"/>
                <w:lang w:eastAsia="en-NZ"/>
              </w:rPr>
              <w:t>C</w:t>
            </w:r>
            <w:r w:rsidRPr="00CA4E12">
              <w:rPr>
                <w:rFonts w:cs="Arial"/>
                <w:sz w:val="16"/>
                <w:szCs w:val="16"/>
                <w:lang w:eastAsia="en-NZ"/>
              </w:rPr>
              <w:t xml:space="preserve"> through the programme.</w:t>
            </w:r>
          </w:p>
        </w:tc>
        <w:tc>
          <w:tcPr>
            <w:tcW w:w="814" w:type="pct"/>
            <w:vMerge w:val="restart"/>
            <w:tcBorders>
              <w:top w:val="dotted" w:sz="4" w:space="0" w:color="auto"/>
              <w:bottom w:val="dotted" w:sz="4" w:space="0" w:color="auto"/>
            </w:tcBorders>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&gt;90% undergo colonoscopy</w:t>
            </w:r>
          </w:p>
        </w:tc>
        <w:tc>
          <w:tcPr>
            <w:tcW w:w="933" w:type="pct"/>
            <w:vMerge w:val="restart"/>
            <w:tcBorders>
              <w:top w:val="dotted" w:sz="4" w:space="0" w:color="auto"/>
              <w:bottom w:val="dotted" w:sz="4" w:space="0" w:color="auto"/>
            </w:tcBorders>
            <w:tcMar>
              <w:top w:w="30" w:type="dxa"/>
              <w:left w:w="75" w:type="dxa"/>
              <w:bottom w:w="30" w:type="dxa"/>
              <w:right w:w="75" w:type="dxa"/>
            </w:tcMar>
            <w:hideMark/>
          </w:tcPr>
          <w:p w:rsidR="00F12FA8" w:rsidRPr="00CA4E12" w:rsidRDefault="00B65A34" w:rsidP="00B65A34">
            <w:pPr>
              <w:spacing w:before="0"/>
              <w:ind w:left="0"/>
              <w:rPr>
                <w:rFonts w:cs="Arial"/>
                <w:sz w:val="16"/>
                <w:szCs w:val="16"/>
                <w:lang w:eastAsia="en-NZ"/>
              </w:rPr>
            </w:pPr>
            <w:r>
              <w:rPr>
                <w:rFonts w:cs="Arial"/>
                <w:sz w:val="16"/>
                <w:szCs w:val="16"/>
                <w:lang w:eastAsia="en-NZ"/>
              </w:rPr>
              <w:t>91</w:t>
            </w:r>
            <w:r w:rsidR="00F12FA8" w:rsidRPr="00CA4E12">
              <w:rPr>
                <w:rFonts w:cs="Arial"/>
                <w:sz w:val="16"/>
                <w:szCs w:val="16"/>
                <w:lang w:eastAsia="en-NZ"/>
              </w:rPr>
              <w:t>.</w:t>
            </w:r>
            <w:r>
              <w:rPr>
                <w:rFonts w:cs="Arial"/>
                <w:sz w:val="16"/>
                <w:szCs w:val="16"/>
                <w:lang w:eastAsia="en-NZ"/>
              </w:rPr>
              <w:t>0</w:t>
            </w:r>
            <w:r w:rsidR="00F12FA8" w:rsidRPr="00CA4E12">
              <w:rPr>
                <w:rFonts w:cs="Arial"/>
                <w:sz w:val="16"/>
                <w:szCs w:val="16"/>
                <w:lang w:eastAsia="en-NZ"/>
              </w:rPr>
              <w:t>%</w:t>
            </w:r>
          </w:p>
        </w:tc>
      </w:tr>
      <w:tr w:rsidR="00F12FA8" w:rsidRPr="00CA4E12" w:rsidTr="00952CE0">
        <w:trPr>
          <w:trHeight w:val="516"/>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tcBorders>
              <w:top w:val="nil"/>
              <w:bottom w:val="dotted" w:sz="4" w:space="0" w:color="auto"/>
            </w:tcBorders>
            <w:vAlign w:val="center"/>
            <w:hideMark/>
          </w:tcPr>
          <w:p w:rsidR="00F12FA8" w:rsidRPr="00CA4E12" w:rsidRDefault="00F12FA8" w:rsidP="00952CE0">
            <w:pPr>
              <w:spacing w:before="0"/>
              <w:ind w:left="0"/>
              <w:rPr>
                <w:rFonts w:cs="Arial"/>
                <w:sz w:val="16"/>
                <w:szCs w:val="16"/>
                <w:lang w:eastAsia="en-NZ"/>
              </w:rPr>
            </w:pPr>
          </w:p>
        </w:tc>
        <w:tc>
          <w:tcPr>
            <w:tcW w:w="1825" w:type="pct"/>
            <w:vMerge/>
            <w:tcBorders>
              <w:top w:val="nil"/>
              <w:bottom w:val="dotted" w:sz="4" w:space="0" w:color="auto"/>
            </w:tcBorders>
            <w:vAlign w:val="center"/>
            <w:hideMark/>
          </w:tcPr>
          <w:p w:rsidR="00F12FA8" w:rsidRPr="00CA4E12" w:rsidRDefault="00F12FA8" w:rsidP="00952CE0">
            <w:pPr>
              <w:spacing w:before="0"/>
              <w:ind w:left="0"/>
              <w:rPr>
                <w:rFonts w:cs="Arial"/>
                <w:sz w:val="16"/>
                <w:szCs w:val="16"/>
                <w:lang w:eastAsia="en-NZ"/>
              </w:rPr>
            </w:pPr>
          </w:p>
        </w:tc>
        <w:tc>
          <w:tcPr>
            <w:tcW w:w="814" w:type="pct"/>
            <w:vMerge/>
            <w:tcBorders>
              <w:top w:val="nil"/>
              <w:bottom w:val="dotted" w:sz="4" w:space="0" w:color="auto"/>
            </w:tcBorders>
            <w:vAlign w:val="center"/>
            <w:hideMark/>
          </w:tcPr>
          <w:p w:rsidR="00F12FA8" w:rsidRPr="00CA4E12" w:rsidRDefault="00F12FA8" w:rsidP="00952CE0">
            <w:pPr>
              <w:spacing w:before="0"/>
              <w:ind w:left="0"/>
              <w:rPr>
                <w:rFonts w:cs="Arial"/>
                <w:sz w:val="16"/>
                <w:szCs w:val="16"/>
                <w:lang w:eastAsia="en-NZ"/>
              </w:rPr>
            </w:pPr>
          </w:p>
        </w:tc>
        <w:tc>
          <w:tcPr>
            <w:tcW w:w="933" w:type="pct"/>
            <w:vMerge/>
            <w:tcBorders>
              <w:top w:val="nil"/>
              <w:bottom w:val="dotted" w:sz="4" w:space="0" w:color="auto"/>
            </w:tcBorders>
            <w:vAlign w:val="center"/>
            <w:hideMark/>
          </w:tcPr>
          <w:p w:rsidR="00F12FA8" w:rsidRPr="00CA4E12" w:rsidRDefault="00F12FA8" w:rsidP="00952CE0">
            <w:pPr>
              <w:spacing w:before="0"/>
              <w:ind w:left="0"/>
              <w:rPr>
                <w:rFonts w:cs="Arial"/>
                <w:sz w:val="16"/>
                <w:szCs w:val="16"/>
                <w:lang w:eastAsia="en-NZ"/>
              </w:rPr>
            </w:pPr>
          </w:p>
        </w:tc>
      </w:tr>
      <w:tr w:rsidR="00F12FA8" w:rsidRPr="00CA4E12" w:rsidTr="00952CE0">
        <w:trPr>
          <w:tblCellSpacing w:w="0" w:type="dxa"/>
        </w:trPr>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5</w:t>
            </w:r>
          </w:p>
        </w:tc>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Colonoscopy completion rate</w:t>
            </w:r>
          </w:p>
        </w:tc>
        <w:tc>
          <w:tcPr>
            <w:tcW w:w="1825"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This is the % of completed colonoscopies (reaching the caecum).</w:t>
            </w:r>
          </w:p>
        </w:tc>
        <w:tc>
          <w:tcPr>
            <w:tcW w:w="814"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Acceptable &gt;90% Desirable &gt; 95% completion to the caecum</w:t>
            </w:r>
          </w:p>
        </w:tc>
        <w:tc>
          <w:tcPr>
            <w:tcW w:w="933" w:type="pc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9</w:t>
            </w:r>
            <w:r w:rsidR="00B65A34">
              <w:rPr>
                <w:rFonts w:cs="Arial"/>
                <w:sz w:val="16"/>
                <w:szCs w:val="16"/>
                <w:lang w:eastAsia="en-NZ"/>
              </w:rPr>
              <w:t>7</w:t>
            </w:r>
            <w:r w:rsidRPr="00CA4E12">
              <w:rPr>
                <w:rFonts w:cs="Arial"/>
                <w:sz w:val="16"/>
                <w:szCs w:val="16"/>
                <w:lang w:eastAsia="en-NZ"/>
              </w:rPr>
              <w:t>.</w:t>
            </w:r>
            <w:r w:rsidR="00B65A34">
              <w:rPr>
                <w:rFonts w:cs="Arial"/>
                <w:sz w:val="16"/>
                <w:szCs w:val="16"/>
                <w:lang w:eastAsia="en-NZ"/>
              </w:rPr>
              <w:t>4</w:t>
            </w:r>
            <w:r w:rsidRPr="00CA4E12">
              <w:rPr>
                <w:rFonts w:cs="Arial"/>
                <w:sz w:val="16"/>
                <w:szCs w:val="16"/>
                <w:lang w:eastAsia="en-NZ"/>
              </w:rPr>
              <w:t>%</w:t>
            </w:r>
          </w:p>
        </w:tc>
      </w:tr>
      <w:tr w:rsidR="00F12FA8" w:rsidRPr="00CA4E12" w:rsidTr="00952CE0">
        <w:trPr>
          <w:tblCellSpacing w:w="0" w:type="dxa"/>
        </w:trPr>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6</w:t>
            </w:r>
          </w:p>
        </w:tc>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Colonoscopy complication rate for perforation or bleeding</w:t>
            </w:r>
          </w:p>
        </w:tc>
        <w:tc>
          <w:tcPr>
            <w:tcW w:w="1825"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This is the number of people requiring admission to hospital for an intermediate or serious adverse event related to perforation or bleeding occurring within 30 days of colonoscopy, per 1000 of those who had a colonoscopy during the first and subsequent screening round.</w:t>
            </w:r>
          </w:p>
        </w:tc>
        <w:tc>
          <w:tcPr>
            <w:tcW w:w="814"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&lt;10 per 1000 colonoscopies **</w:t>
            </w:r>
          </w:p>
        </w:tc>
        <w:tc>
          <w:tcPr>
            <w:tcW w:w="933" w:type="pct"/>
            <w:tcMar>
              <w:top w:w="30" w:type="dxa"/>
              <w:left w:w="75" w:type="dxa"/>
              <w:bottom w:w="30" w:type="dxa"/>
              <w:right w:w="75" w:type="dxa"/>
            </w:tcMar>
            <w:hideMark/>
          </w:tcPr>
          <w:p w:rsidR="00F12FA8" w:rsidRPr="00CA4E12" w:rsidRDefault="00B65A34" w:rsidP="00952CE0">
            <w:pPr>
              <w:spacing w:before="0"/>
              <w:ind w:left="0"/>
              <w:rPr>
                <w:rFonts w:cs="Arial"/>
                <w:sz w:val="16"/>
                <w:szCs w:val="16"/>
                <w:lang w:eastAsia="en-NZ"/>
              </w:rPr>
            </w:pPr>
            <w:r>
              <w:rPr>
                <w:rFonts w:cs="Arial"/>
                <w:sz w:val="16"/>
                <w:szCs w:val="16"/>
                <w:lang w:eastAsia="en-NZ"/>
              </w:rPr>
              <w:t>3</w:t>
            </w:r>
            <w:r w:rsidR="00F12FA8" w:rsidRPr="00CA4E12">
              <w:rPr>
                <w:rFonts w:cs="Arial"/>
                <w:sz w:val="16"/>
                <w:szCs w:val="16"/>
                <w:lang w:eastAsia="en-NZ"/>
              </w:rPr>
              <w:t>.</w:t>
            </w:r>
            <w:r w:rsidR="00F12FA8">
              <w:rPr>
                <w:rFonts w:cs="Arial"/>
                <w:sz w:val="16"/>
                <w:szCs w:val="16"/>
                <w:lang w:eastAsia="en-NZ"/>
              </w:rPr>
              <w:t>9</w:t>
            </w:r>
            <w:r w:rsidR="00F12FA8" w:rsidRPr="00CA4E12">
              <w:rPr>
                <w:rFonts w:cs="Arial"/>
                <w:sz w:val="16"/>
                <w:szCs w:val="16"/>
                <w:lang w:eastAsia="en-NZ"/>
              </w:rPr>
              <w:t xml:space="preserve"> per 1000</w:t>
            </w:r>
          </w:p>
        </w:tc>
      </w:tr>
      <w:tr w:rsidR="00F12FA8" w:rsidRPr="00CA4E12" w:rsidTr="00952CE0">
        <w:trPr>
          <w:tblCellSpacing w:w="0" w:type="dxa"/>
        </w:trPr>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7</w:t>
            </w:r>
          </w:p>
        </w:tc>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Colonoscopy complication rate for events other than perforation or bleeding</w:t>
            </w:r>
          </w:p>
        </w:tc>
        <w:tc>
          <w:tcPr>
            <w:tcW w:w="1825"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This is the number of people requiring admission to hospital for other intermediate or serious adverse events not related to perforation or bleeding occurring within 30 days of colonoscopy, per 1000 of those who had a colonoscopy during the first and subsequent screening round.</w:t>
            </w:r>
          </w:p>
        </w:tc>
        <w:tc>
          <w:tcPr>
            <w:tcW w:w="814"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No agreed international standard</w:t>
            </w:r>
          </w:p>
        </w:tc>
        <w:tc>
          <w:tcPr>
            <w:tcW w:w="933" w:type="pct"/>
            <w:tcMar>
              <w:top w:w="30" w:type="dxa"/>
              <w:left w:w="75" w:type="dxa"/>
              <w:bottom w:w="30" w:type="dxa"/>
              <w:right w:w="75" w:type="dxa"/>
            </w:tcMar>
            <w:hideMark/>
          </w:tcPr>
          <w:p w:rsidR="00F12FA8" w:rsidRPr="00CA4E12" w:rsidRDefault="00B65A34" w:rsidP="00B65A34">
            <w:pPr>
              <w:spacing w:before="0"/>
              <w:ind w:left="0"/>
              <w:rPr>
                <w:rFonts w:cs="Arial"/>
                <w:sz w:val="16"/>
                <w:szCs w:val="16"/>
                <w:lang w:eastAsia="en-NZ"/>
              </w:rPr>
            </w:pPr>
            <w:r>
              <w:rPr>
                <w:rFonts w:cs="Arial"/>
                <w:sz w:val="16"/>
                <w:szCs w:val="16"/>
                <w:lang w:eastAsia="en-NZ"/>
              </w:rPr>
              <w:t>3</w:t>
            </w:r>
            <w:r w:rsidR="00F12FA8" w:rsidRPr="00CA4E12">
              <w:rPr>
                <w:rFonts w:cs="Arial"/>
                <w:sz w:val="16"/>
                <w:szCs w:val="16"/>
                <w:lang w:eastAsia="en-NZ"/>
              </w:rPr>
              <w:t>.</w:t>
            </w:r>
            <w:r>
              <w:rPr>
                <w:rFonts w:cs="Arial"/>
                <w:sz w:val="16"/>
                <w:szCs w:val="16"/>
                <w:lang w:eastAsia="en-NZ"/>
              </w:rPr>
              <w:t>9</w:t>
            </w:r>
            <w:r w:rsidR="00F12FA8" w:rsidRPr="00CA4E12">
              <w:rPr>
                <w:rFonts w:cs="Arial"/>
                <w:sz w:val="16"/>
                <w:szCs w:val="16"/>
                <w:lang w:eastAsia="en-NZ"/>
              </w:rPr>
              <w:t xml:space="preserve"> per 1000</w:t>
            </w:r>
          </w:p>
        </w:tc>
      </w:tr>
      <w:tr w:rsidR="00F12FA8" w:rsidRPr="00CA4E12" w:rsidTr="00952CE0">
        <w:trPr>
          <w:trHeight w:val="425"/>
          <w:tblCellSpacing w:w="0" w:type="dxa"/>
        </w:trPr>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8</w:t>
            </w:r>
          </w:p>
        </w:tc>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Positivity rate</w:t>
            </w:r>
          </w:p>
        </w:tc>
        <w:tc>
          <w:tcPr>
            <w:tcW w:w="1825" w:type="pct"/>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This is the % of people with a positive iFOBT during the first and subsequent screening round.</w:t>
            </w:r>
          </w:p>
        </w:tc>
        <w:tc>
          <w:tcPr>
            <w:tcW w:w="814" w:type="pct"/>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6-8% first screen</w:t>
            </w:r>
          </w:p>
        </w:tc>
        <w:tc>
          <w:tcPr>
            <w:tcW w:w="933" w:type="pct"/>
            <w:vMerge w:val="restar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7.</w:t>
            </w:r>
            <w:r w:rsidR="00B65A34">
              <w:rPr>
                <w:rFonts w:cs="Arial"/>
                <w:sz w:val="16"/>
                <w:szCs w:val="16"/>
                <w:lang w:eastAsia="en-NZ"/>
              </w:rPr>
              <w:t>5</w:t>
            </w:r>
            <w:r w:rsidRPr="00CA4E12">
              <w:rPr>
                <w:rFonts w:cs="Arial"/>
                <w:sz w:val="16"/>
                <w:szCs w:val="16"/>
                <w:lang w:eastAsia="en-NZ"/>
              </w:rPr>
              <w:t>%</w:t>
            </w:r>
          </w:p>
        </w:tc>
      </w:tr>
      <w:tr w:rsidR="00F12FA8" w:rsidRPr="00CA4E12" w:rsidTr="00952CE0">
        <w:trPr>
          <w:trHeight w:val="425"/>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vMerge/>
            <w:vAlign w:val="center"/>
            <w:hideMark/>
          </w:tcPr>
          <w:p w:rsidR="00F12FA8" w:rsidRPr="00CA4E12" w:rsidRDefault="00F12FA8" w:rsidP="00952CE0">
            <w:pPr>
              <w:spacing w:before="0"/>
              <w:ind w:left="0"/>
              <w:rPr>
                <w:rFonts w:cs="Arial"/>
                <w:sz w:val="16"/>
                <w:szCs w:val="16"/>
                <w:lang w:eastAsia="en-NZ"/>
              </w:rPr>
            </w:pPr>
          </w:p>
        </w:tc>
        <w:tc>
          <w:tcPr>
            <w:tcW w:w="933" w:type="pct"/>
            <w:vMerge/>
            <w:vAlign w:val="center"/>
            <w:hideMark/>
          </w:tcPr>
          <w:p w:rsidR="00F12FA8" w:rsidRPr="00CA4E12" w:rsidRDefault="00F12FA8" w:rsidP="00952CE0">
            <w:pPr>
              <w:spacing w:before="0"/>
              <w:ind w:left="0"/>
              <w:rPr>
                <w:rFonts w:cs="Arial"/>
                <w:sz w:val="16"/>
                <w:szCs w:val="16"/>
                <w:lang w:eastAsia="en-NZ"/>
              </w:rPr>
            </w:pPr>
          </w:p>
        </w:tc>
      </w:tr>
      <w:tr w:rsidR="00F12FA8" w:rsidRPr="00CA4E12" w:rsidTr="00952CE0">
        <w:trPr>
          <w:trHeight w:val="1049"/>
          <w:tblCellSpacing w:w="0" w:type="dxa"/>
        </w:trPr>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9</w:t>
            </w:r>
          </w:p>
        </w:tc>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Colorectal Cancer (CRC) detection rate</w:t>
            </w:r>
          </w:p>
        </w:tc>
        <w:tc>
          <w:tcPr>
            <w:tcW w:w="1825" w:type="pct"/>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 xml:space="preserve">This is the number of people diagnosed with any CRC per 1000 screened with </w:t>
            </w:r>
            <w:r w:rsidR="003D209D" w:rsidRPr="00CA4E12">
              <w:rPr>
                <w:rFonts w:cs="Arial"/>
                <w:sz w:val="16"/>
                <w:szCs w:val="16"/>
                <w:lang w:eastAsia="en-NZ"/>
              </w:rPr>
              <w:t>an</w:t>
            </w:r>
            <w:r w:rsidRPr="00CA4E12">
              <w:rPr>
                <w:rFonts w:cs="Arial"/>
                <w:sz w:val="16"/>
                <w:szCs w:val="16"/>
                <w:lang w:eastAsia="en-NZ"/>
              </w:rPr>
              <w:t xml:space="preserve"> iFOBT result available for the first and subsequent screening round.</w:t>
            </w:r>
          </w:p>
        </w:tc>
        <w:tc>
          <w:tcPr>
            <w:tcW w:w="814"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First screen 1.8-9.5 per 1000 (Range from population screening programmes with iFOBT)</w:t>
            </w:r>
          </w:p>
        </w:tc>
        <w:tc>
          <w:tcPr>
            <w:tcW w:w="933" w:type="pc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Approximately 2.</w:t>
            </w:r>
            <w:r w:rsidR="00B65A34">
              <w:rPr>
                <w:rFonts w:cs="Arial"/>
                <w:sz w:val="16"/>
                <w:szCs w:val="16"/>
                <w:lang w:eastAsia="en-NZ"/>
              </w:rPr>
              <w:t>4</w:t>
            </w:r>
            <w:r w:rsidRPr="00CA4E12">
              <w:rPr>
                <w:rFonts w:cs="Arial"/>
                <w:sz w:val="16"/>
                <w:szCs w:val="16"/>
                <w:lang w:eastAsia="en-NZ"/>
              </w:rPr>
              <w:t xml:space="preserve"> per 1000</w:t>
            </w:r>
          </w:p>
        </w:tc>
      </w:tr>
      <w:tr w:rsidR="00F12FA8" w:rsidRPr="00CA4E12" w:rsidTr="00952CE0">
        <w:trPr>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Second screen 1.3 per 1000</w:t>
            </w:r>
          </w:p>
        </w:tc>
        <w:tc>
          <w:tcPr>
            <w:tcW w:w="933"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N/A</w:t>
            </w:r>
          </w:p>
        </w:tc>
      </w:tr>
      <w:tr w:rsidR="00F12FA8" w:rsidRPr="00CA4E12" w:rsidTr="00952CE0">
        <w:trPr>
          <w:tblCellSpacing w:w="0" w:type="dxa"/>
        </w:trPr>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10</w:t>
            </w:r>
          </w:p>
        </w:tc>
        <w:tc>
          <w:tcPr>
            <w:tcW w:w="0" w:type="auto"/>
            <w:vMerge w:val="restart"/>
            <w:tcMar>
              <w:top w:w="30" w:type="dxa"/>
              <w:left w:w="75" w:type="dxa"/>
              <w:bottom w:w="30" w:type="dxa"/>
              <w:right w:w="75" w:type="dxa"/>
            </w:tcMar>
            <w:hideMark/>
          </w:tcPr>
          <w:p w:rsidR="00F12FA8" w:rsidRPr="00CA4E12" w:rsidRDefault="00F12FA8" w:rsidP="00E97806">
            <w:pPr>
              <w:spacing w:before="0"/>
              <w:ind w:left="0"/>
              <w:rPr>
                <w:rFonts w:cs="Arial"/>
                <w:sz w:val="16"/>
                <w:szCs w:val="16"/>
                <w:lang w:eastAsia="en-NZ"/>
              </w:rPr>
            </w:pPr>
            <w:r w:rsidRPr="00CA4E12">
              <w:rPr>
                <w:rFonts w:cs="Arial"/>
                <w:sz w:val="16"/>
                <w:szCs w:val="16"/>
                <w:lang w:eastAsia="en-NZ"/>
              </w:rPr>
              <w:t xml:space="preserve">Colorectal Cancer </w:t>
            </w:r>
            <w:r w:rsidRPr="00CA4E12">
              <w:rPr>
                <w:rFonts w:cs="Arial"/>
                <w:sz w:val="16"/>
                <w:szCs w:val="16"/>
                <w:lang w:eastAsia="en-NZ"/>
              </w:rPr>
              <w:lastRenderedPageBreak/>
              <w:t>(CRC) Stage at diagnosis (including polyp cancers)</w:t>
            </w:r>
          </w:p>
        </w:tc>
        <w:tc>
          <w:tcPr>
            <w:tcW w:w="1825" w:type="pct"/>
            <w:vMerge w:val="restart"/>
            <w:tcMar>
              <w:top w:w="30" w:type="dxa"/>
              <w:left w:w="75" w:type="dxa"/>
              <w:bottom w:w="30" w:type="dxa"/>
              <w:right w:w="75" w:type="dxa"/>
            </w:tcMar>
            <w:hideMark/>
          </w:tcPr>
          <w:p w:rsidR="00F12FA8" w:rsidRPr="00CA4E12" w:rsidRDefault="00F12FA8" w:rsidP="00E97806">
            <w:pPr>
              <w:spacing w:before="0"/>
              <w:ind w:left="0"/>
              <w:rPr>
                <w:rFonts w:cs="Arial"/>
                <w:sz w:val="16"/>
                <w:szCs w:val="16"/>
                <w:lang w:eastAsia="en-NZ"/>
              </w:rPr>
            </w:pPr>
            <w:r w:rsidRPr="00CA4E12">
              <w:rPr>
                <w:rFonts w:cs="Arial"/>
                <w:sz w:val="16"/>
                <w:szCs w:val="16"/>
                <w:lang w:eastAsia="en-NZ"/>
              </w:rPr>
              <w:lastRenderedPageBreak/>
              <w:t xml:space="preserve">This is the TNM staging for CRC detected </w:t>
            </w:r>
            <w:r w:rsidRPr="00CA4E12">
              <w:rPr>
                <w:rFonts w:cs="Arial"/>
                <w:sz w:val="16"/>
                <w:szCs w:val="16"/>
                <w:lang w:eastAsia="en-NZ"/>
              </w:rPr>
              <w:lastRenderedPageBreak/>
              <w:t>at the first and subsequent screening round. In cases where more than one staging was given for an individual only the most serious staging result is included.</w:t>
            </w:r>
          </w:p>
        </w:tc>
        <w:tc>
          <w:tcPr>
            <w:tcW w:w="814" w:type="pct"/>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lastRenderedPageBreak/>
              <w:t> </w:t>
            </w:r>
          </w:p>
        </w:tc>
        <w:tc>
          <w:tcPr>
            <w:tcW w:w="933" w:type="pc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Stage 1: 4</w:t>
            </w:r>
            <w:r w:rsidR="00B65A34">
              <w:rPr>
                <w:rFonts w:cs="Arial"/>
                <w:sz w:val="16"/>
                <w:szCs w:val="16"/>
                <w:lang w:eastAsia="en-NZ"/>
              </w:rPr>
              <w:t>4</w:t>
            </w:r>
            <w:r w:rsidRPr="00CA4E12">
              <w:rPr>
                <w:rFonts w:cs="Arial"/>
                <w:sz w:val="16"/>
                <w:szCs w:val="16"/>
                <w:lang w:eastAsia="en-NZ"/>
              </w:rPr>
              <w:t>.</w:t>
            </w:r>
            <w:r w:rsidR="00B65A34">
              <w:rPr>
                <w:rFonts w:cs="Arial"/>
                <w:sz w:val="16"/>
                <w:szCs w:val="16"/>
                <w:lang w:eastAsia="en-NZ"/>
              </w:rPr>
              <w:t>4</w:t>
            </w:r>
            <w:r w:rsidRPr="00CA4E12">
              <w:rPr>
                <w:rFonts w:cs="Arial"/>
                <w:sz w:val="16"/>
                <w:szCs w:val="16"/>
                <w:lang w:eastAsia="en-NZ"/>
              </w:rPr>
              <w:t>%</w:t>
            </w:r>
          </w:p>
        </w:tc>
      </w:tr>
      <w:tr w:rsidR="00F12FA8" w:rsidRPr="00CA4E12" w:rsidTr="00952CE0">
        <w:trPr>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vMerge/>
            <w:vAlign w:val="center"/>
            <w:hideMark/>
          </w:tcPr>
          <w:p w:rsidR="00F12FA8" w:rsidRPr="00CA4E12" w:rsidRDefault="00F12FA8" w:rsidP="00952CE0">
            <w:pPr>
              <w:rPr>
                <w:rFonts w:cs="Arial"/>
                <w:sz w:val="16"/>
                <w:szCs w:val="16"/>
                <w:lang w:eastAsia="en-NZ"/>
              </w:rPr>
            </w:pPr>
          </w:p>
        </w:tc>
        <w:tc>
          <w:tcPr>
            <w:tcW w:w="933" w:type="pc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Stage 2: 2</w:t>
            </w:r>
            <w:r w:rsidR="00B65A34">
              <w:rPr>
                <w:rFonts w:cs="Arial"/>
                <w:sz w:val="16"/>
                <w:szCs w:val="16"/>
                <w:lang w:eastAsia="en-NZ"/>
              </w:rPr>
              <w:t>4</w:t>
            </w:r>
            <w:r w:rsidRPr="00CA4E12">
              <w:rPr>
                <w:rFonts w:cs="Arial"/>
                <w:sz w:val="16"/>
                <w:szCs w:val="16"/>
                <w:lang w:eastAsia="en-NZ"/>
              </w:rPr>
              <w:t>.</w:t>
            </w:r>
            <w:r w:rsidR="00B65A34">
              <w:rPr>
                <w:rFonts w:cs="Arial"/>
                <w:sz w:val="16"/>
                <w:szCs w:val="16"/>
                <w:lang w:eastAsia="en-NZ"/>
              </w:rPr>
              <w:t>1</w:t>
            </w:r>
            <w:r w:rsidRPr="00CA4E12">
              <w:rPr>
                <w:rFonts w:cs="Arial"/>
                <w:sz w:val="16"/>
                <w:szCs w:val="16"/>
                <w:lang w:eastAsia="en-NZ"/>
              </w:rPr>
              <w:t>%</w:t>
            </w:r>
          </w:p>
        </w:tc>
      </w:tr>
      <w:tr w:rsidR="00F12FA8" w:rsidRPr="00CA4E12" w:rsidTr="00952CE0">
        <w:trPr>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vMerge/>
            <w:vAlign w:val="center"/>
            <w:hideMark/>
          </w:tcPr>
          <w:p w:rsidR="00F12FA8" w:rsidRPr="00CA4E12" w:rsidRDefault="00F12FA8" w:rsidP="00952CE0">
            <w:pPr>
              <w:rPr>
                <w:rFonts w:cs="Arial"/>
                <w:sz w:val="16"/>
                <w:szCs w:val="16"/>
                <w:lang w:eastAsia="en-NZ"/>
              </w:rPr>
            </w:pPr>
          </w:p>
        </w:tc>
        <w:tc>
          <w:tcPr>
            <w:tcW w:w="933" w:type="pc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 xml:space="preserve">Stage 3: </w:t>
            </w:r>
            <w:r>
              <w:rPr>
                <w:rFonts w:cs="Arial"/>
                <w:sz w:val="16"/>
                <w:szCs w:val="16"/>
                <w:lang w:eastAsia="en-NZ"/>
              </w:rPr>
              <w:t>22</w:t>
            </w:r>
            <w:r w:rsidRPr="00CA4E12">
              <w:rPr>
                <w:rFonts w:cs="Arial"/>
                <w:sz w:val="16"/>
                <w:szCs w:val="16"/>
                <w:lang w:eastAsia="en-NZ"/>
              </w:rPr>
              <w:t>.</w:t>
            </w:r>
            <w:r w:rsidR="00B65A34">
              <w:rPr>
                <w:rFonts w:cs="Arial"/>
                <w:sz w:val="16"/>
                <w:szCs w:val="16"/>
                <w:lang w:eastAsia="en-NZ"/>
              </w:rPr>
              <w:t>3</w:t>
            </w:r>
            <w:r w:rsidRPr="00CA4E12">
              <w:rPr>
                <w:rFonts w:cs="Arial"/>
                <w:sz w:val="16"/>
                <w:szCs w:val="16"/>
                <w:lang w:eastAsia="en-NZ"/>
              </w:rPr>
              <w:t>%</w:t>
            </w:r>
          </w:p>
        </w:tc>
      </w:tr>
      <w:tr w:rsidR="00F12FA8" w:rsidRPr="00CA4E12" w:rsidTr="00952CE0">
        <w:trPr>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vMerge/>
            <w:vAlign w:val="center"/>
            <w:hideMark/>
          </w:tcPr>
          <w:p w:rsidR="00F12FA8" w:rsidRPr="00CA4E12" w:rsidRDefault="00F12FA8" w:rsidP="00952CE0">
            <w:pPr>
              <w:rPr>
                <w:rFonts w:cs="Arial"/>
                <w:sz w:val="16"/>
                <w:szCs w:val="16"/>
                <w:lang w:eastAsia="en-NZ"/>
              </w:rPr>
            </w:pPr>
          </w:p>
        </w:tc>
        <w:tc>
          <w:tcPr>
            <w:tcW w:w="933" w:type="pc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8A33D3">
              <w:rPr>
                <w:rFonts w:cs="Arial"/>
                <w:sz w:val="16"/>
                <w:szCs w:val="16"/>
                <w:lang w:eastAsia="en-NZ"/>
              </w:rPr>
              <w:t xml:space="preserve">Stage 4: </w:t>
            </w:r>
            <w:r w:rsidR="00B65A34">
              <w:rPr>
                <w:rFonts w:cs="Arial"/>
                <w:sz w:val="16"/>
                <w:szCs w:val="16"/>
                <w:lang w:eastAsia="en-NZ"/>
              </w:rPr>
              <w:t>9</w:t>
            </w:r>
            <w:r w:rsidRPr="008A33D3">
              <w:rPr>
                <w:rFonts w:cs="Arial"/>
                <w:sz w:val="16"/>
                <w:szCs w:val="16"/>
                <w:lang w:eastAsia="en-NZ"/>
              </w:rPr>
              <w:t>.</w:t>
            </w:r>
            <w:r w:rsidR="00B65A34">
              <w:rPr>
                <w:rFonts w:cs="Arial"/>
                <w:sz w:val="16"/>
                <w:szCs w:val="16"/>
                <w:lang w:eastAsia="en-NZ"/>
              </w:rPr>
              <w:t>3</w:t>
            </w:r>
            <w:r w:rsidRPr="008A33D3">
              <w:rPr>
                <w:rFonts w:cs="Arial"/>
                <w:sz w:val="16"/>
                <w:szCs w:val="16"/>
                <w:lang w:eastAsia="en-NZ"/>
              </w:rPr>
              <w:t>%</w:t>
            </w:r>
          </w:p>
        </w:tc>
      </w:tr>
      <w:tr w:rsidR="00F12FA8" w:rsidRPr="00CA4E12" w:rsidTr="00952CE0">
        <w:trPr>
          <w:trHeight w:val="425"/>
          <w:tblCellSpacing w:w="0" w:type="dxa"/>
        </w:trPr>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11</w:t>
            </w:r>
          </w:p>
        </w:tc>
        <w:tc>
          <w:tcPr>
            <w:tcW w:w="0" w:type="auto"/>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Advanced Adenoma detection rate</w:t>
            </w:r>
          </w:p>
        </w:tc>
        <w:tc>
          <w:tcPr>
            <w:tcW w:w="1825" w:type="pct"/>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 xml:space="preserve">This is the number of people diagnosed with any advanced adenoma (villous or tubulovillous or, high grade dysplasia or, greater than or equal to 10 mm in size) per 1000 screened with </w:t>
            </w:r>
            <w:r w:rsidR="003D209D" w:rsidRPr="00CA4E12">
              <w:rPr>
                <w:rFonts w:cs="Arial"/>
                <w:sz w:val="16"/>
                <w:szCs w:val="16"/>
                <w:lang w:eastAsia="en-NZ"/>
              </w:rPr>
              <w:t>an</w:t>
            </w:r>
            <w:r w:rsidRPr="00CA4E12">
              <w:rPr>
                <w:rFonts w:cs="Arial"/>
                <w:sz w:val="16"/>
                <w:szCs w:val="16"/>
                <w:lang w:eastAsia="en-NZ"/>
              </w:rPr>
              <w:t xml:space="preserve"> iFOBT result available for the first and subsequent screening round.</w:t>
            </w:r>
          </w:p>
        </w:tc>
        <w:tc>
          <w:tcPr>
            <w:tcW w:w="814" w:type="pct"/>
            <w:vMerge w:val="restar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No agreed international standard</w:t>
            </w:r>
          </w:p>
        </w:tc>
        <w:tc>
          <w:tcPr>
            <w:tcW w:w="933" w:type="pct"/>
            <w:vMerge w:val="restar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Approximately 1</w:t>
            </w:r>
            <w:r w:rsidR="00B65A34">
              <w:rPr>
                <w:rFonts w:cs="Arial"/>
                <w:sz w:val="16"/>
                <w:szCs w:val="16"/>
                <w:lang w:eastAsia="en-NZ"/>
              </w:rPr>
              <w:t>9</w:t>
            </w:r>
            <w:r w:rsidRPr="00CA4E12">
              <w:rPr>
                <w:rFonts w:cs="Arial"/>
                <w:sz w:val="16"/>
                <w:szCs w:val="16"/>
                <w:lang w:eastAsia="en-NZ"/>
              </w:rPr>
              <w:t>.</w:t>
            </w:r>
            <w:r w:rsidR="00B65A34">
              <w:rPr>
                <w:rFonts w:cs="Arial"/>
                <w:sz w:val="16"/>
                <w:szCs w:val="16"/>
                <w:lang w:eastAsia="en-NZ"/>
              </w:rPr>
              <w:t>4</w:t>
            </w:r>
            <w:r w:rsidRPr="00CA4E12">
              <w:rPr>
                <w:rFonts w:cs="Arial"/>
                <w:sz w:val="16"/>
                <w:szCs w:val="16"/>
                <w:lang w:eastAsia="en-NZ"/>
              </w:rPr>
              <w:t xml:space="preserve"> per 1000</w:t>
            </w:r>
          </w:p>
        </w:tc>
      </w:tr>
      <w:tr w:rsidR="00F12FA8" w:rsidRPr="00CA4E12" w:rsidTr="00952CE0">
        <w:trPr>
          <w:trHeight w:val="516"/>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vMerge/>
            <w:vAlign w:val="center"/>
            <w:hideMark/>
          </w:tcPr>
          <w:p w:rsidR="00F12FA8" w:rsidRPr="00CA4E12" w:rsidRDefault="00F12FA8" w:rsidP="00952CE0">
            <w:pPr>
              <w:rPr>
                <w:rFonts w:cs="Arial"/>
                <w:sz w:val="16"/>
                <w:szCs w:val="16"/>
                <w:lang w:eastAsia="en-NZ"/>
              </w:rPr>
            </w:pPr>
          </w:p>
        </w:tc>
        <w:tc>
          <w:tcPr>
            <w:tcW w:w="933" w:type="pct"/>
            <w:vMerge/>
            <w:vAlign w:val="center"/>
            <w:hideMark/>
          </w:tcPr>
          <w:p w:rsidR="00F12FA8" w:rsidRPr="00CA4E12" w:rsidRDefault="00F12FA8" w:rsidP="00952CE0">
            <w:pPr>
              <w:rPr>
                <w:rFonts w:cs="Arial"/>
                <w:sz w:val="16"/>
                <w:szCs w:val="16"/>
                <w:lang w:eastAsia="en-NZ"/>
              </w:rPr>
            </w:pPr>
          </w:p>
        </w:tc>
      </w:tr>
      <w:tr w:rsidR="00F12FA8" w:rsidRPr="00CA4E12" w:rsidTr="00952CE0">
        <w:trPr>
          <w:trHeight w:val="516"/>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vMerge/>
            <w:vAlign w:val="center"/>
            <w:hideMark/>
          </w:tcPr>
          <w:p w:rsidR="00F12FA8" w:rsidRPr="00CA4E12" w:rsidRDefault="00F12FA8" w:rsidP="00952CE0">
            <w:pPr>
              <w:rPr>
                <w:rFonts w:cs="Arial"/>
                <w:sz w:val="16"/>
                <w:szCs w:val="16"/>
                <w:lang w:eastAsia="en-NZ"/>
              </w:rPr>
            </w:pPr>
          </w:p>
        </w:tc>
        <w:tc>
          <w:tcPr>
            <w:tcW w:w="933" w:type="pct"/>
            <w:vMerge/>
            <w:vAlign w:val="center"/>
            <w:hideMark/>
          </w:tcPr>
          <w:p w:rsidR="00F12FA8" w:rsidRPr="00CA4E12" w:rsidRDefault="00F12FA8" w:rsidP="00952CE0">
            <w:pPr>
              <w:rPr>
                <w:rFonts w:cs="Arial"/>
                <w:sz w:val="16"/>
                <w:szCs w:val="16"/>
                <w:lang w:eastAsia="en-NZ"/>
              </w:rPr>
            </w:pPr>
          </w:p>
        </w:tc>
      </w:tr>
      <w:tr w:rsidR="00F12FA8" w:rsidRPr="00CA4E12" w:rsidTr="00952CE0">
        <w:trPr>
          <w:trHeight w:val="425"/>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vMerge/>
            <w:vAlign w:val="center"/>
            <w:hideMark/>
          </w:tcPr>
          <w:p w:rsidR="00F12FA8" w:rsidRPr="00CA4E12" w:rsidRDefault="00F12FA8" w:rsidP="00952CE0">
            <w:pPr>
              <w:rPr>
                <w:rFonts w:cs="Arial"/>
                <w:sz w:val="16"/>
                <w:szCs w:val="16"/>
                <w:lang w:eastAsia="en-NZ"/>
              </w:rPr>
            </w:pPr>
          </w:p>
        </w:tc>
        <w:tc>
          <w:tcPr>
            <w:tcW w:w="933" w:type="pct"/>
            <w:vMerge/>
            <w:vAlign w:val="center"/>
            <w:hideMark/>
          </w:tcPr>
          <w:p w:rsidR="00F12FA8" w:rsidRPr="00CA4E12" w:rsidRDefault="00F12FA8" w:rsidP="00952CE0">
            <w:pPr>
              <w:rPr>
                <w:rFonts w:cs="Arial"/>
                <w:sz w:val="16"/>
                <w:szCs w:val="16"/>
                <w:lang w:eastAsia="en-NZ"/>
              </w:rPr>
            </w:pPr>
          </w:p>
        </w:tc>
      </w:tr>
      <w:tr w:rsidR="00F12FA8" w:rsidRPr="00CA4E12" w:rsidTr="00952CE0">
        <w:trPr>
          <w:trHeight w:val="425"/>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vMerge/>
            <w:vAlign w:val="center"/>
            <w:hideMark/>
          </w:tcPr>
          <w:p w:rsidR="00F12FA8" w:rsidRPr="00CA4E12" w:rsidRDefault="00F12FA8" w:rsidP="00952CE0">
            <w:pPr>
              <w:rPr>
                <w:rFonts w:cs="Arial"/>
                <w:sz w:val="16"/>
                <w:szCs w:val="16"/>
                <w:lang w:eastAsia="en-NZ"/>
              </w:rPr>
            </w:pPr>
          </w:p>
        </w:tc>
        <w:tc>
          <w:tcPr>
            <w:tcW w:w="933" w:type="pct"/>
            <w:vMerge/>
            <w:vAlign w:val="center"/>
            <w:hideMark/>
          </w:tcPr>
          <w:p w:rsidR="00F12FA8" w:rsidRPr="00CA4E12" w:rsidRDefault="00F12FA8" w:rsidP="00952CE0">
            <w:pPr>
              <w:rPr>
                <w:rFonts w:cs="Arial"/>
                <w:sz w:val="16"/>
                <w:szCs w:val="16"/>
                <w:lang w:eastAsia="en-NZ"/>
              </w:rPr>
            </w:pPr>
          </w:p>
        </w:tc>
      </w:tr>
      <w:tr w:rsidR="00F12FA8" w:rsidRPr="00CA4E12" w:rsidTr="00952CE0">
        <w:trPr>
          <w:trHeight w:val="425"/>
          <w:tblCellSpacing w:w="0" w:type="dxa"/>
        </w:trPr>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0" w:type="auto"/>
            <w:vMerge/>
            <w:vAlign w:val="center"/>
            <w:hideMark/>
          </w:tcPr>
          <w:p w:rsidR="00F12FA8" w:rsidRPr="00CA4E12" w:rsidRDefault="00F12FA8" w:rsidP="00952CE0">
            <w:pPr>
              <w:spacing w:before="0"/>
              <w:ind w:left="0"/>
              <w:rPr>
                <w:rFonts w:cs="Arial"/>
                <w:sz w:val="16"/>
                <w:szCs w:val="16"/>
                <w:lang w:eastAsia="en-NZ"/>
              </w:rPr>
            </w:pPr>
          </w:p>
        </w:tc>
        <w:tc>
          <w:tcPr>
            <w:tcW w:w="1825" w:type="pct"/>
            <w:vMerge/>
            <w:vAlign w:val="center"/>
            <w:hideMark/>
          </w:tcPr>
          <w:p w:rsidR="00F12FA8" w:rsidRPr="00CA4E12" w:rsidRDefault="00F12FA8" w:rsidP="00952CE0">
            <w:pPr>
              <w:spacing w:before="0"/>
              <w:ind w:left="0"/>
              <w:rPr>
                <w:rFonts w:cs="Arial"/>
                <w:sz w:val="16"/>
                <w:szCs w:val="16"/>
                <w:lang w:eastAsia="en-NZ"/>
              </w:rPr>
            </w:pPr>
          </w:p>
        </w:tc>
        <w:tc>
          <w:tcPr>
            <w:tcW w:w="814" w:type="pct"/>
            <w:vMerge/>
            <w:vAlign w:val="center"/>
            <w:hideMark/>
          </w:tcPr>
          <w:p w:rsidR="00F12FA8" w:rsidRPr="00CA4E12" w:rsidRDefault="00F12FA8" w:rsidP="00952CE0">
            <w:pPr>
              <w:rPr>
                <w:rFonts w:cs="Arial"/>
                <w:sz w:val="16"/>
                <w:szCs w:val="16"/>
                <w:lang w:eastAsia="en-NZ"/>
              </w:rPr>
            </w:pPr>
          </w:p>
        </w:tc>
        <w:tc>
          <w:tcPr>
            <w:tcW w:w="933" w:type="pct"/>
            <w:vMerge/>
            <w:vAlign w:val="center"/>
            <w:hideMark/>
          </w:tcPr>
          <w:p w:rsidR="00F12FA8" w:rsidRPr="00CA4E12" w:rsidRDefault="00F12FA8" w:rsidP="00952CE0">
            <w:pPr>
              <w:rPr>
                <w:rFonts w:cs="Arial"/>
                <w:sz w:val="16"/>
                <w:szCs w:val="16"/>
                <w:lang w:eastAsia="en-NZ"/>
              </w:rPr>
            </w:pPr>
          </w:p>
        </w:tc>
      </w:tr>
      <w:tr w:rsidR="00F12FA8" w:rsidRPr="00CA4E12" w:rsidTr="00952CE0">
        <w:trPr>
          <w:tblCellSpacing w:w="0" w:type="dxa"/>
        </w:trPr>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12</w:t>
            </w:r>
          </w:p>
        </w:tc>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Adenoma detection rate</w:t>
            </w:r>
          </w:p>
        </w:tc>
        <w:tc>
          <w:tcPr>
            <w:tcW w:w="1825"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 xml:space="preserve">This is the number of people diagnosed with any adenoma per 1000 screened with </w:t>
            </w:r>
            <w:r w:rsidR="003D209D" w:rsidRPr="00CA4E12">
              <w:rPr>
                <w:rFonts w:cs="Arial"/>
                <w:sz w:val="16"/>
                <w:szCs w:val="16"/>
                <w:lang w:eastAsia="en-NZ"/>
              </w:rPr>
              <w:t>an</w:t>
            </w:r>
            <w:r w:rsidRPr="00CA4E12">
              <w:rPr>
                <w:rFonts w:cs="Arial"/>
                <w:sz w:val="16"/>
                <w:szCs w:val="16"/>
                <w:lang w:eastAsia="en-NZ"/>
              </w:rPr>
              <w:t xml:space="preserve"> iFOBT result available for the first and subsequent screening round.</w:t>
            </w:r>
          </w:p>
        </w:tc>
        <w:tc>
          <w:tcPr>
            <w:tcW w:w="814"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13.3-22.3 per 1000 (Range from population screening programmes with iFOBT)</w:t>
            </w:r>
          </w:p>
        </w:tc>
        <w:tc>
          <w:tcPr>
            <w:tcW w:w="933" w:type="pc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 xml:space="preserve">Approximately </w:t>
            </w:r>
            <w:r w:rsidR="00B65A34">
              <w:rPr>
                <w:rFonts w:cs="Arial"/>
                <w:sz w:val="16"/>
                <w:szCs w:val="16"/>
                <w:lang w:eastAsia="en-NZ"/>
              </w:rPr>
              <w:t>35.5</w:t>
            </w:r>
            <w:r w:rsidRPr="00CA4E12">
              <w:rPr>
                <w:rFonts w:cs="Arial"/>
                <w:sz w:val="16"/>
                <w:szCs w:val="16"/>
                <w:lang w:eastAsia="en-NZ"/>
              </w:rPr>
              <w:t xml:space="preserve"> per 1000</w:t>
            </w:r>
          </w:p>
        </w:tc>
      </w:tr>
      <w:tr w:rsidR="00F12FA8" w:rsidRPr="00CA4E12" w:rsidTr="00952CE0">
        <w:trPr>
          <w:tblCellSpacing w:w="0" w:type="dxa"/>
        </w:trPr>
        <w:tc>
          <w:tcPr>
            <w:tcW w:w="0" w:type="auto"/>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13</w:t>
            </w:r>
          </w:p>
        </w:tc>
        <w:tc>
          <w:tcPr>
            <w:tcW w:w="0" w:type="auto"/>
            <w:tcMar>
              <w:top w:w="30" w:type="dxa"/>
              <w:left w:w="75" w:type="dxa"/>
              <w:bottom w:w="30" w:type="dxa"/>
              <w:right w:w="75" w:type="dxa"/>
            </w:tcMar>
            <w:hideMark/>
          </w:tcPr>
          <w:p w:rsidR="00F12FA8" w:rsidRPr="00CA4E12" w:rsidRDefault="00F12FA8" w:rsidP="002E63AC">
            <w:pPr>
              <w:spacing w:before="0"/>
              <w:ind w:left="0"/>
              <w:rPr>
                <w:rFonts w:cs="Arial"/>
                <w:sz w:val="16"/>
                <w:szCs w:val="16"/>
                <w:lang w:eastAsia="en-NZ"/>
              </w:rPr>
            </w:pPr>
            <w:r w:rsidRPr="00CA4E12">
              <w:rPr>
                <w:rFonts w:cs="Arial"/>
                <w:sz w:val="16"/>
                <w:szCs w:val="16"/>
                <w:lang w:eastAsia="en-NZ"/>
              </w:rPr>
              <w:t xml:space="preserve">Positive predictive value of </w:t>
            </w:r>
            <w:r w:rsidR="002E63AC">
              <w:rPr>
                <w:rFonts w:cs="Arial"/>
                <w:sz w:val="16"/>
                <w:szCs w:val="16"/>
                <w:lang w:eastAsia="en-NZ"/>
              </w:rPr>
              <w:t>iFOBT</w:t>
            </w:r>
            <w:r w:rsidRPr="00CA4E12">
              <w:rPr>
                <w:rFonts w:cs="Arial"/>
                <w:sz w:val="16"/>
                <w:szCs w:val="16"/>
                <w:lang w:eastAsia="en-NZ"/>
              </w:rPr>
              <w:t xml:space="preserve"> for cancer</w:t>
            </w:r>
          </w:p>
        </w:tc>
        <w:tc>
          <w:tcPr>
            <w:tcW w:w="1825"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This is the % of people with a malignant outcome in those having a colonoscopy for the first and subsequent screening round.</w:t>
            </w:r>
          </w:p>
        </w:tc>
        <w:tc>
          <w:tcPr>
            <w:tcW w:w="814" w:type="pct"/>
            <w:tcMar>
              <w:top w:w="30" w:type="dxa"/>
              <w:left w:w="75" w:type="dxa"/>
              <w:bottom w:w="30" w:type="dxa"/>
              <w:right w:w="75" w:type="dxa"/>
            </w:tcMar>
            <w:hideMark/>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PPV Cancer first screen 4.5%-8.6%</w:t>
            </w:r>
          </w:p>
        </w:tc>
        <w:tc>
          <w:tcPr>
            <w:tcW w:w="933" w:type="pct"/>
            <w:tcMar>
              <w:top w:w="30" w:type="dxa"/>
              <w:left w:w="75" w:type="dxa"/>
              <w:bottom w:w="30" w:type="dxa"/>
              <w:right w:w="75" w:type="dxa"/>
            </w:tcMar>
            <w:hideMark/>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 xml:space="preserve">Approximately </w:t>
            </w:r>
            <w:r w:rsidR="00B65A34">
              <w:rPr>
                <w:rFonts w:cs="Arial"/>
                <w:sz w:val="16"/>
                <w:szCs w:val="16"/>
                <w:lang w:eastAsia="en-NZ"/>
              </w:rPr>
              <w:t>3</w:t>
            </w:r>
            <w:r w:rsidRPr="00CA4E12">
              <w:rPr>
                <w:rFonts w:cs="Arial"/>
                <w:sz w:val="16"/>
                <w:szCs w:val="16"/>
                <w:lang w:eastAsia="en-NZ"/>
              </w:rPr>
              <w:t>.</w:t>
            </w:r>
            <w:r w:rsidR="00B65A34">
              <w:rPr>
                <w:rFonts w:cs="Arial"/>
                <w:sz w:val="16"/>
                <w:szCs w:val="16"/>
                <w:lang w:eastAsia="en-NZ"/>
              </w:rPr>
              <w:t>8</w:t>
            </w:r>
            <w:r w:rsidRPr="00CA4E12">
              <w:rPr>
                <w:rFonts w:cs="Arial"/>
                <w:sz w:val="16"/>
                <w:szCs w:val="16"/>
                <w:lang w:eastAsia="en-NZ"/>
              </w:rPr>
              <w:t>%</w:t>
            </w:r>
          </w:p>
        </w:tc>
      </w:tr>
      <w:tr w:rsidR="00F12FA8" w:rsidRPr="00CA4E12" w:rsidTr="00952CE0">
        <w:trPr>
          <w:tblCellSpacing w:w="0" w:type="dxa"/>
        </w:trPr>
        <w:tc>
          <w:tcPr>
            <w:tcW w:w="0" w:type="auto"/>
            <w:tcMar>
              <w:top w:w="30" w:type="dxa"/>
              <w:left w:w="75" w:type="dxa"/>
              <w:bottom w:w="30" w:type="dxa"/>
              <w:right w:w="75" w:type="dxa"/>
            </w:tcMar>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14</w:t>
            </w:r>
          </w:p>
        </w:tc>
        <w:tc>
          <w:tcPr>
            <w:tcW w:w="0" w:type="auto"/>
            <w:tcMar>
              <w:top w:w="30" w:type="dxa"/>
              <w:left w:w="75" w:type="dxa"/>
              <w:bottom w:w="30" w:type="dxa"/>
              <w:right w:w="75" w:type="dxa"/>
            </w:tcMar>
          </w:tcPr>
          <w:p w:rsidR="00F12FA8" w:rsidRPr="00CA4E12" w:rsidRDefault="00F12FA8" w:rsidP="002E63AC">
            <w:pPr>
              <w:spacing w:before="0"/>
              <w:ind w:left="0"/>
              <w:rPr>
                <w:rFonts w:cs="Arial"/>
                <w:sz w:val="16"/>
                <w:szCs w:val="16"/>
                <w:lang w:eastAsia="en-NZ"/>
              </w:rPr>
            </w:pPr>
            <w:r w:rsidRPr="00CA4E12">
              <w:rPr>
                <w:rFonts w:cs="Arial"/>
                <w:sz w:val="16"/>
                <w:szCs w:val="16"/>
                <w:lang w:eastAsia="en-NZ"/>
              </w:rPr>
              <w:t xml:space="preserve">Positive predictive value of </w:t>
            </w:r>
            <w:r w:rsidR="002E63AC">
              <w:rPr>
                <w:rFonts w:cs="Arial"/>
                <w:sz w:val="16"/>
                <w:szCs w:val="16"/>
                <w:lang w:eastAsia="en-NZ"/>
              </w:rPr>
              <w:t>iFOBT</w:t>
            </w:r>
            <w:r w:rsidRPr="00CA4E12">
              <w:rPr>
                <w:rFonts w:cs="Arial"/>
                <w:sz w:val="16"/>
                <w:szCs w:val="16"/>
                <w:lang w:eastAsia="en-NZ"/>
              </w:rPr>
              <w:t xml:space="preserve"> for advanced adenoma</w:t>
            </w:r>
          </w:p>
        </w:tc>
        <w:tc>
          <w:tcPr>
            <w:tcW w:w="1825" w:type="pct"/>
            <w:tcMar>
              <w:top w:w="30" w:type="dxa"/>
              <w:left w:w="75" w:type="dxa"/>
              <w:bottom w:w="30" w:type="dxa"/>
              <w:right w:w="75" w:type="dxa"/>
            </w:tcMar>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This is the % of people with any advanced adenoma in those having a colonoscopy for the first and subsequent screening round.</w:t>
            </w:r>
          </w:p>
        </w:tc>
        <w:tc>
          <w:tcPr>
            <w:tcW w:w="814" w:type="pct"/>
            <w:tcMar>
              <w:top w:w="30" w:type="dxa"/>
              <w:left w:w="75" w:type="dxa"/>
              <w:bottom w:w="30" w:type="dxa"/>
              <w:right w:w="75" w:type="dxa"/>
            </w:tcMar>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No agreed international standard</w:t>
            </w:r>
          </w:p>
        </w:tc>
        <w:tc>
          <w:tcPr>
            <w:tcW w:w="933" w:type="pct"/>
            <w:tcMar>
              <w:top w:w="30" w:type="dxa"/>
              <w:left w:w="75" w:type="dxa"/>
              <w:bottom w:w="30" w:type="dxa"/>
              <w:right w:w="75" w:type="dxa"/>
            </w:tcMar>
          </w:tcPr>
          <w:p w:rsidR="00F12FA8" w:rsidRPr="00CA4E12" w:rsidRDefault="00F12FA8" w:rsidP="00B65A34">
            <w:pPr>
              <w:spacing w:before="0"/>
              <w:ind w:left="0"/>
              <w:rPr>
                <w:rFonts w:cs="Arial"/>
                <w:sz w:val="16"/>
                <w:szCs w:val="16"/>
                <w:lang w:eastAsia="en-NZ"/>
              </w:rPr>
            </w:pPr>
            <w:r w:rsidRPr="00CA4E12">
              <w:rPr>
                <w:rFonts w:cs="Arial"/>
                <w:sz w:val="16"/>
                <w:szCs w:val="16"/>
                <w:lang w:eastAsia="en-NZ"/>
              </w:rPr>
              <w:t xml:space="preserve">Approximately </w:t>
            </w:r>
            <w:r w:rsidR="00B65A34">
              <w:rPr>
                <w:rFonts w:cs="Arial"/>
                <w:sz w:val="16"/>
                <w:szCs w:val="16"/>
                <w:lang w:eastAsia="en-NZ"/>
              </w:rPr>
              <w:t>30</w:t>
            </w:r>
            <w:r>
              <w:rPr>
                <w:rFonts w:cs="Arial"/>
                <w:sz w:val="16"/>
                <w:szCs w:val="16"/>
                <w:lang w:eastAsia="en-NZ"/>
              </w:rPr>
              <w:t>.</w:t>
            </w:r>
            <w:r w:rsidR="00B65A34">
              <w:rPr>
                <w:rFonts w:cs="Arial"/>
                <w:sz w:val="16"/>
                <w:szCs w:val="16"/>
                <w:lang w:eastAsia="en-NZ"/>
              </w:rPr>
              <w:t>2</w:t>
            </w:r>
            <w:r w:rsidRPr="00CA4E12">
              <w:rPr>
                <w:rFonts w:cs="Arial"/>
                <w:sz w:val="16"/>
                <w:szCs w:val="16"/>
                <w:lang w:eastAsia="en-NZ"/>
              </w:rPr>
              <w:t>%</w:t>
            </w:r>
          </w:p>
        </w:tc>
      </w:tr>
      <w:tr w:rsidR="00F12FA8" w:rsidRPr="00CA4E12" w:rsidTr="00952CE0">
        <w:trPr>
          <w:tblCellSpacing w:w="0" w:type="dxa"/>
        </w:trPr>
        <w:tc>
          <w:tcPr>
            <w:tcW w:w="0" w:type="auto"/>
            <w:tcMar>
              <w:top w:w="30" w:type="dxa"/>
              <w:left w:w="75" w:type="dxa"/>
              <w:bottom w:w="30" w:type="dxa"/>
              <w:right w:w="75" w:type="dxa"/>
            </w:tcMar>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15</w:t>
            </w:r>
          </w:p>
        </w:tc>
        <w:tc>
          <w:tcPr>
            <w:tcW w:w="0" w:type="auto"/>
            <w:tcMar>
              <w:top w:w="30" w:type="dxa"/>
              <w:left w:w="75" w:type="dxa"/>
              <w:bottom w:w="30" w:type="dxa"/>
              <w:right w:w="75" w:type="dxa"/>
            </w:tcMar>
          </w:tcPr>
          <w:p w:rsidR="00F12FA8" w:rsidRPr="00CA4E12" w:rsidRDefault="00F12FA8" w:rsidP="002E63AC">
            <w:pPr>
              <w:spacing w:before="0"/>
              <w:ind w:left="0"/>
              <w:rPr>
                <w:rFonts w:cs="Arial"/>
                <w:sz w:val="16"/>
                <w:szCs w:val="16"/>
                <w:lang w:eastAsia="en-NZ"/>
              </w:rPr>
            </w:pPr>
            <w:r w:rsidRPr="00CA4E12">
              <w:rPr>
                <w:rFonts w:cs="Arial"/>
                <w:sz w:val="16"/>
                <w:szCs w:val="16"/>
                <w:lang w:eastAsia="en-NZ"/>
              </w:rPr>
              <w:t xml:space="preserve">Positive predictive value of </w:t>
            </w:r>
            <w:r w:rsidR="002E63AC">
              <w:rPr>
                <w:rFonts w:cs="Arial"/>
                <w:sz w:val="16"/>
                <w:szCs w:val="16"/>
                <w:lang w:eastAsia="en-NZ"/>
              </w:rPr>
              <w:t>iFOBT</w:t>
            </w:r>
            <w:r w:rsidRPr="00CA4E12">
              <w:rPr>
                <w:rFonts w:cs="Arial"/>
                <w:sz w:val="16"/>
                <w:szCs w:val="16"/>
                <w:lang w:eastAsia="en-NZ"/>
              </w:rPr>
              <w:t xml:space="preserve"> for adenoma</w:t>
            </w:r>
          </w:p>
        </w:tc>
        <w:tc>
          <w:tcPr>
            <w:tcW w:w="1825" w:type="pct"/>
            <w:tcMar>
              <w:top w:w="30" w:type="dxa"/>
              <w:left w:w="75" w:type="dxa"/>
              <w:bottom w:w="30" w:type="dxa"/>
              <w:right w:w="75" w:type="dxa"/>
            </w:tcMar>
          </w:tcPr>
          <w:p w:rsidR="00F12FA8" w:rsidRPr="00CA4E12" w:rsidRDefault="00F12FA8" w:rsidP="00952CE0">
            <w:pPr>
              <w:spacing w:before="0"/>
              <w:ind w:left="0"/>
              <w:rPr>
                <w:rFonts w:cs="Arial"/>
                <w:sz w:val="16"/>
                <w:szCs w:val="16"/>
                <w:lang w:eastAsia="en-NZ"/>
              </w:rPr>
            </w:pPr>
            <w:r w:rsidRPr="00CA4E12">
              <w:rPr>
                <w:rFonts w:cs="Arial"/>
                <w:sz w:val="16"/>
                <w:szCs w:val="16"/>
                <w:lang w:eastAsia="en-NZ"/>
              </w:rPr>
              <w:t>This is the % of people with any adenoma in those having a colonoscopy for the first and subsequent screening round.</w:t>
            </w:r>
          </w:p>
        </w:tc>
        <w:tc>
          <w:tcPr>
            <w:tcW w:w="814" w:type="pct"/>
            <w:tcMar>
              <w:top w:w="30" w:type="dxa"/>
              <w:left w:w="75" w:type="dxa"/>
              <w:bottom w:w="30" w:type="dxa"/>
              <w:right w:w="75" w:type="dxa"/>
            </w:tcMar>
            <w:vAlign w:val="center"/>
          </w:tcPr>
          <w:p w:rsidR="00F12FA8" w:rsidRPr="00CA4E12" w:rsidRDefault="00F12FA8" w:rsidP="00952CE0">
            <w:pPr>
              <w:spacing w:before="0"/>
              <w:ind w:left="0"/>
              <w:rPr>
                <w:rFonts w:cs="Arial"/>
                <w:sz w:val="16"/>
                <w:szCs w:val="16"/>
                <w:lang w:eastAsia="en-NZ"/>
              </w:rPr>
            </w:pPr>
            <w:r w:rsidRPr="00B35C81">
              <w:rPr>
                <w:rFonts w:cs="Arial"/>
                <w:sz w:val="16"/>
                <w:szCs w:val="16"/>
                <w:lang w:eastAsia="en-NZ"/>
              </w:rPr>
              <w:t>PPV adenoma first screen 9.6 – 40.3%</w:t>
            </w:r>
          </w:p>
        </w:tc>
        <w:tc>
          <w:tcPr>
            <w:tcW w:w="933" w:type="pct"/>
            <w:tcMar>
              <w:top w:w="30" w:type="dxa"/>
              <w:left w:w="75" w:type="dxa"/>
              <w:bottom w:w="30" w:type="dxa"/>
              <w:right w:w="75" w:type="dxa"/>
            </w:tcMar>
            <w:vAlign w:val="center"/>
          </w:tcPr>
          <w:p w:rsidR="00F12FA8" w:rsidRPr="00CA4E12" w:rsidRDefault="00F12FA8" w:rsidP="00B65A34">
            <w:pPr>
              <w:spacing w:before="0"/>
              <w:ind w:left="0"/>
              <w:rPr>
                <w:rFonts w:cs="Arial"/>
                <w:sz w:val="16"/>
                <w:szCs w:val="16"/>
                <w:lang w:eastAsia="en-NZ"/>
              </w:rPr>
            </w:pPr>
            <w:r w:rsidRPr="00B35C81">
              <w:rPr>
                <w:rFonts w:cs="Arial"/>
                <w:sz w:val="16"/>
                <w:szCs w:val="16"/>
                <w:lang w:eastAsia="en-NZ"/>
              </w:rPr>
              <w:t xml:space="preserve">Approximately </w:t>
            </w:r>
            <w:r>
              <w:rPr>
                <w:rFonts w:cs="Arial"/>
                <w:sz w:val="16"/>
                <w:szCs w:val="16"/>
                <w:lang w:eastAsia="en-NZ"/>
              </w:rPr>
              <w:t>5</w:t>
            </w:r>
            <w:r w:rsidR="00B65A34">
              <w:rPr>
                <w:rFonts w:cs="Arial"/>
                <w:sz w:val="16"/>
                <w:szCs w:val="16"/>
                <w:lang w:eastAsia="en-NZ"/>
              </w:rPr>
              <w:t>5</w:t>
            </w:r>
            <w:r w:rsidRPr="00B35C81">
              <w:rPr>
                <w:rFonts w:cs="Arial"/>
                <w:sz w:val="16"/>
                <w:szCs w:val="16"/>
                <w:lang w:eastAsia="en-NZ"/>
              </w:rPr>
              <w:t>.</w:t>
            </w:r>
            <w:r w:rsidR="00B65A34">
              <w:rPr>
                <w:rFonts w:cs="Arial"/>
                <w:sz w:val="16"/>
                <w:szCs w:val="16"/>
                <w:lang w:eastAsia="en-NZ"/>
              </w:rPr>
              <w:t>2</w:t>
            </w:r>
            <w:r w:rsidRPr="00B35C81">
              <w:rPr>
                <w:rFonts w:cs="Arial"/>
                <w:sz w:val="16"/>
                <w:szCs w:val="16"/>
                <w:lang w:eastAsia="en-NZ"/>
              </w:rPr>
              <w:t>%</w:t>
            </w:r>
          </w:p>
        </w:tc>
      </w:tr>
    </w:tbl>
    <w:p w:rsidR="00B65A34" w:rsidRDefault="00B65A34" w:rsidP="00B65A34">
      <w:r>
        <w:t xml:space="preserve">Unless otherwise stated the Indicators were developed using recommendations and standards set out in the European Guidelines for quality assurance in colorectal cancer screening and diagnosis.  </w:t>
      </w:r>
    </w:p>
    <w:p w:rsidR="00B635B7" w:rsidRPr="00552B4A" w:rsidRDefault="00B635B7" w:rsidP="00B635B7">
      <w:pPr>
        <w:spacing w:before="100" w:beforeAutospacing="1" w:after="100" w:afterAutospacing="1"/>
        <w:rPr>
          <w:rFonts w:cs="Arial"/>
          <w:sz w:val="20"/>
          <w:szCs w:val="20"/>
          <w:lang w:eastAsia="en-NZ"/>
        </w:rPr>
      </w:pPr>
      <w:r w:rsidRPr="00552B4A">
        <w:rPr>
          <w:rFonts w:cs="Arial"/>
          <w:sz w:val="20"/>
          <w:szCs w:val="20"/>
          <w:lang w:eastAsia="en-NZ"/>
        </w:rPr>
        <w:t>* These timeframes have been extended by one week to allow adequate time for GPs to contact their patients who have a positive iFOBT result.</w:t>
      </w:r>
    </w:p>
    <w:p w:rsidR="00B635B7" w:rsidRPr="00552B4A" w:rsidRDefault="00B635B7" w:rsidP="00B635B7">
      <w:pPr>
        <w:spacing w:before="100" w:beforeAutospacing="1" w:after="100" w:afterAutospacing="1"/>
        <w:rPr>
          <w:rFonts w:cs="Arial"/>
          <w:sz w:val="20"/>
          <w:szCs w:val="20"/>
          <w:lang w:eastAsia="en-NZ"/>
        </w:rPr>
      </w:pPr>
      <w:r w:rsidRPr="00552B4A">
        <w:rPr>
          <w:rFonts w:cs="Arial"/>
          <w:sz w:val="20"/>
          <w:szCs w:val="20"/>
          <w:lang w:eastAsia="en-NZ"/>
        </w:rPr>
        <w:t>** This number was calculated on the expected number adverse event rates reported in the UK Bowel Cancer Screening Programme Quality Assurance Guidelines for Colonoscopy and based on the fact that 70</w:t>
      </w:r>
      <w:r w:rsidR="00F23EC5">
        <w:rPr>
          <w:rFonts w:cs="Arial"/>
          <w:sz w:val="20"/>
          <w:szCs w:val="20"/>
          <w:lang w:eastAsia="en-NZ"/>
        </w:rPr>
        <w:t xml:space="preserve">% </w:t>
      </w:r>
      <w:r w:rsidRPr="00552B4A">
        <w:rPr>
          <w:rFonts w:cs="Arial"/>
          <w:sz w:val="20"/>
          <w:szCs w:val="20"/>
          <w:lang w:eastAsia="en-NZ"/>
        </w:rPr>
        <w:t xml:space="preserve">of </w:t>
      </w:r>
      <w:r w:rsidR="00EB35F4">
        <w:rPr>
          <w:rFonts w:cs="Arial"/>
          <w:sz w:val="20"/>
          <w:szCs w:val="20"/>
          <w:lang w:eastAsia="en-NZ"/>
        </w:rPr>
        <w:t>p</w:t>
      </w:r>
      <w:r w:rsidRPr="00552B4A">
        <w:rPr>
          <w:rFonts w:cs="Arial"/>
          <w:sz w:val="20"/>
          <w:szCs w:val="20"/>
          <w:lang w:eastAsia="en-NZ"/>
        </w:rPr>
        <w:t>ilot participants proceeding to colonoscopy are identified to have had a lesion.</w:t>
      </w:r>
    </w:p>
    <w:p w:rsidR="00A70DF2" w:rsidRDefault="00A70DF2">
      <w:pPr>
        <w:spacing w:before="0"/>
        <w:ind w:left="0"/>
      </w:pPr>
      <w:r>
        <w:br w:type="page"/>
      </w:r>
    </w:p>
    <w:p w:rsidR="00A70DF2" w:rsidRDefault="00A70DF2" w:rsidP="00A70DF2">
      <w:pPr>
        <w:pStyle w:val="Heading2"/>
      </w:pPr>
      <w:bookmarkStart w:id="441" w:name="_Toc376617544"/>
      <w:bookmarkStart w:id="442" w:name="_Toc412540051"/>
      <w:r>
        <w:lastRenderedPageBreak/>
        <w:t>Appendix 5: Adherence to BSP quality standards</w:t>
      </w:r>
      <w:bookmarkEnd w:id="441"/>
      <w:bookmarkEnd w:id="442"/>
    </w:p>
    <w:p w:rsidR="00A70DF2" w:rsidRDefault="00A70DF2" w:rsidP="00A70DF2">
      <w:r>
        <w:t xml:space="preserve">To inform the quality monitoring review, analysis was undertaken to identify 1) whether data was available against each of the quality standards and 2) any variance from targets set. </w:t>
      </w:r>
    </w:p>
    <w:p w:rsidR="00A70DF2" w:rsidRDefault="00A70DF2" w:rsidP="007C51D8">
      <w:pPr>
        <w:pStyle w:val="Table"/>
      </w:pPr>
      <w:bookmarkStart w:id="443" w:name="_Toc412540176"/>
      <w:r>
        <w:t xml:space="preserve">Table </w:t>
      </w:r>
      <w:r w:rsidR="00CB31CD">
        <w:t>A</w:t>
      </w:r>
      <w:r>
        <w:t>5.1: Adherence to BSP quality standards dated 30 June 2013</w:t>
      </w:r>
      <w:bookmarkEnd w:id="443"/>
      <w:r>
        <w:t xml:space="preserve"> </w:t>
      </w:r>
    </w:p>
    <w:tbl>
      <w:tblPr>
        <w:tblW w:w="9210" w:type="dxa"/>
        <w:tblInd w:w="5" w:type="dxa"/>
        <w:tblLayout w:type="fixed"/>
        <w:tblLook w:val="04A0" w:firstRow="1" w:lastRow="0" w:firstColumn="1" w:lastColumn="0" w:noHBand="0" w:noVBand="1"/>
      </w:tblPr>
      <w:tblGrid>
        <w:gridCol w:w="708"/>
        <w:gridCol w:w="1135"/>
        <w:gridCol w:w="3966"/>
        <w:gridCol w:w="3401"/>
      </w:tblGrid>
      <w:tr w:rsidR="00A70DF2" w:rsidTr="002E41E5">
        <w:trPr>
          <w:cantSplit/>
          <w:trHeight w:val="192"/>
          <w:tblHeader/>
        </w:trPr>
        <w:tc>
          <w:tcPr>
            <w:tcW w:w="708" w:type="dxa"/>
            <w:tcBorders>
              <w:top w:val="single" w:sz="4" w:space="0" w:color="000000"/>
              <w:left w:val="single" w:sz="4" w:space="0" w:color="000000"/>
              <w:bottom w:val="single" w:sz="4" w:space="0" w:color="000000"/>
              <w:right w:val="single" w:sz="4" w:space="0" w:color="000000"/>
            </w:tcBorders>
            <w:shd w:val="clear" w:color="auto" w:fill="92D050"/>
            <w:tcMar>
              <w:top w:w="80" w:type="dxa"/>
              <w:left w:w="0" w:type="dxa"/>
              <w:bottom w:w="80" w:type="dxa"/>
              <w:right w:w="0" w:type="dxa"/>
            </w:tcMar>
            <w:hideMark/>
          </w:tcPr>
          <w:p w:rsidR="00A70DF2" w:rsidRDefault="00A70DF2">
            <w:pPr>
              <w:spacing w:before="0"/>
              <w:ind w:left="0"/>
              <w:rPr>
                <w:b/>
                <w:sz w:val="16"/>
              </w:rPr>
            </w:pPr>
            <w:r>
              <w:rPr>
                <w:b/>
                <w:sz w:val="16"/>
              </w:rPr>
              <w:t>Number</w:t>
            </w:r>
          </w:p>
        </w:tc>
        <w:tc>
          <w:tcPr>
            <w:tcW w:w="1135" w:type="dxa"/>
            <w:tcBorders>
              <w:top w:val="single" w:sz="4" w:space="0" w:color="000000"/>
              <w:left w:val="single" w:sz="4" w:space="0" w:color="000000"/>
              <w:bottom w:val="single" w:sz="4" w:space="0" w:color="000000"/>
              <w:right w:val="single" w:sz="4" w:space="0" w:color="000000"/>
            </w:tcBorders>
            <w:shd w:val="clear" w:color="auto" w:fill="92D050"/>
            <w:tcMar>
              <w:top w:w="80" w:type="dxa"/>
              <w:left w:w="0" w:type="dxa"/>
              <w:bottom w:w="80" w:type="dxa"/>
              <w:right w:w="0" w:type="dxa"/>
            </w:tcMar>
            <w:hideMark/>
          </w:tcPr>
          <w:p w:rsidR="00A70DF2" w:rsidRDefault="00A70DF2">
            <w:pPr>
              <w:spacing w:before="0"/>
              <w:ind w:left="0"/>
              <w:rPr>
                <w:b/>
                <w:sz w:val="16"/>
              </w:rPr>
            </w:pPr>
            <w:r>
              <w:rPr>
                <w:b/>
                <w:sz w:val="16"/>
              </w:rPr>
              <w:t>Section</w:t>
            </w:r>
          </w:p>
        </w:tc>
        <w:tc>
          <w:tcPr>
            <w:tcW w:w="3966" w:type="dxa"/>
            <w:tcBorders>
              <w:top w:val="single" w:sz="4" w:space="0" w:color="000000"/>
              <w:left w:val="single" w:sz="4" w:space="0" w:color="000000"/>
              <w:bottom w:val="single" w:sz="4" w:space="0" w:color="000000"/>
              <w:right w:val="single" w:sz="4" w:space="0" w:color="000000"/>
            </w:tcBorders>
            <w:shd w:val="clear" w:color="auto" w:fill="92D050"/>
            <w:tcMar>
              <w:top w:w="80" w:type="dxa"/>
              <w:left w:w="0" w:type="dxa"/>
              <w:bottom w:w="80" w:type="dxa"/>
              <w:right w:w="0" w:type="dxa"/>
            </w:tcMar>
            <w:hideMark/>
          </w:tcPr>
          <w:p w:rsidR="00A70DF2" w:rsidRDefault="00A70DF2">
            <w:pPr>
              <w:spacing w:before="0"/>
              <w:ind w:left="0"/>
              <w:rPr>
                <w:b/>
                <w:sz w:val="16"/>
              </w:rPr>
            </w:pPr>
            <w:r>
              <w:rPr>
                <w:b/>
                <w:sz w:val="16"/>
              </w:rPr>
              <w:t xml:space="preserve">Requirement </w:t>
            </w:r>
          </w:p>
        </w:tc>
        <w:tc>
          <w:tcPr>
            <w:tcW w:w="3401" w:type="dxa"/>
            <w:tcBorders>
              <w:top w:val="single" w:sz="4" w:space="0" w:color="000000"/>
              <w:left w:val="single" w:sz="4" w:space="0" w:color="000000"/>
              <w:bottom w:val="single" w:sz="4" w:space="0" w:color="000000"/>
              <w:right w:val="single" w:sz="4" w:space="0" w:color="000000"/>
            </w:tcBorders>
            <w:shd w:val="clear" w:color="auto" w:fill="92D050"/>
            <w:hideMark/>
          </w:tcPr>
          <w:p w:rsidR="00A70DF2" w:rsidRDefault="00A70DF2">
            <w:pPr>
              <w:spacing w:before="0"/>
              <w:ind w:left="0"/>
              <w:rPr>
                <w:b/>
                <w:sz w:val="16"/>
              </w:rPr>
            </w:pPr>
            <w:r>
              <w:rPr>
                <w:b/>
                <w:sz w:val="16"/>
              </w:rPr>
              <w:t xml:space="preserve">Results </w:t>
            </w:r>
          </w:p>
        </w:tc>
      </w:tr>
      <w:tr w:rsidR="00A70DF2" w:rsidTr="002E41E5">
        <w:trPr>
          <w:cantSplit/>
          <w:trHeight w:val="664"/>
        </w:trPr>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Uptake</w:t>
            </w:r>
          </w:p>
          <w:p w:rsidR="00A70DF2" w:rsidRDefault="00A70DF2">
            <w:pPr>
              <w:spacing w:before="0"/>
              <w:ind w:left="0"/>
              <w:rPr>
                <w:sz w:val="16"/>
              </w:rPr>
            </w:pPr>
            <w:r>
              <w:rPr>
                <w:sz w:val="16"/>
              </w:rPr>
              <w:t>QS 1, 2</w:t>
            </w:r>
          </w:p>
        </w:tc>
        <w:tc>
          <w:tcPr>
            <w:tcW w:w="3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rsidP="00696085">
            <w:pPr>
              <w:pStyle w:val="ListParagraph"/>
              <w:numPr>
                <w:ilvl w:val="0"/>
                <w:numId w:val="23"/>
              </w:numPr>
              <w:spacing w:before="0"/>
              <w:ind w:left="360"/>
              <w:rPr>
                <w:sz w:val="16"/>
              </w:rPr>
            </w:pPr>
            <w:r>
              <w:rPr>
                <w:sz w:val="16"/>
              </w:rPr>
              <w:t xml:space="preserve">Bowel Screening is offered to the target population within the </w:t>
            </w:r>
            <w:r w:rsidR="007D48EE">
              <w:rPr>
                <w:sz w:val="16"/>
              </w:rPr>
              <w:t>BSP</w:t>
            </w:r>
            <w:r>
              <w:rPr>
                <w:sz w:val="16"/>
              </w:rPr>
              <w:t>.</w:t>
            </w:r>
          </w:p>
          <w:p w:rsidR="00A70DF2" w:rsidRDefault="00A70DF2" w:rsidP="002E63AC">
            <w:pPr>
              <w:pStyle w:val="ListParagraph"/>
              <w:numPr>
                <w:ilvl w:val="0"/>
                <w:numId w:val="23"/>
              </w:numPr>
              <w:spacing w:before="0"/>
              <w:ind w:left="360"/>
              <w:rPr>
                <w:sz w:val="16"/>
              </w:rPr>
            </w:pPr>
            <w:r>
              <w:rPr>
                <w:sz w:val="16"/>
              </w:rPr>
              <w:t xml:space="preserve">60% of all eligible people will participate (completed an </w:t>
            </w:r>
            <w:r w:rsidR="002E63AC">
              <w:rPr>
                <w:sz w:val="16"/>
              </w:rPr>
              <w:t xml:space="preserve">iFOBT </w:t>
            </w:r>
            <w:r>
              <w:rPr>
                <w:sz w:val="16"/>
              </w:rPr>
              <w:t>test) in the screening programme after 2 years.</w:t>
            </w:r>
          </w:p>
        </w:tc>
        <w:tc>
          <w:tcPr>
            <w:tcW w:w="3401" w:type="dxa"/>
            <w:tcBorders>
              <w:top w:val="single" w:sz="4" w:space="0" w:color="000000"/>
              <w:left w:val="single" w:sz="4" w:space="0" w:color="000000"/>
              <w:bottom w:val="single" w:sz="4" w:space="0" w:color="000000"/>
              <w:right w:val="single" w:sz="4" w:space="0" w:color="000000"/>
            </w:tcBorders>
            <w:shd w:val="clear" w:color="auto" w:fill="FFFFFF"/>
            <w:hideMark/>
          </w:tcPr>
          <w:p w:rsidR="00A70DF2" w:rsidRDefault="00A70DF2" w:rsidP="00696085">
            <w:pPr>
              <w:pStyle w:val="ListParagraph"/>
              <w:numPr>
                <w:ilvl w:val="0"/>
                <w:numId w:val="23"/>
              </w:numPr>
              <w:spacing w:before="0"/>
              <w:ind w:left="360"/>
              <w:rPr>
                <w:sz w:val="16"/>
              </w:rPr>
            </w:pPr>
            <w:r>
              <w:rPr>
                <w:sz w:val="16"/>
              </w:rPr>
              <w:t xml:space="preserve">55% participation: </w:t>
            </w:r>
          </w:p>
          <w:p w:rsidR="00A70DF2" w:rsidRDefault="00A70DF2" w:rsidP="00696085">
            <w:pPr>
              <w:pStyle w:val="ListParagraph"/>
              <w:numPr>
                <w:ilvl w:val="0"/>
                <w:numId w:val="24"/>
              </w:numPr>
              <w:spacing w:before="0"/>
              <w:rPr>
                <w:sz w:val="16"/>
              </w:rPr>
            </w:pPr>
            <w:r>
              <w:rPr>
                <w:sz w:val="16"/>
              </w:rPr>
              <w:t xml:space="preserve">25% Pacific people </w:t>
            </w:r>
          </w:p>
          <w:p w:rsidR="00A70DF2" w:rsidRDefault="00A70DF2" w:rsidP="00696085">
            <w:pPr>
              <w:pStyle w:val="ListParagraph"/>
              <w:numPr>
                <w:ilvl w:val="0"/>
                <w:numId w:val="24"/>
              </w:numPr>
              <w:spacing w:before="0"/>
              <w:rPr>
                <w:sz w:val="16"/>
              </w:rPr>
            </w:pPr>
            <w:r>
              <w:rPr>
                <w:sz w:val="16"/>
              </w:rPr>
              <w:t xml:space="preserve">43% Māori </w:t>
            </w:r>
          </w:p>
          <w:p w:rsidR="00A70DF2" w:rsidRDefault="00A70DF2" w:rsidP="00696085">
            <w:pPr>
              <w:pStyle w:val="ListParagraph"/>
              <w:numPr>
                <w:ilvl w:val="0"/>
                <w:numId w:val="24"/>
              </w:numPr>
              <w:spacing w:before="0"/>
              <w:rPr>
                <w:sz w:val="16"/>
              </w:rPr>
            </w:pPr>
            <w:r>
              <w:rPr>
                <w:sz w:val="16"/>
              </w:rPr>
              <w:t xml:space="preserve">53% Asian </w:t>
            </w:r>
          </w:p>
          <w:p w:rsidR="00A70DF2" w:rsidRDefault="00A70DF2" w:rsidP="00696085">
            <w:pPr>
              <w:pStyle w:val="ListParagraph"/>
              <w:numPr>
                <w:ilvl w:val="0"/>
                <w:numId w:val="24"/>
              </w:numPr>
              <w:spacing w:before="0"/>
              <w:rPr>
                <w:sz w:val="16"/>
              </w:rPr>
            </w:pPr>
            <w:r>
              <w:rPr>
                <w:sz w:val="16"/>
              </w:rPr>
              <w:t xml:space="preserve">58% Other group </w:t>
            </w:r>
          </w:p>
        </w:tc>
      </w:tr>
      <w:tr w:rsidR="00A70DF2" w:rsidTr="002E41E5">
        <w:trPr>
          <w:cantSplit/>
          <w:trHeight w:val="350"/>
        </w:trPr>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Call/Recall</w:t>
            </w:r>
          </w:p>
          <w:p w:rsidR="00A70DF2" w:rsidRDefault="00A70DF2">
            <w:pPr>
              <w:spacing w:before="0"/>
              <w:ind w:left="0"/>
              <w:rPr>
                <w:sz w:val="16"/>
              </w:rPr>
            </w:pPr>
            <w:r>
              <w:rPr>
                <w:sz w:val="16"/>
              </w:rPr>
              <w:t xml:space="preserve">QS 3 </w:t>
            </w:r>
          </w:p>
        </w:tc>
        <w:tc>
          <w:tcPr>
            <w:tcW w:w="3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6" w:type="dxa"/>
              <w:bottom w:w="80" w:type="dxa"/>
              <w:right w:w="0" w:type="dxa"/>
            </w:tcMar>
            <w:hideMark/>
          </w:tcPr>
          <w:p w:rsidR="00A70DF2" w:rsidRDefault="00A70DF2" w:rsidP="00696085">
            <w:pPr>
              <w:pStyle w:val="ListParagraph"/>
              <w:numPr>
                <w:ilvl w:val="0"/>
                <w:numId w:val="23"/>
              </w:numPr>
              <w:spacing w:before="0"/>
              <w:ind w:left="360"/>
              <w:rPr>
                <w:sz w:val="16"/>
              </w:rPr>
            </w:pPr>
            <w:r>
              <w:rPr>
                <w:sz w:val="16"/>
              </w:rPr>
              <w:t>95% of eligible participants are sent their first invitation for screening, though a pre-notification letter, within 2 years of commencement of the BSP.</w:t>
            </w:r>
          </w:p>
          <w:p w:rsidR="00A70DF2" w:rsidRDefault="00A70DF2" w:rsidP="00696085">
            <w:pPr>
              <w:pStyle w:val="ListParagraph"/>
              <w:numPr>
                <w:ilvl w:val="0"/>
                <w:numId w:val="23"/>
              </w:numPr>
              <w:spacing w:before="0"/>
              <w:ind w:left="360"/>
              <w:rPr>
                <w:sz w:val="16"/>
              </w:rPr>
            </w:pPr>
            <w:r>
              <w:rPr>
                <w:sz w:val="16"/>
              </w:rPr>
              <w:t>95% of eligible participants are recalled for screening every 2 years (within 27 months) of their previous invitation for screening.</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Pr>
          <w:p w:rsidR="00A70DF2" w:rsidRDefault="00A70DF2" w:rsidP="00696085">
            <w:pPr>
              <w:pStyle w:val="ListParagraph"/>
              <w:numPr>
                <w:ilvl w:val="0"/>
                <w:numId w:val="23"/>
              </w:numPr>
              <w:spacing w:before="0"/>
              <w:ind w:left="360"/>
              <w:rPr>
                <w:sz w:val="16"/>
              </w:rPr>
            </w:pPr>
            <w:r>
              <w:rPr>
                <w:sz w:val="16"/>
              </w:rPr>
              <w:t>Calculated at the end of the first screening round</w:t>
            </w:r>
          </w:p>
          <w:p w:rsidR="00A70DF2" w:rsidRDefault="00A70DF2">
            <w:pPr>
              <w:pStyle w:val="ListParagraph"/>
              <w:spacing w:before="0"/>
              <w:rPr>
                <w:sz w:val="16"/>
              </w:rPr>
            </w:pPr>
          </w:p>
          <w:p w:rsidR="00A70DF2" w:rsidRDefault="00A70DF2" w:rsidP="00696085">
            <w:pPr>
              <w:pStyle w:val="ListParagraph"/>
              <w:numPr>
                <w:ilvl w:val="0"/>
                <w:numId w:val="23"/>
              </w:numPr>
              <w:spacing w:before="0"/>
              <w:ind w:left="360"/>
              <w:rPr>
                <w:sz w:val="16"/>
              </w:rPr>
            </w:pPr>
            <w:r>
              <w:rPr>
                <w:sz w:val="16"/>
              </w:rPr>
              <w:t>Calculated at the end of the second screening round.  The system automatically returns all participants with a negative result to two year recall.</w:t>
            </w:r>
          </w:p>
        </w:tc>
      </w:tr>
      <w:tr w:rsidR="00A70DF2" w:rsidTr="002E41E5">
        <w:trPr>
          <w:cantSplit/>
          <w:trHeight w:val="350"/>
        </w:trPr>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Informed Choice/</w:t>
            </w:r>
          </w:p>
          <w:p w:rsidR="00A70DF2" w:rsidRDefault="00A70DF2">
            <w:pPr>
              <w:spacing w:before="0"/>
              <w:ind w:left="0"/>
              <w:rPr>
                <w:sz w:val="16"/>
              </w:rPr>
            </w:pPr>
            <w:r>
              <w:rPr>
                <w:sz w:val="16"/>
              </w:rPr>
              <w:t>Consent</w:t>
            </w:r>
          </w:p>
          <w:p w:rsidR="00A70DF2" w:rsidRDefault="00A70DF2">
            <w:pPr>
              <w:spacing w:before="0"/>
              <w:ind w:left="0"/>
              <w:rPr>
                <w:sz w:val="16"/>
              </w:rPr>
            </w:pPr>
            <w:r>
              <w:rPr>
                <w:sz w:val="16"/>
              </w:rPr>
              <w:t>QS 3, 4</w:t>
            </w:r>
          </w:p>
        </w:tc>
        <w:tc>
          <w:tcPr>
            <w:tcW w:w="3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6" w:type="dxa"/>
              <w:bottom w:w="80" w:type="dxa"/>
              <w:right w:w="0" w:type="dxa"/>
            </w:tcMar>
          </w:tcPr>
          <w:p w:rsidR="00A70DF2" w:rsidRDefault="00A70DF2" w:rsidP="00696085">
            <w:pPr>
              <w:pStyle w:val="ListParagraph"/>
              <w:numPr>
                <w:ilvl w:val="0"/>
                <w:numId w:val="23"/>
              </w:numPr>
              <w:spacing w:before="0"/>
              <w:ind w:left="360"/>
              <w:rPr>
                <w:sz w:val="16"/>
              </w:rPr>
            </w:pPr>
            <w:r>
              <w:rPr>
                <w:sz w:val="16"/>
              </w:rPr>
              <w:t>95% of bowel screening participants surveyed report that they were appropriately informed about the process involved prior to participating in BSP.</w:t>
            </w:r>
          </w:p>
          <w:p w:rsidR="00A70DF2" w:rsidRDefault="00A70DF2" w:rsidP="00696085">
            <w:pPr>
              <w:pStyle w:val="ListParagraph"/>
              <w:numPr>
                <w:ilvl w:val="0"/>
                <w:numId w:val="23"/>
              </w:numPr>
              <w:spacing w:before="0"/>
              <w:ind w:left="360"/>
              <w:rPr>
                <w:sz w:val="16"/>
              </w:rPr>
            </w:pPr>
            <w:r>
              <w:rPr>
                <w:sz w:val="16"/>
              </w:rPr>
              <w:t>90% of bowel screening participants receive appropriate information in a format that meets the needs of the individual.</w:t>
            </w:r>
          </w:p>
          <w:p w:rsidR="00A70DF2" w:rsidRDefault="00A70DF2" w:rsidP="00696085">
            <w:pPr>
              <w:pStyle w:val="ListParagraph"/>
              <w:numPr>
                <w:ilvl w:val="0"/>
                <w:numId w:val="23"/>
              </w:numPr>
              <w:spacing w:before="0"/>
              <w:ind w:left="360"/>
              <w:rPr>
                <w:sz w:val="16"/>
              </w:rPr>
            </w:pPr>
            <w:r>
              <w:rPr>
                <w:sz w:val="16"/>
              </w:rPr>
              <w:t xml:space="preserve">95% of participants return an </w:t>
            </w:r>
            <w:r w:rsidR="002E63AC">
              <w:rPr>
                <w:sz w:val="16"/>
              </w:rPr>
              <w:t>iFOBT</w:t>
            </w:r>
            <w:r>
              <w:rPr>
                <w:sz w:val="16"/>
              </w:rPr>
              <w:t xml:space="preserve"> consent form with their completed </w:t>
            </w:r>
            <w:r w:rsidR="002E63AC">
              <w:rPr>
                <w:sz w:val="16"/>
              </w:rPr>
              <w:t>iFOBT</w:t>
            </w:r>
            <w:r>
              <w:rPr>
                <w:sz w:val="16"/>
              </w:rPr>
              <w:t xml:space="preserve"> sample</w:t>
            </w:r>
            <w:r w:rsidR="00F23EC5">
              <w:rPr>
                <w:sz w:val="16"/>
              </w:rPr>
              <w:t>.</w:t>
            </w: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rsidP="00696085">
            <w:pPr>
              <w:pStyle w:val="ListParagraph"/>
              <w:numPr>
                <w:ilvl w:val="0"/>
                <w:numId w:val="23"/>
              </w:numPr>
              <w:spacing w:before="0"/>
              <w:ind w:left="360"/>
              <w:rPr>
                <w:sz w:val="16"/>
              </w:rPr>
            </w:pPr>
            <w:r>
              <w:rPr>
                <w:sz w:val="16"/>
              </w:rPr>
              <w:t>95% of participants surveyed report telephone contact was respectful, informative and culturally appropriate.</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Pr>
          <w:p w:rsidR="00A70DF2" w:rsidRDefault="00A70DF2" w:rsidP="00696085">
            <w:pPr>
              <w:pStyle w:val="ListParagraph"/>
              <w:numPr>
                <w:ilvl w:val="0"/>
                <w:numId w:val="23"/>
              </w:numPr>
              <w:spacing w:before="0"/>
              <w:ind w:left="360"/>
              <w:rPr>
                <w:sz w:val="16"/>
              </w:rPr>
            </w:pPr>
            <w:r>
              <w:rPr>
                <w:sz w:val="16"/>
              </w:rPr>
              <w:t>Not measured.</w:t>
            </w:r>
          </w:p>
          <w:p w:rsidR="00A70DF2" w:rsidRDefault="00A70DF2">
            <w:pPr>
              <w:pStyle w:val="ListParagraph"/>
              <w:spacing w:before="0"/>
              <w:ind w:left="360"/>
              <w:rPr>
                <w:sz w:val="16"/>
              </w:rPr>
            </w:pPr>
          </w:p>
          <w:p w:rsidR="00A70DF2" w:rsidRDefault="00A70DF2">
            <w:pPr>
              <w:pStyle w:val="ListParagraph"/>
              <w:spacing w:before="0"/>
              <w:ind w:left="360"/>
              <w:rPr>
                <w:sz w:val="16"/>
              </w:rPr>
            </w:pPr>
          </w:p>
          <w:p w:rsidR="00A70DF2" w:rsidRDefault="00A70DF2" w:rsidP="00696085">
            <w:pPr>
              <w:pStyle w:val="ListParagraph"/>
              <w:numPr>
                <w:ilvl w:val="0"/>
                <w:numId w:val="23"/>
              </w:numPr>
              <w:spacing w:before="0"/>
              <w:ind w:left="360"/>
              <w:rPr>
                <w:sz w:val="16"/>
              </w:rPr>
            </w:pPr>
            <w:r>
              <w:rPr>
                <w:sz w:val="16"/>
              </w:rPr>
              <w:t>Not measured</w:t>
            </w:r>
            <w:r w:rsidR="00F23EC5">
              <w:rPr>
                <w:sz w:val="16"/>
              </w:rPr>
              <w:t>.</w:t>
            </w:r>
          </w:p>
          <w:p w:rsidR="00A70DF2" w:rsidRDefault="00A70DF2">
            <w:pPr>
              <w:spacing w:before="0"/>
              <w:rPr>
                <w:sz w:val="16"/>
                <w:highlight w:val="yellow"/>
              </w:rPr>
            </w:pPr>
          </w:p>
          <w:p w:rsidR="00A70DF2" w:rsidRDefault="00A70DF2">
            <w:pPr>
              <w:spacing w:before="0"/>
              <w:rPr>
                <w:sz w:val="16"/>
                <w:highlight w:val="yellow"/>
              </w:rPr>
            </w:pPr>
          </w:p>
          <w:p w:rsidR="00A70DF2" w:rsidRDefault="00A70DF2">
            <w:pPr>
              <w:spacing w:before="0"/>
              <w:rPr>
                <w:sz w:val="16"/>
                <w:highlight w:val="yellow"/>
              </w:rPr>
            </w:pPr>
          </w:p>
          <w:p w:rsidR="00A70DF2" w:rsidRDefault="00A70DF2" w:rsidP="00696085">
            <w:pPr>
              <w:pStyle w:val="ListParagraph"/>
              <w:numPr>
                <w:ilvl w:val="0"/>
                <w:numId w:val="23"/>
              </w:numPr>
              <w:spacing w:before="0"/>
              <w:ind w:left="360"/>
              <w:rPr>
                <w:sz w:val="16"/>
              </w:rPr>
            </w:pPr>
            <w:r>
              <w:rPr>
                <w:sz w:val="16"/>
              </w:rPr>
              <w:t>This data can be accessed from a manual count but it cannot be reported off the Register.  LabP</w:t>
            </w:r>
            <w:r w:rsidR="00645695">
              <w:rPr>
                <w:sz w:val="16"/>
              </w:rPr>
              <w:t>LUS</w:t>
            </w:r>
            <w:r>
              <w:rPr>
                <w:sz w:val="16"/>
              </w:rPr>
              <w:t xml:space="preserve"> advise the BSP Coordination Centre each time a kit is received without a consent form. The BSP C</w:t>
            </w:r>
            <w:r w:rsidR="00BC4713">
              <w:rPr>
                <w:sz w:val="16"/>
              </w:rPr>
              <w:t>oordination Centre</w:t>
            </w:r>
            <w:r>
              <w:rPr>
                <w:sz w:val="16"/>
              </w:rPr>
              <w:t xml:space="preserve"> arranges for a replacement kit to be sent with advice to the participant on including the consent form.  It is not a reporting requirement at the moment.</w:t>
            </w:r>
          </w:p>
          <w:p w:rsidR="00A70DF2" w:rsidRDefault="00A70DF2" w:rsidP="00696085">
            <w:pPr>
              <w:pStyle w:val="ListParagraph"/>
              <w:numPr>
                <w:ilvl w:val="0"/>
                <w:numId w:val="23"/>
              </w:numPr>
              <w:spacing w:before="0"/>
              <w:ind w:left="360"/>
              <w:rPr>
                <w:sz w:val="16"/>
              </w:rPr>
            </w:pPr>
            <w:r>
              <w:rPr>
                <w:sz w:val="16"/>
              </w:rPr>
              <w:t>100% of the survey participants said that the information line had met their needs</w:t>
            </w:r>
            <w:r w:rsidR="00F23EC5">
              <w:rPr>
                <w:sz w:val="16"/>
              </w:rPr>
              <w:t>.</w:t>
            </w:r>
          </w:p>
        </w:tc>
      </w:tr>
      <w:tr w:rsidR="00A70DF2" w:rsidTr="002E41E5">
        <w:trPr>
          <w:cantSplit/>
          <w:trHeight w:val="350"/>
        </w:trPr>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Failsafe</w:t>
            </w:r>
          </w:p>
          <w:p w:rsidR="00A70DF2" w:rsidRDefault="00A70DF2">
            <w:pPr>
              <w:spacing w:before="0"/>
              <w:ind w:left="0"/>
              <w:rPr>
                <w:sz w:val="16"/>
              </w:rPr>
            </w:pPr>
            <w:r>
              <w:rPr>
                <w:sz w:val="16"/>
              </w:rPr>
              <w:t>QS 3</w:t>
            </w:r>
          </w:p>
        </w:tc>
        <w:tc>
          <w:tcPr>
            <w:tcW w:w="3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6" w:type="dxa"/>
              <w:bottom w:w="80" w:type="dxa"/>
              <w:right w:w="0" w:type="dxa"/>
            </w:tcMar>
          </w:tcPr>
          <w:p w:rsidR="00A70DF2" w:rsidRDefault="00A70DF2" w:rsidP="00696085">
            <w:pPr>
              <w:pStyle w:val="ListParagraph"/>
              <w:numPr>
                <w:ilvl w:val="0"/>
                <w:numId w:val="23"/>
              </w:numPr>
              <w:spacing w:before="0"/>
              <w:ind w:left="360"/>
              <w:rPr>
                <w:sz w:val="16"/>
              </w:rPr>
            </w:pPr>
            <w:r>
              <w:rPr>
                <w:sz w:val="16"/>
              </w:rPr>
              <w:t xml:space="preserve">100% of bowel screening participants with a negative screening result are returned to 2 yearly </w:t>
            </w:r>
            <w:proofErr w:type="gramStart"/>
            <w:r>
              <w:rPr>
                <w:sz w:val="16"/>
              </w:rPr>
              <w:t>recall</w:t>
            </w:r>
            <w:proofErr w:type="gramEnd"/>
            <w:r>
              <w:rPr>
                <w:sz w:val="16"/>
              </w:rPr>
              <w:t>.</w:t>
            </w: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rsidP="00C42EF2">
            <w:pPr>
              <w:pStyle w:val="ListParagraph"/>
              <w:numPr>
                <w:ilvl w:val="0"/>
                <w:numId w:val="23"/>
              </w:numPr>
              <w:spacing w:before="0"/>
              <w:ind w:left="360"/>
              <w:rPr>
                <w:sz w:val="16"/>
              </w:rPr>
            </w:pPr>
            <w:r>
              <w:rPr>
                <w:sz w:val="16"/>
              </w:rPr>
              <w:t xml:space="preserve">100% of bowel screening participants with a positive </w:t>
            </w:r>
            <w:r w:rsidR="002E63AC">
              <w:rPr>
                <w:sz w:val="16"/>
              </w:rPr>
              <w:t>iFOBT</w:t>
            </w:r>
            <w:r>
              <w:rPr>
                <w:sz w:val="16"/>
              </w:rPr>
              <w:t xml:space="preserve"> result are followed up by the BSP Endoscopy Unit and/or their GP.</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Pr>
          <w:p w:rsidR="00A70DF2" w:rsidRDefault="00A70DF2" w:rsidP="00696085">
            <w:pPr>
              <w:pStyle w:val="ListParagraph"/>
              <w:numPr>
                <w:ilvl w:val="0"/>
                <w:numId w:val="23"/>
              </w:numPr>
              <w:spacing w:before="0"/>
              <w:ind w:left="360"/>
              <w:rPr>
                <w:sz w:val="16"/>
              </w:rPr>
            </w:pPr>
            <w:r>
              <w:rPr>
                <w:sz w:val="16"/>
              </w:rPr>
              <w:t xml:space="preserve">The BSP system automatically moves participants to two yearly </w:t>
            </w:r>
            <w:proofErr w:type="gramStart"/>
            <w:r>
              <w:rPr>
                <w:sz w:val="16"/>
              </w:rPr>
              <w:t>recall</w:t>
            </w:r>
            <w:proofErr w:type="gramEnd"/>
            <w:r>
              <w:rPr>
                <w:sz w:val="16"/>
              </w:rPr>
              <w:t xml:space="preserve"> and there is no reason to suspect that this is not happening as it should</w:t>
            </w:r>
            <w:r w:rsidR="00F23EC5">
              <w:rPr>
                <w:sz w:val="16"/>
              </w:rPr>
              <w:t>.</w:t>
            </w:r>
          </w:p>
          <w:p w:rsidR="00A70DF2" w:rsidRDefault="00A70DF2">
            <w:pPr>
              <w:pStyle w:val="ListParagraph"/>
              <w:spacing w:before="0"/>
              <w:ind w:left="360"/>
              <w:rPr>
                <w:sz w:val="16"/>
              </w:rPr>
            </w:pPr>
          </w:p>
          <w:p w:rsidR="00A70DF2" w:rsidRDefault="00A70DF2" w:rsidP="00696085">
            <w:pPr>
              <w:pStyle w:val="ListParagraph"/>
              <w:numPr>
                <w:ilvl w:val="0"/>
                <w:numId w:val="23"/>
              </w:numPr>
              <w:spacing w:before="0"/>
              <w:ind w:left="360"/>
              <w:rPr>
                <w:sz w:val="16"/>
              </w:rPr>
            </w:pPr>
            <w:r>
              <w:rPr>
                <w:sz w:val="16"/>
              </w:rPr>
              <w:t>100% – the system sends tasks to the Endoscopy Unit if the timeframe within which the referral should be received has not been met and the CNSs assume responsibility for contacting the participant.  There is a formal process in place for when a participant is unable to be contacted at all.</w:t>
            </w:r>
          </w:p>
        </w:tc>
      </w:tr>
      <w:tr w:rsidR="00A70DF2" w:rsidTr="002E41E5">
        <w:trPr>
          <w:cantSplit/>
          <w:trHeight w:val="350"/>
        </w:trPr>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lastRenderedPageBreak/>
              <w:t>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FIT Kit</w:t>
            </w:r>
          </w:p>
          <w:p w:rsidR="00A70DF2" w:rsidRDefault="00A70DF2">
            <w:pPr>
              <w:spacing w:before="0"/>
              <w:ind w:left="0"/>
              <w:rPr>
                <w:sz w:val="16"/>
              </w:rPr>
            </w:pPr>
            <w:r>
              <w:rPr>
                <w:sz w:val="16"/>
              </w:rPr>
              <w:t>QS 4, 5</w:t>
            </w:r>
          </w:p>
        </w:tc>
        <w:tc>
          <w:tcPr>
            <w:tcW w:w="3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6" w:type="dxa"/>
              <w:bottom w:w="80" w:type="dxa"/>
              <w:right w:w="0" w:type="dxa"/>
            </w:tcMar>
          </w:tcPr>
          <w:p w:rsidR="00A70DF2" w:rsidRDefault="00A70DF2" w:rsidP="00696085">
            <w:pPr>
              <w:pStyle w:val="ListParagraph"/>
              <w:numPr>
                <w:ilvl w:val="0"/>
                <w:numId w:val="23"/>
              </w:numPr>
              <w:spacing w:before="0"/>
              <w:ind w:left="360"/>
              <w:rPr>
                <w:sz w:val="16"/>
              </w:rPr>
            </w:pPr>
            <w:r>
              <w:rPr>
                <w:sz w:val="16"/>
              </w:rPr>
              <w:t xml:space="preserve">100% of </w:t>
            </w:r>
            <w:r w:rsidR="002E63AC">
              <w:rPr>
                <w:sz w:val="16"/>
              </w:rPr>
              <w:t xml:space="preserve">iFOBT </w:t>
            </w:r>
            <w:r>
              <w:rPr>
                <w:sz w:val="16"/>
              </w:rPr>
              <w:t>logged within 1 working day of receipt in laboratory.</w:t>
            </w: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F23EC5" w:rsidRDefault="00F23EC5" w:rsidP="002E41E5">
            <w:pPr>
              <w:pStyle w:val="ListParagraph"/>
              <w:spacing w:before="0"/>
              <w:ind w:left="360"/>
              <w:rPr>
                <w:sz w:val="16"/>
              </w:rPr>
            </w:pPr>
          </w:p>
          <w:p w:rsidR="00A70DF2" w:rsidRDefault="00A70DF2" w:rsidP="00696085">
            <w:pPr>
              <w:pStyle w:val="ListParagraph"/>
              <w:numPr>
                <w:ilvl w:val="0"/>
                <w:numId w:val="23"/>
              </w:numPr>
              <w:spacing w:before="0"/>
              <w:ind w:left="360"/>
              <w:rPr>
                <w:sz w:val="16"/>
              </w:rPr>
            </w:pPr>
            <w:r>
              <w:rPr>
                <w:sz w:val="16"/>
              </w:rPr>
              <w:t xml:space="preserve">100% of correctly completed </w:t>
            </w:r>
            <w:r w:rsidR="002E63AC">
              <w:rPr>
                <w:sz w:val="16"/>
              </w:rPr>
              <w:t>iFOBT</w:t>
            </w:r>
            <w:r w:rsidR="003D209D">
              <w:rPr>
                <w:sz w:val="16"/>
              </w:rPr>
              <w:t>s</w:t>
            </w:r>
            <w:r>
              <w:rPr>
                <w:sz w:val="16"/>
              </w:rPr>
              <w:t xml:space="preserve"> received by the screening laboratory are tested and results released within 2 working days of receipt in the laboratory.</w:t>
            </w:r>
          </w:p>
          <w:p w:rsidR="00A70DF2" w:rsidRDefault="00A70DF2">
            <w:pPr>
              <w:pStyle w:val="ListParagraph"/>
              <w:spacing w:before="0"/>
              <w:ind w:left="360"/>
              <w:rPr>
                <w:sz w:val="16"/>
              </w:rPr>
            </w:pPr>
          </w:p>
          <w:p w:rsidR="00A70DF2" w:rsidRDefault="00A70DF2" w:rsidP="00696085">
            <w:pPr>
              <w:pStyle w:val="ListParagraph"/>
              <w:numPr>
                <w:ilvl w:val="0"/>
                <w:numId w:val="23"/>
              </w:numPr>
              <w:spacing w:before="0"/>
              <w:ind w:left="360"/>
              <w:rPr>
                <w:sz w:val="16"/>
              </w:rPr>
            </w:pPr>
            <w:r>
              <w:rPr>
                <w:sz w:val="16"/>
              </w:rPr>
              <w:t xml:space="preserve">95% of individuals returning a correctly completed </w:t>
            </w:r>
            <w:r w:rsidR="002E63AC">
              <w:rPr>
                <w:sz w:val="16"/>
              </w:rPr>
              <w:t>iFOBT</w:t>
            </w:r>
            <w:r>
              <w:rPr>
                <w:sz w:val="16"/>
              </w:rPr>
              <w:t xml:space="preserve"> are advised of their results by the GP or endoscopy unit within 10 working days of receipt of the test result from the laboratory.</w:t>
            </w:r>
          </w:p>
          <w:p w:rsidR="00A70DF2" w:rsidRDefault="00A70DF2">
            <w:pPr>
              <w:pStyle w:val="ListParagraph"/>
              <w:spacing w:before="0"/>
              <w:ind w:left="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rsidP="00C42EF2">
            <w:pPr>
              <w:pStyle w:val="ListParagraph"/>
              <w:numPr>
                <w:ilvl w:val="0"/>
                <w:numId w:val="23"/>
              </w:numPr>
              <w:spacing w:before="0"/>
              <w:ind w:left="360"/>
              <w:rPr>
                <w:sz w:val="16"/>
              </w:rPr>
            </w:pPr>
            <w:r>
              <w:rPr>
                <w:sz w:val="16"/>
              </w:rPr>
              <w:t xml:space="preserve">100% of laboratory staff performing </w:t>
            </w:r>
            <w:r w:rsidR="002E63AC">
              <w:rPr>
                <w:sz w:val="16"/>
              </w:rPr>
              <w:t>iFOBT</w:t>
            </w:r>
            <w:r>
              <w:rPr>
                <w:sz w:val="16"/>
              </w:rPr>
              <w:t xml:space="preserve"> testing must be appropriately qualified and receive relevant training before undertaking unsupervised work.</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Pr>
          <w:p w:rsidR="00A70DF2" w:rsidRDefault="00A70DF2" w:rsidP="00696085">
            <w:pPr>
              <w:pStyle w:val="ListParagraph"/>
              <w:numPr>
                <w:ilvl w:val="0"/>
                <w:numId w:val="23"/>
              </w:numPr>
              <w:spacing w:before="0"/>
              <w:ind w:left="360"/>
              <w:rPr>
                <w:sz w:val="16"/>
              </w:rPr>
            </w:pPr>
            <w:r>
              <w:rPr>
                <w:sz w:val="16"/>
              </w:rPr>
              <w:t>100% - LabP</w:t>
            </w:r>
            <w:r w:rsidR="00645695">
              <w:rPr>
                <w:sz w:val="16"/>
              </w:rPr>
              <w:t>LUS</w:t>
            </w:r>
            <w:r>
              <w:rPr>
                <w:sz w:val="16"/>
              </w:rPr>
              <w:t xml:space="preserve"> provide BSP C</w:t>
            </w:r>
            <w:r w:rsidR="00645695">
              <w:rPr>
                <w:sz w:val="16"/>
              </w:rPr>
              <w:t xml:space="preserve">oordination </w:t>
            </w:r>
            <w:r>
              <w:rPr>
                <w:sz w:val="16"/>
              </w:rPr>
              <w:t>C</w:t>
            </w:r>
            <w:r w:rsidR="00645695">
              <w:rPr>
                <w:sz w:val="16"/>
              </w:rPr>
              <w:t>entre</w:t>
            </w:r>
            <w:r>
              <w:rPr>
                <w:sz w:val="16"/>
              </w:rPr>
              <w:t xml:space="preserve"> with a quarterly report and this standard has been met consistently for the period to 30 June 2013.  This is not a</w:t>
            </w:r>
            <w:r w:rsidR="002E63AC">
              <w:rPr>
                <w:sz w:val="16"/>
              </w:rPr>
              <w:t xml:space="preserve"> Ministry of Health</w:t>
            </w:r>
            <w:r>
              <w:rPr>
                <w:sz w:val="16"/>
              </w:rPr>
              <w:t xml:space="preserve"> reporting requirement but is a requirement for LabP</w:t>
            </w:r>
            <w:r w:rsidR="00645695">
              <w:rPr>
                <w:sz w:val="16"/>
              </w:rPr>
              <w:t>LUS</w:t>
            </w:r>
            <w:r>
              <w:rPr>
                <w:sz w:val="16"/>
              </w:rPr>
              <w:t xml:space="preserve"> to report to the BSP under the terms of the Agreement with WDHB to provide BSP lab services</w:t>
            </w:r>
            <w:r w:rsidR="00F23EC5">
              <w:rPr>
                <w:sz w:val="16"/>
              </w:rPr>
              <w:t>.</w:t>
            </w:r>
          </w:p>
          <w:p w:rsidR="00A70DF2" w:rsidRDefault="00A70DF2">
            <w:pPr>
              <w:spacing w:before="0"/>
              <w:rPr>
                <w:sz w:val="16"/>
              </w:rPr>
            </w:pPr>
          </w:p>
          <w:p w:rsidR="00A70DF2" w:rsidRDefault="00A70DF2" w:rsidP="00696085">
            <w:pPr>
              <w:pStyle w:val="ListParagraph"/>
              <w:numPr>
                <w:ilvl w:val="0"/>
                <w:numId w:val="23"/>
              </w:numPr>
              <w:spacing w:before="0"/>
              <w:ind w:left="360"/>
              <w:rPr>
                <w:sz w:val="16"/>
              </w:rPr>
            </w:pPr>
            <w:r>
              <w:rPr>
                <w:sz w:val="16"/>
              </w:rPr>
              <w:t>100% - as above</w:t>
            </w:r>
            <w:r w:rsidR="00F23EC5">
              <w:rPr>
                <w:sz w:val="16"/>
              </w:rPr>
              <w:t>.</w:t>
            </w:r>
          </w:p>
          <w:p w:rsidR="00A70DF2" w:rsidRDefault="00A70DF2">
            <w:pPr>
              <w:pStyle w:val="ListParagraph"/>
              <w:rPr>
                <w:sz w:val="16"/>
              </w:rPr>
            </w:pPr>
          </w:p>
          <w:p w:rsidR="00A70DF2" w:rsidRDefault="00A70DF2">
            <w:pPr>
              <w:pStyle w:val="ListParagraph"/>
              <w:rPr>
                <w:sz w:val="16"/>
              </w:rPr>
            </w:pPr>
          </w:p>
          <w:p w:rsidR="00A70DF2" w:rsidRDefault="00A70DF2" w:rsidP="00696085">
            <w:pPr>
              <w:pStyle w:val="ListParagraph"/>
              <w:numPr>
                <w:ilvl w:val="0"/>
                <w:numId w:val="23"/>
              </w:numPr>
              <w:spacing w:before="0"/>
              <w:ind w:left="360"/>
              <w:rPr>
                <w:sz w:val="16"/>
              </w:rPr>
            </w:pPr>
            <w:r>
              <w:rPr>
                <w:sz w:val="16"/>
              </w:rPr>
              <w:t xml:space="preserve">Difficult to measure as it is not known whether the date of advice is the same as the date of referral. The Register records only the date of referral. The standard is certainly met by the Endoscopy Unit (when the person does not want their GP involved) – dependent on whether the participant is able to be contacted.  This standard will be subject to review in 2014.  </w:t>
            </w:r>
            <w:r w:rsidR="00BC4713">
              <w:rPr>
                <w:sz w:val="16"/>
              </w:rPr>
              <w:t xml:space="preserve">The </w:t>
            </w:r>
            <w:r>
              <w:rPr>
                <w:sz w:val="16"/>
              </w:rPr>
              <w:t>BSP C</w:t>
            </w:r>
            <w:r w:rsidR="00645695">
              <w:rPr>
                <w:sz w:val="16"/>
              </w:rPr>
              <w:t xml:space="preserve">oordination </w:t>
            </w:r>
            <w:r>
              <w:rPr>
                <w:sz w:val="16"/>
              </w:rPr>
              <w:t>C</w:t>
            </w:r>
            <w:r w:rsidR="00645695">
              <w:rPr>
                <w:sz w:val="16"/>
              </w:rPr>
              <w:t>entre</w:t>
            </w:r>
            <w:r>
              <w:rPr>
                <w:sz w:val="16"/>
              </w:rPr>
              <w:t xml:space="preserve"> ha</w:t>
            </w:r>
            <w:r w:rsidR="00BC4713">
              <w:rPr>
                <w:sz w:val="16"/>
              </w:rPr>
              <w:t>s</w:t>
            </w:r>
            <w:r>
              <w:rPr>
                <w:sz w:val="16"/>
              </w:rPr>
              <w:t xml:space="preserve"> recently conducted ‘audits’ within specific general practices and if these practices are typical then the standard is being met. </w:t>
            </w:r>
          </w:p>
          <w:p w:rsidR="00A70DF2" w:rsidRDefault="00A70DF2">
            <w:pPr>
              <w:spacing w:before="0"/>
              <w:rPr>
                <w:sz w:val="16"/>
              </w:rPr>
            </w:pPr>
          </w:p>
          <w:p w:rsidR="00A70DF2" w:rsidRDefault="00A70DF2" w:rsidP="00696085">
            <w:pPr>
              <w:pStyle w:val="ListParagraph"/>
              <w:numPr>
                <w:ilvl w:val="0"/>
                <w:numId w:val="23"/>
              </w:numPr>
              <w:spacing w:before="0"/>
              <w:ind w:left="360"/>
              <w:rPr>
                <w:sz w:val="16"/>
              </w:rPr>
            </w:pPr>
            <w:r>
              <w:rPr>
                <w:sz w:val="16"/>
              </w:rPr>
              <w:t>100% - IANZ accreditation requirement</w:t>
            </w:r>
            <w:r w:rsidR="00F23EC5">
              <w:rPr>
                <w:sz w:val="16"/>
              </w:rPr>
              <w:t>.</w:t>
            </w:r>
          </w:p>
          <w:p w:rsidR="00A70DF2" w:rsidRDefault="00A70DF2">
            <w:pPr>
              <w:pStyle w:val="ListParagraph"/>
              <w:spacing w:before="0"/>
              <w:rPr>
                <w:sz w:val="16"/>
              </w:rPr>
            </w:pPr>
          </w:p>
        </w:tc>
      </w:tr>
      <w:tr w:rsidR="00A70DF2" w:rsidTr="002E41E5">
        <w:trPr>
          <w:cantSplit/>
          <w:trHeight w:val="350"/>
        </w:trPr>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lastRenderedPageBreak/>
              <w:t>6</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Pre-Assessment</w:t>
            </w:r>
          </w:p>
          <w:p w:rsidR="00A70DF2" w:rsidRDefault="00A70DF2">
            <w:pPr>
              <w:spacing w:before="0"/>
              <w:ind w:left="0"/>
              <w:rPr>
                <w:sz w:val="16"/>
              </w:rPr>
            </w:pPr>
            <w:r>
              <w:rPr>
                <w:sz w:val="16"/>
              </w:rPr>
              <w:t>QS 6</w:t>
            </w:r>
            <w:r>
              <w:rPr>
                <w:sz w:val="16"/>
              </w:rPr>
              <w:tab/>
            </w:r>
          </w:p>
        </w:tc>
        <w:tc>
          <w:tcPr>
            <w:tcW w:w="39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0" w:type="dxa"/>
              <w:bottom w:w="80" w:type="dxa"/>
              <w:right w:w="0" w:type="dxa"/>
            </w:tcMar>
          </w:tcPr>
          <w:p w:rsidR="00A70DF2" w:rsidRDefault="00A70DF2" w:rsidP="00696085">
            <w:pPr>
              <w:pStyle w:val="ListParagraph"/>
              <w:numPr>
                <w:ilvl w:val="0"/>
                <w:numId w:val="23"/>
              </w:numPr>
              <w:spacing w:before="0"/>
              <w:ind w:left="360"/>
              <w:rPr>
                <w:sz w:val="16"/>
              </w:rPr>
            </w:pPr>
            <w:r>
              <w:rPr>
                <w:sz w:val="16"/>
              </w:rPr>
              <w:t xml:space="preserve">The time interval following a positive result being entered into the BSP IT system and date of initial contact, for colonoscopy is within 15 working days for at least 95% of individuals. </w:t>
            </w: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ind w:left="360"/>
              <w:rPr>
                <w:sz w:val="16"/>
              </w:rPr>
            </w:pPr>
          </w:p>
          <w:p w:rsidR="00A70DF2" w:rsidRDefault="00A70DF2" w:rsidP="00696085">
            <w:pPr>
              <w:pStyle w:val="ListParagraph"/>
              <w:numPr>
                <w:ilvl w:val="0"/>
                <w:numId w:val="23"/>
              </w:numPr>
              <w:spacing w:before="0"/>
              <w:ind w:left="360"/>
              <w:rPr>
                <w:sz w:val="16"/>
              </w:rPr>
            </w:pPr>
            <w:r>
              <w:rPr>
                <w:sz w:val="16"/>
              </w:rPr>
              <w:t xml:space="preserve">100% of participants are documented to have received a pre -assessment interview. </w:t>
            </w:r>
          </w:p>
          <w:p w:rsidR="00A70DF2" w:rsidRDefault="00A70DF2">
            <w:pPr>
              <w:pStyle w:val="ListParagraph"/>
              <w:spacing w:before="0"/>
              <w:rPr>
                <w:sz w:val="16"/>
              </w:rPr>
            </w:pPr>
          </w:p>
          <w:p w:rsidR="00A70DF2" w:rsidRDefault="00A70DF2" w:rsidP="00696085">
            <w:pPr>
              <w:pStyle w:val="ListParagraph"/>
              <w:numPr>
                <w:ilvl w:val="0"/>
                <w:numId w:val="23"/>
              </w:numPr>
              <w:spacing w:before="0"/>
              <w:ind w:left="360"/>
              <w:rPr>
                <w:sz w:val="16"/>
              </w:rPr>
            </w:pPr>
            <w:r>
              <w:rPr>
                <w:sz w:val="16"/>
              </w:rPr>
              <w:t xml:space="preserve">100% of participants deemed fit for </w:t>
            </w:r>
            <w:proofErr w:type="gramStart"/>
            <w:r w:rsidR="003D209D">
              <w:rPr>
                <w:sz w:val="16"/>
              </w:rPr>
              <w:t>colonoscopy are</w:t>
            </w:r>
            <w:proofErr w:type="gramEnd"/>
            <w:r>
              <w:rPr>
                <w:sz w:val="16"/>
              </w:rPr>
              <w:t xml:space="preserve"> appropriately referred for colonoscopy.</w:t>
            </w: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BC4713" w:rsidRDefault="00BC4713">
            <w:pPr>
              <w:pStyle w:val="ListParagraph"/>
              <w:spacing w:before="0"/>
              <w:rPr>
                <w:sz w:val="16"/>
              </w:rPr>
            </w:pPr>
          </w:p>
          <w:p w:rsidR="00A70DF2" w:rsidRDefault="00A70DF2" w:rsidP="00696085">
            <w:pPr>
              <w:pStyle w:val="ListParagraph"/>
              <w:numPr>
                <w:ilvl w:val="0"/>
                <w:numId w:val="23"/>
              </w:numPr>
              <w:spacing w:before="0"/>
              <w:ind w:left="360"/>
              <w:rPr>
                <w:sz w:val="16"/>
              </w:rPr>
            </w:pPr>
            <w:r>
              <w:rPr>
                <w:sz w:val="16"/>
              </w:rPr>
              <w:t xml:space="preserve">For all participants with a positive </w:t>
            </w:r>
            <w:r w:rsidR="002E63AC">
              <w:rPr>
                <w:sz w:val="16"/>
              </w:rPr>
              <w:t>iFOBT</w:t>
            </w:r>
            <w:r>
              <w:rPr>
                <w:sz w:val="16"/>
              </w:rPr>
              <w:t xml:space="preserve"> result who do not proceed for colonoscopy there is documentation that appropriate pathways were followed and action taken. </w:t>
            </w:r>
          </w:p>
          <w:p w:rsidR="00A70DF2" w:rsidRDefault="00A70DF2">
            <w:pPr>
              <w:pStyle w:val="ListParagraph"/>
              <w:spacing w:before="0"/>
              <w:ind w:left="360"/>
              <w:rPr>
                <w:sz w:val="16"/>
              </w:rPr>
            </w:pPr>
          </w:p>
          <w:p w:rsidR="00A70DF2" w:rsidRDefault="00A70DF2" w:rsidP="00696085">
            <w:pPr>
              <w:pStyle w:val="ListParagraph"/>
              <w:numPr>
                <w:ilvl w:val="0"/>
                <w:numId w:val="23"/>
              </w:numPr>
              <w:spacing w:before="0"/>
              <w:ind w:left="360"/>
              <w:rPr>
                <w:sz w:val="16"/>
              </w:rPr>
            </w:pPr>
            <w:r>
              <w:rPr>
                <w:sz w:val="16"/>
              </w:rPr>
              <w:t>95% of participants responding to patient satisfaction surveys report that they received appropriate information relating to colonoscopy and bowel preparation for the procedure.</w:t>
            </w:r>
          </w:p>
          <w:p w:rsidR="00BC4713" w:rsidRDefault="00BC4713" w:rsidP="00C42EF2">
            <w:pPr>
              <w:pStyle w:val="ListParagraph"/>
              <w:spacing w:before="0"/>
              <w:ind w:left="360"/>
              <w:rPr>
                <w:sz w:val="16"/>
              </w:rPr>
            </w:pPr>
          </w:p>
          <w:p w:rsidR="00A70DF2" w:rsidRDefault="00A70DF2" w:rsidP="00696085">
            <w:pPr>
              <w:pStyle w:val="ListParagraph"/>
              <w:numPr>
                <w:ilvl w:val="0"/>
                <w:numId w:val="23"/>
              </w:numPr>
              <w:spacing w:before="0"/>
              <w:ind w:left="360"/>
              <w:rPr>
                <w:sz w:val="16"/>
              </w:rPr>
            </w:pPr>
            <w:r>
              <w:rPr>
                <w:sz w:val="16"/>
              </w:rPr>
              <w:t>95% of participants responding to patient satisfaction surveys report that timely and appropriate advice regarding colonoscopy and bowel preparation was available.</w:t>
            </w:r>
          </w:p>
          <w:p w:rsidR="00A70DF2" w:rsidRDefault="00A70DF2">
            <w:pPr>
              <w:pStyle w:val="ListParagraph"/>
              <w:spacing w:before="0"/>
              <w:rPr>
                <w:sz w:val="16"/>
              </w:rPr>
            </w:pPr>
          </w:p>
          <w:p w:rsidR="00A70DF2" w:rsidRDefault="00A70DF2" w:rsidP="00696085">
            <w:pPr>
              <w:pStyle w:val="ListParagraph"/>
              <w:numPr>
                <w:ilvl w:val="0"/>
                <w:numId w:val="23"/>
              </w:numPr>
              <w:spacing w:before="0"/>
              <w:ind w:left="360"/>
              <w:rPr>
                <w:sz w:val="16"/>
              </w:rPr>
            </w:pPr>
            <w:r>
              <w:rPr>
                <w:sz w:val="16"/>
              </w:rPr>
              <w:t>For 90% of participants proceeding to colonoscopy there is evidence that a participant has completed the questionnaire relating to family history of bowel cancer. The questionnaire (yet to be finalised) is designed to facilitate on-referral to the New Zealand Familial Gastrointestinal Service, if appropriate.</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70DF2" w:rsidRDefault="00A70DF2" w:rsidP="00696085">
            <w:pPr>
              <w:pStyle w:val="ListParagraph"/>
              <w:numPr>
                <w:ilvl w:val="0"/>
                <w:numId w:val="23"/>
              </w:numPr>
              <w:spacing w:before="0"/>
              <w:ind w:left="360"/>
              <w:rPr>
                <w:sz w:val="16"/>
              </w:rPr>
            </w:pPr>
            <w:r>
              <w:rPr>
                <w:sz w:val="16"/>
              </w:rPr>
              <w:t>Not reported to the M</w:t>
            </w:r>
            <w:r w:rsidR="002E63AC">
              <w:rPr>
                <w:sz w:val="16"/>
              </w:rPr>
              <w:t>inistry of Health</w:t>
            </w:r>
            <w:r>
              <w:rPr>
                <w:sz w:val="16"/>
              </w:rPr>
              <w:t xml:space="preserve"> but data can be accessed.  Difficult to measure as the date of initial contact depends on the ability to contact the participant (i.e. it is not always within the BSP control to meet this standard).</w:t>
            </w:r>
          </w:p>
          <w:p w:rsidR="00A70DF2" w:rsidRDefault="00A70DF2">
            <w:pPr>
              <w:spacing w:before="0"/>
              <w:rPr>
                <w:sz w:val="16"/>
                <w:highlight w:val="yellow"/>
              </w:rPr>
            </w:pPr>
          </w:p>
          <w:p w:rsidR="00A70DF2" w:rsidRDefault="00A70DF2" w:rsidP="00696085">
            <w:pPr>
              <w:pStyle w:val="ListParagraph"/>
              <w:numPr>
                <w:ilvl w:val="0"/>
                <w:numId w:val="23"/>
              </w:numPr>
              <w:spacing w:before="0"/>
              <w:ind w:left="360"/>
              <w:rPr>
                <w:sz w:val="16"/>
              </w:rPr>
            </w:pPr>
            <w:r>
              <w:rPr>
                <w:sz w:val="16"/>
              </w:rPr>
              <w:t xml:space="preserve">100% of participants having a colonoscopy within the Pilot. </w:t>
            </w:r>
          </w:p>
          <w:p w:rsidR="00A70DF2" w:rsidRDefault="00A70DF2">
            <w:pPr>
              <w:pStyle w:val="ListParagraph"/>
              <w:spacing w:before="0"/>
              <w:rPr>
                <w:sz w:val="16"/>
              </w:rPr>
            </w:pPr>
          </w:p>
          <w:p w:rsidR="00A70DF2" w:rsidRDefault="00A70DF2" w:rsidP="00696085">
            <w:pPr>
              <w:pStyle w:val="ListParagraph"/>
              <w:numPr>
                <w:ilvl w:val="0"/>
                <w:numId w:val="25"/>
              </w:numPr>
              <w:spacing w:before="0"/>
              <w:ind w:left="360"/>
              <w:rPr>
                <w:sz w:val="16"/>
              </w:rPr>
            </w:pPr>
            <w:r>
              <w:rPr>
                <w:sz w:val="16"/>
              </w:rPr>
              <w:t>89.1% - note this result reflects participant behaviour and choices</w:t>
            </w:r>
            <w:r w:rsidR="00F23EC5">
              <w:rPr>
                <w:sz w:val="16"/>
              </w:rPr>
              <w:t>,</w:t>
            </w:r>
            <w:r>
              <w:rPr>
                <w:sz w:val="16"/>
              </w:rPr>
              <w:t xml:space="preserve"> e</w:t>
            </w:r>
            <w:r w:rsidR="00F23EC5">
              <w:rPr>
                <w:sz w:val="16"/>
              </w:rPr>
              <w:t>.</w:t>
            </w:r>
            <w:r>
              <w:rPr>
                <w:sz w:val="16"/>
              </w:rPr>
              <w:t>g</w:t>
            </w:r>
            <w:r w:rsidR="00F23EC5">
              <w:rPr>
                <w:sz w:val="16"/>
              </w:rPr>
              <w:t xml:space="preserve">. </w:t>
            </w:r>
            <w:r>
              <w:rPr>
                <w:sz w:val="16"/>
              </w:rPr>
              <w:t xml:space="preserve">the denominator includes participants who decide to have their colonoscopy in </w:t>
            </w:r>
            <w:r w:rsidR="00F23EC5">
              <w:rPr>
                <w:sz w:val="16"/>
              </w:rPr>
              <w:t xml:space="preserve">the </w:t>
            </w:r>
            <w:r>
              <w:rPr>
                <w:sz w:val="16"/>
              </w:rPr>
              <w:t xml:space="preserve">private sector. </w:t>
            </w:r>
          </w:p>
          <w:p w:rsidR="00A70DF2" w:rsidRDefault="00A70DF2">
            <w:pPr>
              <w:spacing w:before="0"/>
              <w:rPr>
                <w:sz w:val="16"/>
              </w:rPr>
            </w:pPr>
          </w:p>
          <w:p w:rsidR="00A70DF2" w:rsidRDefault="00A70DF2" w:rsidP="00696085">
            <w:pPr>
              <w:pStyle w:val="ListParagraph"/>
              <w:numPr>
                <w:ilvl w:val="0"/>
                <w:numId w:val="25"/>
              </w:numPr>
              <w:spacing w:before="0"/>
              <w:ind w:left="360"/>
              <w:rPr>
                <w:sz w:val="16"/>
              </w:rPr>
            </w:pPr>
            <w:r>
              <w:rPr>
                <w:sz w:val="16"/>
              </w:rPr>
              <w:t>Yes, documented on the system</w:t>
            </w:r>
            <w:r w:rsidR="00F23EC5">
              <w:rPr>
                <w:sz w:val="16"/>
              </w:rPr>
              <w:t>.</w:t>
            </w:r>
          </w:p>
          <w:p w:rsidR="00A70DF2" w:rsidRDefault="00A70DF2">
            <w:pPr>
              <w:pStyle w:val="ListParagraph"/>
              <w:spacing w:before="0"/>
              <w:ind w:left="360"/>
              <w:rPr>
                <w:sz w:val="16"/>
              </w:rPr>
            </w:pPr>
          </w:p>
          <w:p w:rsidR="00A70DF2" w:rsidRDefault="00A70DF2" w:rsidP="002E41E5">
            <w:pPr>
              <w:spacing w:before="0"/>
              <w:ind w:left="0"/>
              <w:rPr>
                <w:sz w:val="16"/>
              </w:rPr>
            </w:pPr>
          </w:p>
          <w:p w:rsidR="00A70DF2" w:rsidRDefault="00A70DF2">
            <w:pPr>
              <w:spacing w:before="0"/>
              <w:rPr>
                <w:sz w:val="16"/>
              </w:rPr>
            </w:pPr>
          </w:p>
          <w:p w:rsidR="00BC4713" w:rsidRDefault="00BC4713">
            <w:pPr>
              <w:spacing w:before="0"/>
              <w:rPr>
                <w:sz w:val="16"/>
              </w:rPr>
            </w:pPr>
          </w:p>
          <w:p w:rsidR="00A70DF2" w:rsidRDefault="00A70DF2" w:rsidP="00696085">
            <w:pPr>
              <w:pStyle w:val="ListParagraph"/>
              <w:numPr>
                <w:ilvl w:val="0"/>
                <w:numId w:val="25"/>
              </w:numPr>
              <w:spacing w:before="0"/>
              <w:ind w:left="360"/>
              <w:rPr>
                <w:sz w:val="16"/>
              </w:rPr>
            </w:pPr>
            <w:r>
              <w:rPr>
                <w:sz w:val="16"/>
              </w:rPr>
              <w:t>97% rated very good or good ‘provide clear information to prepare you for your colonoscopy’</w:t>
            </w:r>
            <w:r w:rsidR="00F23EC5">
              <w:rPr>
                <w:sz w:val="16"/>
              </w:rPr>
              <w:t>.</w:t>
            </w:r>
          </w:p>
          <w:p w:rsidR="00A70DF2" w:rsidRDefault="00A70DF2">
            <w:pPr>
              <w:spacing w:before="0"/>
              <w:rPr>
                <w:sz w:val="16"/>
              </w:rPr>
            </w:pPr>
          </w:p>
          <w:p w:rsidR="00BC4713" w:rsidRDefault="00BC4713">
            <w:pPr>
              <w:spacing w:before="0"/>
              <w:rPr>
                <w:sz w:val="16"/>
              </w:rPr>
            </w:pPr>
          </w:p>
          <w:p w:rsidR="00A70DF2" w:rsidRDefault="00A70DF2" w:rsidP="00696085">
            <w:pPr>
              <w:pStyle w:val="ListParagraph"/>
              <w:numPr>
                <w:ilvl w:val="0"/>
                <w:numId w:val="23"/>
              </w:numPr>
              <w:spacing w:before="0"/>
              <w:ind w:left="360"/>
              <w:rPr>
                <w:sz w:val="16"/>
              </w:rPr>
            </w:pPr>
            <w:r>
              <w:rPr>
                <w:sz w:val="16"/>
              </w:rPr>
              <w:t>Covered above</w:t>
            </w:r>
            <w:r w:rsidR="00F23EC5">
              <w:rPr>
                <w:sz w:val="16"/>
              </w:rPr>
              <w:t>.</w:t>
            </w: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A70DF2" w:rsidRDefault="00A70DF2" w:rsidP="00696085">
            <w:pPr>
              <w:pStyle w:val="ListParagraph"/>
              <w:numPr>
                <w:ilvl w:val="0"/>
                <w:numId w:val="25"/>
              </w:numPr>
              <w:spacing w:before="0"/>
              <w:ind w:left="360"/>
              <w:rPr>
                <w:sz w:val="16"/>
              </w:rPr>
            </w:pPr>
            <w:r>
              <w:rPr>
                <w:sz w:val="16"/>
              </w:rPr>
              <w:t>Commences in 2014</w:t>
            </w:r>
            <w:r w:rsidR="00F23EC5">
              <w:rPr>
                <w:sz w:val="16"/>
              </w:rPr>
              <w:t>.</w:t>
            </w:r>
          </w:p>
          <w:p w:rsidR="00A70DF2" w:rsidRDefault="00A70DF2">
            <w:pPr>
              <w:spacing w:before="0"/>
              <w:rPr>
                <w:sz w:val="16"/>
              </w:rPr>
            </w:pPr>
          </w:p>
        </w:tc>
      </w:tr>
      <w:tr w:rsidR="00A70DF2" w:rsidTr="002E41E5">
        <w:trPr>
          <w:cantSplit/>
          <w:trHeight w:val="350"/>
        </w:trPr>
        <w:tc>
          <w:tcPr>
            <w:tcW w:w="708" w:type="dxa"/>
            <w:tcBorders>
              <w:top w:val="single" w:sz="4" w:space="0" w:color="000000"/>
              <w:left w:val="single" w:sz="4" w:space="0" w:color="auto"/>
              <w:bottom w:val="single" w:sz="4" w:space="0" w:color="auto"/>
              <w:right w:val="single" w:sz="4" w:space="0" w:color="auto"/>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7</w:t>
            </w:r>
          </w:p>
        </w:tc>
        <w:tc>
          <w:tcPr>
            <w:tcW w:w="1135" w:type="dxa"/>
            <w:tcBorders>
              <w:top w:val="single" w:sz="4" w:space="0" w:color="000000"/>
              <w:left w:val="single" w:sz="4" w:space="0" w:color="auto"/>
              <w:bottom w:val="single" w:sz="4" w:space="0" w:color="auto"/>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Colonoscopy</w:t>
            </w:r>
          </w:p>
          <w:p w:rsidR="00A70DF2" w:rsidRDefault="00A70DF2">
            <w:pPr>
              <w:spacing w:before="0"/>
              <w:ind w:left="0"/>
              <w:rPr>
                <w:sz w:val="16"/>
              </w:rPr>
            </w:pPr>
            <w:r>
              <w:rPr>
                <w:sz w:val="16"/>
              </w:rPr>
              <w:t>QS 7</w:t>
            </w:r>
          </w:p>
        </w:tc>
        <w:tc>
          <w:tcPr>
            <w:tcW w:w="3966" w:type="dxa"/>
            <w:tcBorders>
              <w:top w:val="single" w:sz="4" w:space="0" w:color="000000"/>
              <w:left w:val="single" w:sz="4" w:space="0" w:color="000000"/>
              <w:bottom w:val="single" w:sz="4" w:space="0" w:color="auto"/>
              <w:right w:val="single" w:sz="4" w:space="0" w:color="auto"/>
            </w:tcBorders>
            <w:shd w:val="clear" w:color="auto" w:fill="FFFFFF"/>
            <w:tcMar>
              <w:top w:w="80" w:type="dxa"/>
              <w:left w:w="0" w:type="dxa"/>
              <w:bottom w:w="80" w:type="dxa"/>
              <w:right w:w="0" w:type="dxa"/>
            </w:tcMar>
          </w:tcPr>
          <w:p w:rsidR="00A70DF2" w:rsidRDefault="00A70DF2" w:rsidP="00696085">
            <w:pPr>
              <w:pStyle w:val="ListParagraph"/>
              <w:numPr>
                <w:ilvl w:val="0"/>
                <w:numId w:val="23"/>
              </w:numPr>
              <w:spacing w:before="0"/>
              <w:ind w:left="360"/>
              <w:rPr>
                <w:sz w:val="16"/>
              </w:rPr>
            </w:pPr>
            <w:r>
              <w:rPr>
                <w:sz w:val="16"/>
              </w:rPr>
              <w:t>In at least 95% of cases, the interval between the pre-assessment appointment and the first date offered for colonoscopy is within 15 working days.</w:t>
            </w:r>
          </w:p>
          <w:p w:rsidR="00A70DF2" w:rsidRDefault="00A70DF2">
            <w:pPr>
              <w:spacing w:before="0"/>
              <w:ind w:left="0"/>
              <w:rPr>
                <w:sz w:val="16"/>
              </w:rPr>
            </w:pPr>
          </w:p>
          <w:p w:rsidR="00A70DF2" w:rsidRDefault="00A70DF2" w:rsidP="00696085">
            <w:pPr>
              <w:pStyle w:val="ListParagraph"/>
              <w:numPr>
                <w:ilvl w:val="0"/>
                <w:numId w:val="23"/>
              </w:numPr>
              <w:spacing w:before="0"/>
              <w:ind w:left="360"/>
              <w:rPr>
                <w:sz w:val="16"/>
              </w:rPr>
            </w:pPr>
            <w:r>
              <w:rPr>
                <w:sz w:val="16"/>
              </w:rPr>
              <w:t>In at least 50% of cases, the interval between the notification (of the positive screening result and the date colonoscopy is completed is within 25 working days (5 weeks). In at least 95% of cases, the interval between the notification of the positive screening result and the date colonoscopy is completed is within 55 working days (11 weeks).</w:t>
            </w:r>
          </w:p>
          <w:p w:rsidR="00A70DF2" w:rsidRDefault="00A70DF2">
            <w:pPr>
              <w:spacing w:before="0"/>
              <w:ind w:left="0"/>
              <w:rPr>
                <w:sz w:val="16"/>
              </w:rPr>
            </w:pPr>
          </w:p>
          <w:p w:rsidR="00A70DF2" w:rsidRDefault="00A70DF2" w:rsidP="00696085">
            <w:pPr>
              <w:pStyle w:val="ListParagraph"/>
              <w:numPr>
                <w:ilvl w:val="0"/>
                <w:numId w:val="23"/>
              </w:numPr>
              <w:spacing w:before="0"/>
              <w:ind w:left="360"/>
              <w:rPr>
                <w:sz w:val="16"/>
              </w:rPr>
            </w:pPr>
            <w:r>
              <w:rPr>
                <w:sz w:val="16"/>
              </w:rPr>
              <w:t xml:space="preserve">100% of screening colonoscopy outcomes site </w:t>
            </w:r>
            <w:proofErr w:type="gramStart"/>
            <w:r>
              <w:rPr>
                <w:sz w:val="16"/>
              </w:rPr>
              <w:t>are</w:t>
            </w:r>
            <w:proofErr w:type="gramEnd"/>
            <w:r>
              <w:rPr>
                <w:sz w:val="16"/>
              </w:rPr>
              <w:t xml:space="preserve"> reported in the BSP IT system.</w:t>
            </w:r>
          </w:p>
          <w:p w:rsidR="00A70DF2" w:rsidRDefault="00A70DF2">
            <w:pPr>
              <w:spacing w:before="0"/>
              <w:ind w:left="0"/>
              <w:rPr>
                <w:sz w:val="16"/>
              </w:rPr>
            </w:pPr>
          </w:p>
          <w:p w:rsidR="00A70DF2" w:rsidRDefault="00A70DF2" w:rsidP="00696085">
            <w:pPr>
              <w:pStyle w:val="ListParagraph"/>
              <w:numPr>
                <w:ilvl w:val="0"/>
                <w:numId w:val="23"/>
              </w:numPr>
              <w:spacing w:before="0"/>
              <w:ind w:left="360"/>
              <w:rPr>
                <w:sz w:val="16"/>
              </w:rPr>
            </w:pPr>
            <w:r>
              <w:rPr>
                <w:sz w:val="16"/>
              </w:rPr>
              <w:t xml:space="preserve">100% of screening colonoscopy results (excluding histopathology) </w:t>
            </w:r>
            <w:proofErr w:type="gramStart"/>
            <w:r>
              <w:rPr>
                <w:sz w:val="16"/>
              </w:rPr>
              <w:t>are</w:t>
            </w:r>
            <w:proofErr w:type="gramEnd"/>
            <w:r>
              <w:rPr>
                <w:sz w:val="16"/>
              </w:rPr>
              <w:t xml:space="preserve"> reported within 5 working days after the procedure to the participants nominated GP and to the CC.</w:t>
            </w:r>
          </w:p>
          <w:p w:rsidR="00A70DF2" w:rsidRDefault="00A70DF2">
            <w:pPr>
              <w:spacing w:before="0"/>
              <w:ind w:left="0"/>
              <w:rPr>
                <w:sz w:val="16"/>
              </w:rPr>
            </w:pPr>
          </w:p>
          <w:p w:rsidR="00A70DF2" w:rsidRDefault="00A70DF2" w:rsidP="00696085">
            <w:pPr>
              <w:pStyle w:val="ListParagraph"/>
              <w:numPr>
                <w:ilvl w:val="0"/>
                <w:numId w:val="23"/>
              </w:numPr>
              <w:spacing w:before="0"/>
              <w:ind w:left="360"/>
              <w:rPr>
                <w:sz w:val="16"/>
              </w:rPr>
            </w:pPr>
            <w:r>
              <w:rPr>
                <w:sz w:val="16"/>
              </w:rPr>
              <w:t>100% of participants will receive the results of all colonoscopy investigations (including histopathology) within 20 working days of the final procedure.</w:t>
            </w:r>
          </w:p>
        </w:tc>
        <w:tc>
          <w:tcPr>
            <w:tcW w:w="3401" w:type="dxa"/>
            <w:tcBorders>
              <w:top w:val="single" w:sz="4" w:space="0" w:color="000000"/>
              <w:left w:val="single" w:sz="4" w:space="0" w:color="000000"/>
              <w:bottom w:val="single" w:sz="4" w:space="0" w:color="auto"/>
              <w:right w:val="single" w:sz="4" w:space="0" w:color="auto"/>
            </w:tcBorders>
            <w:shd w:val="clear" w:color="auto" w:fill="FFFFFF"/>
          </w:tcPr>
          <w:p w:rsidR="00A70DF2" w:rsidRDefault="00A70DF2" w:rsidP="00696085">
            <w:pPr>
              <w:pStyle w:val="ListParagraph"/>
              <w:numPr>
                <w:ilvl w:val="0"/>
                <w:numId w:val="25"/>
              </w:numPr>
              <w:spacing w:before="0"/>
              <w:ind w:left="360"/>
              <w:rPr>
                <w:sz w:val="16"/>
              </w:rPr>
            </w:pPr>
            <w:r>
              <w:rPr>
                <w:sz w:val="16"/>
              </w:rPr>
              <w:t>100% - There is no interval because the date is offered at the time of the pre-assessment.</w:t>
            </w:r>
          </w:p>
          <w:p w:rsidR="00A70DF2" w:rsidRDefault="00A70DF2">
            <w:pPr>
              <w:spacing w:before="0"/>
              <w:rPr>
                <w:sz w:val="16"/>
              </w:rPr>
            </w:pPr>
          </w:p>
          <w:p w:rsidR="00A70DF2" w:rsidRDefault="00A70DF2" w:rsidP="00696085">
            <w:pPr>
              <w:pStyle w:val="ListParagraph"/>
              <w:numPr>
                <w:ilvl w:val="0"/>
                <w:numId w:val="25"/>
              </w:numPr>
              <w:spacing w:before="0"/>
              <w:ind w:left="360"/>
              <w:rPr>
                <w:sz w:val="16"/>
              </w:rPr>
            </w:pPr>
            <w:r>
              <w:rPr>
                <w:rFonts w:cs="Arial"/>
                <w:sz w:val="16"/>
                <w:szCs w:val="16"/>
                <w:lang w:eastAsia="en-NZ"/>
              </w:rPr>
              <w:t>44.2% at 5 week</w:t>
            </w:r>
            <w:r w:rsidR="00F23EC5">
              <w:rPr>
                <w:rFonts w:cs="Arial"/>
                <w:sz w:val="16"/>
                <w:szCs w:val="16"/>
                <w:lang w:eastAsia="en-NZ"/>
              </w:rPr>
              <w:t>s.</w:t>
            </w:r>
            <w:r>
              <w:rPr>
                <w:rFonts w:cs="Arial"/>
                <w:sz w:val="16"/>
                <w:szCs w:val="16"/>
                <w:lang w:eastAsia="en-NZ"/>
              </w:rPr>
              <w:t xml:space="preserve"> </w:t>
            </w:r>
          </w:p>
          <w:p w:rsidR="00A70DF2" w:rsidRDefault="00A70DF2" w:rsidP="00696085">
            <w:pPr>
              <w:pStyle w:val="ListParagraph"/>
              <w:numPr>
                <w:ilvl w:val="0"/>
                <w:numId w:val="25"/>
              </w:numPr>
              <w:spacing w:before="0"/>
              <w:ind w:left="360"/>
              <w:rPr>
                <w:sz w:val="16"/>
              </w:rPr>
            </w:pPr>
            <w:r>
              <w:rPr>
                <w:rFonts w:cs="Arial"/>
                <w:sz w:val="16"/>
                <w:szCs w:val="16"/>
                <w:lang w:eastAsia="en-NZ"/>
              </w:rPr>
              <w:t>97.8% at 11 weeks</w:t>
            </w:r>
            <w:r w:rsidR="00F23EC5">
              <w:rPr>
                <w:rFonts w:cs="Arial"/>
                <w:sz w:val="16"/>
                <w:szCs w:val="16"/>
                <w:lang w:eastAsia="en-NZ"/>
              </w:rPr>
              <w:t>.</w:t>
            </w: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A70DF2" w:rsidRDefault="00A70DF2" w:rsidP="00696085">
            <w:pPr>
              <w:pStyle w:val="ListParagraph"/>
              <w:numPr>
                <w:ilvl w:val="0"/>
                <w:numId w:val="25"/>
              </w:numPr>
              <w:spacing w:before="0"/>
              <w:ind w:left="360"/>
              <w:rPr>
                <w:sz w:val="16"/>
              </w:rPr>
            </w:pPr>
            <w:r>
              <w:rPr>
                <w:rFonts w:cs="Arial"/>
                <w:sz w:val="16"/>
                <w:szCs w:val="16"/>
                <w:lang w:eastAsia="en-NZ"/>
              </w:rPr>
              <w:t>100%</w:t>
            </w:r>
            <w:r w:rsidR="00F23EC5">
              <w:rPr>
                <w:rFonts w:cs="Arial"/>
                <w:sz w:val="16"/>
                <w:szCs w:val="16"/>
                <w:lang w:eastAsia="en-NZ"/>
              </w:rPr>
              <w:t>.</w:t>
            </w:r>
            <w:r>
              <w:rPr>
                <w:rFonts w:cs="Arial"/>
                <w:sz w:val="16"/>
                <w:szCs w:val="16"/>
                <w:lang w:eastAsia="en-NZ"/>
              </w:rPr>
              <w:t xml:space="preserve"> </w:t>
            </w:r>
          </w:p>
          <w:p w:rsidR="00A70DF2" w:rsidRDefault="00A70DF2">
            <w:pPr>
              <w:pStyle w:val="ListParagraph"/>
              <w:spacing w:before="0"/>
              <w:ind w:left="360"/>
              <w:rPr>
                <w:sz w:val="16"/>
              </w:rPr>
            </w:pPr>
          </w:p>
          <w:p w:rsidR="00A70DF2" w:rsidRDefault="00A70DF2">
            <w:pPr>
              <w:pStyle w:val="ListParagraph"/>
              <w:spacing w:before="0"/>
              <w:ind w:left="360"/>
              <w:rPr>
                <w:sz w:val="16"/>
              </w:rPr>
            </w:pPr>
          </w:p>
          <w:p w:rsidR="00A70DF2" w:rsidRDefault="00A70DF2" w:rsidP="00696085">
            <w:pPr>
              <w:pStyle w:val="ListParagraph"/>
              <w:numPr>
                <w:ilvl w:val="0"/>
                <w:numId w:val="25"/>
              </w:numPr>
              <w:spacing w:before="0"/>
              <w:ind w:left="360"/>
              <w:rPr>
                <w:sz w:val="16"/>
              </w:rPr>
            </w:pPr>
            <w:r>
              <w:rPr>
                <w:sz w:val="16"/>
              </w:rPr>
              <w:t>100% - Participant receives the procedure report to take home on the day and also on the same day it is put in the mail to the GP</w:t>
            </w:r>
            <w:r w:rsidR="00F23EC5">
              <w:rPr>
                <w:sz w:val="16"/>
              </w:rPr>
              <w:t>.</w:t>
            </w:r>
          </w:p>
          <w:p w:rsidR="00A70DF2" w:rsidRDefault="00A70DF2">
            <w:pPr>
              <w:spacing w:before="0"/>
              <w:rPr>
                <w:sz w:val="16"/>
              </w:rPr>
            </w:pPr>
          </w:p>
          <w:p w:rsidR="00A70DF2" w:rsidRDefault="00A70DF2" w:rsidP="00696085">
            <w:pPr>
              <w:pStyle w:val="ListParagraph"/>
              <w:numPr>
                <w:ilvl w:val="0"/>
                <w:numId w:val="25"/>
              </w:numPr>
              <w:spacing w:before="0"/>
              <w:ind w:left="360"/>
              <w:rPr>
                <w:sz w:val="16"/>
              </w:rPr>
            </w:pPr>
            <w:r>
              <w:rPr>
                <w:sz w:val="16"/>
              </w:rPr>
              <w:t>Difficult to calculate as result letter not generated from BSP system.  Estimated at 98%.</w:t>
            </w:r>
          </w:p>
          <w:p w:rsidR="00A70DF2" w:rsidRDefault="00A70DF2">
            <w:pPr>
              <w:spacing w:before="0"/>
              <w:rPr>
                <w:sz w:val="16"/>
              </w:rPr>
            </w:pPr>
          </w:p>
        </w:tc>
      </w:tr>
      <w:tr w:rsidR="00A70DF2" w:rsidTr="002E41E5">
        <w:trPr>
          <w:cantSplit/>
          <w:trHeight w:val="350"/>
        </w:trPr>
        <w:tc>
          <w:tcPr>
            <w:tcW w:w="708" w:type="dxa"/>
            <w:tcBorders>
              <w:top w:val="single" w:sz="4" w:space="0" w:color="auto"/>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lastRenderedPageBreak/>
              <w:t>8</w:t>
            </w:r>
          </w:p>
        </w:tc>
        <w:tc>
          <w:tcPr>
            <w:tcW w:w="1135" w:type="dxa"/>
            <w:tcBorders>
              <w:top w:val="single" w:sz="4" w:space="0" w:color="auto"/>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Colonoscopy Procedure</w:t>
            </w:r>
          </w:p>
          <w:p w:rsidR="00A70DF2" w:rsidRDefault="00A70DF2">
            <w:pPr>
              <w:spacing w:before="0"/>
              <w:ind w:left="0"/>
              <w:rPr>
                <w:sz w:val="16"/>
              </w:rPr>
            </w:pPr>
            <w:r>
              <w:rPr>
                <w:sz w:val="16"/>
              </w:rPr>
              <w:t>QS 7</w:t>
            </w:r>
          </w:p>
        </w:tc>
        <w:tc>
          <w:tcPr>
            <w:tcW w:w="3966" w:type="dxa"/>
            <w:tcBorders>
              <w:top w:val="single" w:sz="4" w:space="0" w:color="auto"/>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70DF2" w:rsidRDefault="00A70DF2" w:rsidP="00696085">
            <w:pPr>
              <w:pStyle w:val="ListParagraph"/>
              <w:numPr>
                <w:ilvl w:val="0"/>
                <w:numId w:val="26"/>
              </w:numPr>
              <w:spacing w:before="0"/>
              <w:ind w:left="360"/>
              <w:rPr>
                <w:sz w:val="16"/>
              </w:rPr>
            </w:pPr>
            <w:r>
              <w:rPr>
                <w:sz w:val="16"/>
              </w:rPr>
              <w:t xml:space="preserve">All colonoscopists working in </w:t>
            </w:r>
            <w:r w:rsidR="00BC4713">
              <w:rPr>
                <w:sz w:val="16"/>
              </w:rPr>
              <w:t xml:space="preserve">the </w:t>
            </w:r>
            <w:r>
              <w:rPr>
                <w:sz w:val="16"/>
              </w:rPr>
              <w:t>BSP are approved to work in the programme by the BSP Endoscopy Lead.</w:t>
            </w:r>
          </w:p>
          <w:p w:rsidR="00BC4713" w:rsidRPr="00C42EF2" w:rsidRDefault="00BC4713" w:rsidP="00C42EF2">
            <w:pPr>
              <w:spacing w:before="0"/>
              <w:ind w:left="0"/>
              <w:rPr>
                <w:sz w:val="16"/>
              </w:rPr>
            </w:pPr>
          </w:p>
          <w:p w:rsidR="00A70DF2" w:rsidRDefault="00A70DF2" w:rsidP="00696085">
            <w:pPr>
              <w:pStyle w:val="ListParagraph"/>
              <w:numPr>
                <w:ilvl w:val="0"/>
                <w:numId w:val="26"/>
              </w:numPr>
              <w:spacing w:before="0"/>
              <w:ind w:left="360"/>
              <w:rPr>
                <w:sz w:val="16"/>
              </w:rPr>
            </w:pPr>
            <w:r>
              <w:rPr>
                <w:sz w:val="16"/>
              </w:rPr>
              <w:t>The minimum standards for performance of colonoscopy are met and reviewed three monthly by the Lead Endoscopist. These records are available for external audit as de-identified data.</w:t>
            </w:r>
          </w:p>
          <w:p w:rsidR="00A70DF2" w:rsidRDefault="00A70DF2">
            <w:pPr>
              <w:spacing w:before="0"/>
              <w:ind w:left="360"/>
              <w:rPr>
                <w:sz w:val="16"/>
              </w:rPr>
            </w:pPr>
            <w:r>
              <w:rPr>
                <w:sz w:val="16"/>
              </w:rPr>
              <w:t>Minimum Standards for performance of colonoscopy are:</w:t>
            </w:r>
          </w:p>
          <w:p w:rsidR="00A70DF2" w:rsidRDefault="00A70DF2" w:rsidP="00696085">
            <w:pPr>
              <w:pStyle w:val="ListParagraph"/>
              <w:numPr>
                <w:ilvl w:val="0"/>
                <w:numId w:val="27"/>
              </w:numPr>
              <w:spacing w:before="0"/>
              <w:ind w:left="720"/>
              <w:rPr>
                <w:sz w:val="16"/>
              </w:rPr>
            </w:pPr>
            <w:r>
              <w:rPr>
                <w:sz w:val="16"/>
              </w:rPr>
              <w:t>The caecal intubation rate for each proceduralist is 95% or greater for screening patients.</w:t>
            </w:r>
          </w:p>
          <w:p w:rsidR="00A70DF2" w:rsidRDefault="00A70DF2" w:rsidP="00696085">
            <w:pPr>
              <w:pStyle w:val="ListParagraph"/>
              <w:numPr>
                <w:ilvl w:val="0"/>
                <w:numId w:val="27"/>
              </w:numPr>
              <w:spacing w:before="0"/>
              <w:ind w:left="720"/>
              <w:rPr>
                <w:sz w:val="16"/>
              </w:rPr>
            </w:pPr>
            <w:r>
              <w:rPr>
                <w:sz w:val="16"/>
              </w:rPr>
              <w:t>The mean colonoscope withdrawal time from the caecum is 6 minutes or greater for procedures where no polypectomy performed.</w:t>
            </w:r>
          </w:p>
          <w:p w:rsidR="00A70DF2" w:rsidRDefault="00A70DF2" w:rsidP="00696085">
            <w:pPr>
              <w:pStyle w:val="ListParagraph"/>
              <w:numPr>
                <w:ilvl w:val="0"/>
                <w:numId w:val="27"/>
              </w:numPr>
              <w:spacing w:before="0"/>
              <w:ind w:left="720"/>
              <w:rPr>
                <w:sz w:val="16"/>
              </w:rPr>
            </w:pPr>
            <w:r>
              <w:rPr>
                <w:sz w:val="16"/>
              </w:rPr>
              <w:t xml:space="preserve">The polyp detection rate for each proceduralist is in line with the average polyp detection rate being documented in participants proceeding to colonoscopy within the WDHB </w:t>
            </w:r>
            <w:r w:rsidR="007D48EE">
              <w:rPr>
                <w:sz w:val="16"/>
              </w:rPr>
              <w:t>BSP</w:t>
            </w:r>
            <w:r w:rsidR="00F23EC5">
              <w:rPr>
                <w:sz w:val="16"/>
              </w:rPr>
              <w:t>.</w:t>
            </w:r>
          </w:p>
          <w:p w:rsidR="00A70DF2" w:rsidRDefault="00A70DF2">
            <w:pPr>
              <w:pStyle w:val="ListParagraph"/>
              <w:spacing w:before="0"/>
              <w:ind w:left="1080"/>
              <w:rPr>
                <w:sz w:val="16"/>
              </w:rPr>
            </w:pPr>
          </w:p>
          <w:p w:rsidR="00A70DF2" w:rsidRDefault="00A70DF2">
            <w:pPr>
              <w:pStyle w:val="ListParagraph"/>
              <w:spacing w:before="0"/>
              <w:ind w:left="1080"/>
              <w:rPr>
                <w:sz w:val="16"/>
              </w:rPr>
            </w:pPr>
          </w:p>
          <w:p w:rsidR="00A70DF2" w:rsidRDefault="00A70DF2">
            <w:pPr>
              <w:pStyle w:val="ListParagraph"/>
              <w:spacing w:before="0"/>
              <w:ind w:left="1080"/>
              <w:rPr>
                <w:sz w:val="16"/>
              </w:rPr>
            </w:pPr>
          </w:p>
          <w:p w:rsidR="00A70DF2" w:rsidRDefault="00A70DF2" w:rsidP="00696085">
            <w:pPr>
              <w:pStyle w:val="ListParagraph"/>
              <w:numPr>
                <w:ilvl w:val="0"/>
                <w:numId w:val="27"/>
              </w:numPr>
              <w:spacing w:before="0"/>
              <w:ind w:left="360"/>
              <w:rPr>
                <w:sz w:val="16"/>
              </w:rPr>
            </w:pPr>
            <w:r>
              <w:rPr>
                <w:sz w:val="16"/>
              </w:rPr>
              <w:t xml:space="preserve">The Adenoma detection rate for each proceduralist performing colonoscopy within the </w:t>
            </w:r>
            <w:r w:rsidR="007D48EE">
              <w:rPr>
                <w:sz w:val="16"/>
              </w:rPr>
              <w:t>BSP</w:t>
            </w:r>
            <w:r>
              <w:rPr>
                <w:sz w:val="16"/>
              </w:rPr>
              <w:t xml:space="preserve"> should be ≥ than 35% of screening colonoscopies</w:t>
            </w:r>
            <w:r w:rsidR="00F23EC5">
              <w:rPr>
                <w:sz w:val="16"/>
              </w:rPr>
              <w:t>.</w:t>
            </w:r>
          </w:p>
          <w:p w:rsidR="00A70DF2" w:rsidRDefault="00A70DF2">
            <w:pPr>
              <w:pStyle w:val="ListParagraph"/>
              <w:spacing w:before="0"/>
              <w:rPr>
                <w:sz w:val="16"/>
              </w:rPr>
            </w:pPr>
            <w:r>
              <w:rPr>
                <w:sz w:val="16"/>
              </w:rPr>
              <w:t xml:space="preserve"> </w:t>
            </w:r>
          </w:p>
          <w:p w:rsidR="00A70DF2" w:rsidRDefault="00A70DF2" w:rsidP="00696085">
            <w:pPr>
              <w:pStyle w:val="ListParagraph"/>
              <w:numPr>
                <w:ilvl w:val="0"/>
                <w:numId w:val="27"/>
              </w:numPr>
              <w:spacing w:before="0"/>
              <w:ind w:left="360"/>
              <w:rPr>
                <w:sz w:val="16"/>
              </w:rPr>
            </w:pPr>
            <w:r>
              <w:rPr>
                <w:sz w:val="16"/>
              </w:rPr>
              <w:t>The rate of polyp recovery for pathological examination for each proceduralist is more than 95% for polyps &gt; 5mm.</w:t>
            </w:r>
          </w:p>
          <w:p w:rsidR="00A70DF2" w:rsidRDefault="00A70DF2">
            <w:pPr>
              <w:pStyle w:val="ListParagraph"/>
              <w:spacing w:before="0"/>
              <w:ind w:left="0"/>
              <w:rPr>
                <w:sz w:val="16"/>
              </w:rPr>
            </w:pPr>
          </w:p>
          <w:p w:rsidR="00A70DF2" w:rsidRDefault="00A70DF2" w:rsidP="00696085">
            <w:pPr>
              <w:pStyle w:val="ListParagraph"/>
              <w:numPr>
                <w:ilvl w:val="0"/>
                <w:numId w:val="28"/>
              </w:numPr>
              <w:spacing w:before="0"/>
              <w:ind w:left="360"/>
              <w:rPr>
                <w:sz w:val="16"/>
              </w:rPr>
            </w:pPr>
            <w:r>
              <w:rPr>
                <w:sz w:val="16"/>
              </w:rPr>
              <w:t xml:space="preserve">All colonoscopists working in BSP receive performance feedback from the BSP Endoscopy Lead and these records are available for external audit as de-identified data. </w:t>
            </w:r>
          </w:p>
          <w:p w:rsidR="00A70DF2" w:rsidRDefault="00A70DF2">
            <w:pPr>
              <w:pStyle w:val="ListParagraph"/>
              <w:spacing w:before="0"/>
              <w:ind w:left="360"/>
              <w:rPr>
                <w:sz w:val="16"/>
              </w:rPr>
            </w:pPr>
          </w:p>
          <w:p w:rsidR="00A70DF2" w:rsidRDefault="00A70DF2" w:rsidP="00696085">
            <w:pPr>
              <w:pStyle w:val="ListParagraph"/>
              <w:numPr>
                <w:ilvl w:val="0"/>
                <w:numId w:val="28"/>
              </w:numPr>
              <w:spacing w:before="0"/>
              <w:ind w:left="360"/>
              <w:rPr>
                <w:sz w:val="16"/>
              </w:rPr>
            </w:pPr>
            <w:r>
              <w:rPr>
                <w:sz w:val="16"/>
              </w:rPr>
              <w:t xml:space="preserve">100% of screening colonoscopy results </w:t>
            </w:r>
            <w:proofErr w:type="gramStart"/>
            <w:r>
              <w:rPr>
                <w:sz w:val="16"/>
              </w:rPr>
              <w:t>are</w:t>
            </w:r>
            <w:proofErr w:type="gramEnd"/>
            <w:r>
              <w:rPr>
                <w:sz w:val="16"/>
              </w:rPr>
              <w:t xml:space="preserve"> reported in the BSP IT system</w:t>
            </w:r>
            <w:r w:rsidR="00F23EC5">
              <w:rPr>
                <w:sz w:val="16"/>
              </w:rPr>
              <w:t>.</w:t>
            </w:r>
          </w:p>
          <w:p w:rsidR="00A70DF2" w:rsidRDefault="00A70DF2">
            <w:pPr>
              <w:pStyle w:val="ListParagraph"/>
              <w:spacing w:before="0"/>
              <w:ind w:left="0"/>
              <w:rPr>
                <w:sz w:val="16"/>
              </w:rPr>
            </w:pPr>
          </w:p>
          <w:p w:rsidR="00A70DF2" w:rsidRDefault="00A70DF2" w:rsidP="00696085">
            <w:pPr>
              <w:pStyle w:val="ListParagraph"/>
              <w:numPr>
                <w:ilvl w:val="0"/>
                <w:numId w:val="28"/>
              </w:numPr>
              <w:spacing w:before="0"/>
              <w:ind w:left="360"/>
              <w:rPr>
                <w:sz w:val="16"/>
              </w:rPr>
            </w:pPr>
            <w:r>
              <w:rPr>
                <w:sz w:val="16"/>
              </w:rPr>
              <w:t>100% of screening colonoscopy results are reported within 5 working days after the procedure to the participant’s nominated GP and the BSP IT system</w:t>
            </w:r>
            <w:r w:rsidR="00F23EC5">
              <w:rPr>
                <w:sz w:val="16"/>
              </w:rPr>
              <w:t>.</w:t>
            </w:r>
          </w:p>
          <w:p w:rsidR="00A70DF2" w:rsidRDefault="00A70DF2">
            <w:pPr>
              <w:pStyle w:val="ListParagraph"/>
              <w:spacing w:before="0"/>
              <w:rPr>
                <w:sz w:val="16"/>
              </w:rPr>
            </w:pPr>
          </w:p>
          <w:p w:rsidR="00A70DF2" w:rsidRDefault="00A70DF2" w:rsidP="00696085">
            <w:pPr>
              <w:pStyle w:val="ListParagraph"/>
              <w:numPr>
                <w:ilvl w:val="0"/>
                <w:numId w:val="28"/>
              </w:numPr>
              <w:spacing w:before="0"/>
              <w:ind w:left="360"/>
              <w:rPr>
                <w:sz w:val="16"/>
              </w:rPr>
            </w:pPr>
            <w:r>
              <w:rPr>
                <w:sz w:val="16"/>
              </w:rPr>
              <w:t xml:space="preserve">All adverse events and hospital admissions within 30 days following performance of colonoscopy within the BSP are documented and appropriately reviewed at a minimum of monthly intervals. The severity categorisation, root cause analysis and information to be recorded as per the United Kingdom NHS Quality Assurance Guidelines for Colonoscopy. </w:t>
            </w:r>
          </w:p>
          <w:p w:rsidR="00A70DF2" w:rsidRDefault="00A70DF2">
            <w:pPr>
              <w:pStyle w:val="ListParagraph"/>
              <w:spacing w:before="0"/>
              <w:ind w:left="360"/>
              <w:rPr>
                <w:sz w:val="16"/>
              </w:rPr>
            </w:pPr>
          </w:p>
          <w:p w:rsidR="00A70DF2" w:rsidRDefault="00A70DF2" w:rsidP="00696085">
            <w:pPr>
              <w:pStyle w:val="ListParagraph"/>
              <w:numPr>
                <w:ilvl w:val="0"/>
                <w:numId w:val="28"/>
              </w:numPr>
              <w:spacing w:before="0"/>
              <w:ind w:left="360"/>
              <w:rPr>
                <w:sz w:val="16"/>
              </w:rPr>
            </w:pPr>
            <w:r>
              <w:rPr>
                <w:sz w:val="16"/>
              </w:rPr>
              <w:t>These records are available for external audit as de-identified data.</w:t>
            </w:r>
          </w:p>
          <w:p w:rsidR="00A70DF2" w:rsidRDefault="00A70DF2">
            <w:pPr>
              <w:pStyle w:val="ListParagraph"/>
              <w:spacing w:before="0"/>
              <w:ind w:left="360"/>
              <w:rPr>
                <w:sz w:val="16"/>
              </w:rPr>
            </w:pPr>
          </w:p>
          <w:p w:rsidR="00A70DF2" w:rsidRDefault="00A70DF2">
            <w:pPr>
              <w:spacing w:before="0"/>
              <w:ind w:left="0"/>
              <w:rPr>
                <w:sz w:val="16"/>
              </w:rPr>
            </w:pPr>
          </w:p>
          <w:p w:rsidR="00F82B92" w:rsidRDefault="00F82B92">
            <w:pPr>
              <w:spacing w:before="0"/>
              <w:ind w:left="0"/>
              <w:rPr>
                <w:sz w:val="16"/>
              </w:rPr>
            </w:pPr>
          </w:p>
          <w:p w:rsidR="00A70DF2" w:rsidRDefault="00A70DF2" w:rsidP="00696085">
            <w:pPr>
              <w:pStyle w:val="ListParagraph"/>
              <w:numPr>
                <w:ilvl w:val="0"/>
                <w:numId w:val="28"/>
              </w:numPr>
              <w:spacing w:before="0"/>
              <w:ind w:left="360"/>
              <w:rPr>
                <w:sz w:val="16"/>
              </w:rPr>
            </w:pPr>
            <w:r>
              <w:rPr>
                <w:sz w:val="16"/>
              </w:rPr>
              <w:t>The rate of intermediate or serious colonoscopic complications relating to perforation or bleeding requiring hospital admission within 30 days of performance of colonoscopy within the BSP shall be &lt;10:1000 colonoscopies ( this number is based on the fact that 70% of participants proceeding to colonoscopy in the WDHB Pilot have a lesion detected).</w:t>
            </w:r>
          </w:p>
        </w:tc>
        <w:tc>
          <w:tcPr>
            <w:tcW w:w="3401" w:type="dxa"/>
            <w:tcBorders>
              <w:top w:val="single" w:sz="4" w:space="0" w:color="auto"/>
              <w:left w:val="single" w:sz="4" w:space="0" w:color="000000"/>
              <w:bottom w:val="single" w:sz="4" w:space="0" w:color="000000"/>
              <w:right w:val="single" w:sz="4" w:space="0" w:color="000000"/>
            </w:tcBorders>
            <w:shd w:val="clear" w:color="auto" w:fill="FFFFFF"/>
          </w:tcPr>
          <w:p w:rsidR="00A70DF2" w:rsidRDefault="00A70DF2" w:rsidP="00696085">
            <w:pPr>
              <w:pStyle w:val="ListParagraph"/>
              <w:numPr>
                <w:ilvl w:val="0"/>
                <w:numId w:val="28"/>
              </w:numPr>
              <w:spacing w:before="0"/>
              <w:ind w:left="360"/>
              <w:rPr>
                <w:sz w:val="16"/>
              </w:rPr>
            </w:pPr>
            <w:r>
              <w:rPr>
                <w:sz w:val="16"/>
              </w:rPr>
              <w:t>Yes</w:t>
            </w:r>
            <w:r w:rsidR="00F23EC5">
              <w:rPr>
                <w:sz w:val="16"/>
              </w:rPr>
              <w:t>.</w:t>
            </w:r>
          </w:p>
          <w:p w:rsidR="00A70DF2" w:rsidRDefault="00A70DF2">
            <w:pPr>
              <w:spacing w:before="0"/>
              <w:rPr>
                <w:sz w:val="16"/>
              </w:rPr>
            </w:pPr>
          </w:p>
          <w:p w:rsidR="00A70DF2" w:rsidRDefault="00A70DF2">
            <w:pPr>
              <w:spacing w:before="0"/>
              <w:rPr>
                <w:sz w:val="16"/>
              </w:rPr>
            </w:pPr>
          </w:p>
          <w:p w:rsidR="00BC4713" w:rsidRDefault="00BC4713">
            <w:pPr>
              <w:spacing w:before="0"/>
              <w:rPr>
                <w:sz w:val="16"/>
              </w:rPr>
            </w:pPr>
          </w:p>
          <w:p w:rsidR="00A70DF2" w:rsidRDefault="00A70DF2" w:rsidP="00696085">
            <w:pPr>
              <w:pStyle w:val="ListParagraph"/>
              <w:numPr>
                <w:ilvl w:val="0"/>
                <w:numId w:val="28"/>
              </w:numPr>
              <w:spacing w:before="0"/>
              <w:ind w:left="360"/>
              <w:rPr>
                <w:sz w:val="16"/>
              </w:rPr>
            </w:pPr>
            <w:r>
              <w:rPr>
                <w:sz w:val="16"/>
              </w:rPr>
              <w:t>Yes – noted by all relevant stakeholders</w:t>
            </w:r>
            <w:r w:rsidR="00F23EC5">
              <w:rPr>
                <w:sz w:val="16"/>
              </w:rPr>
              <w:t>.</w:t>
            </w: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A70DF2" w:rsidRDefault="00A70DF2" w:rsidP="00696085">
            <w:pPr>
              <w:pStyle w:val="ListParagraph"/>
              <w:numPr>
                <w:ilvl w:val="0"/>
                <w:numId w:val="28"/>
              </w:numPr>
              <w:spacing w:before="0"/>
              <w:ind w:left="360"/>
              <w:rPr>
                <w:sz w:val="16"/>
              </w:rPr>
            </w:pPr>
            <w:r>
              <w:rPr>
                <w:sz w:val="16"/>
              </w:rPr>
              <w:t>97.2%</w:t>
            </w:r>
            <w:r w:rsidR="00F23EC5">
              <w:rPr>
                <w:sz w:val="16"/>
              </w:rPr>
              <w:t>.</w:t>
            </w:r>
            <w:r>
              <w:rPr>
                <w:sz w:val="16"/>
              </w:rPr>
              <w:t xml:space="preserve"> </w:t>
            </w:r>
          </w:p>
          <w:p w:rsidR="00A70DF2" w:rsidRDefault="00A70DF2">
            <w:pPr>
              <w:spacing w:before="0"/>
              <w:rPr>
                <w:sz w:val="16"/>
              </w:rPr>
            </w:pPr>
          </w:p>
          <w:p w:rsidR="00A70DF2" w:rsidRDefault="00A70DF2">
            <w:pPr>
              <w:spacing w:before="0"/>
              <w:rPr>
                <w:sz w:val="16"/>
              </w:rPr>
            </w:pPr>
          </w:p>
          <w:p w:rsidR="00A70DF2" w:rsidRDefault="00A70DF2" w:rsidP="00696085">
            <w:pPr>
              <w:pStyle w:val="ListParagraph"/>
              <w:numPr>
                <w:ilvl w:val="0"/>
                <w:numId w:val="28"/>
              </w:numPr>
              <w:spacing w:before="0"/>
              <w:ind w:left="360"/>
              <w:rPr>
                <w:sz w:val="16"/>
              </w:rPr>
            </w:pPr>
            <w:r>
              <w:rPr>
                <w:sz w:val="16"/>
              </w:rPr>
              <w:t>7.2 minutes</w:t>
            </w:r>
            <w:r w:rsidR="00F23EC5">
              <w:rPr>
                <w:sz w:val="16"/>
              </w:rPr>
              <w:t>.</w:t>
            </w:r>
          </w:p>
          <w:p w:rsidR="00A70DF2" w:rsidRDefault="00A70DF2">
            <w:pPr>
              <w:spacing w:before="0"/>
              <w:rPr>
                <w:sz w:val="16"/>
              </w:rPr>
            </w:pPr>
          </w:p>
          <w:p w:rsidR="00BC4713" w:rsidRDefault="00BC4713">
            <w:pPr>
              <w:spacing w:before="0"/>
              <w:rPr>
                <w:sz w:val="16"/>
              </w:rPr>
            </w:pPr>
          </w:p>
          <w:p w:rsidR="00BC4713" w:rsidRDefault="00BC4713">
            <w:pPr>
              <w:spacing w:before="0"/>
              <w:rPr>
                <w:sz w:val="16"/>
              </w:rPr>
            </w:pPr>
          </w:p>
          <w:p w:rsidR="00A70DF2" w:rsidRDefault="00A70DF2" w:rsidP="00696085">
            <w:pPr>
              <w:pStyle w:val="ListParagraph"/>
              <w:numPr>
                <w:ilvl w:val="0"/>
                <w:numId w:val="28"/>
              </w:numPr>
              <w:spacing w:before="0"/>
              <w:ind w:left="360"/>
              <w:rPr>
                <w:sz w:val="16"/>
              </w:rPr>
            </w:pPr>
            <w:r>
              <w:rPr>
                <w:sz w:val="16"/>
              </w:rPr>
              <w:t>The number of polyps detected is recorded on the register within the participant’s record, and the name of the proceduralist is not captured. An aggregated polyp detection rate number is therefore used for the proceduralists as a group</w:t>
            </w:r>
            <w:r w:rsidR="00F23EC5">
              <w:rPr>
                <w:sz w:val="16"/>
              </w:rPr>
              <w:t>.</w:t>
            </w:r>
          </w:p>
          <w:p w:rsidR="00A70DF2" w:rsidRDefault="00A70DF2">
            <w:pPr>
              <w:pStyle w:val="ListParagraph"/>
              <w:spacing w:before="0"/>
              <w:ind w:left="360"/>
              <w:rPr>
                <w:sz w:val="16"/>
              </w:rPr>
            </w:pPr>
          </w:p>
          <w:p w:rsidR="00A70DF2" w:rsidRDefault="00A70DF2" w:rsidP="00696085">
            <w:pPr>
              <w:pStyle w:val="ListParagraph"/>
              <w:numPr>
                <w:ilvl w:val="0"/>
                <w:numId w:val="28"/>
              </w:numPr>
              <w:spacing w:before="0"/>
              <w:ind w:left="360"/>
              <w:rPr>
                <w:sz w:val="16"/>
              </w:rPr>
            </w:pPr>
            <w:r>
              <w:rPr>
                <w:sz w:val="16"/>
              </w:rPr>
              <w:t>Standard is met on the aggregated data</w:t>
            </w:r>
            <w:r w:rsidR="00F23EC5">
              <w:rPr>
                <w:sz w:val="16"/>
              </w:rPr>
              <w:t>.</w:t>
            </w:r>
          </w:p>
          <w:p w:rsidR="00A70DF2" w:rsidRDefault="00A70DF2">
            <w:pPr>
              <w:spacing w:before="0"/>
              <w:rPr>
                <w:sz w:val="16"/>
              </w:rPr>
            </w:pPr>
          </w:p>
          <w:p w:rsidR="00A70DF2" w:rsidRDefault="00A70DF2" w:rsidP="002E41E5">
            <w:pPr>
              <w:spacing w:before="0"/>
              <w:ind w:left="0"/>
              <w:rPr>
                <w:sz w:val="16"/>
              </w:rPr>
            </w:pPr>
          </w:p>
          <w:p w:rsidR="00A70DF2" w:rsidRDefault="00A70DF2">
            <w:pPr>
              <w:spacing w:before="0"/>
              <w:rPr>
                <w:sz w:val="16"/>
              </w:rPr>
            </w:pPr>
          </w:p>
          <w:p w:rsidR="00A70DF2" w:rsidRDefault="00A70DF2" w:rsidP="00696085">
            <w:pPr>
              <w:pStyle w:val="ListParagraph"/>
              <w:numPr>
                <w:ilvl w:val="0"/>
                <w:numId w:val="28"/>
              </w:numPr>
              <w:spacing w:before="0"/>
              <w:ind w:left="360"/>
              <w:rPr>
                <w:sz w:val="16"/>
              </w:rPr>
            </w:pPr>
            <w:r>
              <w:rPr>
                <w:sz w:val="16"/>
              </w:rPr>
              <w:t>Standard is met on the aggregated dat</w:t>
            </w:r>
            <w:r w:rsidR="00F23EC5">
              <w:rPr>
                <w:sz w:val="16"/>
              </w:rPr>
              <w:t>a.</w:t>
            </w:r>
          </w:p>
          <w:p w:rsidR="00A70DF2" w:rsidRPr="002E41E5" w:rsidRDefault="00A70DF2" w:rsidP="002E41E5">
            <w:pPr>
              <w:spacing w:before="0"/>
              <w:ind w:left="0"/>
              <w:rPr>
                <w:sz w:val="16"/>
              </w:rPr>
            </w:pPr>
          </w:p>
          <w:p w:rsidR="00A70DF2" w:rsidRDefault="00A70DF2">
            <w:pPr>
              <w:pStyle w:val="ListParagraph"/>
              <w:spacing w:before="0"/>
              <w:ind w:left="360"/>
              <w:rPr>
                <w:sz w:val="16"/>
              </w:rPr>
            </w:pPr>
          </w:p>
          <w:p w:rsidR="00A70DF2" w:rsidRDefault="00A70DF2" w:rsidP="00696085">
            <w:pPr>
              <w:pStyle w:val="ListParagraph"/>
              <w:numPr>
                <w:ilvl w:val="0"/>
                <w:numId w:val="28"/>
              </w:numPr>
              <w:spacing w:before="0"/>
              <w:ind w:left="360"/>
              <w:rPr>
                <w:sz w:val="16"/>
              </w:rPr>
            </w:pPr>
            <w:r>
              <w:rPr>
                <w:sz w:val="16"/>
              </w:rPr>
              <w:t xml:space="preserve">Yes – noted by all relevant stakeholders interviewed.  </w:t>
            </w: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rsidP="00696085">
            <w:pPr>
              <w:pStyle w:val="ListParagraph"/>
              <w:numPr>
                <w:ilvl w:val="0"/>
                <w:numId w:val="28"/>
              </w:numPr>
              <w:spacing w:before="0"/>
              <w:ind w:left="360"/>
              <w:rPr>
                <w:sz w:val="16"/>
              </w:rPr>
            </w:pPr>
            <w:r>
              <w:rPr>
                <w:sz w:val="16"/>
              </w:rPr>
              <w:t>100</w:t>
            </w:r>
            <w:r w:rsidR="00F23EC5">
              <w:rPr>
                <w:sz w:val="16"/>
              </w:rPr>
              <w:t>%.</w:t>
            </w:r>
          </w:p>
          <w:p w:rsidR="00A70DF2" w:rsidRDefault="00A70DF2">
            <w:pPr>
              <w:pStyle w:val="ListParagraph"/>
              <w:rPr>
                <w:sz w:val="16"/>
              </w:rPr>
            </w:pPr>
          </w:p>
          <w:p w:rsidR="00A70DF2" w:rsidRDefault="00A70DF2">
            <w:pPr>
              <w:pStyle w:val="ListParagraph"/>
              <w:rPr>
                <w:sz w:val="16"/>
              </w:rPr>
            </w:pPr>
          </w:p>
          <w:p w:rsidR="00A70DF2" w:rsidRDefault="00A70DF2" w:rsidP="00696085">
            <w:pPr>
              <w:pStyle w:val="ListParagraph"/>
              <w:numPr>
                <w:ilvl w:val="0"/>
                <w:numId w:val="28"/>
              </w:numPr>
              <w:spacing w:before="0"/>
              <w:ind w:left="360"/>
              <w:rPr>
                <w:sz w:val="16"/>
              </w:rPr>
            </w:pPr>
            <w:r>
              <w:rPr>
                <w:sz w:val="16"/>
              </w:rPr>
              <w:t>100%</w:t>
            </w:r>
            <w:r w:rsidR="00F23EC5">
              <w:rPr>
                <w:sz w:val="16"/>
              </w:rPr>
              <w:t>.</w:t>
            </w:r>
          </w:p>
          <w:p w:rsidR="00A70DF2" w:rsidRDefault="00A70DF2">
            <w:pPr>
              <w:pStyle w:val="ListParagraph"/>
              <w:rPr>
                <w:sz w:val="16"/>
              </w:rPr>
            </w:pPr>
          </w:p>
          <w:p w:rsidR="00A70DF2" w:rsidRDefault="00A70DF2">
            <w:pPr>
              <w:spacing w:before="0"/>
              <w:rPr>
                <w:sz w:val="16"/>
              </w:rPr>
            </w:pPr>
          </w:p>
          <w:p w:rsidR="00A70DF2" w:rsidRDefault="00A70DF2">
            <w:pPr>
              <w:spacing w:before="0"/>
              <w:rPr>
                <w:sz w:val="16"/>
              </w:rPr>
            </w:pPr>
          </w:p>
          <w:p w:rsidR="00BC4713" w:rsidRDefault="00BC4713">
            <w:pPr>
              <w:spacing w:before="0"/>
              <w:rPr>
                <w:sz w:val="16"/>
              </w:rPr>
            </w:pPr>
          </w:p>
          <w:p w:rsidR="00A70DF2" w:rsidRDefault="00A70DF2" w:rsidP="00696085">
            <w:pPr>
              <w:pStyle w:val="ListParagraph"/>
              <w:numPr>
                <w:ilvl w:val="0"/>
                <w:numId w:val="28"/>
              </w:numPr>
              <w:spacing w:before="0"/>
              <w:ind w:left="360"/>
              <w:rPr>
                <w:sz w:val="16"/>
              </w:rPr>
            </w:pPr>
            <w:r>
              <w:rPr>
                <w:sz w:val="16"/>
              </w:rPr>
              <w:t xml:space="preserve">Yes - The BSP adheres to the National Policy for the Management of Healthcare Incidents.  All incidents are entered onto the RiskPro system and managed, recorded and reported according to a standardised process. </w:t>
            </w:r>
          </w:p>
          <w:p w:rsidR="00A70DF2" w:rsidRDefault="00A70DF2">
            <w:pPr>
              <w:pStyle w:val="ListParagraph"/>
              <w:spacing w:before="0"/>
              <w:rPr>
                <w:sz w:val="16"/>
              </w:rPr>
            </w:pPr>
          </w:p>
          <w:p w:rsidR="00A70DF2" w:rsidRDefault="00A70DF2" w:rsidP="00696085">
            <w:pPr>
              <w:pStyle w:val="ListParagraph"/>
              <w:numPr>
                <w:ilvl w:val="0"/>
                <w:numId w:val="28"/>
              </w:numPr>
              <w:spacing w:before="0"/>
              <w:ind w:left="360"/>
              <w:rPr>
                <w:sz w:val="16"/>
              </w:rPr>
            </w:pPr>
            <w:r>
              <w:rPr>
                <w:sz w:val="16"/>
              </w:rPr>
              <w:t>All hospital admissions reported to</w:t>
            </w:r>
            <w:r w:rsidR="002E63AC">
              <w:rPr>
                <w:sz w:val="16"/>
              </w:rPr>
              <w:t xml:space="preserve"> the</w:t>
            </w:r>
            <w:r>
              <w:rPr>
                <w:sz w:val="16"/>
              </w:rPr>
              <w:t xml:space="preserve"> M</w:t>
            </w:r>
            <w:r w:rsidR="002E63AC">
              <w:rPr>
                <w:sz w:val="16"/>
              </w:rPr>
              <w:t>inistry of Health</w:t>
            </w:r>
            <w:r>
              <w:rPr>
                <w:sz w:val="16"/>
              </w:rPr>
              <w:t xml:space="preserve"> in de-identified form</w:t>
            </w:r>
            <w:r w:rsidR="00C42EF2">
              <w:rPr>
                <w:sz w:val="16"/>
              </w:rPr>
              <w:t xml:space="preserve">. A </w:t>
            </w:r>
            <w:r>
              <w:rPr>
                <w:sz w:val="16"/>
              </w:rPr>
              <w:t xml:space="preserve">record of participant readmission review </w:t>
            </w:r>
            <w:r w:rsidR="00C42EF2">
              <w:rPr>
                <w:sz w:val="16"/>
              </w:rPr>
              <w:t xml:space="preserve">is </w:t>
            </w:r>
            <w:r>
              <w:rPr>
                <w:sz w:val="16"/>
              </w:rPr>
              <w:t>retained at endoscopy unit</w:t>
            </w:r>
            <w:r w:rsidR="00C42EF2">
              <w:rPr>
                <w:sz w:val="16"/>
              </w:rPr>
              <w:t>. A</w:t>
            </w:r>
            <w:r>
              <w:rPr>
                <w:sz w:val="16"/>
              </w:rPr>
              <w:t>dverse events reviews, subsequent reports and other actions are undertaken in accordance with M</w:t>
            </w:r>
            <w:r w:rsidR="00BC4713">
              <w:rPr>
                <w:sz w:val="16"/>
              </w:rPr>
              <w:t xml:space="preserve">inistry of Health </w:t>
            </w:r>
            <w:r>
              <w:rPr>
                <w:sz w:val="16"/>
              </w:rPr>
              <w:t>requirements of DHBs for management and reporting of adverse events.</w:t>
            </w:r>
          </w:p>
          <w:p w:rsidR="00A70DF2" w:rsidRDefault="00A70DF2">
            <w:pPr>
              <w:pStyle w:val="ListParagraph"/>
              <w:spacing w:before="0"/>
              <w:ind w:left="360"/>
              <w:rPr>
                <w:sz w:val="16"/>
              </w:rPr>
            </w:pPr>
          </w:p>
          <w:p w:rsidR="00A70DF2" w:rsidRDefault="00A70DF2" w:rsidP="00696085">
            <w:pPr>
              <w:pStyle w:val="ListParagraph"/>
              <w:numPr>
                <w:ilvl w:val="0"/>
                <w:numId w:val="28"/>
              </w:numPr>
              <w:spacing w:before="0"/>
              <w:ind w:left="360"/>
              <w:rPr>
                <w:sz w:val="16"/>
              </w:rPr>
            </w:pPr>
            <w:r>
              <w:rPr>
                <w:sz w:val="16"/>
              </w:rPr>
              <w:t xml:space="preserve">Perforation or bleeding 5.7 per 1000 </w:t>
            </w:r>
          </w:p>
          <w:p w:rsidR="00A70DF2" w:rsidRDefault="00A70DF2" w:rsidP="00696085">
            <w:pPr>
              <w:pStyle w:val="ListParagraph"/>
              <w:numPr>
                <w:ilvl w:val="0"/>
                <w:numId w:val="28"/>
              </w:numPr>
              <w:spacing w:before="0"/>
              <w:ind w:left="360"/>
              <w:rPr>
                <w:sz w:val="16"/>
              </w:rPr>
            </w:pPr>
            <w:r>
              <w:rPr>
                <w:sz w:val="16"/>
              </w:rPr>
              <w:t>Other than perforation or bleeding 0.4 per 1000</w:t>
            </w:r>
          </w:p>
          <w:p w:rsidR="00A70DF2" w:rsidRDefault="00A70DF2">
            <w:pPr>
              <w:spacing w:before="0"/>
              <w:ind w:left="0"/>
              <w:rPr>
                <w:sz w:val="16"/>
              </w:rPr>
            </w:pPr>
          </w:p>
        </w:tc>
      </w:tr>
      <w:tr w:rsidR="00A70DF2" w:rsidTr="002E41E5">
        <w:trPr>
          <w:cantSplit/>
          <w:trHeight w:val="350"/>
        </w:trPr>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rFonts w:cs="Arial"/>
                <w:sz w:val="16"/>
              </w:rPr>
            </w:pPr>
            <w:r>
              <w:rPr>
                <w:rFonts w:cs="Arial"/>
                <w:sz w:val="16"/>
              </w:rPr>
              <w:lastRenderedPageBreak/>
              <w:t>9</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Alternative Investigation</w:t>
            </w:r>
          </w:p>
          <w:p w:rsidR="00A70DF2" w:rsidRDefault="00A70DF2">
            <w:pPr>
              <w:spacing w:before="0"/>
              <w:ind w:left="0"/>
              <w:rPr>
                <w:sz w:val="16"/>
              </w:rPr>
            </w:pPr>
            <w:r>
              <w:rPr>
                <w:sz w:val="16"/>
              </w:rPr>
              <w:t>QS 7</w:t>
            </w:r>
          </w:p>
        </w:tc>
        <w:tc>
          <w:tcPr>
            <w:tcW w:w="3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0" w:type="dxa"/>
            </w:tcMar>
          </w:tcPr>
          <w:p w:rsidR="00A70DF2" w:rsidRDefault="00A70DF2" w:rsidP="00696085">
            <w:pPr>
              <w:pStyle w:val="ListParagraph"/>
              <w:numPr>
                <w:ilvl w:val="0"/>
                <w:numId w:val="29"/>
              </w:numPr>
              <w:spacing w:before="0"/>
              <w:ind w:left="360"/>
              <w:rPr>
                <w:sz w:val="16"/>
              </w:rPr>
            </w:pPr>
            <w:r>
              <w:rPr>
                <w:sz w:val="16"/>
              </w:rPr>
              <w:t>95% of participants requiring a CTC are given a date for the procedure on the day they are deemed unfit for colonoscopy or within 5 working days if pre-assessment is carried out by telephone.</w:t>
            </w: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rsidP="00696085">
            <w:pPr>
              <w:pStyle w:val="ListParagraph"/>
              <w:numPr>
                <w:ilvl w:val="0"/>
                <w:numId w:val="29"/>
              </w:numPr>
              <w:spacing w:before="0"/>
              <w:ind w:left="360"/>
              <w:rPr>
                <w:sz w:val="16"/>
              </w:rPr>
            </w:pPr>
            <w:r>
              <w:rPr>
                <w:sz w:val="16"/>
              </w:rPr>
              <w:t>95% of participants requiring CTC receive the examination within 20 working days (4 weeks) from the day they are deemed unfit for colonoscopy/pre-assessment.</w:t>
            </w:r>
          </w:p>
          <w:p w:rsidR="00A70DF2" w:rsidRDefault="00A70DF2">
            <w:pPr>
              <w:pStyle w:val="ListParagraph"/>
              <w:spacing w:before="0"/>
              <w:ind w:left="360"/>
              <w:rPr>
                <w:sz w:val="16"/>
              </w:rPr>
            </w:pPr>
          </w:p>
          <w:p w:rsidR="00A70DF2" w:rsidRDefault="00A70DF2" w:rsidP="00696085">
            <w:pPr>
              <w:pStyle w:val="ListParagraph"/>
              <w:numPr>
                <w:ilvl w:val="0"/>
                <w:numId w:val="29"/>
              </w:numPr>
              <w:spacing w:before="0"/>
              <w:ind w:left="360"/>
              <w:rPr>
                <w:sz w:val="16"/>
              </w:rPr>
            </w:pPr>
            <w:r>
              <w:rPr>
                <w:sz w:val="16"/>
              </w:rPr>
              <w:t>95% of radiological reports will be sent to GPs within 7 working days from completion of the examination.</w:t>
            </w: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rsidP="00696085">
            <w:pPr>
              <w:pStyle w:val="ListParagraph"/>
              <w:numPr>
                <w:ilvl w:val="0"/>
                <w:numId w:val="29"/>
              </w:numPr>
              <w:spacing w:before="0"/>
              <w:ind w:left="360"/>
              <w:rPr>
                <w:sz w:val="16"/>
              </w:rPr>
            </w:pPr>
            <w:r>
              <w:rPr>
                <w:sz w:val="16"/>
              </w:rPr>
              <w:t xml:space="preserve">A date for CTC is offered within 5 working days of the incomplete colonoscopy. </w:t>
            </w: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pPr>
              <w:pStyle w:val="ListParagraph"/>
              <w:spacing w:before="0"/>
              <w:rPr>
                <w:sz w:val="16"/>
              </w:rPr>
            </w:pPr>
          </w:p>
          <w:p w:rsidR="00A70DF2" w:rsidRDefault="00A70DF2" w:rsidP="00696085">
            <w:pPr>
              <w:pStyle w:val="ListParagraph"/>
              <w:numPr>
                <w:ilvl w:val="0"/>
                <w:numId w:val="29"/>
              </w:numPr>
              <w:spacing w:before="0"/>
              <w:ind w:left="360"/>
              <w:rPr>
                <w:sz w:val="16"/>
              </w:rPr>
            </w:pPr>
            <w:r>
              <w:rPr>
                <w:sz w:val="16"/>
              </w:rPr>
              <w:t>90% of participants will be notified of their results of all final investigations within 7 working days.</w:t>
            </w:r>
          </w:p>
          <w:p w:rsidR="00A70DF2" w:rsidRDefault="00A70DF2">
            <w:pPr>
              <w:pStyle w:val="ListParagraph"/>
              <w:spacing w:before="0"/>
              <w:ind w:left="360"/>
              <w:rPr>
                <w:sz w:val="16"/>
              </w:rPr>
            </w:pPr>
          </w:p>
          <w:p w:rsidR="00A70DF2" w:rsidRDefault="00A70DF2" w:rsidP="00C42EF2">
            <w:pPr>
              <w:pStyle w:val="ListParagraph"/>
              <w:numPr>
                <w:ilvl w:val="0"/>
                <w:numId w:val="29"/>
              </w:numPr>
              <w:spacing w:before="0"/>
              <w:ind w:left="360"/>
              <w:rPr>
                <w:sz w:val="16"/>
              </w:rPr>
            </w:pPr>
            <w:r>
              <w:rPr>
                <w:sz w:val="16"/>
              </w:rPr>
              <w:t xml:space="preserve">100% of providers of CTC comply with the CTC Standards as endorsed by </w:t>
            </w:r>
            <w:r w:rsidR="002E63AC">
              <w:rPr>
                <w:sz w:val="16"/>
              </w:rPr>
              <w:t xml:space="preserve">the </w:t>
            </w:r>
            <w:r>
              <w:rPr>
                <w:sz w:val="16"/>
              </w:rPr>
              <w:t>R</w:t>
            </w:r>
            <w:r w:rsidR="002E63AC">
              <w:rPr>
                <w:sz w:val="16"/>
              </w:rPr>
              <w:t xml:space="preserve">oyal </w:t>
            </w:r>
            <w:r>
              <w:rPr>
                <w:sz w:val="16"/>
              </w:rPr>
              <w:t>A</w:t>
            </w:r>
            <w:r w:rsidR="002E63AC">
              <w:rPr>
                <w:sz w:val="16"/>
              </w:rPr>
              <w:t xml:space="preserve">ustralian and </w:t>
            </w:r>
            <w:r>
              <w:rPr>
                <w:sz w:val="16"/>
              </w:rPr>
              <w:t>N</w:t>
            </w:r>
            <w:r w:rsidR="002E63AC">
              <w:rPr>
                <w:sz w:val="16"/>
              </w:rPr>
              <w:t xml:space="preserve">ew </w:t>
            </w:r>
            <w:r>
              <w:rPr>
                <w:sz w:val="16"/>
              </w:rPr>
              <w:t>Z</w:t>
            </w:r>
            <w:r w:rsidR="002E63AC">
              <w:rPr>
                <w:sz w:val="16"/>
              </w:rPr>
              <w:t xml:space="preserve">ealand </w:t>
            </w:r>
            <w:r>
              <w:rPr>
                <w:sz w:val="16"/>
              </w:rPr>
              <w:t>C</w:t>
            </w:r>
            <w:r w:rsidR="002E63AC">
              <w:rPr>
                <w:sz w:val="16"/>
              </w:rPr>
              <w:t xml:space="preserve">ollege of </w:t>
            </w:r>
            <w:r>
              <w:rPr>
                <w:sz w:val="16"/>
              </w:rPr>
              <w:t>R</w:t>
            </w:r>
            <w:r w:rsidR="002E63AC">
              <w:rPr>
                <w:sz w:val="16"/>
              </w:rPr>
              <w:t>adiologists</w:t>
            </w:r>
            <w:r>
              <w:rPr>
                <w:sz w:val="16"/>
              </w:rPr>
              <w:t>.</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Pr>
          <w:p w:rsidR="00A70DF2" w:rsidRDefault="00A70DF2" w:rsidP="00696085">
            <w:pPr>
              <w:pStyle w:val="ListParagraph"/>
              <w:numPr>
                <w:ilvl w:val="0"/>
                <w:numId w:val="29"/>
              </w:numPr>
              <w:spacing w:before="0"/>
              <w:ind w:left="360"/>
              <w:rPr>
                <w:sz w:val="16"/>
              </w:rPr>
            </w:pPr>
            <w:r>
              <w:rPr>
                <w:sz w:val="16"/>
              </w:rPr>
              <w:t xml:space="preserve">No data, but the process is that when the CNS pre-assesses and is of the view that the participant may be unsuitable for colonoscopy the Lead Colonoscopist will make a decision within 5 days and refer for CTC.  Data is not kept on whether the Radiology </w:t>
            </w:r>
            <w:r w:rsidR="003D209D">
              <w:rPr>
                <w:sz w:val="16"/>
              </w:rPr>
              <w:t>Department</w:t>
            </w:r>
            <w:r>
              <w:rPr>
                <w:sz w:val="16"/>
              </w:rPr>
              <w:t xml:space="preserve"> contacts the participant with an appointment within 5 days.  </w:t>
            </w:r>
          </w:p>
          <w:p w:rsidR="00A70DF2" w:rsidRDefault="00A70DF2">
            <w:pPr>
              <w:spacing w:before="0"/>
              <w:rPr>
                <w:sz w:val="16"/>
              </w:rPr>
            </w:pPr>
          </w:p>
          <w:p w:rsidR="00A70DF2" w:rsidRDefault="00A70DF2" w:rsidP="00696085">
            <w:pPr>
              <w:pStyle w:val="ListParagraph"/>
              <w:numPr>
                <w:ilvl w:val="0"/>
                <w:numId w:val="28"/>
              </w:numPr>
              <w:spacing w:before="0"/>
              <w:ind w:left="360"/>
              <w:rPr>
                <w:sz w:val="16"/>
              </w:rPr>
            </w:pPr>
            <w:r>
              <w:rPr>
                <w:sz w:val="16"/>
              </w:rPr>
              <w:t>No data kept on this – the date of the CTC appointment is not captured on the system</w:t>
            </w:r>
            <w:r w:rsidR="00F23EC5">
              <w:rPr>
                <w:sz w:val="16"/>
              </w:rPr>
              <w:t>.</w:t>
            </w:r>
          </w:p>
          <w:p w:rsidR="00A70DF2" w:rsidRDefault="00A70DF2">
            <w:pPr>
              <w:spacing w:before="0"/>
              <w:rPr>
                <w:sz w:val="16"/>
              </w:rPr>
            </w:pPr>
          </w:p>
          <w:p w:rsidR="00A70DF2" w:rsidRDefault="00A70DF2">
            <w:pPr>
              <w:spacing w:before="0"/>
              <w:rPr>
                <w:sz w:val="16"/>
              </w:rPr>
            </w:pPr>
          </w:p>
          <w:p w:rsidR="00A70DF2" w:rsidRDefault="00A70DF2" w:rsidP="00696085">
            <w:pPr>
              <w:pStyle w:val="ListParagraph"/>
              <w:numPr>
                <w:ilvl w:val="0"/>
                <w:numId w:val="28"/>
              </w:numPr>
              <w:spacing w:before="0"/>
              <w:ind w:left="360"/>
              <w:rPr>
                <w:sz w:val="16"/>
              </w:rPr>
            </w:pPr>
            <w:r>
              <w:rPr>
                <w:sz w:val="16"/>
              </w:rPr>
              <w:t xml:space="preserve">No data kept on this – letters not generated by the system therefore unable to report.  </w:t>
            </w:r>
          </w:p>
          <w:p w:rsidR="00A70DF2" w:rsidRDefault="00A70DF2">
            <w:pPr>
              <w:spacing w:before="0"/>
              <w:ind w:left="0"/>
              <w:rPr>
                <w:sz w:val="16"/>
              </w:rPr>
            </w:pPr>
          </w:p>
          <w:p w:rsidR="00A70DF2" w:rsidRDefault="00A70DF2">
            <w:pPr>
              <w:spacing w:before="0"/>
              <w:ind w:left="0"/>
              <w:rPr>
                <w:sz w:val="16"/>
              </w:rPr>
            </w:pPr>
          </w:p>
          <w:p w:rsidR="00A70DF2" w:rsidRDefault="00A70DF2" w:rsidP="00696085">
            <w:pPr>
              <w:pStyle w:val="ListParagraph"/>
              <w:numPr>
                <w:ilvl w:val="0"/>
                <w:numId w:val="28"/>
              </w:numPr>
              <w:spacing w:before="0"/>
              <w:ind w:left="360"/>
              <w:rPr>
                <w:sz w:val="16"/>
              </w:rPr>
            </w:pPr>
            <w:r>
              <w:rPr>
                <w:sz w:val="16"/>
              </w:rPr>
              <w:t xml:space="preserve">In most instances the person receives the CTC on the same day or the next day.  This is not able to happen for people from a Friday afternoon list </w:t>
            </w:r>
            <w:proofErr w:type="gramStart"/>
            <w:r>
              <w:rPr>
                <w:sz w:val="16"/>
              </w:rPr>
              <w:t>who</w:t>
            </w:r>
            <w:proofErr w:type="gramEnd"/>
            <w:r>
              <w:rPr>
                <w:sz w:val="16"/>
              </w:rPr>
              <w:t xml:space="preserve"> are referred for an appointment – again. The date of the appointment is not captured on the BSP system</w:t>
            </w:r>
            <w:r w:rsidR="00F23EC5">
              <w:rPr>
                <w:sz w:val="16"/>
              </w:rPr>
              <w:t>.</w:t>
            </w:r>
            <w:r>
              <w:rPr>
                <w:sz w:val="16"/>
              </w:rPr>
              <w:t xml:space="preserve"> </w:t>
            </w:r>
          </w:p>
          <w:p w:rsidR="00A70DF2" w:rsidRDefault="00A70DF2">
            <w:pPr>
              <w:pStyle w:val="ListParagraph"/>
              <w:spacing w:before="0"/>
              <w:rPr>
                <w:sz w:val="16"/>
              </w:rPr>
            </w:pPr>
          </w:p>
          <w:p w:rsidR="00A70DF2" w:rsidRDefault="00A70DF2" w:rsidP="00696085">
            <w:pPr>
              <w:pStyle w:val="ListParagraph"/>
              <w:numPr>
                <w:ilvl w:val="0"/>
                <w:numId w:val="28"/>
              </w:numPr>
              <w:spacing w:before="0"/>
              <w:ind w:left="360"/>
              <w:rPr>
                <w:sz w:val="16"/>
              </w:rPr>
            </w:pPr>
            <w:r>
              <w:rPr>
                <w:sz w:val="16"/>
              </w:rPr>
              <w:t>As above – letters not generated from BSP system so unable to report</w:t>
            </w:r>
            <w:r w:rsidR="00F23EC5">
              <w:rPr>
                <w:sz w:val="16"/>
              </w:rPr>
              <w:t>.</w:t>
            </w:r>
          </w:p>
          <w:p w:rsidR="00A70DF2" w:rsidRDefault="00A70DF2">
            <w:pPr>
              <w:pStyle w:val="ListParagraph"/>
              <w:spacing w:before="0"/>
              <w:rPr>
                <w:sz w:val="16"/>
              </w:rPr>
            </w:pPr>
          </w:p>
          <w:p w:rsidR="00A70DF2" w:rsidRDefault="00A70DF2" w:rsidP="00696085">
            <w:pPr>
              <w:pStyle w:val="ListParagraph"/>
              <w:numPr>
                <w:ilvl w:val="0"/>
                <w:numId w:val="28"/>
              </w:numPr>
              <w:spacing w:before="0"/>
              <w:ind w:left="360"/>
              <w:rPr>
                <w:sz w:val="16"/>
              </w:rPr>
            </w:pPr>
            <w:r>
              <w:rPr>
                <w:sz w:val="16"/>
              </w:rPr>
              <w:t>100%</w:t>
            </w:r>
            <w:r w:rsidR="00F23EC5">
              <w:rPr>
                <w:sz w:val="16"/>
              </w:rPr>
              <w:t>.</w:t>
            </w:r>
          </w:p>
          <w:p w:rsidR="00A70DF2" w:rsidRDefault="00A70DF2">
            <w:pPr>
              <w:pStyle w:val="ListParagraph"/>
              <w:spacing w:before="0"/>
              <w:rPr>
                <w:sz w:val="16"/>
              </w:rPr>
            </w:pPr>
          </w:p>
        </w:tc>
      </w:tr>
      <w:tr w:rsidR="00A70DF2" w:rsidTr="002E41E5">
        <w:trPr>
          <w:cantSplit/>
          <w:trHeight w:val="350"/>
        </w:trPr>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Histopathology</w:t>
            </w:r>
          </w:p>
          <w:p w:rsidR="00A70DF2" w:rsidRDefault="00A70DF2">
            <w:pPr>
              <w:spacing w:before="0"/>
              <w:ind w:left="0"/>
              <w:rPr>
                <w:sz w:val="16"/>
              </w:rPr>
            </w:pPr>
            <w:r>
              <w:rPr>
                <w:sz w:val="16"/>
              </w:rPr>
              <w:t>QS 8</w:t>
            </w:r>
          </w:p>
        </w:tc>
        <w:tc>
          <w:tcPr>
            <w:tcW w:w="3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6" w:type="dxa"/>
              <w:bottom w:w="80" w:type="dxa"/>
              <w:right w:w="0" w:type="dxa"/>
            </w:tcMar>
          </w:tcPr>
          <w:p w:rsidR="00A70DF2" w:rsidRDefault="00A70DF2" w:rsidP="00696085">
            <w:pPr>
              <w:pStyle w:val="ListParagraph"/>
              <w:numPr>
                <w:ilvl w:val="0"/>
                <w:numId w:val="30"/>
              </w:numPr>
              <w:spacing w:before="0"/>
              <w:ind w:left="360"/>
              <w:rPr>
                <w:sz w:val="16"/>
              </w:rPr>
            </w:pPr>
            <w:r>
              <w:rPr>
                <w:sz w:val="16"/>
              </w:rPr>
              <w:t>100% of BSP pathology specimens obtained during BSP colonoscopy or surgery are reported using BSP standardised/synoptic reports.</w:t>
            </w:r>
          </w:p>
          <w:p w:rsidR="00A70DF2" w:rsidRDefault="00A70DF2">
            <w:pPr>
              <w:pStyle w:val="ListParagraph"/>
              <w:spacing w:before="0"/>
              <w:rPr>
                <w:sz w:val="16"/>
              </w:rPr>
            </w:pPr>
          </w:p>
          <w:p w:rsidR="00A70DF2" w:rsidRDefault="00A70DF2" w:rsidP="00696085">
            <w:pPr>
              <w:pStyle w:val="ListParagraph"/>
              <w:numPr>
                <w:ilvl w:val="0"/>
                <w:numId w:val="30"/>
              </w:numPr>
              <w:spacing w:before="0"/>
              <w:ind w:left="360"/>
              <w:rPr>
                <w:sz w:val="16"/>
              </w:rPr>
            </w:pPr>
            <w:r>
              <w:rPr>
                <w:sz w:val="16"/>
              </w:rPr>
              <w:t>95% of specimens submitted from colonoscopy are reported and relayed to the referring endoscopist/surgeon within 10 working days of receipt of the specimen in the laboratory.</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Pr>
          <w:p w:rsidR="00A70DF2" w:rsidRDefault="00A70DF2" w:rsidP="00696085">
            <w:pPr>
              <w:pStyle w:val="ListParagraph"/>
              <w:numPr>
                <w:ilvl w:val="0"/>
                <w:numId w:val="28"/>
              </w:numPr>
              <w:spacing w:before="0"/>
              <w:ind w:left="360"/>
              <w:rPr>
                <w:sz w:val="16"/>
              </w:rPr>
            </w:pPr>
            <w:r>
              <w:rPr>
                <w:sz w:val="16"/>
              </w:rPr>
              <w:t>100% – this is the only report used by LabP</w:t>
            </w:r>
            <w:r w:rsidR="00645695">
              <w:rPr>
                <w:sz w:val="16"/>
              </w:rPr>
              <w:t>LUS</w:t>
            </w:r>
            <w:r>
              <w:rPr>
                <w:sz w:val="16"/>
              </w:rPr>
              <w:t xml:space="preserve"> for the BSP</w:t>
            </w:r>
            <w:r w:rsidR="00F23EC5">
              <w:rPr>
                <w:sz w:val="16"/>
              </w:rPr>
              <w:t>.</w:t>
            </w:r>
          </w:p>
          <w:p w:rsidR="00A70DF2" w:rsidRDefault="00A70DF2">
            <w:pPr>
              <w:spacing w:before="0"/>
              <w:rPr>
                <w:sz w:val="16"/>
              </w:rPr>
            </w:pPr>
          </w:p>
          <w:p w:rsidR="00A70DF2" w:rsidRDefault="00A70DF2">
            <w:pPr>
              <w:spacing w:before="0"/>
              <w:rPr>
                <w:sz w:val="16"/>
              </w:rPr>
            </w:pPr>
          </w:p>
          <w:p w:rsidR="00A70DF2" w:rsidRDefault="00A70DF2" w:rsidP="00696085">
            <w:pPr>
              <w:pStyle w:val="ListParagraph"/>
              <w:numPr>
                <w:ilvl w:val="0"/>
                <w:numId w:val="28"/>
              </w:numPr>
              <w:spacing w:before="0"/>
              <w:ind w:left="360"/>
              <w:rPr>
                <w:sz w:val="16"/>
              </w:rPr>
            </w:pPr>
            <w:r>
              <w:rPr>
                <w:sz w:val="16"/>
              </w:rPr>
              <w:t>This standard is reported by LabP</w:t>
            </w:r>
            <w:r w:rsidR="00645695">
              <w:rPr>
                <w:sz w:val="16"/>
              </w:rPr>
              <w:t>LUS</w:t>
            </w:r>
            <w:r>
              <w:rPr>
                <w:sz w:val="16"/>
              </w:rPr>
              <w:t xml:space="preserve"> to BSP as part of their quarterly contract report and has been consistently met for the period to 30 June</w:t>
            </w:r>
            <w:r w:rsidR="00F23EC5">
              <w:rPr>
                <w:sz w:val="16"/>
              </w:rPr>
              <w:t>.</w:t>
            </w:r>
          </w:p>
          <w:p w:rsidR="00A70DF2" w:rsidRDefault="00A70DF2">
            <w:pPr>
              <w:pStyle w:val="ListParagraph"/>
              <w:spacing w:before="0"/>
              <w:ind w:left="360"/>
              <w:rPr>
                <w:sz w:val="16"/>
              </w:rPr>
            </w:pPr>
          </w:p>
        </w:tc>
      </w:tr>
      <w:tr w:rsidR="00A70DF2" w:rsidTr="002E41E5">
        <w:trPr>
          <w:cantSplit/>
          <w:trHeight w:val="350"/>
        </w:trPr>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rsidR="00A70DF2" w:rsidRDefault="00A70DF2">
            <w:pPr>
              <w:spacing w:before="0"/>
              <w:ind w:left="0"/>
              <w:rPr>
                <w:sz w:val="16"/>
              </w:rPr>
            </w:pPr>
            <w:r>
              <w:rPr>
                <w:sz w:val="16"/>
              </w:rPr>
              <w:t>Referral Pathways</w:t>
            </w:r>
          </w:p>
          <w:p w:rsidR="00A70DF2" w:rsidRDefault="00A70DF2">
            <w:pPr>
              <w:spacing w:before="0"/>
              <w:ind w:left="0"/>
              <w:rPr>
                <w:sz w:val="16"/>
              </w:rPr>
            </w:pPr>
            <w:r>
              <w:rPr>
                <w:sz w:val="16"/>
              </w:rPr>
              <w:t>QS 9</w:t>
            </w:r>
          </w:p>
        </w:tc>
        <w:tc>
          <w:tcPr>
            <w:tcW w:w="3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6" w:type="dxa"/>
              <w:bottom w:w="80" w:type="dxa"/>
              <w:right w:w="0" w:type="dxa"/>
            </w:tcMar>
          </w:tcPr>
          <w:p w:rsidR="00A70DF2" w:rsidRDefault="00A70DF2" w:rsidP="00696085">
            <w:pPr>
              <w:pStyle w:val="ListParagraph"/>
              <w:numPr>
                <w:ilvl w:val="0"/>
                <w:numId w:val="31"/>
              </w:numPr>
              <w:spacing w:before="0"/>
              <w:ind w:left="360"/>
              <w:rPr>
                <w:sz w:val="16"/>
              </w:rPr>
            </w:pPr>
            <w:r>
              <w:rPr>
                <w:sz w:val="16"/>
              </w:rPr>
              <w:t>95% of BSP participants requiring clinical follow-up have been referred and seen by an appropriate consultant within 10 working days of diagnosis (2 weeks).</w:t>
            </w: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A70DF2" w:rsidRDefault="00A70DF2">
            <w:pPr>
              <w:spacing w:before="0"/>
              <w:rPr>
                <w:sz w:val="16"/>
              </w:rPr>
            </w:pPr>
          </w:p>
          <w:p w:rsidR="00BC4713" w:rsidRDefault="00BC4713">
            <w:pPr>
              <w:spacing w:before="0"/>
              <w:rPr>
                <w:sz w:val="16"/>
              </w:rPr>
            </w:pPr>
          </w:p>
          <w:p w:rsidR="00A70DF2" w:rsidRDefault="00A70DF2" w:rsidP="00C42EF2">
            <w:pPr>
              <w:pStyle w:val="ListParagraph"/>
              <w:numPr>
                <w:ilvl w:val="0"/>
                <w:numId w:val="31"/>
              </w:numPr>
              <w:spacing w:before="0"/>
              <w:ind w:left="360"/>
              <w:rPr>
                <w:sz w:val="16"/>
              </w:rPr>
            </w:pPr>
            <w:r>
              <w:rPr>
                <w:sz w:val="16"/>
              </w:rPr>
              <w:t>95% of BSP participants diagnosed with cancer are referred to the appropriate consultant for presentation at an MD</w:t>
            </w:r>
            <w:r w:rsidR="001C075E">
              <w:rPr>
                <w:sz w:val="16"/>
              </w:rPr>
              <w:t>M</w:t>
            </w:r>
            <w:r>
              <w:rPr>
                <w:sz w:val="16"/>
              </w:rPr>
              <w:t xml:space="preserve"> within 20 working days from diagnosis (4 weeks).</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Pr>
          <w:p w:rsidR="00A70DF2" w:rsidRDefault="00A70DF2" w:rsidP="00696085">
            <w:pPr>
              <w:pStyle w:val="ListParagraph"/>
              <w:numPr>
                <w:ilvl w:val="0"/>
                <w:numId w:val="31"/>
              </w:numPr>
              <w:spacing w:before="0"/>
              <w:ind w:left="360"/>
              <w:rPr>
                <w:sz w:val="16"/>
              </w:rPr>
            </w:pPr>
            <w:r>
              <w:rPr>
                <w:sz w:val="16"/>
              </w:rPr>
              <w:t>This data can now be reported from the system due to recent system upgrade</w:t>
            </w:r>
            <w:r w:rsidRPr="00697D47">
              <w:rPr>
                <w:rStyle w:val="FootnoteReference"/>
              </w:rPr>
              <w:footnoteReference w:id="88"/>
            </w:r>
            <w:r>
              <w:rPr>
                <w:sz w:val="16"/>
              </w:rPr>
              <w:t>.  The standard is also subject to a review because in effect the ‘seen by an appropriate consultant’ occurs at the time of cancer identification at the time of the colonoscopy.</w:t>
            </w:r>
          </w:p>
          <w:p w:rsidR="00A70DF2" w:rsidRDefault="00A70DF2">
            <w:pPr>
              <w:spacing w:before="0"/>
              <w:rPr>
                <w:sz w:val="16"/>
              </w:rPr>
            </w:pPr>
          </w:p>
          <w:p w:rsidR="00A70DF2" w:rsidRDefault="00A70DF2" w:rsidP="00696085">
            <w:pPr>
              <w:pStyle w:val="ListParagraph"/>
              <w:numPr>
                <w:ilvl w:val="0"/>
                <w:numId w:val="31"/>
              </w:numPr>
              <w:spacing w:before="0"/>
              <w:ind w:left="360"/>
              <w:rPr>
                <w:sz w:val="16"/>
              </w:rPr>
            </w:pPr>
            <w:r>
              <w:rPr>
                <w:sz w:val="16"/>
              </w:rPr>
              <w:t>Can now report this from the system – but have yet to do so.</w:t>
            </w:r>
          </w:p>
          <w:p w:rsidR="00A70DF2" w:rsidRDefault="00A70DF2">
            <w:pPr>
              <w:pStyle w:val="ListParagraph"/>
              <w:spacing w:before="0"/>
              <w:rPr>
                <w:sz w:val="16"/>
              </w:rPr>
            </w:pPr>
          </w:p>
        </w:tc>
      </w:tr>
    </w:tbl>
    <w:p w:rsidR="00A70DF2" w:rsidRDefault="00A70DF2" w:rsidP="00A70DF2">
      <w:pPr>
        <w:spacing w:before="0"/>
        <w:ind w:left="0"/>
        <w:rPr>
          <w:b/>
        </w:rPr>
      </w:pPr>
    </w:p>
    <w:p w:rsidR="00A70DF2" w:rsidRDefault="00A70DF2" w:rsidP="00A70DF2">
      <w:pPr>
        <w:spacing w:before="0"/>
        <w:ind w:left="0"/>
        <w:rPr>
          <w:b/>
          <w:sz w:val="28"/>
          <w:szCs w:val="28"/>
        </w:rPr>
      </w:pPr>
    </w:p>
    <w:p w:rsidR="00A915CD" w:rsidRPr="00EA55DB" w:rsidRDefault="00A915CD" w:rsidP="00A915CD">
      <w:pPr>
        <w:spacing w:before="0"/>
      </w:pPr>
    </w:p>
    <w:sectPr w:rsidR="00A915CD" w:rsidRPr="00EA55DB" w:rsidSect="007F7CA7">
      <w:footerReference w:type="even" r:id="rId70"/>
      <w:footerReference w:type="default" r:id="rId71"/>
      <w:pgSz w:w="11909" w:h="16834" w:code="9"/>
      <w:pgMar w:top="1701" w:right="1134" w:bottom="170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124" w:rsidRDefault="00D31124">
      <w:r>
        <w:separator/>
      </w:r>
    </w:p>
  </w:endnote>
  <w:endnote w:type="continuationSeparator" w:id="0">
    <w:p w:rsidR="00D31124" w:rsidRDefault="00D3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otham Rounded Book">
    <w:altName w:val="Gotham Rounded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Mäori">
    <w:altName w:val="Arial"/>
    <w:charset w:val="00"/>
    <w:family w:val="swiss"/>
    <w:pitch w:val="variable"/>
    <w:sig w:usb0="20007A87" w:usb1="80000000" w:usb2="00000008" w:usb3="00000000" w:csb0="000001FF" w:csb1="00000000"/>
  </w:font>
  <w:font w:name="TimesNewRoman">
    <w:altName w:val="Arial"/>
    <w:panose1 w:val="00000000000000000000"/>
    <w:charset w:val="00"/>
    <w:family w:val="roman"/>
    <w:notTrueType/>
    <w:pitch w:val="default"/>
    <w:sig w:usb0="00000003" w:usb1="00000000" w:usb2="00000000" w:usb3="00000000" w:csb0="00000001" w:csb1="00000000"/>
  </w:font>
  <w:font w:name="MyriadPro-Regular">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rsidP="005719A8">
    <w:pPr>
      <w:pStyle w:val="Footer"/>
      <w:jc w:val="center"/>
    </w:pPr>
    <w:r>
      <w:rPr>
        <w:noProof/>
        <w:lang w:eastAsia="en-NZ"/>
      </w:rPr>
      <w:drawing>
        <wp:inline distT="0" distB="0" distL="0" distR="0" wp14:anchorId="5014714F" wp14:editId="3B4BD60A">
          <wp:extent cx="6657975" cy="1247775"/>
          <wp:effectExtent l="0" t="0" r="9525" b="9525"/>
          <wp:docPr id="16" name="Picture 16" descr="Address Bann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ress Banner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7975" cy="12477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pPr>
      <w:pStyle w:val="Footer"/>
      <w:jc w:val="right"/>
    </w:pPr>
    <w:proofErr w:type="gramStart"/>
    <w:r>
      <w:rPr>
        <w:rStyle w:val="PageNumber"/>
        <w:sz w:val="16"/>
      </w:rPr>
      <w:t>competency</w:t>
    </w:r>
    <w:proofErr w:type="gramEnd"/>
    <w:r>
      <w:rPr>
        <w:rStyle w:val="PageNumber"/>
        <w:sz w:val="16"/>
      </w:rPr>
      <w:t xml:space="preserve"> 1 </w:t>
    </w:r>
    <w:r>
      <w:rPr>
        <w:rStyle w:val="PageNumber"/>
      </w:rPr>
      <w:t>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Pr="00A44D12" w:rsidRDefault="00D31124" w:rsidP="005719A8">
    <w:pPr>
      <w:pStyle w:val="Footer"/>
    </w:pPr>
    <w:r>
      <w:rPr>
        <w:noProof/>
        <w:lang w:eastAsia="en-NZ"/>
      </w:rPr>
      <w:drawing>
        <wp:inline distT="0" distB="0" distL="0" distR="0" wp14:anchorId="675F1E83" wp14:editId="47228279">
          <wp:extent cx="5762625" cy="952500"/>
          <wp:effectExtent l="0" t="0" r="9525" b="0"/>
          <wp:docPr id="27" name="Picture 27" descr="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95250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Pr="00C12B25" w:rsidRDefault="00D31124" w:rsidP="006D1441">
    <w:pPr>
      <w:pStyle w:val="Footer"/>
    </w:pPr>
    <w:r>
      <w:rPr>
        <w:noProof/>
        <w:lang w:eastAsia="en-NZ"/>
      </w:rPr>
      <w:drawing>
        <wp:inline distT="0" distB="0" distL="0" distR="0" wp14:anchorId="11F4319A" wp14:editId="601FAC06">
          <wp:extent cx="1451360" cy="4462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64266" cy="450220"/>
                  </a:xfrm>
                  <a:prstGeom prst="rect">
                    <a:avLst/>
                  </a:prstGeom>
                </pic:spPr>
              </pic:pic>
            </a:graphicData>
          </a:graphic>
        </wp:inline>
      </w:drawing>
    </w:r>
    <w:r>
      <w:rPr>
        <w:noProof/>
        <w:lang w:eastAsia="en-NZ"/>
      </w:rPr>
      <w:t xml:space="preserve">                      </w:t>
    </w:r>
    <w:r>
      <w:rPr>
        <w:noProof/>
        <w:lang w:eastAsia="en-NZ"/>
      </w:rPr>
      <w:drawing>
        <wp:inline distT="0" distB="0" distL="0" distR="0" wp14:anchorId="3A173C2B" wp14:editId="286C1D3B">
          <wp:extent cx="1155700" cy="42100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5700" cy="421005"/>
                  </a:xfrm>
                  <a:prstGeom prst="rect">
                    <a:avLst/>
                  </a:prstGeom>
                  <a:noFill/>
                </pic:spPr>
              </pic:pic>
            </a:graphicData>
          </a:graphic>
        </wp:inline>
      </w:drawing>
    </w:r>
    <w:r>
      <w:rPr>
        <w:noProof/>
        <w:lang w:eastAsia="en-NZ"/>
      </w:rPr>
      <w:t xml:space="preserve">                      </w:t>
    </w:r>
    <w:r>
      <w:rPr>
        <w:noProof/>
        <w:lang w:eastAsia="en-NZ"/>
      </w:rPr>
      <w:drawing>
        <wp:inline distT="0" distB="0" distL="0" distR="0" wp14:anchorId="56AA3194" wp14:editId="5A3CF01A">
          <wp:extent cx="1000125" cy="304800"/>
          <wp:effectExtent l="0" t="0" r="9525" b="0"/>
          <wp:docPr id="45" name="Picture 45"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_Logo 2010_Colou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rsidP="00375396">
    <w:pPr>
      <w:pStyle w:val="Footer"/>
      <w:framePr w:wrap="around" w:vAnchor="text" w:hAnchor="page" w:x="10631" w:y="6"/>
      <w:rPr>
        <w:rStyle w:val="PageNumber"/>
      </w:rPr>
    </w:pPr>
    <w:r>
      <w:rPr>
        <w:rStyle w:val="PageNumber"/>
      </w:rPr>
      <w:fldChar w:fldCharType="begin"/>
    </w:r>
    <w:r>
      <w:rPr>
        <w:rStyle w:val="PageNumber"/>
      </w:rPr>
      <w:instrText xml:space="preserve">PAGE  </w:instrText>
    </w:r>
    <w:r>
      <w:rPr>
        <w:rStyle w:val="PageNumber"/>
      </w:rPr>
      <w:fldChar w:fldCharType="separate"/>
    </w:r>
    <w:r w:rsidR="00957CD0">
      <w:rPr>
        <w:rStyle w:val="PageNumber"/>
        <w:noProof/>
      </w:rPr>
      <w:t>112</w:t>
    </w:r>
    <w:r>
      <w:rPr>
        <w:rStyle w:val="PageNumber"/>
      </w:rPr>
      <w:fldChar w:fldCharType="end"/>
    </w:r>
  </w:p>
  <w:p w:rsidR="00D31124" w:rsidRPr="00C12B25" w:rsidRDefault="00D31124" w:rsidP="00375396">
    <w:pPr>
      <w:pStyle w:val="Footer"/>
    </w:pPr>
    <w:r>
      <w:rPr>
        <w:noProof/>
        <w:lang w:eastAsia="en-NZ"/>
      </w:rPr>
      <w:drawing>
        <wp:inline distT="0" distB="0" distL="0" distR="0" wp14:anchorId="3E98BA25" wp14:editId="0429F4BD">
          <wp:extent cx="1451360" cy="4462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64266" cy="450220"/>
                  </a:xfrm>
                  <a:prstGeom prst="rect">
                    <a:avLst/>
                  </a:prstGeom>
                </pic:spPr>
              </pic:pic>
            </a:graphicData>
          </a:graphic>
        </wp:inline>
      </w:drawing>
    </w:r>
    <w:r>
      <w:rPr>
        <w:noProof/>
        <w:lang w:eastAsia="en-NZ"/>
      </w:rPr>
      <w:t xml:space="preserve">                      </w:t>
    </w:r>
    <w:r>
      <w:rPr>
        <w:noProof/>
        <w:lang w:eastAsia="en-NZ"/>
      </w:rPr>
      <w:drawing>
        <wp:inline distT="0" distB="0" distL="0" distR="0" wp14:anchorId="589EA6B0" wp14:editId="596D9856">
          <wp:extent cx="1155700" cy="42100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5700" cy="421005"/>
                  </a:xfrm>
                  <a:prstGeom prst="rect">
                    <a:avLst/>
                  </a:prstGeom>
                  <a:noFill/>
                </pic:spPr>
              </pic:pic>
            </a:graphicData>
          </a:graphic>
        </wp:inline>
      </w:drawing>
    </w:r>
    <w:r>
      <w:rPr>
        <w:noProof/>
        <w:lang w:eastAsia="en-NZ"/>
      </w:rPr>
      <w:t xml:space="preserve">                      </w:t>
    </w:r>
    <w:r>
      <w:rPr>
        <w:noProof/>
        <w:lang w:eastAsia="en-NZ"/>
      </w:rPr>
      <w:drawing>
        <wp:inline distT="0" distB="0" distL="0" distR="0" wp14:anchorId="5C79F262" wp14:editId="4D547CF5">
          <wp:extent cx="1000125" cy="304800"/>
          <wp:effectExtent l="0" t="0" r="9525" b="0"/>
          <wp:docPr id="50" name="Picture 50"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_Logo 2010_Colou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pPr>
      <w:pStyle w:val="Footer"/>
      <w:jc w:val="right"/>
    </w:pPr>
    <w:proofErr w:type="gramStart"/>
    <w:r>
      <w:rPr>
        <w:rStyle w:val="PageNumber"/>
      </w:rPr>
      <w:t>competency</w:t>
    </w:r>
    <w:proofErr w:type="gramEnd"/>
    <w:r>
      <w:rPr>
        <w:rStyle w:val="PageNumber"/>
      </w:rPr>
      <w:t xml:space="preserve"> 1 1-1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rsidP="005719A8">
    <w:pPr>
      <w:pStyle w:val="Footer"/>
      <w:tabs>
        <w:tab w:val="left" w:pos="851"/>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Pr>
        <w:noProof/>
        <w:lang w:eastAsia="en-NZ"/>
      </w:rPr>
      <w:drawing>
        <wp:inline distT="0" distB="0" distL="0" distR="0" wp14:anchorId="37463896" wp14:editId="1BF5B6C0">
          <wp:extent cx="895350" cy="238125"/>
          <wp:effectExtent l="0" t="0" r="0" b="9525"/>
          <wp:docPr id="4" name="Picture 4" descr="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Pr="00C12B25" w:rsidRDefault="00D31124" w:rsidP="006D1441">
    <w:pPr>
      <w:pStyle w:val="Footer"/>
      <w:tabs>
        <w:tab w:val="left" w:pos="6195"/>
        <w:tab w:val="right" w:pos="8789"/>
        <w:tab w:val="right" w:pos="9639"/>
      </w:tabs>
    </w:pPr>
    <w:r>
      <w:rPr>
        <w:noProof/>
        <w:szCs w:val="20"/>
        <w:lang w:eastAsia="en-NZ"/>
      </w:rPr>
      <w:drawing>
        <wp:anchor distT="0" distB="0" distL="114300" distR="114300" simplePos="0" relativeHeight="251657216" behindDoc="1" locked="0" layoutInCell="1" allowOverlap="1" wp14:anchorId="3C709893" wp14:editId="469A1B6A">
          <wp:simplePos x="0" y="0"/>
          <wp:positionH relativeFrom="column">
            <wp:posOffset>4474845</wp:posOffset>
          </wp:positionH>
          <wp:positionV relativeFrom="paragraph">
            <wp:posOffset>20955</wp:posOffset>
          </wp:positionV>
          <wp:extent cx="999490" cy="304800"/>
          <wp:effectExtent l="0" t="0" r="0" b="0"/>
          <wp:wrapNone/>
          <wp:docPr id="5"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304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inline distT="0" distB="0" distL="0" distR="0" wp14:anchorId="211A8D72" wp14:editId="12B12363">
          <wp:extent cx="1451360" cy="446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464266" cy="450220"/>
                  </a:xfrm>
                  <a:prstGeom prst="rect">
                    <a:avLst/>
                  </a:prstGeom>
                </pic:spPr>
              </pic:pic>
            </a:graphicData>
          </a:graphic>
        </wp:inline>
      </w:drawing>
    </w:r>
    <w:r>
      <w:rPr>
        <w:noProof/>
        <w:lang w:eastAsia="en-NZ"/>
      </w:rPr>
      <w:t xml:space="preserve">                  </w:t>
    </w:r>
    <w:r>
      <w:rPr>
        <w:noProof/>
        <w:lang w:eastAsia="en-NZ"/>
      </w:rPr>
      <w:drawing>
        <wp:inline distT="0" distB="0" distL="0" distR="0" wp14:anchorId="30A73FB1" wp14:editId="1B434205">
          <wp:extent cx="1155700" cy="42100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5700" cy="421005"/>
                  </a:xfrm>
                  <a:prstGeom prst="rect">
                    <a:avLst/>
                  </a:prstGeom>
                  <a:noFill/>
                </pic:spPr>
              </pic:pic>
            </a:graphicData>
          </a:graphic>
        </wp:inline>
      </w:drawing>
    </w:r>
    <w:r>
      <w:tab/>
    </w:r>
    <w:r>
      <w:tab/>
    </w:r>
    <w:r>
      <w:tab/>
    </w:r>
    <w:r>
      <w:rPr>
        <w:rStyle w:val="PageNumber"/>
      </w:rPr>
      <w:fldChar w:fldCharType="begin"/>
    </w:r>
    <w:r>
      <w:rPr>
        <w:rStyle w:val="PageNumber"/>
      </w:rPr>
      <w:instrText xml:space="preserve"> PAGE </w:instrText>
    </w:r>
    <w:r>
      <w:rPr>
        <w:rStyle w:val="PageNumber"/>
      </w:rPr>
      <w:fldChar w:fldCharType="separate"/>
    </w:r>
    <w:r w:rsidR="00957CD0">
      <w:rPr>
        <w:rStyle w:val="PageNumber"/>
        <w:noProof/>
      </w:rPr>
      <w:t>147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124" w:rsidRDefault="00D31124" w:rsidP="005719A8">
      <w:pPr>
        <w:spacing w:before="0"/>
        <w:ind w:left="0"/>
      </w:pPr>
      <w:r>
        <w:separator/>
      </w:r>
    </w:p>
  </w:footnote>
  <w:footnote w:type="continuationSeparator" w:id="0">
    <w:p w:rsidR="00D31124" w:rsidRDefault="00D31124">
      <w:r>
        <w:continuationSeparator/>
      </w:r>
    </w:p>
  </w:footnote>
  <w:footnote w:id="1">
    <w:p w:rsidR="00D31124" w:rsidRDefault="00D31124" w:rsidP="008A36F0">
      <w:pPr>
        <w:pStyle w:val="FootnoteText"/>
      </w:pPr>
      <w:r w:rsidRPr="00697D47">
        <w:rPr>
          <w:rStyle w:val="FootnoteReference"/>
        </w:rPr>
        <w:footnoteRef/>
      </w:r>
      <w:r>
        <w:t xml:space="preserve"> </w:t>
      </w:r>
      <w:r>
        <w:tab/>
        <w:t xml:space="preserve">Note the </w:t>
      </w:r>
      <w:r w:rsidRPr="00A8645C">
        <w:t xml:space="preserve">epidemiological analysis </w:t>
      </w:r>
      <w:r>
        <w:t xml:space="preserve">is only for the first 18 months of invites with four months allowed for completion of the pathway. </w:t>
      </w:r>
    </w:p>
  </w:footnote>
  <w:footnote w:id="2">
    <w:p w:rsidR="00D31124" w:rsidRPr="009F2923" w:rsidRDefault="00D31124">
      <w:pPr>
        <w:pStyle w:val="FootnoteText"/>
        <w:rPr>
          <w:rFonts w:cs="Arial"/>
        </w:rPr>
      </w:pPr>
      <w:r w:rsidRPr="00697D47">
        <w:rPr>
          <w:rStyle w:val="FootnoteReference"/>
        </w:rPr>
        <w:footnoteRef/>
      </w:r>
      <w:r>
        <w:t xml:space="preserve"> </w:t>
      </w:r>
      <w:r>
        <w:tab/>
      </w:r>
      <w:r w:rsidRPr="00AE7C12">
        <w:rPr>
          <w:rFonts w:cs="Arial"/>
        </w:rPr>
        <w:t xml:space="preserve">Appendix 1 </w:t>
      </w:r>
      <w:r>
        <w:rPr>
          <w:rFonts w:cs="Arial"/>
        </w:rPr>
        <w:t xml:space="preserve">contains </w:t>
      </w:r>
      <w:r w:rsidRPr="00AE7C12">
        <w:rPr>
          <w:rFonts w:cs="Arial"/>
        </w:rPr>
        <w:t xml:space="preserve">the epidemiology report </w:t>
      </w:r>
      <w:r>
        <w:rPr>
          <w:rFonts w:cs="Arial"/>
        </w:rPr>
        <w:t>completed</w:t>
      </w:r>
      <w:r w:rsidRPr="00AE7C12">
        <w:rPr>
          <w:rFonts w:cs="Arial"/>
        </w:rPr>
        <w:t xml:space="preserve"> by the Centre for Public Health Research (CPHR) (Read, Shanthakumar, </w:t>
      </w:r>
      <w:proofErr w:type="gramStart"/>
      <w:r w:rsidRPr="00AE7C12">
        <w:rPr>
          <w:rFonts w:cs="Arial"/>
        </w:rPr>
        <w:t>Borman</w:t>
      </w:r>
      <w:proofErr w:type="gramEnd"/>
      <w:r w:rsidRPr="00AE7C12">
        <w:rPr>
          <w:rFonts w:cs="Arial"/>
        </w:rPr>
        <w:t xml:space="preserve"> 2014).  </w:t>
      </w:r>
    </w:p>
  </w:footnote>
  <w:footnote w:id="3">
    <w:p w:rsidR="00D31124" w:rsidRDefault="00D31124">
      <w:pPr>
        <w:pStyle w:val="FootnoteText"/>
      </w:pPr>
      <w:r>
        <w:rPr>
          <w:rStyle w:val="FootnoteReference"/>
        </w:rPr>
        <w:footnoteRef/>
      </w:r>
      <w:r>
        <w:t xml:space="preserve"> </w:t>
      </w:r>
      <w:r>
        <w:tab/>
      </w:r>
      <w:r w:rsidRPr="00866AAB">
        <w:rPr>
          <w:rFonts w:cs="Arial"/>
        </w:rPr>
        <w:t>Note that the costing analysis is based</w:t>
      </w:r>
      <w:r>
        <w:t xml:space="preserve"> on volumes reported for the full two-year screening round.</w:t>
      </w:r>
    </w:p>
  </w:footnote>
  <w:footnote w:id="4">
    <w:p w:rsidR="00D31124" w:rsidRPr="006A154F" w:rsidRDefault="00D31124" w:rsidP="00A750D7">
      <w:pPr>
        <w:pStyle w:val="FootnoteText"/>
        <w:rPr>
          <w:rFonts w:cs="Arial"/>
        </w:rPr>
      </w:pPr>
      <w:r w:rsidRPr="00697D47">
        <w:rPr>
          <w:rStyle w:val="FootnoteReference"/>
        </w:rPr>
        <w:footnoteRef/>
      </w:r>
      <w:r w:rsidRPr="006A154F">
        <w:rPr>
          <w:rFonts w:cs="Arial"/>
        </w:rPr>
        <w:t xml:space="preserve"> </w:t>
      </w:r>
      <w:r>
        <w:rPr>
          <w:rFonts w:cs="Arial"/>
        </w:rPr>
        <w:tab/>
        <w:t>This is a proportion rather than a rate which is occurrence per unit time. “Rate” has been used synonymously with “proportion” in this report to improve readability.</w:t>
      </w:r>
    </w:p>
  </w:footnote>
  <w:footnote w:id="5">
    <w:p w:rsidR="00D31124" w:rsidRPr="00231F02" w:rsidRDefault="00D31124" w:rsidP="00A750D7">
      <w:pPr>
        <w:pStyle w:val="FootnoteText"/>
        <w:rPr>
          <w:rFonts w:cs="Arial"/>
        </w:rPr>
      </w:pPr>
      <w:r w:rsidRPr="00697D47">
        <w:rPr>
          <w:rStyle w:val="FootnoteReference"/>
        </w:rPr>
        <w:footnoteRef/>
      </w:r>
      <w:r w:rsidRPr="00231F02">
        <w:rPr>
          <w:rFonts w:cs="Arial"/>
        </w:rPr>
        <w:t xml:space="preserve"> </w:t>
      </w:r>
      <w:r>
        <w:rPr>
          <w:rFonts w:cs="Arial"/>
        </w:rPr>
        <w:tab/>
      </w:r>
      <w:r w:rsidRPr="00231F02">
        <w:rPr>
          <w:rFonts w:cs="Arial"/>
        </w:rPr>
        <w:t>The denominator for readmissions is all colonoscopies (n=4,001)</w:t>
      </w:r>
      <w:r>
        <w:rPr>
          <w:rFonts w:cs="Arial"/>
        </w:rPr>
        <w:t>,</w:t>
      </w:r>
      <w:r w:rsidRPr="00231F02">
        <w:rPr>
          <w:rFonts w:cs="Arial"/>
        </w:rPr>
        <w:t xml:space="preserve"> not just publicly funded colonoscopies (n=2,843</w:t>
      </w:r>
      <w:r>
        <w:rPr>
          <w:rFonts w:cs="Arial"/>
        </w:rPr>
        <w:t xml:space="preserve"> Figure 1</w:t>
      </w:r>
      <w:r w:rsidRPr="00231F02">
        <w:rPr>
          <w:rFonts w:cs="Arial"/>
        </w:rPr>
        <w:t>)</w:t>
      </w:r>
      <w:r>
        <w:rPr>
          <w:rFonts w:cs="Arial"/>
        </w:rPr>
        <w:t>,</w:t>
      </w:r>
      <w:r w:rsidRPr="00231F02">
        <w:rPr>
          <w:rFonts w:cs="Arial"/>
        </w:rPr>
        <w:t xml:space="preserve"> as this was how the </w:t>
      </w:r>
      <w:r>
        <w:rPr>
          <w:rFonts w:cs="Arial"/>
        </w:rPr>
        <w:t xml:space="preserve">readmissions </w:t>
      </w:r>
      <w:r w:rsidRPr="00231F02">
        <w:rPr>
          <w:rFonts w:cs="Arial"/>
        </w:rPr>
        <w:t>data was supplied to CPHR.</w:t>
      </w:r>
    </w:p>
  </w:footnote>
  <w:footnote w:id="6">
    <w:p w:rsidR="00D31124" w:rsidRPr="007667C8" w:rsidRDefault="00D31124" w:rsidP="00A750D7">
      <w:pPr>
        <w:pStyle w:val="FootnoteText"/>
        <w:rPr>
          <w:rFonts w:cs="Arial"/>
        </w:rPr>
      </w:pPr>
      <w:r w:rsidRPr="00697D47">
        <w:rPr>
          <w:rStyle w:val="FootnoteReference"/>
        </w:rPr>
        <w:footnoteRef/>
      </w:r>
      <w:r w:rsidRPr="007667C8">
        <w:rPr>
          <w:rFonts w:cs="Arial"/>
        </w:rPr>
        <w:t xml:space="preserve"> </w:t>
      </w:r>
      <w:r>
        <w:rPr>
          <w:rFonts w:cs="Arial"/>
        </w:rPr>
        <w:tab/>
        <w:t>See Section 3.1 Adverse events for comparisons with reported data from other programmes.</w:t>
      </w:r>
    </w:p>
  </w:footnote>
  <w:footnote w:id="7">
    <w:p w:rsidR="00D31124" w:rsidRDefault="00D31124" w:rsidP="004830F8">
      <w:pPr>
        <w:pStyle w:val="FootnoteText"/>
      </w:pPr>
      <w:r w:rsidRPr="00697D47">
        <w:rPr>
          <w:rStyle w:val="FootnoteReference"/>
        </w:rPr>
        <w:footnoteRef/>
      </w:r>
      <w:r>
        <w:t xml:space="preserve"> </w:t>
      </w:r>
      <w:r>
        <w:tab/>
        <w:t xml:space="preserve">From September 2013 the data resource at WDHB doubled. </w:t>
      </w:r>
    </w:p>
  </w:footnote>
  <w:footnote w:id="8">
    <w:p w:rsidR="00D31124" w:rsidRDefault="00D31124" w:rsidP="00067BD4">
      <w:pPr>
        <w:pStyle w:val="FootnoteText"/>
      </w:pPr>
      <w:r w:rsidRPr="00697D47">
        <w:rPr>
          <w:rStyle w:val="FootnoteReference"/>
        </w:rPr>
        <w:footnoteRef/>
      </w:r>
      <w:r>
        <w:t xml:space="preserve"> </w:t>
      </w:r>
      <w:r>
        <w:tab/>
        <w:t xml:space="preserve">In the eligible population surveys, the </w:t>
      </w:r>
      <w:proofErr w:type="gramStart"/>
      <w:r>
        <w:t>Other</w:t>
      </w:r>
      <w:proofErr w:type="gramEnd"/>
      <w:r>
        <w:t xml:space="preserve"> group is non-M</w:t>
      </w:r>
      <w:r>
        <w:rPr>
          <w:rFonts w:cs="Arial"/>
        </w:rPr>
        <w:t>ā</w:t>
      </w:r>
      <w:r>
        <w:t>ori, non-Pacific, and non-Asian and is predominantly made up of New Zealand European/ P</w:t>
      </w:r>
      <w:r>
        <w:rPr>
          <w:rFonts w:cs="Arial"/>
        </w:rPr>
        <w:t>ā</w:t>
      </w:r>
      <w:r>
        <w:t>keh</w:t>
      </w:r>
      <w:r>
        <w:rPr>
          <w:rFonts w:cs="Arial"/>
        </w:rPr>
        <w:t xml:space="preserve">ā </w:t>
      </w:r>
      <w:r w:rsidRPr="003F63ED">
        <w:t>(Litmus 2014a)</w:t>
      </w:r>
      <w:r>
        <w:rPr>
          <w:rFonts w:cs="Arial"/>
        </w:rPr>
        <w:t xml:space="preserve">.  </w:t>
      </w:r>
    </w:p>
  </w:footnote>
  <w:footnote w:id="9">
    <w:p w:rsidR="00D31124" w:rsidRDefault="00D31124" w:rsidP="007C3D83">
      <w:pPr>
        <w:pStyle w:val="FootnoteText"/>
      </w:pPr>
      <w:r w:rsidRPr="00015F19">
        <w:rPr>
          <w:rStyle w:val="FootnoteReference"/>
        </w:rPr>
        <w:footnoteRef/>
      </w:r>
      <w:r w:rsidRPr="00015F19">
        <w:t xml:space="preserve"> </w:t>
      </w:r>
      <w:r w:rsidRPr="00015F19">
        <w:tab/>
      </w:r>
      <w:r w:rsidRPr="00015F19">
        <w:fldChar w:fldCharType="begin"/>
      </w:r>
      <w:r w:rsidRPr="00015F19">
        <w:instrText xml:space="preserve"> REF _Ref406579706 \h  \* MERGEFORMAT </w:instrText>
      </w:r>
      <w:r w:rsidRPr="00015F19">
        <w:fldChar w:fldCharType="separate"/>
      </w:r>
      <w:r w:rsidR="00957CD0" w:rsidRPr="007C0659">
        <w:t xml:space="preserve">Table </w:t>
      </w:r>
      <w:r w:rsidR="00957CD0">
        <w:t>11</w:t>
      </w:r>
      <w:r w:rsidRPr="00015F19">
        <w:fldChar w:fldCharType="end"/>
      </w:r>
      <w:r>
        <w:t xml:space="preserve"> on page 111 </w:t>
      </w:r>
      <w:r w:rsidRPr="00015F19">
        <w:t>of the report refers.</w:t>
      </w:r>
    </w:p>
  </w:footnote>
  <w:footnote w:id="10">
    <w:p w:rsidR="00D31124" w:rsidRDefault="00D31124" w:rsidP="007C3D83">
      <w:pPr>
        <w:pStyle w:val="FootnoteText"/>
        <w:tabs>
          <w:tab w:val="left" w:pos="0"/>
        </w:tabs>
      </w:pPr>
      <w:r>
        <w:rPr>
          <w:rStyle w:val="FootnoteReference"/>
        </w:rPr>
        <w:footnoteRef/>
      </w:r>
      <w:r>
        <w:t xml:space="preserve"> </w:t>
      </w:r>
      <w:r>
        <w:tab/>
        <w:t>This is an estimate of the proportion of Ministry of Health staff time spent per year on the BSP, including contract management, monitoring and development of policy advice.</w:t>
      </w:r>
    </w:p>
  </w:footnote>
  <w:footnote w:id="11">
    <w:p w:rsidR="00D31124" w:rsidRDefault="00D31124" w:rsidP="007C3D83">
      <w:pPr>
        <w:pStyle w:val="FootnoteText"/>
      </w:pPr>
      <w:r>
        <w:rPr>
          <w:rStyle w:val="FootnoteReference"/>
        </w:rPr>
        <w:footnoteRef/>
      </w:r>
      <w:r>
        <w:t xml:space="preserve"> </w:t>
      </w:r>
      <w:r>
        <w:tab/>
      </w:r>
      <w:r>
        <w:rPr>
          <w:rFonts w:eastAsia="Calibri"/>
        </w:rPr>
        <w:t>The cost per cancer/adenoma/lesion is derived by dividing the total operating costs of the pilot by the number of cancers/adenomas/lesions detected during the pilot. It is not the sum of the direct costs of detecting a single cancer/adenoma/lesion.</w:t>
      </w:r>
    </w:p>
  </w:footnote>
  <w:footnote w:id="12">
    <w:p w:rsidR="00D31124" w:rsidRPr="00843B18" w:rsidRDefault="00D31124" w:rsidP="00F47669">
      <w:pPr>
        <w:pStyle w:val="FootnoteText"/>
        <w:rPr>
          <w:rFonts w:cs="Arial"/>
        </w:rPr>
      </w:pPr>
      <w:r w:rsidRPr="00697D47">
        <w:rPr>
          <w:rStyle w:val="FootnoteReference"/>
        </w:rPr>
        <w:footnoteRef/>
      </w:r>
      <w:r w:rsidRPr="00843B18">
        <w:rPr>
          <w:rFonts w:cs="Arial"/>
        </w:rPr>
        <w:t xml:space="preserve"> </w:t>
      </w:r>
      <w:r>
        <w:rPr>
          <w:rFonts w:cs="Arial"/>
        </w:rPr>
        <w:tab/>
      </w:r>
      <w:r w:rsidRPr="00843B18">
        <w:rPr>
          <w:rFonts w:cs="Arial"/>
        </w:rPr>
        <w:t xml:space="preserve">Disease refers to </w:t>
      </w:r>
      <w:r>
        <w:rPr>
          <w:rFonts w:cs="Arial"/>
        </w:rPr>
        <w:t>‘</w:t>
      </w:r>
      <w:r w:rsidRPr="00843B18">
        <w:rPr>
          <w:rFonts w:cs="Arial"/>
        </w:rPr>
        <w:t>neoplasia</w:t>
      </w:r>
      <w:r>
        <w:rPr>
          <w:rFonts w:cs="Arial"/>
        </w:rPr>
        <w:t>’</w:t>
      </w:r>
      <w:r w:rsidRPr="00843B18">
        <w:rPr>
          <w:rFonts w:cs="Arial"/>
        </w:rPr>
        <w:t xml:space="preserve"> </w:t>
      </w:r>
      <w:r>
        <w:rPr>
          <w:rFonts w:cs="Arial"/>
        </w:rPr>
        <w:t>(adenomas and colorectal cancer).</w:t>
      </w:r>
    </w:p>
  </w:footnote>
  <w:footnote w:id="13">
    <w:p w:rsidR="00D31124" w:rsidRDefault="00D31124">
      <w:pPr>
        <w:pStyle w:val="FootnoteText"/>
      </w:pPr>
      <w:r w:rsidRPr="00697D47">
        <w:rPr>
          <w:rStyle w:val="FootnoteReference"/>
        </w:rPr>
        <w:footnoteRef/>
      </w:r>
      <w:r>
        <w:t xml:space="preserve"> </w:t>
      </w:r>
      <w:r>
        <w:tab/>
        <w:t xml:space="preserve">Refer to Section 2.4 of the </w:t>
      </w:r>
      <w:r>
        <w:rPr>
          <w:i/>
        </w:rPr>
        <w:t xml:space="preserve">Evaluation Plan for the Bowel Screening Pilot 2011–2016 </w:t>
      </w:r>
      <w:r>
        <w:t>(Litmus 2011) for the full list of evaluation questions.</w:t>
      </w:r>
    </w:p>
  </w:footnote>
  <w:footnote w:id="14">
    <w:p w:rsidR="00D31124" w:rsidRDefault="00D31124">
      <w:pPr>
        <w:pStyle w:val="FootnoteText"/>
      </w:pPr>
      <w:r w:rsidRPr="00697D47">
        <w:rPr>
          <w:rStyle w:val="FootnoteReference"/>
        </w:rPr>
        <w:footnoteRef/>
      </w:r>
      <w:r>
        <w:t xml:space="preserve"> </w:t>
      </w:r>
      <w:r>
        <w:tab/>
        <w:t>Following feedback from WDHB’s Kaitiaki Roopu, it is intended that the pre-invitation letters will now be sent two weeks before the invitation. This has not yet been actioned at the time of writing the report.</w:t>
      </w:r>
    </w:p>
  </w:footnote>
  <w:footnote w:id="15">
    <w:p w:rsidR="00D31124" w:rsidRPr="00D63E90" w:rsidRDefault="00D31124" w:rsidP="005336F5">
      <w:pPr>
        <w:pStyle w:val="FootnoteText"/>
        <w:rPr>
          <w:rFonts w:cs="Arial"/>
        </w:rPr>
      </w:pPr>
      <w:r w:rsidRPr="00F16D07">
        <w:rPr>
          <w:rStyle w:val="FootnoteReference"/>
        </w:rPr>
        <w:footnoteRef/>
      </w:r>
      <w:r w:rsidRPr="00F16D07">
        <w:tab/>
      </w:r>
      <w:r w:rsidRPr="0070076F">
        <w:rPr>
          <w:iCs/>
        </w:rPr>
        <w:t>A single sample iFOBT, also referred to internationally as</w:t>
      </w:r>
      <w:r>
        <w:rPr>
          <w:iCs/>
        </w:rPr>
        <w:t xml:space="preserve"> a</w:t>
      </w:r>
      <w:r w:rsidRPr="0070076F">
        <w:rPr>
          <w:iCs/>
        </w:rPr>
        <w:t xml:space="preserve"> Faecal Immunochemical Test, made by Eiken Chemical Co., Ltd., Tokyo is being used in the BSP. The test is known as OC-Sensor. The sensitivity cut off for </w:t>
      </w:r>
      <w:r w:rsidRPr="0070076F">
        <w:rPr>
          <w:iCs/>
          <w:lang w:val="en-US"/>
        </w:rPr>
        <w:t xml:space="preserve">test positivity </w:t>
      </w:r>
      <w:r w:rsidRPr="0070076F">
        <w:rPr>
          <w:iCs/>
        </w:rPr>
        <w:t>is 75 ng HB/mL.</w:t>
      </w:r>
      <w:r>
        <w:rPr>
          <w:i/>
          <w:iCs/>
        </w:rPr>
        <w:t> </w:t>
      </w:r>
    </w:p>
  </w:footnote>
  <w:footnote w:id="16">
    <w:p w:rsidR="00D31124" w:rsidRDefault="00D31124" w:rsidP="00A32244">
      <w:pPr>
        <w:pStyle w:val="FootnoteText"/>
      </w:pPr>
      <w:r w:rsidRPr="00697D47">
        <w:rPr>
          <w:rStyle w:val="FootnoteReference"/>
        </w:rPr>
        <w:footnoteRef/>
      </w:r>
      <w:r>
        <w:t xml:space="preserve"> </w:t>
      </w:r>
      <w:r>
        <w:tab/>
        <w:t xml:space="preserve">Spoilt kit </w:t>
      </w:r>
      <w:r>
        <w:rPr>
          <w:lang w:val="en-US"/>
        </w:rPr>
        <w:t xml:space="preserve">refers to iFOBT kits where the test has not been performed or labelled correctly.  Most spoilt kits are due to date and label issues. </w:t>
      </w:r>
    </w:p>
  </w:footnote>
  <w:footnote w:id="17">
    <w:p w:rsidR="00D31124" w:rsidRDefault="00D31124">
      <w:pPr>
        <w:pStyle w:val="FootnoteText"/>
      </w:pPr>
      <w:r w:rsidRPr="00697D47">
        <w:rPr>
          <w:rStyle w:val="FootnoteReference"/>
        </w:rPr>
        <w:footnoteRef/>
      </w:r>
      <w:r>
        <w:t xml:space="preserve"> </w:t>
      </w:r>
      <w:r>
        <w:tab/>
      </w:r>
      <w:r w:rsidRPr="00463B7A">
        <w:t xml:space="preserve">In the early implementation stages of the BSP, </w:t>
      </w:r>
      <w:r w:rsidRPr="00463B7A">
        <w:rPr>
          <w:lang w:eastAsia="ar-SA"/>
        </w:rPr>
        <w:t>participants with a positive iFOBT</w:t>
      </w:r>
      <w:r w:rsidRPr="00463B7A">
        <w:t xml:space="preserve"> received a separate letter informing them in writing about their positive result.  This letter has now been merged with the colonoscopy approintment letter.</w:t>
      </w:r>
      <w:r>
        <w:t xml:space="preserve"> </w:t>
      </w:r>
    </w:p>
  </w:footnote>
  <w:footnote w:id="18">
    <w:p w:rsidR="00D31124" w:rsidRPr="00441ABF" w:rsidRDefault="00D31124">
      <w:pPr>
        <w:pStyle w:val="FootnoteText"/>
        <w:rPr>
          <w:i/>
        </w:rPr>
      </w:pPr>
      <w:r w:rsidRPr="00697D47">
        <w:rPr>
          <w:rStyle w:val="FootnoteReference"/>
        </w:rPr>
        <w:footnoteRef/>
      </w:r>
      <w:r>
        <w:t xml:space="preserve"> </w:t>
      </w:r>
      <w:r>
        <w:tab/>
      </w:r>
      <w:r w:rsidRPr="00441ABF">
        <w:t xml:space="preserve">Surveillance is defined by the New Zealand Guidelines Group </w:t>
      </w:r>
      <w:r>
        <w:t xml:space="preserve">(2004) </w:t>
      </w:r>
      <w:r w:rsidRPr="00441ABF">
        <w:t>guidelines ‘</w:t>
      </w:r>
      <w:r w:rsidRPr="00441ABF">
        <w:rPr>
          <w:i/>
        </w:rPr>
        <w:t>Surveillance and Management of Groups at Increased Risk of Colorectal Cancer’</w:t>
      </w:r>
    </w:p>
  </w:footnote>
  <w:footnote w:id="19">
    <w:p w:rsidR="00D31124" w:rsidRDefault="00D31124" w:rsidP="00CF57F1">
      <w:pPr>
        <w:pStyle w:val="FootnoteText"/>
      </w:pPr>
      <w:r w:rsidRPr="00697D47">
        <w:rPr>
          <w:rStyle w:val="FootnoteReference"/>
        </w:rPr>
        <w:footnoteRef/>
      </w:r>
      <w:r>
        <w:t xml:space="preserve"> </w:t>
      </w:r>
      <w:r>
        <w:tab/>
        <w:t xml:space="preserve">The Register has a field for surveillance but not for the recommended surveillance period.   </w:t>
      </w:r>
    </w:p>
  </w:footnote>
  <w:footnote w:id="20">
    <w:p w:rsidR="00D31124" w:rsidRDefault="00D31124">
      <w:pPr>
        <w:pStyle w:val="FootnoteText"/>
      </w:pPr>
      <w:r w:rsidRPr="00697D47">
        <w:rPr>
          <w:rStyle w:val="FootnoteReference"/>
        </w:rPr>
        <w:footnoteRef/>
      </w:r>
      <w:r>
        <w:t xml:space="preserve"> </w:t>
      </w:r>
      <w:r>
        <w:tab/>
        <w:t xml:space="preserve">Note the </w:t>
      </w:r>
      <w:r w:rsidRPr="00A8645C">
        <w:t xml:space="preserve">epidemiological analysis </w:t>
      </w:r>
      <w:r>
        <w:t xml:space="preserve">is only for the first 18 months of invites with four months allowed for completion of the pathway. </w:t>
      </w:r>
    </w:p>
  </w:footnote>
  <w:footnote w:id="21">
    <w:p w:rsidR="00D31124" w:rsidRDefault="00D31124" w:rsidP="008A36F0">
      <w:pPr>
        <w:pStyle w:val="FootnoteText"/>
      </w:pPr>
      <w:r w:rsidRPr="00697D47">
        <w:rPr>
          <w:rStyle w:val="FootnoteReference"/>
        </w:rPr>
        <w:footnoteRef/>
      </w:r>
      <w:r>
        <w:t xml:space="preserve"> </w:t>
      </w:r>
      <w:r>
        <w:tab/>
        <w:t xml:space="preserve">The </w:t>
      </w:r>
      <w:r w:rsidRPr="00970B2D">
        <w:rPr>
          <w:i/>
        </w:rPr>
        <w:t xml:space="preserve">Evaluation Plan for the Bowel Screening Pilot 2011–2016 </w:t>
      </w:r>
      <w:r>
        <w:t xml:space="preserve">(Litmus, 2011) details evaluation activities undertaken between 2012 and 2014.  </w:t>
      </w:r>
    </w:p>
  </w:footnote>
  <w:footnote w:id="22">
    <w:p w:rsidR="00D31124" w:rsidRDefault="00D31124">
      <w:pPr>
        <w:pStyle w:val="FootnoteText"/>
      </w:pPr>
      <w:r w:rsidRPr="00697D47">
        <w:rPr>
          <w:rStyle w:val="FootnoteReference"/>
        </w:rPr>
        <w:footnoteRef/>
      </w:r>
      <w:r>
        <w:t xml:space="preserve"> </w:t>
      </w:r>
      <w:r>
        <w:tab/>
        <w:t xml:space="preserve">Full details of the research methods used and their limitations can be found in each report.  Section 2.3 provides a synthesis of evaluation limitations to consider when reviewing the findings. </w:t>
      </w:r>
    </w:p>
  </w:footnote>
  <w:footnote w:id="23">
    <w:p w:rsidR="00D31124" w:rsidRPr="00744428" w:rsidRDefault="00D31124" w:rsidP="00A8645C">
      <w:pPr>
        <w:pStyle w:val="FootnoteText"/>
        <w:rPr>
          <w:rFonts w:cs="Arial"/>
        </w:rPr>
      </w:pPr>
      <w:r w:rsidRPr="00697D47">
        <w:rPr>
          <w:rStyle w:val="FootnoteReference"/>
        </w:rPr>
        <w:footnoteRef/>
      </w:r>
      <w:r w:rsidRPr="00744428">
        <w:rPr>
          <w:rFonts w:cs="Arial"/>
        </w:rPr>
        <w:t xml:space="preserve"> </w:t>
      </w:r>
      <w:r>
        <w:rPr>
          <w:rFonts w:cs="Arial"/>
        </w:rPr>
        <w:tab/>
        <w:t>T</w:t>
      </w:r>
      <w:r w:rsidRPr="00744428">
        <w:rPr>
          <w:rFonts w:cs="Arial"/>
        </w:rPr>
        <w:t xml:space="preserve">he result is deemed to be statistically significant </w:t>
      </w:r>
      <w:r>
        <w:rPr>
          <w:rFonts w:cs="Arial"/>
        </w:rPr>
        <w:t>i</w:t>
      </w:r>
      <w:r w:rsidRPr="00744428">
        <w:rPr>
          <w:rFonts w:cs="Arial"/>
        </w:rPr>
        <w:t>f the 95% confidence interval</w:t>
      </w:r>
      <w:r>
        <w:rPr>
          <w:rFonts w:cs="Arial"/>
        </w:rPr>
        <w:t xml:space="preserve"> of the odds ratio</w:t>
      </w:r>
      <w:r w:rsidRPr="00744428">
        <w:rPr>
          <w:rFonts w:cs="Arial"/>
        </w:rPr>
        <w:t xml:space="preserve"> does not include 1.</w:t>
      </w:r>
    </w:p>
  </w:footnote>
  <w:footnote w:id="24">
    <w:p w:rsidR="00D31124" w:rsidRDefault="00D31124" w:rsidP="004D1220">
      <w:pPr>
        <w:pStyle w:val="FootnoteText"/>
      </w:pPr>
      <w:r w:rsidRPr="00697D47">
        <w:rPr>
          <w:rStyle w:val="FootnoteReference"/>
        </w:rPr>
        <w:footnoteRef/>
      </w:r>
      <w:r w:rsidRPr="00150E51">
        <w:tab/>
        <w:t>The design effects used were 1.67 for the 2011 survey and 1.87 for the 2013 survey. These allow</w:t>
      </w:r>
      <w:r w:rsidRPr="00150E51">
        <w:rPr>
          <w:rFonts w:eastAsia="Arial"/>
        </w:rPr>
        <w:t xml:space="preserve"> </w:t>
      </w:r>
      <w:r w:rsidRPr="00150E51">
        <w:t>for</w:t>
      </w:r>
      <w:r w:rsidRPr="00150E51">
        <w:rPr>
          <w:rFonts w:eastAsia="Arial"/>
        </w:rPr>
        <w:t xml:space="preserve"> </w:t>
      </w:r>
      <w:r w:rsidRPr="00150E51">
        <w:t>the</w:t>
      </w:r>
      <w:r w:rsidRPr="00150E51">
        <w:rPr>
          <w:rFonts w:eastAsia="Arial"/>
        </w:rPr>
        <w:t xml:space="preserve"> </w:t>
      </w:r>
      <w:r w:rsidRPr="00150E51">
        <w:t>selection</w:t>
      </w:r>
      <w:r w:rsidRPr="00150E51">
        <w:rPr>
          <w:rFonts w:eastAsia="Arial"/>
        </w:rPr>
        <w:t xml:space="preserve"> </w:t>
      </w:r>
      <w:r w:rsidRPr="00150E51">
        <w:t>of</w:t>
      </w:r>
      <w:r w:rsidRPr="00150E51">
        <w:rPr>
          <w:rFonts w:eastAsia="Arial"/>
        </w:rPr>
        <w:t xml:space="preserve"> </w:t>
      </w:r>
      <w:r w:rsidRPr="00150E51">
        <w:t>one</w:t>
      </w:r>
      <w:r w:rsidRPr="00150E51">
        <w:rPr>
          <w:rFonts w:eastAsia="Arial"/>
        </w:rPr>
        <w:t xml:space="preserve"> </w:t>
      </w:r>
      <w:r w:rsidRPr="00150E51">
        <w:t>person</w:t>
      </w:r>
      <w:r w:rsidRPr="00150E51">
        <w:rPr>
          <w:rFonts w:eastAsia="Arial"/>
        </w:rPr>
        <w:t xml:space="preserve"> </w:t>
      </w:r>
      <w:r w:rsidRPr="00150E51">
        <w:t>per</w:t>
      </w:r>
      <w:r w:rsidRPr="00150E51">
        <w:rPr>
          <w:rFonts w:eastAsia="Arial"/>
        </w:rPr>
        <w:t xml:space="preserve"> </w:t>
      </w:r>
      <w:r w:rsidRPr="00150E51">
        <w:t>household, booster sampling</w:t>
      </w:r>
      <w:r w:rsidRPr="00150E51">
        <w:rPr>
          <w:rFonts w:eastAsia="Arial"/>
        </w:rPr>
        <w:t xml:space="preserve"> </w:t>
      </w:r>
      <w:r w:rsidRPr="00150E51">
        <w:t>and</w:t>
      </w:r>
      <w:r w:rsidRPr="00150E51">
        <w:rPr>
          <w:rFonts w:eastAsia="Arial"/>
        </w:rPr>
        <w:t xml:space="preserve"> </w:t>
      </w:r>
      <w:r w:rsidRPr="00150E51">
        <w:t>weighting</w:t>
      </w:r>
      <w:r w:rsidRPr="00150E51">
        <w:rPr>
          <w:rFonts w:eastAsia="Arial"/>
        </w:rPr>
        <w:t xml:space="preserve"> </w:t>
      </w:r>
      <w:r w:rsidRPr="00150E51">
        <w:t>by</w:t>
      </w:r>
      <w:r w:rsidRPr="00150E51">
        <w:rPr>
          <w:rFonts w:eastAsia="Arial"/>
        </w:rPr>
        <w:t xml:space="preserve"> </w:t>
      </w:r>
      <w:r w:rsidRPr="00150E51">
        <w:t>age,</w:t>
      </w:r>
      <w:r w:rsidRPr="00150E51">
        <w:rPr>
          <w:rFonts w:eastAsia="Arial"/>
        </w:rPr>
        <w:t xml:space="preserve"> </w:t>
      </w:r>
      <w:r w:rsidRPr="00150E51">
        <w:t>gender</w:t>
      </w:r>
      <w:r w:rsidRPr="00150E51">
        <w:rPr>
          <w:rFonts w:eastAsia="Arial"/>
        </w:rPr>
        <w:t xml:space="preserve"> </w:t>
      </w:r>
      <w:r w:rsidRPr="00150E51">
        <w:t>and</w:t>
      </w:r>
      <w:r w:rsidRPr="00150E51">
        <w:rPr>
          <w:rFonts w:eastAsia="Arial"/>
        </w:rPr>
        <w:t xml:space="preserve"> </w:t>
      </w:r>
      <w:r w:rsidRPr="00150E51">
        <w:t>ethnicity. The true design effect varies between analyses; the values used here are the 90</w:t>
      </w:r>
      <w:r w:rsidRPr="001E7D5E">
        <w:rPr>
          <w:vertAlign w:val="superscript"/>
        </w:rPr>
        <w:t>th</w:t>
      </w:r>
      <w:r>
        <w:t xml:space="preserve"> </w:t>
      </w:r>
      <w:r w:rsidRPr="00150E51">
        <w:t>percentile of design effects calculated for each item gathered in the survey.</w:t>
      </w:r>
    </w:p>
  </w:footnote>
  <w:footnote w:id="25">
    <w:p w:rsidR="00D31124" w:rsidRDefault="00D31124" w:rsidP="00041737">
      <w:pPr>
        <w:pStyle w:val="FootnoteText"/>
      </w:pPr>
      <w:r w:rsidRPr="00697D47">
        <w:rPr>
          <w:rStyle w:val="FootnoteReference"/>
        </w:rPr>
        <w:footnoteRef/>
      </w:r>
      <w:r>
        <w:t xml:space="preserve"> </w:t>
      </w:r>
      <w:r>
        <w:tab/>
        <w:t xml:space="preserve">Providers include </w:t>
      </w:r>
      <w:r w:rsidRPr="00A113D0">
        <w:rPr>
          <w:lang w:eastAsia="en-US"/>
        </w:rPr>
        <w:t xml:space="preserve">general practitioners (GPs), practice nurses, </w:t>
      </w:r>
      <w:r>
        <w:rPr>
          <w:lang w:eastAsia="en-US"/>
        </w:rPr>
        <w:t xml:space="preserve">other general practice staff, </w:t>
      </w:r>
      <w:r w:rsidRPr="00A113D0">
        <w:rPr>
          <w:lang w:eastAsia="en-US"/>
        </w:rPr>
        <w:t xml:space="preserve">endoscopy staff and radiology staff in </w:t>
      </w:r>
      <w:r>
        <w:rPr>
          <w:lang w:eastAsia="en-US"/>
        </w:rPr>
        <w:t xml:space="preserve">Waitakere and North Shore Hospitals.  </w:t>
      </w:r>
    </w:p>
  </w:footnote>
  <w:footnote w:id="26">
    <w:p w:rsidR="00D31124" w:rsidRPr="00A97429" w:rsidRDefault="00D31124" w:rsidP="003B7E5A">
      <w:pPr>
        <w:pStyle w:val="FootnoteText"/>
        <w:rPr>
          <w:rFonts w:cs="Arial"/>
        </w:rPr>
      </w:pPr>
      <w:r w:rsidRPr="00697D47">
        <w:rPr>
          <w:rStyle w:val="FootnoteReference"/>
        </w:rPr>
        <w:footnoteRef/>
      </w:r>
      <w:r w:rsidRPr="00A97429">
        <w:rPr>
          <w:rFonts w:cs="Arial"/>
        </w:rPr>
        <w:t xml:space="preserve"> </w:t>
      </w:r>
      <w:r>
        <w:rPr>
          <w:rFonts w:cs="Arial"/>
        </w:rPr>
        <w:tab/>
      </w:r>
      <w:r w:rsidRPr="00A97429">
        <w:rPr>
          <w:rFonts w:cs="Arial"/>
        </w:rPr>
        <w:t xml:space="preserve">Professor Steve Haslett reviewed </w:t>
      </w:r>
      <w:r>
        <w:rPr>
          <w:rFonts w:cs="Arial"/>
        </w:rPr>
        <w:t xml:space="preserve">the </w:t>
      </w:r>
      <w:r w:rsidRPr="00A97429">
        <w:rPr>
          <w:rFonts w:cs="Arial"/>
        </w:rPr>
        <w:t>Appendix</w:t>
      </w:r>
      <w:r>
        <w:rPr>
          <w:rFonts w:cs="Arial"/>
        </w:rPr>
        <w:t xml:space="preserve"> </w:t>
      </w:r>
      <w:r w:rsidRPr="0096403A">
        <w:rPr>
          <w:rFonts w:cs="Arial"/>
        </w:rPr>
        <w:t>BSP Methodology and Analysis</w:t>
      </w:r>
      <w:r w:rsidRPr="00A97429">
        <w:rPr>
          <w:rFonts w:cs="Arial"/>
        </w:rPr>
        <w:t>.</w:t>
      </w:r>
    </w:p>
  </w:footnote>
  <w:footnote w:id="27">
    <w:p w:rsidR="00D31124" w:rsidRDefault="00D31124">
      <w:pPr>
        <w:pStyle w:val="FootnoteText"/>
      </w:pPr>
      <w:r>
        <w:rPr>
          <w:rStyle w:val="FootnoteReference"/>
        </w:rPr>
        <w:footnoteRef/>
      </w:r>
      <w:r>
        <w:t xml:space="preserve"> </w:t>
      </w:r>
      <w:r>
        <w:tab/>
        <w:t xml:space="preserve">The complete epidemiology report is in Appendix 1.  </w:t>
      </w:r>
    </w:p>
  </w:footnote>
  <w:footnote w:id="28">
    <w:p w:rsidR="00D31124" w:rsidRPr="00744428" w:rsidRDefault="00D31124" w:rsidP="003B7E5A">
      <w:pPr>
        <w:pStyle w:val="FootnoteText"/>
        <w:rPr>
          <w:rFonts w:cs="Arial"/>
        </w:rPr>
      </w:pPr>
      <w:r w:rsidRPr="00697D47">
        <w:rPr>
          <w:rStyle w:val="FootnoteReference"/>
        </w:rPr>
        <w:footnoteRef/>
      </w:r>
      <w:r w:rsidRPr="00744428">
        <w:rPr>
          <w:rFonts w:cs="Arial"/>
        </w:rPr>
        <w:t xml:space="preserve"> </w:t>
      </w:r>
      <w:r>
        <w:rPr>
          <w:rFonts w:cs="Arial"/>
        </w:rPr>
        <w:tab/>
        <w:t>T</w:t>
      </w:r>
      <w:r w:rsidRPr="00744428">
        <w:rPr>
          <w:rFonts w:cs="Arial"/>
        </w:rPr>
        <w:t xml:space="preserve">he result is deemed to be statistically significant </w:t>
      </w:r>
      <w:r>
        <w:rPr>
          <w:rFonts w:cs="Arial"/>
        </w:rPr>
        <w:t>i</w:t>
      </w:r>
      <w:r w:rsidRPr="00744428">
        <w:rPr>
          <w:rFonts w:cs="Arial"/>
        </w:rPr>
        <w:t>f the 95% confidence interval</w:t>
      </w:r>
      <w:r>
        <w:rPr>
          <w:rFonts w:cs="Arial"/>
        </w:rPr>
        <w:t xml:space="preserve"> of the odds ratio</w:t>
      </w:r>
      <w:r w:rsidRPr="00744428">
        <w:rPr>
          <w:rFonts w:cs="Arial"/>
        </w:rPr>
        <w:t xml:space="preserve"> does not include 1.</w:t>
      </w:r>
    </w:p>
  </w:footnote>
  <w:footnote w:id="29">
    <w:p w:rsidR="00D31124" w:rsidRDefault="00D31124">
      <w:pPr>
        <w:pStyle w:val="FootnoteText"/>
      </w:pPr>
      <w:r>
        <w:rPr>
          <w:rStyle w:val="FootnoteReference"/>
        </w:rPr>
        <w:footnoteRef/>
      </w:r>
      <w:r>
        <w:t xml:space="preserve"> </w:t>
      </w:r>
      <w:r>
        <w:tab/>
        <w:t>References to appendices in this section refer to the appendices in the complete epidemiology report in</w:t>
      </w:r>
      <w:r w:rsidR="00FE2A14">
        <w:t xml:space="preserve"> Appendix 1. </w:t>
      </w:r>
    </w:p>
  </w:footnote>
  <w:footnote w:id="30">
    <w:p w:rsidR="00D31124" w:rsidRPr="00680173" w:rsidRDefault="00D31124" w:rsidP="003B7E5A">
      <w:pPr>
        <w:pStyle w:val="FootnoteText"/>
        <w:rPr>
          <w:rFonts w:cs="Arial"/>
        </w:rPr>
      </w:pPr>
      <w:r w:rsidRPr="00697D47">
        <w:rPr>
          <w:rStyle w:val="FootnoteReference"/>
        </w:rPr>
        <w:footnoteRef/>
      </w:r>
      <w:r>
        <w:t xml:space="preserve"> </w:t>
      </w:r>
      <w:r>
        <w:tab/>
      </w:r>
      <w:r w:rsidRPr="00680173">
        <w:rPr>
          <w:rFonts w:cs="Arial"/>
        </w:rPr>
        <w:t>There were 7,662 people who were</w:t>
      </w:r>
      <w:r>
        <w:rPr>
          <w:rFonts w:cs="Arial"/>
        </w:rPr>
        <w:t xml:space="preserve"> deemed</w:t>
      </w:r>
      <w:r w:rsidRPr="00680173">
        <w:rPr>
          <w:rFonts w:cs="Arial"/>
        </w:rPr>
        <w:t xml:space="preserve"> ineligible</w:t>
      </w:r>
      <w:r>
        <w:rPr>
          <w:rFonts w:cs="Arial"/>
        </w:rPr>
        <w:t xml:space="preserve"> as they met at least one exclusion criteria.</w:t>
      </w:r>
    </w:p>
  </w:footnote>
  <w:footnote w:id="31">
    <w:p w:rsidR="00D31124" w:rsidRPr="006862C4" w:rsidRDefault="00D31124" w:rsidP="003B7E5A">
      <w:pPr>
        <w:pStyle w:val="FootnoteText"/>
        <w:rPr>
          <w:rFonts w:cs="Arial"/>
        </w:rPr>
      </w:pPr>
      <w:r w:rsidRPr="00697D47">
        <w:rPr>
          <w:rStyle w:val="FootnoteReference"/>
        </w:rPr>
        <w:footnoteRef/>
      </w:r>
      <w:r w:rsidRPr="006862C4">
        <w:rPr>
          <w:rFonts w:cs="Arial"/>
        </w:rPr>
        <w:t xml:space="preserve"> </w:t>
      </w:r>
      <w:r>
        <w:rPr>
          <w:rFonts w:cs="Arial"/>
        </w:rPr>
        <w:tab/>
      </w:r>
      <w:r w:rsidRPr="006862C4">
        <w:rPr>
          <w:rFonts w:cs="Arial"/>
        </w:rPr>
        <w:t>Th</w:t>
      </w:r>
      <w:r>
        <w:rPr>
          <w:rFonts w:cs="Arial"/>
        </w:rPr>
        <w:t>e spoilt kit return</w:t>
      </w:r>
      <w:r w:rsidRPr="006862C4">
        <w:rPr>
          <w:rFonts w:cs="Arial"/>
        </w:rPr>
        <w:t xml:space="preserve"> rate is expected to fall as a result of </w:t>
      </w:r>
      <w:r>
        <w:rPr>
          <w:rFonts w:cs="Arial"/>
        </w:rPr>
        <w:t>introducing</w:t>
      </w:r>
      <w:r w:rsidRPr="006862C4">
        <w:rPr>
          <w:rFonts w:cs="Arial"/>
        </w:rPr>
        <w:t xml:space="preserve"> a revised consent form and </w:t>
      </w:r>
      <w:r>
        <w:rPr>
          <w:rFonts w:cs="Arial"/>
        </w:rPr>
        <w:t xml:space="preserve">simpler </w:t>
      </w:r>
      <w:r w:rsidRPr="006862C4">
        <w:rPr>
          <w:rFonts w:cs="Arial"/>
        </w:rPr>
        <w:t>instructions</w:t>
      </w:r>
      <w:r>
        <w:rPr>
          <w:rFonts w:cs="Arial"/>
        </w:rPr>
        <w:t xml:space="preserve"> in 2014</w:t>
      </w:r>
      <w:r w:rsidRPr="006862C4">
        <w:rPr>
          <w:rFonts w:cs="Arial"/>
        </w:rPr>
        <w:t>.</w:t>
      </w:r>
    </w:p>
  </w:footnote>
  <w:footnote w:id="32">
    <w:p w:rsidR="00D31124" w:rsidRDefault="00D31124">
      <w:pPr>
        <w:pStyle w:val="FootnoteText"/>
      </w:pPr>
      <w:r>
        <w:rPr>
          <w:rStyle w:val="FootnoteReference"/>
        </w:rPr>
        <w:footnoteRef/>
      </w:r>
      <w:r>
        <w:t xml:space="preserve"> </w:t>
      </w:r>
      <w:r>
        <w:tab/>
        <w:t xml:space="preserve">The complete epidemiology report in Appendix 1 refers to ‘inadequate’ kits in accord with </w:t>
      </w:r>
      <w:r w:rsidRPr="00A8645C">
        <w:t>Weller et al 2007</w:t>
      </w:r>
      <w:r>
        <w:t xml:space="preserve"> which is synonymous with ‘spoilt’ kits. </w:t>
      </w:r>
    </w:p>
  </w:footnote>
  <w:footnote w:id="33">
    <w:p w:rsidR="00D31124" w:rsidRPr="008D67EA" w:rsidRDefault="00D31124" w:rsidP="003B7E5A">
      <w:pPr>
        <w:pStyle w:val="FootnoteText"/>
        <w:rPr>
          <w:rFonts w:cs="Arial"/>
        </w:rPr>
      </w:pPr>
      <w:r w:rsidRPr="00697D47">
        <w:rPr>
          <w:rStyle w:val="FootnoteReference"/>
        </w:rPr>
        <w:footnoteRef/>
      </w:r>
      <w:r>
        <w:rPr>
          <w:rFonts w:cs="Arial"/>
        </w:rPr>
        <w:tab/>
        <w:t>This is the average participation for the two iFOBTs combined that were compared in the Australian pilot. The participation rate was 47.2% for the Magstream and 43.6% for</w:t>
      </w:r>
      <w:r w:rsidRPr="00D0691A">
        <w:rPr>
          <w:rFonts w:cs="Arial"/>
        </w:rPr>
        <w:t xml:space="preserve"> </w:t>
      </w:r>
      <w:r>
        <w:rPr>
          <w:rFonts w:cs="Arial"/>
        </w:rPr>
        <w:t>the InSure iFOBT.</w:t>
      </w:r>
    </w:p>
  </w:footnote>
  <w:footnote w:id="34">
    <w:p w:rsidR="00D31124" w:rsidRPr="007B0CD5" w:rsidRDefault="00D31124" w:rsidP="003B7E5A">
      <w:pPr>
        <w:pStyle w:val="FootnoteText"/>
        <w:rPr>
          <w:rFonts w:cs="Arial"/>
        </w:rPr>
      </w:pPr>
      <w:r w:rsidRPr="00697D47">
        <w:rPr>
          <w:rStyle w:val="FootnoteReference"/>
        </w:rPr>
        <w:footnoteRef/>
      </w:r>
      <w:r w:rsidRPr="007B0CD5">
        <w:rPr>
          <w:rFonts w:cs="Arial"/>
        </w:rPr>
        <w:t xml:space="preserve"> </w:t>
      </w:r>
      <w:r>
        <w:rPr>
          <w:rFonts w:cs="Arial"/>
        </w:rPr>
        <w:tab/>
        <w:t xml:space="preserve">Uptake was </w:t>
      </w:r>
      <w:r w:rsidRPr="007B0CD5">
        <w:rPr>
          <w:rFonts w:cs="Arial"/>
        </w:rPr>
        <w:t xml:space="preserve">58.5% before exclusion criteria </w:t>
      </w:r>
      <w:r>
        <w:rPr>
          <w:rFonts w:cs="Arial"/>
        </w:rPr>
        <w:t xml:space="preserve">were </w:t>
      </w:r>
      <w:r w:rsidRPr="007B0CD5">
        <w:rPr>
          <w:rFonts w:cs="Arial"/>
        </w:rPr>
        <w:t>applied</w:t>
      </w:r>
      <w:r>
        <w:rPr>
          <w:rFonts w:cs="Arial"/>
        </w:rPr>
        <w:t>.</w:t>
      </w:r>
    </w:p>
  </w:footnote>
  <w:footnote w:id="35">
    <w:p w:rsidR="00D31124" w:rsidRPr="00B133E9" w:rsidRDefault="00D31124" w:rsidP="003B7E5A">
      <w:pPr>
        <w:pStyle w:val="FootnoteText"/>
        <w:rPr>
          <w:rFonts w:cs="Arial"/>
        </w:rPr>
      </w:pPr>
      <w:r w:rsidRPr="00697D47">
        <w:rPr>
          <w:rStyle w:val="FootnoteReference"/>
        </w:rPr>
        <w:footnoteRef/>
      </w:r>
      <w:r w:rsidRPr="00B133E9">
        <w:rPr>
          <w:rFonts w:cs="Arial"/>
        </w:rPr>
        <w:t xml:space="preserve"> </w:t>
      </w:r>
      <w:r>
        <w:rPr>
          <w:rFonts w:cs="Arial"/>
        </w:rPr>
        <w:tab/>
      </w:r>
      <w:r w:rsidRPr="00B133E9">
        <w:rPr>
          <w:rFonts w:cs="Arial"/>
        </w:rPr>
        <w:t>CT</w:t>
      </w:r>
      <w:r>
        <w:rPr>
          <w:rFonts w:cs="Arial"/>
        </w:rPr>
        <w:t>C</w:t>
      </w:r>
      <w:r w:rsidRPr="00B133E9">
        <w:rPr>
          <w:rFonts w:cs="Arial"/>
        </w:rPr>
        <w:t>, sometimes called virtual colonoscopy, is a radiological procedure that u</w:t>
      </w:r>
      <w:r>
        <w:rPr>
          <w:rFonts w:cs="Arial"/>
        </w:rPr>
        <w:t>s</w:t>
      </w:r>
      <w:r w:rsidRPr="00B133E9">
        <w:rPr>
          <w:rFonts w:cs="Arial"/>
        </w:rPr>
        <w:t>es a CT scanner to visualise the bowel.</w:t>
      </w:r>
    </w:p>
  </w:footnote>
  <w:footnote w:id="36">
    <w:p w:rsidR="00D31124" w:rsidRPr="004921E0" w:rsidRDefault="00D31124" w:rsidP="003B7E5A">
      <w:pPr>
        <w:pStyle w:val="FootnoteText"/>
        <w:rPr>
          <w:rFonts w:cs="Arial"/>
        </w:rPr>
      </w:pPr>
      <w:r w:rsidRPr="00697D47">
        <w:rPr>
          <w:rStyle w:val="FootnoteReference"/>
        </w:rPr>
        <w:footnoteRef/>
      </w:r>
      <w:r w:rsidRPr="004921E0">
        <w:rPr>
          <w:rFonts w:cs="Arial"/>
        </w:rPr>
        <w:t xml:space="preserve"> </w:t>
      </w:r>
      <w:r>
        <w:rPr>
          <w:rFonts w:cs="Arial"/>
        </w:rPr>
        <w:tab/>
      </w:r>
      <w:r w:rsidRPr="004921E0">
        <w:rPr>
          <w:rFonts w:cs="Arial"/>
        </w:rPr>
        <w:t>Advanced adenom</w:t>
      </w:r>
      <w:r>
        <w:rPr>
          <w:rFonts w:cs="Arial"/>
        </w:rPr>
        <w:t>a</w:t>
      </w:r>
      <w:r w:rsidRPr="004921E0">
        <w:rPr>
          <w:rFonts w:cs="Arial"/>
        </w:rPr>
        <w:t xml:space="preserve">s are the </w:t>
      </w:r>
      <w:r>
        <w:rPr>
          <w:rFonts w:cs="Arial"/>
        </w:rPr>
        <w:t xml:space="preserve">highest-risk </w:t>
      </w:r>
      <w:r w:rsidRPr="004921E0">
        <w:rPr>
          <w:rFonts w:cs="Arial"/>
        </w:rPr>
        <w:t>precursors of colorectal cancer.</w:t>
      </w:r>
    </w:p>
  </w:footnote>
  <w:footnote w:id="37">
    <w:p w:rsidR="00D31124" w:rsidRPr="00862AA4" w:rsidRDefault="00D31124" w:rsidP="003B7E5A">
      <w:pPr>
        <w:pStyle w:val="FootnoteText"/>
        <w:rPr>
          <w:rFonts w:cs="Arial"/>
        </w:rPr>
      </w:pPr>
      <w:r w:rsidRPr="00697D47">
        <w:rPr>
          <w:rStyle w:val="FootnoteReference"/>
        </w:rPr>
        <w:footnoteRef/>
      </w:r>
      <w:r w:rsidRPr="00862AA4">
        <w:rPr>
          <w:rFonts w:cs="Arial"/>
        </w:rPr>
        <w:t xml:space="preserve"> </w:t>
      </w:r>
      <w:r>
        <w:rPr>
          <w:rFonts w:cs="Arial"/>
        </w:rPr>
        <w:tab/>
      </w:r>
      <w:r w:rsidRPr="00862AA4">
        <w:rPr>
          <w:rFonts w:cs="Arial"/>
        </w:rPr>
        <w:t>Neoplasia refers to adenomas (including advanced adenoma) and colorectal cancer</w:t>
      </w:r>
      <w:r>
        <w:rPr>
          <w:rFonts w:cs="Arial"/>
        </w:rPr>
        <w:t>.</w:t>
      </w:r>
    </w:p>
  </w:footnote>
  <w:footnote w:id="38">
    <w:p w:rsidR="00D31124" w:rsidRPr="00A05A33" w:rsidRDefault="00D31124" w:rsidP="003B7E5A">
      <w:pPr>
        <w:pStyle w:val="FootnoteText"/>
        <w:rPr>
          <w:rFonts w:cs="Arial"/>
        </w:rPr>
      </w:pPr>
      <w:r w:rsidRPr="00697D47">
        <w:rPr>
          <w:rStyle w:val="FootnoteReference"/>
        </w:rPr>
        <w:footnoteRef/>
      </w:r>
      <w:r w:rsidRPr="00A05A33">
        <w:rPr>
          <w:rFonts w:cs="Arial"/>
        </w:rPr>
        <w:t xml:space="preserve"> </w:t>
      </w:r>
      <w:r>
        <w:rPr>
          <w:rFonts w:cs="Arial"/>
        </w:rPr>
        <w:tab/>
      </w:r>
      <w:r w:rsidRPr="00A05A33">
        <w:rPr>
          <w:rFonts w:cs="Arial"/>
        </w:rPr>
        <w:t>35.5% of people invited in 2008 who had a positive faecal occult blood test had no outcome data recorded in the National Bowel Cancer Screening Register by the end of January 2010.</w:t>
      </w:r>
    </w:p>
  </w:footnote>
  <w:footnote w:id="39">
    <w:p w:rsidR="00D31124" w:rsidRDefault="00D31124" w:rsidP="003B7E5A">
      <w:pPr>
        <w:pStyle w:val="FootnoteText"/>
      </w:pPr>
      <w:r w:rsidRPr="00697D47">
        <w:rPr>
          <w:rStyle w:val="FootnoteReference"/>
        </w:rPr>
        <w:footnoteRef/>
      </w:r>
      <w:r w:rsidRPr="00BD7311">
        <w:rPr>
          <w:rFonts w:cs="Arial"/>
        </w:rPr>
        <w:t xml:space="preserve"> </w:t>
      </w:r>
      <w:r>
        <w:rPr>
          <w:rFonts w:cs="Arial"/>
        </w:rPr>
        <w:tab/>
      </w:r>
      <w:r w:rsidRPr="00BD7311">
        <w:rPr>
          <w:rFonts w:cs="Arial"/>
        </w:rPr>
        <w:t>The PPV of a positive iFOBT for cancer increases to 3.1% if the cancers detected among the self-selected population are included.</w:t>
      </w:r>
    </w:p>
  </w:footnote>
  <w:footnote w:id="40">
    <w:p w:rsidR="00D31124" w:rsidRPr="00F019D4" w:rsidRDefault="00D31124" w:rsidP="003B7E5A">
      <w:pPr>
        <w:pStyle w:val="FootnoteText"/>
        <w:rPr>
          <w:rFonts w:cs="Arial"/>
        </w:rPr>
      </w:pPr>
      <w:r w:rsidRPr="00697D47">
        <w:rPr>
          <w:rStyle w:val="FootnoteReference"/>
        </w:rPr>
        <w:footnoteRef/>
      </w:r>
      <w:r w:rsidRPr="00F019D4">
        <w:rPr>
          <w:rFonts w:cs="Arial"/>
        </w:rPr>
        <w:t xml:space="preserve"> </w:t>
      </w:r>
      <w:r>
        <w:rPr>
          <w:rFonts w:cs="Arial"/>
        </w:rPr>
        <w:tab/>
      </w:r>
      <w:r w:rsidRPr="00F019D4">
        <w:rPr>
          <w:rFonts w:cs="Arial"/>
        </w:rPr>
        <w:t xml:space="preserve">The </w:t>
      </w:r>
      <w:r>
        <w:rPr>
          <w:rFonts w:cs="Arial"/>
        </w:rPr>
        <w:t xml:space="preserve">cancer detection </w:t>
      </w:r>
      <w:r w:rsidRPr="00F019D4">
        <w:rPr>
          <w:rFonts w:cs="Arial"/>
        </w:rPr>
        <w:t xml:space="preserve">rate increases </w:t>
      </w:r>
      <w:r>
        <w:rPr>
          <w:rFonts w:cs="Arial"/>
        </w:rPr>
        <w:t xml:space="preserve">slightly </w:t>
      </w:r>
      <w:r w:rsidRPr="00F019D4">
        <w:rPr>
          <w:rFonts w:cs="Arial"/>
        </w:rPr>
        <w:t>to 2.</w:t>
      </w:r>
      <w:r>
        <w:rPr>
          <w:rFonts w:cs="Arial"/>
        </w:rPr>
        <w:t>2</w:t>
      </w:r>
      <w:r w:rsidRPr="00F019D4">
        <w:rPr>
          <w:rFonts w:cs="Arial"/>
        </w:rPr>
        <w:t xml:space="preserve"> per 1,000 if the cancers detected among the self-selected population are included.</w:t>
      </w:r>
      <w:r>
        <w:rPr>
          <w:rFonts w:cs="Arial"/>
        </w:rPr>
        <w:t xml:space="preserve"> This may reflect a higher likelihood of self-selection because of symptoms among this group.</w:t>
      </w:r>
    </w:p>
  </w:footnote>
  <w:footnote w:id="41">
    <w:p w:rsidR="00D31124" w:rsidRPr="0073737B" w:rsidRDefault="00D31124" w:rsidP="003B7E5A">
      <w:pPr>
        <w:pStyle w:val="FootnoteText"/>
        <w:rPr>
          <w:rFonts w:cs="Arial"/>
        </w:rPr>
      </w:pPr>
      <w:r w:rsidRPr="00697D47">
        <w:rPr>
          <w:rStyle w:val="FootnoteReference"/>
        </w:rPr>
        <w:footnoteRef/>
      </w:r>
      <w:r w:rsidRPr="0073737B">
        <w:rPr>
          <w:rFonts w:cs="Arial"/>
        </w:rPr>
        <w:t xml:space="preserve"> </w:t>
      </w:r>
      <w:r>
        <w:rPr>
          <w:rFonts w:cs="Arial"/>
        </w:rPr>
        <w:tab/>
      </w:r>
      <w:r w:rsidRPr="0073737B">
        <w:rPr>
          <w:rFonts w:cs="Arial"/>
        </w:rPr>
        <w:t>Eligibility is defined in the Appendix.</w:t>
      </w:r>
    </w:p>
  </w:footnote>
  <w:footnote w:id="42">
    <w:p w:rsidR="00D31124" w:rsidRPr="00F16BE7" w:rsidRDefault="00D31124" w:rsidP="003B7E5A">
      <w:pPr>
        <w:pStyle w:val="FootnoteText"/>
        <w:rPr>
          <w:rFonts w:cs="Arial"/>
        </w:rPr>
      </w:pPr>
      <w:r w:rsidRPr="00697D47">
        <w:rPr>
          <w:rStyle w:val="FootnoteReference"/>
        </w:rPr>
        <w:footnoteRef/>
      </w:r>
      <w:r w:rsidRPr="00F16BE7">
        <w:rPr>
          <w:rFonts w:cs="Arial"/>
        </w:rPr>
        <w:t xml:space="preserve"> </w:t>
      </w:r>
      <w:r>
        <w:rPr>
          <w:rFonts w:cs="Arial"/>
        </w:rPr>
        <w:tab/>
        <w:t xml:space="preserve">The </w:t>
      </w:r>
      <w:proofErr w:type="gramStart"/>
      <w:r>
        <w:rPr>
          <w:rFonts w:cs="Arial"/>
        </w:rPr>
        <w:t>readmissions time period was</w:t>
      </w:r>
      <w:proofErr w:type="gramEnd"/>
      <w:r>
        <w:rPr>
          <w:rFonts w:cs="Arial"/>
        </w:rPr>
        <w:t xml:space="preserve"> 14 days until December 2012 and thereafter 30 days.</w:t>
      </w:r>
    </w:p>
  </w:footnote>
  <w:footnote w:id="43">
    <w:p w:rsidR="00D31124" w:rsidRPr="007A620F" w:rsidRDefault="00D31124" w:rsidP="003B7E5A">
      <w:pPr>
        <w:pStyle w:val="FootnoteText"/>
        <w:rPr>
          <w:rFonts w:cs="Arial"/>
        </w:rPr>
      </w:pPr>
      <w:r w:rsidRPr="00697D47">
        <w:rPr>
          <w:rStyle w:val="FootnoteReference"/>
        </w:rPr>
        <w:footnoteRef/>
      </w:r>
      <w:r w:rsidRPr="007A620F">
        <w:rPr>
          <w:rFonts w:cs="Arial"/>
        </w:rPr>
        <w:t xml:space="preserve"> </w:t>
      </w:r>
      <w:r>
        <w:rPr>
          <w:rFonts w:cs="Arial"/>
        </w:rPr>
        <w:tab/>
      </w:r>
      <w:r w:rsidRPr="007A620F">
        <w:rPr>
          <w:rFonts w:cs="Arial"/>
        </w:rPr>
        <w:t>The data used by the BSP as monitoring indicators for adverse events excludes privately funded colonoscopies.</w:t>
      </w:r>
    </w:p>
  </w:footnote>
  <w:footnote w:id="44">
    <w:p w:rsidR="00D31124" w:rsidRPr="00F04363" w:rsidRDefault="00D31124" w:rsidP="00F04363">
      <w:pPr>
        <w:pStyle w:val="FootnoteText"/>
        <w:rPr>
          <w:rFonts w:cs="Arial"/>
        </w:rPr>
      </w:pPr>
      <w:r w:rsidRPr="00F04363">
        <w:rPr>
          <w:rStyle w:val="FootnoteReference"/>
        </w:rPr>
        <w:footnoteRef/>
      </w:r>
      <w:r w:rsidRPr="00F04363">
        <w:rPr>
          <w:rStyle w:val="FootnoteReference"/>
        </w:rPr>
        <w:t xml:space="preserve"> </w:t>
      </w:r>
      <w:r>
        <w:tab/>
      </w:r>
      <w:r w:rsidRPr="00F04363">
        <w:rPr>
          <w:rFonts w:cs="Arial"/>
        </w:rPr>
        <w:t xml:space="preserve">The bleeding rate for the UK pilot was not reported separately. </w:t>
      </w:r>
    </w:p>
  </w:footnote>
  <w:footnote w:id="45">
    <w:p w:rsidR="00D31124" w:rsidRPr="00EC7F94" w:rsidRDefault="00D31124" w:rsidP="003B7E5A">
      <w:pPr>
        <w:pStyle w:val="FootnoteText"/>
        <w:rPr>
          <w:rFonts w:cs="Arial"/>
        </w:rPr>
      </w:pPr>
      <w:r w:rsidRPr="00697D47">
        <w:rPr>
          <w:rStyle w:val="FootnoteReference"/>
        </w:rPr>
        <w:footnoteRef/>
      </w:r>
      <w:r w:rsidRPr="00EC7F94">
        <w:rPr>
          <w:rFonts w:cs="Arial"/>
        </w:rPr>
        <w:t xml:space="preserve"> </w:t>
      </w:r>
      <w:r>
        <w:rPr>
          <w:rFonts w:cs="Arial"/>
        </w:rPr>
        <w:tab/>
      </w:r>
      <w:r w:rsidRPr="00EC7F94">
        <w:rPr>
          <w:rFonts w:cs="Arial"/>
        </w:rPr>
        <w:t>This increases to</w:t>
      </w:r>
      <w:r>
        <w:rPr>
          <w:rFonts w:cs="Arial"/>
        </w:rPr>
        <w:t xml:space="preserve"> 190 if the 31 with missing ethnicity from the self-selected population are included.</w:t>
      </w:r>
    </w:p>
  </w:footnote>
  <w:footnote w:id="46">
    <w:p w:rsidR="00D31124" w:rsidRDefault="00D31124" w:rsidP="008A486D">
      <w:pPr>
        <w:pStyle w:val="FootnoteText"/>
      </w:pPr>
      <w:r w:rsidRPr="00697D47">
        <w:rPr>
          <w:rStyle w:val="FootnoteReference"/>
        </w:rPr>
        <w:footnoteRef/>
      </w:r>
      <w:r>
        <w:t xml:space="preserve"> </w:t>
      </w:r>
      <w:r>
        <w:tab/>
        <w:t xml:space="preserve">From September 2013 the data resource at WDHB doubled. </w:t>
      </w:r>
    </w:p>
  </w:footnote>
  <w:footnote w:id="47">
    <w:p w:rsidR="00D31124" w:rsidRDefault="00D31124" w:rsidP="005D7DFE">
      <w:pPr>
        <w:pStyle w:val="FootnoteText"/>
      </w:pPr>
      <w:r w:rsidRPr="00697D47">
        <w:rPr>
          <w:rStyle w:val="FootnoteReference"/>
        </w:rPr>
        <w:footnoteRef/>
      </w:r>
      <w:r>
        <w:t xml:space="preserve"> </w:t>
      </w:r>
      <w:r>
        <w:tab/>
        <w:t>It was intended that the NHI numbers would be supplemented by PHO enrolment data but due to logistical reasons this did not occur.</w:t>
      </w:r>
      <w:r>
        <w:rPr>
          <w:b/>
        </w:rPr>
        <w:t xml:space="preserve"> </w:t>
      </w:r>
    </w:p>
  </w:footnote>
  <w:footnote w:id="48">
    <w:p w:rsidR="00D31124" w:rsidRDefault="00D31124" w:rsidP="005D7DFE">
      <w:pPr>
        <w:pStyle w:val="FootnoteText"/>
      </w:pPr>
      <w:r w:rsidRPr="00697D47">
        <w:rPr>
          <w:rStyle w:val="FootnoteReference"/>
        </w:rPr>
        <w:footnoteRef/>
      </w:r>
      <w:r>
        <w:t xml:space="preserve"> </w:t>
      </w:r>
      <w:r>
        <w:tab/>
      </w:r>
      <w:hyperlink r:id="rId1" w:history="1">
        <w:r w:rsidRPr="00296DD1">
          <w:rPr>
            <w:rStyle w:val="Hyperlink"/>
          </w:rPr>
          <w:t>http://www.health.govt.nz/our-work/health-identity/national-health-index/national-health-index-overview</w:t>
        </w:r>
      </w:hyperlink>
      <w:r>
        <w:t xml:space="preserve"> </w:t>
      </w:r>
    </w:p>
  </w:footnote>
  <w:footnote w:id="49">
    <w:p w:rsidR="00D31124" w:rsidRDefault="00D31124" w:rsidP="009E64EF">
      <w:pPr>
        <w:pStyle w:val="FootnoteText"/>
      </w:pPr>
      <w:r w:rsidRPr="00697D47">
        <w:rPr>
          <w:rStyle w:val="FootnoteReference"/>
        </w:rPr>
        <w:footnoteRef/>
      </w:r>
      <w:r>
        <w:t xml:space="preserve"> </w:t>
      </w:r>
      <w:r>
        <w:tab/>
      </w:r>
      <w:proofErr w:type="gramStart"/>
      <w:r>
        <w:t>Includes iFOBT kits that were resent due to spoilt or expired kits.</w:t>
      </w:r>
      <w:proofErr w:type="gramEnd"/>
    </w:p>
  </w:footnote>
  <w:footnote w:id="50">
    <w:p w:rsidR="00D31124" w:rsidRDefault="00D31124" w:rsidP="009E64EF">
      <w:pPr>
        <w:pStyle w:val="FootnoteText"/>
      </w:pPr>
      <w:r w:rsidRPr="00697D47">
        <w:rPr>
          <w:rStyle w:val="FootnoteReference"/>
        </w:rPr>
        <w:footnoteRef/>
      </w:r>
      <w:r w:rsidRPr="00A91866">
        <w:tab/>
        <w:t xml:space="preserve">Refer </w:t>
      </w:r>
      <w:r>
        <w:t xml:space="preserve">section 3.6 </w:t>
      </w:r>
      <w:r w:rsidRPr="0071497B">
        <w:t xml:space="preserve">table </w:t>
      </w:r>
      <w:r>
        <w:t xml:space="preserve">9 </w:t>
      </w:r>
      <w:r w:rsidRPr="00A91866">
        <w:t>for quarterly distribution tables.</w:t>
      </w:r>
      <w:r>
        <w:t xml:space="preserve"> </w:t>
      </w:r>
    </w:p>
  </w:footnote>
  <w:footnote w:id="51">
    <w:p w:rsidR="00D31124" w:rsidRDefault="00D31124">
      <w:pPr>
        <w:pStyle w:val="FootnoteText"/>
      </w:pPr>
      <w:r w:rsidRPr="00697D47">
        <w:rPr>
          <w:rStyle w:val="FootnoteReference"/>
        </w:rPr>
        <w:footnoteRef/>
      </w:r>
      <w:r>
        <w:t xml:space="preserve"> </w:t>
      </w:r>
      <w:r>
        <w:tab/>
      </w:r>
      <w:r w:rsidRPr="00947C81">
        <w:t>Discussions with the BSP Coordination Centre</w:t>
      </w:r>
      <w:r w:rsidRPr="004B48F1">
        <w:t xml:space="preserve"> highlighted that</w:t>
      </w:r>
      <w:r w:rsidRPr="0071497B">
        <w:rPr>
          <w:lang w:eastAsia="ar-SA"/>
        </w:rPr>
        <w:t xml:space="preserve"> 136,575 </w:t>
      </w:r>
      <w:r w:rsidRPr="009E0DA0">
        <w:t>pre-invitations were mail</w:t>
      </w:r>
      <w:r>
        <w:t>ed</w:t>
      </w:r>
      <w:r w:rsidRPr="009E0DA0">
        <w:t xml:space="preserve"> out from 1 January 2012 and 1 January 2014.   For the months of May – Dec</w:t>
      </w:r>
      <w:r>
        <w:t>ember</w:t>
      </w:r>
      <w:r w:rsidRPr="009E0DA0">
        <w:t xml:space="preserve"> 2013</w:t>
      </w:r>
      <w:r>
        <w:t xml:space="preserve">, 1,954 pre-invitation letters were returned as not at this address; an </w:t>
      </w:r>
      <w:r w:rsidRPr="009E0DA0">
        <w:t xml:space="preserve">average </w:t>
      </w:r>
      <w:r>
        <w:t xml:space="preserve">of </w:t>
      </w:r>
      <w:r w:rsidRPr="009E0DA0">
        <w:t>61 a week</w:t>
      </w:r>
      <w:r>
        <w:t xml:space="preserve">, which is equivalent to 6,344 returned mail over two years.  </w:t>
      </w:r>
    </w:p>
  </w:footnote>
  <w:footnote w:id="52">
    <w:p w:rsidR="00D31124" w:rsidRDefault="00D31124">
      <w:pPr>
        <w:pStyle w:val="FootnoteText"/>
      </w:pPr>
      <w:r w:rsidRPr="00697D47">
        <w:rPr>
          <w:rStyle w:val="FootnoteReference"/>
        </w:rPr>
        <w:footnoteRef/>
      </w:r>
      <w:r>
        <w:t xml:space="preserve"> </w:t>
      </w:r>
      <w:r>
        <w:tab/>
        <w:t xml:space="preserve">There were no statistical differences in those who had not received a letter or kit by ethnicity. </w:t>
      </w:r>
    </w:p>
  </w:footnote>
  <w:footnote w:id="53">
    <w:p w:rsidR="00D31124" w:rsidRDefault="00D31124">
      <w:pPr>
        <w:pStyle w:val="FootnoteText"/>
      </w:pPr>
      <w:r w:rsidRPr="00697D47">
        <w:rPr>
          <w:rStyle w:val="FootnoteReference"/>
        </w:rPr>
        <w:footnoteRef/>
      </w:r>
      <w:r w:rsidRPr="00463B7A">
        <w:t xml:space="preserve"> Before September 2013, there was 0.5 FTE Data Manager at WDHB.  From September 2012, there was 1 FTE Data Manager.</w:t>
      </w:r>
      <w:r>
        <w:t xml:space="preserve"> </w:t>
      </w:r>
    </w:p>
  </w:footnote>
  <w:footnote w:id="54">
    <w:p w:rsidR="00D31124" w:rsidRDefault="00D31124" w:rsidP="009E2473">
      <w:pPr>
        <w:pStyle w:val="FootnoteText"/>
      </w:pPr>
      <w:r w:rsidRPr="00697D47">
        <w:rPr>
          <w:rStyle w:val="FootnoteReference"/>
        </w:rPr>
        <w:footnoteRef/>
      </w:r>
      <w:r>
        <w:t xml:space="preserve"> </w:t>
      </w:r>
      <w:r>
        <w:tab/>
        <w:t>The Other ethnic group is defined as non-M</w:t>
      </w:r>
      <w:r>
        <w:rPr>
          <w:rFonts w:cs="Arial"/>
        </w:rPr>
        <w:t>ā</w:t>
      </w:r>
      <w:r>
        <w:t>ori, non-Pacific, and non-Asian and is predominantly made up of New Zealand European/ P</w:t>
      </w:r>
      <w:r>
        <w:rPr>
          <w:rFonts w:cs="Arial"/>
        </w:rPr>
        <w:t>ā</w:t>
      </w:r>
      <w:r>
        <w:t>keh</w:t>
      </w:r>
      <w:r>
        <w:rPr>
          <w:rFonts w:cs="Arial"/>
        </w:rPr>
        <w:t xml:space="preserve">ā. </w:t>
      </w:r>
    </w:p>
  </w:footnote>
  <w:footnote w:id="55">
    <w:p w:rsidR="00D31124" w:rsidRDefault="00D31124">
      <w:pPr>
        <w:pStyle w:val="FootnoteText"/>
      </w:pPr>
      <w:r w:rsidRPr="00697D47">
        <w:rPr>
          <w:rStyle w:val="FootnoteReference"/>
        </w:rPr>
        <w:footnoteRef/>
      </w:r>
      <w:r>
        <w:t xml:space="preserve"> </w:t>
      </w:r>
      <w:r>
        <w:tab/>
        <w:t>There was no statistically significant difference noted between M</w:t>
      </w:r>
      <w:r>
        <w:rPr>
          <w:rFonts w:cs="Arial"/>
        </w:rPr>
        <w:t>ā</w:t>
      </w:r>
      <w:r>
        <w:t xml:space="preserve">ori, Pacific and the </w:t>
      </w:r>
      <w:proofErr w:type="gramStart"/>
      <w:r>
        <w:t>Other</w:t>
      </w:r>
      <w:proofErr w:type="gramEnd"/>
      <w:r>
        <w:t xml:space="preserve"> ethnic group on whether or not they had received a kit.  </w:t>
      </w:r>
    </w:p>
  </w:footnote>
  <w:footnote w:id="56">
    <w:p w:rsidR="00D31124" w:rsidRDefault="00D31124" w:rsidP="000825CD">
      <w:pPr>
        <w:pStyle w:val="FootnoteText"/>
      </w:pPr>
      <w:r w:rsidRPr="00697D47">
        <w:rPr>
          <w:rStyle w:val="FootnoteReference"/>
        </w:rPr>
        <w:footnoteRef/>
      </w:r>
      <w:r w:rsidRPr="00A91866">
        <w:tab/>
        <w:t xml:space="preserve">Appendix </w:t>
      </w:r>
      <w:r>
        <w:t>3</w:t>
      </w:r>
      <w:r w:rsidRPr="00A91866">
        <w:t xml:space="preserve"> provides an overview of the comparative results for M</w:t>
      </w:r>
      <w:r w:rsidRPr="00A91866">
        <w:rPr>
          <w:rFonts w:cs="Arial"/>
        </w:rPr>
        <w:t>ā</w:t>
      </w:r>
      <w:r w:rsidRPr="00A91866">
        <w:t>ori and Pacific respondents in the 2013 eligible WDHB population</w:t>
      </w:r>
      <w:r>
        <w:t xml:space="preserve"> survey (Litmus 2014a)</w:t>
      </w:r>
    </w:p>
  </w:footnote>
  <w:footnote w:id="57">
    <w:p w:rsidR="00D31124" w:rsidRPr="00FA0661" w:rsidRDefault="00D31124" w:rsidP="009B57ED">
      <w:pPr>
        <w:pStyle w:val="FootnoteText"/>
      </w:pPr>
      <w:r w:rsidRPr="00697D47">
        <w:rPr>
          <w:rStyle w:val="FootnoteReference"/>
        </w:rPr>
        <w:footnoteRef/>
      </w:r>
      <w:r>
        <w:t xml:space="preserve"> </w:t>
      </w:r>
      <w:r>
        <w:tab/>
      </w:r>
      <w:hyperlink r:id="rId2" w:history="1">
        <w:r w:rsidRPr="00F468D6">
          <w:rPr>
            <w:rStyle w:val="Hyperlink"/>
          </w:rPr>
          <w:t>http://www.healthliteracy.org.nz/about-health-literacy/health-literacy-statistics/</w:t>
        </w:r>
      </w:hyperlink>
      <w:r>
        <w:t xml:space="preserve"> accessed 27 February 2012. </w:t>
      </w:r>
    </w:p>
  </w:footnote>
  <w:footnote w:id="58">
    <w:p w:rsidR="00D31124" w:rsidRPr="00C645B1" w:rsidRDefault="00D31124" w:rsidP="009B57ED">
      <w:pPr>
        <w:pStyle w:val="FootnoteText"/>
      </w:pPr>
      <w:r w:rsidRPr="00697D47">
        <w:rPr>
          <w:rStyle w:val="FootnoteReference"/>
        </w:rPr>
        <w:footnoteRef/>
      </w:r>
      <w:r>
        <w:t xml:space="preserve"> </w:t>
      </w:r>
      <w:r>
        <w:tab/>
      </w:r>
      <w:r w:rsidRPr="00C645B1">
        <w:t>Differences betwee</w:t>
      </w:r>
      <w:r>
        <w:t xml:space="preserve">n specific Pacific ethnicities </w:t>
      </w:r>
      <w:r w:rsidRPr="00C645B1">
        <w:t>cannot be determined from the survey.</w:t>
      </w:r>
    </w:p>
  </w:footnote>
  <w:footnote w:id="59">
    <w:p w:rsidR="00D31124" w:rsidRDefault="00D31124">
      <w:pPr>
        <w:pStyle w:val="FootnoteText"/>
      </w:pPr>
      <w:r w:rsidRPr="00697D47">
        <w:rPr>
          <w:rStyle w:val="FootnoteReference"/>
        </w:rPr>
        <w:footnoteRef/>
      </w:r>
      <w:r>
        <w:t xml:space="preserve"> </w:t>
      </w:r>
      <w:r>
        <w:tab/>
        <w:t xml:space="preserve">Māori view all tissue and body fluids as taonga (to be treated as a treasure).  However, body fluids and tissues are also regarded as tapu (sacred, and therefore need to be treated with caution) rather than noa (neutral).  This distinction is important, since biological specimens must be treated with great care (Sporle and Koea 2004).  </w:t>
      </w:r>
      <w:r w:rsidRPr="00820D89">
        <w:t>Further, faecal matter and the buttocks area in particul</w:t>
      </w:r>
      <w:r>
        <w:t>ar is viewed as damaging tapu (for</w:t>
      </w:r>
      <w:r w:rsidRPr="00820D89">
        <w:t xml:space="preserve"> example a person should not sit on a pillow – the pillow is a resting place for a person’s head, which is very sacred)</w:t>
      </w:r>
      <w:r>
        <w:t xml:space="preserve">. </w:t>
      </w:r>
      <w:r w:rsidRPr="00820D89">
        <w:t xml:space="preserve"> Interviews with Māori</w:t>
      </w:r>
      <w:r>
        <w:t xml:space="preserve"> non-responders </w:t>
      </w:r>
      <w:r w:rsidRPr="00820D89">
        <w:t>highlighted that the request for a sample of bowel motion and the processes to manage this sample create significant cultural barriers and whakamā (embarrassment) to participate in the BSP.</w:t>
      </w:r>
    </w:p>
  </w:footnote>
  <w:footnote w:id="60">
    <w:p w:rsidR="00D31124" w:rsidRDefault="00D31124">
      <w:pPr>
        <w:pStyle w:val="FootnoteText"/>
      </w:pPr>
      <w:r w:rsidRPr="00697D47">
        <w:rPr>
          <w:rStyle w:val="FootnoteReference"/>
        </w:rPr>
        <w:footnoteRef/>
      </w:r>
      <w:r>
        <w:t xml:space="preserve"> </w:t>
      </w:r>
      <w:r>
        <w:tab/>
        <w:t xml:space="preserve">The interviews were undertaken before the revision of the BSP communication collateral. </w:t>
      </w:r>
    </w:p>
  </w:footnote>
  <w:footnote w:id="61">
    <w:p w:rsidR="00D31124" w:rsidRDefault="00D31124">
      <w:pPr>
        <w:pStyle w:val="FootnoteText"/>
      </w:pPr>
      <w:r w:rsidRPr="00697D47">
        <w:rPr>
          <w:rStyle w:val="FootnoteReference"/>
        </w:rPr>
        <w:footnoteRef/>
      </w:r>
      <w:r>
        <w:t xml:space="preserve"> </w:t>
      </w:r>
      <w:r>
        <w:tab/>
      </w:r>
      <w:r w:rsidRPr="001E59DF">
        <w:t xml:space="preserve">Membership of the group included </w:t>
      </w:r>
      <w:r>
        <w:t>those with an understanding of DHB service provision, barriers to M</w:t>
      </w:r>
      <w:r>
        <w:rPr>
          <w:rFonts w:cs="Arial"/>
        </w:rPr>
        <w:t>ā</w:t>
      </w:r>
      <w:r>
        <w:t>ori accessing screening programmes, epidemiology, health promotion and education, and experience in implementing programmes that were successful at increasing participation rates of M</w:t>
      </w:r>
      <w:r>
        <w:rPr>
          <w:rFonts w:cs="Arial"/>
        </w:rPr>
        <w:t>ā</w:t>
      </w:r>
      <w:r>
        <w:t xml:space="preserve">ori.  </w:t>
      </w:r>
    </w:p>
  </w:footnote>
  <w:footnote w:id="62">
    <w:p w:rsidR="00D31124" w:rsidRDefault="00D31124">
      <w:pPr>
        <w:pStyle w:val="FootnoteText"/>
      </w:pPr>
      <w:r w:rsidRPr="00697D47">
        <w:rPr>
          <w:rStyle w:val="FootnoteReference"/>
        </w:rPr>
        <w:footnoteRef/>
      </w:r>
      <w:r>
        <w:tab/>
      </w:r>
      <w:r>
        <w:rPr>
          <w:lang w:val="en-US"/>
        </w:rPr>
        <w:t xml:space="preserve">In August 2008 a Bowel Cancer Taskforce was established to provide advice and recommendations on the implementation of a national bowel screening programme.  </w:t>
      </w:r>
      <w:r>
        <w:t xml:space="preserve">Members had relevant experience in diagnostic and treatment services for bowel cancer. </w:t>
      </w:r>
    </w:p>
  </w:footnote>
  <w:footnote w:id="63">
    <w:p w:rsidR="00D31124" w:rsidRDefault="00D31124">
      <w:pPr>
        <w:pStyle w:val="FootnoteText"/>
      </w:pPr>
      <w:r w:rsidRPr="00697D47">
        <w:rPr>
          <w:rStyle w:val="FootnoteReference"/>
        </w:rPr>
        <w:footnoteRef/>
      </w:r>
      <w:r>
        <w:t xml:space="preserve"> </w:t>
      </w:r>
      <w:r>
        <w:tab/>
      </w:r>
      <w:r w:rsidRPr="0005058C">
        <w:t xml:space="preserve">This group meets monthly </w:t>
      </w:r>
      <w:r>
        <w:t xml:space="preserve">as </w:t>
      </w:r>
      <w:r w:rsidRPr="0005058C">
        <w:t>a minimum.</w:t>
      </w:r>
      <w:r>
        <w:t xml:space="preserve"> </w:t>
      </w:r>
      <w:r w:rsidRPr="0005058C">
        <w:t xml:space="preserve"> </w:t>
      </w:r>
      <w:r w:rsidRPr="00536F68">
        <w:t xml:space="preserve">Membership comprises WDHB </w:t>
      </w:r>
      <w:r>
        <w:t>Chief Planning and Funding Officer, WDHB Public Health Medicine Specialist, WDHB General Manager Surgical and Ambulatory Services,</w:t>
      </w:r>
      <w:r w:rsidRPr="007A17D5">
        <w:t xml:space="preserve"> </w:t>
      </w:r>
      <w:r>
        <w:t xml:space="preserve">WDHB BSP Clinical Director, </w:t>
      </w:r>
      <w:r>
        <w:rPr>
          <w:lang w:eastAsia="en-NZ"/>
        </w:rPr>
        <w:t>Ministry of Health,</w:t>
      </w:r>
      <w:r>
        <w:t xml:space="preserve"> National BSP Programme Manager and National BSP Clinical Director, Clinical Director Waitemata PHO, and Inequalities Advisor from the Northern District Cancer Network.  The BSP Programme Manager also attends. </w:t>
      </w:r>
    </w:p>
  </w:footnote>
  <w:footnote w:id="64">
    <w:p w:rsidR="00D31124" w:rsidRDefault="00D31124">
      <w:pPr>
        <w:pStyle w:val="FootnoteText"/>
      </w:pPr>
      <w:r w:rsidRPr="00697D47">
        <w:rPr>
          <w:rStyle w:val="FootnoteReference"/>
        </w:rPr>
        <w:footnoteRef/>
      </w:r>
      <w:r>
        <w:t xml:space="preserve"> </w:t>
      </w:r>
      <w:r>
        <w:tab/>
      </w:r>
      <w:r w:rsidRPr="004D710D">
        <w:t>This</w:t>
      </w:r>
      <w:r w:rsidRPr="00053160">
        <w:t xml:space="preserve"> group meets quarterly. Membership comprises of </w:t>
      </w:r>
      <w:r w:rsidRPr="003F1E02">
        <w:t>WDHB Planning and Funding</w:t>
      </w:r>
      <w:r>
        <w:t>,</w:t>
      </w:r>
      <w:r w:rsidRPr="003F1E02">
        <w:t xml:space="preserve"> Māori and Pacific Managers, Inequalities Advisor from the Northern District Cancer Network</w:t>
      </w:r>
      <w:r>
        <w:t>,</w:t>
      </w:r>
      <w:r w:rsidRPr="003F1E02">
        <w:t xml:space="preserve"> WDHB community engagement coordinator, WDHB Māori representative, a representative of West Fono, consumer representatives and PHO representatives.</w:t>
      </w:r>
    </w:p>
  </w:footnote>
  <w:footnote w:id="65">
    <w:p w:rsidR="00D31124" w:rsidRDefault="00D31124">
      <w:pPr>
        <w:pStyle w:val="FootnoteText"/>
      </w:pPr>
      <w:r w:rsidRPr="00697D47">
        <w:rPr>
          <w:rStyle w:val="FootnoteReference"/>
        </w:rPr>
        <w:footnoteRef/>
      </w:r>
      <w:r>
        <w:t xml:space="preserve"> </w:t>
      </w:r>
      <w:r>
        <w:tab/>
      </w:r>
      <w:r w:rsidRPr="00C95E41">
        <w:t>Oth</w:t>
      </w:r>
      <w:r w:rsidRPr="00A76BE3">
        <w:t>er populations</w:t>
      </w:r>
      <w:r>
        <w:t xml:space="preserve"> who have returned a spoilt kit </w:t>
      </w:r>
      <w:r w:rsidRPr="00A76BE3">
        <w:t xml:space="preserve">receive a second test </w:t>
      </w:r>
      <w:r>
        <w:t>kit and a letter explaining the</w:t>
      </w:r>
      <w:r w:rsidRPr="00A76BE3">
        <w:t xml:space="preserve"> error</w:t>
      </w:r>
      <w:r>
        <w:t>.  I</w:t>
      </w:r>
      <w:r w:rsidRPr="00A76BE3">
        <w:t xml:space="preserve">f they send </w:t>
      </w:r>
      <w:r>
        <w:t xml:space="preserve">in </w:t>
      </w:r>
      <w:r w:rsidRPr="00A76BE3">
        <w:t>a second spoilt kit</w:t>
      </w:r>
      <w:r>
        <w:t xml:space="preserve">, the CAR coordinator </w:t>
      </w:r>
      <w:r w:rsidRPr="00C95E41">
        <w:t>phone</w:t>
      </w:r>
      <w:r>
        <w:t>s</w:t>
      </w:r>
      <w:r w:rsidRPr="00C95E41">
        <w:t xml:space="preserve"> and advises</w:t>
      </w:r>
      <w:r w:rsidRPr="00A76BE3">
        <w:t xml:space="preserve"> on how to complete the kit correctly</w:t>
      </w:r>
      <w:r>
        <w:t>.</w:t>
      </w:r>
    </w:p>
  </w:footnote>
  <w:footnote w:id="66">
    <w:p w:rsidR="00D31124" w:rsidRDefault="00D31124" w:rsidP="00406DC9">
      <w:pPr>
        <w:pStyle w:val="FootnoteText"/>
      </w:pPr>
      <w:r w:rsidRPr="00697D47">
        <w:rPr>
          <w:rStyle w:val="FootnoteReference"/>
        </w:rPr>
        <w:footnoteRef/>
      </w:r>
      <w:r>
        <w:t xml:space="preserve"> </w:t>
      </w:r>
      <w:r>
        <w:tab/>
        <w:t>H</w:t>
      </w:r>
      <w:r w:rsidRPr="00501D28">
        <w:t xml:space="preserve">alf of the reminder letters sent </w:t>
      </w:r>
      <w:r>
        <w:t xml:space="preserve">to eligible Pacific people and </w:t>
      </w:r>
      <w:r w:rsidRPr="00501D28">
        <w:t>M</w:t>
      </w:r>
      <w:r>
        <w:rPr>
          <w:rFonts w:cs="Arial"/>
        </w:rPr>
        <w:t>ā</w:t>
      </w:r>
      <w:r w:rsidRPr="00501D28">
        <w:t>ori contain</w:t>
      </w:r>
      <w:r>
        <w:t>s</w:t>
      </w:r>
      <w:r w:rsidRPr="00501D28">
        <w:t xml:space="preserve"> the DVD.  </w:t>
      </w:r>
    </w:p>
  </w:footnote>
  <w:footnote w:id="67">
    <w:p w:rsidR="00D31124" w:rsidRPr="00CC17EA" w:rsidRDefault="00D31124" w:rsidP="00406DC9">
      <w:pPr>
        <w:pStyle w:val="FootnoteText"/>
      </w:pPr>
      <w:r w:rsidRPr="00697D47">
        <w:rPr>
          <w:rStyle w:val="FootnoteReference"/>
        </w:rPr>
        <w:footnoteRef/>
      </w:r>
      <w:r>
        <w:t xml:space="preserve"> </w:t>
      </w:r>
      <w:r>
        <w:tab/>
      </w:r>
      <w:hyperlink r:id="rId3" w:history="1">
        <w:r w:rsidRPr="00F20D1C">
          <w:rPr>
            <w:rStyle w:val="Hyperlink"/>
          </w:rPr>
          <w:t>http://www.youtube.com/watch?v=J-Qz0XOMldo</w:t>
        </w:r>
      </w:hyperlink>
      <w:r>
        <w:t xml:space="preserve"> and </w:t>
      </w:r>
      <w:hyperlink r:id="rId4" w:anchor="video_box" w:history="1">
        <w:r w:rsidRPr="00F20D1C">
          <w:rPr>
            <w:rStyle w:val="Hyperlink"/>
          </w:rPr>
          <w:t>http://www.bowelscreeningwaitemata.co.nz/Home.aspx#video_box</w:t>
        </w:r>
      </w:hyperlink>
      <w:r>
        <w:t xml:space="preserve"> accessed 6 December 2013</w:t>
      </w:r>
    </w:p>
  </w:footnote>
  <w:footnote w:id="68">
    <w:p w:rsidR="00D31124" w:rsidRPr="00F6653F" w:rsidRDefault="00D31124" w:rsidP="00231491">
      <w:pPr>
        <w:pStyle w:val="FootnoteText"/>
      </w:pPr>
      <w:r w:rsidRPr="00697D47">
        <w:rPr>
          <w:rStyle w:val="FootnoteReference"/>
        </w:rPr>
        <w:footnoteRef/>
      </w:r>
      <w:r>
        <w:t xml:space="preserve"> </w:t>
      </w:r>
      <w:r>
        <w:tab/>
      </w:r>
      <w:r>
        <w:rPr>
          <w:rFonts w:cs="Arial"/>
          <w:lang w:eastAsia="en-NZ"/>
        </w:rPr>
        <w:t xml:space="preserve">A </w:t>
      </w:r>
      <w:r w:rsidRPr="00F6653F">
        <w:rPr>
          <w:rFonts w:cs="Arial"/>
          <w:lang w:eastAsia="en-NZ"/>
        </w:rPr>
        <w:t>service that offers assessment, diagnosis and surveillance of inherited gastrointestinal cancer syndromes</w:t>
      </w:r>
      <w:r>
        <w:rPr>
          <w:rFonts w:cs="Arial"/>
          <w:lang w:eastAsia="en-NZ"/>
        </w:rPr>
        <w:t>.</w:t>
      </w:r>
    </w:p>
  </w:footnote>
  <w:footnote w:id="69">
    <w:p w:rsidR="00D31124" w:rsidRDefault="00D31124">
      <w:pPr>
        <w:pStyle w:val="FootnoteText"/>
      </w:pPr>
      <w:r w:rsidRPr="00697D47">
        <w:rPr>
          <w:rStyle w:val="FootnoteReference"/>
        </w:rPr>
        <w:footnoteRef/>
      </w:r>
      <w:r>
        <w:t xml:space="preserve"> </w:t>
      </w:r>
      <w:r>
        <w:tab/>
      </w:r>
      <w:proofErr w:type="gramStart"/>
      <w:r>
        <w:t xml:space="preserve">Includes staff from </w:t>
      </w:r>
      <w:r>
        <w:rPr>
          <w:lang w:eastAsia="en-NZ"/>
        </w:rPr>
        <w:t>Ministry of Health</w:t>
      </w:r>
      <w:r>
        <w:t xml:space="preserve"> and BSP Coordination Centre, endoscopy nurses, </w:t>
      </w:r>
      <w:r>
        <w:rPr>
          <w:lang w:eastAsia="en-NZ"/>
        </w:rPr>
        <w:t>GEs, surgeons</w:t>
      </w:r>
      <w:r>
        <w:t xml:space="preserve">, radiology staff delivering </w:t>
      </w:r>
      <w:r>
        <w:rPr>
          <w:lang w:eastAsia="ar-SA"/>
        </w:rPr>
        <w:t>CTC, l</w:t>
      </w:r>
      <w:r>
        <w:rPr>
          <w:lang w:eastAsia="en-NZ"/>
        </w:rPr>
        <w:t>aboratory staff and oncology staff.</w:t>
      </w:r>
      <w:proofErr w:type="gramEnd"/>
    </w:p>
  </w:footnote>
  <w:footnote w:id="70">
    <w:p w:rsidR="00D31124" w:rsidRDefault="00D31124" w:rsidP="00C64BB5">
      <w:pPr>
        <w:pStyle w:val="FootnoteText"/>
        <w:spacing w:before="60"/>
      </w:pPr>
      <w:r w:rsidRPr="00697D47">
        <w:rPr>
          <w:rStyle w:val="FootnoteReference"/>
        </w:rPr>
        <w:footnoteRef/>
      </w:r>
      <w:r>
        <w:t xml:space="preserve"> </w:t>
      </w:r>
      <w:r>
        <w:tab/>
      </w:r>
      <w:proofErr w:type="gramStart"/>
      <w:r>
        <w:t>Contracted out to West Fono in 2012 and 2013.</w:t>
      </w:r>
      <w:proofErr w:type="gramEnd"/>
    </w:p>
  </w:footnote>
  <w:footnote w:id="71">
    <w:p w:rsidR="00D31124" w:rsidRDefault="00D31124">
      <w:pPr>
        <w:pStyle w:val="FootnoteText"/>
      </w:pPr>
      <w:r w:rsidRPr="00697D47">
        <w:rPr>
          <w:rStyle w:val="FootnoteReference"/>
        </w:rPr>
        <w:footnoteRef/>
      </w:r>
      <w:r>
        <w:t xml:space="preserve"> </w:t>
      </w:r>
      <w:r>
        <w:tab/>
        <w:t xml:space="preserve">The revised consent form introduced in 2014 seeks to address this confusion. </w:t>
      </w:r>
    </w:p>
  </w:footnote>
  <w:footnote w:id="72">
    <w:p w:rsidR="00D31124" w:rsidRDefault="00D31124" w:rsidP="005853D0">
      <w:pPr>
        <w:pStyle w:val="FootnoteText"/>
      </w:pPr>
      <w:r w:rsidRPr="00697D47">
        <w:rPr>
          <w:rStyle w:val="FootnoteReference"/>
        </w:rPr>
        <w:footnoteRef/>
      </w:r>
      <w:r>
        <w:t xml:space="preserve"> </w:t>
      </w:r>
      <w:r>
        <w:tab/>
        <w:t>Data presented is based on the weighted data.</w:t>
      </w:r>
    </w:p>
  </w:footnote>
  <w:footnote w:id="73">
    <w:p w:rsidR="00D31124" w:rsidRDefault="00D31124" w:rsidP="005853D0">
      <w:pPr>
        <w:pStyle w:val="FootnoteText"/>
      </w:pPr>
      <w:r w:rsidRPr="00697D47">
        <w:rPr>
          <w:rStyle w:val="FootnoteReference"/>
        </w:rPr>
        <w:footnoteRef/>
      </w:r>
      <w:r>
        <w:t xml:space="preserve"> </w:t>
      </w:r>
      <w:r>
        <w:tab/>
      </w:r>
      <w:r w:rsidRPr="00B70650">
        <w:rPr>
          <w:lang w:val="en-US"/>
        </w:rPr>
        <w:t xml:space="preserve">Both the qualitative interviews and the quantitative survey highlighted that </w:t>
      </w:r>
      <w:r>
        <w:rPr>
          <w:lang w:val="en-US"/>
        </w:rPr>
        <w:t>some</w:t>
      </w:r>
      <w:r w:rsidRPr="00B70650">
        <w:rPr>
          <w:lang w:val="en-US"/>
        </w:rPr>
        <w:t xml:space="preserve"> BSP participants do not recall how they received th</w:t>
      </w:r>
      <w:r>
        <w:rPr>
          <w:lang w:val="en-US"/>
        </w:rPr>
        <w:t>e news of their results.</w:t>
      </w:r>
      <w:r w:rsidRPr="00B70650">
        <w:rPr>
          <w:lang w:val="en-US"/>
        </w:rPr>
        <w:t xml:space="preserve">  </w:t>
      </w:r>
    </w:p>
  </w:footnote>
  <w:footnote w:id="74">
    <w:p w:rsidR="00D31124" w:rsidRDefault="00D31124" w:rsidP="00EE5261">
      <w:pPr>
        <w:pStyle w:val="FootnoteText"/>
      </w:pPr>
      <w:r w:rsidRPr="00697D47">
        <w:rPr>
          <w:rStyle w:val="FootnoteReference"/>
        </w:rPr>
        <w:footnoteRef/>
      </w:r>
      <w:r>
        <w:t xml:space="preserve"> </w:t>
      </w:r>
      <w:r>
        <w:tab/>
        <w:t>GPs</w:t>
      </w:r>
      <w:r w:rsidRPr="003A64F0">
        <w:rPr>
          <w:lang w:val="en-US"/>
        </w:rPr>
        <w:t xml:space="preserve"> may not be able to accurately comment on capacity</w:t>
      </w:r>
      <w:r>
        <w:rPr>
          <w:lang w:val="en-US"/>
        </w:rPr>
        <w:t xml:space="preserve"> of other providers</w:t>
      </w:r>
      <w:r w:rsidRPr="003A64F0">
        <w:rPr>
          <w:lang w:val="en-US"/>
        </w:rPr>
        <w:t xml:space="preserve"> therefore </w:t>
      </w:r>
      <w:r>
        <w:rPr>
          <w:lang w:val="en-US"/>
        </w:rPr>
        <w:t xml:space="preserve">the findings presented are </w:t>
      </w:r>
      <w:r w:rsidRPr="003A64F0">
        <w:rPr>
          <w:lang w:val="en-US"/>
        </w:rPr>
        <w:t>perceptions</w:t>
      </w:r>
      <w:r>
        <w:rPr>
          <w:lang w:val="en-US"/>
        </w:rPr>
        <w:t xml:space="preserve"> and need to be considered in this context. </w:t>
      </w:r>
    </w:p>
  </w:footnote>
  <w:footnote w:id="75">
    <w:p w:rsidR="00D31124" w:rsidRDefault="00D31124">
      <w:pPr>
        <w:pStyle w:val="FootnoteText"/>
      </w:pPr>
      <w:r w:rsidRPr="00697D47">
        <w:rPr>
          <w:rStyle w:val="FootnoteReference"/>
        </w:rPr>
        <w:footnoteRef/>
      </w:r>
      <w:r>
        <w:t xml:space="preserve"> The DNA rate for BSP </w:t>
      </w:r>
      <w:r w:rsidRPr="00995633">
        <w:t xml:space="preserve">colonoscopy </w:t>
      </w:r>
      <w:r>
        <w:t xml:space="preserve">is 0.0028% </w:t>
      </w:r>
      <w:r w:rsidRPr="00995633">
        <w:t>(Griffith, Turner and Williams 2013).</w:t>
      </w:r>
    </w:p>
  </w:footnote>
  <w:footnote w:id="76">
    <w:p w:rsidR="00D31124" w:rsidRDefault="00D31124" w:rsidP="00EE5261">
      <w:pPr>
        <w:pStyle w:val="FootnoteText"/>
      </w:pPr>
      <w:r w:rsidRPr="00697D47">
        <w:rPr>
          <w:rStyle w:val="FootnoteReference"/>
        </w:rPr>
        <w:footnoteRef/>
      </w:r>
      <w:r>
        <w:t xml:space="preserve"> </w:t>
      </w:r>
      <w:r>
        <w:tab/>
        <w:t>O</w:t>
      </w:r>
      <w:r>
        <w:rPr>
          <w:lang w:val="en-US"/>
        </w:rPr>
        <w:t xml:space="preserve">ther </w:t>
      </w:r>
      <w:r w:rsidRPr="003A64F0">
        <w:rPr>
          <w:lang w:val="en-US"/>
        </w:rPr>
        <w:t xml:space="preserve">provider groups may not be able to accurately comment on capacity therefore </w:t>
      </w:r>
      <w:r>
        <w:rPr>
          <w:lang w:val="en-US"/>
        </w:rPr>
        <w:t xml:space="preserve">the findings presented are </w:t>
      </w:r>
      <w:r w:rsidRPr="003A64F0">
        <w:rPr>
          <w:lang w:val="en-US"/>
        </w:rPr>
        <w:t>perceptions</w:t>
      </w:r>
      <w:r>
        <w:rPr>
          <w:lang w:val="en-US"/>
        </w:rPr>
        <w:t xml:space="preserve"> and need to be considered in this context. </w:t>
      </w:r>
    </w:p>
  </w:footnote>
  <w:footnote w:id="77">
    <w:p w:rsidR="00D31124" w:rsidRDefault="00D31124" w:rsidP="002543BD">
      <w:pPr>
        <w:pStyle w:val="FootnoteText"/>
      </w:pPr>
      <w:r w:rsidRPr="00697D47">
        <w:rPr>
          <w:rStyle w:val="FootnoteReference"/>
        </w:rPr>
        <w:footnoteRef/>
      </w:r>
      <w:r>
        <w:t xml:space="preserve"> </w:t>
      </w:r>
      <w:r>
        <w:tab/>
      </w:r>
      <w:r>
        <w:rPr>
          <w:lang w:val="en"/>
        </w:rPr>
        <w:t xml:space="preserve">LabPLUS is accredited annually by </w:t>
      </w:r>
      <w:r w:rsidRPr="00F97AC1">
        <w:rPr>
          <w:rStyle w:val="st"/>
          <w:bCs/>
        </w:rPr>
        <w:t>International Accreditation New Zealand</w:t>
      </w:r>
      <w:r w:rsidRPr="00F97AC1">
        <w:rPr>
          <w:rStyle w:val="st"/>
          <w:rFonts w:cs="Arial"/>
          <w:color w:val="222222"/>
        </w:rPr>
        <w:t xml:space="preserve"> </w:t>
      </w:r>
      <w:r>
        <w:rPr>
          <w:rStyle w:val="st"/>
          <w:rFonts w:cs="Arial"/>
          <w:color w:val="222222"/>
        </w:rPr>
        <w:t>(IANZ)</w:t>
      </w:r>
      <w:r>
        <w:rPr>
          <w:lang w:val="en"/>
        </w:rPr>
        <w:t xml:space="preserve"> to ensure the quality of results released meets the New Zealand Standard NZS/ISO15189, ‘Medical Laboratories – Particular requirements for quality and competence’.  </w:t>
      </w:r>
    </w:p>
  </w:footnote>
  <w:footnote w:id="78">
    <w:p w:rsidR="00D31124" w:rsidRDefault="00D31124" w:rsidP="002543BD">
      <w:pPr>
        <w:pStyle w:val="FootnoteText"/>
      </w:pPr>
      <w:r w:rsidRPr="00697D47">
        <w:rPr>
          <w:rStyle w:val="FootnoteReference"/>
        </w:rPr>
        <w:footnoteRef/>
      </w:r>
      <w:r>
        <w:t xml:space="preserve"> </w:t>
      </w:r>
      <w:r>
        <w:tab/>
      </w:r>
      <w:r>
        <w:rPr>
          <w:lang w:eastAsia="ar-SA"/>
        </w:rPr>
        <w:t xml:space="preserve">In symptomatic services histology results are normally reviewed by the endoscopist who performed the colonoscopy.  To ensure continuity and timeliness, this was not feasible for a screening programme.  </w:t>
      </w:r>
    </w:p>
  </w:footnote>
  <w:footnote w:id="79">
    <w:p w:rsidR="00D31124" w:rsidRDefault="00D31124" w:rsidP="004B1092">
      <w:pPr>
        <w:pStyle w:val="FootnoteText"/>
      </w:pPr>
      <w:r w:rsidRPr="00697D47">
        <w:rPr>
          <w:rStyle w:val="FootnoteReference"/>
        </w:rPr>
        <w:footnoteRef/>
      </w:r>
      <w:r>
        <w:t xml:space="preserve"> </w:t>
      </w:r>
      <w:r>
        <w:tab/>
        <w:t xml:space="preserve">Personal communication from John Greenwood dated 22 October 2013. </w:t>
      </w:r>
    </w:p>
  </w:footnote>
  <w:footnote w:id="80">
    <w:p w:rsidR="00D31124" w:rsidRDefault="00D31124">
      <w:pPr>
        <w:pStyle w:val="FootnoteText"/>
      </w:pPr>
      <w:r w:rsidRPr="00697D47">
        <w:rPr>
          <w:rStyle w:val="FootnoteReference"/>
        </w:rPr>
        <w:footnoteRef/>
      </w:r>
      <w:r>
        <w:t xml:space="preserve"> </w:t>
      </w:r>
      <w:r>
        <w:tab/>
        <w:t>O</w:t>
      </w:r>
      <w:r>
        <w:rPr>
          <w:lang w:val="en-US"/>
        </w:rPr>
        <w:t xml:space="preserve">ther </w:t>
      </w:r>
      <w:r w:rsidRPr="003A64F0">
        <w:rPr>
          <w:lang w:val="en-US"/>
        </w:rPr>
        <w:t xml:space="preserve">provider groups may not be able to accurately comment on capacity therefore </w:t>
      </w:r>
      <w:r>
        <w:rPr>
          <w:lang w:val="en-US"/>
        </w:rPr>
        <w:t xml:space="preserve">the findings presented are </w:t>
      </w:r>
      <w:r w:rsidRPr="003A64F0">
        <w:rPr>
          <w:lang w:val="en-US"/>
        </w:rPr>
        <w:t>perceptions</w:t>
      </w:r>
      <w:r>
        <w:rPr>
          <w:lang w:val="en-US"/>
        </w:rPr>
        <w:t xml:space="preserve"> and need to be considered in this context. </w:t>
      </w:r>
    </w:p>
  </w:footnote>
  <w:footnote w:id="81">
    <w:p w:rsidR="00D31124" w:rsidRDefault="00D31124">
      <w:pPr>
        <w:pStyle w:val="FootnoteText"/>
      </w:pPr>
      <w:r w:rsidRPr="00697D47">
        <w:rPr>
          <w:rStyle w:val="FootnoteReference"/>
        </w:rPr>
        <w:footnoteRef/>
      </w:r>
      <w:r>
        <w:t xml:space="preserve"> </w:t>
      </w:r>
      <w:r>
        <w:tab/>
        <w:t xml:space="preserve">11 out of the 106 participants with cancer were in the self-selected population. </w:t>
      </w:r>
    </w:p>
  </w:footnote>
  <w:footnote w:id="82">
    <w:p w:rsidR="00D31124" w:rsidRDefault="00D31124">
      <w:pPr>
        <w:pStyle w:val="FootnoteText"/>
      </w:pPr>
      <w:r w:rsidRPr="00697D47">
        <w:rPr>
          <w:rStyle w:val="FootnoteReference"/>
        </w:rPr>
        <w:footnoteRef/>
      </w:r>
      <w:r>
        <w:t xml:space="preserve"> </w:t>
      </w:r>
      <w:r>
        <w:tab/>
        <w:t>O</w:t>
      </w:r>
      <w:r>
        <w:rPr>
          <w:lang w:val="en-US"/>
        </w:rPr>
        <w:t xml:space="preserve">ther provider groups may not be able to accurately comment on capacity therefore the findings presented are perceptions and need to be considered in this context. </w:t>
      </w:r>
    </w:p>
  </w:footnote>
  <w:footnote w:id="83">
    <w:p w:rsidR="00D31124" w:rsidRDefault="00D31124" w:rsidP="00584232">
      <w:pPr>
        <w:pStyle w:val="FootnoteText"/>
      </w:pPr>
      <w:r w:rsidRPr="00697D47">
        <w:rPr>
          <w:rStyle w:val="FootnoteReference"/>
        </w:rPr>
        <w:footnoteRef/>
      </w:r>
      <w:r>
        <w:rPr>
          <w:rStyle w:val="FootnoteReference"/>
        </w:rPr>
        <w:t xml:space="preserve">   </w:t>
      </w:r>
      <w:r>
        <w:rPr>
          <w:rStyle w:val="FootnoteReference"/>
        </w:rPr>
        <w:tab/>
      </w:r>
      <w:r>
        <w:t xml:space="preserve">The standards referring to the quality assurance of the colonoscopy procedure are outlined in the BSP Interim Quality Standards. </w:t>
      </w:r>
    </w:p>
  </w:footnote>
  <w:footnote w:id="84">
    <w:p w:rsidR="00D31124" w:rsidRDefault="00D31124" w:rsidP="00584232">
      <w:pPr>
        <w:pStyle w:val="FootnoteText"/>
      </w:pPr>
      <w:r w:rsidRPr="00697D47">
        <w:rPr>
          <w:rStyle w:val="FootnoteReference"/>
        </w:rPr>
        <w:footnoteRef/>
      </w:r>
      <w:r>
        <w:t xml:space="preserve"> </w:t>
      </w:r>
      <w:r>
        <w:tab/>
        <w:t xml:space="preserve">The Quality Lead position was vacant from October 2012 to May 2013. </w:t>
      </w:r>
    </w:p>
  </w:footnote>
  <w:footnote w:id="85">
    <w:p w:rsidR="00D31124" w:rsidRDefault="00D31124" w:rsidP="00584232">
      <w:pPr>
        <w:pStyle w:val="FootnoteText"/>
      </w:pPr>
      <w:r w:rsidRPr="00697D47">
        <w:rPr>
          <w:rStyle w:val="FootnoteReference"/>
        </w:rPr>
        <w:footnoteRef/>
      </w:r>
      <w:r>
        <w:t xml:space="preserve"> </w:t>
      </w:r>
      <w:r>
        <w:tab/>
        <w:t xml:space="preserve">Other quality initiatives may have been undertaken that are not listed here. </w:t>
      </w:r>
    </w:p>
  </w:footnote>
  <w:footnote w:id="86">
    <w:p w:rsidR="00D31124" w:rsidRDefault="00D31124" w:rsidP="007C3D83">
      <w:pPr>
        <w:pStyle w:val="FootnoteText"/>
      </w:pPr>
      <w:r>
        <w:rPr>
          <w:rStyle w:val="FootnoteReference"/>
        </w:rPr>
        <w:footnoteRef/>
      </w:r>
      <w:r>
        <w:t xml:space="preserve"> </w:t>
      </w:r>
      <w:r>
        <w:tab/>
        <w:t>This is an estimate of the proportion of Ministry of Health staff time spent per year on the BSP, including contract management, monitoring and development of policy advice.</w:t>
      </w:r>
    </w:p>
  </w:footnote>
  <w:footnote w:id="87">
    <w:p w:rsidR="00D31124" w:rsidRDefault="00D31124" w:rsidP="00EA55DB">
      <w:pPr>
        <w:pStyle w:val="FootnoteText"/>
      </w:pPr>
      <w:r w:rsidRPr="00697D47">
        <w:rPr>
          <w:rStyle w:val="FootnoteReference"/>
        </w:rPr>
        <w:footnoteRef/>
      </w:r>
      <w:r>
        <w:tab/>
        <w:t xml:space="preserve">Referred to internationally as </w:t>
      </w:r>
      <w:r w:rsidRPr="000C3E41">
        <w:t>Faecal Immunochemical Test for Haemoglobin</w:t>
      </w:r>
      <w:r>
        <w:t xml:space="preserve"> (FIT)</w:t>
      </w:r>
    </w:p>
  </w:footnote>
  <w:footnote w:id="88">
    <w:p w:rsidR="00D31124" w:rsidRDefault="00D31124" w:rsidP="00A70DF2">
      <w:pPr>
        <w:pStyle w:val="FootnoteText"/>
      </w:pPr>
      <w:r w:rsidRPr="00697D47">
        <w:rPr>
          <w:rStyle w:val="FootnoteReference"/>
        </w:rPr>
        <w:footnoteRef/>
      </w:r>
      <w:r>
        <w:t xml:space="preserve"> Currently data is being transferred from a spreadsheet into the Register. On completion these data points will be calculated.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rsidP="006D1441">
    <w:pPr>
      <w:pStyle w:val="Header"/>
      <w:jc w:val="left"/>
    </w:pPr>
    <w:r>
      <w:rPr>
        <w:noProof/>
        <w:lang w:eastAsia="en-NZ"/>
      </w:rPr>
      <w:drawing>
        <wp:inline distT="0" distB="0" distL="0" distR="0" wp14:anchorId="5D3F9EB4" wp14:editId="6CB83EFF">
          <wp:extent cx="2075560" cy="6381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75560" cy="638175"/>
                  </a:xfrm>
                  <a:prstGeom prst="rect">
                    <a:avLst/>
                  </a:prstGeom>
                </pic:spPr>
              </pic:pic>
            </a:graphicData>
          </a:graphic>
        </wp:inline>
      </w:drawing>
    </w:r>
    <w:r>
      <w:tab/>
    </w:r>
    <w:r>
      <w:tab/>
    </w:r>
    <w:r>
      <w:tab/>
    </w:r>
    <w:r>
      <w:tab/>
    </w:r>
    <w:r>
      <w:tab/>
    </w:r>
    <w:r>
      <w:tab/>
    </w:r>
    <w:r>
      <w:tab/>
    </w:r>
    <w:r>
      <w:rPr>
        <w:noProof/>
        <w:lang w:eastAsia="en-NZ"/>
      </w:rPr>
      <w:drawing>
        <wp:inline distT="0" distB="0" distL="0" distR="0" wp14:anchorId="7355B425" wp14:editId="39ECE4DB">
          <wp:extent cx="1747557" cy="63661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242" cy="641231"/>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pPr>
      <w:pStyle w:val="Header"/>
    </w:pPr>
    <w:r>
      <w:t>TMS Beyond Today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pPr>
      <w:pStyle w:val="Header"/>
    </w:pPr>
    <w:r>
      <w:t>Interim Evaluation Report of the Bowel Screening Pilot</w:t>
    </w:r>
  </w:p>
  <w:p w:rsidR="00D31124" w:rsidRDefault="00D31124">
    <w:pPr>
      <w:pStyle w:val="Header"/>
    </w:pPr>
    <w:r>
      <w:t xml:space="preserve">First Screening Round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Pr="00F35B39" w:rsidRDefault="00D31124" w:rsidP="00F35B39">
    <w:pPr>
      <w:pStyle w:val="Header"/>
    </w:pPr>
    <w:r>
      <w:t>Interim Evaluation Report of the Bowel Screening Pilot</w:t>
    </w:r>
    <w:r>
      <w:br/>
      <w:t xml:space="preserve">First Screening Round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124" w:rsidRDefault="00D31124">
    <w:pPr>
      <w:pStyle w:val="Header"/>
    </w:pPr>
    <w:r>
      <w:t>Draft Interim Evaluation Report of the Bowel Screening Pilot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nsid w:val="00D93924"/>
    <w:multiLevelType w:val="hybridMultilevel"/>
    <w:tmpl w:val="8D9E5876"/>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
    <w:nsid w:val="00FE2C77"/>
    <w:multiLevelType w:val="hybridMultilevel"/>
    <w:tmpl w:val="362A63C2"/>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3">
    <w:nsid w:val="010372B3"/>
    <w:multiLevelType w:val="hybridMultilevel"/>
    <w:tmpl w:val="1B0CFA4A"/>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
    <w:nsid w:val="022E40D8"/>
    <w:multiLevelType w:val="hybridMultilevel"/>
    <w:tmpl w:val="E0C8F1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nsid w:val="02A479B8"/>
    <w:multiLevelType w:val="hybridMultilevel"/>
    <w:tmpl w:val="BC605F00"/>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
    <w:nsid w:val="0D5F287F"/>
    <w:multiLevelType w:val="hybridMultilevel"/>
    <w:tmpl w:val="75860E0C"/>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7">
    <w:nsid w:val="145D59E4"/>
    <w:multiLevelType w:val="hybridMultilevel"/>
    <w:tmpl w:val="79F88F9E"/>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8">
    <w:nsid w:val="146E01DB"/>
    <w:multiLevelType w:val="hybridMultilevel"/>
    <w:tmpl w:val="BD0022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nsid w:val="16E17C1F"/>
    <w:multiLevelType w:val="hybridMultilevel"/>
    <w:tmpl w:val="0874CD6C"/>
    <w:lvl w:ilvl="0" w:tplc="E152ACF2">
      <w:start w:val="1"/>
      <w:numFmt w:val="bullet"/>
      <w:lvlText w:val="­"/>
      <w:lvlJc w:val="left"/>
      <w:pPr>
        <w:ind w:left="1636" w:hanging="360"/>
      </w:pPr>
      <w:rPr>
        <w:rFonts w:ascii="Courier New" w:hAnsi="Courier New" w:hint="default"/>
      </w:rPr>
    </w:lvl>
    <w:lvl w:ilvl="1" w:tplc="14090003">
      <w:start w:val="1"/>
      <w:numFmt w:val="bullet"/>
      <w:lvlText w:val="o"/>
      <w:lvlJc w:val="left"/>
      <w:pPr>
        <w:ind w:left="2356" w:hanging="360"/>
      </w:pPr>
      <w:rPr>
        <w:rFonts w:ascii="Courier New" w:hAnsi="Courier New" w:hint="default"/>
      </w:rPr>
    </w:lvl>
    <w:lvl w:ilvl="2" w:tplc="14090005" w:tentative="1">
      <w:start w:val="1"/>
      <w:numFmt w:val="bullet"/>
      <w:lvlText w:val=""/>
      <w:lvlJc w:val="left"/>
      <w:pPr>
        <w:ind w:left="3076" w:hanging="360"/>
      </w:pPr>
      <w:rPr>
        <w:rFonts w:ascii="Wingdings" w:hAnsi="Wingdings" w:hint="default"/>
      </w:rPr>
    </w:lvl>
    <w:lvl w:ilvl="3" w:tplc="14090001" w:tentative="1">
      <w:start w:val="1"/>
      <w:numFmt w:val="bullet"/>
      <w:lvlText w:val=""/>
      <w:lvlJc w:val="left"/>
      <w:pPr>
        <w:ind w:left="3796" w:hanging="360"/>
      </w:pPr>
      <w:rPr>
        <w:rFonts w:ascii="Symbol" w:hAnsi="Symbol" w:hint="default"/>
      </w:rPr>
    </w:lvl>
    <w:lvl w:ilvl="4" w:tplc="14090003" w:tentative="1">
      <w:start w:val="1"/>
      <w:numFmt w:val="bullet"/>
      <w:lvlText w:val="o"/>
      <w:lvlJc w:val="left"/>
      <w:pPr>
        <w:ind w:left="4516" w:hanging="360"/>
      </w:pPr>
      <w:rPr>
        <w:rFonts w:ascii="Courier New" w:hAnsi="Courier New" w:hint="default"/>
      </w:rPr>
    </w:lvl>
    <w:lvl w:ilvl="5" w:tplc="14090005" w:tentative="1">
      <w:start w:val="1"/>
      <w:numFmt w:val="bullet"/>
      <w:lvlText w:val=""/>
      <w:lvlJc w:val="left"/>
      <w:pPr>
        <w:ind w:left="5236" w:hanging="360"/>
      </w:pPr>
      <w:rPr>
        <w:rFonts w:ascii="Wingdings" w:hAnsi="Wingdings" w:hint="default"/>
      </w:rPr>
    </w:lvl>
    <w:lvl w:ilvl="6" w:tplc="14090001" w:tentative="1">
      <w:start w:val="1"/>
      <w:numFmt w:val="bullet"/>
      <w:lvlText w:val=""/>
      <w:lvlJc w:val="left"/>
      <w:pPr>
        <w:ind w:left="5956" w:hanging="360"/>
      </w:pPr>
      <w:rPr>
        <w:rFonts w:ascii="Symbol" w:hAnsi="Symbol" w:hint="default"/>
      </w:rPr>
    </w:lvl>
    <w:lvl w:ilvl="7" w:tplc="14090003" w:tentative="1">
      <w:start w:val="1"/>
      <w:numFmt w:val="bullet"/>
      <w:lvlText w:val="o"/>
      <w:lvlJc w:val="left"/>
      <w:pPr>
        <w:ind w:left="6676" w:hanging="360"/>
      </w:pPr>
      <w:rPr>
        <w:rFonts w:ascii="Courier New" w:hAnsi="Courier New" w:hint="default"/>
      </w:rPr>
    </w:lvl>
    <w:lvl w:ilvl="8" w:tplc="14090005" w:tentative="1">
      <w:start w:val="1"/>
      <w:numFmt w:val="bullet"/>
      <w:lvlText w:val=""/>
      <w:lvlJc w:val="left"/>
      <w:pPr>
        <w:ind w:left="7396" w:hanging="360"/>
      </w:pPr>
      <w:rPr>
        <w:rFonts w:ascii="Wingdings" w:hAnsi="Wingdings" w:hint="default"/>
      </w:rPr>
    </w:lvl>
  </w:abstractNum>
  <w:abstractNum w:abstractNumId="10">
    <w:nsid w:val="18F51FF4"/>
    <w:multiLevelType w:val="singleLevel"/>
    <w:tmpl w:val="32487A30"/>
    <w:lvl w:ilvl="0">
      <w:start w:val="1"/>
      <w:numFmt w:val="bullet"/>
      <w:pStyle w:val="Bullet"/>
      <w:lvlText w:val=""/>
      <w:lvlJc w:val="left"/>
      <w:pPr>
        <w:tabs>
          <w:tab w:val="num" w:pos="1134"/>
        </w:tabs>
        <w:ind w:left="1134" w:hanging="567"/>
      </w:pPr>
      <w:rPr>
        <w:rFonts w:ascii="Wingdings" w:hAnsi="Wingdings" w:hint="default"/>
        <w:sz w:val="12"/>
      </w:rPr>
    </w:lvl>
  </w:abstractNum>
  <w:abstractNum w:abstractNumId="11">
    <w:nsid w:val="1BB36942"/>
    <w:multiLevelType w:val="multilevel"/>
    <w:tmpl w:val="9F724932"/>
    <w:lvl w:ilvl="0">
      <w:start w:val="1"/>
      <w:numFmt w:val="decimal"/>
      <w:pStyle w:val="Notes"/>
      <w:lvlText w:val="%1."/>
      <w:lvlJc w:val="left"/>
      <w:pPr>
        <w:tabs>
          <w:tab w:val="num" w:pos="284"/>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1E277DFC"/>
    <w:multiLevelType w:val="hybridMultilevel"/>
    <w:tmpl w:val="81EE20B8"/>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3">
    <w:nsid w:val="20366885"/>
    <w:multiLevelType w:val="multilevel"/>
    <w:tmpl w:val="F1420996"/>
    <w:lvl w:ilvl="0">
      <w:start w:val="1"/>
      <w:numFmt w:val="none"/>
      <w:pStyle w:val="NumtextIndent1"/>
      <w:suff w:val="nothing"/>
      <w:lvlText w:val="%1"/>
      <w:lvlJc w:val="left"/>
      <w:pPr>
        <w:ind w:left="992" w:firstLine="0"/>
      </w:pPr>
      <w:rPr>
        <w:rFonts w:hint="default"/>
      </w:rPr>
    </w:lvl>
    <w:lvl w:ilvl="1">
      <w:start w:val="1"/>
      <w:numFmt w:val="none"/>
      <w:suff w:val="nothing"/>
      <w:lvlText w:val="%2"/>
      <w:lvlJc w:val="left"/>
      <w:pPr>
        <w:ind w:left="1418" w:hanging="1"/>
      </w:pPr>
      <w:rPr>
        <w:rFonts w:hint="default"/>
      </w:rPr>
    </w:lvl>
    <w:lvl w:ilvl="2">
      <w:start w:val="1"/>
      <w:numFmt w:val="none"/>
      <w:suff w:val="nothing"/>
      <w:lvlText w:val=""/>
      <w:lvlJc w:val="left"/>
      <w:pPr>
        <w:ind w:left="1843"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1275"/>
        </w:tabs>
        <w:ind w:left="1275" w:firstLine="0"/>
      </w:pPr>
      <w:rPr>
        <w:rFonts w:hint="default"/>
      </w:rPr>
    </w:lvl>
    <w:lvl w:ilvl="6">
      <w:start w:val="1"/>
      <w:numFmt w:val="none"/>
      <w:lvlText w:val=""/>
      <w:lvlJc w:val="left"/>
      <w:pPr>
        <w:tabs>
          <w:tab w:val="num" w:pos="1275"/>
        </w:tabs>
        <w:ind w:left="1275" w:firstLine="0"/>
      </w:pPr>
      <w:rPr>
        <w:rFonts w:hint="default"/>
      </w:rPr>
    </w:lvl>
    <w:lvl w:ilvl="7">
      <w:start w:val="1"/>
      <w:numFmt w:val="none"/>
      <w:lvlText w:val=""/>
      <w:lvlJc w:val="left"/>
      <w:pPr>
        <w:tabs>
          <w:tab w:val="num" w:pos="1275"/>
        </w:tabs>
        <w:ind w:left="1275" w:firstLine="2520"/>
      </w:pPr>
      <w:rPr>
        <w:rFonts w:hint="default"/>
      </w:rPr>
    </w:lvl>
    <w:lvl w:ilvl="8">
      <w:start w:val="1"/>
      <w:numFmt w:val="none"/>
      <w:lvlText w:val=""/>
      <w:lvlJc w:val="left"/>
      <w:pPr>
        <w:tabs>
          <w:tab w:val="num" w:pos="1275"/>
        </w:tabs>
        <w:ind w:left="1275" w:firstLine="0"/>
      </w:pPr>
      <w:rPr>
        <w:rFonts w:hint="default"/>
      </w:rPr>
    </w:lvl>
  </w:abstractNum>
  <w:abstractNum w:abstractNumId="14">
    <w:nsid w:val="21446FAB"/>
    <w:multiLevelType w:val="hybridMultilevel"/>
    <w:tmpl w:val="74BA8718"/>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5">
    <w:nsid w:val="214B615A"/>
    <w:multiLevelType w:val="hybridMultilevel"/>
    <w:tmpl w:val="E8F8FF84"/>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6">
    <w:nsid w:val="25A32AAC"/>
    <w:multiLevelType w:val="hybridMultilevel"/>
    <w:tmpl w:val="9D5A14A4"/>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7">
    <w:nsid w:val="2601264E"/>
    <w:multiLevelType w:val="multilevel"/>
    <w:tmpl w:val="824E8FC4"/>
    <w:lvl w:ilvl="0">
      <w:start w:val="1"/>
      <w:numFmt w:val="decimal"/>
      <w:lvlText w:val="%1."/>
      <w:lvlJc w:val="left"/>
      <w:pPr>
        <w:tabs>
          <w:tab w:val="num" w:pos="927"/>
        </w:tabs>
        <w:ind w:left="927" w:hanging="360"/>
      </w:pPr>
      <w:rPr>
        <w:rFonts w:cs="Times New Roman"/>
      </w:rPr>
    </w:lvl>
    <w:lvl w:ilvl="1">
      <w:start w:val="2"/>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287"/>
        </w:tabs>
        <w:ind w:left="1287" w:hanging="72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1647"/>
        </w:tabs>
        <w:ind w:left="1647" w:hanging="108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007"/>
        </w:tabs>
        <w:ind w:left="2007" w:hanging="1440"/>
      </w:pPr>
      <w:rPr>
        <w:rFonts w:hint="default"/>
      </w:rPr>
    </w:lvl>
  </w:abstractNum>
  <w:abstractNum w:abstractNumId="18">
    <w:nsid w:val="2623365A"/>
    <w:multiLevelType w:val="hybridMultilevel"/>
    <w:tmpl w:val="8160C184"/>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9">
    <w:nsid w:val="26F41118"/>
    <w:multiLevelType w:val="hybridMultilevel"/>
    <w:tmpl w:val="FD16BE5A"/>
    <w:lvl w:ilvl="0" w:tplc="E152ACF2">
      <w:start w:val="1"/>
      <w:numFmt w:val="bullet"/>
      <w:lvlText w:val="­"/>
      <w:lvlJc w:val="left"/>
      <w:pPr>
        <w:ind w:left="720" w:hanging="360"/>
      </w:pPr>
      <w:rPr>
        <w:rFonts w:ascii="Courier New" w:hAnsi="Courier New" w:cs="Times New Roman" w:hint="default"/>
      </w:rPr>
    </w:lvl>
    <w:lvl w:ilvl="1" w:tplc="E152ACF2">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Times New Roman"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Times New Roman" w:hint="default"/>
      </w:rPr>
    </w:lvl>
    <w:lvl w:ilvl="8" w:tplc="14090005">
      <w:start w:val="1"/>
      <w:numFmt w:val="bullet"/>
      <w:lvlText w:val=""/>
      <w:lvlJc w:val="left"/>
      <w:pPr>
        <w:ind w:left="6480" w:hanging="360"/>
      </w:pPr>
      <w:rPr>
        <w:rFonts w:ascii="Wingdings" w:hAnsi="Wingdings" w:hint="default"/>
      </w:rPr>
    </w:lvl>
  </w:abstractNum>
  <w:abstractNum w:abstractNumId="20">
    <w:nsid w:val="2AC73E3C"/>
    <w:multiLevelType w:val="hybridMultilevel"/>
    <w:tmpl w:val="78BEB6A6"/>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21">
    <w:nsid w:val="2C531B50"/>
    <w:multiLevelType w:val="hybridMultilevel"/>
    <w:tmpl w:val="1422DF28"/>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2">
    <w:nsid w:val="2DA662A1"/>
    <w:multiLevelType w:val="hybridMultilevel"/>
    <w:tmpl w:val="131208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nsid w:val="31276587"/>
    <w:multiLevelType w:val="hybridMultilevel"/>
    <w:tmpl w:val="ED7667E6"/>
    <w:lvl w:ilvl="0" w:tplc="1409000F">
      <w:start w:val="1"/>
      <w:numFmt w:val="decimal"/>
      <w:lvlText w:val="%1."/>
      <w:lvlJc w:val="left"/>
      <w:pPr>
        <w:ind w:left="1069" w:hanging="360"/>
      </w:pPr>
      <w:rPr>
        <w:rFonts w:cs="Times New Roman"/>
      </w:rPr>
    </w:lvl>
    <w:lvl w:ilvl="1" w:tplc="14090003">
      <w:start w:val="1"/>
      <w:numFmt w:val="bullet"/>
      <w:lvlText w:val="o"/>
      <w:lvlJc w:val="left"/>
      <w:pPr>
        <w:ind w:left="1789" w:hanging="360"/>
      </w:pPr>
      <w:rPr>
        <w:rFonts w:ascii="Courier New" w:hAnsi="Courier New" w:cs="Times New Roman" w:hint="default"/>
      </w:rPr>
    </w:lvl>
    <w:lvl w:ilvl="2" w:tplc="14090005">
      <w:start w:val="1"/>
      <w:numFmt w:val="bullet"/>
      <w:lvlText w:val=""/>
      <w:lvlJc w:val="left"/>
      <w:pPr>
        <w:ind w:left="2509" w:hanging="360"/>
      </w:pPr>
      <w:rPr>
        <w:rFonts w:ascii="Wingdings" w:hAnsi="Wingdings" w:hint="default"/>
      </w:rPr>
    </w:lvl>
    <w:lvl w:ilvl="3" w:tplc="14090001">
      <w:start w:val="1"/>
      <w:numFmt w:val="bullet"/>
      <w:lvlText w:val=""/>
      <w:lvlJc w:val="left"/>
      <w:pPr>
        <w:ind w:left="3229" w:hanging="360"/>
      </w:pPr>
      <w:rPr>
        <w:rFonts w:ascii="Symbol" w:hAnsi="Symbol" w:hint="default"/>
      </w:rPr>
    </w:lvl>
    <w:lvl w:ilvl="4" w:tplc="14090003">
      <w:start w:val="1"/>
      <w:numFmt w:val="bullet"/>
      <w:lvlText w:val="o"/>
      <w:lvlJc w:val="left"/>
      <w:pPr>
        <w:ind w:left="3949" w:hanging="360"/>
      </w:pPr>
      <w:rPr>
        <w:rFonts w:ascii="Courier New" w:hAnsi="Courier New" w:cs="Times New Roman" w:hint="default"/>
      </w:rPr>
    </w:lvl>
    <w:lvl w:ilvl="5" w:tplc="14090005">
      <w:start w:val="1"/>
      <w:numFmt w:val="bullet"/>
      <w:lvlText w:val=""/>
      <w:lvlJc w:val="left"/>
      <w:pPr>
        <w:ind w:left="4669" w:hanging="360"/>
      </w:pPr>
      <w:rPr>
        <w:rFonts w:ascii="Wingdings" w:hAnsi="Wingdings" w:hint="default"/>
      </w:rPr>
    </w:lvl>
    <w:lvl w:ilvl="6" w:tplc="14090001">
      <w:start w:val="1"/>
      <w:numFmt w:val="bullet"/>
      <w:lvlText w:val=""/>
      <w:lvlJc w:val="left"/>
      <w:pPr>
        <w:ind w:left="5389" w:hanging="360"/>
      </w:pPr>
      <w:rPr>
        <w:rFonts w:ascii="Symbol" w:hAnsi="Symbol" w:hint="default"/>
      </w:rPr>
    </w:lvl>
    <w:lvl w:ilvl="7" w:tplc="14090003">
      <w:start w:val="1"/>
      <w:numFmt w:val="bullet"/>
      <w:lvlText w:val="o"/>
      <w:lvlJc w:val="left"/>
      <w:pPr>
        <w:ind w:left="6109" w:hanging="360"/>
      </w:pPr>
      <w:rPr>
        <w:rFonts w:ascii="Courier New" w:hAnsi="Courier New" w:cs="Times New Roman" w:hint="default"/>
      </w:rPr>
    </w:lvl>
    <w:lvl w:ilvl="8" w:tplc="14090005">
      <w:start w:val="1"/>
      <w:numFmt w:val="bullet"/>
      <w:lvlText w:val=""/>
      <w:lvlJc w:val="left"/>
      <w:pPr>
        <w:ind w:left="6829" w:hanging="360"/>
      </w:pPr>
      <w:rPr>
        <w:rFonts w:ascii="Wingdings" w:hAnsi="Wingdings" w:hint="default"/>
      </w:rPr>
    </w:lvl>
  </w:abstractNum>
  <w:abstractNum w:abstractNumId="24">
    <w:nsid w:val="3497532D"/>
    <w:multiLevelType w:val="hybridMultilevel"/>
    <w:tmpl w:val="7F44F95E"/>
    <w:lvl w:ilvl="0" w:tplc="E152ACF2">
      <w:start w:val="1"/>
      <w:numFmt w:val="bullet"/>
      <w:lvlText w:val="­"/>
      <w:lvlJc w:val="left"/>
      <w:pPr>
        <w:ind w:left="1786" w:hanging="360"/>
      </w:pPr>
      <w:rPr>
        <w:rFonts w:ascii="Courier New" w:hAnsi="Courier New" w:hint="default"/>
      </w:rPr>
    </w:lvl>
    <w:lvl w:ilvl="1" w:tplc="14090003" w:tentative="1">
      <w:start w:val="1"/>
      <w:numFmt w:val="bullet"/>
      <w:lvlText w:val="o"/>
      <w:lvlJc w:val="left"/>
      <w:pPr>
        <w:ind w:left="2506" w:hanging="360"/>
      </w:pPr>
      <w:rPr>
        <w:rFonts w:ascii="Courier New" w:hAnsi="Courier New" w:cs="Courier New" w:hint="default"/>
      </w:rPr>
    </w:lvl>
    <w:lvl w:ilvl="2" w:tplc="14090005" w:tentative="1">
      <w:start w:val="1"/>
      <w:numFmt w:val="bullet"/>
      <w:lvlText w:val=""/>
      <w:lvlJc w:val="left"/>
      <w:pPr>
        <w:ind w:left="3226" w:hanging="360"/>
      </w:pPr>
      <w:rPr>
        <w:rFonts w:ascii="Wingdings" w:hAnsi="Wingdings" w:hint="default"/>
      </w:rPr>
    </w:lvl>
    <w:lvl w:ilvl="3" w:tplc="14090001" w:tentative="1">
      <w:start w:val="1"/>
      <w:numFmt w:val="bullet"/>
      <w:lvlText w:val=""/>
      <w:lvlJc w:val="left"/>
      <w:pPr>
        <w:ind w:left="3946" w:hanging="360"/>
      </w:pPr>
      <w:rPr>
        <w:rFonts w:ascii="Symbol" w:hAnsi="Symbol" w:hint="default"/>
      </w:rPr>
    </w:lvl>
    <w:lvl w:ilvl="4" w:tplc="14090003" w:tentative="1">
      <w:start w:val="1"/>
      <w:numFmt w:val="bullet"/>
      <w:lvlText w:val="o"/>
      <w:lvlJc w:val="left"/>
      <w:pPr>
        <w:ind w:left="4666" w:hanging="360"/>
      </w:pPr>
      <w:rPr>
        <w:rFonts w:ascii="Courier New" w:hAnsi="Courier New" w:cs="Courier New" w:hint="default"/>
      </w:rPr>
    </w:lvl>
    <w:lvl w:ilvl="5" w:tplc="14090005" w:tentative="1">
      <w:start w:val="1"/>
      <w:numFmt w:val="bullet"/>
      <w:lvlText w:val=""/>
      <w:lvlJc w:val="left"/>
      <w:pPr>
        <w:ind w:left="5386" w:hanging="360"/>
      </w:pPr>
      <w:rPr>
        <w:rFonts w:ascii="Wingdings" w:hAnsi="Wingdings" w:hint="default"/>
      </w:rPr>
    </w:lvl>
    <w:lvl w:ilvl="6" w:tplc="14090001" w:tentative="1">
      <w:start w:val="1"/>
      <w:numFmt w:val="bullet"/>
      <w:lvlText w:val=""/>
      <w:lvlJc w:val="left"/>
      <w:pPr>
        <w:ind w:left="6106" w:hanging="360"/>
      </w:pPr>
      <w:rPr>
        <w:rFonts w:ascii="Symbol" w:hAnsi="Symbol" w:hint="default"/>
      </w:rPr>
    </w:lvl>
    <w:lvl w:ilvl="7" w:tplc="14090003" w:tentative="1">
      <w:start w:val="1"/>
      <w:numFmt w:val="bullet"/>
      <w:lvlText w:val="o"/>
      <w:lvlJc w:val="left"/>
      <w:pPr>
        <w:ind w:left="6826" w:hanging="360"/>
      </w:pPr>
      <w:rPr>
        <w:rFonts w:ascii="Courier New" w:hAnsi="Courier New" w:cs="Courier New" w:hint="default"/>
      </w:rPr>
    </w:lvl>
    <w:lvl w:ilvl="8" w:tplc="14090005" w:tentative="1">
      <w:start w:val="1"/>
      <w:numFmt w:val="bullet"/>
      <w:lvlText w:val=""/>
      <w:lvlJc w:val="left"/>
      <w:pPr>
        <w:ind w:left="7546" w:hanging="360"/>
      </w:pPr>
      <w:rPr>
        <w:rFonts w:ascii="Wingdings" w:hAnsi="Wingdings" w:hint="default"/>
      </w:rPr>
    </w:lvl>
  </w:abstractNum>
  <w:abstractNum w:abstractNumId="25">
    <w:nsid w:val="35F538C8"/>
    <w:multiLevelType w:val="singleLevel"/>
    <w:tmpl w:val="04FC9F52"/>
    <w:lvl w:ilvl="0">
      <w:start w:val="1"/>
      <w:numFmt w:val="bullet"/>
      <w:pStyle w:val="TableBullet"/>
      <w:lvlText w:val=""/>
      <w:lvlJc w:val="left"/>
      <w:pPr>
        <w:tabs>
          <w:tab w:val="num" w:pos="284"/>
        </w:tabs>
        <w:ind w:left="284" w:hanging="284"/>
      </w:pPr>
      <w:rPr>
        <w:rFonts w:ascii="Wingdings" w:hAnsi="Wingdings" w:hint="default"/>
        <w:sz w:val="12"/>
        <w:szCs w:val="12"/>
      </w:rPr>
    </w:lvl>
  </w:abstractNum>
  <w:abstractNum w:abstractNumId="26">
    <w:nsid w:val="3DEE2578"/>
    <w:multiLevelType w:val="hybridMultilevel"/>
    <w:tmpl w:val="3092DA74"/>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7">
    <w:nsid w:val="3E4178AB"/>
    <w:multiLevelType w:val="multilevel"/>
    <w:tmpl w:val="0916F22A"/>
    <w:lvl w:ilvl="0">
      <w:start w:val="1"/>
      <w:numFmt w:val="bullet"/>
      <w:pStyle w:val="Tablebullet1atmargin"/>
      <w:lvlText w:val="•"/>
      <w:lvlJc w:val="left"/>
      <w:pPr>
        <w:tabs>
          <w:tab w:val="num" w:pos="425"/>
        </w:tabs>
        <w:ind w:left="851" w:hanging="426"/>
      </w:pPr>
      <w:rPr>
        <w:rFonts w:ascii="Garamond" w:hAnsi="Garamond" w:hint="default"/>
        <w:color w:val="7B5E05"/>
      </w:rPr>
    </w:lvl>
    <w:lvl w:ilvl="1">
      <w:start w:val="1"/>
      <w:numFmt w:val="bullet"/>
      <w:pStyle w:val="Tablebullet2atmargin"/>
      <w:lvlText w:val=""/>
      <w:lvlJc w:val="left"/>
      <w:pPr>
        <w:tabs>
          <w:tab w:val="num" w:pos="851"/>
        </w:tabs>
        <w:ind w:left="1276" w:hanging="425"/>
      </w:pPr>
      <w:rPr>
        <w:rFonts w:ascii="Symbol" w:hAnsi="Symbol" w:hint="default"/>
      </w:rPr>
    </w:lvl>
    <w:lvl w:ilvl="2">
      <w:start w:val="1"/>
      <w:numFmt w:val="none"/>
      <w:suff w:val="nothing"/>
      <w:lvlText w:val=""/>
      <w:lvlJc w:val="left"/>
      <w:pPr>
        <w:ind w:left="85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3FB365F1"/>
    <w:multiLevelType w:val="singleLevel"/>
    <w:tmpl w:val="64825B68"/>
    <w:lvl w:ilvl="0">
      <w:start w:val="1"/>
      <w:numFmt w:val="bullet"/>
      <w:pStyle w:val="BoxBullet"/>
      <w:lvlText w:val=""/>
      <w:lvlJc w:val="left"/>
      <w:pPr>
        <w:tabs>
          <w:tab w:val="num" w:pos="1134"/>
        </w:tabs>
        <w:ind w:left="1134" w:hanging="283"/>
      </w:pPr>
      <w:rPr>
        <w:rFonts w:ascii="Wingdings" w:hAnsi="Wingdings" w:hint="default"/>
        <w:sz w:val="12"/>
        <w:szCs w:val="12"/>
      </w:rPr>
    </w:lvl>
  </w:abstractNum>
  <w:abstractNum w:abstractNumId="29">
    <w:nsid w:val="447322B5"/>
    <w:multiLevelType w:val="hybridMultilevel"/>
    <w:tmpl w:val="86A8683A"/>
    <w:lvl w:ilvl="0" w:tplc="E152ACF2">
      <w:start w:val="1"/>
      <w:numFmt w:val="bullet"/>
      <w:lvlText w:val="­"/>
      <w:lvlJc w:val="left"/>
      <w:pPr>
        <w:ind w:left="1789" w:hanging="360"/>
      </w:pPr>
      <w:rPr>
        <w:rFonts w:ascii="Courier New" w:hAnsi="Courier New" w:hint="default"/>
      </w:rPr>
    </w:lvl>
    <w:lvl w:ilvl="1" w:tplc="14090003" w:tentative="1">
      <w:start w:val="1"/>
      <w:numFmt w:val="bullet"/>
      <w:lvlText w:val="o"/>
      <w:lvlJc w:val="left"/>
      <w:pPr>
        <w:ind w:left="2509" w:hanging="360"/>
      </w:pPr>
      <w:rPr>
        <w:rFonts w:ascii="Courier New" w:hAnsi="Courier New" w:cs="Courier New" w:hint="default"/>
      </w:rPr>
    </w:lvl>
    <w:lvl w:ilvl="2" w:tplc="14090005" w:tentative="1">
      <w:start w:val="1"/>
      <w:numFmt w:val="bullet"/>
      <w:lvlText w:val=""/>
      <w:lvlJc w:val="left"/>
      <w:pPr>
        <w:ind w:left="3229" w:hanging="360"/>
      </w:pPr>
      <w:rPr>
        <w:rFonts w:ascii="Wingdings" w:hAnsi="Wingdings" w:hint="default"/>
      </w:rPr>
    </w:lvl>
    <w:lvl w:ilvl="3" w:tplc="14090001" w:tentative="1">
      <w:start w:val="1"/>
      <w:numFmt w:val="bullet"/>
      <w:lvlText w:val=""/>
      <w:lvlJc w:val="left"/>
      <w:pPr>
        <w:ind w:left="3949" w:hanging="360"/>
      </w:pPr>
      <w:rPr>
        <w:rFonts w:ascii="Symbol" w:hAnsi="Symbol" w:hint="default"/>
      </w:rPr>
    </w:lvl>
    <w:lvl w:ilvl="4" w:tplc="14090003" w:tentative="1">
      <w:start w:val="1"/>
      <w:numFmt w:val="bullet"/>
      <w:lvlText w:val="o"/>
      <w:lvlJc w:val="left"/>
      <w:pPr>
        <w:ind w:left="4669" w:hanging="360"/>
      </w:pPr>
      <w:rPr>
        <w:rFonts w:ascii="Courier New" w:hAnsi="Courier New" w:cs="Courier New" w:hint="default"/>
      </w:rPr>
    </w:lvl>
    <w:lvl w:ilvl="5" w:tplc="14090005" w:tentative="1">
      <w:start w:val="1"/>
      <w:numFmt w:val="bullet"/>
      <w:lvlText w:val=""/>
      <w:lvlJc w:val="left"/>
      <w:pPr>
        <w:ind w:left="5389" w:hanging="360"/>
      </w:pPr>
      <w:rPr>
        <w:rFonts w:ascii="Wingdings" w:hAnsi="Wingdings" w:hint="default"/>
      </w:rPr>
    </w:lvl>
    <w:lvl w:ilvl="6" w:tplc="14090001" w:tentative="1">
      <w:start w:val="1"/>
      <w:numFmt w:val="bullet"/>
      <w:lvlText w:val=""/>
      <w:lvlJc w:val="left"/>
      <w:pPr>
        <w:ind w:left="6109" w:hanging="360"/>
      </w:pPr>
      <w:rPr>
        <w:rFonts w:ascii="Symbol" w:hAnsi="Symbol" w:hint="default"/>
      </w:rPr>
    </w:lvl>
    <w:lvl w:ilvl="7" w:tplc="14090003" w:tentative="1">
      <w:start w:val="1"/>
      <w:numFmt w:val="bullet"/>
      <w:lvlText w:val="o"/>
      <w:lvlJc w:val="left"/>
      <w:pPr>
        <w:ind w:left="6829" w:hanging="360"/>
      </w:pPr>
      <w:rPr>
        <w:rFonts w:ascii="Courier New" w:hAnsi="Courier New" w:cs="Courier New" w:hint="default"/>
      </w:rPr>
    </w:lvl>
    <w:lvl w:ilvl="8" w:tplc="14090005" w:tentative="1">
      <w:start w:val="1"/>
      <w:numFmt w:val="bullet"/>
      <w:lvlText w:val=""/>
      <w:lvlJc w:val="left"/>
      <w:pPr>
        <w:ind w:left="7549" w:hanging="360"/>
      </w:pPr>
      <w:rPr>
        <w:rFonts w:ascii="Wingdings" w:hAnsi="Wingdings" w:hint="default"/>
      </w:rPr>
    </w:lvl>
  </w:abstractNum>
  <w:abstractNum w:abstractNumId="30">
    <w:nsid w:val="44CD3286"/>
    <w:multiLevelType w:val="multilevel"/>
    <w:tmpl w:val="B804F18C"/>
    <w:lvl w:ilvl="0">
      <w:start w:val="1"/>
      <w:numFmt w:val="none"/>
      <w:suff w:val="nothing"/>
      <w:lvlText w:val=""/>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2.%3.%4"/>
      <w:lvlJc w:val="left"/>
      <w:pPr>
        <w:tabs>
          <w:tab w:val="num" w:pos="851"/>
        </w:tabs>
        <w:ind w:left="851" w:hanging="851"/>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360"/>
        </w:tabs>
        <w:ind w:left="851" w:hanging="851"/>
      </w:pPr>
      <w:rPr>
        <w:rFonts w:hint="default"/>
      </w:rPr>
    </w:lvl>
    <w:lvl w:ilvl="7">
      <w:start w:val="1"/>
      <w:numFmt w:val="lowerLetter"/>
      <w:lvlText w:val="%8."/>
      <w:lvlJc w:val="left"/>
      <w:pPr>
        <w:tabs>
          <w:tab w:val="num" w:pos="360"/>
        </w:tabs>
        <w:ind w:left="851" w:hanging="851"/>
      </w:pPr>
      <w:rPr>
        <w:rFonts w:hint="default"/>
      </w:rPr>
    </w:lvl>
    <w:lvl w:ilvl="8">
      <w:start w:val="1"/>
      <w:numFmt w:val="lowerRoman"/>
      <w:lvlText w:val="%9."/>
      <w:lvlJc w:val="left"/>
      <w:pPr>
        <w:tabs>
          <w:tab w:val="num" w:pos="360"/>
        </w:tabs>
        <w:ind w:left="851" w:hanging="851"/>
      </w:pPr>
      <w:rPr>
        <w:rFonts w:hint="default"/>
      </w:rPr>
    </w:lvl>
  </w:abstractNum>
  <w:abstractNum w:abstractNumId="31">
    <w:nsid w:val="45411F9D"/>
    <w:multiLevelType w:val="hybridMultilevel"/>
    <w:tmpl w:val="1D709F22"/>
    <w:lvl w:ilvl="0" w:tplc="14090005">
      <w:start w:val="1"/>
      <w:numFmt w:val="bullet"/>
      <w:lvlText w:val=""/>
      <w:lvlJc w:val="left"/>
      <w:pPr>
        <w:ind w:left="720" w:hanging="360"/>
      </w:pPr>
      <w:rPr>
        <w:rFonts w:ascii="Wingdings" w:hAnsi="Wingdings" w:hint="default"/>
      </w:rPr>
    </w:lvl>
    <w:lvl w:ilvl="1" w:tplc="E152ACF2">
      <w:start w:val="1"/>
      <w:numFmt w:val="bullet"/>
      <w:lvlText w:val="­"/>
      <w:lvlJc w:val="left"/>
      <w:pPr>
        <w:ind w:left="5322"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E152ACF2">
      <w:start w:val="1"/>
      <w:numFmt w:val="bullet"/>
      <w:lvlText w:val="­"/>
      <w:lvlJc w:val="left"/>
      <w:pPr>
        <w:ind w:left="2880" w:hanging="360"/>
      </w:pPr>
      <w:rPr>
        <w:rFonts w:ascii="Courier New" w:hAnsi="Courier New"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454647EA"/>
    <w:multiLevelType w:val="hybridMultilevel"/>
    <w:tmpl w:val="B6903B0E"/>
    <w:lvl w:ilvl="0" w:tplc="14090005">
      <w:start w:val="1"/>
      <w:numFmt w:val="bullet"/>
      <w:pStyle w:val="List8"/>
      <w:lvlText w:val=""/>
      <w:lvlJc w:val="left"/>
      <w:pPr>
        <w:ind w:left="360" w:hanging="360"/>
      </w:pPr>
      <w:rPr>
        <w:rFonts w:ascii="Wingdings" w:hAnsi="Wingdings" w:hint="default"/>
      </w:rPr>
    </w:lvl>
    <w:lvl w:ilvl="1" w:tplc="E152ACF2">
      <w:start w:val="1"/>
      <w:numFmt w:val="bullet"/>
      <w:lvlText w:val="­"/>
      <w:lvlJc w:val="left"/>
      <w:pPr>
        <w:ind w:left="1080" w:hanging="360"/>
      </w:pPr>
      <w:rPr>
        <w:rFonts w:ascii="Courier New" w:hAnsi="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nsid w:val="472647C9"/>
    <w:multiLevelType w:val="hybridMultilevel"/>
    <w:tmpl w:val="4454CABE"/>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34">
    <w:nsid w:val="4ABD7DB4"/>
    <w:multiLevelType w:val="hybridMultilevel"/>
    <w:tmpl w:val="4856716A"/>
    <w:lvl w:ilvl="0" w:tplc="14090005">
      <w:start w:val="1"/>
      <w:numFmt w:val="bullet"/>
      <w:lvlText w:val=""/>
      <w:lvlJc w:val="left"/>
      <w:pPr>
        <w:ind w:left="1429" w:hanging="360"/>
      </w:pPr>
      <w:rPr>
        <w:rFonts w:ascii="Wingdings" w:hAnsi="Wingdings" w:hint="default"/>
      </w:rPr>
    </w:lvl>
    <w:lvl w:ilvl="1" w:tplc="14090003">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35">
    <w:nsid w:val="4FC323FE"/>
    <w:multiLevelType w:val="hybridMultilevel"/>
    <w:tmpl w:val="FFF2A2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6">
    <w:nsid w:val="4FE54E2F"/>
    <w:multiLevelType w:val="hybridMultilevel"/>
    <w:tmpl w:val="6D468B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nsid w:val="5001031B"/>
    <w:multiLevelType w:val="hybridMultilevel"/>
    <w:tmpl w:val="A7E6A408"/>
    <w:lvl w:ilvl="0" w:tplc="E152ACF2">
      <w:start w:val="1"/>
      <w:numFmt w:val="bullet"/>
      <w:lvlText w:val="­"/>
      <w:lvlJc w:val="left"/>
      <w:pPr>
        <w:ind w:left="1786" w:hanging="360"/>
      </w:pPr>
      <w:rPr>
        <w:rFonts w:ascii="Courier New" w:hAnsi="Courier New" w:hint="default"/>
      </w:rPr>
    </w:lvl>
    <w:lvl w:ilvl="1" w:tplc="14090003" w:tentative="1">
      <w:start w:val="1"/>
      <w:numFmt w:val="bullet"/>
      <w:lvlText w:val="o"/>
      <w:lvlJc w:val="left"/>
      <w:pPr>
        <w:ind w:left="2506" w:hanging="360"/>
      </w:pPr>
      <w:rPr>
        <w:rFonts w:ascii="Courier New" w:hAnsi="Courier New" w:cs="Courier New" w:hint="default"/>
      </w:rPr>
    </w:lvl>
    <w:lvl w:ilvl="2" w:tplc="14090005" w:tentative="1">
      <w:start w:val="1"/>
      <w:numFmt w:val="bullet"/>
      <w:lvlText w:val=""/>
      <w:lvlJc w:val="left"/>
      <w:pPr>
        <w:ind w:left="3226" w:hanging="360"/>
      </w:pPr>
      <w:rPr>
        <w:rFonts w:ascii="Wingdings" w:hAnsi="Wingdings" w:hint="default"/>
      </w:rPr>
    </w:lvl>
    <w:lvl w:ilvl="3" w:tplc="14090001" w:tentative="1">
      <w:start w:val="1"/>
      <w:numFmt w:val="bullet"/>
      <w:lvlText w:val=""/>
      <w:lvlJc w:val="left"/>
      <w:pPr>
        <w:ind w:left="3946" w:hanging="360"/>
      </w:pPr>
      <w:rPr>
        <w:rFonts w:ascii="Symbol" w:hAnsi="Symbol" w:hint="default"/>
      </w:rPr>
    </w:lvl>
    <w:lvl w:ilvl="4" w:tplc="14090003" w:tentative="1">
      <w:start w:val="1"/>
      <w:numFmt w:val="bullet"/>
      <w:lvlText w:val="o"/>
      <w:lvlJc w:val="left"/>
      <w:pPr>
        <w:ind w:left="4666" w:hanging="360"/>
      </w:pPr>
      <w:rPr>
        <w:rFonts w:ascii="Courier New" w:hAnsi="Courier New" w:cs="Courier New" w:hint="default"/>
      </w:rPr>
    </w:lvl>
    <w:lvl w:ilvl="5" w:tplc="14090005" w:tentative="1">
      <w:start w:val="1"/>
      <w:numFmt w:val="bullet"/>
      <w:lvlText w:val=""/>
      <w:lvlJc w:val="left"/>
      <w:pPr>
        <w:ind w:left="5386" w:hanging="360"/>
      </w:pPr>
      <w:rPr>
        <w:rFonts w:ascii="Wingdings" w:hAnsi="Wingdings" w:hint="default"/>
      </w:rPr>
    </w:lvl>
    <w:lvl w:ilvl="6" w:tplc="14090001" w:tentative="1">
      <w:start w:val="1"/>
      <w:numFmt w:val="bullet"/>
      <w:lvlText w:val=""/>
      <w:lvlJc w:val="left"/>
      <w:pPr>
        <w:ind w:left="6106" w:hanging="360"/>
      </w:pPr>
      <w:rPr>
        <w:rFonts w:ascii="Symbol" w:hAnsi="Symbol" w:hint="default"/>
      </w:rPr>
    </w:lvl>
    <w:lvl w:ilvl="7" w:tplc="14090003" w:tentative="1">
      <w:start w:val="1"/>
      <w:numFmt w:val="bullet"/>
      <w:lvlText w:val="o"/>
      <w:lvlJc w:val="left"/>
      <w:pPr>
        <w:ind w:left="6826" w:hanging="360"/>
      </w:pPr>
      <w:rPr>
        <w:rFonts w:ascii="Courier New" w:hAnsi="Courier New" w:cs="Courier New" w:hint="default"/>
      </w:rPr>
    </w:lvl>
    <w:lvl w:ilvl="8" w:tplc="14090005" w:tentative="1">
      <w:start w:val="1"/>
      <w:numFmt w:val="bullet"/>
      <w:lvlText w:val=""/>
      <w:lvlJc w:val="left"/>
      <w:pPr>
        <w:ind w:left="7546" w:hanging="360"/>
      </w:pPr>
      <w:rPr>
        <w:rFonts w:ascii="Wingdings" w:hAnsi="Wingdings" w:hint="default"/>
      </w:rPr>
    </w:lvl>
  </w:abstractNum>
  <w:abstractNum w:abstractNumId="38">
    <w:nsid w:val="5232121C"/>
    <w:multiLevelType w:val="hybridMultilevel"/>
    <w:tmpl w:val="F038554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nsid w:val="53B80C91"/>
    <w:multiLevelType w:val="hybridMultilevel"/>
    <w:tmpl w:val="3AB6C0EE"/>
    <w:lvl w:ilvl="0" w:tplc="E17868D4">
      <w:start w:val="1"/>
      <w:numFmt w:val="bullet"/>
      <w:pStyle w:val="Bulletlevel1"/>
      <w:lvlText w:val="•"/>
      <w:lvlJc w:val="left"/>
      <w:pPr>
        <w:ind w:left="720" w:hanging="360"/>
      </w:pPr>
      <w:rPr>
        <w:rFonts w:ascii="Garamond" w:hAnsi="Garamond" w:cs="Times New Roman"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577E4B3B"/>
    <w:multiLevelType w:val="hybridMultilevel"/>
    <w:tmpl w:val="7AB843B8"/>
    <w:lvl w:ilvl="0" w:tplc="14090005">
      <w:start w:val="1"/>
      <w:numFmt w:val="bullet"/>
      <w:lvlText w:val=""/>
      <w:lvlJc w:val="left"/>
      <w:pPr>
        <w:ind w:left="2771" w:hanging="360"/>
      </w:pPr>
      <w:rPr>
        <w:rFonts w:ascii="Wingdings" w:hAnsi="Wingdings" w:hint="default"/>
      </w:rPr>
    </w:lvl>
    <w:lvl w:ilvl="1" w:tplc="E152ACF2">
      <w:start w:val="1"/>
      <w:numFmt w:val="bullet"/>
      <w:lvlText w:val="­"/>
      <w:lvlJc w:val="left"/>
      <w:pPr>
        <w:ind w:left="2149" w:hanging="360"/>
      </w:pPr>
      <w:rPr>
        <w:rFonts w:ascii="Courier New" w:hAnsi="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1">
    <w:nsid w:val="57E1183A"/>
    <w:multiLevelType w:val="multilevel"/>
    <w:tmpl w:val="144C26CC"/>
    <w:lvl w:ilvl="0">
      <w:start w:val="1"/>
      <w:numFmt w:val="none"/>
      <w:pStyle w:val="ListStartNumberedparagraphs"/>
      <w:suff w:val="nothing"/>
      <w:lvlText w:val="%1"/>
      <w:lvlJc w:val="left"/>
      <w:pPr>
        <w:ind w:left="-284" w:firstLine="284"/>
      </w:pPr>
      <w:rPr>
        <w:rFonts w:hint="default"/>
      </w:rPr>
    </w:lvl>
    <w:lvl w:ilvl="1">
      <w:start w:val="1"/>
      <w:numFmt w:val="decimal"/>
      <w:pStyle w:val="Numberedparagraphs-1"/>
      <w:lvlText w:val="%2."/>
      <w:lvlJc w:val="left"/>
      <w:pPr>
        <w:tabs>
          <w:tab w:val="num" w:pos="425"/>
        </w:tabs>
        <w:ind w:left="425" w:hanging="425"/>
      </w:pPr>
      <w:rPr>
        <w:rFonts w:hint="default"/>
      </w:rPr>
    </w:lvl>
    <w:lvl w:ilvl="2">
      <w:start w:val="1"/>
      <w:numFmt w:val="lowerLetter"/>
      <w:pStyle w:val="Numberedparagraphs-a"/>
      <w:lvlText w:val="(%3)"/>
      <w:lvlJc w:val="left"/>
      <w:pPr>
        <w:tabs>
          <w:tab w:val="num" w:pos="851"/>
        </w:tabs>
        <w:ind w:left="851" w:hanging="426"/>
      </w:pPr>
      <w:rPr>
        <w:rFonts w:hint="default"/>
      </w:rPr>
    </w:lvl>
    <w:lvl w:ilvl="3">
      <w:start w:val="1"/>
      <w:numFmt w:val="lowerRoman"/>
      <w:pStyle w:val="Numberedparagraphs-i"/>
      <w:lvlText w:val="(%4)"/>
      <w:lvlJc w:val="left"/>
      <w:pPr>
        <w:tabs>
          <w:tab w:val="num" w:pos="1276"/>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42">
    <w:nsid w:val="5EFE7535"/>
    <w:multiLevelType w:val="hybridMultilevel"/>
    <w:tmpl w:val="6D82AA9A"/>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3">
    <w:nsid w:val="625119D4"/>
    <w:multiLevelType w:val="hybridMultilevel"/>
    <w:tmpl w:val="08761B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4">
    <w:nsid w:val="64AF587F"/>
    <w:multiLevelType w:val="hybridMultilevel"/>
    <w:tmpl w:val="9912F614"/>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5">
    <w:nsid w:val="685E3AB9"/>
    <w:multiLevelType w:val="singleLevel"/>
    <w:tmpl w:val="695C6584"/>
    <w:lvl w:ilvl="0">
      <w:start w:val="1"/>
      <w:numFmt w:val="bullet"/>
      <w:pStyle w:val="Dash"/>
      <w:lvlText w:val="–"/>
      <w:lvlJc w:val="left"/>
      <w:pPr>
        <w:tabs>
          <w:tab w:val="num" w:pos="567"/>
        </w:tabs>
        <w:ind w:left="567" w:hanging="567"/>
      </w:pPr>
      <w:rPr>
        <w:rFonts w:ascii="Times New Roman" w:hAnsi="Times New Roman" w:hint="default"/>
        <w:sz w:val="24"/>
      </w:rPr>
    </w:lvl>
  </w:abstractNum>
  <w:abstractNum w:abstractNumId="46">
    <w:nsid w:val="6A9E7A90"/>
    <w:multiLevelType w:val="hybridMultilevel"/>
    <w:tmpl w:val="824E495E"/>
    <w:lvl w:ilvl="0" w:tplc="0409000F">
      <w:start w:val="1"/>
      <w:numFmt w:val="decimal"/>
      <w:lvlText w:val="%1."/>
      <w:lvlJc w:val="left"/>
      <w:pPr>
        <w:tabs>
          <w:tab w:val="num" w:pos="5040"/>
        </w:tabs>
        <w:ind w:left="5040" w:hanging="360"/>
      </w:pPr>
    </w:lvl>
    <w:lvl w:ilvl="1" w:tplc="04090019">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47">
    <w:nsid w:val="74CD3529"/>
    <w:multiLevelType w:val="hybridMultilevel"/>
    <w:tmpl w:val="46B620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8">
    <w:nsid w:val="759F2F29"/>
    <w:multiLevelType w:val="multilevel"/>
    <w:tmpl w:val="8D28CE5A"/>
    <w:lvl w:ilvl="0">
      <w:start w:val="1"/>
      <w:numFmt w:val="bullet"/>
      <w:pStyle w:val="UnnumtextBullet1"/>
      <w:lvlText w:val="•"/>
      <w:lvlJc w:val="left"/>
      <w:pPr>
        <w:tabs>
          <w:tab w:val="num" w:pos="425"/>
        </w:tabs>
        <w:ind w:left="425" w:hanging="425"/>
      </w:pPr>
      <w:rPr>
        <w:rFonts w:ascii="Garamond" w:hAnsi="Garamond" w:hint="default"/>
        <w:color w:val="7B5E05"/>
      </w:rPr>
    </w:lvl>
    <w:lvl w:ilvl="1">
      <w:start w:val="1"/>
      <w:numFmt w:val="bullet"/>
      <w:pStyle w:val="UnnumtextBullet2"/>
      <w:lvlText w:val=""/>
      <w:lvlJc w:val="left"/>
      <w:pPr>
        <w:tabs>
          <w:tab w:val="num" w:pos="851"/>
        </w:tabs>
        <w:ind w:left="851" w:hanging="426"/>
      </w:pPr>
      <w:rPr>
        <w:rFonts w:ascii="Symbol" w:hAnsi="Symbol" w:hint="default"/>
      </w:rPr>
    </w:lvl>
    <w:lvl w:ilvl="2">
      <w:start w:val="1"/>
      <w:numFmt w:val="none"/>
      <w:pStyle w:val="UnnumtextBullet3"/>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76CC36D3"/>
    <w:multiLevelType w:val="hybridMultilevel"/>
    <w:tmpl w:val="0434774A"/>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0">
    <w:nsid w:val="7D6D1361"/>
    <w:multiLevelType w:val="hybridMultilevel"/>
    <w:tmpl w:val="24BA4176"/>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1">
    <w:nsid w:val="7DC67664"/>
    <w:multiLevelType w:val="hybridMultilevel"/>
    <w:tmpl w:val="4DB48446"/>
    <w:lvl w:ilvl="0" w:tplc="E152ACF2">
      <w:start w:val="1"/>
      <w:numFmt w:val="bullet"/>
      <w:lvlText w:val="­"/>
      <w:lvlJc w:val="left"/>
      <w:pPr>
        <w:ind w:left="1789" w:hanging="360"/>
      </w:pPr>
      <w:rPr>
        <w:rFonts w:ascii="Courier New" w:hAnsi="Courier New" w:hint="default"/>
      </w:rPr>
    </w:lvl>
    <w:lvl w:ilvl="1" w:tplc="14090003" w:tentative="1">
      <w:start w:val="1"/>
      <w:numFmt w:val="bullet"/>
      <w:lvlText w:val="o"/>
      <w:lvlJc w:val="left"/>
      <w:pPr>
        <w:ind w:left="2509" w:hanging="360"/>
      </w:pPr>
      <w:rPr>
        <w:rFonts w:ascii="Courier New" w:hAnsi="Courier New" w:cs="Courier New" w:hint="default"/>
      </w:rPr>
    </w:lvl>
    <w:lvl w:ilvl="2" w:tplc="14090005" w:tentative="1">
      <w:start w:val="1"/>
      <w:numFmt w:val="bullet"/>
      <w:lvlText w:val=""/>
      <w:lvlJc w:val="left"/>
      <w:pPr>
        <w:ind w:left="3229" w:hanging="360"/>
      </w:pPr>
      <w:rPr>
        <w:rFonts w:ascii="Wingdings" w:hAnsi="Wingdings" w:hint="default"/>
      </w:rPr>
    </w:lvl>
    <w:lvl w:ilvl="3" w:tplc="14090001" w:tentative="1">
      <w:start w:val="1"/>
      <w:numFmt w:val="bullet"/>
      <w:lvlText w:val=""/>
      <w:lvlJc w:val="left"/>
      <w:pPr>
        <w:ind w:left="3949" w:hanging="360"/>
      </w:pPr>
      <w:rPr>
        <w:rFonts w:ascii="Symbol" w:hAnsi="Symbol" w:hint="default"/>
      </w:rPr>
    </w:lvl>
    <w:lvl w:ilvl="4" w:tplc="14090003" w:tentative="1">
      <w:start w:val="1"/>
      <w:numFmt w:val="bullet"/>
      <w:lvlText w:val="o"/>
      <w:lvlJc w:val="left"/>
      <w:pPr>
        <w:ind w:left="4669" w:hanging="360"/>
      </w:pPr>
      <w:rPr>
        <w:rFonts w:ascii="Courier New" w:hAnsi="Courier New" w:cs="Courier New" w:hint="default"/>
      </w:rPr>
    </w:lvl>
    <w:lvl w:ilvl="5" w:tplc="14090005" w:tentative="1">
      <w:start w:val="1"/>
      <w:numFmt w:val="bullet"/>
      <w:lvlText w:val=""/>
      <w:lvlJc w:val="left"/>
      <w:pPr>
        <w:ind w:left="5389" w:hanging="360"/>
      </w:pPr>
      <w:rPr>
        <w:rFonts w:ascii="Wingdings" w:hAnsi="Wingdings" w:hint="default"/>
      </w:rPr>
    </w:lvl>
    <w:lvl w:ilvl="6" w:tplc="14090001" w:tentative="1">
      <w:start w:val="1"/>
      <w:numFmt w:val="bullet"/>
      <w:lvlText w:val=""/>
      <w:lvlJc w:val="left"/>
      <w:pPr>
        <w:ind w:left="6109" w:hanging="360"/>
      </w:pPr>
      <w:rPr>
        <w:rFonts w:ascii="Symbol" w:hAnsi="Symbol" w:hint="default"/>
      </w:rPr>
    </w:lvl>
    <w:lvl w:ilvl="7" w:tplc="14090003" w:tentative="1">
      <w:start w:val="1"/>
      <w:numFmt w:val="bullet"/>
      <w:lvlText w:val="o"/>
      <w:lvlJc w:val="left"/>
      <w:pPr>
        <w:ind w:left="6829" w:hanging="360"/>
      </w:pPr>
      <w:rPr>
        <w:rFonts w:ascii="Courier New" w:hAnsi="Courier New" w:cs="Courier New" w:hint="default"/>
      </w:rPr>
    </w:lvl>
    <w:lvl w:ilvl="8" w:tplc="14090005" w:tentative="1">
      <w:start w:val="1"/>
      <w:numFmt w:val="bullet"/>
      <w:lvlText w:val=""/>
      <w:lvlJc w:val="left"/>
      <w:pPr>
        <w:ind w:left="7549" w:hanging="360"/>
      </w:pPr>
      <w:rPr>
        <w:rFonts w:ascii="Wingdings" w:hAnsi="Wingdings" w:hint="default"/>
      </w:rPr>
    </w:lvl>
  </w:abstractNum>
  <w:num w:numId="1">
    <w:abstractNumId w:val="0"/>
  </w:num>
  <w:num w:numId="2">
    <w:abstractNumId w:val="28"/>
  </w:num>
  <w:num w:numId="3">
    <w:abstractNumId w:val="25"/>
  </w:num>
  <w:num w:numId="4">
    <w:abstractNumId w:val="45"/>
  </w:num>
  <w:num w:numId="5">
    <w:abstractNumId w:val="10"/>
  </w:num>
  <w:num w:numId="6">
    <w:abstractNumId w:val="40"/>
  </w:num>
  <w:num w:numId="7">
    <w:abstractNumId w:val="31"/>
  </w:num>
  <w:num w:numId="8">
    <w:abstractNumId w:val="17"/>
  </w:num>
  <w:num w:numId="9">
    <w:abstractNumId w:val="46"/>
  </w:num>
  <w:num w:numId="10">
    <w:abstractNumId w:val="32"/>
  </w:num>
  <w:num w:numId="11">
    <w:abstractNumId w:val="38"/>
  </w:num>
  <w:num w:numId="12">
    <w:abstractNumId w:val="23"/>
    <w:lvlOverride w:ilvl="0">
      <w:startOverride w:val="1"/>
    </w:lvlOverride>
    <w:lvlOverride w:ilvl="1"/>
    <w:lvlOverride w:ilvl="2"/>
    <w:lvlOverride w:ilvl="3"/>
    <w:lvlOverride w:ilvl="4"/>
    <w:lvlOverride w:ilvl="5"/>
    <w:lvlOverride w:ilvl="6"/>
    <w:lvlOverride w:ilvl="7"/>
    <w:lvlOverride w:ilvl="8"/>
  </w:num>
  <w:num w:numId="13">
    <w:abstractNumId w:val="9"/>
  </w:num>
  <w:num w:numId="14">
    <w:abstractNumId w:val="32"/>
  </w:num>
  <w:num w:numId="15">
    <w:abstractNumId w:val="32"/>
  </w:num>
  <w:num w:numId="16">
    <w:abstractNumId w:val="32"/>
  </w:num>
  <w:num w:numId="17">
    <w:abstractNumId w:val="48"/>
  </w:num>
  <w:num w:numId="18">
    <w:abstractNumId w:val="41"/>
  </w:num>
  <w:num w:numId="19">
    <w:abstractNumId w:val="27"/>
  </w:num>
  <w:num w:numId="20">
    <w:abstractNumId w:val="39"/>
  </w:num>
  <w:num w:numId="21">
    <w:abstractNumId w:val="32"/>
  </w:num>
  <w:num w:numId="22">
    <w:abstractNumId w:val="11"/>
  </w:num>
  <w:num w:numId="23">
    <w:abstractNumId w:val="22"/>
  </w:num>
  <w:num w:numId="24">
    <w:abstractNumId w:val="19"/>
  </w:num>
  <w:num w:numId="25">
    <w:abstractNumId w:val="8"/>
  </w:num>
  <w:num w:numId="26">
    <w:abstractNumId w:val="43"/>
  </w:num>
  <w:num w:numId="27">
    <w:abstractNumId w:val="20"/>
  </w:num>
  <w:num w:numId="28">
    <w:abstractNumId w:val="35"/>
  </w:num>
  <w:num w:numId="29">
    <w:abstractNumId w:val="47"/>
  </w:num>
  <w:num w:numId="30">
    <w:abstractNumId w:val="36"/>
  </w:num>
  <w:num w:numId="31">
    <w:abstractNumId w:val="4"/>
  </w:num>
  <w:num w:numId="32">
    <w:abstractNumId w:val="13"/>
  </w:num>
  <w:num w:numId="33">
    <w:abstractNumId w:val="30"/>
  </w:num>
  <w:num w:numId="34">
    <w:abstractNumId w:val="7"/>
  </w:num>
  <w:num w:numId="35">
    <w:abstractNumId w:val="1"/>
  </w:num>
  <w:num w:numId="36">
    <w:abstractNumId w:val="51"/>
  </w:num>
  <w:num w:numId="37">
    <w:abstractNumId w:val="33"/>
  </w:num>
  <w:num w:numId="38">
    <w:abstractNumId w:val="42"/>
  </w:num>
  <w:num w:numId="39">
    <w:abstractNumId w:val="12"/>
  </w:num>
  <w:num w:numId="40">
    <w:abstractNumId w:val="5"/>
  </w:num>
  <w:num w:numId="41">
    <w:abstractNumId w:val="34"/>
  </w:num>
  <w:num w:numId="42">
    <w:abstractNumId w:val="6"/>
  </w:num>
  <w:num w:numId="43">
    <w:abstractNumId w:val="37"/>
  </w:num>
  <w:num w:numId="44">
    <w:abstractNumId w:val="18"/>
  </w:num>
  <w:num w:numId="45">
    <w:abstractNumId w:val="24"/>
  </w:num>
  <w:num w:numId="46">
    <w:abstractNumId w:val="15"/>
  </w:num>
  <w:num w:numId="47">
    <w:abstractNumId w:val="16"/>
  </w:num>
  <w:num w:numId="48">
    <w:abstractNumId w:val="2"/>
  </w:num>
  <w:num w:numId="49">
    <w:abstractNumId w:val="29"/>
  </w:num>
  <w:num w:numId="50">
    <w:abstractNumId w:val="21"/>
  </w:num>
  <w:num w:numId="51">
    <w:abstractNumId w:val="14"/>
  </w:num>
  <w:num w:numId="52">
    <w:abstractNumId w:val="3"/>
  </w:num>
  <w:num w:numId="53">
    <w:abstractNumId w:val="50"/>
  </w:num>
  <w:num w:numId="54">
    <w:abstractNumId w:val="49"/>
  </w:num>
  <w:num w:numId="55">
    <w:abstractNumId w:val="26"/>
  </w:num>
  <w:num w:numId="56">
    <w:abstractNumId w:val="44"/>
  </w:num>
  <w:num w:numId="57">
    <w:abstractNumId w:val="10"/>
  </w:num>
  <w:num w:numId="58">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en-NZ" w:vendorID="64" w:dllVersion="131078" w:nlCheck="1" w:checkStyle="1"/>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A86"/>
    <w:rsid w:val="0000009B"/>
    <w:rsid w:val="00000669"/>
    <w:rsid w:val="00001A25"/>
    <w:rsid w:val="000059CF"/>
    <w:rsid w:val="0000647A"/>
    <w:rsid w:val="00007C01"/>
    <w:rsid w:val="000111A6"/>
    <w:rsid w:val="0001314B"/>
    <w:rsid w:val="00013EDA"/>
    <w:rsid w:val="00015F19"/>
    <w:rsid w:val="000204AE"/>
    <w:rsid w:val="000208A9"/>
    <w:rsid w:val="00023176"/>
    <w:rsid w:val="00025A9C"/>
    <w:rsid w:val="00025B6C"/>
    <w:rsid w:val="00026812"/>
    <w:rsid w:val="00026D35"/>
    <w:rsid w:val="00027785"/>
    <w:rsid w:val="00033236"/>
    <w:rsid w:val="000333AA"/>
    <w:rsid w:val="000333FD"/>
    <w:rsid w:val="000355D2"/>
    <w:rsid w:val="00037FE3"/>
    <w:rsid w:val="000404A6"/>
    <w:rsid w:val="00041669"/>
    <w:rsid w:val="00041737"/>
    <w:rsid w:val="000419C5"/>
    <w:rsid w:val="00046B28"/>
    <w:rsid w:val="000505E9"/>
    <w:rsid w:val="00052CD5"/>
    <w:rsid w:val="00056561"/>
    <w:rsid w:val="0006194C"/>
    <w:rsid w:val="00061A9F"/>
    <w:rsid w:val="0006297A"/>
    <w:rsid w:val="00067BD4"/>
    <w:rsid w:val="0007073E"/>
    <w:rsid w:val="000707EE"/>
    <w:rsid w:val="00070D19"/>
    <w:rsid w:val="00076D9D"/>
    <w:rsid w:val="00080B2D"/>
    <w:rsid w:val="00081623"/>
    <w:rsid w:val="0008198A"/>
    <w:rsid w:val="000825CD"/>
    <w:rsid w:val="0008477C"/>
    <w:rsid w:val="000854CC"/>
    <w:rsid w:val="00086F44"/>
    <w:rsid w:val="00091AD6"/>
    <w:rsid w:val="000A073A"/>
    <w:rsid w:val="000A4284"/>
    <w:rsid w:val="000A542B"/>
    <w:rsid w:val="000B0178"/>
    <w:rsid w:val="000B0380"/>
    <w:rsid w:val="000B1408"/>
    <w:rsid w:val="000B2893"/>
    <w:rsid w:val="000B28D4"/>
    <w:rsid w:val="000B306C"/>
    <w:rsid w:val="000B3895"/>
    <w:rsid w:val="000B518F"/>
    <w:rsid w:val="000B6FE9"/>
    <w:rsid w:val="000B753F"/>
    <w:rsid w:val="000C030C"/>
    <w:rsid w:val="000C18B5"/>
    <w:rsid w:val="000C2295"/>
    <w:rsid w:val="000C7259"/>
    <w:rsid w:val="000D1849"/>
    <w:rsid w:val="000D23BB"/>
    <w:rsid w:val="000D7D7C"/>
    <w:rsid w:val="000D7F64"/>
    <w:rsid w:val="000E040D"/>
    <w:rsid w:val="000E050E"/>
    <w:rsid w:val="000E2941"/>
    <w:rsid w:val="000E3996"/>
    <w:rsid w:val="000E5CB7"/>
    <w:rsid w:val="000E6EDD"/>
    <w:rsid w:val="000F17B0"/>
    <w:rsid w:val="000F3473"/>
    <w:rsid w:val="000F3637"/>
    <w:rsid w:val="000F4C7B"/>
    <w:rsid w:val="000F63D2"/>
    <w:rsid w:val="00100F58"/>
    <w:rsid w:val="00102B14"/>
    <w:rsid w:val="00106048"/>
    <w:rsid w:val="001071C8"/>
    <w:rsid w:val="00110CA8"/>
    <w:rsid w:val="00112ECC"/>
    <w:rsid w:val="0011344C"/>
    <w:rsid w:val="001134E4"/>
    <w:rsid w:val="00115119"/>
    <w:rsid w:val="001158B4"/>
    <w:rsid w:val="00115B24"/>
    <w:rsid w:val="001160F1"/>
    <w:rsid w:val="001177C7"/>
    <w:rsid w:val="00122976"/>
    <w:rsid w:val="00122FA0"/>
    <w:rsid w:val="001240E5"/>
    <w:rsid w:val="001247F4"/>
    <w:rsid w:val="001253F2"/>
    <w:rsid w:val="001266FE"/>
    <w:rsid w:val="001316A7"/>
    <w:rsid w:val="00135635"/>
    <w:rsid w:val="00136348"/>
    <w:rsid w:val="001413FF"/>
    <w:rsid w:val="00143974"/>
    <w:rsid w:val="00144613"/>
    <w:rsid w:val="001453AE"/>
    <w:rsid w:val="001528F3"/>
    <w:rsid w:val="001539A1"/>
    <w:rsid w:val="001547A1"/>
    <w:rsid w:val="001633DF"/>
    <w:rsid w:val="00163BB6"/>
    <w:rsid w:val="00163CC4"/>
    <w:rsid w:val="00165549"/>
    <w:rsid w:val="0016689B"/>
    <w:rsid w:val="00166A65"/>
    <w:rsid w:val="00170551"/>
    <w:rsid w:val="00174B42"/>
    <w:rsid w:val="00175063"/>
    <w:rsid w:val="001764B5"/>
    <w:rsid w:val="00176FCD"/>
    <w:rsid w:val="001811E5"/>
    <w:rsid w:val="00183345"/>
    <w:rsid w:val="00187524"/>
    <w:rsid w:val="00190B23"/>
    <w:rsid w:val="00191AFA"/>
    <w:rsid w:val="00192A56"/>
    <w:rsid w:val="001959B9"/>
    <w:rsid w:val="00195FBC"/>
    <w:rsid w:val="00197CA1"/>
    <w:rsid w:val="001A34B4"/>
    <w:rsid w:val="001A7D1B"/>
    <w:rsid w:val="001B0212"/>
    <w:rsid w:val="001B110B"/>
    <w:rsid w:val="001B154F"/>
    <w:rsid w:val="001B16FB"/>
    <w:rsid w:val="001B4015"/>
    <w:rsid w:val="001B459E"/>
    <w:rsid w:val="001B4791"/>
    <w:rsid w:val="001B4AA9"/>
    <w:rsid w:val="001C075E"/>
    <w:rsid w:val="001C1DCE"/>
    <w:rsid w:val="001C261D"/>
    <w:rsid w:val="001C283C"/>
    <w:rsid w:val="001C2B96"/>
    <w:rsid w:val="001D0F81"/>
    <w:rsid w:val="001D1013"/>
    <w:rsid w:val="001D1924"/>
    <w:rsid w:val="001D2447"/>
    <w:rsid w:val="001D2490"/>
    <w:rsid w:val="001D3D3E"/>
    <w:rsid w:val="001D3D73"/>
    <w:rsid w:val="001D5D9B"/>
    <w:rsid w:val="001D6B41"/>
    <w:rsid w:val="001D6BF3"/>
    <w:rsid w:val="001E065B"/>
    <w:rsid w:val="001E0CF0"/>
    <w:rsid w:val="001E1224"/>
    <w:rsid w:val="001E3314"/>
    <w:rsid w:val="001E6D36"/>
    <w:rsid w:val="001E7D5E"/>
    <w:rsid w:val="001F0DF7"/>
    <w:rsid w:val="001F1A7B"/>
    <w:rsid w:val="001F3B04"/>
    <w:rsid w:val="001F5127"/>
    <w:rsid w:val="001F53B4"/>
    <w:rsid w:val="001F58FC"/>
    <w:rsid w:val="001F5D78"/>
    <w:rsid w:val="001F6AA8"/>
    <w:rsid w:val="001F6EC8"/>
    <w:rsid w:val="0020424C"/>
    <w:rsid w:val="002048B0"/>
    <w:rsid w:val="00205FD6"/>
    <w:rsid w:val="002076A9"/>
    <w:rsid w:val="002132A2"/>
    <w:rsid w:val="002173D8"/>
    <w:rsid w:val="00217770"/>
    <w:rsid w:val="002204CA"/>
    <w:rsid w:val="00222193"/>
    <w:rsid w:val="00224891"/>
    <w:rsid w:val="00226CE0"/>
    <w:rsid w:val="00226E58"/>
    <w:rsid w:val="00230B4F"/>
    <w:rsid w:val="00231491"/>
    <w:rsid w:val="0023242C"/>
    <w:rsid w:val="002336ED"/>
    <w:rsid w:val="00233BB4"/>
    <w:rsid w:val="00234279"/>
    <w:rsid w:val="00237188"/>
    <w:rsid w:val="00240D7B"/>
    <w:rsid w:val="002470A6"/>
    <w:rsid w:val="002476C8"/>
    <w:rsid w:val="00250E2C"/>
    <w:rsid w:val="002543BD"/>
    <w:rsid w:val="00254413"/>
    <w:rsid w:val="0026065B"/>
    <w:rsid w:val="00262124"/>
    <w:rsid w:val="00262BDF"/>
    <w:rsid w:val="00266FAB"/>
    <w:rsid w:val="00267F44"/>
    <w:rsid w:val="00272707"/>
    <w:rsid w:val="00274A75"/>
    <w:rsid w:val="00275FB6"/>
    <w:rsid w:val="002760EE"/>
    <w:rsid w:val="00276B7D"/>
    <w:rsid w:val="00280A87"/>
    <w:rsid w:val="00280E3B"/>
    <w:rsid w:val="00281343"/>
    <w:rsid w:val="002817DC"/>
    <w:rsid w:val="00282904"/>
    <w:rsid w:val="002836BA"/>
    <w:rsid w:val="00283DD7"/>
    <w:rsid w:val="0029024A"/>
    <w:rsid w:val="00291610"/>
    <w:rsid w:val="002963E5"/>
    <w:rsid w:val="00297F70"/>
    <w:rsid w:val="00297FC2"/>
    <w:rsid w:val="002A084C"/>
    <w:rsid w:val="002A1260"/>
    <w:rsid w:val="002A1E16"/>
    <w:rsid w:val="002A3BA2"/>
    <w:rsid w:val="002A4684"/>
    <w:rsid w:val="002A471E"/>
    <w:rsid w:val="002B48E5"/>
    <w:rsid w:val="002B6578"/>
    <w:rsid w:val="002C0A4A"/>
    <w:rsid w:val="002C1147"/>
    <w:rsid w:val="002C3423"/>
    <w:rsid w:val="002C71C1"/>
    <w:rsid w:val="002D28FF"/>
    <w:rsid w:val="002D4A14"/>
    <w:rsid w:val="002D4FE8"/>
    <w:rsid w:val="002D65D6"/>
    <w:rsid w:val="002D7133"/>
    <w:rsid w:val="002D788F"/>
    <w:rsid w:val="002E0560"/>
    <w:rsid w:val="002E3B99"/>
    <w:rsid w:val="002E3BAD"/>
    <w:rsid w:val="002E41E5"/>
    <w:rsid w:val="002E63AC"/>
    <w:rsid w:val="002E7F3C"/>
    <w:rsid w:val="002F1247"/>
    <w:rsid w:val="002F42A3"/>
    <w:rsid w:val="002F48E2"/>
    <w:rsid w:val="002F4D5A"/>
    <w:rsid w:val="002F62F5"/>
    <w:rsid w:val="002F7D6C"/>
    <w:rsid w:val="003002D3"/>
    <w:rsid w:val="00301A92"/>
    <w:rsid w:val="00302F1B"/>
    <w:rsid w:val="00303B9B"/>
    <w:rsid w:val="00303FC2"/>
    <w:rsid w:val="003057B0"/>
    <w:rsid w:val="00306664"/>
    <w:rsid w:val="003069F9"/>
    <w:rsid w:val="00307DEA"/>
    <w:rsid w:val="00310134"/>
    <w:rsid w:val="00310DF9"/>
    <w:rsid w:val="00311D74"/>
    <w:rsid w:val="00311F8B"/>
    <w:rsid w:val="0032017F"/>
    <w:rsid w:val="003255DE"/>
    <w:rsid w:val="00330B74"/>
    <w:rsid w:val="003318E7"/>
    <w:rsid w:val="00331C98"/>
    <w:rsid w:val="00332101"/>
    <w:rsid w:val="00333150"/>
    <w:rsid w:val="003336F6"/>
    <w:rsid w:val="003351B8"/>
    <w:rsid w:val="00351438"/>
    <w:rsid w:val="00351557"/>
    <w:rsid w:val="00352BF6"/>
    <w:rsid w:val="00354DD7"/>
    <w:rsid w:val="0035559F"/>
    <w:rsid w:val="003603D8"/>
    <w:rsid w:val="00361441"/>
    <w:rsid w:val="00363F0A"/>
    <w:rsid w:val="00365098"/>
    <w:rsid w:val="0036599C"/>
    <w:rsid w:val="00366569"/>
    <w:rsid w:val="0037100B"/>
    <w:rsid w:val="0037220F"/>
    <w:rsid w:val="00374664"/>
    <w:rsid w:val="003748BB"/>
    <w:rsid w:val="00374E82"/>
    <w:rsid w:val="00375396"/>
    <w:rsid w:val="00377260"/>
    <w:rsid w:val="00381D12"/>
    <w:rsid w:val="00382202"/>
    <w:rsid w:val="00382AAE"/>
    <w:rsid w:val="00382BE7"/>
    <w:rsid w:val="00383481"/>
    <w:rsid w:val="00383C3F"/>
    <w:rsid w:val="003845AA"/>
    <w:rsid w:val="003861B8"/>
    <w:rsid w:val="00387646"/>
    <w:rsid w:val="003900D2"/>
    <w:rsid w:val="00391BF1"/>
    <w:rsid w:val="00391EA7"/>
    <w:rsid w:val="003926F5"/>
    <w:rsid w:val="003965AE"/>
    <w:rsid w:val="003A0BE7"/>
    <w:rsid w:val="003A35A1"/>
    <w:rsid w:val="003A3F11"/>
    <w:rsid w:val="003A598E"/>
    <w:rsid w:val="003A64D0"/>
    <w:rsid w:val="003A64F0"/>
    <w:rsid w:val="003A76BB"/>
    <w:rsid w:val="003B3442"/>
    <w:rsid w:val="003B35C3"/>
    <w:rsid w:val="003B4CD0"/>
    <w:rsid w:val="003B511E"/>
    <w:rsid w:val="003B665B"/>
    <w:rsid w:val="003B7E5A"/>
    <w:rsid w:val="003B7FDA"/>
    <w:rsid w:val="003C1F38"/>
    <w:rsid w:val="003C1FD1"/>
    <w:rsid w:val="003C5E89"/>
    <w:rsid w:val="003C6304"/>
    <w:rsid w:val="003D209D"/>
    <w:rsid w:val="003D355C"/>
    <w:rsid w:val="003D4555"/>
    <w:rsid w:val="003D51A0"/>
    <w:rsid w:val="003D66DF"/>
    <w:rsid w:val="003D6766"/>
    <w:rsid w:val="003D702E"/>
    <w:rsid w:val="003E2E83"/>
    <w:rsid w:val="003E3199"/>
    <w:rsid w:val="003E4A6F"/>
    <w:rsid w:val="003E5712"/>
    <w:rsid w:val="003E632D"/>
    <w:rsid w:val="003E7029"/>
    <w:rsid w:val="003E7D70"/>
    <w:rsid w:val="003F0FF9"/>
    <w:rsid w:val="003F5151"/>
    <w:rsid w:val="003F63ED"/>
    <w:rsid w:val="003F75A2"/>
    <w:rsid w:val="003F7F3F"/>
    <w:rsid w:val="00400E9D"/>
    <w:rsid w:val="00401853"/>
    <w:rsid w:val="00401E87"/>
    <w:rsid w:val="00403D41"/>
    <w:rsid w:val="00406C0A"/>
    <w:rsid w:val="00406DC9"/>
    <w:rsid w:val="00407355"/>
    <w:rsid w:val="00413B45"/>
    <w:rsid w:val="00414853"/>
    <w:rsid w:val="00415F1B"/>
    <w:rsid w:val="00420885"/>
    <w:rsid w:val="004236A8"/>
    <w:rsid w:val="00424138"/>
    <w:rsid w:val="00424E39"/>
    <w:rsid w:val="00425A5F"/>
    <w:rsid w:val="004269B8"/>
    <w:rsid w:val="0043382C"/>
    <w:rsid w:val="00441ABF"/>
    <w:rsid w:val="00441FBD"/>
    <w:rsid w:val="00447E0D"/>
    <w:rsid w:val="0045119B"/>
    <w:rsid w:val="00451834"/>
    <w:rsid w:val="004546E2"/>
    <w:rsid w:val="00456DA2"/>
    <w:rsid w:val="00456E9E"/>
    <w:rsid w:val="00461122"/>
    <w:rsid w:val="0046313F"/>
    <w:rsid w:val="00463B7A"/>
    <w:rsid w:val="00464AD4"/>
    <w:rsid w:val="00467186"/>
    <w:rsid w:val="00467FD9"/>
    <w:rsid w:val="00472BCF"/>
    <w:rsid w:val="00474452"/>
    <w:rsid w:val="00477536"/>
    <w:rsid w:val="00477BAD"/>
    <w:rsid w:val="004830F8"/>
    <w:rsid w:val="00485C3D"/>
    <w:rsid w:val="00486BC7"/>
    <w:rsid w:val="00490C79"/>
    <w:rsid w:val="00493443"/>
    <w:rsid w:val="00497141"/>
    <w:rsid w:val="004A082D"/>
    <w:rsid w:val="004A0DB8"/>
    <w:rsid w:val="004A26BE"/>
    <w:rsid w:val="004A5625"/>
    <w:rsid w:val="004A596D"/>
    <w:rsid w:val="004B1092"/>
    <w:rsid w:val="004B29B5"/>
    <w:rsid w:val="004B488F"/>
    <w:rsid w:val="004B6A19"/>
    <w:rsid w:val="004B7A5C"/>
    <w:rsid w:val="004C0112"/>
    <w:rsid w:val="004C16FE"/>
    <w:rsid w:val="004C1731"/>
    <w:rsid w:val="004C18B6"/>
    <w:rsid w:val="004C51C2"/>
    <w:rsid w:val="004C78CF"/>
    <w:rsid w:val="004D1220"/>
    <w:rsid w:val="004D1B46"/>
    <w:rsid w:val="004D3CCF"/>
    <w:rsid w:val="004D554B"/>
    <w:rsid w:val="004D710D"/>
    <w:rsid w:val="004E1ED7"/>
    <w:rsid w:val="004E1FC3"/>
    <w:rsid w:val="004E5F3D"/>
    <w:rsid w:val="004F2E22"/>
    <w:rsid w:val="004F31F5"/>
    <w:rsid w:val="004F6D8A"/>
    <w:rsid w:val="004F7194"/>
    <w:rsid w:val="005001F2"/>
    <w:rsid w:val="00501823"/>
    <w:rsid w:val="00502B52"/>
    <w:rsid w:val="00505789"/>
    <w:rsid w:val="005058E3"/>
    <w:rsid w:val="0051175B"/>
    <w:rsid w:val="00511BE0"/>
    <w:rsid w:val="00513285"/>
    <w:rsid w:val="00517DDE"/>
    <w:rsid w:val="00521025"/>
    <w:rsid w:val="005210B3"/>
    <w:rsid w:val="0052139C"/>
    <w:rsid w:val="00523A1F"/>
    <w:rsid w:val="0052486A"/>
    <w:rsid w:val="00524927"/>
    <w:rsid w:val="00524F62"/>
    <w:rsid w:val="0052545B"/>
    <w:rsid w:val="0052556D"/>
    <w:rsid w:val="00525890"/>
    <w:rsid w:val="00525A9A"/>
    <w:rsid w:val="005278F4"/>
    <w:rsid w:val="005305B8"/>
    <w:rsid w:val="005336F5"/>
    <w:rsid w:val="00536599"/>
    <w:rsid w:val="00536D1E"/>
    <w:rsid w:val="0053797A"/>
    <w:rsid w:val="005407DF"/>
    <w:rsid w:val="00540807"/>
    <w:rsid w:val="005413FE"/>
    <w:rsid w:val="00541865"/>
    <w:rsid w:val="00542D54"/>
    <w:rsid w:val="00544179"/>
    <w:rsid w:val="0054417E"/>
    <w:rsid w:val="00544AC2"/>
    <w:rsid w:val="0054522B"/>
    <w:rsid w:val="005509AD"/>
    <w:rsid w:val="00550A87"/>
    <w:rsid w:val="00550EE4"/>
    <w:rsid w:val="005521C8"/>
    <w:rsid w:val="00553BAA"/>
    <w:rsid w:val="005551FC"/>
    <w:rsid w:val="00555D9E"/>
    <w:rsid w:val="00555E41"/>
    <w:rsid w:val="00556677"/>
    <w:rsid w:val="00560761"/>
    <w:rsid w:val="00561195"/>
    <w:rsid w:val="0056360F"/>
    <w:rsid w:val="00565A85"/>
    <w:rsid w:val="005662A0"/>
    <w:rsid w:val="005667F9"/>
    <w:rsid w:val="0056762E"/>
    <w:rsid w:val="00570207"/>
    <w:rsid w:val="00570357"/>
    <w:rsid w:val="005719A8"/>
    <w:rsid w:val="00572A46"/>
    <w:rsid w:val="00573506"/>
    <w:rsid w:val="00576FA6"/>
    <w:rsid w:val="005829FF"/>
    <w:rsid w:val="005832D8"/>
    <w:rsid w:val="00583585"/>
    <w:rsid w:val="00583E9E"/>
    <w:rsid w:val="00584232"/>
    <w:rsid w:val="005853D0"/>
    <w:rsid w:val="00591BEB"/>
    <w:rsid w:val="00595020"/>
    <w:rsid w:val="005969AB"/>
    <w:rsid w:val="005A27CD"/>
    <w:rsid w:val="005A2A51"/>
    <w:rsid w:val="005A4576"/>
    <w:rsid w:val="005A50FE"/>
    <w:rsid w:val="005A661E"/>
    <w:rsid w:val="005B025D"/>
    <w:rsid w:val="005B1133"/>
    <w:rsid w:val="005B124F"/>
    <w:rsid w:val="005B197B"/>
    <w:rsid w:val="005B2CC8"/>
    <w:rsid w:val="005B44C0"/>
    <w:rsid w:val="005C19F9"/>
    <w:rsid w:val="005C1A43"/>
    <w:rsid w:val="005C7F01"/>
    <w:rsid w:val="005C7F8C"/>
    <w:rsid w:val="005D372E"/>
    <w:rsid w:val="005D3956"/>
    <w:rsid w:val="005D56A1"/>
    <w:rsid w:val="005D7AF2"/>
    <w:rsid w:val="005D7DFE"/>
    <w:rsid w:val="005E10C6"/>
    <w:rsid w:val="005E1132"/>
    <w:rsid w:val="005E4981"/>
    <w:rsid w:val="005E78F6"/>
    <w:rsid w:val="005F28B3"/>
    <w:rsid w:val="005F6DB2"/>
    <w:rsid w:val="00604AA9"/>
    <w:rsid w:val="0060512D"/>
    <w:rsid w:val="006058BD"/>
    <w:rsid w:val="0060603B"/>
    <w:rsid w:val="00606BC9"/>
    <w:rsid w:val="00613A62"/>
    <w:rsid w:val="00614D5E"/>
    <w:rsid w:val="00615592"/>
    <w:rsid w:val="00616332"/>
    <w:rsid w:val="00621D8F"/>
    <w:rsid w:val="00621EA1"/>
    <w:rsid w:val="0062215F"/>
    <w:rsid w:val="00622585"/>
    <w:rsid w:val="006247F2"/>
    <w:rsid w:val="006279D5"/>
    <w:rsid w:val="0063070F"/>
    <w:rsid w:val="0063107E"/>
    <w:rsid w:val="00631DE6"/>
    <w:rsid w:val="006343BF"/>
    <w:rsid w:val="00634579"/>
    <w:rsid w:val="006353FF"/>
    <w:rsid w:val="00637460"/>
    <w:rsid w:val="0063748D"/>
    <w:rsid w:val="00640091"/>
    <w:rsid w:val="00640D6B"/>
    <w:rsid w:val="00640ED8"/>
    <w:rsid w:val="00645695"/>
    <w:rsid w:val="00647770"/>
    <w:rsid w:val="00650C4B"/>
    <w:rsid w:val="006536B7"/>
    <w:rsid w:val="0065371A"/>
    <w:rsid w:val="006538F4"/>
    <w:rsid w:val="00653FCD"/>
    <w:rsid w:val="0065675C"/>
    <w:rsid w:val="00657968"/>
    <w:rsid w:val="0066098C"/>
    <w:rsid w:val="00663870"/>
    <w:rsid w:val="00665429"/>
    <w:rsid w:val="0067044B"/>
    <w:rsid w:val="00672B33"/>
    <w:rsid w:val="00672B79"/>
    <w:rsid w:val="00672DDA"/>
    <w:rsid w:val="006777A5"/>
    <w:rsid w:val="006778E0"/>
    <w:rsid w:val="006812C6"/>
    <w:rsid w:val="00682706"/>
    <w:rsid w:val="0068365C"/>
    <w:rsid w:val="00685F5B"/>
    <w:rsid w:val="00686E76"/>
    <w:rsid w:val="006878B3"/>
    <w:rsid w:val="00690B6F"/>
    <w:rsid w:val="006912EF"/>
    <w:rsid w:val="006923C3"/>
    <w:rsid w:val="00695F46"/>
    <w:rsid w:val="00696085"/>
    <w:rsid w:val="00697D47"/>
    <w:rsid w:val="006A074F"/>
    <w:rsid w:val="006A0936"/>
    <w:rsid w:val="006A0995"/>
    <w:rsid w:val="006A1500"/>
    <w:rsid w:val="006A3D89"/>
    <w:rsid w:val="006A4CE0"/>
    <w:rsid w:val="006A778C"/>
    <w:rsid w:val="006B012F"/>
    <w:rsid w:val="006B041D"/>
    <w:rsid w:val="006B6558"/>
    <w:rsid w:val="006C169E"/>
    <w:rsid w:val="006C221A"/>
    <w:rsid w:val="006C61C7"/>
    <w:rsid w:val="006C78C5"/>
    <w:rsid w:val="006D1441"/>
    <w:rsid w:val="006E0424"/>
    <w:rsid w:val="006E10E9"/>
    <w:rsid w:val="006E1D30"/>
    <w:rsid w:val="006E1F92"/>
    <w:rsid w:val="006E29FA"/>
    <w:rsid w:val="006E4629"/>
    <w:rsid w:val="006E63D7"/>
    <w:rsid w:val="006E678E"/>
    <w:rsid w:val="006F0028"/>
    <w:rsid w:val="006F01EF"/>
    <w:rsid w:val="006F14E9"/>
    <w:rsid w:val="006F45DB"/>
    <w:rsid w:val="006F519E"/>
    <w:rsid w:val="006F648E"/>
    <w:rsid w:val="006F6952"/>
    <w:rsid w:val="006F755A"/>
    <w:rsid w:val="0070076F"/>
    <w:rsid w:val="007027E9"/>
    <w:rsid w:val="00706816"/>
    <w:rsid w:val="007117FB"/>
    <w:rsid w:val="00712B4F"/>
    <w:rsid w:val="0071497B"/>
    <w:rsid w:val="0071626C"/>
    <w:rsid w:val="00717552"/>
    <w:rsid w:val="0072334C"/>
    <w:rsid w:val="007308E6"/>
    <w:rsid w:val="00730E5A"/>
    <w:rsid w:val="00731C89"/>
    <w:rsid w:val="00741AE4"/>
    <w:rsid w:val="00742FF4"/>
    <w:rsid w:val="00743E14"/>
    <w:rsid w:val="007440BC"/>
    <w:rsid w:val="00744DFF"/>
    <w:rsid w:val="00745C51"/>
    <w:rsid w:val="00753530"/>
    <w:rsid w:val="007547DA"/>
    <w:rsid w:val="0075487D"/>
    <w:rsid w:val="00756A8A"/>
    <w:rsid w:val="00756FA8"/>
    <w:rsid w:val="00760B85"/>
    <w:rsid w:val="00762449"/>
    <w:rsid w:val="00762C1D"/>
    <w:rsid w:val="00762FB9"/>
    <w:rsid w:val="0076542B"/>
    <w:rsid w:val="00766B58"/>
    <w:rsid w:val="00767260"/>
    <w:rsid w:val="007679E6"/>
    <w:rsid w:val="007750B0"/>
    <w:rsid w:val="00776BB2"/>
    <w:rsid w:val="00777C79"/>
    <w:rsid w:val="00780A45"/>
    <w:rsid w:val="0078152D"/>
    <w:rsid w:val="00782CA8"/>
    <w:rsid w:val="0078328A"/>
    <w:rsid w:val="0078457A"/>
    <w:rsid w:val="00784E8C"/>
    <w:rsid w:val="00790249"/>
    <w:rsid w:val="00794490"/>
    <w:rsid w:val="007A1DAA"/>
    <w:rsid w:val="007A46C9"/>
    <w:rsid w:val="007A4A3C"/>
    <w:rsid w:val="007A696F"/>
    <w:rsid w:val="007B1AA5"/>
    <w:rsid w:val="007B1DAB"/>
    <w:rsid w:val="007B2833"/>
    <w:rsid w:val="007B3BB1"/>
    <w:rsid w:val="007C0BC9"/>
    <w:rsid w:val="007C19EC"/>
    <w:rsid w:val="007C26CA"/>
    <w:rsid w:val="007C3D83"/>
    <w:rsid w:val="007C51D8"/>
    <w:rsid w:val="007C5850"/>
    <w:rsid w:val="007C7D67"/>
    <w:rsid w:val="007D057E"/>
    <w:rsid w:val="007D3D26"/>
    <w:rsid w:val="007D48EE"/>
    <w:rsid w:val="007D5CD1"/>
    <w:rsid w:val="007D78BF"/>
    <w:rsid w:val="007E48C7"/>
    <w:rsid w:val="007E4BF8"/>
    <w:rsid w:val="007E5306"/>
    <w:rsid w:val="007E550A"/>
    <w:rsid w:val="007E617A"/>
    <w:rsid w:val="007E6953"/>
    <w:rsid w:val="007E6B93"/>
    <w:rsid w:val="007F7CA7"/>
    <w:rsid w:val="0080048F"/>
    <w:rsid w:val="00801473"/>
    <w:rsid w:val="00802D10"/>
    <w:rsid w:val="0080679A"/>
    <w:rsid w:val="00806AA1"/>
    <w:rsid w:val="00812BB1"/>
    <w:rsid w:val="00813E3C"/>
    <w:rsid w:val="00814551"/>
    <w:rsid w:val="0081556D"/>
    <w:rsid w:val="00820036"/>
    <w:rsid w:val="00820224"/>
    <w:rsid w:val="00821206"/>
    <w:rsid w:val="008217B2"/>
    <w:rsid w:val="00821E58"/>
    <w:rsid w:val="00822E35"/>
    <w:rsid w:val="00822EBA"/>
    <w:rsid w:val="00823B20"/>
    <w:rsid w:val="008255B1"/>
    <w:rsid w:val="008263A6"/>
    <w:rsid w:val="00830CC5"/>
    <w:rsid w:val="0083270B"/>
    <w:rsid w:val="00832D77"/>
    <w:rsid w:val="00835D63"/>
    <w:rsid w:val="0083630F"/>
    <w:rsid w:val="008418F5"/>
    <w:rsid w:val="00842B11"/>
    <w:rsid w:val="008520DC"/>
    <w:rsid w:val="00853EA9"/>
    <w:rsid w:val="00855F6E"/>
    <w:rsid w:val="0085632F"/>
    <w:rsid w:val="00856A05"/>
    <w:rsid w:val="00857761"/>
    <w:rsid w:val="00863002"/>
    <w:rsid w:val="008636B1"/>
    <w:rsid w:val="00863DCC"/>
    <w:rsid w:val="00866AAB"/>
    <w:rsid w:val="00871E48"/>
    <w:rsid w:val="0087349C"/>
    <w:rsid w:val="00873E83"/>
    <w:rsid w:val="0087406B"/>
    <w:rsid w:val="0088012A"/>
    <w:rsid w:val="00882022"/>
    <w:rsid w:val="00891102"/>
    <w:rsid w:val="008947A4"/>
    <w:rsid w:val="00896EC2"/>
    <w:rsid w:val="008A026D"/>
    <w:rsid w:val="008A1589"/>
    <w:rsid w:val="008A33D3"/>
    <w:rsid w:val="008A36F0"/>
    <w:rsid w:val="008A486D"/>
    <w:rsid w:val="008A4D25"/>
    <w:rsid w:val="008A6805"/>
    <w:rsid w:val="008B16B7"/>
    <w:rsid w:val="008B188C"/>
    <w:rsid w:val="008B19EE"/>
    <w:rsid w:val="008B271C"/>
    <w:rsid w:val="008B670C"/>
    <w:rsid w:val="008C130E"/>
    <w:rsid w:val="008C16B4"/>
    <w:rsid w:val="008C72E0"/>
    <w:rsid w:val="008D1426"/>
    <w:rsid w:val="008D4218"/>
    <w:rsid w:val="008D46F5"/>
    <w:rsid w:val="008E391E"/>
    <w:rsid w:val="008E5431"/>
    <w:rsid w:val="008F002C"/>
    <w:rsid w:val="008F09B5"/>
    <w:rsid w:val="008F151C"/>
    <w:rsid w:val="008F4219"/>
    <w:rsid w:val="0090061F"/>
    <w:rsid w:val="009029FF"/>
    <w:rsid w:val="009051C3"/>
    <w:rsid w:val="009074CB"/>
    <w:rsid w:val="00911A7D"/>
    <w:rsid w:val="00911FBF"/>
    <w:rsid w:val="00913038"/>
    <w:rsid w:val="00914F5A"/>
    <w:rsid w:val="0091546E"/>
    <w:rsid w:val="00916278"/>
    <w:rsid w:val="00920AF6"/>
    <w:rsid w:val="00920C13"/>
    <w:rsid w:val="00923CD5"/>
    <w:rsid w:val="00923F7D"/>
    <w:rsid w:val="00926BA4"/>
    <w:rsid w:val="00933493"/>
    <w:rsid w:val="00935D46"/>
    <w:rsid w:val="00935E9F"/>
    <w:rsid w:val="00941A37"/>
    <w:rsid w:val="009433F2"/>
    <w:rsid w:val="00946057"/>
    <w:rsid w:val="009467A6"/>
    <w:rsid w:val="00952C27"/>
    <w:rsid w:val="00952CE0"/>
    <w:rsid w:val="0095383B"/>
    <w:rsid w:val="009540B7"/>
    <w:rsid w:val="009559B8"/>
    <w:rsid w:val="00956BC3"/>
    <w:rsid w:val="00957976"/>
    <w:rsid w:val="00957CD0"/>
    <w:rsid w:val="0096253F"/>
    <w:rsid w:val="00965798"/>
    <w:rsid w:val="00965916"/>
    <w:rsid w:val="00965F3B"/>
    <w:rsid w:val="009670C4"/>
    <w:rsid w:val="00967810"/>
    <w:rsid w:val="00970B2D"/>
    <w:rsid w:val="0097166A"/>
    <w:rsid w:val="009718F8"/>
    <w:rsid w:val="009724F7"/>
    <w:rsid w:val="00972ADC"/>
    <w:rsid w:val="009808BB"/>
    <w:rsid w:val="009826F2"/>
    <w:rsid w:val="00987B75"/>
    <w:rsid w:val="00987E21"/>
    <w:rsid w:val="00992ECC"/>
    <w:rsid w:val="00993E34"/>
    <w:rsid w:val="009941DD"/>
    <w:rsid w:val="0099477E"/>
    <w:rsid w:val="00995241"/>
    <w:rsid w:val="00995340"/>
    <w:rsid w:val="009964BF"/>
    <w:rsid w:val="009A0362"/>
    <w:rsid w:val="009A0D39"/>
    <w:rsid w:val="009A2154"/>
    <w:rsid w:val="009A43A9"/>
    <w:rsid w:val="009A4A69"/>
    <w:rsid w:val="009B019C"/>
    <w:rsid w:val="009B57ED"/>
    <w:rsid w:val="009B6708"/>
    <w:rsid w:val="009C311A"/>
    <w:rsid w:val="009C3337"/>
    <w:rsid w:val="009C6C8B"/>
    <w:rsid w:val="009C750D"/>
    <w:rsid w:val="009D0B4B"/>
    <w:rsid w:val="009D465F"/>
    <w:rsid w:val="009D60E4"/>
    <w:rsid w:val="009E0DA0"/>
    <w:rsid w:val="009E1267"/>
    <w:rsid w:val="009E2473"/>
    <w:rsid w:val="009E39AE"/>
    <w:rsid w:val="009E3CAC"/>
    <w:rsid w:val="009E487D"/>
    <w:rsid w:val="009E64EF"/>
    <w:rsid w:val="009E70CC"/>
    <w:rsid w:val="009F2337"/>
    <w:rsid w:val="009F2923"/>
    <w:rsid w:val="009F3B17"/>
    <w:rsid w:val="009F5246"/>
    <w:rsid w:val="009F5C99"/>
    <w:rsid w:val="009F7472"/>
    <w:rsid w:val="00A0002A"/>
    <w:rsid w:val="00A01F65"/>
    <w:rsid w:val="00A02724"/>
    <w:rsid w:val="00A02973"/>
    <w:rsid w:val="00A071B0"/>
    <w:rsid w:val="00A077B6"/>
    <w:rsid w:val="00A101C5"/>
    <w:rsid w:val="00A10D10"/>
    <w:rsid w:val="00A12177"/>
    <w:rsid w:val="00A12D1B"/>
    <w:rsid w:val="00A13F87"/>
    <w:rsid w:val="00A1741A"/>
    <w:rsid w:val="00A227CF"/>
    <w:rsid w:val="00A2758D"/>
    <w:rsid w:val="00A3210B"/>
    <w:rsid w:val="00A32244"/>
    <w:rsid w:val="00A32933"/>
    <w:rsid w:val="00A3320E"/>
    <w:rsid w:val="00A33636"/>
    <w:rsid w:val="00A34CE6"/>
    <w:rsid w:val="00A40063"/>
    <w:rsid w:val="00A40735"/>
    <w:rsid w:val="00A442EA"/>
    <w:rsid w:val="00A446C6"/>
    <w:rsid w:val="00A45364"/>
    <w:rsid w:val="00A47CC3"/>
    <w:rsid w:val="00A51FFD"/>
    <w:rsid w:val="00A548A6"/>
    <w:rsid w:val="00A5568F"/>
    <w:rsid w:val="00A56165"/>
    <w:rsid w:val="00A644FD"/>
    <w:rsid w:val="00A64704"/>
    <w:rsid w:val="00A65C0E"/>
    <w:rsid w:val="00A67709"/>
    <w:rsid w:val="00A70DF2"/>
    <w:rsid w:val="00A71DBC"/>
    <w:rsid w:val="00A725C6"/>
    <w:rsid w:val="00A7508A"/>
    <w:rsid w:val="00A750D7"/>
    <w:rsid w:val="00A77C23"/>
    <w:rsid w:val="00A80F6E"/>
    <w:rsid w:val="00A82126"/>
    <w:rsid w:val="00A82446"/>
    <w:rsid w:val="00A839AC"/>
    <w:rsid w:val="00A848A4"/>
    <w:rsid w:val="00A85623"/>
    <w:rsid w:val="00A8645C"/>
    <w:rsid w:val="00A915CD"/>
    <w:rsid w:val="00A91866"/>
    <w:rsid w:val="00A93337"/>
    <w:rsid w:val="00A97D0E"/>
    <w:rsid w:val="00A97D8F"/>
    <w:rsid w:val="00AA0977"/>
    <w:rsid w:val="00AA1AEA"/>
    <w:rsid w:val="00AA23E1"/>
    <w:rsid w:val="00AA3B22"/>
    <w:rsid w:val="00AA4F29"/>
    <w:rsid w:val="00AA6BE6"/>
    <w:rsid w:val="00AA6E70"/>
    <w:rsid w:val="00AB1FFE"/>
    <w:rsid w:val="00AB2998"/>
    <w:rsid w:val="00AB375D"/>
    <w:rsid w:val="00AB46DF"/>
    <w:rsid w:val="00AB471E"/>
    <w:rsid w:val="00AB500F"/>
    <w:rsid w:val="00AB68EC"/>
    <w:rsid w:val="00AC10BC"/>
    <w:rsid w:val="00AC16FB"/>
    <w:rsid w:val="00AC3B02"/>
    <w:rsid w:val="00AC5667"/>
    <w:rsid w:val="00AC7E05"/>
    <w:rsid w:val="00AD041E"/>
    <w:rsid w:val="00AD2822"/>
    <w:rsid w:val="00AD3283"/>
    <w:rsid w:val="00AD493A"/>
    <w:rsid w:val="00AD69C6"/>
    <w:rsid w:val="00AE19D4"/>
    <w:rsid w:val="00AE492A"/>
    <w:rsid w:val="00AE5B9A"/>
    <w:rsid w:val="00AE7564"/>
    <w:rsid w:val="00AE7C12"/>
    <w:rsid w:val="00AF17D0"/>
    <w:rsid w:val="00AF457B"/>
    <w:rsid w:val="00B0305F"/>
    <w:rsid w:val="00B030B4"/>
    <w:rsid w:val="00B031F9"/>
    <w:rsid w:val="00B039EA"/>
    <w:rsid w:val="00B03EAA"/>
    <w:rsid w:val="00B04345"/>
    <w:rsid w:val="00B0495C"/>
    <w:rsid w:val="00B05333"/>
    <w:rsid w:val="00B1207B"/>
    <w:rsid w:val="00B1475E"/>
    <w:rsid w:val="00B15CC0"/>
    <w:rsid w:val="00B160C3"/>
    <w:rsid w:val="00B166E5"/>
    <w:rsid w:val="00B215C3"/>
    <w:rsid w:val="00B24D8E"/>
    <w:rsid w:val="00B2670C"/>
    <w:rsid w:val="00B356EF"/>
    <w:rsid w:val="00B36412"/>
    <w:rsid w:val="00B44A7D"/>
    <w:rsid w:val="00B47E57"/>
    <w:rsid w:val="00B52E87"/>
    <w:rsid w:val="00B55783"/>
    <w:rsid w:val="00B57597"/>
    <w:rsid w:val="00B60C62"/>
    <w:rsid w:val="00B635B7"/>
    <w:rsid w:val="00B647CA"/>
    <w:rsid w:val="00B64D36"/>
    <w:rsid w:val="00B65A34"/>
    <w:rsid w:val="00B67B88"/>
    <w:rsid w:val="00B71D1F"/>
    <w:rsid w:val="00B77083"/>
    <w:rsid w:val="00B80FBC"/>
    <w:rsid w:val="00B828BA"/>
    <w:rsid w:val="00B82C7D"/>
    <w:rsid w:val="00B83924"/>
    <w:rsid w:val="00B8526A"/>
    <w:rsid w:val="00B8540C"/>
    <w:rsid w:val="00B868B3"/>
    <w:rsid w:val="00B91E5D"/>
    <w:rsid w:val="00B94197"/>
    <w:rsid w:val="00B97413"/>
    <w:rsid w:val="00BA0AD5"/>
    <w:rsid w:val="00BA4F21"/>
    <w:rsid w:val="00BB1EF4"/>
    <w:rsid w:val="00BB28E8"/>
    <w:rsid w:val="00BB40FC"/>
    <w:rsid w:val="00BB4907"/>
    <w:rsid w:val="00BB68C9"/>
    <w:rsid w:val="00BB7CC9"/>
    <w:rsid w:val="00BC0A85"/>
    <w:rsid w:val="00BC30BB"/>
    <w:rsid w:val="00BC3925"/>
    <w:rsid w:val="00BC4177"/>
    <w:rsid w:val="00BC4713"/>
    <w:rsid w:val="00BD0A5B"/>
    <w:rsid w:val="00BD0BF9"/>
    <w:rsid w:val="00BD28C4"/>
    <w:rsid w:val="00BD2DB4"/>
    <w:rsid w:val="00BD41AD"/>
    <w:rsid w:val="00BD4D41"/>
    <w:rsid w:val="00BD550A"/>
    <w:rsid w:val="00BD73AD"/>
    <w:rsid w:val="00BE185D"/>
    <w:rsid w:val="00BE324E"/>
    <w:rsid w:val="00BE3B06"/>
    <w:rsid w:val="00BE7EB2"/>
    <w:rsid w:val="00BF1A82"/>
    <w:rsid w:val="00BF2283"/>
    <w:rsid w:val="00BF2A6B"/>
    <w:rsid w:val="00BF2BF1"/>
    <w:rsid w:val="00BF3495"/>
    <w:rsid w:val="00BF3506"/>
    <w:rsid w:val="00BF41E2"/>
    <w:rsid w:val="00BF475A"/>
    <w:rsid w:val="00BF4BD7"/>
    <w:rsid w:val="00C04E8F"/>
    <w:rsid w:val="00C10009"/>
    <w:rsid w:val="00C113D6"/>
    <w:rsid w:val="00C1232E"/>
    <w:rsid w:val="00C12C6F"/>
    <w:rsid w:val="00C12FD8"/>
    <w:rsid w:val="00C1306A"/>
    <w:rsid w:val="00C178F3"/>
    <w:rsid w:val="00C2010A"/>
    <w:rsid w:val="00C20E1D"/>
    <w:rsid w:val="00C20ED5"/>
    <w:rsid w:val="00C243EC"/>
    <w:rsid w:val="00C37CAC"/>
    <w:rsid w:val="00C42EF2"/>
    <w:rsid w:val="00C45080"/>
    <w:rsid w:val="00C464C5"/>
    <w:rsid w:val="00C47CD3"/>
    <w:rsid w:val="00C47F02"/>
    <w:rsid w:val="00C50275"/>
    <w:rsid w:val="00C50739"/>
    <w:rsid w:val="00C5209F"/>
    <w:rsid w:val="00C522B5"/>
    <w:rsid w:val="00C52AFD"/>
    <w:rsid w:val="00C53507"/>
    <w:rsid w:val="00C549B2"/>
    <w:rsid w:val="00C56750"/>
    <w:rsid w:val="00C60423"/>
    <w:rsid w:val="00C61BC1"/>
    <w:rsid w:val="00C6337E"/>
    <w:rsid w:val="00C64BB5"/>
    <w:rsid w:val="00C74FFB"/>
    <w:rsid w:val="00C75939"/>
    <w:rsid w:val="00C75AA6"/>
    <w:rsid w:val="00C765F4"/>
    <w:rsid w:val="00C76862"/>
    <w:rsid w:val="00C769A0"/>
    <w:rsid w:val="00C80490"/>
    <w:rsid w:val="00C80F8C"/>
    <w:rsid w:val="00C81A7E"/>
    <w:rsid w:val="00C87A89"/>
    <w:rsid w:val="00C90CC9"/>
    <w:rsid w:val="00C90E78"/>
    <w:rsid w:val="00C9148C"/>
    <w:rsid w:val="00C929BD"/>
    <w:rsid w:val="00C956D0"/>
    <w:rsid w:val="00C95BDA"/>
    <w:rsid w:val="00C95E41"/>
    <w:rsid w:val="00CA0C94"/>
    <w:rsid w:val="00CA5CA7"/>
    <w:rsid w:val="00CA72B7"/>
    <w:rsid w:val="00CB31CD"/>
    <w:rsid w:val="00CB4216"/>
    <w:rsid w:val="00CB45A1"/>
    <w:rsid w:val="00CB532F"/>
    <w:rsid w:val="00CB6D0D"/>
    <w:rsid w:val="00CB75FB"/>
    <w:rsid w:val="00CC39DE"/>
    <w:rsid w:val="00CC768C"/>
    <w:rsid w:val="00CD000D"/>
    <w:rsid w:val="00CD0019"/>
    <w:rsid w:val="00CD24DB"/>
    <w:rsid w:val="00CD6CDA"/>
    <w:rsid w:val="00CD7136"/>
    <w:rsid w:val="00CD7601"/>
    <w:rsid w:val="00CE0379"/>
    <w:rsid w:val="00CE0CC8"/>
    <w:rsid w:val="00CE10A6"/>
    <w:rsid w:val="00CE1A89"/>
    <w:rsid w:val="00CE1B13"/>
    <w:rsid w:val="00CE20A9"/>
    <w:rsid w:val="00CE3C4E"/>
    <w:rsid w:val="00CE4148"/>
    <w:rsid w:val="00CE63FC"/>
    <w:rsid w:val="00CF2662"/>
    <w:rsid w:val="00CF36FF"/>
    <w:rsid w:val="00CF3BB1"/>
    <w:rsid w:val="00CF3F2F"/>
    <w:rsid w:val="00CF57F1"/>
    <w:rsid w:val="00D001CB"/>
    <w:rsid w:val="00D01574"/>
    <w:rsid w:val="00D02EFC"/>
    <w:rsid w:val="00D040BA"/>
    <w:rsid w:val="00D05D2C"/>
    <w:rsid w:val="00D06FB9"/>
    <w:rsid w:val="00D117C6"/>
    <w:rsid w:val="00D13A58"/>
    <w:rsid w:val="00D143A2"/>
    <w:rsid w:val="00D14760"/>
    <w:rsid w:val="00D15946"/>
    <w:rsid w:val="00D2139D"/>
    <w:rsid w:val="00D246CF"/>
    <w:rsid w:val="00D25E1A"/>
    <w:rsid w:val="00D2670F"/>
    <w:rsid w:val="00D2685B"/>
    <w:rsid w:val="00D27185"/>
    <w:rsid w:val="00D31124"/>
    <w:rsid w:val="00D3474F"/>
    <w:rsid w:val="00D40D38"/>
    <w:rsid w:val="00D41CB4"/>
    <w:rsid w:val="00D420EF"/>
    <w:rsid w:val="00D426D3"/>
    <w:rsid w:val="00D43304"/>
    <w:rsid w:val="00D435A3"/>
    <w:rsid w:val="00D439D7"/>
    <w:rsid w:val="00D47D14"/>
    <w:rsid w:val="00D53C8B"/>
    <w:rsid w:val="00D53E91"/>
    <w:rsid w:val="00D60489"/>
    <w:rsid w:val="00D611BC"/>
    <w:rsid w:val="00D62C6C"/>
    <w:rsid w:val="00D63E90"/>
    <w:rsid w:val="00D64CCE"/>
    <w:rsid w:val="00D6540E"/>
    <w:rsid w:val="00D77A1E"/>
    <w:rsid w:val="00D8273A"/>
    <w:rsid w:val="00D82FDB"/>
    <w:rsid w:val="00D83F5B"/>
    <w:rsid w:val="00D85C4F"/>
    <w:rsid w:val="00D879BF"/>
    <w:rsid w:val="00D91E32"/>
    <w:rsid w:val="00D94064"/>
    <w:rsid w:val="00D964F4"/>
    <w:rsid w:val="00D97373"/>
    <w:rsid w:val="00D97639"/>
    <w:rsid w:val="00DA3CAD"/>
    <w:rsid w:val="00DA6DEC"/>
    <w:rsid w:val="00DA7E54"/>
    <w:rsid w:val="00DB1093"/>
    <w:rsid w:val="00DB344F"/>
    <w:rsid w:val="00DB5346"/>
    <w:rsid w:val="00DB543E"/>
    <w:rsid w:val="00DC556A"/>
    <w:rsid w:val="00DC6B5C"/>
    <w:rsid w:val="00DD0FE3"/>
    <w:rsid w:val="00DD5CEB"/>
    <w:rsid w:val="00DE0665"/>
    <w:rsid w:val="00DE141C"/>
    <w:rsid w:val="00DE1562"/>
    <w:rsid w:val="00DE1FCC"/>
    <w:rsid w:val="00DE3632"/>
    <w:rsid w:val="00DE5FAA"/>
    <w:rsid w:val="00DF3351"/>
    <w:rsid w:val="00DF470A"/>
    <w:rsid w:val="00DF759B"/>
    <w:rsid w:val="00DF77B0"/>
    <w:rsid w:val="00E00829"/>
    <w:rsid w:val="00E0335C"/>
    <w:rsid w:val="00E035F8"/>
    <w:rsid w:val="00E03D16"/>
    <w:rsid w:val="00E040A4"/>
    <w:rsid w:val="00E073CC"/>
    <w:rsid w:val="00E128EA"/>
    <w:rsid w:val="00E16AC9"/>
    <w:rsid w:val="00E20318"/>
    <w:rsid w:val="00E21A17"/>
    <w:rsid w:val="00E22473"/>
    <w:rsid w:val="00E22FE9"/>
    <w:rsid w:val="00E2342A"/>
    <w:rsid w:val="00E25DDE"/>
    <w:rsid w:val="00E27288"/>
    <w:rsid w:val="00E27715"/>
    <w:rsid w:val="00E2778A"/>
    <w:rsid w:val="00E27EAC"/>
    <w:rsid w:val="00E31EC5"/>
    <w:rsid w:val="00E32D91"/>
    <w:rsid w:val="00E334F8"/>
    <w:rsid w:val="00E34B59"/>
    <w:rsid w:val="00E429D7"/>
    <w:rsid w:val="00E43A45"/>
    <w:rsid w:val="00E43A57"/>
    <w:rsid w:val="00E44E24"/>
    <w:rsid w:val="00E463BE"/>
    <w:rsid w:val="00E51E4A"/>
    <w:rsid w:val="00E532F9"/>
    <w:rsid w:val="00E579F3"/>
    <w:rsid w:val="00E6099E"/>
    <w:rsid w:val="00E65EB0"/>
    <w:rsid w:val="00E70F70"/>
    <w:rsid w:val="00E7156A"/>
    <w:rsid w:val="00E74429"/>
    <w:rsid w:val="00E74DC9"/>
    <w:rsid w:val="00E75160"/>
    <w:rsid w:val="00E755E3"/>
    <w:rsid w:val="00E75AF7"/>
    <w:rsid w:val="00E76A5A"/>
    <w:rsid w:val="00E805DB"/>
    <w:rsid w:val="00E8338F"/>
    <w:rsid w:val="00E83FC9"/>
    <w:rsid w:val="00E85152"/>
    <w:rsid w:val="00E8769F"/>
    <w:rsid w:val="00E91A86"/>
    <w:rsid w:val="00E938F0"/>
    <w:rsid w:val="00E9405D"/>
    <w:rsid w:val="00E9502D"/>
    <w:rsid w:val="00E951A5"/>
    <w:rsid w:val="00E96066"/>
    <w:rsid w:val="00E97806"/>
    <w:rsid w:val="00E97A34"/>
    <w:rsid w:val="00EA337F"/>
    <w:rsid w:val="00EA3DFB"/>
    <w:rsid w:val="00EA55DB"/>
    <w:rsid w:val="00EA7827"/>
    <w:rsid w:val="00EB16D2"/>
    <w:rsid w:val="00EB23FE"/>
    <w:rsid w:val="00EB319D"/>
    <w:rsid w:val="00EB35F4"/>
    <w:rsid w:val="00EB3993"/>
    <w:rsid w:val="00EB3FAD"/>
    <w:rsid w:val="00EB6B44"/>
    <w:rsid w:val="00EB7DE5"/>
    <w:rsid w:val="00EC3C68"/>
    <w:rsid w:val="00ED1F78"/>
    <w:rsid w:val="00ED5E93"/>
    <w:rsid w:val="00ED605B"/>
    <w:rsid w:val="00EE4008"/>
    <w:rsid w:val="00EE5261"/>
    <w:rsid w:val="00EE5C8C"/>
    <w:rsid w:val="00EF07FF"/>
    <w:rsid w:val="00EF13B4"/>
    <w:rsid w:val="00EF52CA"/>
    <w:rsid w:val="00F03957"/>
    <w:rsid w:val="00F03990"/>
    <w:rsid w:val="00F03E59"/>
    <w:rsid w:val="00F0432B"/>
    <w:rsid w:val="00F04363"/>
    <w:rsid w:val="00F12FA8"/>
    <w:rsid w:val="00F15235"/>
    <w:rsid w:val="00F16D07"/>
    <w:rsid w:val="00F22616"/>
    <w:rsid w:val="00F23EC5"/>
    <w:rsid w:val="00F26230"/>
    <w:rsid w:val="00F2682B"/>
    <w:rsid w:val="00F31162"/>
    <w:rsid w:val="00F327E7"/>
    <w:rsid w:val="00F3309F"/>
    <w:rsid w:val="00F35B39"/>
    <w:rsid w:val="00F416A7"/>
    <w:rsid w:val="00F449D6"/>
    <w:rsid w:val="00F453D1"/>
    <w:rsid w:val="00F464BF"/>
    <w:rsid w:val="00F47669"/>
    <w:rsid w:val="00F50B9F"/>
    <w:rsid w:val="00F50FF2"/>
    <w:rsid w:val="00F530C4"/>
    <w:rsid w:val="00F54BEE"/>
    <w:rsid w:val="00F579CC"/>
    <w:rsid w:val="00F60478"/>
    <w:rsid w:val="00F604B4"/>
    <w:rsid w:val="00F622D2"/>
    <w:rsid w:val="00F6785A"/>
    <w:rsid w:val="00F702FC"/>
    <w:rsid w:val="00F71469"/>
    <w:rsid w:val="00F75736"/>
    <w:rsid w:val="00F765C8"/>
    <w:rsid w:val="00F7666E"/>
    <w:rsid w:val="00F77429"/>
    <w:rsid w:val="00F77609"/>
    <w:rsid w:val="00F81D83"/>
    <w:rsid w:val="00F82B92"/>
    <w:rsid w:val="00F83049"/>
    <w:rsid w:val="00F83086"/>
    <w:rsid w:val="00F83A99"/>
    <w:rsid w:val="00F878DC"/>
    <w:rsid w:val="00F87E76"/>
    <w:rsid w:val="00F90945"/>
    <w:rsid w:val="00F955A0"/>
    <w:rsid w:val="00F97FA3"/>
    <w:rsid w:val="00FA1F12"/>
    <w:rsid w:val="00FA4EF3"/>
    <w:rsid w:val="00FA5AE2"/>
    <w:rsid w:val="00FA68CA"/>
    <w:rsid w:val="00FA6C28"/>
    <w:rsid w:val="00FB11DD"/>
    <w:rsid w:val="00FB1E0B"/>
    <w:rsid w:val="00FB2674"/>
    <w:rsid w:val="00FB5704"/>
    <w:rsid w:val="00FB68A4"/>
    <w:rsid w:val="00FC7998"/>
    <w:rsid w:val="00FD0632"/>
    <w:rsid w:val="00FD0824"/>
    <w:rsid w:val="00FD0C51"/>
    <w:rsid w:val="00FD1A5E"/>
    <w:rsid w:val="00FD2E9C"/>
    <w:rsid w:val="00FD3BAC"/>
    <w:rsid w:val="00FD4FDE"/>
    <w:rsid w:val="00FE062B"/>
    <w:rsid w:val="00FE0A5F"/>
    <w:rsid w:val="00FE1B9C"/>
    <w:rsid w:val="00FE2A14"/>
    <w:rsid w:val="00FE335B"/>
    <w:rsid w:val="00FE3FAD"/>
    <w:rsid w:val="00FF27DA"/>
    <w:rsid w:val="00FF363A"/>
    <w:rsid w:val="00FF4FE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160"/>
    <w:pPr>
      <w:spacing w:before="240"/>
      <w:ind w:left="709"/>
    </w:pPr>
    <w:rPr>
      <w:rFonts w:ascii="Arial" w:hAnsi="Arial"/>
      <w:sz w:val="22"/>
      <w:szCs w:val="22"/>
      <w:lang w:eastAsia="en-GB"/>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qFormat/>
    <w:rsid w:val="000032F0"/>
    <w:pPr>
      <w:spacing w:before="0" w:after="360"/>
      <w:ind w:left="0"/>
      <w:jc w:val="center"/>
      <w:outlineLvl w:val="0"/>
    </w:pPr>
    <w:rPr>
      <w:b/>
      <w:sz w:val="36"/>
      <w:szCs w:val="36"/>
    </w:rPr>
  </w:style>
  <w:style w:type="paragraph" w:styleId="Heading2">
    <w:name w:val="heading 2"/>
    <w:basedOn w:val="Normal"/>
    <w:next w:val="Normal"/>
    <w:link w:val="Heading2Char1"/>
    <w:qFormat/>
    <w:rsid w:val="002F237A"/>
    <w:pPr>
      <w:keepNext/>
      <w:spacing w:before="720" w:after="120"/>
      <w:ind w:hanging="709"/>
      <w:outlineLvl w:val="1"/>
    </w:pPr>
    <w:rPr>
      <w:b/>
      <w:sz w:val="28"/>
      <w:szCs w:val="28"/>
    </w:rPr>
  </w:style>
  <w:style w:type="paragraph" w:styleId="Heading3">
    <w:name w:val="heading 3"/>
    <w:basedOn w:val="Normal"/>
    <w:next w:val="Normal"/>
    <w:link w:val="Heading3Char"/>
    <w:uiPriority w:val="99"/>
    <w:qFormat/>
    <w:rsid w:val="00B25787"/>
    <w:pPr>
      <w:keepNext/>
      <w:spacing w:before="360" w:after="240"/>
      <w:ind w:left="567" w:hanging="567"/>
      <w:outlineLvl w:val="2"/>
    </w:pPr>
    <w:rPr>
      <w:b/>
      <w:i/>
      <w:sz w:val="24"/>
      <w:szCs w:val="24"/>
    </w:rPr>
  </w:style>
  <w:style w:type="paragraph" w:styleId="Heading4">
    <w:name w:val="heading 4"/>
    <w:aliases w:val="List of figures"/>
    <w:basedOn w:val="Normal"/>
    <w:next w:val="Normal"/>
    <w:link w:val="Heading4Char"/>
    <w:qFormat/>
    <w:pPr>
      <w:keepNext/>
      <w:spacing w:after="240"/>
      <w:outlineLvl w:val="3"/>
    </w:pPr>
    <w:rPr>
      <w:b/>
    </w:rPr>
  </w:style>
  <w:style w:type="paragraph" w:styleId="Heading5">
    <w:name w:val="heading 5"/>
    <w:basedOn w:val="Normal"/>
    <w:next w:val="Normal"/>
    <w:link w:val="Heading5Char"/>
    <w:qFormat/>
    <w:pPr>
      <w:keepNext/>
      <w:spacing w:before="120" w:after="120"/>
      <w:outlineLvl w:val="4"/>
    </w:pPr>
    <w:rPr>
      <w:b/>
      <w:i/>
    </w:rPr>
  </w:style>
  <w:style w:type="paragraph" w:styleId="Heading6">
    <w:name w:val="heading 6"/>
    <w:basedOn w:val="Normal"/>
    <w:next w:val="Normal"/>
    <w:qFormat/>
    <w:pPr>
      <w:spacing w:before="120" w:after="120"/>
      <w:outlineLvl w:val="5"/>
    </w:pPr>
  </w:style>
  <w:style w:type="paragraph" w:styleId="Heading7">
    <w:name w:val="heading 7"/>
    <w:basedOn w:val="Normal"/>
    <w:next w:val="Normal"/>
    <w:qFormat/>
    <w:pPr>
      <w:numPr>
        <w:ilvl w:val="6"/>
        <w:numId w:val="1"/>
      </w:numPr>
      <w:spacing w:after="60"/>
      <w:outlineLvl w:val="6"/>
    </w:pPr>
    <w:rPr>
      <w:sz w:val="20"/>
      <w:lang w:val="en-AU"/>
    </w:rPr>
  </w:style>
  <w:style w:type="paragraph" w:styleId="Heading8">
    <w:name w:val="heading 8"/>
    <w:basedOn w:val="Normal"/>
    <w:next w:val="Normal"/>
    <w:qFormat/>
    <w:pPr>
      <w:numPr>
        <w:ilvl w:val="7"/>
        <w:numId w:val="1"/>
      </w:numPr>
      <w:spacing w:after="60"/>
      <w:outlineLvl w:val="7"/>
    </w:pPr>
    <w:rPr>
      <w:i/>
      <w:sz w:val="20"/>
      <w:lang w:val="en-AU"/>
    </w:rPr>
  </w:style>
  <w:style w:type="paragraph" w:styleId="Heading9">
    <w:name w:val="heading 9"/>
    <w:basedOn w:val="Normal"/>
    <w:next w:val="Normal"/>
    <w:qFormat/>
    <w:pPr>
      <w:numPr>
        <w:ilvl w:val="8"/>
        <w:numId w:val="1"/>
      </w:numPr>
      <w:spacing w:after="60"/>
      <w:outlineLvl w:val="8"/>
    </w:pPr>
    <w:rPr>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rsid w:val="00DC7B0F"/>
    <w:pPr>
      <w:numPr>
        <w:numId w:val="4"/>
      </w:numPr>
      <w:tabs>
        <w:tab w:val="left" w:pos="1843"/>
      </w:tabs>
      <w:spacing w:before="60"/>
    </w:pPr>
  </w:style>
  <w:style w:type="paragraph" w:customStyle="1" w:styleId="Bullet">
    <w:name w:val="Bullet"/>
    <w:basedOn w:val="Normal"/>
    <w:link w:val="BulletChar"/>
    <w:uiPriority w:val="99"/>
    <w:rsid w:val="00BB40FC"/>
    <w:pPr>
      <w:numPr>
        <w:numId w:val="5"/>
      </w:numPr>
      <w:tabs>
        <w:tab w:val="left" w:pos="1276"/>
      </w:tabs>
      <w:spacing w:before="120"/>
    </w:pPr>
  </w:style>
  <w:style w:type="paragraph" w:styleId="Quote">
    <w:name w:val="Quote"/>
    <w:basedOn w:val="Normal"/>
    <w:next w:val="Normal"/>
    <w:link w:val="QuoteChar"/>
    <w:qFormat/>
    <w:rsid w:val="00B671AB"/>
    <w:pPr>
      <w:spacing w:before="120"/>
      <w:ind w:left="1134" w:right="567"/>
    </w:pPr>
    <w:rPr>
      <w:i/>
    </w:rPr>
  </w:style>
  <w:style w:type="paragraph" w:styleId="TOC1">
    <w:name w:val="toc 1"/>
    <w:basedOn w:val="Normal"/>
    <w:next w:val="Normal"/>
    <w:uiPriority w:val="39"/>
    <w:rsid w:val="00C75AE2"/>
    <w:pPr>
      <w:tabs>
        <w:tab w:val="right" w:pos="5103"/>
      </w:tabs>
      <w:spacing w:before="300"/>
      <w:ind w:left="0" w:right="5103"/>
    </w:pPr>
  </w:style>
  <w:style w:type="paragraph" w:styleId="TOC2">
    <w:name w:val="toc 2"/>
    <w:basedOn w:val="Normal"/>
    <w:next w:val="Normal"/>
    <w:uiPriority w:val="39"/>
    <w:rsid w:val="00A44D12"/>
    <w:pPr>
      <w:tabs>
        <w:tab w:val="right" w:pos="5103"/>
      </w:tabs>
      <w:spacing w:before="60"/>
      <w:ind w:right="5103"/>
    </w:pPr>
    <w:rPr>
      <w:sz w:val="20"/>
    </w:rPr>
  </w:style>
  <w:style w:type="paragraph" w:styleId="FootnoteText">
    <w:name w:val="footnote text"/>
    <w:aliases w:val="Footnote Text Char Char"/>
    <w:basedOn w:val="Normal"/>
    <w:link w:val="FootnoteTextChar"/>
    <w:pPr>
      <w:spacing w:before="120"/>
      <w:ind w:left="284" w:hanging="284"/>
    </w:pPr>
    <w:rPr>
      <w:sz w:val="16"/>
    </w:rPr>
  </w:style>
  <w:style w:type="character" w:styleId="PageNumber">
    <w:name w:val="page number"/>
    <w:basedOn w:val="DefaultParagraphFont"/>
    <w:rsid w:val="00C11C5B"/>
    <w:rPr>
      <w:rFonts w:ascii="Arial" w:hAnsi="Arial"/>
      <w:b/>
      <w:spacing w:val="0"/>
      <w:kern w:val="0"/>
      <w:position w:val="0"/>
      <w:sz w:val="24"/>
      <w:szCs w:val="24"/>
    </w:rPr>
  </w:style>
  <w:style w:type="paragraph" w:customStyle="1" w:styleId="Table">
    <w:name w:val="Table"/>
    <w:basedOn w:val="Figure"/>
    <w:next w:val="Normal"/>
    <w:rsid w:val="002A084C"/>
    <w:pPr>
      <w:spacing w:before="80" w:after="80"/>
      <w:ind w:left="737" w:firstLine="0"/>
    </w:pPr>
  </w:style>
  <w:style w:type="paragraph" w:styleId="Footer">
    <w:name w:val="footer"/>
    <w:basedOn w:val="Normal"/>
    <w:link w:val="FooterChar"/>
    <w:uiPriority w:val="99"/>
    <w:rsid w:val="000032F0"/>
    <w:pPr>
      <w:spacing w:before="0"/>
      <w:ind w:left="0"/>
    </w:pPr>
    <w:rPr>
      <w:spacing w:val="40"/>
      <w:sz w:val="16"/>
      <w:szCs w:val="16"/>
    </w:rPr>
  </w:style>
  <w:style w:type="paragraph" w:styleId="Header">
    <w:name w:val="header"/>
    <w:basedOn w:val="Normal"/>
    <w:link w:val="HeaderChar"/>
    <w:uiPriority w:val="99"/>
    <w:rsid w:val="000032F0"/>
    <w:pPr>
      <w:spacing w:before="0"/>
      <w:ind w:left="0"/>
      <w:jc w:val="center"/>
    </w:pPr>
    <w:rPr>
      <w:smallCaps/>
      <w:spacing w:val="40"/>
      <w:sz w:val="16"/>
      <w:szCs w:val="16"/>
    </w:rPr>
  </w:style>
  <w:style w:type="paragraph" w:customStyle="1" w:styleId="Heading">
    <w:name w:val="Heading"/>
    <w:basedOn w:val="Heading1"/>
    <w:next w:val="Normal"/>
    <w:rsid w:val="00B25787"/>
    <w:pPr>
      <w:jc w:val="left"/>
    </w:pPr>
    <w:rPr>
      <w:sz w:val="28"/>
      <w:szCs w:val="28"/>
    </w:rPr>
  </w:style>
  <w:style w:type="character" w:styleId="Hyperlink">
    <w:name w:val="Hyperlink"/>
    <w:basedOn w:val="DefaultParagraphFont"/>
    <w:uiPriority w:val="99"/>
    <w:rPr>
      <w:color w:val="0000FF"/>
      <w:u w:val="single"/>
    </w:rPr>
  </w:style>
  <w:style w:type="paragraph" w:styleId="TOC3">
    <w:name w:val="toc 3"/>
    <w:basedOn w:val="Normal"/>
    <w:next w:val="Normal"/>
    <w:autoRedefine/>
    <w:uiPriority w:val="39"/>
    <w:pPr>
      <w:tabs>
        <w:tab w:val="right" w:pos="8222"/>
      </w:tabs>
      <w:spacing w:before="120"/>
      <w:ind w:left="567" w:right="851" w:hanging="567"/>
    </w:pPr>
    <w:rPr>
      <w:sz w:val="18"/>
    </w:rPr>
  </w:style>
  <w:style w:type="character" w:styleId="FootnoteReference">
    <w:name w:val="footnote reference"/>
    <w:basedOn w:val="DefaultParagraphFont"/>
    <w:rPr>
      <w:vertAlign w:val="superscript"/>
    </w:rPr>
  </w:style>
  <w:style w:type="paragraph" w:customStyle="1" w:styleId="TableText">
    <w:name w:val="TableText"/>
    <w:basedOn w:val="Normal"/>
    <w:rsid w:val="0021521A"/>
    <w:pPr>
      <w:spacing w:before="80" w:after="80"/>
      <w:ind w:left="0"/>
    </w:pPr>
    <w:rPr>
      <w:sz w:val="20"/>
      <w:szCs w:val="20"/>
    </w:rPr>
  </w:style>
  <w:style w:type="paragraph" w:customStyle="1" w:styleId="ClientName">
    <w:name w:val="Client Name"/>
    <w:basedOn w:val="Normal"/>
    <w:rsid w:val="00A92022"/>
    <w:pPr>
      <w:spacing w:before="0" w:after="3000"/>
      <w:ind w:left="0"/>
      <w:jc w:val="center"/>
    </w:pPr>
    <w:rPr>
      <w:sz w:val="36"/>
      <w:szCs w:val="36"/>
    </w:rPr>
  </w:style>
  <w:style w:type="paragraph" w:styleId="Title">
    <w:name w:val="Title"/>
    <w:basedOn w:val="Normal"/>
    <w:qFormat/>
    <w:rsid w:val="00C75AE2"/>
    <w:pPr>
      <w:pBdr>
        <w:top w:val="single" w:sz="4" w:space="31" w:color="C0C0C0"/>
        <w:left w:val="single" w:sz="4" w:space="12" w:color="C0C0C0"/>
        <w:bottom w:val="single" w:sz="4" w:space="31" w:color="C0C0C0"/>
        <w:right w:val="single" w:sz="4" w:space="12" w:color="C0C0C0"/>
      </w:pBdr>
      <w:shd w:val="clear" w:color="auto" w:fill="FFFFFF"/>
      <w:spacing w:before="0" w:after="2000"/>
      <w:ind w:left="1985" w:right="1985"/>
      <w:jc w:val="center"/>
    </w:pPr>
    <w:rPr>
      <w:b/>
      <w:sz w:val="36"/>
      <w:szCs w:val="36"/>
    </w:rPr>
  </w:style>
  <w:style w:type="paragraph" w:customStyle="1" w:styleId="TableBullet">
    <w:name w:val="TableBullet"/>
    <w:basedOn w:val="TableText"/>
    <w:next w:val="Subtitle"/>
    <w:rsid w:val="00CF2680"/>
    <w:pPr>
      <w:numPr>
        <w:numId w:val="3"/>
      </w:numPr>
      <w:spacing w:before="0"/>
    </w:pPr>
  </w:style>
  <w:style w:type="paragraph" w:styleId="Subtitle">
    <w:name w:val="Subtitle"/>
    <w:basedOn w:val="Normal"/>
    <w:qFormat/>
    <w:rsid w:val="00B25787"/>
    <w:pPr>
      <w:spacing w:before="0" w:after="2000"/>
      <w:ind w:left="0"/>
      <w:outlineLvl w:val="1"/>
    </w:pPr>
    <w:rPr>
      <w:b/>
      <w:sz w:val="36"/>
      <w:szCs w:val="36"/>
    </w:rPr>
  </w:style>
  <w:style w:type="character" w:styleId="FollowedHyperlink">
    <w:name w:val="FollowedHyperlink"/>
    <w:basedOn w:val="DefaultParagraphFont"/>
    <w:rsid w:val="00A848A4"/>
    <w:rPr>
      <w:color w:val="800080"/>
      <w:u w:val="single"/>
    </w:rPr>
  </w:style>
  <w:style w:type="paragraph" w:customStyle="1" w:styleId="Box">
    <w:name w:val="Box"/>
    <w:basedOn w:val="Normal"/>
    <w:rsid w:val="00B671AB"/>
    <w:pPr>
      <w:pBdr>
        <w:top w:val="single" w:sz="4" w:space="12" w:color="auto"/>
        <w:left w:val="single" w:sz="4" w:space="12" w:color="auto"/>
        <w:bottom w:val="single" w:sz="4" w:space="12" w:color="auto"/>
        <w:right w:val="single" w:sz="4" w:space="12" w:color="auto"/>
      </w:pBdr>
      <w:spacing w:before="120"/>
      <w:ind w:left="851" w:right="284"/>
    </w:pPr>
    <w:rPr>
      <w:sz w:val="20"/>
    </w:rPr>
  </w:style>
  <w:style w:type="paragraph" w:customStyle="1" w:styleId="BoxHeading">
    <w:name w:val="BoxHeading"/>
    <w:basedOn w:val="Box"/>
    <w:next w:val="Box"/>
    <w:pPr>
      <w:keepNext/>
    </w:pPr>
    <w:rPr>
      <w:b/>
    </w:rPr>
  </w:style>
  <w:style w:type="paragraph" w:customStyle="1" w:styleId="BoxBullet">
    <w:name w:val="BoxBullet"/>
    <w:basedOn w:val="Box"/>
    <w:rsid w:val="00EA434F"/>
    <w:pPr>
      <w:numPr>
        <w:numId w:val="2"/>
      </w:numPr>
    </w:pPr>
  </w:style>
  <w:style w:type="paragraph" w:customStyle="1" w:styleId="Figure">
    <w:name w:val="Figure"/>
    <w:basedOn w:val="Normal"/>
    <w:next w:val="Normal"/>
    <w:rsid w:val="002F237A"/>
    <w:pPr>
      <w:keepNext/>
      <w:spacing w:after="120"/>
      <w:ind w:left="1701" w:hanging="992"/>
    </w:pPr>
    <w:rPr>
      <w:b/>
      <w:sz w:val="20"/>
    </w:rPr>
  </w:style>
  <w:style w:type="paragraph" w:styleId="BalloonText">
    <w:name w:val="Balloon Text"/>
    <w:basedOn w:val="Normal"/>
    <w:link w:val="BalloonTextChar"/>
    <w:uiPriority w:val="99"/>
    <w:semiHidden/>
    <w:unhideWhenUsed/>
    <w:rsid w:val="00E91A8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A86"/>
    <w:rPr>
      <w:rFonts w:ascii="Tahoma" w:hAnsi="Tahoma" w:cs="Tahoma"/>
      <w:sz w:val="16"/>
      <w:szCs w:val="16"/>
      <w:lang w:eastAsia="en-GB"/>
    </w:rPr>
  </w:style>
  <w:style w:type="character" w:customStyle="1" w:styleId="Heading2Char1">
    <w:name w:val="Heading 2 Char1"/>
    <w:link w:val="Heading2"/>
    <w:rsid w:val="000208A9"/>
    <w:rPr>
      <w:rFonts w:ascii="Arial" w:hAnsi="Arial"/>
      <w:b/>
      <w:sz w:val="28"/>
      <w:szCs w:val="28"/>
      <w:lang w:eastAsia="en-GB"/>
    </w:rPr>
  </w:style>
  <w:style w:type="paragraph" w:styleId="ListParagraph">
    <w:name w:val="List Paragraph"/>
    <w:basedOn w:val="Normal"/>
    <w:uiPriority w:val="34"/>
    <w:qFormat/>
    <w:rsid w:val="000208A9"/>
    <w:pPr>
      <w:ind w:left="720"/>
      <w:contextualSpacing/>
    </w:pPr>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basedOn w:val="DefaultParagraphFont"/>
    <w:link w:val="Heading1"/>
    <w:rsid w:val="00037FE3"/>
    <w:rPr>
      <w:rFonts w:ascii="Arial" w:hAnsi="Arial"/>
      <w:b/>
      <w:sz w:val="36"/>
      <w:szCs w:val="36"/>
      <w:lang w:eastAsia="en-GB"/>
    </w:rPr>
  </w:style>
  <w:style w:type="character" w:customStyle="1" w:styleId="FootnoteTextChar">
    <w:name w:val="Footnote Text Char"/>
    <w:aliases w:val="Footnote Text Char Char Char"/>
    <w:basedOn w:val="DefaultParagraphFont"/>
    <w:link w:val="FootnoteText"/>
    <w:rsid w:val="00037FE3"/>
    <w:rPr>
      <w:rFonts w:ascii="Arial" w:hAnsi="Arial"/>
      <w:sz w:val="16"/>
      <w:szCs w:val="22"/>
      <w:lang w:eastAsia="en-GB"/>
    </w:rPr>
  </w:style>
  <w:style w:type="paragraph" w:customStyle="1" w:styleId="List8">
    <w:name w:val="List 8"/>
    <w:basedOn w:val="Normal"/>
    <w:uiPriority w:val="99"/>
    <w:rsid w:val="00EA55DB"/>
    <w:pPr>
      <w:numPr>
        <w:numId w:val="10"/>
      </w:numPr>
      <w:spacing w:before="0"/>
    </w:pPr>
    <w:rPr>
      <w:rFonts w:ascii="Times New Roman" w:hAnsi="Times New Roman"/>
      <w:sz w:val="20"/>
      <w:szCs w:val="20"/>
      <w:lang w:val="en-AU" w:eastAsia="en-US"/>
    </w:rPr>
  </w:style>
  <w:style w:type="character" w:customStyle="1" w:styleId="BulletChar">
    <w:name w:val="Bullet Char"/>
    <w:link w:val="Bullet"/>
    <w:uiPriority w:val="99"/>
    <w:locked/>
    <w:rsid w:val="00EA55DB"/>
    <w:rPr>
      <w:rFonts w:ascii="Arial" w:hAnsi="Arial"/>
      <w:sz w:val="22"/>
      <w:szCs w:val="22"/>
      <w:lang w:eastAsia="en-GB"/>
    </w:rPr>
  </w:style>
  <w:style w:type="character" w:customStyle="1" w:styleId="Heading2Char">
    <w:name w:val="Heading 2 Char"/>
    <w:basedOn w:val="DefaultParagraphFont"/>
    <w:rsid w:val="00EA55DB"/>
    <w:rPr>
      <w:rFonts w:ascii="Arial" w:hAnsi="Arial"/>
      <w:b/>
      <w:sz w:val="28"/>
      <w:szCs w:val="28"/>
      <w:lang w:eastAsia="en-GB"/>
    </w:rPr>
  </w:style>
  <w:style w:type="character" w:customStyle="1" w:styleId="Heading4Char">
    <w:name w:val="Heading 4 Char"/>
    <w:aliases w:val="List of figures Char"/>
    <w:basedOn w:val="DefaultParagraphFont"/>
    <w:link w:val="Heading4"/>
    <w:uiPriority w:val="9"/>
    <w:rsid w:val="00EA55DB"/>
    <w:rPr>
      <w:rFonts w:ascii="Arial" w:hAnsi="Arial"/>
      <w:b/>
      <w:sz w:val="22"/>
      <w:szCs w:val="22"/>
      <w:lang w:eastAsia="en-GB"/>
    </w:rPr>
  </w:style>
  <w:style w:type="table" w:styleId="MediumShading1-Accent3">
    <w:name w:val="Medium Shading 1 Accent 3"/>
    <w:basedOn w:val="TableNormal"/>
    <w:uiPriority w:val="63"/>
    <w:rsid w:val="00EA55D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efault">
    <w:name w:val="Default"/>
    <w:rsid w:val="00935E9F"/>
    <w:pPr>
      <w:autoSpaceDE w:val="0"/>
      <w:autoSpaceDN w:val="0"/>
      <w:adjustRightInd w:val="0"/>
    </w:pPr>
    <w:rPr>
      <w:rFonts w:ascii="Garamond" w:hAnsi="Garamond" w:cs="Garamond"/>
      <w:color w:val="000000"/>
      <w:sz w:val="24"/>
      <w:szCs w:val="24"/>
    </w:rPr>
  </w:style>
  <w:style w:type="character" w:customStyle="1" w:styleId="FootnoteCharacters">
    <w:name w:val="Footnote Characters"/>
    <w:rsid w:val="004D1220"/>
    <w:rPr>
      <w:vertAlign w:val="superscript"/>
    </w:rPr>
  </w:style>
  <w:style w:type="character" w:customStyle="1" w:styleId="st">
    <w:name w:val="st"/>
    <w:basedOn w:val="DefaultParagraphFont"/>
    <w:rsid w:val="003A598E"/>
  </w:style>
  <w:style w:type="character" w:customStyle="1" w:styleId="Heading3Char">
    <w:name w:val="Heading 3 Char"/>
    <w:basedOn w:val="DefaultParagraphFont"/>
    <w:link w:val="Heading3"/>
    <w:uiPriority w:val="99"/>
    <w:rsid w:val="00584232"/>
    <w:rPr>
      <w:rFonts w:ascii="Arial" w:hAnsi="Arial"/>
      <w:b/>
      <w:i/>
      <w:sz w:val="24"/>
      <w:szCs w:val="24"/>
      <w:lang w:eastAsia="en-GB"/>
    </w:rPr>
  </w:style>
  <w:style w:type="character" w:customStyle="1" w:styleId="QuoteChar">
    <w:name w:val="Quote Char"/>
    <w:basedOn w:val="DefaultParagraphFont"/>
    <w:link w:val="Quote"/>
    <w:rsid w:val="00584232"/>
    <w:rPr>
      <w:rFonts w:ascii="Arial" w:hAnsi="Arial"/>
      <w:i/>
      <w:sz w:val="22"/>
      <w:szCs w:val="22"/>
      <w:lang w:eastAsia="en-GB"/>
    </w:rPr>
  </w:style>
  <w:style w:type="paragraph" w:styleId="Caption">
    <w:name w:val="caption"/>
    <w:basedOn w:val="Normal"/>
    <w:unhideWhenUsed/>
    <w:qFormat/>
    <w:rsid w:val="00C53507"/>
    <w:pPr>
      <w:keepNext/>
      <w:spacing w:before="0" w:after="170" w:line="260" w:lineRule="atLeast"/>
      <w:ind w:left="0"/>
    </w:pPr>
    <w:rPr>
      <w:rFonts w:ascii="Garamond" w:eastAsiaTheme="minorHAnsi" w:hAnsi="Garamond"/>
      <w:b/>
      <w:bCs/>
      <w:lang w:eastAsia="en-NZ"/>
    </w:rPr>
  </w:style>
  <w:style w:type="paragraph" w:customStyle="1" w:styleId="Table-headingrow1">
    <w:name w:val="Table - heading (row 1)"/>
    <w:basedOn w:val="Normal"/>
    <w:rsid w:val="00C53507"/>
    <w:pPr>
      <w:spacing w:before="0" w:line="260" w:lineRule="atLeast"/>
      <w:ind w:left="0"/>
    </w:pPr>
    <w:rPr>
      <w:rFonts w:ascii="Garamond" w:eastAsiaTheme="minorHAnsi" w:hAnsi="Garamond"/>
      <w:b/>
      <w:bCs/>
      <w:color w:val="FFFFFF"/>
      <w:sz w:val="20"/>
      <w:szCs w:val="20"/>
      <w:lang w:eastAsia="en-NZ"/>
    </w:rPr>
  </w:style>
  <w:style w:type="paragraph" w:customStyle="1" w:styleId="Table-bodytext">
    <w:name w:val="Table - body text"/>
    <w:basedOn w:val="Normal"/>
    <w:rsid w:val="00C53507"/>
    <w:pPr>
      <w:spacing w:before="0" w:after="120" w:line="190" w:lineRule="atLeast"/>
      <w:ind w:left="0"/>
    </w:pPr>
    <w:rPr>
      <w:rFonts w:ascii="Garamond" w:eastAsiaTheme="minorHAnsi" w:hAnsi="Garamond"/>
      <w:sz w:val="20"/>
      <w:szCs w:val="20"/>
      <w:lang w:eastAsia="en-NZ"/>
    </w:rPr>
  </w:style>
  <w:style w:type="paragraph" w:customStyle="1" w:styleId="bullet0">
    <w:name w:val="bullet0"/>
    <w:basedOn w:val="Normal"/>
    <w:uiPriority w:val="99"/>
    <w:rsid w:val="00406DC9"/>
    <w:pPr>
      <w:spacing w:before="120"/>
      <w:ind w:left="1134" w:hanging="567"/>
    </w:pPr>
    <w:rPr>
      <w:rFonts w:eastAsiaTheme="minorHAnsi" w:cs="Arial"/>
      <w:lang w:eastAsia="en-NZ"/>
    </w:rPr>
  </w:style>
  <w:style w:type="paragraph" w:customStyle="1" w:styleId="Figureheading">
    <w:name w:val="Figure heading"/>
    <w:basedOn w:val="Normal"/>
    <w:qFormat/>
    <w:rsid w:val="00A915CD"/>
    <w:pPr>
      <w:keepNext/>
      <w:spacing w:before="120" w:after="120"/>
      <w:ind w:right="1418"/>
    </w:pPr>
    <w:rPr>
      <w:rFonts w:cs="Arial"/>
      <w:b/>
      <w:sz w:val="20"/>
      <w:lang w:eastAsia="en-NZ"/>
    </w:rPr>
  </w:style>
  <w:style w:type="table" w:styleId="LightList-Accent3">
    <w:name w:val="Light List Accent 3"/>
    <w:basedOn w:val="TableNormal"/>
    <w:uiPriority w:val="61"/>
    <w:rsid w:val="00441FB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FD0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D001C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FooterChar">
    <w:name w:val="Footer Char"/>
    <w:basedOn w:val="DefaultParagraphFont"/>
    <w:link w:val="Footer"/>
    <w:uiPriority w:val="99"/>
    <w:rsid w:val="006A4CE0"/>
    <w:rPr>
      <w:rFonts w:ascii="Arial" w:hAnsi="Arial"/>
      <w:spacing w:val="40"/>
      <w:sz w:val="16"/>
      <w:szCs w:val="16"/>
      <w:lang w:eastAsia="en-GB"/>
    </w:rPr>
  </w:style>
  <w:style w:type="character" w:customStyle="1" w:styleId="HeaderChar">
    <w:name w:val="Header Char"/>
    <w:basedOn w:val="DefaultParagraphFont"/>
    <w:link w:val="Header"/>
    <w:uiPriority w:val="99"/>
    <w:rsid w:val="006A4CE0"/>
    <w:rPr>
      <w:rFonts w:ascii="Arial" w:hAnsi="Arial"/>
      <w:smallCaps/>
      <w:spacing w:val="40"/>
      <w:sz w:val="16"/>
      <w:szCs w:val="16"/>
      <w:lang w:eastAsia="en-GB"/>
    </w:rPr>
  </w:style>
  <w:style w:type="paragraph" w:customStyle="1" w:styleId="HeadingTHree">
    <w:name w:val="Heading THree"/>
    <w:basedOn w:val="Heading2"/>
    <w:rsid w:val="006A4CE0"/>
    <w:pPr>
      <w:tabs>
        <w:tab w:val="num" w:pos="2157"/>
      </w:tabs>
      <w:spacing w:before="360" w:line="300" w:lineRule="exact"/>
      <w:ind w:left="1581" w:hanging="504"/>
    </w:pPr>
    <w:rPr>
      <w:lang w:val="x-none"/>
    </w:rPr>
  </w:style>
  <w:style w:type="paragraph" w:customStyle="1" w:styleId="Style1">
    <w:name w:val="Style1"/>
    <w:basedOn w:val="Normal"/>
    <w:rsid w:val="0056762E"/>
    <w:pPr>
      <w:shd w:val="clear" w:color="auto" w:fill="B6DDE8" w:themeFill="accent5" w:themeFillTint="66"/>
      <w:spacing w:before="0" w:after="200" w:line="276" w:lineRule="auto"/>
      <w:ind w:left="0"/>
    </w:pPr>
    <w:rPr>
      <w:rFonts w:ascii="Garamond" w:eastAsiaTheme="minorHAnsi" w:hAnsi="Garamond" w:cstheme="minorBidi"/>
      <w:sz w:val="26"/>
      <w:szCs w:val="26"/>
      <w:u w:val="single"/>
      <w:lang w:eastAsia="en-US"/>
    </w:rPr>
  </w:style>
  <w:style w:type="paragraph" w:customStyle="1" w:styleId="CPHRHeadings2b">
    <w:name w:val="CPHR Headings 2b"/>
    <w:basedOn w:val="Style1"/>
    <w:qFormat/>
    <w:rsid w:val="0056762E"/>
    <w:pPr>
      <w:shd w:val="clear" w:color="auto" w:fill="BFBFBF" w:themeFill="background1" w:themeFillShade="BF"/>
    </w:pPr>
    <w:rPr>
      <w:i/>
      <w:u w:val="none"/>
    </w:rPr>
  </w:style>
  <w:style w:type="paragraph" w:customStyle="1" w:styleId="CPHRHeadings1">
    <w:name w:val="CPHR Headings 1"/>
    <w:basedOn w:val="Normal"/>
    <w:autoRedefine/>
    <w:qFormat/>
    <w:rsid w:val="0056762E"/>
    <w:pPr>
      <w:shd w:val="clear" w:color="auto" w:fill="F7F5EB"/>
      <w:spacing w:before="0" w:after="200" w:line="276" w:lineRule="auto"/>
      <w:ind w:left="0"/>
    </w:pPr>
    <w:rPr>
      <w:rFonts w:ascii="Garamond" w:eastAsiaTheme="minorHAnsi" w:hAnsi="Garamond" w:cstheme="minorBidi"/>
      <w:b/>
      <w:sz w:val="28"/>
      <w:szCs w:val="26"/>
      <w:lang w:eastAsia="en-NZ"/>
    </w:rPr>
  </w:style>
  <w:style w:type="paragraph" w:customStyle="1" w:styleId="CPHRHeadings2">
    <w:name w:val="CPHR Headings 2"/>
    <w:basedOn w:val="Style3"/>
    <w:qFormat/>
    <w:rsid w:val="0056762E"/>
    <w:pPr>
      <w:shd w:val="clear" w:color="auto" w:fill="00BABF"/>
    </w:pPr>
    <w:rPr>
      <w:b/>
    </w:rPr>
  </w:style>
  <w:style w:type="paragraph" w:customStyle="1" w:styleId="Style3">
    <w:name w:val="Style3"/>
    <w:basedOn w:val="CPHRHeadings2b"/>
    <w:rsid w:val="0056762E"/>
  </w:style>
  <w:style w:type="paragraph" w:customStyle="1" w:styleId="Style4">
    <w:name w:val="Style4"/>
    <w:basedOn w:val="CPHRHeadings2b"/>
    <w:rsid w:val="0056762E"/>
  </w:style>
  <w:style w:type="paragraph" w:customStyle="1" w:styleId="CPHRHeadings2c">
    <w:name w:val="CPHR Headings 2c"/>
    <w:basedOn w:val="CPHRHeadings2"/>
    <w:qFormat/>
    <w:rsid w:val="0056762E"/>
    <w:pPr>
      <w:shd w:val="clear" w:color="auto" w:fill="F7F5EB"/>
      <w:ind w:left="1440"/>
    </w:pPr>
    <w:rPr>
      <w:b w:val="0"/>
    </w:rPr>
  </w:style>
  <w:style w:type="paragraph" w:styleId="Bibliography">
    <w:name w:val="Bibliography"/>
    <w:basedOn w:val="Normal"/>
    <w:next w:val="Normal"/>
    <w:uiPriority w:val="37"/>
    <w:unhideWhenUsed/>
    <w:rsid w:val="0056762E"/>
    <w:pPr>
      <w:spacing w:before="0" w:after="200" w:line="276" w:lineRule="auto"/>
      <w:ind w:left="0"/>
    </w:pPr>
    <w:rPr>
      <w:rFonts w:asciiTheme="minorHAnsi" w:eastAsiaTheme="minorHAnsi" w:hAnsiTheme="minorHAnsi" w:cstheme="minorBidi"/>
      <w:lang w:eastAsia="en-US"/>
    </w:rPr>
  </w:style>
  <w:style w:type="character" w:styleId="PlaceholderText">
    <w:name w:val="Placeholder Text"/>
    <w:basedOn w:val="DefaultParagraphFont"/>
    <w:uiPriority w:val="99"/>
    <w:semiHidden/>
    <w:rsid w:val="0056762E"/>
    <w:rPr>
      <w:color w:val="808080"/>
    </w:rPr>
  </w:style>
  <w:style w:type="character" w:customStyle="1" w:styleId="pop-slug-vol">
    <w:name w:val="pop-slug-vol"/>
    <w:basedOn w:val="DefaultParagraphFont"/>
    <w:rsid w:val="0056762E"/>
  </w:style>
  <w:style w:type="character" w:customStyle="1" w:styleId="slug-doi">
    <w:name w:val="slug-doi"/>
    <w:basedOn w:val="DefaultParagraphFont"/>
    <w:rsid w:val="0056762E"/>
  </w:style>
  <w:style w:type="paragraph" w:styleId="TOCHeading">
    <w:name w:val="TOC Heading"/>
    <w:basedOn w:val="Heading1"/>
    <w:next w:val="Normal"/>
    <w:uiPriority w:val="39"/>
    <w:unhideWhenUsed/>
    <w:qFormat/>
    <w:rsid w:val="0056762E"/>
    <w:pPr>
      <w:keepNext/>
      <w:keepLines/>
      <w:spacing w:before="480" w:after="0" w:line="276" w:lineRule="auto"/>
      <w:jc w:val="left"/>
      <w:outlineLvl w:val="9"/>
    </w:pPr>
    <w:rPr>
      <w:rFonts w:eastAsiaTheme="majorEastAsia" w:cstheme="majorBidi"/>
      <w:bCs/>
      <w:color w:val="000000" w:themeColor="text1"/>
      <w:sz w:val="28"/>
      <w:szCs w:val="28"/>
      <w:lang w:val="en-US" w:eastAsia="ja-JP"/>
    </w:rPr>
  </w:style>
  <w:style w:type="paragraph" w:styleId="NormalWeb">
    <w:name w:val="Normal (Web)"/>
    <w:basedOn w:val="Normal"/>
    <w:uiPriority w:val="99"/>
    <w:semiHidden/>
    <w:unhideWhenUsed/>
    <w:rsid w:val="0056762E"/>
    <w:pPr>
      <w:spacing w:before="100" w:beforeAutospacing="1" w:after="100" w:afterAutospacing="1"/>
      <w:ind w:left="0"/>
    </w:pPr>
    <w:rPr>
      <w:rFonts w:ascii="Times New Roman" w:eastAsiaTheme="minorEastAsia" w:hAnsi="Times New Roman"/>
      <w:sz w:val="24"/>
      <w:szCs w:val="24"/>
      <w:lang w:eastAsia="en-NZ"/>
    </w:rPr>
  </w:style>
  <w:style w:type="paragraph" w:styleId="TableofFigures">
    <w:name w:val="table of figures"/>
    <w:basedOn w:val="Normal"/>
    <w:next w:val="Normal"/>
    <w:uiPriority w:val="99"/>
    <w:unhideWhenUsed/>
    <w:rsid w:val="0056762E"/>
    <w:pPr>
      <w:spacing w:before="0" w:line="276" w:lineRule="auto"/>
      <w:ind w:left="0"/>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56762E"/>
    <w:rPr>
      <w:sz w:val="16"/>
      <w:szCs w:val="16"/>
    </w:rPr>
  </w:style>
  <w:style w:type="paragraph" w:styleId="CommentText">
    <w:name w:val="annotation text"/>
    <w:basedOn w:val="Normal"/>
    <w:link w:val="CommentTextChar"/>
    <w:uiPriority w:val="99"/>
    <w:unhideWhenUsed/>
    <w:rsid w:val="0056762E"/>
    <w:pPr>
      <w:spacing w:before="0" w:after="200"/>
      <w:ind w:left="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56762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56762E"/>
    <w:rPr>
      <w:b/>
      <w:bCs/>
    </w:rPr>
  </w:style>
  <w:style w:type="character" w:customStyle="1" w:styleId="CommentSubjectChar">
    <w:name w:val="Comment Subject Char"/>
    <w:basedOn w:val="CommentTextChar"/>
    <w:link w:val="CommentSubject"/>
    <w:uiPriority w:val="99"/>
    <w:semiHidden/>
    <w:rsid w:val="0056762E"/>
    <w:rPr>
      <w:rFonts w:asciiTheme="minorHAnsi" w:eastAsiaTheme="minorHAnsi" w:hAnsiTheme="minorHAnsi" w:cstheme="minorBidi"/>
      <w:b/>
      <w:bCs/>
      <w:lang w:eastAsia="en-US"/>
    </w:rPr>
  </w:style>
  <w:style w:type="paragraph" w:styleId="Revision">
    <w:name w:val="Revision"/>
    <w:hidden/>
    <w:uiPriority w:val="99"/>
    <w:semiHidden/>
    <w:rsid w:val="0056762E"/>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46313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DD5CEB"/>
    <w:rPr>
      <w:rFonts w:ascii="Arial" w:hAnsi="Arial"/>
      <w:b/>
      <w:i/>
      <w:sz w:val="22"/>
      <w:szCs w:val="22"/>
      <w:lang w:eastAsia="en-GB"/>
    </w:rPr>
  </w:style>
  <w:style w:type="table" w:customStyle="1" w:styleId="TableSapereGrid">
    <w:name w:val="Table Sapere Grid"/>
    <w:basedOn w:val="TableGrid"/>
    <w:rsid w:val="00DD5CEB"/>
    <w:rPr>
      <w:lang w:val="en-US"/>
    </w:rPr>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customStyle="1" w:styleId="UnnumtextBodytext">
    <w:name w:val="Unnum text: Body text"/>
    <w:basedOn w:val="Normal"/>
    <w:qFormat/>
    <w:rsid w:val="00D27185"/>
    <w:pPr>
      <w:spacing w:before="0" w:after="170" w:line="260" w:lineRule="atLeast"/>
      <w:ind w:left="0"/>
    </w:pPr>
    <w:rPr>
      <w:rFonts w:ascii="Garamond" w:hAnsi="Garamond"/>
      <w:lang w:eastAsia="en-NZ"/>
    </w:rPr>
  </w:style>
  <w:style w:type="character" w:customStyle="1" w:styleId="UnnumtextBullet2CharChar">
    <w:name w:val="Unnum text: Bullet 2 Char Char"/>
    <w:basedOn w:val="DefaultParagraphFont"/>
    <w:link w:val="UnnumtextBullet2"/>
    <w:uiPriority w:val="99"/>
    <w:rsid w:val="00D27185"/>
    <w:rPr>
      <w:rFonts w:ascii="Garamond" w:hAnsi="Garamond"/>
      <w:sz w:val="22"/>
      <w:szCs w:val="22"/>
      <w:lang w:eastAsia="en-NZ"/>
    </w:rPr>
  </w:style>
  <w:style w:type="paragraph" w:customStyle="1" w:styleId="ListStartNumberedparagraphs">
    <w:name w:val="ListStart Numbered paragraphs"/>
    <w:next w:val="Numberedparagraphs-1"/>
    <w:rsid w:val="00D27185"/>
    <w:pPr>
      <w:keepNext/>
      <w:keepLines/>
      <w:framePr w:wrap="around" w:vAnchor="text" w:hAnchor="text" w:x="-565" w:y="1"/>
      <w:widowControl w:val="0"/>
      <w:numPr>
        <w:numId w:val="18"/>
      </w:numPr>
    </w:pPr>
    <w:rPr>
      <w:rFonts w:ascii="Garamond" w:hAnsi="Garamond"/>
      <w:color w:val="800080"/>
      <w:sz w:val="18"/>
      <w:szCs w:val="22"/>
    </w:rPr>
  </w:style>
  <w:style w:type="paragraph" w:customStyle="1" w:styleId="UnnumtextBullet1">
    <w:name w:val="Unnum text: Bullet 1"/>
    <w:basedOn w:val="Normal"/>
    <w:uiPriority w:val="99"/>
    <w:rsid w:val="00D27185"/>
    <w:pPr>
      <w:numPr>
        <w:numId w:val="17"/>
      </w:numPr>
      <w:spacing w:before="80" w:line="260" w:lineRule="atLeast"/>
    </w:pPr>
    <w:rPr>
      <w:rFonts w:ascii="Garamond" w:hAnsi="Garamond"/>
      <w:lang w:eastAsia="en-US"/>
    </w:rPr>
  </w:style>
  <w:style w:type="paragraph" w:customStyle="1" w:styleId="UnnumtextBullet2">
    <w:name w:val="Unnum text: Bullet 2"/>
    <w:basedOn w:val="Normal"/>
    <w:link w:val="UnnumtextBullet2CharChar"/>
    <w:uiPriority w:val="99"/>
    <w:rsid w:val="00D27185"/>
    <w:pPr>
      <w:numPr>
        <w:ilvl w:val="1"/>
        <w:numId w:val="17"/>
      </w:numPr>
      <w:spacing w:before="80" w:line="260" w:lineRule="atLeast"/>
    </w:pPr>
    <w:rPr>
      <w:rFonts w:ascii="Garamond" w:hAnsi="Garamond"/>
      <w:lang w:eastAsia="en-NZ"/>
    </w:rPr>
  </w:style>
  <w:style w:type="paragraph" w:customStyle="1" w:styleId="UnnumtextBullet3">
    <w:name w:val="Unnum text: Bullet 3"/>
    <w:basedOn w:val="Normal"/>
    <w:uiPriority w:val="99"/>
    <w:rsid w:val="00D27185"/>
    <w:pPr>
      <w:numPr>
        <w:ilvl w:val="2"/>
        <w:numId w:val="17"/>
      </w:numPr>
      <w:spacing w:before="60" w:after="60" w:line="260" w:lineRule="atLeast"/>
    </w:pPr>
    <w:rPr>
      <w:rFonts w:ascii="Garamond" w:hAnsi="Garamond"/>
      <w:lang w:eastAsia="en-NZ"/>
    </w:rPr>
  </w:style>
  <w:style w:type="paragraph" w:customStyle="1" w:styleId="Numberedparagraphs-1">
    <w:name w:val="Numbered paragraphs - 1."/>
    <w:basedOn w:val="Normal"/>
    <w:rsid w:val="00D27185"/>
    <w:pPr>
      <w:numPr>
        <w:ilvl w:val="1"/>
        <w:numId w:val="18"/>
      </w:numPr>
      <w:spacing w:before="60" w:after="120" w:line="190" w:lineRule="atLeast"/>
    </w:pPr>
    <w:rPr>
      <w:rFonts w:ascii="Garamond" w:hAnsi="Garamond"/>
      <w:sz w:val="20"/>
      <w:lang w:eastAsia="en-NZ"/>
    </w:rPr>
  </w:style>
  <w:style w:type="paragraph" w:customStyle="1" w:styleId="Numberedparagraphs-a">
    <w:name w:val="Numbered paragraphs - a)"/>
    <w:basedOn w:val="Normal"/>
    <w:rsid w:val="00D27185"/>
    <w:pPr>
      <w:numPr>
        <w:ilvl w:val="2"/>
        <w:numId w:val="18"/>
      </w:numPr>
      <w:spacing w:before="60" w:after="120" w:line="190" w:lineRule="atLeast"/>
      <w:ind w:left="850" w:hanging="425"/>
    </w:pPr>
    <w:rPr>
      <w:rFonts w:ascii="Garamond" w:hAnsi="Garamond"/>
      <w:sz w:val="20"/>
      <w:lang w:eastAsia="en-NZ"/>
    </w:rPr>
  </w:style>
  <w:style w:type="paragraph" w:customStyle="1" w:styleId="Numberedparagraphs-i">
    <w:name w:val="Numbered paragraphs - i)"/>
    <w:basedOn w:val="Normal"/>
    <w:rsid w:val="00D27185"/>
    <w:pPr>
      <w:numPr>
        <w:ilvl w:val="3"/>
        <w:numId w:val="18"/>
      </w:numPr>
      <w:spacing w:before="60" w:after="120" w:line="190" w:lineRule="atLeast"/>
    </w:pPr>
    <w:rPr>
      <w:rFonts w:ascii="Garamond" w:hAnsi="Garamond"/>
      <w:sz w:val="20"/>
      <w:lang w:eastAsia="en-NZ"/>
    </w:rPr>
  </w:style>
  <w:style w:type="paragraph" w:customStyle="1" w:styleId="Tablebullet1atmargin">
    <w:name w:val="Table bullet 1 (at margin)"/>
    <w:basedOn w:val="Table-bodytext"/>
    <w:rsid w:val="00D27185"/>
    <w:pPr>
      <w:numPr>
        <w:numId w:val="19"/>
      </w:numPr>
      <w:ind w:left="425" w:hanging="425"/>
    </w:pPr>
    <w:rPr>
      <w:rFonts w:eastAsia="Times New Roman"/>
      <w:szCs w:val="22"/>
    </w:rPr>
  </w:style>
  <w:style w:type="paragraph" w:customStyle="1" w:styleId="Tablebullet2atmargin">
    <w:name w:val="Table bullet 2 (at margin)"/>
    <w:basedOn w:val="Table-bodytext"/>
    <w:rsid w:val="00D27185"/>
    <w:pPr>
      <w:numPr>
        <w:ilvl w:val="1"/>
        <w:numId w:val="19"/>
      </w:numPr>
      <w:ind w:left="850"/>
    </w:pPr>
    <w:rPr>
      <w:rFonts w:eastAsia="Times New Roman"/>
      <w:szCs w:val="22"/>
    </w:rPr>
  </w:style>
  <w:style w:type="paragraph" w:customStyle="1" w:styleId="Bulletlevel1">
    <w:name w:val="Bullet level 1"/>
    <w:basedOn w:val="Normal"/>
    <w:qFormat/>
    <w:rsid w:val="00D27185"/>
    <w:pPr>
      <w:numPr>
        <w:numId w:val="20"/>
      </w:numPr>
      <w:spacing w:before="0" w:line="276" w:lineRule="auto"/>
    </w:pPr>
    <w:rPr>
      <w:rFonts w:ascii="Garamond" w:eastAsia="Calibri" w:hAnsi="Garamond"/>
      <w:lang w:val="en-US" w:eastAsia="en-US"/>
    </w:rPr>
  </w:style>
  <w:style w:type="paragraph" w:customStyle="1" w:styleId="EndNoteBibliography">
    <w:name w:val="EndNote Bibliography"/>
    <w:basedOn w:val="Normal"/>
    <w:link w:val="EndNoteBibliographyChar"/>
    <w:rsid w:val="00D27185"/>
    <w:pPr>
      <w:spacing w:before="0"/>
      <w:ind w:left="0"/>
    </w:pPr>
    <w:rPr>
      <w:rFonts w:ascii="Times New Roman" w:hAnsi="Times New Roman"/>
      <w:noProof/>
      <w:sz w:val="24"/>
      <w:szCs w:val="24"/>
      <w:lang w:val="en-GB"/>
    </w:rPr>
  </w:style>
  <w:style w:type="character" w:customStyle="1" w:styleId="EndNoteBibliographyChar">
    <w:name w:val="EndNote Bibliography Char"/>
    <w:basedOn w:val="DefaultParagraphFont"/>
    <w:link w:val="EndNoteBibliography"/>
    <w:rsid w:val="00D27185"/>
    <w:rPr>
      <w:noProof/>
      <w:sz w:val="24"/>
      <w:szCs w:val="24"/>
      <w:lang w:val="en-GB" w:eastAsia="en-GB"/>
    </w:rPr>
  </w:style>
  <w:style w:type="paragraph" w:customStyle="1" w:styleId="Sourceinformation">
    <w:name w:val="Source information"/>
    <w:basedOn w:val="Normal"/>
    <w:rsid w:val="00D27185"/>
    <w:pPr>
      <w:spacing w:before="0" w:after="80"/>
      <w:ind w:left="0"/>
    </w:pPr>
    <w:rPr>
      <w:rFonts w:ascii="Garamond" w:hAnsi="Garamond"/>
      <w:sz w:val="20"/>
      <w:lang w:eastAsia="en-US"/>
    </w:rPr>
  </w:style>
  <w:style w:type="paragraph" w:customStyle="1" w:styleId="Notes">
    <w:name w:val="Notes"/>
    <w:basedOn w:val="Normal"/>
    <w:rsid w:val="00952C27"/>
    <w:pPr>
      <w:numPr>
        <w:numId w:val="22"/>
      </w:numPr>
      <w:spacing w:before="0" w:after="60"/>
    </w:pPr>
    <w:rPr>
      <w:rFonts w:ascii="Garamond" w:hAnsi="Garamond"/>
      <w:sz w:val="18"/>
      <w:lang w:eastAsia="en-NZ"/>
    </w:rPr>
  </w:style>
  <w:style w:type="character" w:customStyle="1" w:styleId="st1">
    <w:name w:val="st1"/>
    <w:basedOn w:val="DefaultParagraphFont"/>
    <w:rsid w:val="00F878DC"/>
  </w:style>
  <w:style w:type="character" w:customStyle="1" w:styleId="A16">
    <w:name w:val="A16"/>
    <w:uiPriority w:val="99"/>
    <w:rsid w:val="00441ABF"/>
    <w:rPr>
      <w:rFonts w:cs="Gotham Rounded Book"/>
      <w:i/>
      <w:iCs/>
      <w:color w:val="000000"/>
      <w:sz w:val="12"/>
      <w:szCs w:val="12"/>
    </w:rPr>
  </w:style>
  <w:style w:type="paragraph" w:customStyle="1" w:styleId="Tableheading">
    <w:name w:val="Table heading"/>
    <w:basedOn w:val="Normal"/>
    <w:qFormat/>
    <w:rsid w:val="008B271C"/>
    <w:pPr>
      <w:spacing w:before="120" w:after="120"/>
    </w:pPr>
    <w:rPr>
      <w:rFonts w:cs="Arial"/>
      <w:b/>
      <w:sz w:val="20"/>
    </w:rPr>
  </w:style>
  <w:style w:type="paragraph" w:customStyle="1" w:styleId="Imprint">
    <w:name w:val="Imprint"/>
    <w:basedOn w:val="Normal"/>
    <w:next w:val="Normal"/>
    <w:qFormat/>
    <w:rsid w:val="00920AF6"/>
    <w:pPr>
      <w:spacing w:before="0" w:after="240" w:line="276" w:lineRule="auto"/>
      <w:ind w:left="0"/>
      <w:jc w:val="center"/>
    </w:pPr>
    <w:rPr>
      <w:sz w:val="20"/>
      <w:szCs w:val="20"/>
    </w:rPr>
  </w:style>
  <w:style w:type="paragraph" w:customStyle="1" w:styleId="References">
    <w:name w:val="References"/>
    <w:basedOn w:val="Normal"/>
    <w:qFormat/>
    <w:rsid w:val="00920AF6"/>
    <w:pPr>
      <w:spacing w:before="120" w:line="276" w:lineRule="auto"/>
      <w:ind w:left="0"/>
    </w:pPr>
    <w:rPr>
      <w:sz w:val="20"/>
      <w:szCs w:val="20"/>
    </w:rPr>
  </w:style>
  <w:style w:type="paragraph" w:customStyle="1" w:styleId="Body">
    <w:name w:val="Body"/>
    <w:rsid w:val="00D63E90"/>
    <w:rPr>
      <w:rFonts w:ascii="Helvetica" w:eastAsia="Arial Unicode MS" w:hAnsi="Arial Unicode MS" w:cs="Arial Unicode MS"/>
      <w:color w:val="000000"/>
      <w:sz w:val="22"/>
      <w:szCs w:val="22"/>
      <w:lang w:val="en-US"/>
    </w:rPr>
  </w:style>
  <w:style w:type="character" w:styleId="EndnoteReference">
    <w:name w:val="endnote reference"/>
    <w:basedOn w:val="DefaultParagraphFont"/>
    <w:uiPriority w:val="99"/>
    <w:semiHidden/>
    <w:unhideWhenUsed/>
    <w:rsid w:val="00697D47"/>
    <w:rPr>
      <w:vertAlign w:val="superscript"/>
    </w:rPr>
  </w:style>
  <w:style w:type="paragraph" w:customStyle="1" w:styleId="NumtextIndent1">
    <w:name w:val="Num text:  Indent 1"/>
    <w:basedOn w:val="Normal"/>
    <w:rsid w:val="007C3D83"/>
    <w:pPr>
      <w:numPr>
        <w:numId w:val="32"/>
      </w:numPr>
      <w:spacing w:before="0" w:after="170" w:line="260" w:lineRule="atLeast"/>
      <w:ind w:left="425"/>
    </w:pPr>
    <w:rPr>
      <w:rFonts w:ascii="Garamond" w:hAnsi="Garamond"/>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160"/>
    <w:pPr>
      <w:spacing w:before="240"/>
      <w:ind w:left="709"/>
    </w:pPr>
    <w:rPr>
      <w:rFonts w:ascii="Arial" w:hAnsi="Arial"/>
      <w:sz w:val="22"/>
      <w:szCs w:val="22"/>
      <w:lang w:eastAsia="en-GB"/>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qFormat/>
    <w:rsid w:val="000032F0"/>
    <w:pPr>
      <w:spacing w:before="0" w:after="360"/>
      <w:ind w:left="0"/>
      <w:jc w:val="center"/>
      <w:outlineLvl w:val="0"/>
    </w:pPr>
    <w:rPr>
      <w:b/>
      <w:sz w:val="36"/>
      <w:szCs w:val="36"/>
    </w:rPr>
  </w:style>
  <w:style w:type="paragraph" w:styleId="Heading2">
    <w:name w:val="heading 2"/>
    <w:basedOn w:val="Normal"/>
    <w:next w:val="Normal"/>
    <w:link w:val="Heading2Char1"/>
    <w:qFormat/>
    <w:rsid w:val="002F237A"/>
    <w:pPr>
      <w:keepNext/>
      <w:spacing w:before="720" w:after="120"/>
      <w:ind w:hanging="709"/>
      <w:outlineLvl w:val="1"/>
    </w:pPr>
    <w:rPr>
      <w:b/>
      <w:sz w:val="28"/>
      <w:szCs w:val="28"/>
    </w:rPr>
  </w:style>
  <w:style w:type="paragraph" w:styleId="Heading3">
    <w:name w:val="heading 3"/>
    <w:basedOn w:val="Normal"/>
    <w:next w:val="Normal"/>
    <w:link w:val="Heading3Char"/>
    <w:uiPriority w:val="99"/>
    <w:qFormat/>
    <w:rsid w:val="00B25787"/>
    <w:pPr>
      <w:keepNext/>
      <w:spacing w:before="360" w:after="240"/>
      <w:ind w:left="567" w:hanging="567"/>
      <w:outlineLvl w:val="2"/>
    </w:pPr>
    <w:rPr>
      <w:b/>
      <w:i/>
      <w:sz w:val="24"/>
      <w:szCs w:val="24"/>
    </w:rPr>
  </w:style>
  <w:style w:type="paragraph" w:styleId="Heading4">
    <w:name w:val="heading 4"/>
    <w:aliases w:val="List of figures"/>
    <w:basedOn w:val="Normal"/>
    <w:next w:val="Normal"/>
    <w:link w:val="Heading4Char"/>
    <w:qFormat/>
    <w:pPr>
      <w:keepNext/>
      <w:spacing w:after="240"/>
      <w:outlineLvl w:val="3"/>
    </w:pPr>
    <w:rPr>
      <w:b/>
    </w:rPr>
  </w:style>
  <w:style w:type="paragraph" w:styleId="Heading5">
    <w:name w:val="heading 5"/>
    <w:basedOn w:val="Normal"/>
    <w:next w:val="Normal"/>
    <w:link w:val="Heading5Char"/>
    <w:qFormat/>
    <w:pPr>
      <w:keepNext/>
      <w:spacing w:before="120" w:after="120"/>
      <w:outlineLvl w:val="4"/>
    </w:pPr>
    <w:rPr>
      <w:b/>
      <w:i/>
    </w:rPr>
  </w:style>
  <w:style w:type="paragraph" w:styleId="Heading6">
    <w:name w:val="heading 6"/>
    <w:basedOn w:val="Normal"/>
    <w:next w:val="Normal"/>
    <w:qFormat/>
    <w:pPr>
      <w:spacing w:before="120" w:after="120"/>
      <w:outlineLvl w:val="5"/>
    </w:pPr>
  </w:style>
  <w:style w:type="paragraph" w:styleId="Heading7">
    <w:name w:val="heading 7"/>
    <w:basedOn w:val="Normal"/>
    <w:next w:val="Normal"/>
    <w:qFormat/>
    <w:pPr>
      <w:numPr>
        <w:ilvl w:val="6"/>
        <w:numId w:val="1"/>
      </w:numPr>
      <w:spacing w:after="60"/>
      <w:outlineLvl w:val="6"/>
    </w:pPr>
    <w:rPr>
      <w:sz w:val="20"/>
      <w:lang w:val="en-AU"/>
    </w:rPr>
  </w:style>
  <w:style w:type="paragraph" w:styleId="Heading8">
    <w:name w:val="heading 8"/>
    <w:basedOn w:val="Normal"/>
    <w:next w:val="Normal"/>
    <w:qFormat/>
    <w:pPr>
      <w:numPr>
        <w:ilvl w:val="7"/>
        <w:numId w:val="1"/>
      </w:numPr>
      <w:spacing w:after="60"/>
      <w:outlineLvl w:val="7"/>
    </w:pPr>
    <w:rPr>
      <w:i/>
      <w:sz w:val="20"/>
      <w:lang w:val="en-AU"/>
    </w:rPr>
  </w:style>
  <w:style w:type="paragraph" w:styleId="Heading9">
    <w:name w:val="heading 9"/>
    <w:basedOn w:val="Normal"/>
    <w:next w:val="Normal"/>
    <w:qFormat/>
    <w:pPr>
      <w:numPr>
        <w:ilvl w:val="8"/>
        <w:numId w:val="1"/>
      </w:numPr>
      <w:spacing w:after="60"/>
      <w:outlineLvl w:val="8"/>
    </w:pPr>
    <w:rPr>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rsid w:val="00DC7B0F"/>
    <w:pPr>
      <w:numPr>
        <w:numId w:val="4"/>
      </w:numPr>
      <w:tabs>
        <w:tab w:val="left" w:pos="1843"/>
      </w:tabs>
      <w:spacing w:before="60"/>
    </w:pPr>
  </w:style>
  <w:style w:type="paragraph" w:customStyle="1" w:styleId="Bullet">
    <w:name w:val="Bullet"/>
    <w:basedOn w:val="Normal"/>
    <w:link w:val="BulletChar"/>
    <w:uiPriority w:val="99"/>
    <w:rsid w:val="00BB40FC"/>
    <w:pPr>
      <w:numPr>
        <w:numId w:val="5"/>
      </w:numPr>
      <w:tabs>
        <w:tab w:val="left" w:pos="1276"/>
      </w:tabs>
      <w:spacing w:before="120"/>
    </w:pPr>
  </w:style>
  <w:style w:type="paragraph" w:styleId="Quote">
    <w:name w:val="Quote"/>
    <w:basedOn w:val="Normal"/>
    <w:next w:val="Normal"/>
    <w:link w:val="QuoteChar"/>
    <w:qFormat/>
    <w:rsid w:val="00B671AB"/>
    <w:pPr>
      <w:spacing w:before="120"/>
      <w:ind w:left="1134" w:right="567"/>
    </w:pPr>
    <w:rPr>
      <w:i/>
    </w:rPr>
  </w:style>
  <w:style w:type="paragraph" w:styleId="TOC1">
    <w:name w:val="toc 1"/>
    <w:basedOn w:val="Normal"/>
    <w:next w:val="Normal"/>
    <w:uiPriority w:val="39"/>
    <w:rsid w:val="00C75AE2"/>
    <w:pPr>
      <w:tabs>
        <w:tab w:val="right" w:pos="5103"/>
      </w:tabs>
      <w:spacing w:before="300"/>
      <w:ind w:left="0" w:right="5103"/>
    </w:pPr>
  </w:style>
  <w:style w:type="paragraph" w:styleId="TOC2">
    <w:name w:val="toc 2"/>
    <w:basedOn w:val="Normal"/>
    <w:next w:val="Normal"/>
    <w:uiPriority w:val="39"/>
    <w:rsid w:val="00A44D12"/>
    <w:pPr>
      <w:tabs>
        <w:tab w:val="right" w:pos="5103"/>
      </w:tabs>
      <w:spacing w:before="60"/>
      <w:ind w:right="5103"/>
    </w:pPr>
    <w:rPr>
      <w:sz w:val="20"/>
    </w:rPr>
  </w:style>
  <w:style w:type="paragraph" w:styleId="FootnoteText">
    <w:name w:val="footnote text"/>
    <w:aliases w:val="Footnote Text Char Char"/>
    <w:basedOn w:val="Normal"/>
    <w:link w:val="FootnoteTextChar"/>
    <w:pPr>
      <w:spacing w:before="120"/>
      <w:ind w:left="284" w:hanging="284"/>
    </w:pPr>
    <w:rPr>
      <w:sz w:val="16"/>
    </w:rPr>
  </w:style>
  <w:style w:type="character" w:styleId="PageNumber">
    <w:name w:val="page number"/>
    <w:basedOn w:val="DefaultParagraphFont"/>
    <w:rsid w:val="00C11C5B"/>
    <w:rPr>
      <w:rFonts w:ascii="Arial" w:hAnsi="Arial"/>
      <w:b/>
      <w:spacing w:val="0"/>
      <w:kern w:val="0"/>
      <w:position w:val="0"/>
      <w:sz w:val="24"/>
      <w:szCs w:val="24"/>
    </w:rPr>
  </w:style>
  <w:style w:type="paragraph" w:customStyle="1" w:styleId="Table">
    <w:name w:val="Table"/>
    <w:basedOn w:val="Figure"/>
    <w:next w:val="Normal"/>
    <w:rsid w:val="002A084C"/>
    <w:pPr>
      <w:spacing w:before="80" w:after="80"/>
      <w:ind w:left="737" w:firstLine="0"/>
    </w:pPr>
  </w:style>
  <w:style w:type="paragraph" w:styleId="Footer">
    <w:name w:val="footer"/>
    <w:basedOn w:val="Normal"/>
    <w:link w:val="FooterChar"/>
    <w:uiPriority w:val="99"/>
    <w:rsid w:val="000032F0"/>
    <w:pPr>
      <w:spacing w:before="0"/>
      <w:ind w:left="0"/>
    </w:pPr>
    <w:rPr>
      <w:spacing w:val="40"/>
      <w:sz w:val="16"/>
      <w:szCs w:val="16"/>
    </w:rPr>
  </w:style>
  <w:style w:type="paragraph" w:styleId="Header">
    <w:name w:val="header"/>
    <w:basedOn w:val="Normal"/>
    <w:link w:val="HeaderChar"/>
    <w:uiPriority w:val="99"/>
    <w:rsid w:val="000032F0"/>
    <w:pPr>
      <w:spacing w:before="0"/>
      <w:ind w:left="0"/>
      <w:jc w:val="center"/>
    </w:pPr>
    <w:rPr>
      <w:smallCaps/>
      <w:spacing w:val="40"/>
      <w:sz w:val="16"/>
      <w:szCs w:val="16"/>
    </w:rPr>
  </w:style>
  <w:style w:type="paragraph" w:customStyle="1" w:styleId="Heading">
    <w:name w:val="Heading"/>
    <w:basedOn w:val="Heading1"/>
    <w:next w:val="Normal"/>
    <w:rsid w:val="00B25787"/>
    <w:pPr>
      <w:jc w:val="left"/>
    </w:pPr>
    <w:rPr>
      <w:sz w:val="28"/>
      <w:szCs w:val="28"/>
    </w:rPr>
  </w:style>
  <w:style w:type="character" w:styleId="Hyperlink">
    <w:name w:val="Hyperlink"/>
    <w:basedOn w:val="DefaultParagraphFont"/>
    <w:uiPriority w:val="99"/>
    <w:rPr>
      <w:color w:val="0000FF"/>
      <w:u w:val="single"/>
    </w:rPr>
  </w:style>
  <w:style w:type="paragraph" w:styleId="TOC3">
    <w:name w:val="toc 3"/>
    <w:basedOn w:val="Normal"/>
    <w:next w:val="Normal"/>
    <w:autoRedefine/>
    <w:uiPriority w:val="39"/>
    <w:pPr>
      <w:tabs>
        <w:tab w:val="right" w:pos="8222"/>
      </w:tabs>
      <w:spacing w:before="120"/>
      <w:ind w:left="567" w:right="851" w:hanging="567"/>
    </w:pPr>
    <w:rPr>
      <w:sz w:val="18"/>
    </w:rPr>
  </w:style>
  <w:style w:type="character" w:styleId="FootnoteReference">
    <w:name w:val="footnote reference"/>
    <w:basedOn w:val="DefaultParagraphFont"/>
    <w:rPr>
      <w:vertAlign w:val="superscript"/>
    </w:rPr>
  </w:style>
  <w:style w:type="paragraph" w:customStyle="1" w:styleId="TableText">
    <w:name w:val="TableText"/>
    <w:basedOn w:val="Normal"/>
    <w:rsid w:val="0021521A"/>
    <w:pPr>
      <w:spacing w:before="80" w:after="80"/>
      <w:ind w:left="0"/>
    </w:pPr>
    <w:rPr>
      <w:sz w:val="20"/>
      <w:szCs w:val="20"/>
    </w:rPr>
  </w:style>
  <w:style w:type="paragraph" w:customStyle="1" w:styleId="ClientName">
    <w:name w:val="Client Name"/>
    <w:basedOn w:val="Normal"/>
    <w:rsid w:val="00A92022"/>
    <w:pPr>
      <w:spacing w:before="0" w:after="3000"/>
      <w:ind w:left="0"/>
      <w:jc w:val="center"/>
    </w:pPr>
    <w:rPr>
      <w:sz w:val="36"/>
      <w:szCs w:val="36"/>
    </w:rPr>
  </w:style>
  <w:style w:type="paragraph" w:styleId="Title">
    <w:name w:val="Title"/>
    <w:basedOn w:val="Normal"/>
    <w:qFormat/>
    <w:rsid w:val="00C75AE2"/>
    <w:pPr>
      <w:pBdr>
        <w:top w:val="single" w:sz="4" w:space="31" w:color="C0C0C0"/>
        <w:left w:val="single" w:sz="4" w:space="12" w:color="C0C0C0"/>
        <w:bottom w:val="single" w:sz="4" w:space="31" w:color="C0C0C0"/>
        <w:right w:val="single" w:sz="4" w:space="12" w:color="C0C0C0"/>
      </w:pBdr>
      <w:shd w:val="clear" w:color="auto" w:fill="FFFFFF"/>
      <w:spacing w:before="0" w:after="2000"/>
      <w:ind w:left="1985" w:right="1985"/>
      <w:jc w:val="center"/>
    </w:pPr>
    <w:rPr>
      <w:b/>
      <w:sz w:val="36"/>
      <w:szCs w:val="36"/>
    </w:rPr>
  </w:style>
  <w:style w:type="paragraph" w:customStyle="1" w:styleId="TableBullet">
    <w:name w:val="TableBullet"/>
    <w:basedOn w:val="TableText"/>
    <w:next w:val="Subtitle"/>
    <w:rsid w:val="00CF2680"/>
    <w:pPr>
      <w:numPr>
        <w:numId w:val="3"/>
      </w:numPr>
      <w:spacing w:before="0"/>
    </w:pPr>
  </w:style>
  <w:style w:type="paragraph" w:styleId="Subtitle">
    <w:name w:val="Subtitle"/>
    <w:basedOn w:val="Normal"/>
    <w:qFormat/>
    <w:rsid w:val="00B25787"/>
    <w:pPr>
      <w:spacing w:before="0" w:after="2000"/>
      <w:ind w:left="0"/>
      <w:outlineLvl w:val="1"/>
    </w:pPr>
    <w:rPr>
      <w:b/>
      <w:sz w:val="36"/>
      <w:szCs w:val="36"/>
    </w:rPr>
  </w:style>
  <w:style w:type="character" w:styleId="FollowedHyperlink">
    <w:name w:val="FollowedHyperlink"/>
    <w:basedOn w:val="DefaultParagraphFont"/>
    <w:rsid w:val="00A848A4"/>
    <w:rPr>
      <w:color w:val="800080"/>
      <w:u w:val="single"/>
    </w:rPr>
  </w:style>
  <w:style w:type="paragraph" w:customStyle="1" w:styleId="Box">
    <w:name w:val="Box"/>
    <w:basedOn w:val="Normal"/>
    <w:rsid w:val="00B671AB"/>
    <w:pPr>
      <w:pBdr>
        <w:top w:val="single" w:sz="4" w:space="12" w:color="auto"/>
        <w:left w:val="single" w:sz="4" w:space="12" w:color="auto"/>
        <w:bottom w:val="single" w:sz="4" w:space="12" w:color="auto"/>
        <w:right w:val="single" w:sz="4" w:space="12" w:color="auto"/>
      </w:pBdr>
      <w:spacing w:before="120"/>
      <w:ind w:left="851" w:right="284"/>
    </w:pPr>
    <w:rPr>
      <w:sz w:val="20"/>
    </w:rPr>
  </w:style>
  <w:style w:type="paragraph" w:customStyle="1" w:styleId="BoxHeading">
    <w:name w:val="BoxHeading"/>
    <w:basedOn w:val="Box"/>
    <w:next w:val="Box"/>
    <w:pPr>
      <w:keepNext/>
    </w:pPr>
    <w:rPr>
      <w:b/>
    </w:rPr>
  </w:style>
  <w:style w:type="paragraph" w:customStyle="1" w:styleId="BoxBullet">
    <w:name w:val="BoxBullet"/>
    <w:basedOn w:val="Box"/>
    <w:rsid w:val="00EA434F"/>
    <w:pPr>
      <w:numPr>
        <w:numId w:val="2"/>
      </w:numPr>
    </w:pPr>
  </w:style>
  <w:style w:type="paragraph" w:customStyle="1" w:styleId="Figure">
    <w:name w:val="Figure"/>
    <w:basedOn w:val="Normal"/>
    <w:next w:val="Normal"/>
    <w:rsid w:val="002F237A"/>
    <w:pPr>
      <w:keepNext/>
      <w:spacing w:after="120"/>
      <w:ind w:left="1701" w:hanging="992"/>
    </w:pPr>
    <w:rPr>
      <w:b/>
      <w:sz w:val="20"/>
    </w:rPr>
  </w:style>
  <w:style w:type="paragraph" w:styleId="BalloonText">
    <w:name w:val="Balloon Text"/>
    <w:basedOn w:val="Normal"/>
    <w:link w:val="BalloonTextChar"/>
    <w:uiPriority w:val="99"/>
    <w:semiHidden/>
    <w:unhideWhenUsed/>
    <w:rsid w:val="00E91A8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A86"/>
    <w:rPr>
      <w:rFonts w:ascii="Tahoma" w:hAnsi="Tahoma" w:cs="Tahoma"/>
      <w:sz w:val="16"/>
      <w:szCs w:val="16"/>
      <w:lang w:eastAsia="en-GB"/>
    </w:rPr>
  </w:style>
  <w:style w:type="character" w:customStyle="1" w:styleId="Heading2Char1">
    <w:name w:val="Heading 2 Char1"/>
    <w:link w:val="Heading2"/>
    <w:rsid w:val="000208A9"/>
    <w:rPr>
      <w:rFonts w:ascii="Arial" w:hAnsi="Arial"/>
      <w:b/>
      <w:sz w:val="28"/>
      <w:szCs w:val="28"/>
      <w:lang w:eastAsia="en-GB"/>
    </w:rPr>
  </w:style>
  <w:style w:type="paragraph" w:styleId="ListParagraph">
    <w:name w:val="List Paragraph"/>
    <w:basedOn w:val="Normal"/>
    <w:uiPriority w:val="34"/>
    <w:qFormat/>
    <w:rsid w:val="000208A9"/>
    <w:pPr>
      <w:ind w:left="720"/>
      <w:contextualSpacing/>
    </w:pPr>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basedOn w:val="DefaultParagraphFont"/>
    <w:link w:val="Heading1"/>
    <w:rsid w:val="00037FE3"/>
    <w:rPr>
      <w:rFonts w:ascii="Arial" w:hAnsi="Arial"/>
      <w:b/>
      <w:sz w:val="36"/>
      <w:szCs w:val="36"/>
      <w:lang w:eastAsia="en-GB"/>
    </w:rPr>
  </w:style>
  <w:style w:type="character" w:customStyle="1" w:styleId="FootnoteTextChar">
    <w:name w:val="Footnote Text Char"/>
    <w:aliases w:val="Footnote Text Char Char Char"/>
    <w:basedOn w:val="DefaultParagraphFont"/>
    <w:link w:val="FootnoteText"/>
    <w:rsid w:val="00037FE3"/>
    <w:rPr>
      <w:rFonts w:ascii="Arial" w:hAnsi="Arial"/>
      <w:sz w:val="16"/>
      <w:szCs w:val="22"/>
      <w:lang w:eastAsia="en-GB"/>
    </w:rPr>
  </w:style>
  <w:style w:type="paragraph" w:customStyle="1" w:styleId="List8">
    <w:name w:val="List 8"/>
    <w:basedOn w:val="Normal"/>
    <w:uiPriority w:val="99"/>
    <w:rsid w:val="00EA55DB"/>
    <w:pPr>
      <w:numPr>
        <w:numId w:val="10"/>
      </w:numPr>
      <w:spacing w:before="0"/>
    </w:pPr>
    <w:rPr>
      <w:rFonts w:ascii="Times New Roman" w:hAnsi="Times New Roman"/>
      <w:sz w:val="20"/>
      <w:szCs w:val="20"/>
      <w:lang w:val="en-AU" w:eastAsia="en-US"/>
    </w:rPr>
  </w:style>
  <w:style w:type="character" w:customStyle="1" w:styleId="BulletChar">
    <w:name w:val="Bullet Char"/>
    <w:link w:val="Bullet"/>
    <w:uiPriority w:val="99"/>
    <w:locked/>
    <w:rsid w:val="00EA55DB"/>
    <w:rPr>
      <w:rFonts w:ascii="Arial" w:hAnsi="Arial"/>
      <w:sz w:val="22"/>
      <w:szCs w:val="22"/>
      <w:lang w:eastAsia="en-GB"/>
    </w:rPr>
  </w:style>
  <w:style w:type="character" w:customStyle="1" w:styleId="Heading2Char">
    <w:name w:val="Heading 2 Char"/>
    <w:basedOn w:val="DefaultParagraphFont"/>
    <w:rsid w:val="00EA55DB"/>
    <w:rPr>
      <w:rFonts w:ascii="Arial" w:hAnsi="Arial"/>
      <w:b/>
      <w:sz w:val="28"/>
      <w:szCs w:val="28"/>
      <w:lang w:eastAsia="en-GB"/>
    </w:rPr>
  </w:style>
  <w:style w:type="character" w:customStyle="1" w:styleId="Heading4Char">
    <w:name w:val="Heading 4 Char"/>
    <w:aliases w:val="List of figures Char"/>
    <w:basedOn w:val="DefaultParagraphFont"/>
    <w:link w:val="Heading4"/>
    <w:uiPriority w:val="9"/>
    <w:rsid w:val="00EA55DB"/>
    <w:rPr>
      <w:rFonts w:ascii="Arial" w:hAnsi="Arial"/>
      <w:b/>
      <w:sz w:val="22"/>
      <w:szCs w:val="22"/>
      <w:lang w:eastAsia="en-GB"/>
    </w:rPr>
  </w:style>
  <w:style w:type="table" w:styleId="MediumShading1-Accent3">
    <w:name w:val="Medium Shading 1 Accent 3"/>
    <w:basedOn w:val="TableNormal"/>
    <w:uiPriority w:val="63"/>
    <w:rsid w:val="00EA55D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efault">
    <w:name w:val="Default"/>
    <w:rsid w:val="00935E9F"/>
    <w:pPr>
      <w:autoSpaceDE w:val="0"/>
      <w:autoSpaceDN w:val="0"/>
      <w:adjustRightInd w:val="0"/>
    </w:pPr>
    <w:rPr>
      <w:rFonts w:ascii="Garamond" w:hAnsi="Garamond" w:cs="Garamond"/>
      <w:color w:val="000000"/>
      <w:sz w:val="24"/>
      <w:szCs w:val="24"/>
    </w:rPr>
  </w:style>
  <w:style w:type="character" w:customStyle="1" w:styleId="FootnoteCharacters">
    <w:name w:val="Footnote Characters"/>
    <w:rsid w:val="004D1220"/>
    <w:rPr>
      <w:vertAlign w:val="superscript"/>
    </w:rPr>
  </w:style>
  <w:style w:type="character" w:customStyle="1" w:styleId="st">
    <w:name w:val="st"/>
    <w:basedOn w:val="DefaultParagraphFont"/>
    <w:rsid w:val="003A598E"/>
  </w:style>
  <w:style w:type="character" w:customStyle="1" w:styleId="Heading3Char">
    <w:name w:val="Heading 3 Char"/>
    <w:basedOn w:val="DefaultParagraphFont"/>
    <w:link w:val="Heading3"/>
    <w:uiPriority w:val="99"/>
    <w:rsid w:val="00584232"/>
    <w:rPr>
      <w:rFonts w:ascii="Arial" w:hAnsi="Arial"/>
      <w:b/>
      <w:i/>
      <w:sz w:val="24"/>
      <w:szCs w:val="24"/>
      <w:lang w:eastAsia="en-GB"/>
    </w:rPr>
  </w:style>
  <w:style w:type="character" w:customStyle="1" w:styleId="QuoteChar">
    <w:name w:val="Quote Char"/>
    <w:basedOn w:val="DefaultParagraphFont"/>
    <w:link w:val="Quote"/>
    <w:rsid w:val="00584232"/>
    <w:rPr>
      <w:rFonts w:ascii="Arial" w:hAnsi="Arial"/>
      <w:i/>
      <w:sz w:val="22"/>
      <w:szCs w:val="22"/>
      <w:lang w:eastAsia="en-GB"/>
    </w:rPr>
  </w:style>
  <w:style w:type="paragraph" w:styleId="Caption">
    <w:name w:val="caption"/>
    <w:basedOn w:val="Normal"/>
    <w:unhideWhenUsed/>
    <w:qFormat/>
    <w:rsid w:val="00C53507"/>
    <w:pPr>
      <w:keepNext/>
      <w:spacing w:before="0" w:after="170" w:line="260" w:lineRule="atLeast"/>
      <w:ind w:left="0"/>
    </w:pPr>
    <w:rPr>
      <w:rFonts w:ascii="Garamond" w:eastAsiaTheme="minorHAnsi" w:hAnsi="Garamond"/>
      <w:b/>
      <w:bCs/>
      <w:lang w:eastAsia="en-NZ"/>
    </w:rPr>
  </w:style>
  <w:style w:type="paragraph" w:customStyle="1" w:styleId="Table-headingrow1">
    <w:name w:val="Table - heading (row 1)"/>
    <w:basedOn w:val="Normal"/>
    <w:rsid w:val="00C53507"/>
    <w:pPr>
      <w:spacing w:before="0" w:line="260" w:lineRule="atLeast"/>
      <w:ind w:left="0"/>
    </w:pPr>
    <w:rPr>
      <w:rFonts w:ascii="Garamond" w:eastAsiaTheme="minorHAnsi" w:hAnsi="Garamond"/>
      <w:b/>
      <w:bCs/>
      <w:color w:val="FFFFFF"/>
      <w:sz w:val="20"/>
      <w:szCs w:val="20"/>
      <w:lang w:eastAsia="en-NZ"/>
    </w:rPr>
  </w:style>
  <w:style w:type="paragraph" w:customStyle="1" w:styleId="Table-bodytext">
    <w:name w:val="Table - body text"/>
    <w:basedOn w:val="Normal"/>
    <w:rsid w:val="00C53507"/>
    <w:pPr>
      <w:spacing w:before="0" w:after="120" w:line="190" w:lineRule="atLeast"/>
      <w:ind w:left="0"/>
    </w:pPr>
    <w:rPr>
      <w:rFonts w:ascii="Garamond" w:eastAsiaTheme="minorHAnsi" w:hAnsi="Garamond"/>
      <w:sz w:val="20"/>
      <w:szCs w:val="20"/>
      <w:lang w:eastAsia="en-NZ"/>
    </w:rPr>
  </w:style>
  <w:style w:type="paragraph" w:customStyle="1" w:styleId="bullet0">
    <w:name w:val="bullet0"/>
    <w:basedOn w:val="Normal"/>
    <w:uiPriority w:val="99"/>
    <w:rsid w:val="00406DC9"/>
    <w:pPr>
      <w:spacing w:before="120"/>
      <w:ind w:left="1134" w:hanging="567"/>
    </w:pPr>
    <w:rPr>
      <w:rFonts w:eastAsiaTheme="minorHAnsi" w:cs="Arial"/>
      <w:lang w:eastAsia="en-NZ"/>
    </w:rPr>
  </w:style>
  <w:style w:type="paragraph" w:customStyle="1" w:styleId="Figureheading">
    <w:name w:val="Figure heading"/>
    <w:basedOn w:val="Normal"/>
    <w:qFormat/>
    <w:rsid w:val="00A915CD"/>
    <w:pPr>
      <w:keepNext/>
      <w:spacing w:before="120" w:after="120"/>
      <w:ind w:right="1418"/>
    </w:pPr>
    <w:rPr>
      <w:rFonts w:cs="Arial"/>
      <w:b/>
      <w:sz w:val="20"/>
      <w:lang w:eastAsia="en-NZ"/>
    </w:rPr>
  </w:style>
  <w:style w:type="table" w:styleId="LightList-Accent3">
    <w:name w:val="Light List Accent 3"/>
    <w:basedOn w:val="TableNormal"/>
    <w:uiPriority w:val="61"/>
    <w:rsid w:val="00441FB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FD0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D001C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FooterChar">
    <w:name w:val="Footer Char"/>
    <w:basedOn w:val="DefaultParagraphFont"/>
    <w:link w:val="Footer"/>
    <w:uiPriority w:val="99"/>
    <w:rsid w:val="006A4CE0"/>
    <w:rPr>
      <w:rFonts w:ascii="Arial" w:hAnsi="Arial"/>
      <w:spacing w:val="40"/>
      <w:sz w:val="16"/>
      <w:szCs w:val="16"/>
      <w:lang w:eastAsia="en-GB"/>
    </w:rPr>
  </w:style>
  <w:style w:type="character" w:customStyle="1" w:styleId="HeaderChar">
    <w:name w:val="Header Char"/>
    <w:basedOn w:val="DefaultParagraphFont"/>
    <w:link w:val="Header"/>
    <w:uiPriority w:val="99"/>
    <w:rsid w:val="006A4CE0"/>
    <w:rPr>
      <w:rFonts w:ascii="Arial" w:hAnsi="Arial"/>
      <w:smallCaps/>
      <w:spacing w:val="40"/>
      <w:sz w:val="16"/>
      <w:szCs w:val="16"/>
      <w:lang w:eastAsia="en-GB"/>
    </w:rPr>
  </w:style>
  <w:style w:type="paragraph" w:customStyle="1" w:styleId="HeadingTHree">
    <w:name w:val="Heading THree"/>
    <w:basedOn w:val="Heading2"/>
    <w:rsid w:val="006A4CE0"/>
    <w:pPr>
      <w:tabs>
        <w:tab w:val="num" w:pos="2157"/>
      </w:tabs>
      <w:spacing w:before="360" w:line="300" w:lineRule="exact"/>
      <w:ind w:left="1581" w:hanging="504"/>
    </w:pPr>
    <w:rPr>
      <w:lang w:val="x-none"/>
    </w:rPr>
  </w:style>
  <w:style w:type="paragraph" w:customStyle="1" w:styleId="Style1">
    <w:name w:val="Style1"/>
    <w:basedOn w:val="Normal"/>
    <w:rsid w:val="0056762E"/>
    <w:pPr>
      <w:shd w:val="clear" w:color="auto" w:fill="B6DDE8" w:themeFill="accent5" w:themeFillTint="66"/>
      <w:spacing w:before="0" w:after="200" w:line="276" w:lineRule="auto"/>
      <w:ind w:left="0"/>
    </w:pPr>
    <w:rPr>
      <w:rFonts w:ascii="Garamond" w:eastAsiaTheme="minorHAnsi" w:hAnsi="Garamond" w:cstheme="minorBidi"/>
      <w:sz w:val="26"/>
      <w:szCs w:val="26"/>
      <w:u w:val="single"/>
      <w:lang w:eastAsia="en-US"/>
    </w:rPr>
  </w:style>
  <w:style w:type="paragraph" w:customStyle="1" w:styleId="CPHRHeadings2b">
    <w:name w:val="CPHR Headings 2b"/>
    <w:basedOn w:val="Style1"/>
    <w:qFormat/>
    <w:rsid w:val="0056762E"/>
    <w:pPr>
      <w:shd w:val="clear" w:color="auto" w:fill="BFBFBF" w:themeFill="background1" w:themeFillShade="BF"/>
    </w:pPr>
    <w:rPr>
      <w:i/>
      <w:u w:val="none"/>
    </w:rPr>
  </w:style>
  <w:style w:type="paragraph" w:customStyle="1" w:styleId="CPHRHeadings1">
    <w:name w:val="CPHR Headings 1"/>
    <w:basedOn w:val="Normal"/>
    <w:autoRedefine/>
    <w:qFormat/>
    <w:rsid w:val="0056762E"/>
    <w:pPr>
      <w:shd w:val="clear" w:color="auto" w:fill="F7F5EB"/>
      <w:spacing w:before="0" w:after="200" w:line="276" w:lineRule="auto"/>
      <w:ind w:left="0"/>
    </w:pPr>
    <w:rPr>
      <w:rFonts w:ascii="Garamond" w:eastAsiaTheme="minorHAnsi" w:hAnsi="Garamond" w:cstheme="minorBidi"/>
      <w:b/>
      <w:sz w:val="28"/>
      <w:szCs w:val="26"/>
      <w:lang w:eastAsia="en-NZ"/>
    </w:rPr>
  </w:style>
  <w:style w:type="paragraph" w:customStyle="1" w:styleId="CPHRHeadings2">
    <w:name w:val="CPHR Headings 2"/>
    <w:basedOn w:val="Style3"/>
    <w:qFormat/>
    <w:rsid w:val="0056762E"/>
    <w:pPr>
      <w:shd w:val="clear" w:color="auto" w:fill="00BABF"/>
    </w:pPr>
    <w:rPr>
      <w:b/>
    </w:rPr>
  </w:style>
  <w:style w:type="paragraph" w:customStyle="1" w:styleId="Style3">
    <w:name w:val="Style3"/>
    <w:basedOn w:val="CPHRHeadings2b"/>
    <w:rsid w:val="0056762E"/>
  </w:style>
  <w:style w:type="paragraph" w:customStyle="1" w:styleId="Style4">
    <w:name w:val="Style4"/>
    <w:basedOn w:val="CPHRHeadings2b"/>
    <w:rsid w:val="0056762E"/>
  </w:style>
  <w:style w:type="paragraph" w:customStyle="1" w:styleId="CPHRHeadings2c">
    <w:name w:val="CPHR Headings 2c"/>
    <w:basedOn w:val="CPHRHeadings2"/>
    <w:qFormat/>
    <w:rsid w:val="0056762E"/>
    <w:pPr>
      <w:shd w:val="clear" w:color="auto" w:fill="F7F5EB"/>
      <w:ind w:left="1440"/>
    </w:pPr>
    <w:rPr>
      <w:b w:val="0"/>
    </w:rPr>
  </w:style>
  <w:style w:type="paragraph" w:styleId="Bibliography">
    <w:name w:val="Bibliography"/>
    <w:basedOn w:val="Normal"/>
    <w:next w:val="Normal"/>
    <w:uiPriority w:val="37"/>
    <w:unhideWhenUsed/>
    <w:rsid w:val="0056762E"/>
    <w:pPr>
      <w:spacing w:before="0" w:after="200" w:line="276" w:lineRule="auto"/>
      <w:ind w:left="0"/>
    </w:pPr>
    <w:rPr>
      <w:rFonts w:asciiTheme="minorHAnsi" w:eastAsiaTheme="minorHAnsi" w:hAnsiTheme="minorHAnsi" w:cstheme="minorBidi"/>
      <w:lang w:eastAsia="en-US"/>
    </w:rPr>
  </w:style>
  <w:style w:type="character" w:styleId="PlaceholderText">
    <w:name w:val="Placeholder Text"/>
    <w:basedOn w:val="DefaultParagraphFont"/>
    <w:uiPriority w:val="99"/>
    <w:semiHidden/>
    <w:rsid w:val="0056762E"/>
    <w:rPr>
      <w:color w:val="808080"/>
    </w:rPr>
  </w:style>
  <w:style w:type="character" w:customStyle="1" w:styleId="pop-slug-vol">
    <w:name w:val="pop-slug-vol"/>
    <w:basedOn w:val="DefaultParagraphFont"/>
    <w:rsid w:val="0056762E"/>
  </w:style>
  <w:style w:type="character" w:customStyle="1" w:styleId="slug-doi">
    <w:name w:val="slug-doi"/>
    <w:basedOn w:val="DefaultParagraphFont"/>
    <w:rsid w:val="0056762E"/>
  </w:style>
  <w:style w:type="paragraph" w:styleId="TOCHeading">
    <w:name w:val="TOC Heading"/>
    <w:basedOn w:val="Heading1"/>
    <w:next w:val="Normal"/>
    <w:uiPriority w:val="39"/>
    <w:unhideWhenUsed/>
    <w:qFormat/>
    <w:rsid w:val="0056762E"/>
    <w:pPr>
      <w:keepNext/>
      <w:keepLines/>
      <w:spacing w:before="480" w:after="0" w:line="276" w:lineRule="auto"/>
      <w:jc w:val="left"/>
      <w:outlineLvl w:val="9"/>
    </w:pPr>
    <w:rPr>
      <w:rFonts w:eastAsiaTheme="majorEastAsia" w:cstheme="majorBidi"/>
      <w:bCs/>
      <w:color w:val="000000" w:themeColor="text1"/>
      <w:sz w:val="28"/>
      <w:szCs w:val="28"/>
      <w:lang w:val="en-US" w:eastAsia="ja-JP"/>
    </w:rPr>
  </w:style>
  <w:style w:type="paragraph" w:styleId="NormalWeb">
    <w:name w:val="Normal (Web)"/>
    <w:basedOn w:val="Normal"/>
    <w:uiPriority w:val="99"/>
    <w:semiHidden/>
    <w:unhideWhenUsed/>
    <w:rsid w:val="0056762E"/>
    <w:pPr>
      <w:spacing w:before="100" w:beforeAutospacing="1" w:after="100" w:afterAutospacing="1"/>
      <w:ind w:left="0"/>
    </w:pPr>
    <w:rPr>
      <w:rFonts w:ascii="Times New Roman" w:eastAsiaTheme="minorEastAsia" w:hAnsi="Times New Roman"/>
      <w:sz w:val="24"/>
      <w:szCs w:val="24"/>
      <w:lang w:eastAsia="en-NZ"/>
    </w:rPr>
  </w:style>
  <w:style w:type="paragraph" w:styleId="TableofFigures">
    <w:name w:val="table of figures"/>
    <w:basedOn w:val="Normal"/>
    <w:next w:val="Normal"/>
    <w:uiPriority w:val="99"/>
    <w:unhideWhenUsed/>
    <w:rsid w:val="0056762E"/>
    <w:pPr>
      <w:spacing w:before="0" w:line="276" w:lineRule="auto"/>
      <w:ind w:left="0"/>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56762E"/>
    <w:rPr>
      <w:sz w:val="16"/>
      <w:szCs w:val="16"/>
    </w:rPr>
  </w:style>
  <w:style w:type="paragraph" w:styleId="CommentText">
    <w:name w:val="annotation text"/>
    <w:basedOn w:val="Normal"/>
    <w:link w:val="CommentTextChar"/>
    <w:uiPriority w:val="99"/>
    <w:unhideWhenUsed/>
    <w:rsid w:val="0056762E"/>
    <w:pPr>
      <w:spacing w:before="0" w:after="200"/>
      <w:ind w:left="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56762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56762E"/>
    <w:rPr>
      <w:b/>
      <w:bCs/>
    </w:rPr>
  </w:style>
  <w:style w:type="character" w:customStyle="1" w:styleId="CommentSubjectChar">
    <w:name w:val="Comment Subject Char"/>
    <w:basedOn w:val="CommentTextChar"/>
    <w:link w:val="CommentSubject"/>
    <w:uiPriority w:val="99"/>
    <w:semiHidden/>
    <w:rsid w:val="0056762E"/>
    <w:rPr>
      <w:rFonts w:asciiTheme="minorHAnsi" w:eastAsiaTheme="minorHAnsi" w:hAnsiTheme="minorHAnsi" w:cstheme="minorBidi"/>
      <w:b/>
      <w:bCs/>
      <w:lang w:eastAsia="en-US"/>
    </w:rPr>
  </w:style>
  <w:style w:type="paragraph" w:styleId="Revision">
    <w:name w:val="Revision"/>
    <w:hidden/>
    <w:uiPriority w:val="99"/>
    <w:semiHidden/>
    <w:rsid w:val="0056762E"/>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46313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DD5CEB"/>
    <w:rPr>
      <w:rFonts w:ascii="Arial" w:hAnsi="Arial"/>
      <w:b/>
      <w:i/>
      <w:sz w:val="22"/>
      <w:szCs w:val="22"/>
      <w:lang w:eastAsia="en-GB"/>
    </w:rPr>
  </w:style>
  <w:style w:type="table" w:customStyle="1" w:styleId="TableSapereGrid">
    <w:name w:val="Table Sapere Grid"/>
    <w:basedOn w:val="TableGrid"/>
    <w:rsid w:val="00DD5CEB"/>
    <w:rPr>
      <w:lang w:val="en-US"/>
    </w:rPr>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customStyle="1" w:styleId="UnnumtextBodytext">
    <w:name w:val="Unnum text: Body text"/>
    <w:basedOn w:val="Normal"/>
    <w:qFormat/>
    <w:rsid w:val="00D27185"/>
    <w:pPr>
      <w:spacing w:before="0" w:after="170" w:line="260" w:lineRule="atLeast"/>
      <w:ind w:left="0"/>
    </w:pPr>
    <w:rPr>
      <w:rFonts w:ascii="Garamond" w:hAnsi="Garamond"/>
      <w:lang w:eastAsia="en-NZ"/>
    </w:rPr>
  </w:style>
  <w:style w:type="character" w:customStyle="1" w:styleId="UnnumtextBullet2CharChar">
    <w:name w:val="Unnum text: Bullet 2 Char Char"/>
    <w:basedOn w:val="DefaultParagraphFont"/>
    <w:link w:val="UnnumtextBullet2"/>
    <w:uiPriority w:val="99"/>
    <w:rsid w:val="00D27185"/>
    <w:rPr>
      <w:rFonts w:ascii="Garamond" w:hAnsi="Garamond"/>
      <w:sz w:val="22"/>
      <w:szCs w:val="22"/>
      <w:lang w:eastAsia="en-NZ"/>
    </w:rPr>
  </w:style>
  <w:style w:type="paragraph" w:customStyle="1" w:styleId="ListStartNumberedparagraphs">
    <w:name w:val="ListStart Numbered paragraphs"/>
    <w:next w:val="Numberedparagraphs-1"/>
    <w:rsid w:val="00D27185"/>
    <w:pPr>
      <w:keepNext/>
      <w:keepLines/>
      <w:framePr w:wrap="around" w:vAnchor="text" w:hAnchor="text" w:x="-565" w:y="1"/>
      <w:widowControl w:val="0"/>
      <w:numPr>
        <w:numId w:val="18"/>
      </w:numPr>
    </w:pPr>
    <w:rPr>
      <w:rFonts w:ascii="Garamond" w:hAnsi="Garamond"/>
      <w:color w:val="800080"/>
      <w:sz w:val="18"/>
      <w:szCs w:val="22"/>
    </w:rPr>
  </w:style>
  <w:style w:type="paragraph" w:customStyle="1" w:styleId="UnnumtextBullet1">
    <w:name w:val="Unnum text: Bullet 1"/>
    <w:basedOn w:val="Normal"/>
    <w:uiPriority w:val="99"/>
    <w:rsid w:val="00D27185"/>
    <w:pPr>
      <w:numPr>
        <w:numId w:val="17"/>
      </w:numPr>
      <w:spacing w:before="80" w:line="260" w:lineRule="atLeast"/>
    </w:pPr>
    <w:rPr>
      <w:rFonts w:ascii="Garamond" w:hAnsi="Garamond"/>
      <w:lang w:eastAsia="en-US"/>
    </w:rPr>
  </w:style>
  <w:style w:type="paragraph" w:customStyle="1" w:styleId="UnnumtextBullet2">
    <w:name w:val="Unnum text: Bullet 2"/>
    <w:basedOn w:val="Normal"/>
    <w:link w:val="UnnumtextBullet2CharChar"/>
    <w:uiPriority w:val="99"/>
    <w:rsid w:val="00D27185"/>
    <w:pPr>
      <w:numPr>
        <w:ilvl w:val="1"/>
        <w:numId w:val="17"/>
      </w:numPr>
      <w:spacing w:before="80" w:line="260" w:lineRule="atLeast"/>
    </w:pPr>
    <w:rPr>
      <w:rFonts w:ascii="Garamond" w:hAnsi="Garamond"/>
      <w:lang w:eastAsia="en-NZ"/>
    </w:rPr>
  </w:style>
  <w:style w:type="paragraph" w:customStyle="1" w:styleId="UnnumtextBullet3">
    <w:name w:val="Unnum text: Bullet 3"/>
    <w:basedOn w:val="Normal"/>
    <w:uiPriority w:val="99"/>
    <w:rsid w:val="00D27185"/>
    <w:pPr>
      <w:numPr>
        <w:ilvl w:val="2"/>
        <w:numId w:val="17"/>
      </w:numPr>
      <w:spacing w:before="60" w:after="60" w:line="260" w:lineRule="atLeast"/>
    </w:pPr>
    <w:rPr>
      <w:rFonts w:ascii="Garamond" w:hAnsi="Garamond"/>
      <w:lang w:eastAsia="en-NZ"/>
    </w:rPr>
  </w:style>
  <w:style w:type="paragraph" w:customStyle="1" w:styleId="Numberedparagraphs-1">
    <w:name w:val="Numbered paragraphs - 1."/>
    <w:basedOn w:val="Normal"/>
    <w:rsid w:val="00D27185"/>
    <w:pPr>
      <w:numPr>
        <w:ilvl w:val="1"/>
        <w:numId w:val="18"/>
      </w:numPr>
      <w:spacing w:before="60" w:after="120" w:line="190" w:lineRule="atLeast"/>
    </w:pPr>
    <w:rPr>
      <w:rFonts w:ascii="Garamond" w:hAnsi="Garamond"/>
      <w:sz w:val="20"/>
      <w:lang w:eastAsia="en-NZ"/>
    </w:rPr>
  </w:style>
  <w:style w:type="paragraph" w:customStyle="1" w:styleId="Numberedparagraphs-a">
    <w:name w:val="Numbered paragraphs - a)"/>
    <w:basedOn w:val="Normal"/>
    <w:rsid w:val="00D27185"/>
    <w:pPr>
      <w:numPr>
        <w:ilvl w:val="2"/>
        <w:numId w:val="18"/>
      </w:numPr>
      <w:spacing w:before="60" w:after="120" w:line="190" w:lineRule="atLeast"/>
      <w:ind w:left="850" w:hanging="425"/>
    </w:pPr>
    <w:rPr>
      <w:rFonts w:ascii="Garamond" w:hAnsi="Garamond"/>
      <w:sz w:val="20"/>
      <w:lang w:eastAsia="en-NZ"/>
    </w:rPr>
  </w:style>
  <w:style w:type="paragraph" w:customStyle="1" w:styleId="Numberedparagraphs-i">
    <w:name w:val="Numbered paragraphs - i)"/>
    <w:basedOn w:val="Normal"/>
    <w:rsid w:val="00D27185"/>
    <w:pPr>
      <w:numPr>
        <w:ilvl w:val="3"/>
        <w:numId w:val="18"/>
      </w:numPr>
      <w:spacing w:before="60" w:after="120" w:line="190" w:lineRule="atLeast"/>
    </w:pPr>
    <w:rPr>
      <w:rFonts w:ascii="Garamond" w:hAnsi="Garamond"/>
      <w:sz w:val="20"/>
      <w:lang w:eastAsia="en-NZ"/>
    </w:rPr>
  </w:style>
  <w:style w:type="paragraph" w:customStyle="1" w:styleId="Tablebullet1atmargin">
    <w:name w:val="Table bullet 1 (at margin)"/>
    <w:basedOn w:val="Table-bodytext"/>
    <w:rsid w:val="00D27185"/>
    <w:pPr>
      <w:numPr>
        <w:numId w:val="19"/>
      </w:numPr>
      <w:ind w:left="425" w:hanging="425"/>
    </w:pPr>
    <w:rPr>
      <w:rFonts w:eastAsia="Times New Roman"/>
      <w:szCs w:val="22"/>
    </w:rPr>
  </w:style>
  <w:style w:type="paragraph" w:customStyle="1" w:styleId="Tablebullet2atmargin">
    <w:name w:val="Table bullet 2 (at margin)"/>
    <w:basedOn w:val="Table-bodytext"/>
    <w:rsid w:val="00D27185"/>
    <w:pPr>
      <w:numPr>
        <w:ilvl w:val="1"/>
        <w:numId w:val="19"/>
      </w:numPr>
      <w:ind w:left="850"/>
    </w:pPr>
    <w:rPr>
      <w:rFonts w:eastAsia="Times New Roman"/>
      <w:szCs w:val="22"/>
    </w:rPr>
  </w:style>
  <w:style w:type="paragraph" w:customStyle="1" w:styleId="Bulletlevel1">
    <w:name w:val="Bullet level 1"/>
    <w:basedOn w:val="Normal"/>
    <w:qFormat/>
    <w:rsid w:val="00D27185"/>
    <w:pPr>
      <w:numPr>
        <w:numId w:val="20"/>
      </w:numPr>
      <w:spacing w:before="0" w:line="276" w:lineRule="auto"/>
    </w:pPr>
    <w:rPr>
      <w:rFonts w:ascii="Garamond" w:eastAsia="Calibri" w:hAnsi="Garamond"/>
      <w:lang w:val="en-US" w:eastAsia="en-US"/>
    </w:rPr>
  </w:style>
  <w:style w:type="paragraph" w:customStyle="1" w:styleId="EndNoteBibliography">
    <w:name w:val="EndNote Bibliography"/>
    <w:basedOn w:val="Normal"/>
    <w:link w:val="EndNoteBibliographyChar"/>
    <w:rsid w:val="00D27185"/>
    <w:pPr>
      <w:spacing w:before="0"/>
      <w:ind w:left="0"/>
    </w:pPr>
    <w:rPr>
      <w:rFonts w:ascii="Times New Roman" w:hAnsi="Times New Roman"/>
      <w:noProof/>
      <w:sz w:val="24"/>
      <w:szCs w:val="24"/>
      <w:lang w:val="en-GB"/>
    </w:rPr>
  </w:style>
  <w:style w:type="character" w:customStyle="1" w:styleId="EndNoteBibliographyChar">
    <w:name w:val="EndNote Bibliography Char"/>
    <w:basedOn w:val="DefaultParagraphFont"/>
    <w:link w:val="EndNoteBibliography"/>
    <w:rsid w:val="00D27185"/>
    <w:rPr>
      <w:noProof/>
      <w:sz w:val="24"/>
      <w:szCs w:val="24"/>
      <w:lang w:val="en-GB" w:eastAsia="en-GB"/>
    </w:rPr>
  </w:style>
  <w:style w:type="paragraph" w:customStyle="1" w:styleId="Sourceinformation">
    <w:name w:val="Source information"/>
    <w:basedOn w:val="Normal"/>
    <w:rsid w:val="00D27185"/>
    <w:pPr>
      <w:spacing w:before="0" w:after="80"/>
      <w:ind w:left="0"/>
    </w:pPr>
    <w:rPr>
      <w:rFonts w:ascii="Garamond" w:hAnsi="Garamond"/>
      <w:sz w:val="20"/>
      <w:lang w:eastAsia="en-US"/>
    </w:rPr>
  </w:style>
  <w:style w:type="paragraph" w:customStyle="1" w:styleId="Notes">
    <w:name w:val="Notes"/>
    <w:basedOn w:val="Normal"/>
    <w:rsid w:val="00952C27"/>
    <w:pPr>
      <w:numPr>
        <w:numId w:val="22"/>
      </w:numPr>
      <w:spacing w:before="0" w:after="60"/>
    </w:pPr>
    <w:rPr>
      <w:rFonts w:ascii="Garamond" w:hAnsi="Garamond"/>
      <w:sz w:val="18"/>
      <w:lang w:eastAsia="en-NZ"/>
    </w:rPr>
  </w:style>
  <w:style w:type="character" w:customStyle="1" w:styleId="st1">
    <w:name w:val="st1"/>
    <w:basedOn w:val="DefaultParagraphFont"/>
    <w:rsid w:val="00F878DC"/>
  </w:style>
  <w:style w:type="character" w:customStyle="1" w:styleId="A16">
    <w:name w:val="A16"/>
    <w:uiPriority w:val="99"/>
    <w:rsid w:val="00441ABF"/>
    <w:rPr>
      <w:rFonts w:cs="Gotham Rounded Book"/>
      <w:i/>
      <w:iCs/>
      <w:color w:val="000000"/>
      <w:sz w:val="12"/>
      <w:szCs w:val="12"/>
    </w:rPr>
  </w:style>
  <w:style w:type="paragraph" w:customStyle="1" w:styleId="Tableheading">
    <w:name w:val="Table heading"/>
    <w:basedOn w:val="Normal"/>
    <w:qFormat/>
    <w:rsid w:val="008B271C"/>
    <w:pPr>
      <w:spacing w:before="120" w:after="120"/>
    </w:pPr>
    <w:rPr>
      <w:rFonts w:cs="Arial"/>
      <w:b/>
      <w:sz w:val="20"/>
    </w:rPr>
  </w:style>
  <w:style w:type="paragraph" w:customStyle="1" w:styleId="Imprint">
    <w:name w:val="Imprint"/>
    <w:basedOn w:val="Normal"/>
    <w:next w:val="Normal"/>
    <w:qFormat/>
    <w:rsid w:val="00920AF6"/>
    <w:pPr>
      <w:spacing w:before="0" w:after="240" w:line="276" w:lineRule="auto"/>
      <w:ind w:left="0"/>
      <w:jc w:val="center"/>
    </w:pPr>
    <w:rPr>
      <w:sz w:val="20"/>
      <w:szCs w:val="20"/>
    </w:rPr>
  </w:style>
  <w:style w:type="paragraph" w:customStyle="1" w:styleId="References">
    <w:name w:val="References"/>
    <w:basedOn w:val="Normal"/>
    <w:qFormat/>
    <w:rsid w:val="00920AF6"/>
    <w:pPr>
      <w:spacing w:before="120" w:line="276" w:lineRule="auto"/>
      <w:ind w:left="0"/>
    </w:pPr>
    <w:rPr>
      <w:sz w:val="20"/>
      <w:szCs w:val="20"/>
    </w:rPr>
  </w:style>
  <w:style w:type="paragraph" w:customStyle="1" w:styleId="Body">
    <w:name w:val="Body"/>
    <w:rsid w:val="00D63E90"/>
    <w:rPr>
      <w:rFonts w:ascii="Helvetica" w:eastAsia="Arial Unicode MS" w:hAnsi="Arial Unicode MS" w:cs="Arial Unicode MS"/>
      <w:color w:val="000000"/>
      <w:sz w:val="22"/>
      <w:szCs w:val="22"/>
      <w:lang w:val="en-US"/>
    </w:rPr>
  </w:style>
  <w:style w:type="character" w:styleId="EndnoteReference">
    <w:name w:val="endnote reference"/>
    <w:basedOn w:val="DefaultParagraphFont"/>
    <w:uiPriority w:val="99"/>
    <w:semiHidden/>
    <w:unhideWhenUsed/>
    <w:rsid w:val="00697D47"/>
    <w:rPr>
      <w:vertAlign w:val="superscript"/>
    </w:rPr>
  </w:style>
  <w:style w:type="paragraph" w:customStyle="1" w:styleId="NumtextIndent1">
    <w:name w:val="Num text:  Indent 1"/>
    <w:basedOn w:val="Normal"/>
    <w:rsid w:val="007C3D83"/>
    <w:pPr>
      <w:numPr>
        <w:numId w:val="32"/>
      </w:numPr>
      <w:spacing w:before="0" w:after="170" w:line="260" w:lineRule="atLeast"/>
      <w:ind w:left="425"/>
    </w:pPr>
    <w:rPr>
      <w:rFonts w:ascii="Garamond" w:hAnsi="Garamond"/>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0272">
      <w:bodyDiv w:val="1"/>
      <w:marLeft w:val="0"/>
      <w:marRight w:val="0"/>
      <w:marTop w:val="0"/>
      <w:marBottom w:val="0"/>
      <w:divBdr>
        <w:top w:val="none" w:sz="0" w:space="0" w:color="auto"/>
        <w:left w:val="none" w:sz="0" w:space="0" w:color="auto"/>
        <w:bottom w:val="none" w:sz="0" w:space="0" w:color="auto"/>
        <w:right w:val="none" w:sz="0" w:space="0" w:color="auto"/>
      </w:divBdr>
    </w:div>
    <w:div w:id="10765407">
      <w:bodyDiv w:val="1"/>
      <w:marLeft w:val="0"/>
      <w:marRight w:val="0"/>
      <w:marTop w:val="0"/>
      <w:marBottom w:val="0"/>
      <w:divBdr>
        <w:top w:val="none" w:sz="0" w:space="0" w:color="auto"/>
        <w:left w:val="none" w:sz="0" w:space="0" w:color="auto"/>
        <w:bottom w:val="none" w:sz="0" w:space="0" w:color="auto"/>
        <w:right w:val="none" w:sz="0" w:space="0" w:color="auto"/>
      </w:divBdr>
    </w:div>
    <w:div w:id="11615209">
      <w:bodyDiv w:val="1"/>
      <w:marLeft w:val="0"/>
      <w:marRight w:val="0"/>
      <w:marTop w:val="0"/>
      <w:marBottom w:val="0"/>
      <w:divBdr>
        <w:top w:val="none" w:sz="0" w:space="0" w:color="auto"/>
        <w:left w:val="none" w:sz="0" w:space="0" w:color="auto"/>
        <w:bottom w:val="none" w:sz="0" w:space="0" w:color="auto"/>
        <w:right w:val="none" w:sz="0" w:space="0" w:color="auto"/>
      </w:divBdr>
    </w:div>
    <w:div w:id="25838069">
      <w:bodyDiv w:val="1"/>
      <w:marLeft w:val="0"/>
      <w:marRight w:val="0"/>
      <w:marTop w:val="0"/>
      <w:marBottom w:val="0"/>
      <w:divBdr>
        <w:top w:val="none" w:sz="0" w:space="0" w:color="auto"/>
        <w:left w:val="none" w:sz="0" w:space="0" w:color="auto"/>
        <w:bottom w:val="none" w:sz="0" w:space="0" w:color="auto"/>
        <w:right w:val="none" w:sz="0" w:space="0" w:color="auto"/>
      </w:divBdr>
    </w:div>
    <w:div w:id="31922991">
      <w:bodyDiv w:val="1"/>
      <w:marLeft w:val="0"/>
      <w:marRight w:val="0"/>
      <w:marTop w:val="0"/>
      <w:marBottom w:val="0"/>
      <w:divBdr>
        <w:top w:val="none" w:sz="0" w:space="0" w:color="auto"/>
        <w:left w:val="none" w:sz="0" w:space="0" w:color="auto"/>
        <w:bottom w:val="none" w:sz="0" w:space="0" w:color="auto"/>
        <w:right w:val="none" w:sz="0" w:space="0" w:color="auto"/>
      </w:divBdr>
    </w:div>
    <w:div w:id="39090137">
      <w:bodyDiv w:val="1"/>
      <w:marLeft w:val="0"/>
      <w:marRight w:val="0"/>
      <w:marTop w:val="0"/>
      <w:marBottom w:val="0"/>
      <w:divBdr>
        <w:top w:val="none" w:sz="0" w:space="0" w:color="auto"/>
        <w:left w:val="none" w:sz="0" w:space="0" w:color="auto"/>
        <w:bottom w:val="none" w:sz="0" w:space="0" w:color="auto"/>
        <w:right w:val="none" w:sz="0" w:space="0" w:color="auto"/>
      </w:divBdr>
    </w:div>
    <w:div w:id="41565829">
      <w:bodyDiv w:val="1"/>
      <w:marLeft w:val="0"/>
      <w:marRight w:val="0"/>
      <w:marTop w:val="0"/>
      <w:marBottom w:val="0"/>
      <w:divBdr>
        <w:top w:val="none" w:sz="0" w:space="0" w:color="auto"/>
        <w:left w:val="none" w:sz="0" w:space="0" w:color="auto"/>
        <w:bottom w:val="none" w:sz="0" w:space="0" w:color="auto"/>
        <w:right w:val="none" w:sz="0" w:space="0" w:color="auto"/>
      </w:divBdr>
    </w:div>
    <w:div w:id="43526753">
      <w:bodyDiv w:val="1"/>
      <w:marLeft w:val="0"/>
      <w:marRight w:val="0"/>
      <w:marTop w:val="0"/>
      <w:marBottom w:val="0"/>
      <w:divBdr>
        <w:top w:val="none" w:sz="0" w:space="0" w:color="auto"/>
        <w:left w:val="none" w:sz="0" w:space="0" w:color="auto"/>
        <w:bottom w:val="none" w:sz="0" w:space="0" w:color="auto"/>
        <w:right w:val="none" w:sz="0" w:space="0" w:color="auto"/>
      </w:divBdr>
    </w:div>
    <w:div w:id="43721622">
      <w:bodyDiv w:val="1"/>
      <w:marLeft w:val="0"/>
      <w:marRight w:val="0"/>
      <w:marTop w:val="0"/>
      <w:marBottom w:val="0"/>
      <w:divBdr>
        <w:top w:val="none" w:sz="0" w:space="0" w:color="auto"/>
        <w:left w:val="none" w:sz="0" w:space="0" w:color="auto"/>
        <w:bottom w:val="none" w:sz="0" w:space="0" w:color="auto"/>
        <w:right w:val="none" w:sz="0" w:space="0" w:color="auto"/>
      </w:divBdr>
    </w:div>
    <w:div w:id="50740413">
      <w:bodyDiv w:val="1"/>
      <w:marLeft w:val="0"/>
      <w:marRight w:val="0"/>
      <w:marTop w:val="0"/>
      <w:marBottom w:val="0"/>
      <w:divBdr>
        <w:top w:val="none" w:sz="0" w:space="0" w:color="auto"/>
        <w:left w:val="none" w:sz="0" w:space="0" w:color="auto"/>
        <w:bottom w:val="none" w:sz="0" w:space="0" w:color="auto"/>
        <w:right w:val="none" w:sz="0" w:space="0" w:color="auto"/>
      </w:divBdr>
    </w:div>
    <w:div w:id="59406447">
      <w:bodyDiv w:val="1"/>
      <w:marLeft w:val="0"/>
      <w:marRight w:val="0"/>
      <w:marTop w:val="0"/>
      <w:marBottom w:val="0"/>
      <w:divBdr>
        <w:top w:val="none" w:sz="0" w:space="0" w:color="auto"/>
        <w:left w:val="none" w:sz="0" w:space="0" w:color="auto"/>
        <w:bottom w:val="none" w:sz="0" w:space="0" w:color="auto"/>
        <w:right w:val="none" w:sz="0" w:space="0" w:color="auto"/>
      </w:divBdr>
    </w:div>
    <w:div w:id="93677561">
      <w:bodyDiv w:val="1"/>
      <w:marLeft w:val="0"/>
      <w:marRight w:val="0"/>
      <w:marTop w:val="0"/>
      <w:marBottom w:val="0"/>
      <w:divBdr>
        <w:top w:val="none" w:sz="0" w:space="0" w:color="auto"/>
        <w:left w:val="none" w:sz="0" w:space="0" w:color="auto"/>
        <w:bottom w:val="none" w:sz="0" w:space="0" w:color="auto"/>
        <w:right w:val="none" w:sz="0" w:space="0" w:color="auto"/>
      </w:divBdr>
    </w:div>
    <w:div w:id="95760476">
      <w:bodyDiv w:val="1"/>
      <w:marLeft w:val="0"/>
      <w:marRight w:val="0"/>
      <w:marTop w:val="0"/>
      <w:marBottom w:val="0"/>
      <w:divBdr>
        <w:top w:val="none" w:sz="0" w:space="0" w:color="auto"/>
        <w:left w:val="none" w:sz="0" w:space="0" w:color="auto"/>
        <w:bottom w:val="none" w:sz="0" w:space="0" w:color="auto"/>
        <w:right w:val="none" w:sz="0" w:space="0" w:color="auto"/>
      </w:divBdr>
    </w:div>
    <w:div w:id="98453007">
      <w:bodyDiv w:val="1"/>
      <w:marLeft w:val="0"/>
      <w:marRight w:val="0"/>
      <w:marTop w:val="0"/>
      <w:marBottom w:val="0"/>
      <w:divBdr>
        <w:top w:val="none" w:sz="0" w:space="0" w:color="auto"/>
        <w:left w:val="none" w:sz="0" w:space="0" w:color="auto"/>
        <w:bottom w:val="none" w:sz="0" w:space="0" w:color="auto"/>
        <w:right w:val="none" w:sz="0" w:space="0" w:color="auto"/>
      </w:divBdr>
    </w:div>
    <w:div w:id="107630788">
      <w:bodyDiv w:val="1"/>
      <w:marLeft w:val="0"/>
      <w:marRight w:val="0"/>
      <w:marTop w:val="0"/>
      <w:marBottom w:val="0"/>
      <w:divBdr>
        <w:top w:val="none" w:sz="0" w:space="0" w:color="auto"/>
        <w:left w:val="none" w:sz="0" w:space="0" w:color="auto"/>
        <w:bottom w:val="none" w:sz="0" w:space="0" w:color="auto"/>
        <w:right w:val="none" w:sz="0" w:space="0" w:color="auto"/>
      </w:divBdr>
    </w:div>
    <w:div w:id="136068769">
      <w:bodyDiv w:val="1"/>
      <w:marLeft w:val="0"/>
      <w:marRight w:val="0"/>
      <w:marTop w:val="0"/>
      <w:marBottom w:val="0"/>
      <w:divBdr>
        <w:top w:val="none" w:sz="0" w:space="0" w:color="auto"/>
        <w:left w:val="none" w:sz="0" w:space="0" w:color="auto"/>
        <w:bottom w:val="none" w:sz="0" w:space="0" w:color="auto"/>
        <w:right w:val="none" w:sz="0" w:space="0" w:color="auto"/>
      </w:divBdr>
    </w:div>
    <w:div w:id="161967853">
      <w:bodyDiv w:val="1"/>
      <w:marLeft w:val="0"/>
      <w:marRight w:val="0"/>
      <w:marTop w:val="0"/>
      <w:marBottom w:val="0"/>
      <w:divBdr>
        <w:top w:val="none" w:sz="0" w:space="0" w:color="auto"/>
        <w:left w:val="none" w:sz="0" w:space="0" w:color="auto"/>
        <w:bottom w:val="none" w:sz="0" w:space="0" w:color="auto"/>
        <w:right w:val="none" w:sz="0" w:space="0" w:color="auto"/>
      </w:divBdr>
    </w:div>
    <w:div w:id="172501157">
      <w:bodyDiv w:val="1"/>
      <w:marLeft w:val="0"/>
      <w:marRight w:val="0"/>
      <w:marTop w:val="0"/>
      <w:marBottom w:val="0"/>
      <w:divBdr>
        <w:top w:val="none" w:sz="0" w:space="0" w:color="auto"/>
        <w:left w:val="none" w:sz="0" w:space="0" w:color="auto"/>
        <w:bottom w:val="none" w:sz="0" w:space="0" w:color="auto"/>
        <w:right w:val="none" w:sz="0" w:space="0" w:color="auto"/>
      </w:divBdr>
      <w:divsChild>
        <w:div w:id="69429444">
          <w:marLeft w:val="1800"/>
          <w:marRight w:val="0"/>
          <w:marTop w:val="86"/>
          <w:marBottom w:val="0"/>
          <w:divBdr>
            <w:top w:val="none" w:sz="0" w:space="0" w:color="auto"/>
            <w:left w:val="none" w:sz="0" w:space="0" w:color="auto"/>
            <w:bottom w:val="none" w:sz="0" w:space="0" w:color="auto"/>
            <w:right w:val="none" w:sz="0" w:space="0" w:color="auto"/>
          </w:divBdr>
        </w:div>
        <w:div w:id="266817255">
          <w:marLeft w:val="1166"/>
          <w:marRight w:val="0"/>
          <w:marTop w:val="240"/>
          <w:marBottom w:val="0"/>
          <w:divBdr>
            <w:top w:val="none" w:sz="0" w:space="0" w:color="auto"/>
            <w:left w:val="none" w:sz="0" w:space="0" w:color="auto"/>
            <w:bottom w:val="none" w:sz="0" w:space="0" w:color="auto"/>
            <w:right w:val="none" w:sz="0" w:space="0" w:color="auto"/>
          </w:divBdr>
        </w:div>
        <w:div w:id="396049105">
          <w:marLeft w:val="547"/>
          <w:marRight w:val="0"/>
          <w:marTop w:val="432"/>
          <w:marBottom w:val="0"/>
          <w:divBdr>
            <w:top w:val="none" w:sz="0" w:space="0" w:color="auto"/>
            <w:left w:val="none" w:sz="0" w:space="0" w:color="auto"/>
            <w:bottom w:val="none" w:sz="0" w:space="0" w:color="auto"/>
            <w:right w:val="none" w:sz="0" w:space="0" w:color="auto"/>
          </w:divBdr>
        </w:div>
        <w:div w:id="790057886">
          <w:marLeft w:val="1800"/>
          <w:marRight w:val="0"/>
          <w:marTop w:val="86"/>
          <w:marBottom w:val="0"/>
          <w:divBdr>
            <w:top w:val="none" w:sz="0" w:space="0" w:color="auto"/>
            <w:left w:val="none" w:sz="0" w:space="0" w:color="auto"/>
            <w:bottom w:val="none" w:sz="0" w:space="0" w:color="auto"/>
            <w:right w:val="none" w:sz="0" w:space="0" w:color="auto"/>
          </w:divBdr>
        </w:div>
        <w:div w:id="806581848">
          <w:marLeft w:val="1166"/>
          <w:marRight w:val="0"/>
          <w:marTop w:val="240"/>
          <w:marBottom w:val="0"/>
          <w:divBdr>
            <w:top w:val="none" w:sz="0" w:space="0" w:color="auto"/>
            <w:left w:val="none" w:sz="0" w:space="0" w:color="auto"/>
            <w:bottom w:val="none" w:sz="0" w:space="0" w:color="auto"/>
            <w:right w:val="none" w:sz="0" w:space="0" w:color="auto"/>
          </w:divBdr>
        </w:div>
        <w:div w:id="1012337645">
          <w:marLeft w:val="547"/>
          <w:marRight w:val="0"/>
          <w:marTop w:val="432"/>
          <w:marBottom w:val="0"/>
          <w:divBdr>
            <w:top w:val="none" w:sz="0" w:space="0" w:color="auto"/>
            <w:left w:val="none" w:sz="0" w:space="0" w:color="auto"/>
            <w:bottom w:val="none" w:sz="0" w:space="0" w:color="auto"/>
            <w:right w:val="none" w:sz="0" w:space="0" w:color="auto"/>
          </w:divBdr>
        </w:div>
        <w:div w:id="1056588568">
          <w:marLeft w:val="547"/>
          <w:marRight w:val="0"/>
          <w:marTop w:val="432"/>
          <w:marBottom w:val="0"/>
          <w:divBdr>
            <w:top w:val="none" w:sz="0" w:space="0" w:color="auto"/>
            <w:left w:val="none" w:sz="0" w:space="0" w:color="auto"/>
            <w:bottom w:val="none" w:sz="0" w:space="0" w:color="auto"/>
            <w:right w:val="none" w:sz="0" w:space="0" w:color="auto"/>
          </w:divBdr>
        </w:div>
        <w:div w:id="1102917783">
          <w:marLeft w:val="1800"/>
          <w:marRight w:val="0"/>
          <w:marTop w:val="86"/>
          <w:marBottom w:val="0"/>
          <w:divBdr>
            <w:top w:val="none" w:sz="0" w:space="0" w:color="auto"/>
            <w:left w:val="none" w:sz="0" w:space="0" w:color="auto"/>
            <w:bottom w:val="none" w:sz="0" w:space="0" w:color="auto"/>
            <w:right w:val="none" w:sz="0" w:space="0" w:color="auto"/>
          </w:divBdr>
        </w:div>
        <w:div w:id="1343166511">
          <w:marLeft w:val="1800"/>
          <w:marRight w:val="0"/>
          <w:marTop w:val="86"/>
          <w:marBottom w:val="0"/>
          <w:divBdr>
            <w:top w:val="none" w:sz="0" w:space="0" w:color="auto"/>
            <w:left w:val="none" w:sz="0" w:space="0" w:color="auto"/>
            <w:bottom w:val="none" w:sz="0" w:space="0" w:color="auto"/>
            <w:right w:val="none" w:sz="0" w:space="0" w:color="auto"/>
          </w:divBdr>
        </w:div>
        <w:div w:id="1518495016">
          <w:marLeft w:val="1166"/>
          <w:marRight w:val="0"/>
          <w:marTop w:val="240"/>
          <w:marBottom w:val="0"/>
          <w:divBdr>
            <w:top w:val="none" w:sz="0" w:space="0" w:color="auto"/>
            <w:left w:val="none" w:sz="0" w:space="0" w:color="auto"/>
            <w:bottom w:val="none" w:sz="0" w:space="0" w:color="auto"/>
            <w:right w:val="none" w:sz="0" w:space="0" w:color="auto"/>
          </w:divBdr>
        </w:div>
      </w:divsChild>
    </w:div>
    <w:div w:id="172886415">
      <w:bodyDiv w:val="1"/>
      <w:marLeft w:val="0"/>
      <w:marRight w:val="0"/>
      <w:marTop w:val="0"/>
      <w:marBottom w:val="0"/>
      <w:divBdr>
        <w:top w:val="none" w:sz="0" w:space="0" w:color="auto"/>
        <w:left w:val="none" w:sz="0" w:space="0" w:color="auto"/>
        <w:bottom w:val="none" w:sz="0" w:space="0" w:color="auto"/>
        <w:right w:val="none" w:sz="0" w:space="0" w:color="auto"/>
      </w:divBdr>
    </w:div>
    <w:div w:id="176890583">
      <w:bodyDiv w:val="1"/>
      <w:marLeft w:val="0"/>
      <w:marRight w:val="0"/>
      <w:marTop w:val="0"/>
      <w:marBottom w:val="0"/>
      <w:divBdr>
        <w:top w:val="none" w:sz="0" w:space="0" w:color="auto"/>
        <w:left w:val="none" w:sz="0" w:space="0" w:color="auto"/>
        <w:bottom w:val="none" w:sz="0" w:space="0" w:color="auto"/>
        <w:right w:val="none" w:sz="0" w:space="0" w:color="auto"/>
      </w:divBdr>
    </w:div>
    <w:div w:id="207109050">
      <w:bodyDiv w:val="1"/>
      <w:marLeft w:val="0"/>
      <w:marRight w:val="0"/>
      <w:marTop w:val="0"/>
      <w:marBottom w:val="0"/>
      <w:divBdr>
        <w:top w:val="none" w:sz="0" w:space="0" w:color="auto"/>
        <w:left w:val="none" w:sz="0" w:space="0" w:color="auto"/>
        <w:bottom w:val="none" w:sz="0" w:space="0" w:color="auto"/>
        <w:right w:val="none" w:sz="0" w:space="0" w:color="auto"/>
      </w:divBdr>
    </w:div>
    <w:div w:id="213852919">
      <w:bodyDiv w:val="1"/>
      <w:marLeft w:val="0"/>
      <w:marRight w:val="0"/>
      <w:marTop w:val="0"/>
      <w:marBottom w:val="0"/>
      <w:divBdr>
        <w:top w:val="none" w:sz="0" w:space="0" w:color="auto"/>
        <w:left w:val="none" w:sz="0" w:space="0" w:color="auto"/>
        <w:bottom w:val="none" w:sz="0" w:space="0" w:color="auto"/>
        <w:right w:val="none" w:sz="0" w:space="0" w:color="auto"/>
      </w:divBdr>
    </w:div>
    <w:div w:id="218634458">
      <w:bodyDiv w:val="1"/>
      <w:marLeft w:val="0"/>
      <w:marRight w:val="0"/>
      <w:marTop w:val="0"/>
      <w:marBottom w:val="0"/>
      <w:divBdr>
        <w:top w:val="none" w:sz="0" w:space="0" w:color="auto"/>
        <w:left w:val="none" w:sz="0" w:space="0" w:color="auto"/>
        <w:bottom w:val="none" w:sz="0" w:space="0" w:color="auto"/>
        <w:right w:val="none" w:sz="0" w:space="0" w:color="auto"/>
      </w:divBdr>
    </w:div>
    <w:div w:id="221605307">
      <w:bodyDiv w:val="1"/>
      <w:marLeft w:val="0"/>
      <w:marRight w:val="0"/>
      <w:marTop w:val="0"/>
      <w:marBottom w:val="0"/>
      <w:divBdr>
        <w:top w:val="none" w:sz="0" w:space="0" w:color="auto"/>
        <w:left w:val="none" w:sz="0" w:space="0" w:color="auto"/>
        <w:bottom w:val="none" w:sz="0" w:space="0" w:color="auto"/>
        <w:right w:val="none" w:sz="0" w:space="0" w:color="auto"/>
      </w:divBdr>
    </w:div>
    <w:div w:id="236136650">
      <w:bodyDiv w:val="1"/>
      <w:marLeft w:val="0"/>
      <w:marRight w:val="0"/>
      <w:marTop w:val="0"/>
      <w:marBottom w:val="0"/>
      <w:divBdr>
        <w:top w:val="none" w:sz="0" w:space="0" w:color="auto"/>
        <w:left w:val="none" w:sz="0" w:space="0" w:color="auto"/>
        <w:bottom w:val="none" w:sz="0" w:space="0" w:color="auto"/>
        <w:right w:val="none" w:sz="0" w:space="0" w:color="auto"/>
      </w:divBdr>
    </w:div>
    <w:div w:id="240334662">
      <w:bodyDiv w:val="1"/>
      <w:marLeft w:val="0"/>
      <w:marRight w:val="0"/>
      <w:marTop w:val="0"/>
      <w:marBottom w:val="0"/>
      <w:divBdr>
        <w:top w:val="none" w:sz="0" w:space="0" w:color="auto"/>
        <w:left w:val="none" w:sz="0" w:space="0" w:color="auto"/>
        <w:bottom w:val="none" w:sz="0" w:space="0" w:color="auto"/>
        <w:right w:val="none" w:sz="0" w:space="0" w:color="auto"/>
      </w:divBdr>
      <w:divsChild>
        <w:div w:id="97458154">
          <w:marLeft w:val="547"/>
          <w:marRight w:val="0"/>
          <w:marTop w:val="432"/>
          <w:marBottom w:val="0"/>
          <w:divBdr>
            <w:top w:val="none" w:sz="0" w:space="0" w:color="auto"/>
            <w:left w:val="none" w:sz="0" w:space="0" w:color="auto"/>
            <w:bottom w:val="none" w:sz="0" w:space="0" w:color="auto"/>
            <w:right w:val="none" w:sz="0" w:space="0" w:color="auto"/>
          </w:divBdr>
        </w:div>
        <w:div w:id="415173535">
          <w:marLeft w:val="547"/>
          <w:marRight w:val="0"/>
          <w:marTop w:val="432"/>
          <w:marBottom w:val="0"/>
          <w:divBdr>
            <w:top w:val="none" w:sz="0" w:space="0" w:color="auto"/>
            <w:left w:val="none" w:sz="0" w:space="0" w:color="auto"/>
            <w:bottom w:val="none" w:sz="0" w:space="0" w:color="auto"/>
            <w:right w:val="none" w:sz="0" w:space="0" w:color="auto"/>
          </w:divBdr>
        </w:div>
        <w:div w:id="758671698">
          <w:marLeft w:val="1166"/>
          <w:marRight w:val="0"/>
          <w:marTop w:val="240"/>
          <w:marBottom w:val="0"/>
          <w:divBdr>
            <w:top w:val="none" w:sz="0" w:space="0" w:color="auto"/>
            <w:left w:val="none" w:sz="0" w:space="0" w:color="auto"/>
            <w:bottom w:val="none" w:sz="0" w:space="0" w:color="auto"/>
            <w:right w:val="none" w:sz="0" w:space="0" w:color="auto"/>
          </w:divBdr>
        </w:div>
        <w:div w:id="854610230">
          <w:marLeft w:val="1166"/>
          <w:marRight w:val="0"/>
          <w:marTop w:val="240"/>
          <w:marBottom w:val="0"/>
          <w:divBdr>
            <w:top w:val="none" w:sz="0" w:space="0" w:color="auto"/>
            <w:left w:val="none" w:sz="0" w:space="0" w:color="auto"/>
            <w:bottom w:val="none" w:sz="0" w:space="0" w:color="auto"/>
            <w:right w:val="none" w:sz="0" w:space="0" w:color="auto"/>
          </w:divBdr>
        </w:div>
        <w:div w:id="1147436932">
          <w:marLeft w:val="547"/>
          <w:marRight w:val="0"/>
          <w:marTop w:val="432"/>
          <w:marBottom w:val="0"/>
          <w:divBdr>
            <w:top w:val="none" w:sz="0" w:space="0" w:color="auto"/>
            <w:left w:val="none" w:sz="0" w:space="0" w:color="auto"/>
            <w:bottom w:val="none" w:sz="0" w:space="0" w:color="auto"/>
            <w:right w:val="none" w:sz="0" w:space="0" w:color="auto"/>
          </w:divBdr>
        </w:div>
        <w:div w:id="1623607424">
          <w:marLeft w:val="1166"/>
          <w:marRight w:val="0"/>
          <w:marTop w:val="240"/>
          <w:marBottom w:val="0"/>
          <w:divBdr>
            <w:top w:val="none" w:sz="0" w:space="0" w:color="auto"/>
            <w:left w:val="none" w:sz="0" w:space="0" w:color="auto"/>
            <w:bottom w:val="none" w:sz="0" w:space="0" w:color="auto"/>
            <w:right w:val="none" w:sz="0" w:space="0" w:color="auto"/>
          </w:divBdr>
        </w:div>
        <w:div w:id="1699816261">
          <w:marLeft w:val="1166"/>
          <w:marRight w:val="0"/>
          <w:marTop w:val="240"/>
          <w:marBottom w:val="0"/>
          <w:divBdr>
            <w:top w:val="none" w:sz="0" w:space="0" w:color="auto"/>
            <w:left w:val="none" w:sz="0" w:space="0" w:color="auto"/>
            <w:bottom w:val="none" w:sz="0" w:space="0" w:color="auto"/>
            <w:right w:val="none" w:sz="0" w:space="0" w:color="auto"/>
          </w:divBdr>
        </w:div>
        <w:div w:id="1708212884">
          <w:marLeft w:val="1166"/>
          <w:marRight w:val="0"/>
          <w:marTop w:val="240"/>
          <w:marBottom w:val="0"/>
          <w:divBdr>
            <w:top w:val="none" w:sz="0" w:space="0" w:color="auto"/>
            <w:left w:val="none" w:sz="0" w:space="0" w:color="auto"/>
            <w:bottom w:val="none" w:sz="0" w:space="0" w:color="auto"/>
            <w:right w:val="none" w:sz="0" w:space="0" w:color="auto"/>
          </w:divBdr>
        </w:div>
        <w:div w:id="1709449309">
          <w:marLeft w:val="547"/>
          <w:marRight w:val="0"/>
          <w:marTop w:val="432"/>
          <w:marBottom w:val="0"/>
          <w:divBdr>
            <w:top w:val="none" w:sz="0" w:space="0" w:color="auto"/>
            <w:left w:val="none" w:sz="0" w:space="0" w:color="auto"/>
            <w:bottom w:val="none" w:sz="0" w:space="0" w:color="auto"/>
            <w:right w:val="none" w:sz="0" w:space="0" w:color="auto"/>
          </w:divBdr>
        </w:div>
      </w:divsChild>
    </w:div>
    <w:div w:id="246573054">
      <w:bodyDiv w:val="1"/>
      <w:marLeft w:val="0"/>
      <w:marRight w:val="0"/>
      <w:marTop w:val="0"/>
      <w:marBottom w:val="0"/>
      <w:divBdr>
        <w:top w:val="none" w:sz="0" w:space="0" w:color="auto"/>
        <w:left w:val="none" w:sz="0" w:space="0" w:color="auto"/>
        <w:bottom w:val="none" w:sz="0" w:space="0" w:color="auto"/>
        <w:right w:val="none" w:sz="0" w:space="0" w:color="auto"/>
      </w:divBdr>
    </w:div>
    <w:div w:id="258491681">
      <w:bodyDiv w:val="1"/>
      <w:marLeft w:val="0"/>
      <w:marRight w:val="0"/>
      <w:marTop w:val="0"/>
      <w:marBottom w:val="0"/>
      <w:divBdr>
        <w:top w:val="none" w:sz="0" w:space="0" w:color="auto"/>
        <w:left w:val="none" w:sz="0" w:space="0" w:color="auto"/>
        <w:bottom w:val="none" w:sz="0" w:space="0" w:color="auto"/>
        <w:right w:val="none" w:sz="0" w:space="0" w:color="auto"/>
      </w:divBdr>
    </w:div>
    <w:div w:id="317727220">
      <w:bodyDiv w:val="1"/>
      <w:marLeft w:val="0"/>
      <w:marRight w:val="0"/>
      <w:marTop w:val="0"/>
      <w:marBottom w:val="0"/>
      <w:divBdr>
        <w:top w:val="none" w:sz="0" w:space="0" w:color="auto"/>
        <w:left w:val="none" w:sz="0" w:space="0" w:color="auto"/>
        <w:bottom w:val="none" w:sz="0" w:space="0" w:color="auto"/>
        <w:right w:val="none" w:sz="0" w:space="0" w:color="auto"/>
      </w:divBdr>
    </w:div>
    <w:div w:id="329407802">
      <w:bodyDiv w:val="1"/>
      <w:marLeft w:val="0"/>
      <w:marRight w:val="0"/>
      <w:marTop w:val="0"/>
      <w:marBottom w:val="0"/>
      <w:divBdr>
        <w:top w:val="none" w:sz="0" w:space="0" w:color="auto"/>
        <w:left w:val="none" w:sz="0" w:space="0" w:color="auto"/>
        <w:bottom w:val="none" w:sz="0" w:space="0" w:color="auto"/>
        <w:right w:val="none" w:sz="0" w:space="0" w:color="auto"/>
      </w:divBdr>
    </w:div>
    <w:div w:id="352655105">
      <w:bodyDiv w:val="1"/>
      <w:marLeft w:val="0"/>
      <w:marRight w:val="0"/>
      <w:marTop w:val="0"/>
      <w:marBottom w:val="0"/>
      <w:divBdr>
        <w:top w:val="none" w:sz="0" w:space="0" w:color="auto"/>
        <w:left w:val="none" w:sz="0" w:space="0" w:color="auto"/>
        <w:bottom w:val="none" w:sz="0" w:space="0" w:color="auto"/>
        <w:right w:val="none" w:sz="0" w:space="0" w:color="auto"/>
      </w:divBdr>
    </w:div>
    <w:div w:id="354772413">
      <w:bodyDiv w:val="1"/>
      <w:marLeft w:val="0"/>
      <w:marRight w:val="0"/>
      <w:marTop w:val="0"/>
      <w:marBottom w:val="0"/>
      <w:divBdr>
        <w:top w:val="none" w:sz="0" w:space="0" w:color="auto"/>
        <w:left w:val="none" w:sz="0" w:space="0" w:color="auto"/>
        <w:bottom w:val="none" w:sz="0" w:space="0" w:color="auto"/>
        <w:right w:val="none" w:sz="0" w:space="0" w:color="auto"/>
      </w:divBdr>
    </w:div>
    <w:div w:id="358240477">
      <w:bodyDiv w:val="1"/>
      <w:marLeft w:val="0"/>
      <w:marRight w:val="0"/>
      <w:marTop w:val="0"/>
      <w:marBottom w:val="0"/>
      <w:divBdr>
        <w:top w:val="none" w:sz="0" w:space="0" w:color="auto"/>
        <w:left w:val="none" w:sz="0" w:space="0" w:color="auto"/>
        <w:bottom w:val="none" w:sz="0" w:space="0" w:color="auto"/>
        <w:right w:val="none" w:sz="0" w:space="0" w:color="auto"/>
      </w:divBdr>
    </w:div>
    <w:div w:id="365715482">
      <w:bodyDiv w:val="1"/>
      <w:marLeft w:val="0"/>
      <w:marRight w:val="0"/>
      <w:marTop w:val="0"/>
      <w:marBottom w:val="0"/>
      <w:divBdr>
        <w:top w:val="none" w:sz="0" w:space="0" w:color="auto"/>
        <w:left w:val="none" w:sz="0" w:space="0" w:color="auto"/>
        <w:bottom w:val="none" w:sz="0" w:space="0" w:color="auto"/>
        <w:right w:val="none" w:sz="0" w:space="0" w:color="auto"/>
      </w:divBdr>
    </w:div>
    <w:div w:id="366412423">
      <w:bodyDiv w:val="1"/>
      <w:marLeft w:val="0"/>
      <w:marRight w:val="0"/>
      <w:marTop w:val="0"/>
      <w:marBottom w:val="0"/>
      <w:divBdr>
        <w:top w:val="none" w:sz="0" w:space="0" w:color="auto"/>
        <w:left w:val="none" w:sz="0" w:space="0" w:color="auto"/>
        <w:bottom w:val="none" w:sz="0" w:space="0" w:color="auto"/>
        <w:right w:val="none" w:sz="0" w:space="0" w:color="auto"/>
      </w:divBdr>
    </w:div>
    <w:div w:id="367417629">
      <w:bodyDiv w:val="1"/>
      <w:marLeft w:val="0"/>
      <w:marRight w:val="0"/>
      <w:marTop w:val="0"/>
      <w:marBottom w:val="0"/>
      <w:divBdr>
        <w:top w:val="none" w:sz="0" w:space="0" w:color="auto"/>
        <w:left w:val="none" w:sz="0" w:space="0" w:color="auto"/>
        <w:bottom w:val="none" w:sz="0" w:space="0" w:color="auto"/>
        <w:right w:val="none" w:sz="0" w:space="0" w:color="auto"/>
      </w:divBdr>
    </w:div>
    <w:div w:id="369183980">
      <w:bodyDiv w:val="1"/>
      <w:marLeft w:val="0"/>
      <w:marRight w:val="0"/>
      <w:marTop w:val="0"/>
      <w:marBottom w:val="0"/>
      <w:divBdr>
        <w:top w:val="none" w:sz="0" w:space="0" w:color="auto"/>
        <w:left w:val="none" w:sz="0" w:space="0" w:color="auto"/>
        <w:bottom w:val="none" w:sz="0" w:space="0" w:color="auto"/>
        <w:right w:val="none" w:sz="0" w:space="0" w:color="auto"/>
      </w:divBdr>
    </w:div>
    <w:div w:id="384988069">
      <w:bodyDiv w:val="1"/>
      <w:marLeft w:val="0"/>
      <w:marRight w:val="0"/>
      <w:marTop w:val="0"/>
      <w:marBottom w:val="0"/>
      <w:divBdr>
        <w:top w:val="none" w:sz="0" w:space="0" w:color="auto"/>
        <w:left w:val="none" w:sz="0" w:space="0" w:color="auto"/>
        <w:bottom w:val="none" w:sz="0" w:space="0" w:color="auto"/>
        <w:right w:val="none" w:sz="0" w:space="0" w:color="auto"/>
      </w:divBdr>
    </w:div>
    <w:div w:id="385952045">
      <w:bodyDiv w:val="1"/>
      <w:marLeft w:val="0"/>
      <w:marRight w:val="0"/>
      <w:marTop w:val="0"/>
      <w:marBottom w:val="0"/>
      <w:divBdr>
        <w:top w:val="none" w:sz="0" w:space="0" w:color="auto"/>
        <w:left w:val="none" w:sz="0" w:space="0" w:color="auto"/>
        <w:bottom w:val="none" w:sz="0" w:space="0" w:color="auto"/>
        <w:right w:val="none" w:sz="0" w:space="0" w:color="auto"/>
      </w:divBdr>
    </w:div>
    <w:div w:id="394084252">
      <w:bodyDiv w:val="1"/>
      <w:marLeft w:val="0"/>
      <w:marRight w:val="0"/>
      <w:marTop w:val="0"/>
      <w:marBottom w:val="0"/>
      <w:divBdr>
        <w:top w:val="none" w:sz="0" w:space="0" w:color="auto"/>
        <w:left w:val="none" w:sz="0" w:space="0" w:color="auto"/>
        <w:bottom w:val="none" w:sz="0" w:space="0" w:color="auto"/>
        <w:right w:val="none" w:sz="0" w:space="0" w:color="auto"/>
      </w:divBdr>
    </w:div>
    <w:div w:id="395587840">
      <w:bodyDiv w:val="1"/>
      <w:marLeft w:val="0"/>
      <w:marRight w:val="0"/>
      <w:marTop w:val="0"/>
      <w:marBottom w:val="0"/>
      <w:divBdr>
        <w:top w:val="none" w:sz="0" w:space="0" w:color="auto"/>
        <w:left w:val="none" w:sz="0" w:space="0" w:color="auto"/>
        <w:bottom w:val="none" w:sz="0" w:space="0" w:color="auto"/>
        <w:right w:val="none" w:sz="0" w:space="0" w:color="auto"/>
      </w:divBdr>
    </w:div>
    <w:div w:id="400953183">
      <w:bodyDiv w:val="1"/>
      <w:marLeft w:val="0"/>
      <w:marRight w:val="0"/>
      <w:marTop w:val="0"/>
      <w:marBottom w:val="0"/>
      <w:divBdr>
        <w:top w:val="none" w:sz="0" w:space="0" w:color="auto"/>
        <w:left w:val="none" w:sz="0" w:space="0" w:color="auto"/>
        <w:bottom w:val="none" w:sz="0" w:space="0" w:color="auto"/>
        <w:right w:val="none" w:sz="0" w:space="0" w:color="auto"/>
      </w:divBdr>
    </w:div>
    <w:div w:id="409275436">
      <w:bodyDiv w:val="1"/>
      <w:marLeft w:val="0"/>
      <w:marRight w:val="0"/>
      <w:marTop w:val="0"/>
      <w:marBottom w:val="0"/>
      <w:divBdr>
        <w:top w:val="none" w:sz="0" w:space="0" w:color="auto"/>
        <w:left w:val="none" w:sz="0" w:space="0" w:color="auto"/>
        <w:bottom w:val="none" w:sz="0" w:space="0" w:color="auto"/>
        <w:right w:val="none" w:sz="0" w:space="0" w:color="auto"/>
      </w:divBdr>
    </w:div>
    <w:div w:id="410196532">
      <w:bodyDiv w:val="1"/>
      <w:marLeft w:val="0"/>
      <w:marRight w:val="0"/>
      <w:marTop w:val="0"/>
      <w:marBottom w:val="0"/>
      <w:divBdr>
        <w:top w:val="none" w:sz="0" w:space="0" w:color="auto"/>
        <w:left w:val="none" w:sz="0" w:space="0" w:color="auto"/>
        <w:bottom w:val="none" w:sz="0" w:space="0" w:color="auto"/>
        <w:right w:val="none" w:sz="0" w:space="0" w:color="auto"/>
      </w:divBdr>
    </w:div>
    <w:div w:id="427821050">
      <w:bodyDiv w:val="1"/>
      <w:marLeft w:val="0"/>
      <w:marRight w:val="0"/>
      <w:marTop w:val="0"/>
      <w:marBottom w:val="0"/>
      <w:divBdr>
        <w:top w:val="none" w:sz="0" w:space="0" w:color="auto"/>
        <w:left w:val="none" w:sz="0" w:space="0" w:color="auto"/>
        <w:bottom w:val="none" w:sz="0" w:space="0" w:color="auto"/>
        <w:right w:val="none" w:sz="0" w:space="0" w:color="auto"/>
      </w:divBdr>
    </w:div>
    <w:div w:id="438526003">
      <w:bodyDiv w:val="1"/>
      <w:marLeft w:val="0"/>
      <w:marRight w:val="0"/>
      <w:marTop w:val="0"/>
      <w:marBottom w:val="0"/>
      <w:divBdr>
        <w:top w:val="none" w:sz="0" w:space="0" w:color="auto"/>
        <w:left w:val="none" w:sz="0" w:space="0" w:color="auto"/>
        <w:bottom w:val="none" w:sz="0" w:space="0" w:color="auto"/>
        <w:right w:val="none" w:sz="0" w:space="0" w:color="auto"/>
      </w:divBdr>
    </w:div>
    <w:div w:id="471410903">
      <w:bodyDiv w:val="1"/>
      <w:marLeft w:val="0"/>
      <w:marRight w:val="0"/>
      <w:marTop w:val="0"/>
      <w:marBottom w:val="0"/>
      <w:divBdr>
        <w:top w:val="none" w:sz="0" w:space="0" w:color="auto"/>
        <w:left w:val="none" w:sz="0" w:space="0" w:color="auto"/>
        <w:bottom w:val="none" w:sz="0" w:space="0" w:color="auto"/>
        <w:right w:val="none" w:sz="0" w:space="0" w:color="auto"/>
      </w:divBdr>
    </w:div>
    <w:div w:id="478235126">
      <w:bodyDiv w:val="1"/>
      <w:marLeft w:val="0"/>
      <w:marRight w:val="0"/>
      <w:marTop w:val="0"/>
      <w:marBottom w:val="0"/>
      <w:divBdr>
        <w:top w:val="none" w:sz="0" w:space="0" w:color="auto"/>
        <w:left w:val="none" w:sz="0" w:space="0" w:color="auto"/>
        <w:bottom w:val="none" w:sz="0" w:space="0" w:color="auto"/>
        <w:right w:val="none" w:sz="0" w:space="0" w:color="auto"/>
      </w:divBdr>
    </w:div>
    <w:div w:id="481311581">
      <w:bodyDiv w:val="1"/>
      <w:marLeft w:val="0"/>
      <w:marRight w:val="0"/>
      <w:marTop w:val="0"/>
      <w:marBottom w:val="0"/>
      <w:divBdr>
        <w:top w:val="none" w:sz="0" w:space="0" w:color="auto"/>
        <w:left w:val="none" w:sz="0" w:space="0" w:color="auto"/>
        <w:bottom w:val="none" w:sz="0" w:space="0" w:color="auto"/>
        <w:right w:val="none" w:sz="0" w:space="0" w:color="auto"/>
      </w:divBdr>
    </w:div>
    <w:div w:id="482624342">
      <w:bodyDiv w:val="1"/>
      <w:marLeft w:val="0"/>
      <w:marRight w:val="0"/>
      <w:marTop w:val="0"/>
      <w:marBottom w:val="0"/>
      <w:divBdr>
        <w:top w:val="none" w:sz="0" w:space="0" w:color="auto"/>
        <w:left w:val="none" w:sz="0" w:space="0" w:color="auto"/>
        <w:bottom w:val="none" w:sz="0" w:space="0" w:color="auto"/>
        <w:right w:val="none" w:sz="0" w:space="0" w:color="auto"/>
      </w:divBdr>
    </w:div>
    <w:div w:id="501240715">
      <w:bodyDiv w:val="1"/>
      <w:marLeft w:val="0"/>
      <w:marRight w:val="0"/>
      <w:marTop w:val="0"/>
      <w:marBottom w:val="0"/>
      <w:divBdr>
        <w:top w:val="none" w:sz="0" w:space="0" w:color="auto"/>
        <w:left w:val="none" w:sz="0" w:space="0" w:color="auto"/>
        <w:bottom w:val="none" w:sz="0" w:space="0" w:color="auto"/>
        <w:right w:val="none" w:sz="0" w:space="0" w:color="auto"/>
      </w:divBdr>
    </w:div>
    <w:div w:id="505941276">
      <w:bodyDiv w:val="1"/>
      <w:marLeft w:val="0"/>
      <w:marRight w:val="0"/>
      <w:marTop w:val="0"/>
      <w:marBottom w:val="0"/>
      <w:divBdr>
        <w:top w:val="none" w:sz="0" w:space="0" w:color="auto"/>
        <w:left w:val="none" w:sz="0" w:space="0" w:color="auto"/>
        <w:bottom w:val="none" w:sz="0" w:space="0" w:color="auto"/>
        <w:right w:val="none" w:sz="0" w:space="0" w:color="auto"/>
      </w:divBdr>
    </w:div>
    <w:div w:id="550847094">
      <w:bodyDiv w:val="1"/>
      <w:marLeft w:val="0"/>
      <w:marRight w:val="0"/>
      <w:marTop w:val="0"/>
      <w:marBottom w:val="0"/>
      <w:divBdr>
        <w:top w:val="none" w:sz="0" w:space="0" w:color="auto"/>
        <w:left w:val="none" w:sz="0" w:space="0" w:color="auto"/>
        <w:bottom w:val="none" w:sz="0" w:space="0" w:color="auto"/>
        <w:right w:val="none" w:sz="0" w:space="0" w:color="auto"/>
      </w:divBdr>
    </w:div>
    <w:div w:id="556553679">
      <w:bodyDiv w:val="1"/>
      <w:marLeft w:val="0"/>
      <w:marRight w:val="0"/>
      <w:marTop w:val="0"/>
      <w:marBottom w:val="0"/>
      <w:divBdr>
        <w:top w:val="none" w:sz="0" w:space="0" w:color="auto"/>
        <w:left w:val="none" w:sz="0" w:space="0" w:color="auto"/>
        <w:bottom w:val="none" w:sz="0" w:space="0" w:color="auto"/>
        <w:right w:val="none" w:sz="0" w:space="0" w:color="auto"/>
      </w:divBdr>
    </w:div>
    <w:div w:id="558630980">
      <w:bodyDiv w:val="1"/>
      <w:marLeft w:val="0"/>
      <w:marRight w:val="0"/>
      <w:marTop w:val="0"/>
      <w:marBottom w:val="0"/>
      <w:divBdr>
        <w:top w:val="none" w:sz="0" w:space="0" w:color="auto"/>
        <w:left w:val="none" w:sz="0" w:space="0" w:color="auto"/>
        <w:bottom w:val="none" w:sz="0" w:space="0" w:color="auto"/>
        <w:right w:val="none" w:sz="0" w:space="0" w:color="auto"/>
      </w:divBdr>
    </w:div>
    <w:div w:id="577597388">
      <w:bodyDiv w:val="1"/>
      <w:marLeft w:val="0"/>
      <w:marRight w:val="0"/>
      <w:marTop w:val="0"/>
      <w:marBottom w:val="0"/>
      <w:divBdr>
        <w:top w:val="none" w:sz="0" w:space="0" w:color="auto"/>
        <w:left w:val="none" w:sz="0" w:space="0" w:color="auto"/>
        <w:bottom w:val="none" w:sz="0" w:space="0" w:color="auto"/>
        <w:right w:val="none" w:sz="0" w:space="0" w:color="auto"/>
      </w:divBdr>
    </w:div>
    <w:div w:id="581531822">
      <w:bodyDiv w:val="1"/>
      <w:marLeft w:val="0"/>
      <w:marRight w:val="0"/>
      <w:marTop w:val="0"/>
      <w:marBottom w:val="0"/>
      <w:divBdr>
        <w:top w:val="none" w:sz="0" w:space="0" w:color="auto"/>
        <w:left w:val="none" w:sz="0" w:space="0" w:color="auto"/>
        <w:bottom w:val="none" w:sz="0" w:space="0" w:color="auto"/>
        <w:right w:val="none" w:sz="0" w:space="0" w:color="auto"/>
      </w:divBdr>
      <w:divsChild>
        <w:div w:id="64307088">
          <w:marLeft w:val="547"/>
          <w:marRight w:val="0"/>
          <w:marTop w:val="360"/>
          <w:marBottom w:val="0"/>
          <w:divBdr>
            <w:top w:val="none" w:sz="0" w:space="0" w:color="auto"/>
            <w:left w:val="none" w:sz="0" w:space="0" w:color="auto"/>
            <w:bottom w:val="none" w:sz="0" w:space="0" w:color="auto"/>
            <w:right w:val="none" w:sz="0" w:space="0" w:color="auto"/>
          </w:divBdr>
        </w:div>
        <w:div w:id="751702195">
          <w:marLeft w:val="547"/>
          <w:marRight w:val="0"/>
          <w:marTop w:val="360"/>
          <w:marBottom w:val="0"/>
          <w:divBdr>
            <w:top w:val="none" w:sz="0" w:space="0" w:color="auto"/>
            <w:left w:val="none" w:sz="0" w:space="0" w:color="auto"/>
            <w:bottom w:val="none" w:sz="0" w:space="0" w:color="auto"/>
            <w:right w:val="none" w:sz="0" w:space="0" w:color="auto"/>
          </w:divBdr>
        </w:div>
        <w:div w:id="1115172246">
          <w:marLeft w:val="1166"/>
          <w:marRight w:val="0"/>
          <w:marTop w:val="216"/>
          <w:marBottom w:val="0"/>
          <w:divBdr>
            <w:top w:val="none" w:sz="0" w:space="0" w:color="auto"/>
            <w:left w:val="none" w:sz="0" w:space="0" w:color="auto"/>
            <w:bottom w:val="none" w:sz="0" w:space="0" w:color="auto"/>
            <w:right w:val="none" w:sz="0" w:space="0" w:color="auto"/>
          </w:divBdr>
        </w:div>
        <w:div w:id="1141464587">
          <w:marLeft w:val="1166"/>
          <w:marRight w:val="0"/>
          <w:marTop w:val="216"/>
          <w:marBottom w:val="0"/>
          <w:divBdr>
            <w:top w:val="none" w:sz="0" w:space="0" w:color="auto"/>
            <w:left w:val="none" w:sz="0" w:space="0" w:color="auto"/>
            <w:bottom w:val="none" w:sz="0" w:space="0" w:color="auto"/>
            <w:right w:val="none" w:sz="0" w:space="0" w:color="auto"/>
          </w:divBdr>
        </w:div>
        <w:div w:id="1654483332">
          <w:marLeft w:val="547"/>
          <w:marRight w:val="0"/>
          <w:marTop w:val="360"/>
          <w:marBottom w:val="0"/>
          <w:divBdr>
            <w:top w:val="none" w:sz="0" w:space="0" w:color="auto"/>
            <w:left w:val="none" w:sz="0" w:space="0" w:color="auto"/>
            <w:bottom w:val="none" w:sz="0" w:space="0" w:color="auto"/>
            <w:right w:val="none" w:sz="0" w:space="0" w:color="auto"/>
          </w:divBdr>
        </w:div>
        <w:div w:id="1760905214">
          <w:marLeft w:val="547"/>
          <w:marRight w:val="0"/>
          <w:marTop w:val="360"/>
          <w:marBottom w:val="0"/>
          <w:divBdr>
            <w:top w:val="none" w:sz="0" w:space="0" w:color="auto"/>
            <w:left w:val="none" w:sz="0" w:space="0" w:color="auto"/>
            <w:bottom w:val="none" w:sz="0" w:space="0" w:color="auto"/>
            <w:right w:val="none" w:sz="0" w:space="0" w:color="auto"/>
          </w:divBdr>
        </w:div>
        <w:div w:id="1935817433">
          <w:marLeft w:val="547"/>
          <w:marRight w:val="0"/>
          <w:marTop w:val="360"/>
          <w:marBottom w:val="0"/>
          <w:divBdr>
            <w:top w:val="none" w:sz="0" w:space="0" w:color="auto"/>
            <w:left w:val="none" w:sz="0" w:space="0" w:color="auto"/>
            <w:bottom w:val="none" w:sz="0" w:space="0" w:color="auto"/>
            <w:right w:val="none" w:sz="0" w:space="0" w:color="auto"/>
          </w:divBdr>
        </w:div>
        <w:div w:id="1998528460">
          <w:marLeft w:val="1166"/>
          <w:marRight w:val="0"/>
          <w:marTop w:val="216"/>
          <w:marBottom w:val="0"/>
          <w:divBdr>
            <w:top w:val="none" w:sz="0" w:space="0" w:color="auto"/>
            <w:left w:val="none" w:sz="0" w:space="0" w:color="auto"/>
            <w:bottom w:val="none" w:sz="0" w:space="0" w:color="auto"/>
            <w:right w:val="none" w:sz="0" w:space="0" w:color="auto"/>
          </w:divBdr>
        </w:div>
      </w:divsChild>
    </w:div>
    <w:div w:id="594485368">
      <w:bodyDiv w:val="1"/>
      <w:marLeft w:val="0"/>
      <w:marRight w:val="0"/>
      <w:marTop w:val="0"/>
      <w:marBottom w:val="0"/>
      <w:divBdr>
        <w:top w:val="none" w:sz="0" w:space="0" w:color="auto"/>
        <w:left w:val="none" w:sz="0" w:space="0" w:color="auto"/>
        <w:bottom w:val="none" w:sz="0" w:space="0" w:color="auto"/>
        <w:right w:val="none" w:sz="0" w:space="0" w:color="auto"/>
      </w:divBdr>
    </w:div>
    <w:div w:id="600841180">
      <w:bodyDiv w:val="1"/>
      <w:marLeft w:val="0"/>
      <w:marRight w:val="0"/>
      <w:marTop w:val="0"/>
      <w:marBottom w:val="0"/>
      <w:divBdr>
        <w:top w:val="none" w:sz="0" w:space="0" w:color="auto"/>
        <w:left w:val="none" w:sz="0" w:space="0" w:color="auto"/>
        <w:bottom w:val="none" w:sz="0" w:space="0" w:color="auto"/>
        <w:right w:val="none" w:sz="0" w:space="0" w:color="auto"/>
      </w:divBdr>
    </w:div>
    <w:div w:id="603268359">
      <w:bodyDiv w:val="1"/>
      <w:marLeft w:val="0"/>
      <w:marRight w:val="0"/>
      <w:marTop w:val="0"/>
      <w:marBottom w:val="0"/>
      <w:divBdr>
        <w:top w:val="none" w:sz="0" w:space="0" w:color="auto"/>
        <w:left w:val="none" w:sz="0" w:space="0" w:color="auto"/>
        <w:bottom w:val="none" w:sz="0" w:space="0" w:color="auto"/>
        <w:right w:val="none" w:sz="0" w:space="0" w:color="auto"/>
      </w:divBdr>
    </w:div>
    <w:div w:id="612979504">
      <w:bodyDiv w:val="1"/>
      <w:marLeft w:val="0"/>
      <w:marRight w:val="0"/>
      <w:marTop w:val="0"/>
      <w:marBottom w:val="0"/>
      <w:divBdr>
        <w:top w:val="none" w:sz="0" w:space="0" w:color="auto"/>
        <w:left w:val="none" w:sz="0" w:space="0" w:color="auto"/>
        <w:bottom w:val="none" w:sz="0" w:space="0" w:color="auto"/>
        <w:right w:val="none" w:sz="0" w:space="0" w:color="auto"/>
      </w:divBdr>
    </w:div>
    <w:div w:id="622886167">
      <w:bodyDiv w:val="1"/>
      <w:marLeft w:val="0"/>
      <w:marRight w:val="0"/>
      <w:marTop w:val="0"/>
      <w:marBottom w:val="0"/>
      <w:divBdr>
        <w:top w:val="none" w:sz="0" w:space="0" w:color="auto"/>
        <w:left w:val="none" w:sz="0" w:space="0" w:color="auto"/>
        <w:bottom w:val="none" w:sz="0" w:space="0" w:color="auto"/>
        <w:right w:val="none" w:sz="0" w:space="0" w:color="auto"/>
      </w:divBdr>
    </w:div>
    <w:div w:id="628098486">
      <w:bodyDiv w:val="1"/>
      <w:marLeft w:val="0"/>
      <w:marRight w:val="0"/>
      <w:marTop w:val="0"/>
      <w:marBottom w:val="0"/>
      <w:divBdr>
        <w:top w:val="none" w:sz="0" w:space="0" w:color="auto"/>
        <w:left w:val="none" w:sz="0" w:space="0" w:color="auto"/>
        <w:bottom w:val="none" w:sz="0" w:space="0" w:color="auto"/>
        <w:right w:val="none" w:sz="0" w:space="0" w:color="auto"/>
      </w:divBdr>
    </w:div>
    <w:div w:id="655718966">
      <w:bodyDiv w:val="1"/>
      <w:marLeft w:val="0"/>
      <w:marRight w:val="0"/>
      <w:marTop w:val="0"/>
      <w:marBottom w:val="0"/>
      <w:divBdr>
        <w:top w:val="none" w:sz="0" w:space="0" w:color="auto"/>
        <w:left w:val="none" w:sz="0" w:space="0" w:color="auto"/>
        <w:bottom w:val="none" w:sz="0" w:space="0" w:color="auto"/>
        <w:right w:val="none" w:sz="0" w:space="0" w:color="auto"/>
      </w:divBdr>
    </w:div>
    <w:div w:id="670571876">
      <w:bodyDiv w:val="1"/>
      <w:marLeft w:val="0"/>
      <w:marRight w:val="0"/>
      <w:marTop w:val="0"/>
      <w:marBottom w:val="0"/>
      <w:divBdr>
        <w:top w:val="none" w:sz="0" w:space="0" w:color="auto"/>
        <w:left w:val="none" w:sz="0" w:space="0" w:color="auto"/>
        <w:bottom w:val="none" w:sz="0" w:space="0" w:color="auto"/>
        <w:right w:val="none" w:sz="0" w:space="0" w:color="auto"/>
      </w:divBdr>
    </w:div>
    <w:div w:id="679233878">
      <w:bodyDiv w:val="1"/>
      <w:marLeft w:val="0"/>
      <w:marRight w:val="0"/>
      <w:marTop w:val="0"/>
      <w:marBottom w:val="0"/>
      <w:divBdr>
        <w:top w:val="none" w:sz="0" w:space="0" w:color="auto"/>
        <w:left w:val="none" w:sz="0" w:space="0" w:color="auto"/>
        <w:bottom w:val="none" w:sz="0" w:space="0" w:color="auto"/>
        <w:right w:val="none" w:sz="0" w:space="0" w:color="auto"/>
      </w:divBdr>
    </w:div>
    <w:div w:id="680011978">
      <w:bodyDiv w:val="1"/>
      <w:marLeft w:val="0"/>
      <w:marRight w:val="0"/>
      <w:marTop w:val="0"/>
      <w:marBottom w:val="0"/>
      <w:divBdr>
        <w:top w:val="none" w:sz="0" w:space="0" w:color="auto"/>
        <w:left w:val="none" w:sz="0" w:space="0" w:color="auto"/>
        <w:bottom w:val="none" w:sz="0" w:space="0" w:color="auto"/>
        <w:right w:val="none" w:sz="0" w:space="0" w:color="auto"/>
      </w:divBdr>
    </w:div>
    <w:div w:id="712463270">
      <w:bodyDiv w:val="1"/>
      <w:marLeft w:val="0"/>
      <w:marRight w:val="0"/>
      <w:marTop w:val="0"/>
      <w:marBottom w:val="0"/>
      <w:divBdr>
        <w:top w:val="none" w:sz="0" w:space="0" w:color="auto"/>
        <w:left w:val="none" w:sz="0" w:space="0" w:color="auto"/>
        <w:bottom w:val="none" w:sz="0" w:space="0" w:color="auto"/>
        <w:right w:val="none" w:sz="0" w:space="0" w:color="auto"/>
      </w:divBdr>
    </w:div>
    <w:div w:id="712728426">
      <w:bodyDiv w:val="1"/>
      <w:marLeft w:val="0"/>
      <w:marRight w:val="0"/>
      <w:marTop w:val="0"/>
      <w:marBottom w:val="0"/>
      <w:divBdr>
        <w:top w:val="none" w:sz="0" w:space="0" w:color="auto"/>
        <w:left w:val="none" w:sz="0" w:space="0" w:color="auto"/>
        <w:bottom w:val="none" w:sz="0" w:space="0" w:color="auto"/>
        <w:right w:val="none" w:sz="0" w:space="0" w:color="auto"/>
      </w:divBdr>
    </w:div>
    <w:div w:id="725639987">
      <w:bodyDiv w:val="1"/>
      <w:marLeft w:val="0"/>
      <w:marRight w:val="0"/>
      <w:marTop w:val="0"/>
      <w:marBottom w:val="0"/>
      <w:divBdr>
        <w:top w:val="none" w:sz="0" w:space="0" w:color="auto"/>
        <w:left w:val="none" w:sz="0" w:space="0" w:color="auto"/>
        <w:bottom w:val="none" w:sz="0" w:space="0" w:color="auto"/>
        <w:right w:val="none" w:sz="0" w:space="0" w:color="auto"/>
      </w:divBdr>
    </w:div>
    <w:div w:id="728071019">
      <w:bodyDiv w:val="1"/>
      <w:marLeft w:val="0"/>
      <w:marRight w:val="0"/>
      <w:marTop w:val="0"/>
      <w:marBottom w:val="0"/>
      <w:divBdr>
        <w:top w:val="none" w:sz="0" w:space="0" w:color="auto"/>
        <w:left w:val="none" w:sz="0" w:space="0" w:color="auto"/>
        <w:bottom w:val="none" w:sz="0" w:space="0" w:color="auto"/>
        <w:right w:val="none" w:sz="0" w:space="0" w:color="auto"/>
      </w:divBdr>
    </w:div>
    <w:div w:id="751581619">
      <w:bodyDiv w:val="1"/>
      <w:marLeft w:val="0"/>
      <w:marRight w:val="0"/>
      <w:marTop w:val="0"/>
      <w:marBottom w:val="0"/>
      <w:divBdr>
        <w:top w:val="none" w:sz="0" w:space="0" w:color="auto"/>
        <w:left w:val="none" w:sz="0" w:space="0" w:color="auto"/>
        <w:bottom w:val="none" w:sz="0" w:space="0" w:color="auto"/>
        <w:right w:val="none" w:sz="0" w:space="0" w:color="auto"/>
      </w:divBdr>
    </w:div>
    <w:div w:id="779379571">
      <w:bodyDiv w:val="1"/>
      <w:marLeft w:val="0"/>
      <w:marRight w:val="0"/>
      <w:marTop w:val="0"/>
      <w:marBottom w:val="0"/>
      <w:divBdr>
        <w:top w:val="none" w:sz="0" w:space="0" w:color="auto"/>
        <w:left w:val="none" w:sz="0" w:space="0" w:color="auto"/>
        <w:bottom w:val="none" w:sz="0" w:space="0" w:color="auto"/>
        <w:right w:val="none" w:sz="0" w:space="0" w:color="auto"/>
      </w:divBdr>
    </w:div>
    <w:div w:id="814882621">
      <w:bodyDiv w:val="1"/>
      <w:marLeft w:val="0"/>
      <w:marRight w:val="0"/>
      <w:marTop w:val="0"/>
      <w:marBottom w:val="0"/>
      <w:divBdr>
        <w:top w:val="none" w:sz="0" w:space="0" w:color="auto"/>
        <w:left w:val="none" w:sz="0" w:space="0" w:color="auto"/>
        <w:bottom w:val="none" w:sz="0" w:space="0" w:color="auto"/>
        <w:right w:val="none" w:sz="0" w:space="0" w:color="auto"/>
      </w:divBdr>
    </w:div>
    <w:div w:id="850290700">
      <w:bodyDiv w:val="1"/>
      <w:marLeft w:val="0"/>
      <w:marRight w:val="0"/>
      <w:marTop w:val="0"/>
      <w:marBottom w:val="0"/>
      <w:divBdr>
        <w:top w:val="none" w:sz="0" w:space="0" w:color="auto"/>
        <w:left w:val="none" w:sz="0" w:space="0" w:color="auto"/>
        <w:bottom w:val="none" w:sz="0" w:space="0" w:color="auto"/>
        <w:right w:val="none" w:sz="0" w:space="0" w:color="auto"/>
      </w:divBdr>
    </w:div>
    <w:div w:id="852302326">
      <w:bodyDiv w:val="1"/>
      <w:marLeft w:val="0"/>
      <w:marRight w:val="0"/>
      <w:marTop w:val="0"/>
      <w:marBottom w:val="0"/>
      <w:divBdr>
        <w:top w:val="none" w:sz="0" w:space="0" w:color="auto"/>
        <w:left w:val="none" w:sz="0" w:space="0" w:color="auto"/>
        <w:bottom w:val="none" w:sz="0" w:space="0" w:color="auto"/>
        <w:right w:val="none" w:sz="0" w:space="0" w:color="auto"/>
      </w:divBdr>
    </w:div>
    <w:div w:id="854264954">
      <w:bodyDiv w:val="1"/>
      <w:marLeft w:val="0"/>
      <w:marRight w:val="0"/>
      <w:marTop w:val="0"/>
      <w:marBottom w:val="0"/>
      <w:divBdr>
        <w:top w:val="none" w:sz="0" w:space="0" w:color="auto"/>
        <w:left w:val="none" w:sz="0" w:space="0" w:color="auto"/>
        <w:bottom w:val="none" w:sz="0" w:space="0" w:color="auto"/>
        <w:right w:val="none" w:sz="0" w:space="0" w:color="auto"/>
      </w:divBdr>
    </w:div>
    <w:div w:id="877815143">
      <w:bodyDiv w:val="1"/>
      <w:marLeft w:val="0"/>
      <w:marRight w:val="0"/>
      <w:marTop w:val="0"/>
      <w:marBottom w:val="0"/>
      <w:divBdr>
        <w:top w:val="none" w:sz="0" w:space="0" w:color="auto"/>
        <w:left w:val="none" w:sz="0" w:space="0" w:color="auto"/>
        <w:bottom w:val="none" w:sz="0" w:space="0" w:color="auto"/>
        <w:right w:val="none" w:sz="0" w:space="0" w:color="auto"/>
      </w:divBdr>
    </w:div>
    <w:div w:id="889610421">
      <w:bodyDiv w:val="1"/>
      <w:marLeft w:val="0"/>
      <w:marRight w:val="0"/>
      <w:marTop w:val="0"/>
      <w:marBottom w:val="0"/>
      <w:divBdr>
        <w:top w:val="none" w:sz="0" w:space="0" w:color="auto"/>
        <w:left w:val="none" w:sz="0" w:space="0" w:color="auto"/>
        <w:bottom w:val="none" w:sz="0" w:space="0" w:color="auto"/>
        <w:right w:val="none" w:sz="0" w:space="0" w:color="auto"/>
      </w:divBdr>
    </w:div>
    <w:div w:id="906837957">
      <w:bodyDiv w:val="1"/>
      <w:marLeft w:val="0"/>
      <w:marRight w:val="0"/>
      <w:marTop w:val="0"/>
      <w:marBottom w:val="0"/>
      <w:divBdr>
        <w:top w:val="none" w:sz="0" w:space="0" w:color="auto"/>
        <w:left w:val="none" w:sz="0" w:space="0" w:color="auto"/>
        <w:bottom w:val="none" w:sz="0" w:space="0" w:color="auto"/>
        <w:right w:val="none" w:sz="0" w:space="0" w:color="auto"/>
      </w:divBdr>
    </w:div>
    <w:div w:id="914897781">
      <w:bodyDiv w:val="1"/>
      <w:marLeft w:val="0"/>
      <w:marRight w:val="0"/>
      <w:marTop w:val="0"/>
      <w:marBottom w:val="0"/>
      <w:divBdr>
        <w:top w:val="none" w:sz="0" w:space="0" w:color="auto"/>
        <w:left w:val="none" w:sz="0" w:space="0" w:color="auto"/>
        <w:bottom w:val="none" w:sz="0" w:space="0" w:color="auto"/>
        <w:right w:val="none" w:sz="0" w:space="0" w:color="auto"/>
      </w:divBdr>
    </w:div>
    <w:div w:id="928585461">
      <w:bodyDiv w:val="1"/>
      <w:marLeft w:val="0"/>
      <w:marRight w:val="0"/>
      <w:marTop w:val="0"/>
      <w:marBottom w:val="0"/>
      <w:divBdr>
        <w:top w:val="none" w:sz="0" w:space="0" w:color="auto"/>
        <w:left w:val="none" w:sz="0" w:space="0" w:color="auto"/>
        <w:bottom w:val="none" w:sz="0" w:space="0" w:color="auto"/>
        <w:right w:val="none" w:sz="0" w:space="0" w:color="auto"/>
      </w:divBdr>
    </w:div>
    <w:div w:id="934242107">
      <w:bodyDiv w:val="1"/>
      <w:marLeft w:val="0"/>
      <w:marRight w:val="0"/>
      <w:marTop w:val="0"/>
      <w:marBottom w:val="0"/>
      <w:divBdr>
        <w:top w:val="none" w:sz="0" w:space="0" w:color="auto"/>
        <w:left w:val="none" w:sz="0" w:space="0" w:color="auto"/>
        <w:bottom w:val="none" w:sz="0" w:space="0" w:color="auto"/>
        <w:right w:val="none" w:sz="0" w:space="0" w:color="auto"/>
      </w:divBdr>
    </w:div>
    <w:div w:id="947468480">
      <w:bodyDiv w:val="1"/>
      <w:marLeft w:val="0"/>
      <w:marRight w:val="0"/>
      <w:marTop w:val="0"/>
      <w:marBottom w:val="0"/>
      <w:divBdr>
        <w:top w:val="none" w:sz="0" w:space="0" w:color="auto"/>
        <w:left w:val="none" w:sz="0" w:space="0" w:color="auto"/>
        <w:bottom w:val="none" w:sz="0" w:space="0" w:color="auto"/>
        <w:right w:val="none" w:sz="0" w:space="0" w:color="auto"/>
      </w:divBdr>
    </w:div>
    <w:div w:id="958493173">
      <w:bodyDiv w:val="1"/>
      <w:marLeft w:val="0"/>
      <w:marRight w:val="0"/>
      <w:marTop w:val="0"/>
      <w:marBottom w:val="0"/>
      <w:divBdr>
        <w:top w:val="none" w:sz="0" w:space="0" w:color="auto"/>
        <w:left w:val="none" w:sz="0" w:space="0" w:color="auto"/>
        <w:bottom w:val="none" w:sz="0" w:space="0" w:color="auto"/>
        <w:right w:val="none" w:sz="0" w:space="0" w:color="auto"/>
      </w:divBdr>
    </w:div>
    <w:div w:id="960261674">
      <w:bodyDiv w:val="1"/>
      <w:marLeft w:val="0"/>
      <w:marRight w:val="0"/>
      <w:marTop w:val="0"/>
      <w:marBottom w:val="0"/>
      <w:divBdr>
        <w:top w:val="none" w:sz="0" w:space="0" w:color="auto"/>
        <w:left w:val="none" w:sz="0" w:space="0" w:color="auto"/>
        <w:bottom w:val="none" w:sz="0" w:space="0" w:color="auto"/>
        <w:right w:val="none" w:sz="0" w:space="0" w:color="auto"/>
      </w:divBdr>
    </w:div>
    <w:div w:id="961307980">
      <w:bodyDiv w:val="1"/>
      <w:marLeft w:val="0"/>
      <w:marRight w:val="0"/>
      <w:marTop w:val="0"/>
      <w:marBottom w:val="0"/>
      <w:divBdr>
        <w:top w:val="none" w:sz="0" w:space="0" w:color="auto"/>
        <w:left w:val="none" w:sz="0" w:space="0" w:color="auto"/>
        <w:bottom w:val="none" w:sz="0" w:space="0" w:color="auto"/>
        <w:right w:val="none" w:sz="0" w:space="0" w:color="auto"/>
      </w:divBdr>
    </w:div>
    <w:div w:id="982926956">
      <w:bodyDiv w:val="1"/>
      <w:marLeft w:val="0"/>
      <w:marRight w:val="0"/>
      <w:marTop w:val="0"/>
      <w:marBottom w:val="0"/>
      <w:divBdr>
        <w:top w:val="none" w:sz="0" w:space="0" w:color="auto"/>
        <w:left w:val="none" w:sz="0" w:space="0" w:color="auto"/>
        <w:bottom w:val="none" w:sz="0" w:space="0" w:color="auto"/>
        <w:right w:val="none" w:sz="0" w:space="0" w:color="auto"/>
      </w:divBdr>
    </w:div>
    <w:div w:id="1011756226">
      <w:bodyDiv w:val="1"/>
      <w:marLeft w:val="0"/>
      <w:marRight w:val="0"/>
      <w:marTop w:val="0"/>
      <w:marBottom w:val="0"/>
      <w:divBdr>
        <w:top w:val="none" w:sz="0" w:space="0" w:color="auto"/>
        <w:left w:val="none" w:sz="0" w:space="0" w:color="auto"/>
        <w:bottom w:val="none" w:sz="0" w:space="0" w:color="auto"/>
        <w:right w:val="none" w:sz="0" w:space="0" w:color="auto"/>
      </w:divBdr>
    </w:div>
    <w:div w:id="1014577429">
      <w:bodyDiv w:val="1"/>
      <w:marLeft w:val="0"/>
      <w:marRight w:val="0"/>
      <w:marTop w:val="0"/>
      <w:marBottom w:val="0"/>
      <w:divBdr>
        <w:top w:val="none" w:sz="0" w:space="0" w:color="auto"/>
        <w:left w:val="none" w:sz="0" w:space="0" w:color="auto"/>
        <w:bottom w:val="none" w:sz="0" w:space="0" w:color="auto"/>
        <w:right w:val="none" w:sz="0" w:space="0" w:color="auto"/>
      </w:divBdr>
    </w:div>
    <w:div w:id="1017775441">
      <w:bodyDiv w:val="1"/>
      <w:marLeft w:val="0"/>
      <w:marRight w:val="0"/>
      <w:marTop w:val="0"/>
      <w:marBottom w:val="0"/>
      <w:divBdr>
        <w:top w:val="none" w:sz="0" w:space="0" w:color="auto"/>
        <w:left w:val="none" w:sz="0" w:space="0" w:color="auto"/>
        <w:bottom w:val="none" w:sz="0" w:space="0" w:color="auto"/>
        <w:right w:val="none" w:sz="0" w:space="0" w:color="auto"/>
      </w:divBdr>
    </w:div>
    <w:div w:id="1028608731">
      <w:bodyDiv w:val="1"/>
      <w:marLeft w:val="0"/>
      <w:marRight w:val="0"/>
      <w:marTop w:val="0"/>
      <w:marBottom w:val="0"/>
      <w:divBdr>
        <w:top w:val="none" w:sz="0" w:space="0" w:color="auto"/>
        <w:left w:val="none" w:sz="0" w:space="0" w:color="auto"/>
        <w:bottom w:val="none" w:sz="0" w:space="0" w:color="auto"/>
        <w:right w:val="none" w:sz="0" w:space="0" w:color="auto"/>
      </w:divBdr>
    </w:div>
    <w:div w:id="1038311728">
      <w:bodyDiv w:val="1"/>
      <w:marLeft w:val="0"/>
      <w:marRight w:val="0"/>
      <w:marTop w:val="0"/>
      <w:marBottom w:val="0"/>
      <w:divBdr>
        <w:top w:val="none" w:sz="0" w:space="0" w:color="auto"/>
        <w:left w:val="none" w:sz="0" w:space="0" w:color="auto"/>
        <w:bottom w:val="none" w:sz="0" w:space="0" w:color="auto"/>
        <w:right w:val="none" w:sz="0" w:space="0" w:color="auto"/>
      </w:divBdr>
    </w:div>
    <w:div w:id="1050613311">
      <w:bodyDiv w:val="1"/>
      <w:marLeft w:val="0"/>
      <w:marRight w:val="0"/>
      <w:marTop w:val="0"/>
      <w:marBottom w:val="0"/>
      <w:divBdr>
        <w:top w:val="none" w:sz="0" w:space="0" w:color="auto"/>
        <w:left w:val="none" w:sz="0" w:space="0" w:color="auto"/>
        <w:bottom w:val="none" w:sz="0" w:space="0" w:color="auto"/>
        <w:right w:val="none" w:sz="0" w:space="0" w:color="auto"/>
      </w:divBdr>
    </w:div>
    <w:div w:id="1076367157">
      <w:bodyDiv w:val="1"/>
      <w:marLeft w:val="0"/>
      <w:marRight w:val="0"/>
      <w:marTop w:val="0"/>
      <w:marBottom w:val="0"/>
      <w:divBdr>
        <w:top w:val="none" w:sz="0" w:space="0" w:color="auto"/>
        <w:left w:val="none" w:sz="0" w:space="0" w:color="auto"/>
        <w:bottom w:val="none" w:sz="0" w:space="0" w:color="auto"/>
        <w:right w:val="none" w:sz="0" w:space="0" w:color="auto"/>
      </w:divBdr>
    </w:div>
    <w:div w:id="1084764789">
      <w:bodyDiv w:val="1"/>
      <w:marLeft w:val="0"/>
      <w:marRight w:val="0"/>
      <w:marTop w:val="0"/>
      <w:marBottom w:val="0"/>
      <w:divBdr>
        <w:top w:val="none" w:sz="0" w:space="0" w:color="auto"/>
        <w:left w:val="none" w:sz="0" w:space="0" w:color="auto"/>
        <w:bottom w:val="none" w:sz="0" w:space="0" w:color="auto"/>
        <w:right w:val="none" w:sz="0" w:space="0" w:color="auto"/>
      </w:divBdr>
    </w:div>
    <w:div w:id="1087993026">
      <w:bodyDiv w:val="1"/>
      <w:marLeft w:val="0"/>
      <w:marRight w:val="0"/>
      <w:marTop w:val="0"/>
      <w:marBottom w:val="0"/>
      <w:divBdr>
        <w:top w:val="none" w:sz="0" w:space="0" w:color="auto"/>
        <w:left w:val="none" w:sz="0" w:space="0" w:color="auto"/>
        <w:bottom w:val="none" w:sz="0" w:space="0" w:color="auto"/>
        <w:right w:val="none" w:sz="0" w:space="0" w:color="auto"/>
      </w:divBdr>
    </w:div>
    <w:div w:id="1097211650">
      <w:bodyDiv w:val="1"/>
      <w:marLeft w:val="0"/>
      <w:marRight w:val="0"/>
      <w:marTop w:val="0"/>
      <w:marBottom w:val="0"/>
      <w:divBdr>
        <w:top w:val="none" w:sz="0" w:space="0" w:color="auto"/>
        <w:left w:val="none" w:sz="0" w:space="0" w:color="auto"/>
        <w:bottom w:val="none" w:sz="0" w:space="0" w:color="auto"/>
        <w:right w:val="none" w:sz="0" w:space="0" w:color="auto"/>
      </w:divBdr>
    </w:div>
    <w:div w:id="1108043230">
      <w:bodyDiv w:val="1"/>
      <w:marLeft w:val="0"/>
      <w:marRight w:val="0"/>
      <w:marTop w:val="0"/>
      <w:marBottom w:val="0"/>
      <w:divBdr>
        <w:top w:val="none" w:sz="0" w:space="0" w:color="auto"/>
        <w:left w:val="none" w:sz="0" w:space="0" w:color="auto"/>
        <w:bottom w:val="none" w:sz="0" w:space="0" w:color="auto"/>
        <w:right w:val="none" w:sz="0" w:space="0" w:color="auto"/>
      </w:divBdr>
    </w:div>
    <w:div w:id="1108770496">
      <w:bodyDiv w:val="1"/>
      <w:marLeft w:val="0"/>
      <w:marRight w:val="0"/>
      <w:marTop w:val="0"/>
      <w:marBottom w:val="0"/>
      <w:divBdr>
        <w:top w:val="none" w:sz="0" w:space="0" w:color="auto"/>
        <w:left w:val="none" w:sz="0" w:space="0" w:color="auto"/>
        <w:bottom w:val="none" w:sz="0" w:space="0" w:color="auto"/>
        <w:right w:val="none" w:sz="0" w:space="0" w:color="auto"/>
      </w:divBdr>
    </w:div>
    <w:div w:id="1120613015">
      <w:bodyDiv w:val="1"/>
      <w:marLeft w:val="0"/>
      <w:marRight w:val="0"/>
      <w:marTop w:val="0"/>
      <w:marBottom w:val="0"/>
      <w:divBdr>
        <w:top w:val="none" w:sz="0" w:space="0" w:color="auto"/>
        <w:left w:val="none" w:sz="0" w:space="0" w:color="auto"/>
        <w:bottom w:val="none" w:sz="0" w:space="0" w:color="auto"/>
        <w:right w:val="none" w:sz="0" w:space="0" w:color="auto"/>
      </w:divBdr>
    </w:div>
    <w:div w:id="1168911581">
      <w:bodyDiv w:val="1"/>
      <w:marLeft w:val="0"/>
      <w:marRight w:val="0"/>
      <w:marTop w:val="0"/>
      <w:marBottom w:val="0"/>
      <w:divBdr>
        <w:top w:val="none" w:sz="0" w:space="0" w:color="auto"/>
        <w:left w:val="none" w:sz="0" w:space="0" w:color="auto"/>
        <w:bottom w:val="none" w:sz="0" w:space="0" w:color="auto"/>
        <w:right w:val="none" w:sz="0" w:space="0" w:color="auto"/>
      </w:divBdr>
    </w:div>
    <w:div w:id="1177504417">
      <w:bodyDiv w:val="1"/>
      <w:marLeft w:val="0"/>
      <w:marRight w:val="0"/>
      <w:marTop w:val="0"/>
      <w:marBottom w:val="0"/>
      <w:divBdr>
        <w:top w:val="none" w:sz="0" w:space="0" w:color="auto"/>
        <w:left w:val="none" w:sz="0" w:space="0" w:color="auto"/>
        <w:bottom w:val="none" w:sz="0" w:space="0" w:color="auto"/>
        <w:right w:val="none" w:sz="0" w:space="0" w:color="auto"/>
      </w:divBdr>
    </w:div>
    <w:div w:id="1195266702">
      <w:bodyDiv w:val="1"/>
      <w:marLeft w:val="0"/>
      <w:marRight w:val="0"/>
      <w:marTop w:val="0"/>
      <w:marBottom w:val="0"/>
      <w:divBdr>
        <w:top w:val="none" w:sz="0" w:space="0" w:color="auto"/>
        <w:left w:val="none" w:sz="0" w:space="0" w:color="auto"/>
        <w:bottom w:val="none" w:sz="0" w:space="0" w:color="auto"/>
        <w:right w:val="none" w:sz="0" w:space="0" w:color="auto"/>
      </w:divBdr>
    </w:div>
    <w:div w:id="1210218987">
      <w:bodyDiv w:val="1"/>
      <w:marLeft w:val="0"/>
      <w:marRight w:val="0"/>
      <w:marTop w:val="0"/>
      <w:marBottom w:val="0"/>
      <w:divBdr>
        <w:top w:val="none" w:sz="0" w:space="0" w:color="auto"/>
        <w:left w:val="none" w:sz="0" w:space="0" w:color="auto"/>
        <w:bottom w:val="none" w:sz="0" w:space="0" w:color="auto"/>
        <w:right w:val="none" w:sz="0" w:space="0" w:color="auto"/>
      </w:divBdr>
      <w:divsChild>
        <w:div w:id="57944257">
          <w:marLeft w:val="1800"/>
          <w:marRight w:val="0"/>
          <w:marTop w:val="86"/>
          <w:marBottom w:val="0"/>
          <w:divBdr>
            <w:top w:val="none" w:sz="0" w:space="0" w:color="auto"/>
            <w:left w:val="none" w:sz="0" w:space="0" w:color="auto"/>
            <w:bottom w:val="none" w:sz="0" w:space="0" w:color="auto"/>
            <w:right w:val="none" w:sz="0" w:space="0" w:color="auto"/>
          </w:divBdr>
        </w:div>
        <w:div w:id="150221522">
          <w:marLeft w:val="547"/>
          <w:marRight w:val="0"/>
          <w:marTop w:val="432"/>
          <w:marBottom w:val="0"/>
          <w:divBdr>
            <w:top w:val="none" w:sz="0" w:space="0" w:color="auto"/>
            <w:left w:val="none" w:sz="0" w:space="0" w:color="auto"/>
            <w:bottom w:val="none" w:sz="0" w:space="0" w:color="auto"/>
            <w:right w:val="none" w:sz="0" w:space="0" w:color="auto"/>
          </w:divBdr>
        </w:div>
        <w:div w:id="359554717">
          <w:marLeft w:val="1166"/>
          <w:marRight w:val="0"/>
          <w:marTop w:val="240"/>
          <w:marBottom w:val="0"/>
          <w:divBdr>
            <w:top w:val="none" w:sz="0" w:space="0" w:color="auto"/>
            <w:left w:val="none" w:sz="0" w:space="0" w:color="auto"/>
            <w:bottom w:val="none" w:sz="0" w:space="0" w:color="auto"/>
            <w:right w:val="none" w:sz="0" w:space="0" w:color="auto"/>
          </w:divBdr>
        </w:div>
        <w:div w:id="848638185">
          <w:marLeft w:val="547"/>
          <w:marRight w:val="0"/>
          <w:marTop w:val="432"/>
          <w:marBottom w:val="0"/>
          <w:divBdr>
            <w:top w:val="none" w:sz="0" w:space="0" w:color="auto"/>
            <w:left w:val="none" w:sz="0" w:space="0" w:color="auto"/>
            <w:bottom w:val="none" w:sz="0" w:space="0" w:color="auto"/>
            <w:right w:val="none" w:sz="0" w:space="0" w:color="auto"/>
          </w:divBdr>
        </w:div>
        <w:div w:id="1216743316">
          <w:marLeft w:val="1800"/>
          <w:marRight w:val="0"/>
          <w:marTop w:val="86"/>
          <w:marBottom w:val="0"/>
          <w:divBdr>
            <w:top w:val="none" w:sz="0" w:space="0" w:color="auto"/>
            <w:left w:val="none" w:sz="0" w:space="0" w:color="auto"/>
            <w:bottom w:val="none" w:sz="0" w:space="0" w:color="auto"/>
            <w:right w:val="none" w:sz="0" w:space="0" w:color="auto"/>
          </w:divBdr>
        </w:div>
        <w:div w:id="1283267690">
          <w:marLeft w:val="547"/>
          <w:marRight w:val="0"/>
          <w:marTop w:val="432"/>
          <w:marBottom w:val="0"/>
          <w:divBdr>
            <w:top w:val="none" w:sz="0" w:space="0" w:color="auto"/>
            <w:left w:val="none" w:sz="0" w:space="0" w:color="auto"/>
            <w:bottom w:val="none" w:sz="0" w:space="0" w:color="auto"/>
            <w:right w:val="none" w:sz="0" w:space="0" w:color="auto"/>
          </w:divBdr>
        </w:div>
        <w:div w:id="1747653650">
          <w:marLeft w:val="1166"/>
          <w:marRight w:val="0"/>
          <w:marTop w:val="240"/>
          <w:marBottom w:val="0"/>
          <w:divBdr>
            <w:top w:val="none" w:sz="0" w:space="0" w:color="auto"/>
            <w:left w:val="none" w:sz="0" w:space="0" w:color="auto"/>
            <w:bottom w:val="none" w:sz="0" w:space="0" w:color="auto"/>
            <w:right w:val="none" w:sz="0" w:space="0" w:color="auto"/>
          </w:divBdr>
        </w:div>
        <w:div w:id="1755972270">
          <w:marLeft w:val="1800"/>
          <w:marRight w:val="0"/>
          <w:marTop w:val="86"/>
          <w:marBottom w:val="0"/>
          <w:divBdr>
            <w:top w:val="none" w:sz="0" w:space="0" w:color="auto"/>
            <w:left w:val="none" w:sz="0" w:space="0" w:color="auto"/>
            <w:bottom w:val="none" w:sz="0" w:space="0" w:color="auto"/>
            <w:right w:val="none" w:sz="0" w:space="0" w:color="auto"/>
          </w:divBdr>
        </w:div>
        <w:div w:id="1995834867">
          <w:marLeft w:val="1166"/>
          <w:marRight w:val="0"/>
          <w:marTop w:val="240"/>
          <w:marBottom w:val="0"/>
          <w:divBdr>
            <w:top w:val="none" w:sz="0" w:space="0" w:color="auto"/>
            <w:left w:val="none" w:sz="0" w:space="0" w:color="auto"/>
            <w:bottom w:val="none" w:sz="0" w:space="0" w:color="auto"/>
            <w:right w:val="none" w:sz="0" w:space="0" w:color="auto"/>
          </w:divBdr>
        </w:div>
        <w:div w:id="2103068798">
          <w:marLeft w:val="1800"/>
          <w:marRight w:val="0"/>
          <w:marTop w:val="86"/>
          <w:marBottom w:val="0"/>
          <w:divBdr>
            <w:top w:val="none" w:sz="0" w:space="0" w:color="auto"/>
            <w:left w:val="none" w:sz="0" w:space="0" w:color="auto"/>
            <w:bottom w:val="none" w:sz="0" w:space="0" w:color="auto"/>
            <w:right w:val="none" w:sz="0" w:space="0" w:color="auto"/>
          </w:divBdr>
        </w:div>
      </w:divsChild>
    </w:div>
    <w:div w:id="1211840633">
      <w:bodyDiv w:val="1"/>
      <w:marLeft w:val="0"/>
      <w:marRight w:val="0"/>
      <w:marTop w:val="0"/>
      <w:marBottom w:val="0"/>
      <w:divBdr>
        <w:top w:val="none" w:sz="0" w:space="0" w:color="auto"/>
        <w:left w:val="none" w:sz="0" w:space="0" w:color="auto"/>
        <w:bottom w:val="none" w:sz="0" w:space="0" w:color="auto"/>
        <w:right w:val="none" w:sz="0" w:space="0" w:color="auto"/>
      </w:divBdr>
    </w:div>
    <w:div w:id="1230775635">
      <w:bodyDiv w:val="1"/>
      <w:marLeft w:val="0"/>
      <w:marRight w:val="0"/>
      <w:marTop w:val="0"/>
      <w:marBottom w:val="0"/>
      <w:divBdr>
        <w:top w:val="none" w:sz="0" w:space="0" w:color="auto"/>
        <w:left w:val="none" w:sz="0" w:space="0" w:color="auto"/>
        <w:bottom w:val="none" w:sz="0" w:space="0" w:color="auto"/>
        <w:right w:val="none" w:sz="0" w:space="0" w:color="auto"/>
      </w:divBdr>
    </w:div>
    <w:div w:id="1234463593">
      <w:bodyDiv w:val="1"/>
      <w:marLeft w:val="0"/>
      <w:marRight w:val="0"/>
      <w:marTop w:val="0"/>
      <w:marBottom w:val="0"/>
      <w:divBdr>
        <w:top w:val="none" w:sz="0" w:space="0" w:color="auto"/>
        <w:left w:val="none" w:sz="0" w:space="0" w:color="auto"/>
        <w:bottom w:val="none" w:sz="0" w:space="0" w:color="auto"/>
        <w:right w:val="none" w:sz="0" w:space="0" w:color="auto"/>
      </w:divBdr>
    </w:div>
    <w:div w:id="1250504429">
      <w:bodyDiv w:val="1"/>
      <w:marLeft w:val="0"/>
      <w:marRight w:val="0"/>
      <w:marTop w:val="0"/>
      <w:marBottom w:val="0"/>
      <w:divBdr>
        <w:top w:val="none" w:sz="0" w:space="0" w:color="auto"/>
        <w:left w:val="none" w:sz="0" w:space="0" w:color="auto"/>
        <w:bottom w:val="none" w:sz="0" w:space="0" w:color="auto"/>
        <w:right w:val="none" w:sz="0" w:space="0" w:color="auto"/>
      </w:divBdr>
    </w:div>
    <w:div w:id="1259830610">
      <w:bodyDiv w:val="1"/>
      <w:marLeft w:val="0"/>
      <w:marRight w:val="0"/>
      <w:marTop w:val="0"/>
      <w:marBottom w:val="0"/>
      <w:divBdr>
        <w:top w:val="none" w:sz="0" w:space="0" w:color="auto"/>
        <w:left w:val="none" w:sz="0" w:space="0" w:color="auto"/>
        <w:bottom w:val="none" w:sz="0" w:space="0" w:color="auto"/>
        <w:right w:val="none" w:sz="0" w:space="0" w:color="auto"/>
      </w:divBdr>
    </w:div>
    <w:div w:id="1262495556">
      <w:bodyDiv w:val="1"/>
      <w:marLeft w:val="0"/>
      <w:marRight w:val="0"/>
      <w:marTop w:val="0"/>
      <w:marBottom w:val="0"/>
      <w:divBdr>
        <w:top w:val="none" w:sz="0" w:space="0" w:color="auto"/>
        <w:left w:val="none" w:sz="0" w:space="0" w:color="auto"/>
        <w:bottom w:val="none" w:sz="0" w:space="0" w:color="auto"/>
        <w:right w:val="none" w:sz="0" w:space="0" w:color="auto"/>
      </w:divBdr>
      <w:divsChild>
        <w:div w:id="123354898">
          <w:marLeft w:val="1166"/>
          <w:marRight w:val="0"/>
          <w:marTop w:val="264"/>
          <w:marBottom w:val="0"/>
          <w:divBdr>
            <w:top w:val="none" w:sz="0" w:space="0" w:color="auto"/>
            <w:left w:val="none" w:sz="0" w:space="0" w:color="auto"/>
            <w:bottom w:val="none" w:sz="0" w:space="0" w:color="auto"/>
            <w:right w:val="none" w:sz="0" w:space="0" w:color="auto"/>
          </w:divBdr>
        </w:div>
        <w:div w:id="1455372264">
          <w:marLeft w:val="547"/>
          <w:marRight w:val="0"/>
          <w:marTop w:val="504"/>
          <w:marBottom w:val="0"/>
          <w:divBdr>
            <w:top w:val="none" w:sz="0" w:space="0" w:color="auto"/>
            <w:left w:val="none" w:sz="0" w:space="0" w:color="auto"/>
            <w:bottom w:val="none" w:sz="0" w:space="0" w:color="auto"/>
            <w:right w:val="none" w:sz="0" w:space="0" w:color="auto"/>
          </w:divBdr>
        </w:div>
        <w:div w:id="2140605960">
          <w:marLeft w:val="547"/>
          <w:marRight w:val="0"/>
          <w:marTop w:val="504"/>
          <w:marBottom w:val="0"/>
          <w:divBdr>
            <w:top w:val="none" w:sz="0" w:space="0" w:color="auto"/>
            <w:left w:val="none" w:sz="0" w:space="0" w:color="auto"/>
            <w:bottom w:val="none" w:sz="0" w:space="0" w:color="auto"/>
            <w:right w:val="none" w:sz="0" w:space="0" w:color="auto"/>
          </w:divBdr>
        </w:div>
      </w:divsChild>
    </w:div>
    <w:div w:id="1284533527">
      <w:bodyDiv w:val="1"/>
      <w:marLeft w:val="0"/>
      <w:marRight w:val="0"/>
      <w:marTop w:val="0"/>
      <w:marBottom w:val="0"/>
      <w:divBdr>
        <w:top w:val="none" w:sz="0" w:space="0" w:color="auto"/>
        <w:left w:val="none" w:sz="0" w:space="0" w:color="auto"/>
        <w:bottom w:val="none" w:sz="0" w:space="0" w:color="auto"/>
        <w:right w:val="none" w:sz="0" w:space="0" w:color="auto"/>
      </w:divBdr>
    </w:div>
    <w:div w:id="1288587061">
      <w:bodyDiv w:val="1"/>
      <w:marLeft w:val="0"/>
      <w:marRight w:val="0"/>
      <w:marTop w:val="0"/>
      <w:marBottom w:val="0"/>
      <w:divBdr>
        <w:top w:val="none" w:sz="0" w:space="0" w:color="auto"/>
        <w:left w:val="none" w:sz="0" w:space="0" w:color="auto"/>
        <w:bottom w:val="none" w:sz="0" w:space="0" w:color="auto"/>
        <w:right w:val="none" w:sz="0" w:space="0" w:color="auto"/>
      </w:divBdr>
    </w:div>
    <w:div w:id="1292783893">
      <w:bodyDiv w:val="1"/>
      <w:marLeft w:val="0"/>
      <w:marRight w:val="0"/>
      <w:marTop w:val="0"/>
      <w:marBottom w:val="0"/>
      <w:divBdr>
        <w:top w:val="none" w:sz="0" w:space="0" w:color="auto"/>
        <w:left w:val="none" w:sz="0" w:space="0" w:color="auto"/>
        <w:bottom w:val="none" w:sz="0" w:space="0" w:color="auto"/>
        <w:right w:val="none" w:sz="0" w:space="0" w:color="auto"/>
      </w:divBdr>
    </w:div>
    <w:div w:id="1297951576">
      <w:bodyDiv w:val="1"/>
      <w:marLeft w:val="0"/>
      <w:marRight w:val="0"/>
      <w:marTop w:val="0"/>
      <w:marBottom w:val="0"/>
      <w:divBdr>
        <w:top w:val="none" w:sz="0" w:space="0" w:color="auto"/>
        <w:left w:val="none" w:sz="0" w:space="0" w:color="auto"/>
        <w:bottom w:val="none" w:sz="0" w:space="0" w:color="auto"/>
        <w:right w:val="none" w:sz="0" w:space="0" w:color="auto"/>
      </w:divBdr>
    </w:div>
    <w:div w:id="1303845215">
      <w:bodyDiv w:val="1"/>
      <w:marLeft w:val="0"/>
      <w:marRight w:val="0"/>
      <w:marTop w:val="0"/>
      <w:marBottom w:val="0"/>
      <w:divBdr>
        <w:top w:val="none" w:sz="0" w:space="0" w:color="auto"/>
        <w:left w:val="none" w:sz="0" w:space="0" w:color="auto"/>
        <w:bottom w:val="none" w:sz="0" w:space="0" w:color="auto"/>
        <w:right w:val="none" w:sz="0" w:space="0" w:color="auto"/>
      </w:divBdr>
    </w:div>
    <w:div w:id="1311670263">
      <w:bodyDiv w:val="1"/>
      <w:marLeft w:val="0"/>
      <w:marRight w:val="0"/>
      <w:marTop w:val="0"/>
      <w:marBottom w:val="0"/>
      <w:divBdr>
        <w:top w:val="none" w:sz="0" w:space="0" w:color="auto"/>
        <w:left w:val="none" w:sz="0" w:space="0" w:color="auto"/>
        <w:bottom w:val="none" w:sz="0" w:space="0" w:color="auto"/>
        <w:right w:val="none" w:sz="0" w:space="0" w:color="auto"/>
      </w:divBdr>
    </w:div>
    <w:div w:id="1316184115">
      <w:bodyDiv w:val="1"/>
      <w:marLeft w:val="0"/>
      <w:marRight w:val="0"/>
      <w:marTop w:val="0"/>
      <w:marBottom w:val="0"/>
      <w:divBdr>
        <w:top w:val="none" w:sz="0" w:space="0" w:color="auto"/>
        <w:left w:val="none" w:sz="0" w:space="0" w:color="auto"/>
        <w:bottom w:val="none" w:sz="0" w:space="0" w:color="auto"/>
        <w:right w:val="none" w:sz="0" w:space="0" w:color="auto"/>
      </w:divBdr>
    </w:div>
    <w:div w:id="1337079850">
      <w:bodyDiv w:val="1"/>
      <w:marLeft w:val="0"/>
      <w:marRight w:val="0"/>
      <w:marTop w:val="0"/>
      <w:marBottom w:val="0"/>
      <w:divBdr>
        <w:top w:val="none" w:sz="0" w:space="0" w:color="auto"/>
        <w:left w:val="none" w:sz="0" w:space="0" w:color="auto"/>
        <w:bottom w:val="none" w:sz="0" w:space="0" w:color="auto"/>
        <w:right w:val="none" w:sz="0" w:space="0" w:color="auto"/>
      </w:divBdr>
    </w:div>
    <w:div w:id="1340735935">
      <w:bodyDiv w:val="1"/>
      <w:marLeft w:val="0"/>
      <w:marRight w:val="0"/>
      <w:marTop w:val="0"/>
      <w:marBottom w:val="0"/>
      <w:divBdr>
        <w:top w:val="none" w:sz="0" w:space="0" w:color="auto"/>
        <w:left w:val="none" w:sz="0" w:space="0" w:color="auto"/>
        <w:bottom w:val="none" w:sz="0" w:space="0" w:color="auto"/>
        <w:right w:val="none" w:sz="0" w:space="0" w:color="auto"/>
      </w:divBdr>
    </w:div>
    <w:div w:id="1369987837">
      <w:bodyDiv w:val="1"/>
      <w:marLeft w:val="0"/>
      <w:marRight w:val="0"/>
      <w:marTop w:val="0"/>
      <w:marBottom w:val="0"/>
      <w:divBdr>
        <w:top w:val="none" w:sz="0" w:space="0" w:color="auto"/>
        <w:left w:val="none" w:sz="0" w:space="0" w:color="auto"/>
        <w:bottom w:val="none" w:sz="0" w:space="0" w:color="auto"/>
        <w:right w:val="none" w:sz="0" w:space="0" w:color="auto"/>
      </w:divBdr>
    </w:div>
    <w:div w:id="1376153024">
      <w:bodyDiv w:val="1"/>
      <w:marLeft w:val="0"/>
      <w:marRight w:val="0"/>
      <w:marTop w:val="0"/>
      <w:marBottom w:val="0"/>
      <w:divBdr>
        <w:top w:val="none" w:sz="0" w:space="0" w:color="auto"/>
        <w:left w:val="none" w:sz="0" w:space="0" w:color="auto"/>
        <w:bottom w:val="none" w:sz="0" w:space="0" w:color="auto"/>
        <w:right w:val="none" w:sz="0" w:space="0" w:color="auto"/>
      </w:divBdr>
    </w:div>
    <w:div w:id="1384602772">
      <w:bodyDiv w:val="1"/>
      <w:marLeft w:val="0"/>
      <w:marRight w:val="0"/>
      <w:marTop w:val="0"/>
      <w:marBottom w:val="0"/>
      <w:divBdr>
        <w:top w:val="none" w:sz="0" w:space="0" w:color="auto"/>
        <w:left w:val="none" w:sz="0" w:space="0" w:color="auto"/>
        <w:bottom w:val="none" w:sz="0" w:space="0" w:color="auto"/>
        <w:right w:val="none" w:sz="0" w:space="0" w:color="auto"/>
      </w:divBdr>
    </w:div>
    <w:div w:id="1391342481">
      <w:bodyDiv w:val="1"/>
      <w:marLeft w:val="0"/>
      <w:marRight w:val="0"/>
      <w:marTop w:val="0"/>
      <w:marBottom w:val="0"/>
      <w:divBdr>
        <w:top w:val="none" w:sz="0" w:space="0" w:color="auto"/>
        <w:left w:val="none" w:sz="0" w:space="0" w:color="auto"/>
        <w:bottom w:val="none" w:sz="0" w:space="0" w:color="auto"/>
        <w:right w:val="none" w:sz="0" w:space="0" w:color="auto"/>
      </w:divBdr>
    </w:div>
    <w:div w:id="1403020455">
      <w:bodyDiv w:val="1"/>
      <w:marLeft w:val="0"/>
      <w:marRight w:val="0"/>
      <w:marTop w:val="0"/>
      <w:marBottom w:val="0"/>
      <w:divBdr>
        <w:top w:val="none" w:sz="0" w:space="0" w:color="auto"/>
        <w:left w:val="none" w:sz="0" w:space="0" w:color="auto"/>
        <w:bottom w:val="none" w:sz="0" w:space="0" w:color="auto"/>
        <w:right w:val="none" w:sz="0" w:space="0" w:color="auto"/>
      </w:divBdr>
    </w:div>
    <w:div w:id="1424031928">
      <w:bodyDiv w:val="1"/>
      <w:marLeft w:val="0"/>
      <w:marRight w:val="0"/>
      <w:marTop w:val="0"/>
      <w:marBottom w:val="0"/>
      <w:divBdr>
        <w:top w:val="none" w:sz="0" w:space="0" w:color="auto"/>
        <w:left w:val="none" w:sz="0" w:space="0" w:color="auto"/>
        <w:bottom w:val="none" w:sz="0" w:space="0" w:color="auto"/>
        <w:right w:val="none" w:sz="0" w:space="0" w:color="auto"/>
      </w:divBdr>
    </w:div>
    <w:div w:id="1432316474">
      <w:bodyDiv w:val="1"/>
      <w:marLeft w:val="0"/>
      <w:marRight w:val="0"/>
      <w:marTop w:val="0"/>
      <w:marBottom w:val="0"/>
      <w:divBdr>
        <w:top w:val="none" w:sz="0" w:space="0" w:color="auto"/>
        <w:left w:val="none" w:sz="0" w:space="0" w:color="auto"/>
        <w:bottom w:val="none" w:sz="0" w:space="0" w:color="auto"/>
        <w:right w:val="none" w:sz="0" w:space="0" w:color="auto"/>
      </w:divBdr>
    </w:div>
    <w:div w:id="1437364662">
      <w:bodyDiv w:val="1"/>
      <w:marLeft w:val="0"/>
      <w:marRight w:val="0"/>
      <w:marTop w:val="0"/>
      <w:marBottom w:val="0"/>
      <w:divBdr>
        <w:top w:val="none" w:sz="0" w:space="0" w:color="auto"/>
        <w:left w:val="none" w:sz="0" w:space="0" w:color="auto"/>
        <w:bottom w:val="none" w:sz="0" w:space="0" w:color="auto"/>
        <w:right w:val="none" w:sz="0" w:space="0" w:color="auto"/>
      </w:divBdr>
    </w:div>
    <w:div w:id="1473979577">
      <w:bodyDiv w:val="1"/>
      <w:marLeft w:val="0"/>
      <w:marRight w:val="0"/>
      <w:marTop w:val="0"/>
      <w:marBottom w:val="0"/>
      <w:divBdr>
        <w:top w:val="none" w:sz="0" w:space="0" w:color="auto"/>
        <w:left w:val="none" w:sz="0" w:space="0" w:color="auto"/>
        <w:bottom w:val="none" w:sz="0" w:space="0" w:color="auto"/>
        <w:right w:val="none" w:sz="0" w:space="0" w:color="auto"/>
      </w:divBdr>
    </w:div>
    <w:div w:id="1482581825">
      <w:bodyDiv w:val="1"/>
      <w:marLeft w:val="0"/>
      <w:marRight w:val="0"/>
      <w:marTop w:val="0"/>
      <w:marBottom w:val="0"/>
      <w:divBdr>
        <w:top w:val="none" w:sz="0" w:space="0" w:color="auto"/>
        <w:left w:val="none" w:sz="0" w:space="0" w:color="auto"/>
        <w:bottom w:val="none" w:sz="0" w:space="0" w:color="auto"/>
        <w:right w:val="none" w:sz="0" w:space="0" w:color="auto"/>
      </w:divBdr>
    </w:div>
    <w:div w:id="1511600875">
      <w:bodyDiv w:val="1"/>
      <w:marLeft w:val="0"/>
      <w:marRight w:val="0"/>
      <w:marTop w:val="0"/>
      <w:marBottom w:val="0"/>
      <w:divBdr>
        <w:top w:val="none" w:sz="0" w:space="0" w:color="auto"/>
        <w:left w:val="none" w:sz="0" w:space="0" w:color="auto"/>
        <w:bottom w:val="none" w:sz="0" w:space="0" w:color="auto"/>
        <w:right w:val="none" w:sz="0" w:space="0" w:color="auto"/>
      </w:divBdr>
    </w:div>
    <w:div w:id="1542470922">
      <w:bodyDiv w:val="1"/>
      <w:marLeft w:val="0"/>
      <w:marRight w:val="0"/>
      <w:marTop w:val="0"/>
      <w:marBottom w:val="0"/>
      <w:divBdr>
        <w:top w:val="none" w:sz="0" w:space="0" w:color="auto"/>
        <w:left w:val="none" w:sz="0" w:space="0" w:color="auto"/>
        <w:bottom w:val="none" w:sz="0" w:space="0" w:color="auto"/>
        <w:right w:val="none" w:sz="0" w:space="0" w:color="auto"/>
      </w:divBdr>
    </w:div>
    <w:div w:id="1548909851">
      <w:bodyDiv w:val="1"/>
      <w:marLeft w:val="0"/>
      <w:marRight w:val="0"/>
      <w:marTop w:val="0"/>
      <w:marBottom w:val="0"/>
      <w:divBdr>
        <w:top w:val="none" w:sz="0" w:space="0" w:color="auto"/>
        <w:left w:val="none" w:sz="0" w:space="0" w:color="auto"/>
        <w:bottom w:val="none" w:sz="0" w:space="0" w:color="auto"/>
        <w:right w:val="none" w:sz="0" w:space="0" w:color="auto"/>
      </w:divBdr>
    </w:div>
    <w:div w:id="1567228602">
      <w:bodyDiv w:val="1"/>
      <w:marLeft w:val="0"/>
      <w:marRight w:val="0"/>
      <w:marTop w:val="0"/>
      <w:marBottom w:val="0"/>
      <w:divBdr>
        <w:top w:val="none" w:sz="0" w:space="0" w:color="auto"/>
        <w:left w:val="none" w:sz="0" w:space="0" w:color="auto"/>
        <w:bottom w:val="none" w:sz="0" w:space="0" w:color="auto"/>
        <w:right w:val="none" w:sz="0" w:space="0" w:color="auto"/>
      </w:divBdr>
    </w:div>
    <w:div w:id="1567958598">
      <w:bodyDiv w:val="1"/>
      <w:marLeft w:val="0"/>
      <w:marRight w:val="0"/>
      <w:marTop w:val="0"/>
      <w:marBottom w:val="0"/>
      <w:divBdr>
        <w:top w:val="none" w:sz="0" w:space="0" w:color="auto"/>
        <w:left w:val="none" w:sz="0" w:space="0" w:color="auto"/>
        <w:bottom w:val="none" w:sz="0" w:space="0" w:color="auto"/>
        <w:right w:val="none" w:sz="0" w:space="0" w:color="auto"/>
      </w:divBdr>
    </w:div>
    <w:div w:id="1576359241">
      <w:bodyDiv w:val="1"/>
      <w:marLeft w:val="0"/>
      <w:marRight w:val="0"/>
      <w:marTop w:val="0"/>
      <w:marBottom w:val="0"/>
      <w:divBdr>
        <w:top w:val="none" w:sz="0" w:space="0" w:color="auto"/>
        <w:left w:val="none" w:sz="0" w:space="0" w:color="auto"/>
        <w:bottom w:val="none" w:sz="0" w:space="0" w:color="auto"/>
        <w:right w:val="none" w:sz="0" w:space="0" w:color="auto"/>
      </w:divBdr>
    </w:div>
    <w:div w:id="1585528089">
      <w:bodyDiv w:val="1"/>
      <w:marLeft w:val="0"/>
      <w:marRight w:val="0"/>
      <w:marTop w:val="0"/>
      <w:marBottom w:val="0"/>
      <w:divBdr>
        <w:top w:val="none" w:sz="0" w:space="0" w:color="auto"/>
        <w:left w:val="none" w:sz="0" w:space="0" w:color="auto"/>
        <w:bottom w:val="none" w:sz="0" w:space="0" w:color="auto"/>
        <w:right w:val="none" w:sz="0" w:space="0" w:color="auto"/>
      </w:divBdr>
    </w:div>
    <w:div w:id="1593128550">
      <w:bodyDiv w:val="1"/>
      <w:marLeft w:val="0"/>
      <w:marRight w:val="0"/>
      <w:marTop w:val="0"/>
      <w:marBottom w:val="0"/>
      <w:divBdr>
        <w:top w:val="none" w:sz="0" w:space="0" w:color="auto"/>
        <w:left w:val="none" w:sz="0" w:space="0" w:color="auto"/>
        <w:bottom w:val="none" w:sz="0" w:space="0" w:color="auto"/>
        <w:right w:val="none" w:sz="0" w:space="0" w:color="auto"/>
      </w:divBdr>
    </w:div>
    <w:div w:id="1608535407">
      <w:bodyDiv w:val="1"/>
      <w:marLeft w:val="0"/>
      <w:marRight w:val="0"/>
      <w:marTop w:val="0"/>
      <w:marBottom w:val="0"/>
      <w:divBdr>
        <w:top w:val="none" w:sz="0" w:space="0" w:color="auto"/>
        <w:left w:val="none" w:sz="0" w:space="0" w:color="auto"/>
        <w:bottom w:val="none" w:sz="0" w:space="0" w:color="auto"/>
        <w:right w:val="none" w:sz="0" w:space="0" w:color="auto"/>
      </w:divBdr>
    </w:div>
    <w:div w:id="1608658010">
      <w:bodyDiv w:val="1"/>
      <w:marLeft w:val="0"/>
      <w:marRight w:val="0"/>
      <w:marTop w:val="0"/>
      <w:marBottom w:val="0"/>
      <w:divBdr>
        <w:top w:val="none" w:sz="0" w:space="0" w:color="auto"/>
        <w:left w:val="none" w:sz="0" w:space="0" w:color="auto"/>
        <w:bottom w:val="none" w:sz="0" w:space="0" w:color="auto"/>
        <w:right w:val="none" w:sz="0" w:space="0" w:color="auto"/>
      </w:divBdr>
    </w:div>
    <w:div w:id="1619869523">
      <w:bodyDiv w:val="1"/>
      <w:marLeft w:val="0"/>
      <w:marRight w:val="0"/>
      <w:marTop w:val="0"/>
      <w:marBottom w:val="0"/>
      <w:divBdr>
        <w:top w:val="none" w:sz="0" w:space="0" w:color="auto"/>
        <w:left w:val="none" w:sz="0" w:space="0" w:color="auto"/>
        <w:bottom w:val="none" w:sz="0" w:space="0" w:color="auto"/>
        <w:right w:val="none" w:sz="0" w:space="0" w:color="auto"/>
      </w:divBdr>
    </w:div>
    <w:div w:id="1625696122">
      <w:bodyDiv w:val="1"/>
      <w:marLeft w:val="0"/>
      <w:marRight w:val="0"/>
      <w:marTop w:val="0"/>
      <w:marBottom w:val="0"/>
      <w:divBdr>
        <w:top w:val="none" w:sz="0" w:space="0" w:color="auto"/>
        <w:left w:val="none" w:sz="0" w:space="0" w:color="auto"/>
        <w:bottom w:val="none" w:sz="0" w:space="0" w:color="auto"/>
        <w:right w:val="none" w:sz="0" w:space="0" w:color="auto"/>
      </w:divBdr>
    </w:div>
    <w:div w:id="1627586683">
      <w:bodyDiv w:val="1"/>
      <w:marLeft w:val="0"/>
      <w:marRight w:val="0"/>
      <w:marTop w:val="0"/>
      <w:marBottom w:val="0"/>
      <w:divBdr>
        <w:top w:val="none" w:sz="0" w:space="0" w:color="auto"/>
        <w:left w:val="none" w:sz="0" w:space="0" w:color="auto"/>
        <w:bottom w:val="none" w:sz="0" w:space="0" w:color="auto"/>
        <w:right w:val="none" w:sz="0" w:space="0" w:color="auto"/>
      </w:divBdr>
    </w:div>
    <w:div w:id="1630629171">
      <w:bodyDiv w:val="1"/>
      <w:marLeft w:val="0"/>
      <w:marRight w:val="0"/>
      <w:marTop w:val="0"/>
      <w:marBottom w:val="0"/>
      <w:divBdr>
        <w:top w:val="none" w:sz="0" w:space="0" w:color="auto"/>
        <w:left w:val="none" w:sz="0" w:space="0" w:color="auto"/>
        <w:bottom w:val="none" w:sz="0" w:space="0" w:color="auto"/>
        <w:right w:val="none" w:sz="0" w:space="0" w:color="auto"/>
      </w:divBdr>
    </w:div>
    <w:div w:id="1643802628">
      <w:bodyDiv w:val="1"/>
      <w:marLeft w:val="0"/>
      <w:marRight w:val="0"/>
      <w:marTop w:val="0"/>
      <w:marBottom w:val="0"/>
      <w:divBdr>
        <w:top w:val="none" w:sz="0" w:space="0" w:color="auto"/>
        <w:left w:val="none" w:sz="0" w:space="0" w:color="auto"/>
        <w:bottom w:val="none" w:sz="0" w:space="0" w:color="auto"/>
        <w:right w:val="none" w:sz="0" w:space="0" w:color="auto"/>
      </w:divBdr>
    </w:div>
    <w:div w:id="1651128400">
      <w:bodyDiv w:val="1"/>
      <w:marLeft w:val="0"/>
      <w:marRight w:val="0"/>
      <w:marTop w:val="0"/>
      <w:marBottom w:val="0"/>
      <w:divBdr>
        <w:top w:val="none" w:sz="0" w:space="0" w:color="auto"/>
        <w:left w:val="none" w:sz="0" w:space="0" w:color="auto"/>
        <w:bottom w:val="none" w:sz="0" w:space="0" w:color="auto"/>
        <w:right w:val="none" w:sz="0" w:space="0" w:color="auto"/>
      </w:divBdr>
    </w:div>
    <w:div w:id="1672872955">
      <w:bodyDiv w:val="1"/>
      <w:marLeft w:val="0"/>
      <w:marRight w:val="0"/>
      <w:marTop w:val="0"/>
      <w:marBottom w:val="0"/>
      <w:divBdr>
        <w:top w:val="none" w:sz="0" w:space="0" w:color="auto"/>
        <w:left w:val="none" w:sz="0" w:space="0" w:color="auto"/>
        <w:bottom w:val="none" w:sz="0" w:space="0" w:color="auto"/>
        <w:right w:val="none" w:sz="0" w:space="0" w:color="auto"/>
      </w:divBdr>
    </w:div>
    <w:div w:id="1693653444">
      <w:bodyDiv w:val="1"/>
      <w:marLeft w:val="0"/>
      <w:marRight w:val="0"/>
      <w:marTop w:val="0"/>
      <w:marBottom w:val="0"/>
      <w:divBdr>
        <w:top w:val="none" w:sz="0" w:space="0" w:color="auto"/>
        <w:left w:val="none" w:sz="0" w:space="0" w:color="auto"/>
        <w:bottom w:val="none" w:sz="0" w:space="0" w:color="auto"/>
        <w:right w:val="none" w:sz="0" w:space="0" w:color="auto"/>
      </w:divBdr>
    </w:div>
    <w:div w:id="1695499048">
      <w:bodyDiv w:val="1"/>
      <w:marLeft w:val="0"/>
      <w:marRight w:val="0"/>
      <w:marTop w:val="0"/>
      <w:marBottom w:val="0"/>
      <w:divBdr>
        <w:top w:val="none" w:sz="0" w:space="0" w:color="auto"/>
        <w:left w:val="none" w:sz="0" w:space="0" w:color="auto"/>
        <w:bottom w:val="none" w:sz="0" w:space="0" w:color="auto"/>
        <w:right w:val="none" w:sz="0" w:space="0" w:color="auto"/>
      </w:divBdr>
    </w:div>
    <w:div w:id="1704942492">
      <w:bodyDiv w:val="1"/>
      <w:marLeft w:val="0"/>
      <w:marRight w:val="0"/>
      <w:marTop w:val="0"/>
      <w:marBottom w:val="0"/>
      <w:divBdr>
        <w:top w:val="none" w:sz="0" w:space="0" w:color="auto"/>
        <w:left w:val="none" w:sz="0" w:space="0" w:color="auto"/>
        <w:bottom w:val="none" w:sz="0" w:space="0" w:color="auto"/>
        <w:right w:val="none" w:sz="0" w:space="0" w:color="auto"/>
      </w:divBdr>
    </w:div>
    <w:div w:id="1707099708">
      <w:bodyDiv w:val="1"/>
      <w:marLeft w:val="0"/>
      <w:marRight w:val="0"/>
      <w:marTop w:val="0"/>
      <w:marBottom w:val="0"/>
      <w:divBdr>
        <w:top w:val="none" w:sz="0" w:space="0" w:color="auto"/>
        <w:left w:val="none" w:sz="0" w:space="0" w:color="auto"/>
        <w:bottom w:val="none" w:sz="0" w:space="0" w:color="auto"/>
        <w:right w:val="none" w:sz="0" w:space="0" w:color="auto"/>
      </w:divBdr>
    </w:div>
    <w:div w:id="1713728294">
      <w:bodyDiv w:val="1"/>
      <w:marLeft w:val="0"/>
      <w:marRight w:val="0"/>
      <w:marTop w:val="0"/>
      <w:marBottom w:val="0"/>
      <w:divBdr>
        <w:top w:val="none" w:sz="0" w:space="0" w:color="auto"/>
        <w:left w:val="none" w:sz="0" w:space="0" w:color="auto"/>
        <w:bottom w:val="none" w:sz="0" w:space="0" w:color="auto"/>
        <w:right w:val="none" w:sz="0" w:space="0" w:color="auto"/>
      </w:divBdr>
    </w:div>
    <w:div w:id="1723210571">
      <w:bodyDiv w:val="1"/>
      <w:marLeft w:val="0"/>
      <w:marRight w:val="0"/>
      <w:marTop w:val="0"/>
      <w:marBottom w:val="0"/>
      <w:divBdr>
        <w:top w:val="none" w:sz="0" w:space="0" w:color="auto"/>
        <w:left w:val="none" w:sz="0" w:space="0" w:color="auto"/>
        <w:bottom w:val="none" w:sz="0" w:space="0" w:color="auto"/>
        <w:right w:val="none" w:sz="0" w:space="0" w:color="auto"/>
      </w:divBdr>
    </w:div>
    <w:div w:id="1724401663">
      <w:bodyDiv w:val="1"/>
      <w:marLeft w:val="0"/>
      <w:marRight w:val="0"/>
      <w:marTop w:val="0"/>
      <w:marBottom w:val="0"/>
      <w:divBdr>
        <w:top w:val="none" w:sz="0" w:space="0" w:color="auto"/>
        <w:left w:val="none" w:sz="0" w:space="0" w:color="auto"/>
        <w:bottom w:val="none" w:sz="0" w:space="0" w:color="auto"/>
        <w:right w:val="none" w:sz="0" w:space="0" w:color="auto"/>
      </w:divBdr>
    </w:div>
    <w:div w:id="1747337437">
      <w:bodyDiv w:val="1"/>
      <w:marLeft w:val="0"/>
      <w:marRight w:val="0"/>
      <w:marTop w:val="0"/>
      <w:marBottom w:val="0"/>
      <w:divBdr>
        <w:top w:val="none" w:sz="0" w:space="0" w:color="auto"/>
        <w:left w:val="none" w:sz="0" w:space="0" w:color="auto"/>
        <w:bottom w:val="none" w:sz="0" w:space="0" w:color="auto"/>
        <w:right w:val="none" w:sz="0" w:space="0" w:color="auto"/>
      </w:divBdr>
    </w:div>
    <w:div w:id="1782722259">
      <w:bodyDiv w:val="1"/>
      <w:marLeft w:val="0"/>
      <w:marRight w:val="0"/>
      <w:marTop w:val="0"/>
      <w:marBottom w:val="0"/>
      <w:divBdr>
        <w:top w:val="none" w:sz="0" w:space="0" w:color="auto"/>
        <w:left w:val="none" w:sz="0" w:space="0" w:color="auto"/>
        <w:bottom w:val="none" w:sz="0" w:space="0" w:color="auto"/>
        <w:right w:val="none" w:sz="0" w:space="0" w:color="auto"/>
      </w:divBdr>
    </w:div>
    <w:div w:id="1790277105">
      <w:bodyDiv w:val="1"/>
      <w:marLeft w:val="0"/>
      <w:marRight w:val="0"/>
      <w:marTop w:val="0"/>
      <w:marBottom w:val="0"/>
      <w:divBdr>
        <w:top w:val="none" w:sz="0" w:space="0" w:color="auto"/>
        <w:left w:val="none" w:sz="0" w:space="0" w:color="auto"/>
        <w:bottom w:val="none" w:sz="0" w:space="0" w:color="auto"/>
        <w:right w:val="none" w:sz="0" w:space="0" w:color="auto"/>
      </w:divBdr>
    </w:div>
    <w:div w:id="1818063912">
      <w:bodyDiv w:val="1"/>
      <w:marLeft w:val="0"/>
      <w:marRight w:val="0"/>
      <w:marTop w:val="0"/>
      <w:marBottom w:val="0"/>
      <w:divBdr>
        <w:top w:val="none" w:sz="0" w:space="0" w:color="auto"/>
        <w:left w:val="none" w:sz="0" w:space="0" w:color="auto"/>
        <w:bottom w:val="none" w:sz="0" w:space="0" w:color="auto"/>
        <w:right w:val="none" w:sz="0" w:space="0" w:color="auto"/>
      </w:divBdr>
    </w:div>
    <w:div w:id="1818104338">
      <w:bodyDiv w:val="1"/>
      <w:marLeft w:val="0"/>
      <w:marRight w:val="0"/>
      <w:marTop w:val="0"/>
      <w:marBottom w:val="0"/>
      <w:divBdr>
        <w:top w:val="none" w:sz="0" w:space="0" w:color="auto"/>
        <w:left w:val="none" w:sz="0" w:space="0" w:color="auto"/>
        <w:bottom w:val="none" w:sz="0" w:space="0" w:color="auto"/>
        <w:right w:val="none" w:sz="0" w:space="0" w:color="auto"/>
      </w:divBdr>
    </w:div>
    <w:div w:id="1822041549">
      <w:bodyDiv w:val="1"/>
      <w:marLeft w:val="0"/>
      <w:marRight w:val="0"/>
      <w:marTop w:val="0"/>
      <w:marBottom w:val="0"/>
      <w:divBdr>
        <w:top w:val="none" w:sz="0" w:space="0" w:color="auto"/>
        <w:left w:val="none" w:sz="0" w:space="0" w:color="auto"/>
        <w:bottom w:val="none" w:sz="0" w:space="0" w:color="auto"/>
        <w:right w:val="none" w:sz="0" w:space="0" w:color="auto"/>
      </w:divBdr>
    </w:div>
    <w:div w:id="1822622364">
      <w:bodyDiv w:val="1"/>
      <w:marLeft w:val="0"/>
      <w:marRight w:val="0"/>
      <w:marTop w:val="0"/>
      <w:marBottom w:val="0"/>
      <w:divBdr>
        <w:top w:val="none" w:sz="0" w:space="0" w:color="auto"/>
        <w:left w:val="none" w:sz="0" w:space="0" w:color="auto"/>
        <w:bottom w:val="none" w:sz="0" w:space="0" w:color="auto"/>
        <w:right w:val="none" w:sz="0" w:space="0" w:color="auto"/>
      </w:divBdr>
    </w:div>
    <w:div w:id="1833326864">
      <w:bodyDiv w:val="1"/>
      <w:marLeft w:val="0"/>
      <w:marRight w:val="0"/>
      <w:marTop w:val="0"/>
      <w:marBottom w:val="0"/>
      <w:divBdr>
        <w:top w:val="none" w:sz="0" w:space="0" w:color="auto"/>
        <w:left w:val="none" w:sz="0" w:space="0" w:color="auto"/>
        <w:bottom w:val="none" w:sz="0" w:space="0" w:color="auto"/>
        <w:right w:val="none" w:sz="0" w:space="0" w:color="auto"/>
      </w:divBdr>
    </w:div>
    <w:div w:id="1839609851">
      <w:bodyDiv w:val="1"/>
      <w:marLeft w:val="0"/>
      <w:marRight w:val="0"/>
      <w:marTop w:val="0"/>
      <w:marBottom w:val="0"/>
      <w:divBdr>
        <w:top w:val="none" w:sz="0" w:space="0" w:color="auto"/>
        <w:left w:val="none" w:sz="0" w:space="0" w:color="auto"/>
        <w:bottom w:val="none" w:sz="0" w:space="0" w:color="auto"/>
        <w:right w:val="none" w:sz="0" w:space="0" w:color="auto"/>
      </w:divBdr>
    </w:div>
    <w:div w:id="1840349049">
      <w:bodyDiv w:val="1"/>
      <w:marLeft w:val="0"/>
      <w:marRight w:val="0"/>
      <w:marTop w:val="0"/>
      <w:marBottom w:val="0"/>
      <w:divBdr>
        <w:top w:val="none" w:sz="0" w:space="0" w:color="auto"/>
        <w:left w:val="none" w:sz="0" w:space="0" w:color="auto"/>
        <w:bottom w:val="none" w:sz="0" w:space="0" w:color="auto"/>
        <w:right w:val="none" w:sz="0" w:space="0" w:color="auto"/>
      </w:divBdr>
    </w:div>
    <w:div w:id="1852985859">
      <w:bodyDiv w:val="1"/>
      <w:marLeft w:val="0"/>
      <w:marRight w:val="0"/>
      <w:marTop w:val="0"/>
      <w:marBottom w:val="0"/>
      <w:divBdr>
        <w:top w:val="none" w:sz="0" w:space="0" w:color="auto"/>
        <w:left w:val="none" w:sz="0" w:space="0" w:color="auto"/>
        <w:bottom w:val="none" w:sz="0" w:space="0" w:color="auto"/>
        <w:right w:val="none" w:sz="0" w:space="0" w:color="auto"/>
      </w:divBdr>
    </w:div>
    <w:div w:id="1859925386">
      <w:bodyDiv w:val="1"/>
      <w:marLeft w:val="0"/>
      <w:marRight w:val="0"/>
      <w:marTop w:val="0"/>
      <w:marBottom w:val="0"/>
      <w:divBdr>
        <w:top w:val="none" w:sz="0" w:space="0" w:color="auto"/>
        <w:left w:val="none" w:sz="0" w:space="0" w:color="auto"/>
        <w:bottom w:val="none" w:sz="0" w:space="0" w:color="auto"/>
        <w:right w:val="none" w:sz="0" w:space="0" w:color="auto"/>
      </w:divBdr>
    </w:div>
    <w:div w:id="1862081739">
      <w:bodyDiv w:val="1"/>
      <w:marLeft w:val="0"/>
      <w:marRight w:val="0"/>
      <w:marTop w:val="0"/>
      <w:marBottom w:val="0"/>
      <w:divBdr>
        <w:top w:val="none" w:sz="0" w:space="0" w:color="auto"/>
        <w:left w:val="none" w:sz="0" w:space="0" w:color="auto"/>
        <w:bottom w:val="none" w:sz="0" w:space="0" w:color="auto"/>
        <w:right w:val="none" w:sz="0" w:space="0" w:color="auto"/>
      </w:divBdr>
    </w:div>
    <w:div w:id="1863474246">
      <w:bodyDiv w:val="1"/>
      <w:marLeft w:val="0"/>
      <w:marRight w:val="0"/>
      <w:marTop w:val="0"/>
      <w:marBottom w:val="0"/>
      <w:divBdr>
        <w:top w:val="none" w:sz="0" w:space="0" w:color="auto"/>
        <w:left w:val="none" w:sz="0" w:space="0" w:color="auto"/>
        <w:bottom w:val="none" w:sz="0" w:space="0" w:color="auto"/>
        <w:right w:val="none" w:sz="0" w:space="0" w:color="auto"/>
      </w:divBdr>
    </w:div>
    <w:div w:id="1879120098">
      <w:bodyDiv w:val="1"/>
      <w:marLeft w:val="0"/>
      <w:marRight w:val="0"/>
      <w:marTop w:val="0"/>
      <w:marBottom w:val="0"/>
      <w:divBdr>
        <w:top w:val="none" w:sz="0" w:space="0" w:color="auto"/>
        <w:left w:val="none" w:sz="0" w:space="0" w:color="auto"/>
        <w:bottom w:val="none" w:sz="0" w:space="0" w:color="auto"/>
        <w:right w:val="none" w:sz="0" w:space="0" w:color="auto"/>
      </w:divBdr>
    </w:div>
    <w:div w:id="1880319263">
      <w:bodyDiv w:val="1"/>
      <w:marLeft w:val="0"/>
      <w:marRight w:val="0"/>
      <w:marTop w:val="0"/>
      <w:marBottom w:val="0"/>
      <w:divBdr>
        <w:top w:val="none" w:sz="0" w:space="0" w:color="auto"/>
        <w:left w:val="none" w:sz="0" w:space="0" w:color="auto"/>
        <w:bottom w:val="none" w:sz="0" w:space="0" w:color="auto"/>
        <w:right w:val="none" w:sz="0" w:space="0" w:color="auto"/>
      </w:divBdr>
    </w:div>
    <w:div w:id="1897810912">
      <w:bodyDiv w:val="1"/>
      <w:marLeft w:val="0"/>
      <w:marRight w:val="0"/>
      <w:marTop w:val="0"/>
      <w:marBottom w:val="0"/>
      <w:divBdr>
        <w:top w:val="none" w:sz="0" w:space="0" w:color="auto"/>
        <w:left w:val="none" w:sz="0" w:space="0" w:color="auto"/>
        <w:bottom w:val="none" w:sz="0" w:space="0" w:color="auto"/>
        <w:right w:val="none" w:sz="0" w:space="0" w:color="auto"/>
      </w:divBdr>
    </w:div>
    <w:div w:id="1911960594">
      <w:bodyDiv w:val="1"/>
      <w:marLeft w:val="0"/>
      <w:marRight w:val="0"/>
      <w:marTop w:val="0"/>
      <w:marBottom w:val="0"/>
      <w:divBdr>
        <w:top w:val="none" w:sz="0" w:space="0" w:color="auto"/>
        <w:left w:val="none" w:sz="0" w:space="0" w:color="auto"/>
        <w:bottom w:val="none" w:sz="0" w:space="0" w:color="auto"/>
        <w:right w:val="none" w:sz="0" w:space="0" w:color="auto"/>
      </w:divBdr>
    </w:div>
    <w:div w:id="1913466127">
      <w:bodyDiv w:val="1"/>
      <w:marLeft w:val="0"/>
      <w:marRight w:val="0"/>
      <w:marTop w:val="0"/>
      <w:marBottom w:val="0"/>
      <w:divBdr>
        <w:top w:val="none" w:sz="0" w:space="0" w:color="auto"/>
        <w:left w:val="none" w:sz="0" w:space="0" w:color="auto"/>
        <w:bottom w:val="none" w:sz="0" w:space="0" w:color="auto"/>
        <w:right w:val="none" w:sz="0" w:space="0" w:color="auto"/>
      </w:divBdr>
    </w:div>
    <w:div w:id="1919945717">
      <w:bodyDiv w:val="1"/>
      <w:marLeft w:val="0"/>
      <w:marRight w:val="0"/>
      <w:marTop w:val="0"/>
      <w:marBottom w:val="0"/>
      <w:divBdr>
        <w:top w:val="none" w:sz="0" w:space="0" w:color="auto"/>
        <w:left w:val="none" w:sz="0" w:space="0" w:color="auto"/>
        <w:bottom w:val="none" w:sz="0" w:space="0" w:color="auto"/>
        <w:right w:val="none" w:sz="0" w:space="0" w:color="auto"/>
      </w:divBdr>
    </w:div>
    <w:div w:id="1924366130">
      <w:bodyDiv w:val="1"/>
      <w:marLeft w:val="0"/>
      <w:marRight w:val="0"/>
      <w:marTop w:val="0"/>
      <w:marBottom w:val="0"/>
      <w:divBdr>
        <w:top w:val="none" w:sz="0" w:space="0" w:color="auto"/>
        <w:left w:val="none" w:sz="0" w:space="0" w:color="auto"/>
        <w:bottom w:val="none" w:sz="0" w:space="0" w:color="auto"/>
        <w:right w:val="none" w:sz="0" w:space="0" w:color="auto"/>
      </w:divBdr>
    </w:div>
    <w:div w:id="1925802837">
      <w:bodyDiv w:val="1"/>
      <w:marLeft w:val="0"/>
      <w:marRight w:val="0"/>
      <w:marTop w:val="0"/>
      <w:marBottom w:val="0"/>
      <w:divBdr>
        <w:top w:val="none" w:sz="0" w:space="0" w:color="auto"/>
        <w:left w:val="none" w:sz="0" w:space="0" w:color="auto"/>
        <w:bottom w:val="none" w:sz="0" w:space="0" w:color="auto"/>
        <w:right w:val="none" w:sz="0" w:space="0" w:color="auto"/>
      </w:divBdr>
    </w:div>
    <w:div w:id="1931112713">
      <w:bodyDiv w:val="1"/>
      <w:marLeft w:val="0"/>
      <w:marRight w:val="0"/>
      <w:marTop w:val="0"/>
      <w:marBottom w:val="0"/>
      <w:divBdr>
        <w:top w:val="none" w:sz="0" w:space="0" w:color="auto"/>
        <w:left w:val="none" w:sz="0" w:space="0" w:color="auto"/>
        <w:bottom w:val="none" w:sz="0" w:space="0" w:color="auto"/>
        <w:right w:val="none" w:sz="0" w:space="0" w:color="auto"/>
      </w:divBdr>
    </w:div>
    <w:div w:id="1933782712">
      <w:bodyDiv w:val="1"/>
      <w:marLeft w:val="0"/>
      <w:marRight w:val="0"/>
      <w:marTop w:val="0"/>
      <w:marBottom w:val="0"/>
      <w:divBdr>
        <w:top w:val="none" w:sz="0" w:space="0" w:color="auto"/>
        <w:left w:val="none" w:sz="0" w:space="0" w:color="auto"/>
        <w:bottom w:val="none" w:sz="0" w:space="0" w:color="auto"/>
        <w:right w:val="none" w:sz="0" w:space="0" w:color="auto"/>
      </w:divBdr>
      <w:divsChild>
        <w:div w:id="286276855">
          <w:marLeft w:val="1166"/>
          <w:marRight w:val="0"/>
          <w:marTop w:val="240"/>
          <w:marBottom w:val="0"/>
          <w:divBdr>
            <w:top w:val="none" w:sz="0" w:space="0" w:color="auto"/>
            <w:left w:val="none" w:sz="0" w:space="0" w:color="auto"/>
            <w:bottom w:val="none" w:sz="0" w:space="0" w:color="auto"/>
            <w:right w:val="none" w:sz="0" w:space="0" w:color="auto"/>
          </w:divBdr>
        </w:div>
        <w:div w:id="673725460">
          <w:marLeft w:val="1166"/>
          <w:marRight w:val="0"/>
          <w:marTop w:val="240"/>
          <w:marBottom w:val="0"/>
          <w:divBdr>
            <w:top w:val="none" w:sz="0" w:space="0" w:color="auto"/>
            <w:left w:val="none" w:sz="0" w:space="0" w:color="auto"/>
            <w:bottom w:val="none" w:sz="0" w:space="0" w:color="auto"/>
            <w:right w:val="none" w:sz="0" w:space="0" w:color="auto"/>
          </w:divBdr>
        </w:div>
        <w:div w:id="1215702784">
          <w:marLeft w:val="1166"/>
          <w:marRight w:val="0"/>
          <w:marTop w:val="240"/>
          <w:marBottom w:val="0"/>
          <w:divBdr>
            <w:top w:val="none" w:sz="0" w:space="0" w:color="auto"/>
            <w:left w:val="none" w:sz="0" w:space="0" w:color="auto"/>
            <w:bottom w:val="none" w:sz="0" w:space="0" w:color="auto"/>
            <w:right w:val="none" w:sz="0" w:space="0" w:color="auto"/>
          </w:divBdr>
        </w:div>
        <w:div w:id="1724475820">
          <w:marLeft w:val="1166"/>
          <w:marRight w:val="0"/>
          <w:marTop w:val="240"/>
          <w:marBottom w:val="0"/>
          <w:divBdr>
            <w:top w:val="none" w:sz="0" w:space="0" w:color="auto"/>
            <w:left w:val="none" w:sz="0" w:space="0" w:color="auto"/>
            <w:bottom w:val="none" w:sz="0" w:space="0" w:color="auto"/>
            <w:right w:val="none" w:sz="0" w:space="0" w:color="auto"/>
          </w:divBdr>
        </w:div>
        <w:div w:id="1728605615">
          <w:marLeft w:val="547"/>
          <w:marRight w:val="0"/>
          <w:marTop w:val="432"/>
          <w:marBottom w:val="0"/>
          <w:divBdr>
            <w:top w:val="none" w:sz="0" w:space="0" w:color="auto"/>
            <w:left w:val="none" w:sz="0" w:space="0" w:color="auto"/>
            <w:bottom w:val="none" w:sz="0" w:space="0" w:color="auto"/>
            <w:right w:val="none" w:sz="0" w:space="0" w:color="auto"/>
          </w:divBdr>
        </w:div>
        <w:div w:id="1785075127">
          <w:marLeft w:val="1166"/>
          <w:marRight w:val="0"/>
          <w:marTop w:val="240"/>
          <w:marBottom w:val="0"/>
          <w:divBdr>
            <w:top w:val="none" w:sz="0" w:space="0" w:color="auto"/>
            <w:left w:val="none" w:sz="0" w:space="0" w:color="auto"/>
            <w:bottom w:val="none" w:sz="0" w:space="0" w:color="auto"/>
            <w:right w:val="none" w:sz="0" w:space="0" w:color="auto"/>
          </w:divBdr>
        </w:div>
        <w:div w:id="1863979967">
          <w:marLeft w:val="547"/>
          <w:marRight w:val="0"/>
          <w:marTop w:val="432"/>
          <w:marBottom w:val="0"/>
          <w:divBdr>
            <w:top w:val="none" w:sz="0" w:space="0" w:color="auto"/>
            <w:left w:val="none" w:sz="0" w:space="0" w:color="auto"/>
            <w:bottom w:val="none" w:sz="0" w:space="0" w:color="auto"/>
            <w:right w:val="none" w:sz="0" w:space="0" w:color="auto"/>
          </w:divBdr>
        </w:div>
      </w:divsChild>
    </w:div>
    <w:div w:id="1960145714">
      <w:bodyDiv w:val="1"/>
      <w:marLeft w:val="0"/>
      <w:marRight w:val="0"/>
      <w:marTop w:val="0"/>
      <w:marBottom w:val="0"/>
      <w:divBdr>
        <w:top w:val="none" w:sz="0" w:space="0" w:color="auto"/>
        <w:left w:val="none" w:sz="0" w:space="0" w:color="auto"/>
        <w:bottom w:val="none" w:sz="0" w:space="0" w:color="auto"/>
        <w:right w:val="none" w:sz="0" w:space="0" w:color="auto"/>
      </w:divBdr>
    </w:div>
    <w:div w:id="1971934584">
      <w:bodyDiv w:val="1"/>
      <w:marLeft w:val="0"/>
      <w:marRight w:val="0"/>
      <w:marTop w:val="0"/>
      <w:marBottom w:val="0"/>
      <w:divBdr>
        <w:top w:val="none" w:sz="0" w:space="0" w:color="auto"/>
        <w:left w:val="none" w:sz="0" w:space="0" w:color="auto"/>
        <w:bottom w:val="none" w:sz="0" w:space="0" w:color="auto"/>
        <w:right w:val="none" w:sz="0" w:space="0" w:color="auto"/>
      </w:divBdr>
    </w:div>
    <w:div w:id="1991136386">
      <w:bodyDiv w:val="1"/>
      <w:marLeft w:val="0"/>
      <w:marRight w:val="0"/>
      <w:marTop w:val="0"/>
      <w:marBottom w:val="0"/>
      <w:divBdr>
        <w:top w:val="none" w:sz="0" w:space="0" w:color="auto"/>
        <w:left w:val="none" w:sz="0" w:space="0" w:color="auto"/>
        <w:bottom w:val="none" w:sz="0" w:space="0" w:color="auto"/>
        <w:right w:val="none" w:sz="0" w:space="0" w:color="auto"/>
      </w:divBdr>
    </w:div>
    <w:div w:id="2000034455">
      <w:bodyDiv w:val="1"/>
      <w:marLeft w:val="0"/>
      <w:marRight w:val="0"/>
      <w:marTop w:val="0"/>
      <w:marBottom w:val="0"/>
      <w:divBdr>
        <w:top w:val="none" w:sz="0" w:space="0" w:color="auto"/>
        <w:left w:val="none" w:sz="0" w:space="0" w:color="auto"/>
        <w:bottom w:val="none" w:sz="0" w:space="0" w:color="auto"/>
        <w:right w:val="none" w:sz="0" w:space="0" w:color="auto"/>
      </w:divBdr>
    </w:div>
    <w:div w:id="2008705382">
      <w:bodyDiv w:val="1"/>
      <w:marLeft w:val="0"/>
      <w:marRight w:val="0"/>
      <w:marTop w:val="0"/>
      <w:marBottom w:val="0"/>
      <w:divBdr>
        <w:top w:val="none" w:sz="0" w:space="0" w:color="auto"/>
        <w:left w:val="none" w:sz="0" w:space="0" w:color="auto"/>
        <w:bottom w:val="none" w:sz="0" w:space="0" w:color="auto"/>
        <w:right w:val="none" w:sz="0" w:space="0" w:color="auto"/>
      </w:divBdr>
    </w:div>
    <w:div w:id="2018773049">
      <w:bodyDiv w:val="1"/>
      <w:marLeft w:val="0"/>
      <w:marRight w:val="0"/>
      <w:marTop w:val="0"/>
      <w:marBottom w:val="0"/>
      <w:divBdr>
        <w:top w:val="none" w:sz="0" w:space="0" w:color="auto"/>
        <w:left w:val="none" w:sz="0" w:space="0" w:color="auto"/>
        <w:bottom w:val="none" w:sz="0" w:space="0" w:color="auto"/>
        <w:right w:val="none" w:sz="0" w:space="0" w:color="auto"/>
      </w:divBdr>
    </w:div>
    <w:div w:id="2022584918">
      <w:bodyDiv w:val="1"/>
      <w:marLeft w:val="0"/>
      <w:marRight w:val="0"/>
      <w:marTop w:val="0"/>
      <w:marBottom w:val="0"/>
      <w:divBdr>
        <w:top w:val="none" w:sz="0" w:space="0" w:color="auto"/>
        <w:left w:val="none" w:sz="0" w:space="0" w:color="auto"/>
        <w:bottom w:val="none" w:sz="0" w:space="0" w:color="auto"/>
        <w:right w:val="none" w:sz="0" w:space="0" w:color="auto"/>
      </w:divBdr>
      <w:divsChild>
        <w:div w:id="968820093">
          <w:marLeft w:val="547"/>
          <w:marRight w:val="0"/>
          <w:marTop w:val="504"/>
          <w:marBottom w:val="0"/>
          <w:divBdr>
            <w:top w:val="none" w:sz="0" w:space="0" w:color="auto"/>
            <w:left w:val="none" w:sz="0" w:space="0" w:color="auto"/>
            <w:bottom w:val="none" w:sz="0" w:space="0" w:color="auto"/>
            <w:right w:val="none" w:sz="0" w:space="0" w:color="auto"/>
          </w:divBdr>
        </w:div>
        <w:div w:id="1040206700">
          <w:marLeft w:val="1166"/>
          <w:marRight w:val="0"/>
          <w:marTop w:val="264"/>
          <w:marBottom w:val="0"/>
          <w:divBdr>
            <w:top w:val="none" w:sz="0" w:space="0" w:color="auto"/>
            <w:left w:val="none" w:sz="0" w:space="0" w:color="auto"/>
            <w:bottom w:val="none" w:sz="0" w:space="0" w:color="auto"/>
            <w:right w:val="none" w:sz="0" w:space="0" w:color="auto"/>
          </w:divBdr>
        </w:div>
        <w:div w:id="1751732543">
          <w:marLeft w:val="547"/>
          <w:marRight w:val="0"/>
          <w:marTop w:val="504"/>
          <w:marBottom w:val="0"/>
          <w:divBdr>
            <w:top w:val="none" w:sz="0" w:space="0" w:color="auto"/>
            <w:left w:val="none" w:sz="0" w:space="0" w:color="auto"/>
            <w:bottom w:val="none" w:sz="0" w:space="0" w:color="auto"/>
            <w:right w:val="none" w:sz="0" w:space="0" w:color="auto"/>
          </w:divBdr>
        </w:div>
      </w:divsChild>
    </w:div>
    <w:div w:id="2062439416">
      <w:bodyDiv w:val="1"/>
      <w:marLeft w:val="0"/>
      <w:marRight w:val="0"/>
      <w:marTop w:val="0"/>
      <w:marBottom w:val="0"/>
      <w:divBdr>
        <w:top w:val="none" w:sz="0" w:space="0" w:color="auto"/>
        <w:left w:val="none" w:sz="0" w:space="0" w:color="auto"/>
        <w:bottom w:val="none" w:sz="0" w:space="0" w:color="auto"/>
        <w:right w:val="none" w:sz="0" w:space="0" w:color="auto"/>
      </w:divBdr>
    </w:div>
    <w:div w:id="2066640412">
      <w:bodyDiv w:val="1"/>
      <w:marLeft w:val="0"/>
      <w:marRight w:val="0"/>
      <w:marTop w:val="0"/>
      <w:marBottom w:val="0"/>
      <w:divBdr>
        <w:top w:val="none" w:sz="0" w:space="0" w:color="auto"/>
        <w:left w:val="none" w:sz="0" w:space="0" w:color="auto"/>
        <w:bottom w:val="none" w:sz="0" w:space="0" w:color="auto"/>
        <w:right w:val="none" w:sz="0" w:space="0" w:color="auto"/>
      </w:divBdr>
    </w:div>
    <w:div w:id="2073962548">
      <w:bodyDiv w:val="1"/>
      <w:marLeft w:val="0"/>
      <w:marRight w:val="0"/>
      <w:marTop w:val="0"/>
      <w:marBottom w:val="0"/>
      <w:divBdr>
        <w:top w:val="none" w:sz="0" w:space="0" w:color="auto"/>
        <w:left w:val="none" w:sz="0" w:space="0" w:color="auto"/>
        <w:bottom w:val="none" w:sz="0" w:space="0" w:color="auto"/>
        <w:right w:val="none" w:sz="0" w:space="0" w:color="auto"/>
      </w:divBdr>
    </w:div>
    <w:div w:id="2085835837">
      <w:bodyDiv w:val="1"/>
      <w:marLeft w:val="0"/>
      <w:marRight w:val="0"/>
      <w:marTop w:val="0"/>
      <w:marBottom w:val="0"/>
      <w:divBdr>
        <w:top w:val="none" w:sz="0" w:space="0" w:color="auto"/>
        <w:left w:val="none" w:sz="0" w:space="0" w:color="auto"/>
        <w:bottom w:val="none" w:sz="0" w:space="0" w:color="auto"/>
        <w:right w:val="none" w:sz="0" w:space="0" w:color="auto"/>
      </w:divBdr>
    </w:div>
    <w:div w:id="2104296930">
      <w:bodyDiv w:val="1"/>
      <w:marLeft w:val="0"/>
      <w:marRight w:val="0"/>
      <w:marTop w:val="0"/>
      <w:marBottom w:val="0"/>
      <w:divBdr>
        <w:top w:val="none" w:sz="0" w:space="0" w:color="auto"/>
        <w:left w:val="none" w:sz="0" w:space="0" w:color="auto"/>
        <w:bottom w:val="none" w:sz="0" w:space="0" w:color="auto"/>
        <w:right w:val="none" w:sz="0" w:space="0" w:color="auto"/>
      </w:divBdr>
    </w:div>
    <w:div w:id="2105952619">
      <w:bodyDiv w:val="1"/>
      <w:marLeft w:val="0"/>
      <w:marRight w:val="0"/>
      <w:marTop w:val="0"/>
      <w:marBottom w:val="0"/>
      <w:divBdr>
        <w:top w:val="none" w:sz="0" w:space="0" w:color="auto"/>
        <w:left w:val="none" w:sz="0" w:space="0" w:color="auto"/>
        <w:bottom w:val="none" w:sz="0" w:space="0" w:color="auto"/>
        <w:right w:val="none" w:sz="0" w:space="0" w:color="auto"/>
      </w:divBdr>
    </w:div>
    <w:div w:id="2108496024">
      <w:bodyDiv w:val="1"/>
      <w:marLeft w:val="0"/>
      <w:marRight w:val="0"/>
      <w:marTop w:val="0"/>
      <w:marBottom w:val="0"/>
      <w:divBdr>
        <w:top w:val="none" w:sz="0" w:space="0" w:color="auto"/>
        <w:left w:val="none" w:sz="0" w:space="0" w:color="auto"/>
        <w:bottom w:val="none" w:sz="0" w:space="0" w:color="auto"/>
        <w:right w:val="none" w:sz="0" w:space="0" w:color="auto"/>
      </w:divBdr>
    </w:div>
    <w:div w:id="2125154454">
      <w:bodyDiv w:val="1"/>
      <w:marLeft w:val="0"/>
      <w:marRight w:val="0"/>
      <w:marTop w:val="0"/>
      <w:marBottom w:val="0"/>
      <w:divBdr>
        <w:top w:val="none" w:sz="0" w:space="0" w:color="auto"/>
        <w:left w:val="none" w:sz="0" w:space="0" w:color="auto"/>
        <w:bottom w:val="none" w:sz="0" w:space="0" w:color="auto"/>
        <w:right w:val="none" w:sz="0" w:space="0" w:color="auto"/>
      </w:divBdr>
    </w:div>
    <w:div w:id="214427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jartus@srgexpert.com" TargetMode="External"/><Relationship Id="rId26" Type="http://schemas.openxmlformats.org/officeDocument/2006/relationships/chart" Target="charts/chart5.xm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image" Target="media/image10.png"/><Relationship Id="rId42" Type="http://schemas.openxmlformats.org/officeDocument/2006/relationships/hyperlink" Target="http://www.health.govt.nz/system/files/documents/publications/crcreport14nov2006.pdf" TargetMode="External"/><Relationship Id="rId47" Type="http://schemas.openxmlformats.org/officeDocument/2006/relationships/hyperlink" Target="http://dx.doi.org/10.1136/bmj.c5531" TargetMode="External"/><Relationship Id="rId50" Type="http://schemas.openxmlformats.org/officeDocument/2006/relationships/hyperlink" Target="http://www.ncbi.nlm.nih.gov/pubmed?term=Falcini%20F%5BAuthor%5D&amp;cauthor=true&amp;cauthor_uid=18770995" TargetMode="External"/><Relationship Id="rId55" Type="http://schemas.openxmlformats.org/officeDocument/2006/relationships/hyperlink" Target="http://www.ncbi.nlm.nih.gov/pubmed?term=Vettorazzi%20M%5BAuthor%5D&amp;cauthor=true&amp;cauthor_uid=18770995" TargetMode="External"/><Relationship Id="rId63" Type="http://schemas.openxmlformats.org/officeDocument/2006/relationships/footer" Target="footer6.xml"/><Relationship Id="rId68" Type="http://schemas.openxmlformats.org/officeDocument/2006/relationships/image" Target="media/image20.png"/><Relationship Id="rId7" Type="http://schemas.openxmlformats.org/officeDocument/2006/relationships/footnotes" Target="foot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mailto:liz@litmus.co.nz" TargetMode="External"/><Relationship Id="rId29" Type="http://schemas.openxmlformats.org/officeDocument/2006/relationships/chart" Target="charts/chart8.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hyperlink" Target="http://www.bowelscreeningwaitemata.co.nz/" TargetMode="External"/><Relationship Id="rId37" Type="http://schemas.openxmlformats.org/officeDocument/2006/relationships/image" Target="media/image13.png"/><Relationship Id="rId40" Type="http://schemas.openxmlformats.org/officeDocument/2006/relationships/image" Target="media/image16.gif"/><Relationship Id="rId45" Type="http://schemas.openxmlformats.org/officeDocument/2006/relationships/hyperlink" Target="http://www.appliedresearch.cancer.gov/icsn/colorectal/mortality.html" TargetMode="External"/><Relationship Id="rId53" Type="http://schemas.openxmlformats.org/officeDocument/2006/relationships/hyperlink" Target="http://www.ncbi.nlm.nih.gov/pubmed?term=de'%20Bianchi%20PS%5BAuthor%5D&amp;cauthor=true&amp;cauthor_uid=18770995" TargetMode="External"/><Relationship Id="rId58" Type="http://schemas.openxmlformats.org/officeDocument/2006/relationships/hyperlink" Target="http://www.ncbi.nlm.nih.gov/pubmed/18770995" TargetMode="External"/><Relationship Id="rId66"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2.png"/><Relationship Id="rId49" Type="http://schemas.openxmlformats.org/officeDocument/2006/relationships/hyperlink" Target="http://www.ncbi.nlm.nih.gov/pubmed?term=Zorzi%20M%5BAuthor%5D&amp;cauthor=true&amp;cauthor_uid=18770995" TargetMode="External"/><Relationship Id="rId57" Type="http://schemas.openxmlformats.org/officeDocument/2006/relationships/hyperlink" Target="http://www.ncbi.nlm.nih.gov/pubmed?term=Zappa%20M%5BAuthor%5D&amp;cauthor=true&amp;cauthor_uid=18770995" TargetMode="External"/><Relationship Id="rId61"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10.xml"/><Relationship Id="rId44" Type="http://schemas.openxmlformats.org/officeDocument/2006/relationships/hyperlink" Target="http://www.health.govt.nz/our-work/diseases-and-conditions/cancer-programme/bowel-cancer-programme/bowel-screening-pilot/bowel-screening-pilot-results/bowel-screening-pilot-january-2012-june-2013-results" TargetMode="External"/><Relationship Id="rId52" Type="http://schemas.openxmlformats.org/officeDocument/2006/relationships/hyperlink" Target="http://www.ncbi.nlm.nih.gov/pubmed?term=Grazzini%20G%5BAuthor%5D&amp;cauthor=true&amp;cauthor_uid=18770995" TargetMode="External"/><Relationship Id="rId60" Type="http://schemas.openxmlformats.org/officeDocument/2006/relationships/header" Target="header5.xml"/><Relationship Id="rId65" Type="http://schemas.openxmlformats.org/officeDocument/2006/relationships/oleObject" Target="embeddings/oleObject1.bin"/><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1.png"/><Relationship Id="rId43" Type="http://schemas.openxmlformats.org/officeDocument/2006/relationships/hyperlink" Target="http://www.health.govt.nz/publication/cancer-new-registrations-and-deaths-2010" TargetMode="External"/><Relationship Id="rId48" Type="http://schemas.openxmlformats.org/officeDocument/2006/relationships/hyperlink" Target="http://www.cancerscreening.nhs.uk/bowel/finalreport.pdf" TargetMode="External"/><Relationship Id="rId56" Type="http://schemas.openxmlformats.org/officeDocument/2006/relationships/hyperlink" Target="http://www.ncbi.nlm.nih.gov/pubmed?term=Visioli%20C%5BAuthor%5D&amp;cauthor=true&amp;cauthor_uid=18770995" TargetMode="External"/><Relationship Id="rId64" Type="http://schemas.openxmlformats.org/officeDocument/2006/relationships/image" Target="media/image18.emf"/><Relationship Id="rId69"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hyperlink" Target="http://www.ncbi.nlm.nih.gov/pubmed?term=Fedato%20C%5BAuthor%5D&amp;cauthor=true&amp;cauthor_uid=18770995"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B.Borman@massey.ac.nz" TargetMode="External"/><Relationship Id="rId25" Type="http://schemas.openxmlformats.org/officeDocument/2006/relationships/chart" Target="charts/chart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www.health.govt.nz/system/files/documents/publications/unequal-impact-maori-nonmaori-cancer-statistics-96-01.pdf" TargetMode="External"/><Relationship Id="rId59" Type="http://schemas.openxmlformats.org/officeDocument/2006/relationships/header" Target="header4.xml"/><Relationship Id="rId67" Type="http://schemas.openxmlformats.org/officeDocument/2006/relationships/oleObject" Target="embeddings/oleObject2.bin"/><Relationship Id="rId20" Type="http://schemas.openxmlformats.org/officeDocument/2006/relationships/image" Target="media/image7.emf"/><Relationship Id="rId41" Type="http://schemas.openxmlformats.org/officeDocument/2006/relationships/image" Target="media/image17.gif"/><Relationship Id="rId54" Type="http://schemas.openxmlformats.org/officeDocument/2006/relationships/hyperlink" Target="http://www.ncbi.nlm.nih.gov/pubmed?term=Senore%20C%5BAuthor%5D&amp;cauthor=true&amp;cauthor_uid=18770995" TargetMode="External"/><Relationship Id="rId62" Type="http://schemas.openxmlformats.org/officeDocument/2006/relationships/header" Target="header6.xml"/><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foot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22.wmf"/></Relationships>
</file>

<file path=word/_rels/footer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watch?v=J-Qz0XOMldo" TargetMode="External"/><Relationship Id="rId2" Type="http://schemas.openxmlformats.org/officeDocument/2006/relationships/hyperlink" Target="http://www.healthliteracy.org.nz/about-health-literacy/health-literacy-statistics/" TargetMode="External"/><Relationship Id="rId1" Type="http://schemas.openxmlformats.org/officeDocument/2006/relationships/hyperlink" Target="http://www.health.govt.nz/our-work/health-identity/national-health-index/national-health-index-overview" TargetMode="External"/><Relationship Id="rId4" Type="http://schemas.openxmlformats.org/officeDocument/2006/relationships/hyperlink" Target="http://www.bowelscreeningwaitemata.co.nz/Home.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2292942548847"/>
          <c:y val="0.13962473440819895"/>
          <c:w val="0.83614373724117819"/>
          <c:h val="0.67681696037995254"/>
        </c:manualLayout>
      </c:layout>
      <c:barChart>
        <c:barDir val="col"/>
        <c:grouping val="clustered"/>
        <c:varyColors val="0"/>
        <c:ser>
          <c:idx val="0"/>
          <c:order val="0"/>
          <c:tx>
            <c:strRef>
              <c:f>Sheet1!$B$1</c:f>
              <c:strCache>
                <c:ptCount val="1"/>
                <c:pt idx="0">
                  <c:v>European</c:v>
                </c:pt>
              </c:strCache>
            </c:strRef>
          </c:tx>
          <c:spPr>
            <a:solidFill>
              <a:srgbClr val="002060"/>
            </a:solidFill>
            <a:ln w="19050">
              <a:noFill/>
            </a:ln>
          </c:spPr>
          <c:invertIfNegative val="0"/>
          <c:dLbls>
            <c:delete val="1"/>
          </c:dLbls>
          <c:cat>
            <c:strRef>
              <c:f>Sheet1!$A$2:$A$6</c:f>
              <c:strCache>
                <c:ptCount val="5"/>
                <c:pt idx="0">
                  <c:v>50-54</c:v>
                </c:pt>
                <c:pt idx="1">
                  <c:v>55-59</c:v>
                </c:pt>
                <c:pt idx="2">
                  <c:v>60-64</c:v>
                </c:pt>
                <c:pt idx="3">
                  <c:v>65-69</c:v>
                </c:pt>
                <c:pt idx="4">
                  <c:v>70-74</c:v>
                </c:pt>
              </c:strCache>
            </c:strRef>
          </c:cat>
          <c:val>
            <c:numRef>
              <c:f>Sheet1!$B$2:$B$6</c:f>
              <c:numCache>
                <c:formatCode>0.00</c:formatCode>
                <c:ptCount val="5"/>
                <c:pt idx="0">
                  <c:v>51.516533637400229</c:v>
                </c:pt>
                <c:pt idx="1">
                  <c:v>57.802259099149353</c:v>
                </c:pt>
                <c:pt idx="2">
                  <c:v>64.925258129141625</c:v>
                </c:pt>
                <c:pt idx="3">
                  <c:v>71.25134843581445</c:v>
                </c:pt>
                <c:pt idx="4">
                  <c:v>74.060238150828866</c:v>
                </c:pt>
              </c:numCache>
            </c:numRef>
          </c:val>
        </c:ser>
        <c:ser>
          <c:idx val="1"/>
          <c:order val="1"/>
          <c:tx>
            <c:strRef>
              <c:f>Sheet1!$C$1</c:f>
              <c:strCache>
                <c:ptCount val="1"/>
                <c:pt idx="0">
                  <c:v>Asian</c:v>
                </c:pt>
              </c:strCache>
            </c:strRef>
          </c:tx>
          <c:spPr>
            <a:solidFill>
              <a:srgbClr val="00B0F0"/>
            </a:solidFill>
            <a:ln w="19050">
              <a:noFill/>
            </a:ln>
          </c:spPr>
          <c:invertIfNegative val="0"/>
          <c:dLbls>
            <c:delete val="1"/>
          </c:dLbls>
          <c:cat>
            <c:strRef>
              <c:f>Sheet1!$A$2:$A$6</c:f>
              <c:strCache>
                <c:ptCount val="5"/>
                <c:pt idx="0">
                  <c:v>50-54</c:v>
                </c:pt>
                <c:pt idx="1">
                  <c:v>55-59</c:v>
                </c:pt>
                <c:pt idx="2">
                  <c:v>60-64</c:v>
                </c:pt>
                <c:pt idx="3">
                  <c:v>65-69</c:v>
                </c:pt>
                <c:pt idx="4">
                  <c:v>70-74</c:v>
                </c:pt>
              </c:strCache>
            </c:strRef>
          </c:cat>
          <c:val>
            <c:numRef>
              <c:f>Sheet1!$C$2:$C$6</c:f>
              <c:numCache>
                <c:formatCode>0.00</c:formatCode>
                <c:ptCount val="5"/>
                <c:pt idx="0">
                  <c:v>48.938134810710984</c:v>
                </c:pt>
                <c:pt idx="1">
                  <c:v>54.26621160409556</c:v>
                </c:pt>
                <c:pt idx="2">
                  <c:v>51.936026936026934</c:v>
                </c:pt>
                <c:pt idx="3">
                  <c:v>51.368159203980099</c:v>
                </c:pt>
                <c:pt idx="4">
                  <c:v>50.252951096121414</c:v>
                </c:pt>
              </c:numCache>
            </c:numRef>
          </c:val>
        </c:ser>
        <c:ser>
          <c:idx val="2"/>
          <c:order val="2"/>
          <c:tx>
            <c:strRef>
              <c:f>Sheet1!$D$1</c:f>
              <c:strCache>
                <c:ptCount val="1"/>
                <c:pt idx="0">
                  <c:v>Pacific</c:v>
                </c:pt>
              </c:strCache>
            </c:strRef>
          </c:tx>
          <c:spPr>
            <a:solidFill>
              <a:schemeClr val="accent6"/>
            </a:solidFill>
            <a:ln w="19050">
              <a:noFill/>
            </a:ln>
          </c:spPr>
          <c:invertIfNegative val="0"/>
          <c:dLbls>
            <c:delete val="1"/>
          </c:dLbls>
          <c:cat>
            <c:strRef>
              <c:f>Sheet1!$A$2:$A$6</c:f>
              <c:strCache>
                <c:ptCount val="5"/>
                <c:pt idx="0">
                  <c:v>50-54</c:v>
                </c:pt>
                <c:pt idx="1">
                  <c:v>55-59</c:v>
                </c:pt>
                <c:pt idx="2">
                  <c:v>60-64</c:v>
                </c:pt>
                <c:pt idx="3">
                  <c:v>65-69</c:v>
                </c:pt>
                <c:pt idx="4">
                  <c:v>70-74</c:v>
                </c:pt>
              </c:strCache>
            </c:strRef>
          </c:cat>
          <c:val>
            <c:numRef>
              <c:f>Sheet1!$D$2:$D$6</c:f>
              <c:numCache>
                <c:formatCode>0.00</c:formatCode>
                <c:ptCount val="5"/>
                <c:pt idx="0">
                  <c:v>19.695044472681069</c:v>
                </c:pt>
                <c:pt idx="1">
                  <c:v>21.452145214521451</c:v>
                </c:pt>
                <c:pt idx="2">
                  <c:v>24.532224532224532</c:v>
                </c:pt>
                <c:pt idx="3">
                  <c:v>31.775700934579437</c:v>
                </c:pt>
                <c:pt idx="4">
                  <c:v>21.481481481481481</c:v>
                </c:pt>
              </c:numCache>
            </c:numRef>
          </c:val>
        </c:ser>
        <c:ser>
          <c:idx val="3"/>
          <c:order val="3"/>
          <c:tx>
            <c:strRef>
              <c:f>Sheet1!$E$1</c:f>
              <c:strCache>
                <c:ptCount val="1"/>
                <c:pt idx="0">
                  <c:v>Māori</c:v>
                </c:pt>
              </c:strCache>
            </c:strRef>
          </c:tx>
          <c:spPr>
            <a:solidFill>
              <a:schemeClr val="accent2"/>
            </a:solidFill>
            <a:ln w="19050">
              <a:noFill/>
            </a:ln>
          </c:spPr>
          <c:invertIfNegative val="0"/>
          <c:dLbls>
            <c:delete val="1"/>
          </c:dLbls>
          <c:cat>
            <c:strRef>
              <c:f>Sheet1!$A$2:$A$6</c:f>
              <c:strCache>
                <c:ptCount val="5"/>
                <c:pt idx="0">
                  <c:v>50-54</c:v>
                </c:pt>
                <c:pt idx="1">
                  <c:v>55-59</c:v>
                </c:pt>
                <c:pt idx="2">
                  <c:v>60-64</c:v>
                </c:pt>
                <c:pt idx="3">
                  <c:v>65-69</c:v>
                </c:pt>
                <c:pt idx="4">
                  <c:v>70-74</c:v>
                </c:pt>
              </c:strCache>
            </c:strRef>
          </c:cat>
          <c:val>
            <c:numRef>
              <c:f>Sheet1!$E$2:$E$6</c:f>
              <c:numCache>
                <c:formatCode>0.00</c:formatCode>
                <c:ptCount val="5"/>
                <c:pt idx="0">
                  <c:v>33.294797687861269</c:v>
                </c:pt>
                <c:pt idx="1">
                  <c:v>38.636363636363633</c:v>
                </c:pt>
                <c:pt idx="2">
                  <c:v>43.583535108958834</c:v>
                </c:pt>
                <c:pt idx="3">
                  <c:v>48.79032258064516</c:v>
                </c:pt>
                <c:pt idx="4">
                  <c:v>54.450261780104711</c:v>
                </c:pt>
              </c:numCache>
            </c:numRef>
          </c:val>
        </c:ser>
        <c:ser>
          <c:idx val="4"/>
          <c:order val="4"/>
          <c:tx>
            <c:strRef>
              <c:f>Sheet1!$F$1</c:f>
              <c:strCache>
                <c:ptCount val="1"/>
                <c:pt idx="0">
                  <c:v>Other</c:v>
                </c:pt>
              </c:strCache>
            </c:strRef>
          </c:tx>
          <c:spPr>
            <a:solidFill>
              <a:schemeClr val="accent3"/>
            </a:solidFill>
            <a:ln w="19050">
              <a:noFill/>
            </a:ln>
          </c:spPr>
          <c:invertIfNegative val="0"/>
          <c:dLbls>
            <c:delete val="1"/>
          </c:dLbls>
          <c:cat>
            <c:strRef>
              <c:f>Sheet1!$A$2:$A$6</c:f>
              <c:strCache>
                <c:ptCount val="5"/>
                <c:pt idx="0">
                  <c:v>50-54</c:v>
                </c:pt>
                <c:pt idx="1">
                  <c:v>55-59</c:v>
                </c:pt>
                <c:pt idx="2">
                  <c:v>60-64</c:v>
                </c:pt>
                <c:pt idx="3">
                  <c:v>65-69</c:v>
                </c:pt>
                <c:pt idx="4">
                  <c:v>70-74</c:v>
                </c:pt>
              </c:strCache>
            </c:strRef>
          </c:cat>
          <c:val>
            <c:numRef>
              <c:f>Sheet1!$F$2:$F$6</c:f>
              <c:numCache>
                <c:formatCode>0.00</c:formatCode>
                <c:ptCount val="5"/>
                <c:pt idx="0">
                  <c:v>41.632653061224488</c:v>
                </c:pt>
                <c:pt idx="1">
                  <c:v>43.262411347517734</c:v>
                </c:pt>
                <c:pt idx="2">
                  <c:v>53.164556962025308</c:v>
                </c:pt>
                <c:pt idx="3">
                  <c:v>40</c:v>
                </c:pt>
                <c:pt idx="4">
                  <c:v>40.425531914893611</c:v>
                </c:pt>
              </c:numCache>
            </c:numRef>
          </c:val>
        </c:ser>
        <c:ser>
          <c:idx val="5"/>
          <c:order val="5"/>
          <c:tx>
            <c:strRef>
              <c:f>Sheet1!$G$1</c:f>
              <c:strCache>
                <c:ptCount val="1"/>
                <c:pt idx="0">
                  <c:v>    </c:v>
                </c:pt>
              </c:strCache>
            </c:strRef>
          </c:tx>
          <c:spPr>
            <a:noFill/>
            <a:ln>
              <a:noFill/>
            </a:ln>
          </c:spPr>
          <c:invertIfNegative val="0"/>
          <c:dLbls>
            <c:delete val="1"/>
          </c:dLbls>
          <c:trendline>
            <c:name>Desired</c:name>
            <c:trendlineType val="linear"/>
            <c:forward val="0.5"/>
            <c:backward val="0.5"/>
            <c:dispRSqr val="0"/>
            <c:dispEq val="0"/>
          </c:trendline>
          <c:cat>
            <c:strRef>
              <c:f>Sheet1!$A$2:$A$6</c:f>
              <c:strCache>
                <c:ptCount val="5"/>
                <c:pt idx="0">
                  <c:v>50-54</c:v>
                </c:pt>
                <c:pt idx="1">
                  <c:v>55-59</c:v>
                </c:pt>
                <c:pt idx="2">
                  <c:v>60-64</c:v>
                </c:pt>
                <c:pt idx="3">
                  <c:v>65-69</c:v>
                </c:pt>
                <c:pt idx="4">
                  <c:v>70-74</c:v>
                </c:pt>
              </c:strCache>
            </c:strRef>
          </c:cat>
          <c:val>
            <c:numRef>
              <c:f>Sheet1!$G$2:$G$6</c:f>
              <c:numCache>
                <c:formatCode>0.00</c:formatCode>
                <c:ptCount val="5"/>
                <c:pt idx="0">
                  <c:v>60</c:v>
                </c:pt>
                <c:pt idx="1">
                  <c:v>60</c:v>
                </c:pt>
                <c:pt idx="2">
                  <c:v>60</c:v>
                </c:pt>
                <c:pt idx="3">
                  <c:v>60</c:v>
                </c:pt>
                <c:pt idx="4">
                  <c:v>60</c:v>
                </c:pt>
              </c:numCache>
            </c:numRef>
          </c:val>
        </c:ser>
        <c:dLbls>
          <c:showLegendKey val="0"/>
          <c:showVal val="1"/>
          <c:showCatName val="0"/>
          <c:showSerName val="0"/>
          <c:showPercent val="0"/>
          <c:showBubbleSize val="0"/>
        </c:dLbls>
        <c:gapWidth val="150"/>
        <c:axId val="35261056"/>
        <c:axId val="35263232"/>
      </c:barChart>
      <c:catAx>
        <c:axId val="35261056"/>
        <c:scaling>
          <c:orientation val="minMax"/>
        </c:scaling>
        <c:delete val="0"/>
        <c:axPos val="b"/>
        <c:title>
          <c:tx>
            <c:rich>
              <a:bodyPr/>
              <a:lstStyle/>
              <a:p>
                <a:pPr>
                  <a:defRPr/>
                </a:pPr>
                <a:r>
                  <a:rPr lang="en-NZ"/>
                  <a:t>Age Group</a:t>
                </a:r>
              </a:p>
            </c:rich>
          </c:tx>
          <c:layout/>
          <c:overlay val="0"/>
        </c:title>
        <c:numFmt formatCode="General" sourceLinked="0"/>
        <c:majorTickMark val="out"/>
        <c:minorTickMark val="none"/>
        <c:tickLblPos val="nextTo"/>
        <c:crossAx val="35263232"/>
        <c:crosses val="autoZero"/>
        <c:auto val="1"/>
        <c:lblAlgn val="ctr"/>
        <c:lblOffset val="100"/>
        <c:noMultiLvlLbl val="0"/>
      </c:catAx>
      <c:valAx>
        <c:axId val="35263232"/>
        <c:scaling>
          <c:orientation val="minMax"/>
        </c:scaling>
        <c:delete val="0"/>
        <c:axPos val="l"/>
        <c:title>
          <c:tx>
            <c:rich>
              <a:bodyPr rot="-5400000" vert="horz"/>
              <a:lstStyle/>
              <a:p>
                <a:pPr>
                  <a:defRPr/>
                </a:pPr>
                <a:r>
                  <a:rPr lang="en-NZ"/>
                  <a:t>Paricipation (%)</a:t>
                </a:r>
              </a:p>
            </c:rich>
          </c:tx>
          <c:layout/>
          <c:overlay val="0"/>
        </c:title>
        <c:numFmt formatCode="0.00" sourceLinked="1"/>
        <c:majorTickMark val="out"/>
        <c:minorTickMark val="none"/>
        <c:tickLblPos val="nextTo"/>
        <c:crossAx val="35261056"/>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Participation</c:v>
                </c:pt>
              </c:strCache>
            </c:strRef>
          </c:tx>
          <c:spPr>
            <a:ln w="19050"/>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
                  <c:y val="-8.7301587301587297E-2"/>
                </c:manualLayout>
              </c:layou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Sheet1!$F$2:$F$6</c:f>
                <c:numCache>
                  <c:formatCode>General</c:formatCode>
                  <c:ptCount val="5"/>
                  <c:pt idx="1">
                    <c:v>0.04</c:v>
                  </c:pt>
                  <c:pt idx="2">
                    <c:v>0.04</c:v>
                  </c:pt>
                  <c:pt idx="3">
                    <c:v>0.03</c:v>
                  </c:pt>
                  <c:pt idx="4">
                    <c:v>0.05</c:v>
                  </c:pt>
                </c:numCache>
              </c:numRef>
            </c:plus>
            <c:minus>
              <c:numRef>
                <c:f>Sheet1!$E$2:$E$6</c:f>
                <c:numCache>
                  <c:formatCode>General</c:formatCode>
                  <c:ptCount val="5"/>
                  <c:pt idx="1">
                    <c:v>3.9999999999999897E-2</c:v>
                  </c:pt>
                  <c:pt idx="2">
                    <c:v>0.03</c:v>
                  </c:pt>
                  <c:pt idx="3">
                    <c:v>0.03</c:v>
                  </c:pt>
                  <c:pt idx="4">
                    <c:v>0.05</c:v>
                  </c:pt>
                </c:numCache>
              </c:numRef>
            </c:minus>
          </c:errBars>
          <c:cat>
            <c:strRef>
              <c:f>Sheet1!$A$2:$A$6</c:f>
              <c:strCache>
                <c:ptCount val="5"/>
                <c:pt idx="0">
                  <c:v>1-2</c:v>
                </c:pt>
                <c:pt idx="1">
                  <c:v>3-4</c:v>
                </c:pt>
                <c:pt idx="2">
                  <c:v>5-6</c:v>
                </c:pt>
                <c:pt idx="3">
                  <c:v>7-8</c:v>
                </c:pt>
                <c:pt idx="4">
                  <c:v>9-10</c:v>
                </c:pt>
              </c:strCache>
            </c:strRef>
          </c:cat>
          <c:val>
            <c:numRef>
              <c:f>Sheet1!$B$2:$B$6</c:f>
              <c:numCache>
                <c:formatCode>General</c:formatCode>
                <c:ptCount val="5"/>
                <c:pt idx="0">
                  <c:v>1</c:v>
                </c:pt>
                <c:pt idx="1">
                  <c:v>0.94</c:v>
                </c:pt>
                <c:pt idx="2">
                  <c:v>0.89</c:v>
                </c:pt>
                <c:pt idx="3">
                  <c:v>0.73</c:v>
                </c:pt>
                <c:pt idx="4">
                  <c:v>0.63</c:v>
                </c:pt>
              </c:numCache>
            </c:numRef>
          </c:val>
          <c:smooth val="0"/>
        </c:ser>
        <c:ser>
          <c:idx val="1"/>
          <c:order val="1"/>
          <c:tx>
            <c:strRef>
              <c:f>Sheet1!$C$1</c:f>
              <c:strCache>
                <c:ptCount val="1"/>
                <c:pt idx="0">
                  <c:v>Neoplasia</c:v>
                </c:pt>
              </c:strCache>
            </c:strRef>
          </c:tx>
          <c:spPr>
            <a:ln w="19050">
              <a:solidFill>
                <a:schemeClr val="accent3"/>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
                  <c:y val="0.21031746031745999"/>
                </c:manualLayout>
              </c:layou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Sheet1!$H$2:$H$6</c:f>
                <c:numCache>
                  <c:formatCode>General</c:formatCode>
                  <c:ptCount val="5"/>
                  <c:pt idx="1">
                    <c:v>0.17</c:v>
                  </c:pt>
                  <c:pt idx="2">
                    <c:v>0.17</c:v>
                  </c:pt>
                  <c:pt idx="3">
                    <c:v>0.23</c:v>
                  </c:pt>
                  <c:pt idx="4">
                    <c:v>0.49</c:v>
                  </c:pt>
                </c:numCache>
              </c:numRef>
            </c:plus>
            <c:minus>
              <c:numRef>
                <c:f>Sheet1!$G$2:$G$6</c:f>
                <c:numCache>
                  <c:formatCode>General</c:formatCode>
                  <c:ptCount val="5"/>
                  <c:pt idx="1">
                    <c:v>0.15</c:v>
                  </c:pt>
                  <c:pt idx="2">
                    <c:v>0.14000000000000001</c:v>
                  </c:pt>
                  <c:pt idx="3">
                    <c:v>0.19</c:v>
                  </c:pt>
                  <c:pt idx="4">
                    <c:v>0.38</c:v>
                  </c:pt>
                </c:numCache>
              </c:numRef>
            </c:minus>
          </c:errBars>
          <c:cat>
            <c:strRef>
              <c:f>Sheet1!$A$2:$A$6</c:f>
              <c:strCache>
                <c:ptCount val="5"/>
                <c:pt idx="0">
                  <c:v>1-2</c:v>
                </c:pt>
                <c:pt idx="1">
                  <c:v>3-4</c:v>
                </c:pt>
                <c:pt idx="2">
                  <c:v>5-6</c:v>
                </c:pt>
                <c:pt idx="3">
                  <c:v>7-8</c:v>
                </c:pt>
                <c:pt idx="4">
                  <c:v>9-10</c:v>
                </c:pt>
              </c:strCache>
            </c:strRef>
          </c:cat>
          <c:val>
            <c:numRef>
              <c:f>Sheet1!$C$2:$C$6</c:f>
              <c:numCache>
                <c:formatCode>General</c:formatCode>
                <c:ptCount val="5"/>
                <c:pt idx="0">
                  <c:v>1</c:v>
                </c:pt>
                <c:pt idx="1">
                  <c:v>1.18</c:v>
                </c:pt>
                <c:pt idx="2">
                  <c:v>1.0900000000000001</c:v>
                </c:pt>
                <c:pt idx="3">
                  <c:v>1.4</c:v>
                </c:pt>
                <c:pt idx="4">
                  <c:v>1.69</c:v>
                </c:pt>
              </c:numCache>
            </c:numRef>
          </c:val>
          <c:smooth val="0"/>
        </c:ser>
        <c:ser>
          <c:idx val="2"/>
          <c:order val="2"/>
          <c:tx>
            <c:strRef>
              <c:f>Sheet1!$D$1</c:f>
              <c:strCache>
                <c:ptCount val="1"/>
                <c:pt idx="0">
                  <c:v>  </c:v>
                </c:pt>
              </c:strCache>
            </c:strRef>
          </c:tx>
          <c:spPr>
            <a:ln>
              <a:noFill/>
            </a:ln>
          </c:spPr>
          <c:marker>
            <c:symbol val="none"/>
          </c:marker>
          <c:dLbls>
            <c:delete val="1"/>
          </c:dLbls>
          <c:trendline>
            <c:name>OR=1</c:name>
            <c:trendlineType val="linear"/>
            <c:forward val="0.5"/>
            <c:backward val="0.5"/>
            <c:dispRSqr val="0"/>
            <c:dispEq val="0"/>
          </c:trendline>
          <c:cat>
            <c:strRef>
              <c:f>Sheet1!$A$2:$A$6</c:f>
              <c:strCache>
                <c:ptCount val="5"/>
                <c:pt idx="0">
                  <c:v>1-2</c:v>
                </c:pt>
                <c:pt idx="1">
                  <c:v>3-4</c:v>
                </c:pt>
                <c:pt idx="2">
                  <c:v>5-6</c:v>
                </c:pt>
                <c:pt idx="3">
                  <c:v>7-8</c:v>
                </c:pt>
                <c:pt idx="4">
                  <c:v>9-10</c:v>
                </c:pt>
              </c:strCache>
            </c:strRef>
          </c:cat>
          <c:val>
            <c:numRef>
              <c:f>Sheet1!$D$2:$D$6</c:f>
              <c:numCache>
                <c:formatCode>General</c:formatCode>
                <c:ptCount val="5"/>
                <c:pt idx="0">
                  <c:v>1</c:v>
                </c:pt>
                <c:pt idx="1">
                  <c:v>1</c:v>
                </c:pt>
                <c:pt idx="2">
                  <c:v>1</c:v>
                </c:pt>
                <c:pt idx="3">
                  <c:v>1</c:v>
                </c:pt>
                <c:pt idx="4">
                  <c:v>1</c:v>
                </c:pt>
              </c:numCache>
            </c:numRef>
          </c:val>
          <c:smooth val="0"/>
        </c:ser>
        <c:dLbls>
          <c:showLegendKey val="0"/>
          <c:showVal val="1"/>
          <c:showCatName val="0"/>
          <c:showSerName val="0"/>
          <c:showPercent val="0"/>
          <c:showBubbleSize val="0"/>
        </c:dLbls>
        <c:marker val="1"/>
        <c:smooth val="0"/>
        <c:axId val="96086272"/>
        <c:axId val="96117120"/>
      </c:lineChart>
      <c:catAx>
        <c:axId val="96086272"/>
        <c:scaling>
          <c:orientation val="minMax"/>
        </c:scaling>
        <c:delete val="0"/>
        <c:axPos val="b"/>
        <c:title>
          <c:tx>
            <c:rich>
              <a:bodyPr/>
              <a:lstStyle/>
              <a:p>
                <a:pPr>
                  <a:defRPr/>
                </a:pPr>
                <a:r>
                  <a:rPr lang="en-NZ"/>
                  <a:t>New Zealand</a:t>
                </a:r>
                <a:r>
                  <a:rPr lang="en-NZ" baseline="0"/>
                  <a:t> Deprivation Index 2006 (in quintiles)</a:t>
                </a:r>
                <a:endParaRPr lang="en-NZ"/>
              </a:p>
            </c:rich>
          </c:tx>
          <c:layout/>
          <c:overlay val="0"/>
        </c:title>
        <c:numFmt formatCode="General" sourceLinked="0"/>
        <c:majorTickMark val="out"/>
        <c:minorTickMark val="none"/>
        <c:tickLblPos val="nextTo"/>
        <c:crossAx val="96117120"/>
        <c:crosses val="autoZero"/>
        <c:auto val="1"/>
        <c:lblAlgn val="ctr"/>
        <c:lblOffset val="100"/>
        <c:noMultiLvlLbl val="0"/>
      </c:catAx>
      <c:valAx>
        <c:axId val="96117120"/>
        <c:scaling>
          <c:orientation val="minMax"/>
          <c:max val="2.2999999999999998"/>
          <c:min val="0.5"/>
        </c:scaling>
        <c:delete val="0"/>
        <c:axPos val="l"/>
        <c:title>
          <c:tx>
            <c:rich>
              <a:bodyPr rot="-5400000" vert="horz"/>
              <a:lstStyle/>
              <a:p>
                <a:pPr>
                  <a:defRPr/>
                </a:pPr>
                <a:r>
                  <a:rPr lang="en-NZ"/>
                  <a:t>Odds Ratio (95% CI)</a:t>
                </a:r>
                <a:br>
                  <a:rPr lang="en-NZ"/>
                </a:br>
                <a:r>
                  <a:rPr lang="en-NZ"/>
                  <a:t>adjusted for age, sex, ethnicity</a:t>
                </a:r>
              </a:p>
            </c:rich>
          </c:tx>
          <c:layout/>
          <c:overlay val="0"/>
        </c:title>
        <c:numFmt formatCode="General" sourceLinked="1"/>
        <c:majorTickMark val="out"/>
        <c:minorTickMark val="none"/>
        <c:tickLblPos val="nextTo"/>
        <c:crossAx val="9608627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European</c:v>
                </c:pt>
              </c:strCache>
            </c:strRef>
          </c:tx>
          <c:spPr>
            <a:solidFill>
              <a:srgbClr val="002060"/>
            </a:solidFill>
            <a:ln w="19050">
              <a:noFill/>
            </a:ln>
          </c:spPr>
          <c:invertIfNegative val="0"/>
          <c:cat>
            <c:strRef>
              <c:f>Sheet1!$A$2:$A$6</c:f>
              <c:strCache>
                <c:ptCount val="5"/>
                <c:pt idx="0">
                  <c:v>50-54</c:v>
                </c:pt>
                <c:pt idx="1">
                  <c:v>55-59</c:v>
                </c:pt>
                <c:pt idx="2">
                  <c:v>60-64</c:v>
                </c:pt>
                <c:pt idx="3">
                  <c:v>65-69</c:v>
                </c:pt>
                <c:pt idx="4">
                  <c:v>70-74</c:v>
                </c:pt>
              </c:strCache>
            </c:strRef>
          </c:cat>
          <c:val>
            <c:numRef>
              <c:f>Sheet1!$B$2:$B$6</c:f>
              <c:numCache>
                <c:formatCode>0.00</c:formatCode>
                <c:ptCount val="5"/>
                <c:pt idx="0">
                  <c:v>46.932635709614132</c:v>
                </c:pt>
                <c:pt idx="1">
                  <c:v>53.428042001235333</c:v>
                </c:pt>
                <c:pt idx="2">
                  <c:v>60.805190484112437</c:v>
                </c:pt>
                <c:pt idx="3">
                  <c:v>67.418981481481481</c:v>
                </c:pt>
                <c:pt idx="4">
                  <c:v>71.985559566787003</c:v>
                </c:pt>
              </c:numCache>
            </c:numRef>
          </c:val>
        </c:ser>
        <c:ser>
          <c:idx val="1"/>
          <c:order val="1"/>
          <c:tx>
            <c:strRef>
              <c:f>Sheet1!$C$1</c:f>
              <c:strCache>
                <c:ptCount val="1"/>
                <c:pt idx="0">
                  <c:v>Asian</c:v>
                </c:pt>
              </c:strCache>
            </c:strRef>
          </c:tx>
          <c:spPr>
            <a:solidFill>
              <a:srgbClr val="00B0F0"/>
            </a:solidFill>
            <a:ln w="19050">
              <a:noFill/>
            </a:ln>
          </c:spPr>
          <c:invertIfNegative val="0"/>
          <c:cat>
            <c:strRef>
              <c:f>Sheet1!$A$2:$A$6</c:f>
              <c:strCache>
                <c:ptCount val="5"/>
                <c:pt idx="0">
                  <c:v>50-54</c:v>
                </c:pt>
                <c:pt idx="1">
                  <c:v>55-59</c:v>
                </c:pt>
                <c:pt idx="2">
                  <c:v>60-64</c:v>
                </c:pt>
                <c:pt idx="3">
                  <c:v>65-69</c:v>
                </c:pt>
                <c:pt idx="4">
                  <c:v>70-74</c:v>
                </c:pt>
              </c:strCache>
            </c:strRef>
          </c:cat>
          <c:val>
            <c:numRef>
              <c:f>Sheet1!$C$2:$C$6</c:f>
              <c:numCache>
                <c:formatCode>0.00</c:formatCode>
                <c:ptCount val="5"/>
                <c:pt idx="0">
                  <c:v>45.646258503401363</c:v>
                </c:pt>
                <c:pt idx="1">
                  <c:v>47.789824854045023</c:v>
                </c:pt>
                <c:pt idx="2">
                  <c:v>54.593453009503698</c:v>
                </c:pt>
                <c:pt idx="3">
                  <c:v>57.96661608497724</c:v>
                </c:pt>
                <c:pt idx="4">
                  <c:v>60.254083484573492</c:v>
                </c:pt>
              </c:numCache>
            </c:numRef>
          </c:val>
        </c:ser>
        <c:ser>
          <c:idx val="2"/>
          <c:order val="2"/>
          <c:tx>
            <c:strRef>
              <c:f>Sheet1!$D$1</c:f>
              <c:strCache>
                <c:ptCount val="1"/>
                <c:pt idx="0">
                  <c:v>Pacific</c:v>
                </c:pt>
              </c:strCache>
            </c:strRef>
          </c:tx>
          <c:spPr>
            <a:solidFill>
              <a:schemeClr val="accent6"/>
            </a:solidFill>
            <a:ln w="19050">
              <a:noFill/>
            </a:ln>
          </c:spPr>
          <c:invertIfNegative val="0"/>
          <c:cat>
            <c:strRef>
              <c:f>Sheet1!$A$2:$A$6</c:f>
              <c:strCache>
                <c:ptCount val="5"/>
                <c:pt idx="0">
                  <c:v>50-54</c:v>
                </c:pt>
                <c:pt idx="1">
                  <c:v>55-59</c:v>
                </c:pt>
                <c:pt idx="2">
                  <c:v>60-64</c:v>
                </c:pt>
                <c:pt idx="3">
                  <c:v>65-69</c:v>
                </c:pt>
                <c:pt idx="4">
                  <c:v>70-74</c:v>
                </c:pt>
              </c:strCache>
            </c:strRef>
          </c:cat>
          <c:val>
            <c:numRef>
              <c:f>Sheet1!$D$2:$D$6</c:f>
              <c:numCache>
                <c:formatCode>0.00</c:formatCode>
                <c:ptCount val="5"/>
                <c:pt idx="0">
                  <c:v>22.64752791068581</c:v>
                </c:pt>
                <c:pt idx="1">
                  <c:v>19.758064516129021</c:v>
                </c:pt>
                <c:pt idx="2">
                  <c:v>32.642487046632112</c:v>
                </c:pt>
                <c:pt idx="3">
                  <c:v>27.169811320754722</c:v>
                </c:pt>
                <c:pt idx="4">
                  <c:v>29.518072289156631</c:v>
                </c:pt>
              </c:numCache>
            </c:numRef>
          </c:val>
        </c:ser>
        <c:ser>
          <c:idx val="3"/>
          <c:order val="3"/>
          <c:tx>
            <c:strRef>
              <c:f>Sheet1!$E$1</c:f>
              <c:strCache>
                <c:ptCount val="1"/>
                <c:pt idx="0">
                  <c:v>Māori</c:v>
                </c:pt>
              </c:strCache>
            </c:strRef>
          </c:tx>
          <c:spPr>
            <a:solidFill>
              <a:schemeClr val="accent2"/>
            </a:solidFill>
            <a:ln w="19050">
              <a:noFill/>
            </a:ln>
          </c:spPr>
          <c:invertIfNegative val="0"/>
          <c:cat>
            <c:strRef>
              <c:f>Sheet1!$A$2:$A$6</c:f>
              <c:strCache>
                <c:ptCount val="5"/>
                <c:pt idx="0">
                  <c:v>50-54</c:v>
                </c:pt>
                <c:pt idx="1">
                  <c:v>55-59</c:v>
                </c:pt>
                <c:pt idx="2">
                  <c:v>60-64</c:v>
                </c:pt>
                <c:pt idx="3">
                  <c:v>65-69</c:v>
                </c:pt>
                <c:pt idx="4">
                  <c:v>70-74</c:v>
                </c:pt>
              </c:strCache>
            </c:strRef>
          </c:cat>
          <c:val>
            <c:numRef>
              <c:f>Sheet1!$E$2:$E$6</c:f>
              <c:numCache>
                <c:formatCode>0.00</c:formatCode>
                <c:ptCount val="5"/>
                <c:pt idx="0">
                  <c:v>36.189069423929098</c:v>
                </c:pt>
                <c:pt idx="1">
                  <c:v>43.468468468468451</c:v>
                </c:pt>
                <c:pt idx="2">
                  <c:v>51.315789473684177</c:v>
                </c:pt>
                <c:pt idx="3">
                  <c:v>55.614973262032073</c:v>
                </c:pt>
                <c:pt idx="4">
                  <c:v>62.589928057553948</c:v>
                </c:pt>
              </c:numCache>
            </c:numRef>
          </c:val>
        </c:ser>
        <c:ser>
          <c:idx val="4"/>
          <c:order val="4"/>
          <c:tx>
            <c:strRef>
              <c:f>Sheet1!$F$1</c:f>
              <c:strCache>
                <c:ptCount val="1"/>
                <c:pt idx="0">
                  <c:v>Other</c:v>
                </c:pt>
              </c:strCache>
            </c:strRef>
          </c:tx>
          <c:spPr>
            <a:solidFill>
              <a:schemeClr val="accent3"/>
            </a:solidFill>
            <a:ln w="19050">
              <a:noFill/>
            </a:ln>
          </c:spPr>
          <c:invertIfNegative val="0"/>
          <c:cat>
            <c:strRef>
              <c:f>Sheet1!$A$2:$A$6</c:f>
              <c:strCache>
                <c:ptCount val="5"/>
                <c:pt idx="0">
                  <c:v>50-54</c:v>
                </c:pt>
                <c:pt idx="1">
                  <c:v>55-59</c:v>
                </c:pt>
                <c:pt idx="2">
                  <c:v>60-64</c:v>
                </c:pt>
                <c:pt idx="3">
                  <c:v>65-69</c:v>
                </c:pt>
                <c:pt idx="4">
                  <c:v>70-74</c:v>
                </c:pt>
              </c:strCache>
            </c:strRef>
          </c:cat>
          <c:val>
            <c:numRef>
              <c:f>Sheet1!$F$2:$F$6</c:f>
              <c:numCache>
                <c:formatCode>0.00</c:formatCode>
                <c:ptCount val="5"/>
                <c:pt idx="0">
                  <c:v>36.453201970443331</c:v>
                </c:pt>
                <c:pt idx="1">
                  <c:v>38.34586466165409</c:v>
                </c:pt>
                <c:pt idx="2">
                  <c:v>53.409090909090907</c:v>
                </c:pt>
                <c:pt idx="3">
                  <c:v>52.941176470588218</c:v>
                </c:pt>
                <c:pt idx="4">
                  <c:v>50</c:v>
                </c:pt>
              </c:numCache>
            </c:numRef>
          </c:val>
        </c:ser>
        <c:ser>
          <c:idx val="5"/>
          <c:order val="5"/>
          <c:tx>
            <c:strRef>
              <c:f>Sheet1!$G$1</c:f>
              <c:strCache>
                <c:ptCount val="1"/>
                <c:pt idx="0">
                  <c:v>    </c:v>
                </c:pt>
              </c:strCache>
            </c:strRef>
          </c:tx>
          <c:spPr>
            <a:noFill/>
            <a:ln>
              <a:noFill/>
            </a:ln>
          </c:spPr>
          <c:invertIfNegative val="0"/>
          <c:trendline>
            <c:name>Desired</c:name>
            <c:trendlineType val="linear"/>
            <c:forward val="0.5"/>
            <c:backward val="0.5"/>
            <c:dispRSqr val="0"/>
            <c:dispEq val="0"/>
          </c:trendline>
          <c:cat>
            <c:strRef>
              <c:f>Sheet1!$A$2:$A$6</c:f>
              <c:strCache>
                <c:ptCount val="5"/>
                <c:pt idx="0">
                  <c:v>50-54</c:v>
                </c:pt>
                <c:pt idx="1">
                  <c:v>55-59</c:v>
                </c:pt>
                <c:pt idx="2">
                  <c:v>60-64</c:v>
                </c:pt>
                <c:pt idx="3">
                  <c:v>65-69</c:v>
                </c:pt>
                <c:pt idx="4">
                  <c:v>70-74</c:v>
                </c:pt>
              </c:strCache>
            </c:strRef>
          </c:cat>
          <c:val>
            <c:numRef>
              <c:f>Sheet1!$G$2:$G$6</c:f>
              <c:numCache>
                <c:formatCode>0.00</c:formatCode>
                <c:ptCount val="5"/>
                <c:pt idx="0">
                  <c:v>60</c:v>
                </c:pt>
                <c:pt idx="1">
                  <c:v>60</c:v>
                </c:pt>
                <c:pt idx="2">
                  <c:v>60</c:v>
                </c:pt>
                <c:pt idx="3">
                  <c:v>60</c:v>
                </c:pt>
                <c:pt idx="4">
                  <c:v>60</c:v>
                </c:pt>
              </c:numCache>
            </c:numRef>
          </c:val>
        </c:ser>
        <c:dLbls>
          <c:showLegendKey val="0"/>
          <c:showVal val="0"/>
          <c:showCatName val="0"/>
          <c:showSerName val="0"/>
          <c:showPercent val="0"/>
          <c:showBubbleSize val="0"/>
        </c:dLbls>
        <c:gapWidth val="150"/>
        <c:axId val="82777600"/>
        <c:axId val="82779520"/>
      </c:barChart>
      <c:catAx>
        <c:axId val="82777600"/>
        <c:scaling>
          <c:orientation val="minMax"/>
        </c:scaling>
        <c:delete val="0"/>
        <c:axPos val="b"/>
        <c:title>
          <c:tx>
            <c:rich>
              <a:bodyPr/>
              <a:lstStyle/>
              <a:p>
                <a:pPr>
                  <a:defRPr/>
                </a:pPr>
                <a:r>
                  <a:rPr lang="en-NZ"/>
                  <a:t>Age Group</a:t>
                </a:r>
              </a:p>
            </c:rich>
          </c:tx>
          <c:layout/>
          <c:overlay val="0"/>
        </c:title>
        <c:numFmt formatCode="General" sourceLinked="0"/>
        <c:majorTickMark val="out"/>
        <c:minorTickMark val="none"/>
        <c:tickLblPos val="nextTo"/>
        <c:crossAx val="82779520"/>
        <c:crosses val="autoZero"/>
        <c:auto val="1"/>
        <c:lblAlgn val="ctr"/>
        <c:lblOffset val="100"/>
        <c:noMultiLvlLbl val="0"/>
      </c:catAx>
      <c:valAx>
        <c:axId val="82779520"/>
        <c:scaling>
          <c:orientation val="minMax"/>
        </c:scaling>
        <c:delete val="0"/>
        <c:axPos val="l"/>
        <c:title>
          <c:tx>
            <c:rich>
              <a:bodyPr rot="-5400000" vert="horz"/>
              <a:lstStyle/>
              <a:p>
                <a:pPr>
                  <a:defRPr/>
                </a:pPr>
                <a:r>
                  <a:rPr lang="en-NZ"/>
                  <a:t>Paricipation (%)</a:t>
                </a:r>
              </a:p>
            </c:rich>
          </c:tx>
          <c:layout/>
          <c:overlay val="0"/>
        </c:title>
        <c:numFmt formatCode="0.00" sourceLinked="1"/>
        <c:majorTickMark val="out"/>
        <c:minorTickMark val="none"/>
        <c:tickLblPos val="nextTo"/>
        <c:crossAx val="82777600"/>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Participation</c:v>
                </c:pt>
              </c:strCache>
            </c:strRef>
          </c:tx>
          <c:spPr>
            <a:ln w="19050"/>
          </c:spPr>
          <c:invertIfNegative val="0"/>
          <c:dLbls>
            <c:delete val="1"/>
          </c:dLbls>
          <c:errBars>
            <c:errBarType val="both"/>
            <c:errValType val="cust"/>
            <c:noEndCap val="0"/>
            <c:plus>
              <c:numRef>
                <c:f>Sheet1!$F$2:$F$6</c:f>
                <c:numCache>
                  <c:formatCode>General</c:formatCode>
                  <c:ptCount val="5"/>
                  <c:pt idx="1">
                    <c:v>0.03</c:v>
                  </c:pt>
                  <c:pt idx="2">
                    <c:v>0.02</c:v>
                  </c:pt>
                  <c:pt idx="3">
                    <c:v>0.04</c:v>
                  </c:pt>
                  <c:pt idx="4">
                    <c:v>7.0000000000000104E-2</c:v>
                  </c:pt>
                </c:numCache>
              </c:numRef>
            </c:plus>
            <c:minus>
              <c:numRef>
                <c:f>Sheet1!$E$2:$E$6</c:f>
                <c:numCache>
                  <c:formatCode>General</c:formatCode>
                  <c:ptCount val="5"/>
                  <c:pt idx="1">
                    <c:v>0.04</c:v>
                  </c:pt>
                  <c:pt idx="2">
                    <c:v>0.02</c:v>
                  </c:pt>
                  <c:pt idx="3">
                    <c:v>3.9999999999999897E-2</c:v>
                  </c:pt>
                  <c:pt idx="4">
                    <c:v>7.0000000000000007E-2</c:v>
                  </c:pt>
                </c:numCache>
              </c:numRef>
            </c:minus>
          </c:errBars>
          <c:cat>
            <c:strRef>
              <c:f>Sheet1!$A$2:$A$6</c:f>
              <c:strCache>
                <c:ptCount val="5"/>
                <c:pt idx="0">
                  <c:v>European</c:v>
                </c:pt>
                <c:pt idx="1">
                  <c:v>Asian</c:v>
                </c:pt>
                <c:pt idx="2">
                  <c:v>Pacific</c:v>
                </c:pt>
                <c:pt idx="3">
                  <c:v>Māori</c:v>
                </c:pt>
                <c:pt idx="4">
                  <c:v>Other</c:v>
                </c:pt>
              </c:strCache>
            </c:strRef>
          </c:cat>
          <c:val>
            <c:numRef>
              <c:f>Sheet1!$B$2:$B$6</c:f>
              <c:numCache>
                <c:formatCode>General</c:formatCode>
                <c:ptCount val="5"/>
                <c:pt idx="0">
                  <c:v>1</c:v>
                </c:pt>
                <c:pt idx="1">
                  <c:v>0.77</c:v>
                </c:pt>
                <c:pt idx="2">
                  <c:v>0.25</c:v>
                </c:pt>
                <c:pt idx="3">
                  <c:v>0.56999999999999995</c:v>
                </c:pt>
                <c:pt idx="4">
                  <c:v>0.57999999999999996</c:v>
                </c:pt>
              </c:numCache>
            </c:numRef>
          </c:val>
        </c:ser>
        <c:ser>
          <c:idx val="1"/>
          <c:order val="1"/>
          <c:tx>
            <c:strRef>
              <c:f>Sheet1!$C$1</c:f>
              <c:strCache>
                <c:ptCount val="1"/>
                <c:pt idx="0">
                  <c:v>iFOBT Positivity</c:v>
                </c:pt>
              </c:strCache>
            </c:strRef>
          </c:tx>
          <c:invertIfNegative val="0"/>
          <c:dLbls>
            <c:delete val="1"/>
          </c:dLbls>
          <c:errBars>
            <c:errBarType val="both"/>
            <c:errValType val="cust"/>
            <c:noEndCap val="0"/>
            <c:plus>
              <c:numRef>
                <c:f>Sheet1!$H$2:$H$6</c:f>
                <c:numCache>
                  <c:formatCode>General</c:formatCode>
                  <c:ptCount val="5"/>
                  <c:pt idx="1">
                    <c:v>0.13</c:v>
                  </c:pt>
                  <c:pt idx="2">
                    <c:v>0.28999999999999998</c:v>
                  </c:pt>
                  <c:pt idx="3">
                    <c:v>0.24</c:v>
                  </c:pt>
                  <c:pt idx="4">
                    <c:v>0.42</c:v>
                  </c:pt>
                </c:numCache>
              </c:numRef>
            </c:plus>
            <c:minus>
              <c:numRef>
                <c:f>Sheet1!$G$2:$G$6</c:f>
                <c:numCache>
                  <c:formatCode>General</c:formatCode>
                  <c:ptCount val="5"/>
                  <c:pt idx="1">
                    <c:v>0.11</c:v>
                  </c:pt>
                  <c:pt idx="2">
                    <c:v>0.23</c:v>
                  </c:pt>
                  <c:pt idx="3">
                    <c:v>0.21</c:v>
                  </c:pt>
                  <c:pt idx="4">
                    <c:v>0.28000000000000003</c:v>
                  </c:pt>
                </c:numCache>
              </c:numRef>
            </c:minus>
          </c:errBars>
          <c:cat>
            <c:strRef>
              <c:f>Sheet1!$A$2:$A$6</c:f>
              <c:strCache>
                <c:ptCount val="5"/>
                <c:pt idx="0">
                  <c:v>European</c:v>
                </c:pt>
                <c:pt idx="1">
                  <c:v>Asian</c:v>
                </c:pt>
                <c:pt idx="2">
                  <c:v>Pacific</c:v>
                </c:pt>
                <c:pt idx="3">
                  <c:v>Māori</c:v>
                </c:pt>
                <c:pt idx="4">
                  <c:v>Other</c:v>
                </c:pt>
              </c:strCache>
            </c:strRef>
          </c:cat>
          <c:val>
            <c:numRef>
              <c:f>Sheet1!$C$2:$C$6</c:f>
              <c:numCache>
                <c:formatCode>General</c:formatCode>
                <c:ptCount val="5"/>
                <c:pt idx="0">
                  <c:v>1</c:v>
                </c:pt>
                <c:pt idx="1">
                  <c:v>1.1100000000000001</c:v>
                </c:pt>
                <c:pt idx="2">
                  <c:v>1.1299999999999999</c:v>
                </c:pt>
                <c:pt idx="3">
                  <c:v>1.29</c:v>
                </c:pt>
                <c:pt idx="4">
                  <c:v>0.88</c:v>
                </c:pt>
              </c:numCache>
            </c:numRef>
          </c:val>
        </c:ser>
        <c:ser>
          <c:idx val="2"/>
          <c:order val="2"/>
          <c:tx>
            <c:strRef>
              <c:f>Sheet1!$D$1</c:f>
              <c:strCache>
                <c:ptCount val="1"/>
                <c:pt idx="0">
                  <c:v>   </c:v>
                </c:pt>
              </c:strCache>
            </c:strRef>
          </c:tx>
          <c:spPr>
            <a:noFill/>
            <a:ln>
              <a:noFill/>
            </a:ln>
          </c:spPr>
          <c:invertIfNegative val="0"/>
          <c:dLbls>
            <c:delete val="1"/>
          </c:dLbls>
          <c:trendline>
            <c:trendlineType val="linear"/>
            <c:dispRSqr val="0"/>
            <c:dispEq val="0"/>
          </c:trendline>
          <c:trendline>
            <c:trendlineType val="linear"/>
            <c:forward val="0.5"/>
            <c:backward val="0.5"/>
            <c:dispRSqr val="0"/>
            <c:dispEq val="0"/>
          </c:trendline>
          <c:cat>
            <c:strRef>
              <c:f>Sheet1!$A$2:$A$6</c:f>
              <c:strCache>
                <c:ptCount val="5"/>
                <c:pt idx="0">
                  <c:v>European</c:v>
                </c:pt>
                <c:pt idx="1">
                  <c:v>Asian</c:v>
                </c:pt>
                <c:pt idx="2">
                  <c:v>Pacific</c:v>
                </c:pt>
                <c:pt idx="3">
                  <c:v>Māori</c:v>
                </c:pt>
                <c:pt idx="4">
                  <c:v>Other</c:v>
                </c:pt>
              </c:strCache>
            </c:strRef>
          </c:cat>
          <c:val>
            <c:numRef>
              <c:f>Sheet1!$D$2:$D$6</c:f>
              <c:numCache>
                <c:formatCode>General</c:formatCode>
                <c:ptCount val="5"/>
                <c:pt idx="0">
                  <c:v>1</c:v>
                </c:pt>
                <c:pt idx="1">
                  <c:v>1</c:v>
                </c:pt>
                <c:pt idx="2">
                  <c:v>1</c:v>
                </c:pt>
                <c:pt idx="3">
                  <c:v>1</c:v>
                </c:pt>
                <c:pt idx="4">
                  <c:v>1</c:v>
                </c:pt>
              </c:numCache>
            </c:numRef>
          </c:val>
        </c:ser>
        <c:dLbls>
          <c:showLegendKey val="0"/>
          <c:showVal val="1"/>
          <c:showCatName val="0"/>
          <c:showSerName val="0"/>
          <c:showPercent val="0"/>
          <c:showBubbleSize val="0"/>
        </c:dLbls>
        <c:gapWidth val="150"/>
        <c:axId val="95240192"/>
        <c:axId val="95242112"/>
      </c:barChart>
      <c:catAx>
        <c:axId val="95240192"/>
        <c:scaling>
          <c:orientation val="minMax"/>
        </c:scaling>
        <c:delete val="0"/>
        <c:axPos val="b"/>
        <c:title>
          <c:tx>
            <c:rich>
              <a:bodyPr/>
              <a:lstStyle/>
              <a:p>
                <a:pPr>
                  <a:defRPr/>
                </a:pPr>
                <a:r>
                  <a:rPr lang="en-NZ"/>
                  <a:t>Ethnicity</a:t>
                </a:r>
              </a:p>
            </c:rich>
          </c:tx>
          <c:layout/>
          <c:overlay val="0"/>
        </c:title>
        <c:numFmt formatCode="General" sourceLinked="0"/>
        <c:majorTickMark val="out"/>
        <c:minorTickMark val="none"/>
        <c:tickLblPos val="nextTo"/>
        <c:crossAx val="95242112"/>
        <c:crosses val="autoZero"/>
        <c:auto val="1"/>
        <c:lblAlgn val="ctr"/>
        <c:lblOffset val="100"/>
        <c:noMultiLvlLbl val="0"/>
      </c:catAx>
      <c:valAx>
        <c:axId val="95242112"/>
        <c:scaling>
          <c:orientation val="minMax"/>
          <c:max val="1.6"/>
          <c:min val="0"/>
        </c:scaling>
        <c:delete val="0"/>
        <c:axPos val="l"/>
        <c:title>
          <c:tx>
            <c:rich>
              <a:bodyPr rot="-5400000" vert="horz"/>
              <a:lstStyle/>
              <a:p>
                <a:pPr>
                  <a:defRPr/>
                </a:pPr>
                <a:r>
                  <a:rPr lang="en-NZ"/>
                  <a:t>Odds Ratio (95% CI)</a:t>
                </a:r>
                <a:br>
                  <a:rPr lang="en-NZ"/>
                </a:br>
                <a:r>
                  <a:rPr lang="en-NZ"/>
                  <a:t>adjusted for age, sex, deprivation</a:t>
                </a:r>
              </a:p>
            </c:rich>
          </c:tx>
          <c:layout/>
          <c:overlay val="0"/>
        </c:title>
        <c:numFmt formatCode="General" sourceLinked="1"/>
        <c:majorTickMark val="out"/>
        <c:minorTickMark val="none"/>
        <c:tickLblPos val="nextTo"/>
        <c:crossAx val="95240192"/>
        <c:crosses val="autoZero"/>
        <c:crossBetween val="between"/>
      </c:valAx>
    </c:plotArea>
    <c:legend>
      <c:legendPos val="t"/>
      <c:legendEntry>
        <c:idx val="3"/>
        <c:delete val="1"/>
      </c:legendEntry>
      <c:legendEntry>
        <c:idx val="4"/>
        <c:delete val="1"/>
      </c:legendEntry>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Participation</c:v>
                </c:pt>
              </c:strCache>
            </c:strRef>
          </c:tx>
          <c:spPr>
            <a:ln w="19050"/>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
                  <c:y val="-8.7301587301587297E-2"/>
                </c:manualLayout>
              </c:layou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Sheet1!$F$2:$F$6</c:f>
                <c:numCache>
                  <c:formatCode>General</c:formatCode>
                  <c:ptCount val="5"/>
                  <c:pt idx="1">
                    <c:v>0.04</c:v>
                  </c:pt>
                  <c:pt idx="2">
                    <c:v>0.04</c:v>
                  </c:pt>
                  <c:pt idx="3">
                    <c:v>0.03</c:v>
                  </c:pt>
                  <c:pt idx="4">
                    <c:v>0.05</c:v>
                  </c:pt>
                </c:numCache>
              </c:numRef>
            </c:plus>
            <c:minus>
              <c:numRef>
                <c:f>Sheet1!$E$2:$E$6</c:f>
                <c:numCache>
                  <c:formatCode>General</c:formatCode>
                  <c:ptCount val="5"/>
                  <c:pt idx="1">
                    <c:v>3.9999999999999897E-2</c:v>
                  </c:pt>
                  <c:pt idx="2">
                    <c:v>0.03</c:v>
                  </c:pt>
                  <c:pt idx="3">
                    <c:v>0.03</c:v>
                  </c:pt>
                  <c:pt idx="4">
                    <c:v>0.05</c:v>
                  </c:pt>
                </c:numCache>
              </c:numRef>
            </c:minus>
          </c:errBars>
          <c:cat>
            <c:strRef>
              <c:f>Sheet1!$A$2:$A$6</c:f>
              <c:strCache>
                <c:ptCount val="5"/>
                <c:pt idx="0">
                  <c:v>1-2</c:v>
                </c:pt>
                <c:pt idx="1">
                  <c:v>3-4</c:v>
                </c:pt>
                <c:pt idx="2">
                  <c:v>5-6</c:v>
                </c:pt>
                <c:pt idx="3">
                  <c:v>7-8</c:v>
                </c:pt>
                <c:pt idx="4">
                  <c:v>9-10</c:v>
                </c:pt>
              </c:strCache>
            </c:strRef>
          </c:cat>
          <c:val>
            <c:numRef>
              <c:f>Sheet1!$B$2:$B$6</c:f>
              <c:numCache>
                <c:formatCode>General</c:formatCode>
                <c:ptCount val="5"/>
                <c:pt idx="0">
                  <c:v>1</c:v>
                </c:pt>
                <c:pt idx="1">
                  <c:v>0.94</c:v>
                </c:pt>
                <c:pt idx="2">
                  <c:v>0.89</c:v>
                </c:pt>
                <c:pt idx="3">
                  <c:v>0.73</c:v>
                </c:pt>
                <c:pt idx="4">
                  <c:v>0.63</c:v>
                </c:pt>
              </c:numCache>
            </c:numRef>
          </c:val>
          <c:smooth val="0"/>
        </c:ser>
        <c:ser>
          <c:idx val="1"/>
          <c:order val="1"/>
          <c:tx>
            <c:strRef>
              <c:f>Sheet1!$C$1</c:f>
              <c:strCache>
                <c:ptCount val="1"/>
                <c:pt idx="0">
                  <c:v>iFOBT Positivity</c:v>
                </c:pt>
              </c:strCache>
            </c:strRef>
          </c:tx>
          <c:spPr>
            <a:ln w="19050"/>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
                  <c:y val="0.194444444444444"/>
                </c:manualLayout>
              </c:layou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Sheet1!$H$2:$H$6</c:f>
                <c:numCache>
                  <c:formatCode>General</c:formatCode>
                  <c:ptCount val="5"/>
                  <c:pt idx="1">
                    <c:v>0.11</c:v>
                  </c:pt>
                  <c:pt idx="2">
                    <c:v>0.12</c:v>
                  </c:pt>
                  <c:pt idx="3">
                    <c:v>0.14000000000000001</c:v>
                  </c:pt>
                  <c:pt idx="4">
                    <c:v>0.28999999999999998</c:v>
                  </c:pt>
                </c:numCache>
              </c:numRef>
            </c:plus>
            <c:minus>
              <c:numRef>
                <c:f>Sheet1!$G$2:$G$6</c:f>
                <c:numCache>
                  <c:formatCode>General</c:formatCode>
                  <c:ptCount val="5"/>
                  <c:pt idx="1">
                    <c:v>0.1</c:v>
                  </c:pt>
                  <c:pt idx="2">
                    <c:v>0.12</c:v>
                  </c:pt>
                  <c:pt idx="3">
                    <c:v>0.13</c:v>
                  </c:pt>
                  <c:pt idx="4">
                    <c:v>0.25</c:v>
                  </c:pt>
                </c:numCache>
              </c:numRef>
            </c:minus>
          </c:errBars>
          <c:cat>
            <c:strRef>
              <c:f>Sheet1!$A$2:$A$6</c:f>
              <c:strCache>
                <c:ptCount val="5"/>
                <c:pt idx="0">
                  <c:v>1-2</c:v>
                </c:pt>
                <c:pt idx="1">
                  <c:v>3-4</c:v>
                </c:pt>
                <c:pt idx="2">
                  <c:v>5-6</c:v>
                </c:pt>
                <c:pt idx="3">
                  <c:v>7-8</c:v>
                </c:pt>
                <c:pt idx="4">
                  <c:v>9-10</c:v>
                </c:pt>
              </c:strCache>
            </c:strRef>
          </c:cat>
          <c:val>
            <c:numRef>
              <c:f>Sheet1!$C$2:$C$6</c:f>
              <c:numCache>
                <c:formatCode>General</c:formatCode>
                <c:ptCount val="5"/>
                <c:pt idx="0">
                  <c:v>1</c:v>
                </c:pt>
                <c:pt idx="1">
                  <c:v>1.1000000000000001</c:v>
                </c:pt>
                <c:pt idx="2">
                  <c:v>1.1499999999999999</c:v>
                </c:pt>
                <c:pt idx="3">
                  <c:v>1.29</c:v>
                </c:pt>
                <c:pt idx="4">
                  <c:v>1.39</c:v>
                </c:pt>
              </c:numCache>
            </c:numRef>
          </c:val>
          <c:smooth val="0"/>
        </c:ser>
        <c:ser>
          <c:idx val="2"/>
          <c:order val="2"/>
          <c:tx>
            <c:strRef>
              <c:f>Sheet1!$D$1</c:f>
              <c:strCache>
                <c:ptCount val="1"/>
                <c:pt idx="0">
                  <c:v>  </c:v>
                </c:pt>
              </c:strCache>
            </c:strRef>
          </c:tx>
          <c:spPr>
            <a:ln>
              <a:noFill/>
            </a:ln>
          </c:spPr>
          <c:marker>
            <c:symbol val="none"/>
          </c:marker>
          <c:dLbls>
            <c:delete val="1"/>
          </c:dLbls>
          <c:trendline>
            <c:name>OR=1</c:name>
            <c:trendlineType val="linear"/>
            <c:forward val="0.5"/>
            <c:backward val="0.5"/>
            <c:dispRSqr val="0"/>
            <c:dispEq val="0"/>
          </c:trendline>
          <c:cat>
            <c:strRef>
              <c:f>Sheet1!$A$2:$A$6</c:f>
              <c:strCache>
                <c:ptCount val="5"/>
                <c:pt idx="0">
                  <c:v>1-2</c:v>
                </c:pt>
                <c:pt idx="1">
                  <c:v>3-4</c:v>
                </c:pt>
                <c:pt idx="2">
                  <c:v>5-6</c:v>
                </c:pt>
                <c:pt idx="3">
                  <c:v>7-8</c:v>
                </c:pt>
                <c:pt idx="4">
                  <c:v>9-10</c:v>
                </c:pt>
              </c:strCache>
            </c:strRef>
          </c:cat>
          <c:val>
            <c:numRef>
              <c:f>Sheet1!$D$2:$D$6</c:f>
              <c:numCache>
                <c:formatCode>General</c:formatCode>
                <c:ptCount val="5"/>
                <c:pt idx="0">
                  <c:v>1</c:v>
                </c:pt>
                <c:pt idx="1">
                  <c:v>1</c:v>
                </c:pt>
                <c:pt idx="2">
                  <c:v>1</c:v>
                </c:pt>
                <c:pt idx="3">
                  <c:v>1</c:v>
                </c:pt>
                <c:pt idx="4">
                  <c:v>1</c:v>
                </c:pt>
              </c:numCache>
            </c:numRef>
          </c:val>
          <c:smooth val="0"/>
        </c:ser>
        <c:dLbls>
          <c:showLegendKey val="0"/>
          <c:showVal val="1"/>
          <c:showCatName val="0"/>
          <c:showSerName val="0"/>
          <c:showPercent val="0"/>
          <c:showBubbleSize val="0"/>
        </c:dLbls>
        <c:marker val="1"/>
        <c:smooth val="0"/>
        <c:axId val="95713920"/>
        <c:axId val="95732480"/>
      </c:lineChart>
      <c:catAx>
        <c:axId val="95713920"/>
        <c:scaling>
          <c:orientation val="minMax"/>
        </c:scaling>
        <c:delete val="0"/>
        <c:axPos val="b"/>
        <c:title>
          <c:tx>
            <c:rich>
              <a:bodyPr/>
              <a:lstStyle/>
              <a:p>
                <a:pPr>
                  <a:defRPr/>
                </a:pPr>
                <a:r>
                  <a:rPr lang="en-NZ"/>
                  <a:t>New Zealand</a:t>
                </a:r>
                <a:r>
                  <a:rPr lang="en-NZ" baseline="0"/>
                  <a:t> Deprivation Index 2006 (in quintiles)</a:t>
                </a:r>
                <a:endParaRPr lang="en-NZ"/>
              </a:p>
            </c:rich>
          </c:tx>
          <c:layout/>
          <c:overlay val="0"/>
        </c:title>
        <c:numFmt formatCode="General" sourceLinked="0"/>
        <c:majorTickMark val="out"/>
        <c:minorTickMark val="none"/>
        <c:tickLblPos val="nextTo"/>
        <c:crossAx val="95732480"/>
        <c:crosses val="autoZero"/>
        <c:auto val="1"/>
        <c:lblAlgn val="ctr"/>
        <c:lblOffset val="100"/>
        <c:noMultiLvlLbl val="0"/>
      </c:catAx>
      <c:valAx>
        <c:axId val="95732480"/>
        <c:scaling>
          <c:orientation val="minMax"/>
          <c:max val="1.7"/>
          <c:min val="0.5"/>
        </c:scaling>
        <c:delete val="0"/>
        <c:axPos val="l"/>
        <c:title>
          <c:tx>
            <c:rich>
              <a:bodyPr rot="-5400000" vert="horz"/>
              <a:lstStyle/>
              <a:p>
                <a:pPr>
                  <a:defRPr/>
                </a:pPr>
                <a:r>
                  <a:rPr lang="en-NZ"/>
                  <a:t>Odds Ratio (95% CI)</a:t>
                </a:r>
                <a:br>
                  <a:rPr lang="en-NZ"/>
                </a:br>
                <a:r>
                  <a:rPr lang="en-NZ"/>
                  <a:t>adjusted for age, sex, ethnicity</a:t>
                </a:r>
              </a:p>
            </c:rich>
          </c:tx>
          <c:layout/>
          <c:overlay val="0"/>
        </c:title>
        <c:numFmt formatCode="General" sourceLinked="1"/>
        <c:majorTickMark val="out"/>
        <c:minorTickMark val="none"/>
        <c:tickLblPos val="nextTo"/>
        <c:crossAx val="9571392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Participation</c:v>
                </c:pt>
              </c:strCache>
            </c:strRef>
          </c:tx>
          <c:invertIfNegative val="0"/>
          <c:errBars>
            <c:errBarType val="both"/>
            <c:errValType val="cust"/>
            <c:noEndCap val="0"/>
            <c:plus>
              <c:numRef>
                <c:f>Sheet1!$G$2:$G$6</c:f>
                <c:numCache>
                  <c:formatCode>General</c:formatCode>
                  <c:ptCount val="5"/>
                  <c:pt idx="1">
                    <c:v>0.05</c:v>
                  </c:pt>
                  <c:pt idx="2">
                    <c:v>7.0000000000000104E-2</c:v>
                  </c:pt>
                  <c:pt idx="3">
                    <c:v>9.0000000000000302E-2</c:v>
                  </c:pt>
                  <c:pt idx="4">
                    <c:v>0.13</c:v>
                  </c:pt>
                </c:numCache>
              </c:numRef>
            </c:plus>
            <c:minus>
              <c:numRef>
                <c:f>Sheet1!$F$2:$F$6</c:f>
                <c:numCache>
                  <c:formatCode>General</c:formatCode>
                  <c:ptCount val="5"/>
                  <c:pt idx="1">
                    <c:v>0.05</c:v>
                  </c:pt>
                  <c:pt idx="2">
                    <c:v>5.9999999999999797E-2</c:v>
                  </c:pt>
                  <c:pt idx="3">
                    <c:v>0.1</c:v>
                  </c:pt>
                  <c:pt idx="4">
                    <c:v>0.12</c:v>
                  </c:pt>
                </c:numCache>
              </c:numRef>
            </c:minus>
          </c:errBars>
          <c:cat>
            <c:strRef>
              <c:f>Sheet1!$A$2:$A$6</c:f>
              <c:strCache>
                <c:ptCount val="5"/>
                <c:pt idx="0">
                  <c:v>50-54</c:v>
                </c:pt>
                <c:pt idx="1">
                  <c:v>55-59</c:v>
                </c:pt>
                <c:pt idx="2">
                  <c:v>60-64</c:v>
                </c:pt>
                <c:pt idx="3">
                  <c:v>65-69</c:v>
                </c:pt>
                <c:pt idx="4">
                  <c:v>70-74</c:v>
                </c:pt>
              </c:strCache>
            </c:strRef>
          </c:cat>
          <c:val>
            <c:numRef>
              <c:f>Sheet1!$B$2:$B$6</c:f>
              <c:numCache>
                <c:formatCode>General</c:formatCode>
                <c:ptCount val="5"/>
                <c:pt idx="0">
                  <c:v>1</c:v>
                </c:pt>
                <c:pt idx="1">
                  <c:v>1.26</c:v>
                </c:pt>
                <c:pt idx="2">
                  <c:v>1.64</c:v>
                </c:pt>
                <c:pt idx="3">
                  <c:v>2.11</c:v>
                </c:pt>
                <c:pt idx="4">
                  <c:v>2.44</c:v>
                </c:pt>
              </c:numCache>
            </c:numRef>
          </c:val>
        </c:ser>
        <c:ser>
          <c:idx val="1"/>
          <c:order val="1"/>
          <c:tx>
            <c:strRef>
              <c:f>Sheet1!$C$1</c:f>
              <c:strCache>
                <c:ptCount val="1"/>
                <c:pt idx="0">
                  <c:v>iFOBT Positivity</c:v>
                </c:pt>
              </c:strCache>
            </c:strRef>
          </c:tx>
          <c:invertIfNegative val="0"/>
          <c:errBars>
            <c:errBarType val="both"/>
            <c:errValType val="cust"/>
            <c:noEndCap val="0"/>
            <c:plus>
              <c:numRef>
                <c:f>Sheet1!$I$2:$I$6</c:f>
                <c:numCache>
                  <c:formatCode>General</c:formatCode>
                  <c:ptCount val="5"/>
                  <c:pt idx="1">
                    <c:v>0.15</c:v>
                  </c:pt>
                  <c:pt idx="2">
                    <c:v>0.17</c:v>
                  </c:pt>
                  <c:pt idx="3">
                    <c:v>0.21</c:v>
                  </c:pt>
                  <c:pt idx="4">
                    <c:v>0.27</c:v>
                  </c:pt>
                </c:numCache>
              </c:numRef>
            </c:plus>
            <c:minus>
              <c:numRef>
                <c:f>Sheet1!$H$2:$H$6</c:f>
                <c:numCache>
                  <c:formatCode>General</c:formatCode>
                  <c:ptCount val="5"/>
                  <c:pt idx="1">
                    <c:v>0.13</c:v>
                  </c:pt>
                  <c:pt idx="2">
                    <c:v>0.14000000000000001</c:v>
                  </c:pt>
                  <c:pt idx="3">
                    <c:v>0.19</c:v>
                  </c:pt>
                  <c:pt idx="4">
                    <c:v>0.24</c:v>
                  </c:pt>
                </c:numCache>
              </c:numRef>
            </c:minus>
          </c:errBars>
          <c:cat>
            <c:strRef>
              <c:f>Sheet1!$A$2:$A$6</c:f>
              <c:strCache>
                <c:ptCount val="5"/>
                <c:pt idx="0">
                  <c:v>50-54</c:v>
                </c:pt>
                <c:pt idx="1">
                  <c:v>55-59</c:v>
                </c:pt>
                <c:pt idx="2">
                  <c:v>60-64</c:v>
                </c:pt>
                <c:pt idx="3">
                  <c:v>65-69</c:v>
                </c:pt>
                <c:pt idx="4">
                  <c:v>70-74</c:v>
                </c:pt>
              </c:strCache>
            </c:strRef>
          </c:cat>
          <c:val>
            <c:numRef>
              <c:f>Sheet1!$C$2:$C$6</c:f>
              <c:numCache>
                <c:formatCode>General</c:formatCode>
                <c:ptCount val="5"/>
                <c:pt idx="0">
                  <c:v>1</c:v>
                </c:pt>
                <c:pt idx="1">
                  <c:v>1.1599999999999999</c:v>
                </c:pt>
                <c:pt idx="2">
                  <c:v>1.31</c:v>
                </c:pt>
                <c:pt idx="3">
                  <c:v>1.74</c:v>
                </c:pt>
                <c:pt idx="4">
                  <c:v>2.21</c:v>
                </c:pt>
              </c:numCache>
            </c:numRef>
          </c:val>
        </c:ser>
        <c:ser>
          <c:idx val="2"/>
          <c:order val="2"/>
          <c:tx>
            <c:strRef>
              <c:f>Sheet1!$D$1</c:f>
              <c:strCache>
                <c:ptCount val="1"/>
                <c:pt idx="0">
                  <c:v>Advanced adenoma/cancer</c:v>
                </c:pt>
              </c:strCache>
            </c:strRef>
          </c:tx>
          <c:invertIfNegative val="0"/>
          <c:errBars>
            <c:errBarType val="both"/>
            <c:errValType val="cust"/>
            <c:noEndCap val="0"/>
            <c:plus>
              <c:numRef>
                <c:f>Sheet1!$K$2:$K$6</c:f>
                <c:numCache>
                  <c:formatCode>General</c:formatCode>
                  <c:ptCount val="5"/>
                  <c:pt idx="1">
                    <c:v>0.35</c:v>
                  </c:pt>
                  <c:pt idx="2">
                    <c:v>0.4</c:v>
                  </c:pt>
                  <c:pt idx="3">
                    <c:v>0.56999999999999995</c:v>
                  </c:pt>
                  <c:pt idx="4">
                    <c:v>0.72</c:v>
                  </c:pt>
                </c:numCache>
              </c:numRef>
            </c:plus>
            <c:minus>
              <c:numRef>
                <c:f>Sheet1!$J$2:$J$6</c:f>
                <c:numCache>
                  <c:formatCode>General</c:formatCode>
                  <c:ptCount val="5"/>
                  <c:pt idx="1">
                    <c:v>0.28000000000000003</c:v>
                  </c:pt>
                  <c:pt idx="2">
                    <c:v>0.33</c:v>
                  </c:pt>
                  <c:pt idx="3">
                    <c:v>0.46</c:v>
                  </c:pt>
                  <c:pt idx="4">
                    <c:v>0.59</c:v>
                  </c:pt>
                </c:numCache>
              </c:numRef>
            </c:minus>
          </c:errBars>
          <c:cat>
            <c:strRef>
              <c:f>Sheet1!$A$2:$A$6</c:f>
              <c:strCache>
                <c:ptCount val="5"/>
                <c:pt idx="0">
                  <c:v>50-54</c:v>
                </c:pt>
                <c:pt idx="1">
                  <c:v>55-59</c:v>
                </c:pt>
                <c:pt idx="2">
                  <c:v>60-64</c:v>
                </c:pt>
                <c:pt idx="3">
                  <c:v>65-69</c:v>
                </c:pt>
                <c:pt idx="4">
                  <c:v>70-74</c:v>
                </c:pt>
              </c:strCache>
            </c:strRef>
          </c:cat>
          <c:val>
            <c:numRef>
              <c:f>Sheet1!$D$2:$D$6</c:f>
              <c:numCache>
                <c:formatCode>General</c:formatCode>
                <c:ptCount val="5"/>
                <c:pt idx="0">
                  <c:v>1</c:v>
                </c:pt>
                <c:pt idx="1">
                  <c:v>1.34</c:v>
                </c:pt>
                <c:pt idx="2">
                  <c:v>1.59</c:v>
                </c:pt>
                <c:pt idx="3">
                  <c:v>2.38</c:v>
                </c:pt>
                <c:pt idx="4">
                  <c:v>3.04</c:v>
                </c:pt>
              </c:numCache>
            </c:numRef>
          </c:val>
        </c:ser>
        <c:ser>
          <c:idx val="3"/>
          <c:order val="3"/>
          <c:tx>
            <c:strRef>
              <c:f>Sheet1!$E$1</c:f>
              <c:strCache>
                <c:ptCount val="1"/>
                <c:pt idx="0">
                  <c:v>  </c:v>
                </c:pt>
              </c:strCache>
            </c:strRef>
          </c:tx>
          <c:spPr>
            <a:noFill/>
            <a:ln>
              <a:noFill/>
            </a:ln>
          </c:spPr>
          <c:invertIfNegative val="0"/>
          <c:trendline>
            <c:trendlineType val="linear"/>
            <c:dispRSqr val="0"/>
            <c:dispEq val="0"/>
          </c:trendline>
          <c:trendline>
            <c:trendlineType val="linear"/>
            <c:forward val="0.5"/>
            <c:backward val="0.5"/>
            <c:dispRSqr val="0"/>
            <c:dispEq val="0"/>
          </c:trendline>
          <c:cat>
            <c:strRef>
              <c:f>Sheet1!$A$2:$A$6</c:f>
              <c:strCache>
                <c:ptCount val="5"/>
                <c:pt idx="0">
                  <c:v>50-54</c:v>
                </c:pt>
                <c:pt idx="1">
                  <c:v>55-59</c:v>
                </c:pt>
                <c:pt idx="2">
                  <c:v>60-64</c:v>
                </c:pt>
                <c:pt idx="3">
                  <c:v>65-69</c:v>
                </c:pt>
                <c:pt idx="4">
                  <c:v>70-74</c:v>
                </c:pt>
              </c:strCache>
            </c:strRef>
          </c:cat>
          <c:val>
            <c:numRef>
              <c:f>Sheet1!$E$2:$E$6</c:f>
              <c:numCache>
                <c:formatCode>General</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axId val="95449088"/>
        <c:axId val="95451008"/>
      </c:barChart>
      <c:catAx>
        <c:axId val="95449088"/>
        <c:scaling>
          <c:orientation val="minMax"/>
        </c:scaling>
        <c:delete val="0"/>
        <c:axPos val="b"/>
        <c:title>
          <c:tx>
            <c:rich>
              <a:bodyPr/>
              <a:lstStyle/>
              <a:p>
                <a:pPr>
                  <a:defRPr/>
                </a:pPr>
                <a:r>
                  <a:rPr lang="en-NZ"/>
                  <a:t>Age Group</a:t>
                </a:r>
              </a:p>
            </c:rich>
          </c:tx>
          <c:layout/>
          <c:overlay val="0"/>
        </c:title>
        <c:numFmt formatCode="General" sourceLinked="0"/>
        <c:majorTickMark val="out"/>
        <c:minorTickMark val="none"/>
        <c:tickLblPos val="nextTo"/>
        <c:crossAx val="95451008"/>
        <c:crosses val="autoZero"/>
        <c:auto val="1"/>
        <c:lblAlgn val="ctr"/>
        <c:lblOffset val="100"/>
        <c:noMultiLvlLbl val="0"/>
      </c:catAx>
      <c:valAx>
        <c:axId val="95451008"/>
        <c:scaling>
          <c:orientation val="minMax"/>
        </c:scaling>
        <c:delete val="0"/>
        <c:axPos val="l"/>
        <c:title>
          <c:tx>
            <c:rich>
              <a:bodyPr rot="-5400000" vert="horz"/>
              <a:lstStyle/>
              <a:p>
                <a:pPr>
                  <a:defRPr/>
                </a:pPr>
                <a:r>
                  <a:rPr lang="en-NZ"/>
                  <a:t>Odds Ratio (95% CI)</a:t>
                </a:r>
              </a:p>
              <a:p>
                <a:pPr>
                  <a:defRPr/>
                </a:pPr>
                <a:r>
                  <a:rPr lang="en-NZ"/>
                  <a:t>adjusted for </a:t>
                </a:r>
                <a:r>
                  <a:rPr lang="en-NZ" baseline="0"/>
                  <a:t>sex, ethnicity, deprivation</a:t>
                </a:r>
                <a:endParaRPr lang="en-NZ"/>
              </a:p>
            </c:rich>
          </c:tx>
          <c:layout/>
          <c:overlay val="0"/>
        </c:title>
        <c:numFmt formatCode="General" sourceLinked="1"/>
        <c:majorTickMark val="out"/>
        <c:minorTickMark val="none"/>
        <c:tickLblPos val="nextTo"/>
        <c:crossAx val="95449088"/>
        <c:crosses val="autoZero"/>
        <c:crossBetween val="between"/>
      </c:valAx>
    </c:plotArea>
    <c:legend>
      <c:legendPos val="t"/>
      <c:legendEntry>
        <c:idx val="4"/>
        <c:delete val="1"/>
      </c:legendEntry>
      <c:legendEntry>
        <c:idx val="5"/>
        <c:delete val="1"/>
      </c:legendEntry>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Participation</c:v>
                </c:pt>
              </c:strCache>
            </c:strRef>
          </c:tx>
          <c:invertIfNegative val="0"/>
          <c:errBars>
            <c:errBarType val="both"/>
            <c:errValType val="cust"/>
            <c:noEndCap val="0"/>
            <c:plus>
              <c:numRef>
                <c:f>Sheet1!$G$2:$G$3</c:f>
                <c:numCache>
                  <c:formatCode>General</c:formatCode>
                  <c:ptCount val="2"/>
                  <c:pt idx="1">
                    <c:v>0.02</c:v>
                  </c:pt>
                </c:numCache>
              </c:numRef>
            </c:plus>
            <c:minus>
              <c:numRef>
                <c:f>Sheet1!$F$2:$F$3</c:f>
                <c:numCache>
                  <c:formatCode>General</c:formatCode>
                  <c:ptCount val="2"/>
                  <c:pt idx="1">
                    <c:v>0.03</c:v>
                  </c:pt>
                </c:numCache>
              </c:numRef>
            </c:minus>
          </c:errBars>
          <c:cat>
            <c:strRef>
              <c:f>Sheet1!$A$2:$A$3</c:f>
              <c:strCache>
                <c:ptCount val="2"/>
                <c:pt idx="0">
                  <c:v>Female</c:v>
                </c:pt>
                <c:pt idx="1">
                  <c:v>Male</c:v>
                </c:pt>
              </c:strCache>
            </c:strRef>
          </c:cat>
          <c:val>
            <c:numRef>
              <c:f>Sheet1!$B$2:$B$3</c:f>
              <c:numCache>
                <c:formatCode>General</c:formatCode>
                <c:ptCount val="2"/>
                <c:pt idx="0">
                  <c:v>1</c:v>
                </c:pt>
                <c:pt idx="1">
                  <c:v>0.89</c:v>
                </c:pt>
              </c:numCache>
            </c:numRef>
          </c:val>
        </c:ser>
        <c:ser>
          <c:idx val="1"/>
          <c:order val="1"/>
          <c:tx>
            <c:strRef>
              <c:f>Sheet1!$C$1</c:f>
              <c:strCache>
                <c:ptCount val="1"/>
                <c:pt idx="0">
                  <c:v>iFOBT Positivity</c:v>
                </c:pt>
              </c:strCache>
            </c:strRef>
          </c:tx>
          <c:invertIfNegative val="0"/>
          <c:errBars>
            <c:errBarType val="both"/>
            <c:errValType val="cust"/>
            <c:noEndCap val="0"/>
            <c:plus>
              <c:numRef>
                <c:f>Sheet1!$I$2:$I$3</c:f>
                <c:numCache>
                  <c:formatCode>General</c:formatCode>
                  <c:ptCount val="2"/>
                  <c:pt idx="1">
                    <c:v>0.12</c:v>
                  </c:pt>
                </c:numCache>
              </c:numRef>
            </c:plus>
            <c:minus>
              <c:numRef>
                <c:f>Sheet1!$H$2:$H$3</c:f>
                <c:numCache>
                  <c:formatCode>General</c:formatCode>
                  <c:ptCount val="2"/>
                  <c:pt idx="1">
                    <c:v>0.11</c:v>
                  </c:pt>
                </c:numCache>
              </c:numRef>
            </c:minus>
          </c:errBars>
          <c:cat>
            <c:strRef>
              <c:f>Sheet1!$A$2:$A$3</c:f>
              <c:strCache>
                <c:ptCount val="2"/>
                <c:pt idx="0">
                  <c:v>Female</c:v>
                </c:pt>
                <c:pt idx="1">
                  <c:v>Male</c:v>
                </c:pt>
              </c:strCache>
            </c:strRef>
          </c:cat>
          <c:val>
            <c:numRef>
              <c:f>Sheet1!$C$2:$C$3</c:f>
              <c:numCache>
                <c:formatCode>General</c:formatCode>
                <c:ptCount val="2"/>
                <c:pt idx="0">
                  <c:v>1</c:v>
                </c:pt>
                <c:pt idx="1">
                  <c:v>1.59</c:v>
                </c:pt>
              </c:numCache>
            </c:numRef>
          </c:val>
        </c:ser>
        <c:ser>
          <c:idx val="2"/>
          <c:order val="2"/>
          <c:tx>
            <c:strRef>
              <c:f>Sheet1!$D$1</c:f>
              <c:strCache>
                <c:ptCount val="1"/>
                <c:pt idx="0">
                  <c:v>Neoplasia</c:v>
                </c:pt>
              </c:strCache>
            </c:strRef>
          </c:tx>
          <c:invertIfNegative val="0"/>
          <c:errBars>
            <c:errBarType val="both"/>
            <c:errValType val="cust"/>
            <c:noEndCap val="0"/>
            <c:plus>
              <c:numRef>
                <c:f>Sheet1!$K$2:$K$3</c:f>
                <c:numCache>
                  <c:formatCode>General</c:formatCode>
                  <c:ptCount val="2"/>
                  <c:pt idx="1">
                    <c:v>0.22</c:v>
                  </c:pt>
                </c:numCache>
              </c:numRef>
            </c:plus>
            <c:minus>
              <c:numRef>
                <c:f>Sheet1!$J$2:$J$3</c:f>
                <c:numCache>
                  <c:formatCode>General</c:formatCode>
                  <c:ptCount val="2"/>
                  <c:pt idx="1">
                    <c:v>0.19</c:v>
                  </c:pt>
                </c:numCache>
              </c:numRef>
            </c:minus>
          </c:errBars>
          <c:cat>
            <c:strRef>
              <c:f>Sheet1!$A$2:$A$3</c:f>
              <c:strCache>
                <c:ptCount val="2"/>
                <c:pt idx="0">
                  <c:v>Female</c:v>
                </c:pt>
                <c:pt idx="1">
                  <c:v>Male</c:v>
                </c:pt>
              </c:strCache>
            </c:strRef>
          </c:cat>
          <c:val>
            <c:numRef>
              <c:f>Sheet1!$D$2:$D$3</c:f>
              <c:numCache>
                <c:formatCode>General</c:formatCode>
                <c:ptCount val="2"/>
                <c:pt idx="0">
                  <c:v>1</c:v>
                </c:pt>
                <c:pt idx="1">
                  <c:v>2.0299999999999998</c:v>
                </c:pt>
              </c:numCache>
            </c:numRef>
          </c:val>
        </c:ser>
        <c:ser>
          <c:idx val="3"/>
          <c:order val="3"/>
          <c:tx>
            <c:strRef>
              <c:f>Sheet1!$E$1</c:f>
              <c:strCache>
                <c:ptCount val="1"/>
                <c:pt idx="0">
                  <c:v>  </c:v>
                </c:pt>
              </c:strCache>
            </c:strRef>
          </c:tx>
          <c:spPr>
            <a:noFill/>
            <a:ln>
              <a:noFill/>
            </a:ln>
          </c:spPr>
          <c:invertIfNegative val="0"/>
          <c:trendline>
            <c:trendlineType val="linear"/>
            <c:dispRSqr val="0"/>
            <c:dispEq val="0"/>
          </c:trendline>
          <c:trendline>
            <c:trendlineType val="linear"/>
            <c:forward val="0.5"/>
            <c:backward val="0.5"/>
            <c:dispRSqr val="0"/>
            <c:dispEq val="0"/>
          </c:trendline>
          <c:cat>
            <c:strRef>
              <c:f>Sheet1!$A$2:$A$3</c:f>
              <c:strCache>
                <c:ptCount val="2"/>
                <c:pt idx="0">
                  <c:v>Female</c:v>
                </c:pt>
                <c:pt idx="1">
                  <c:v>Male</c:v>
                </c:pt>
              </c:strCache>
            </c:strRef>
          </c:cat>
          <c:val>
            <c:numRef>
              <c:f>Sheet1!$E$2:$E$3</c:f>
              <c:numCache>
                <c:formatCode>General</c:formatCode>
                <c:ptCount val="2"/>
                <c:pt idx="0">
                  <c:v>1</c:v>
                </c:pt>
                <c:pt idx="1">
                  <c:v>1</c:v>
                </c:pt>
              </c:numCache>
            </c:numRef>
          </c:val>
        </c:ser>
        <c:dLbls>
          <c:showLegendKey val="0"/>
          <c:showVal val="0"/>
          <c:showCatName val="0"/>
          <c:showSerName val="0"/>
          <c:showPercent val="0"/>
          <c:showBubbleSize val="0"/>
        </c:dLbls>
        <c:gapWidth val="150"/>
        <c:axId val="95539584"/>
        <c:axId val="95541504"/>
      </c:barChart>
      <c:catAx>
        <c:axId val="95539584"/>
        <c:scaling>
          <c:orientation val="minMax"/>
        </c:scaling>
        <c:delete val="0"/>
        <c:axPos val="b"/>
        <c:title>
          <c:tx>
            <c:rich>
              <a:bodyPr/>
              <a:lstStyle/>
              <a:p>
                <a:pPr>
                  <a:defRPr/>
                </a:pPr>
                <a:r>
                  <a:rPr lang="en-NZ"/>
                  <a:t>Sex</a:t>
                </a:r>
              </a:p>
            </c:rich>
          </c:tx>
          <c:layout/>
          <c:overlay val="0"/>
        </c:title>
        <c:numFmt formatCode="General" sourceLinked="0"/>
        <c:majorTickMark val="out"/>
        <c:minorTickMark val="none"/>
        <c:tickLblPos val="nextTo"/>
        <c:crossAx val="95541504"/>
        <c:crosses val="autoZero"/>
        <c:auto val="1"/>
        <c:lblAlgn val="ctr"/>
        <c:lblOffset val="100"/>
        <c:noMultiLvlLbl val="0"/>
      </c:catAx>
      <c:valAx>
        <c:axId val="95541504"/>
        <c:scaling>
          <c:orientation val="minMax"/>
        </c:scaling>
        <c:delete val="0"/>
        <c:axPos val="l"/>
        <c:title>
          <c:tx>
            <c:rich>
              <a:bodyPr rot="-5400000" vert="horz"/>
              <a:lstStyle/>
              <a:p>
                <a:pPr>
                  <a:defRPr/>
                </a:pPr>
                <a:r>
                  <a:rPr lang="en-NZ"/>
                  <a:t>Odds Ratio (95% CI)</a:t>
                </a:r>
              </a:p>
              <a:p>
                <a:pPr>
                  <a:defRPr/>
                </a:pPr>
                <a:r>
                  <a:rPr lang="en-NZ"/>
                  <a:t>adjusted for age,</a:t>
                </a:r>
                <a:r>
                  <a:rPr lang="en-NZ" baseline="0"/>
                  <a:t> ethnicity, deprivation</a:t>
                </a:r>
                <a:endParaRPr lang="en-NZ"/>
              </a:p>
            </c:rich>
          </c:tx>
          <c:layout/>
          <c:overlay val="0"/>
        </c:title>
        <c:numFmt formatCode="General" sourceLinked="1"/>
        <c:majorTickMark val="out"/>
        <c:minorTickMark val="none"/>
        <c:tickLblPos val="nextTo"/>
        <c:crossAx val="95539584"/>
        <c:crosses val="autoZero"/>
        <c:crossBetween val="between"/>
      </c:valAx>
    </c:plotArea>
    <c:legend>
      <c:legendPos val="t"/>
      <c:legendEntry>
        <c:idx val="4"/>
        <c:delete val="1"/>
      </c:legendEntry>
      <c:legendEntry>
        <c:idx val="5"/>
        <c:delete val="1"/>
      </c:legendEntry>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Participation</c:v>
                </c:pt>
              </c:strCache>
            </c:strRef>
          </c:tx>
          <c:spPr>
            <a:ln w="19050"/>
          </c:spPr>
          <c:invertIfNegative val="0"/>
          <c:dLbls>
            <c:delete val="1"/>
          </c:dLbls>
          <c:errBars>
            <c:errBarType val="both"/>
            <c:errValType val="cust"/>
            <c:noEndCap val="0"/>
            <c:plus>
              <c:numRef>
                <c:f>Sheet1!$F$2:$F$6</c:f>
                <c:numCache>
                  <c:formatCode>General</c:formatCode>
                  <c:ptCount val="5"/>
                  <c:pt idx="1">
                    <c:v>0.03</c:v>
                  </c:pt>
                  <c:pt idx="2">
                    <c:v>0.02</c:v>
                  </c:pt>
                  <c:pt idx="3">
                    <c:v>0.04</c:v>
                  </c:pt>
                  <c:pt idx="4">
                    <c:v>7.0000000000000104E-2</c:v>
                  </c:pt>
                </c:numCache>
              </c:numRef>
            </c:plus>
            <c:minus>
              <c:numRef>
                <c:f>Sheet1!$E$2:$E$6</c:f>
                <c:numCache>
                  <c:formatCode>General</c:formatCode>
                  <c:ptCount val="5"/>
                  <c:pt idx="1">
                    <c:v>0.04</c:v>
                  </c:pt>
                  <c:pt idx="2">
                    <c:v>0.02</c:v>
                  </c:pt>
                  <c:pt idx="3">
                    <c:v>3.9999999999999897E-2</c:v>
                  </c:pt>
                  <c:pt idx="4">
                    <c:v>7.0000000000000007E-2</c:v>
                  </c:pt>
                </c:numCache>
              </c:numRef>
            </c:minus>
          </c:errBars>
          <c:cat>
            <c:strRef>
              <c:f>Sheet1!$A$2:$A$6</c:f>
              <c:strCache>
                <c:ptCount val="5"/>
                <c:pt idx="0">
                  <c:v>European</c:v>
                </c:pt>
                <c:pt idx="1">
                  <c:v>Asian</c:v>
                </c:pt>
                <c:pt idx="2">
                  <c:v>Pacific</c:v>
                </c:pt>
                <c:pt idx="3">
                  <c:v>Māori</c:v>
                </c:pt>
                <c:pt idx="4">
                  <c:v>Other</c:v>
                </c:pt>
              </c:strCache>
            </c:strRef>
          </c:cat>
          <c:val>
            <c:numRef>
              <c:f>Sheet1!$B$2:$B$6</c:f>
              <c:numCache>
                <c:formatCode>General</c:formatCode>
                <c:ptCount val="5"/>
                <c:pt idx="0">
                  <c:v>1</c:v>
                </c:pt>
                <c:pt idx="1">
                  <c:v>0.77</c:v>
                </c:pt>
                <c:pt idx="2">
                  <c:v>0.25</c:v>
                </c:pt>
                <c:pt idx="3">
                  <c:v>0.56999999999999995</c:v>
                </c:pt>
                <c:pt idx="4">
                  <c:v>0.57999999999999996</c:v>
                </c:pt>
              </c:numCache>
            </c:numRef>
          </c:val>
        </c:ser>
        <c:ser>
          <c:idx val="1"/>
          <c:order val="1"/>
          <c:tx>
            <c:strRef>
              <c:f>Sheet1!$C$1</c:f>
              <c:strCache>
                <c:ptCount val="1"/>
                <c:pt idx="0">
                  <c:v>Neoplasia</c:v>
                </c:pt>
              </c:strCache>
            </c:strRef>
          </c:tx>
          <c:spPr>
            <a:solidFill>
              <a:schemeClr val="accent3"/>
            </a:solidFill>
          </c:spPr>
          <c:invertIfNegative val="0"/>
          <c:dLbls>
            <c:delete val="1"/>
          </c:dLbls>
          <c:errBars>
            <c:errBarType val="both"/>
            <c:errValType val="cust"/>
            <c:noEndCap val="0"/>
            <c:plus>
              <c:numRef>
                <c:f>Sheet1!$H$2:$H$6</c:f>
                <c:numCache>
                  <c:formatCode>General</c:formatCode>
                  <c:ptCount val="5"/>
                  <c:pt idx="1">
                    <c:v>0.16</c:v>
                  </c:pt>
                  <c:pt idx="2">
                    <c:v>0.31</c:v>
                  </c:pt>
                  <c:pt idx="3">
                    <c:v>0.33</c:v>
                  </c:pt>
                  <c:pt idx="4">
                    <c:v>0.57999999999999996</c:v>
                  </c:pt>
                </c:numCache>
              </c:numRef>
            </c:plus>
            <c:minus>
              <c:numRef>
                <c:f>Sheet1!$G$2:$G$6</c:f>
                <c:numCache>
                  <c:formatCode>General</c:formatCode>
                  <c:ptCount val="5"/>
                  <c:pt idx="1">
                    <c:v>0.13</c:v>
                  </c:pt>
                  <c:pt idx="2">
                    <c:v>0.21</c:v>
                  </c:pt>
                  <c:pt idx="3">
                    <c:v>0.26</c:v>
                  </c:pt>
                  <c:pt idx="4">
                    <c:v>0.34</c:v>
                  </c:pt>
                </c:numCache>
              </c:numRef>
            </c:minus>
          </c:errBars>
          <c:cat>
            <c:strRef>
              <c:f>Sheet1!$A$2:$A$6</c:f>
              <c:strCache>
                <c:ptCount val="5"/>
                <c:pt idx="0">
                  <c:v>European</c:v>
                </c:pt>
                <c:pt idx="1">
                  <c:v>Asian</c:v>
                </c:pt>
                <c:pt idx="2">
                  <c:v>Pacific</c:v>
                </c:pt>
                <c:pt idx="3">
                  <c:v>Māori</c:v>
                </c:pt>
                <c:pt idx="4">
                  <c:v>Other</c:v>
                </c:pt>
              </c:strCache>
            </c:strRef>
          </c:cat>
          <c:val>
            <c:numRef>
              <c:f>Sheet1!$C$2:$C$6</c:f>
              <c:numCache>
                <c:formatCode>General</c:formatCode>
                <c:ptCount val="5"/>
                <c:pt idx="0">
                  <c:v>1</c:v>
                </c:pt>
                <c:pt idx="1">
                  <c:v>0.87</c:v>
                </c:pt>
                <c:pt idx="2">
                  <c:v>0.66</c:v>
                </c:pt>
                <c:pt idx="3">
                  <c:v>1.21</c:v>
                </c:pt>
                <c:pt idx="4">
                  <c:v>0.79</c:v>
                </c:pt>
              </c:numCache>
            </c:numRef>
          </c:val>
        </c:ser>
        <c:ser>
          <c:idx val="2"/>
          <c:order val="2"/>
          <c:tx>
            <c:strRef>
              <c:f>Sheet1!$D$1</c:f>
              <c:strCache>
                <c:ptCount val="1"/>
                <c:pt idx="0">
                  <c:v>   </c:v>
                </c:pt>
              </c:strCache>
            </c:strRef>
          </c:tx>
          <c:spPr>
            <a:noFill/>
            <a:ln>
              <a:noFill/>
            </a:ln>
          </c:spPr>
          <c:invertIfNegative val="0"/>
          <c:dLbls>
            <c:delete val="1"/>
          </c:dLbls>
          <c:trendline>
            <c:trendlineType val="linear"/>
            <c:dispRSqr val="0"/>
            <c:dispEq val="0"/>
          </c:trendline>
          <c:trendline>
            <c:trendlineType val="linear"/>
            <c:forward val="0.5"/>
            <c:backward val="0.5"/>
            <c:dispRSqr val="0"/>
            <c:dispEq val="0"/>
          </c:trendline>
          <c:cat>
            <c:strRef>
              <c:f>Sheet1!$A$2:$A$6</c:f>
              <c:strCache>
                <c:ptCount val="5"/>
                <c:pt idx="0">
                  <c:v>European</c:v>
                </c:pt>
                <c:pt idx="1">
                  <c:v>Asian</c:v>
                </c:pt>
                <c:pt idx="2">
                  <c:v>Pacific</c:v>
                </c:pt>
                <c:pt idx="3">
                  <c:v>Māori</c:v>
                </c:pt>
                <c:pt idx="4">
                  <c:v>Other</c:v>
                </c:pt>
              </c:strCache>
            </c:strRef>
          </c:cat>
          <c:val>
            <c:numRef>
              <c:f>Sheet1!$D$2:$D$6</c:f>
              <c:numCache>
                <c:formatCode>General</c:formatCode>
                <c:ptCount val="5"/>
                <c:pt idx="0">
                  <c:v>1</c:v>
                </c:pt>
                <c:pt idx="1">
                  <c:v>1</c:v>
                </c:pt>
                <c:pt idx="2">
                  <c:v>1</c:v>
                </c:pt>
                <c:pt idx="3">
                  <c:v>1</c:v>
                </c:pt>
                <c:pt idx="4">
                  <c:v>1</c:v>
                </c:pt>
              </c:numCache>
            </c:numRef>
          </c:val>
        </c:ser>
        <c:dLbls>
          <c:showLegendKey val="0"/>
          <c:showVal val="1"/>
          <c:showCatName val="0"/>
          <c:showSerName val="0"/>
          <c:showPercent val="0"/>
          <c:showBubbleSize val="0"/>
        </c:dLbls>
        <c:gapWidth val="150"/>
        <c:axId val="95632384"/>
        <c:axId val="95655040"/>
      </c:barChart>
      <c:catAx>
        <c:axId val="95632384"/>
        <c:scaling>
          <c:orientation val="minMax"/>
        </c:scaling>
        <c:delete val="0"/>
        <c:axPos val="b"/>
        <c:title>
          <c:tx>
            <c:rich>
              <a:bodyPr/>
              <a:lstStyle/>
              <a:p>
                <a:pPr>
                  <a:defRPr/>
                </a:pPr>
                <a:r>
                  <a:rPr lang="en-NZ"/>
                  <a:t>Ethnicity</a:t>
                </a:r>
              </a:p>
            </c:rich>
          </c:tx>
          <c:layout/>
          <c:overlay val="0"/>
        </c:title>
        <c:numFmt formatCode="General" sourceLinked="0"/>
        <c:majorTickMark val="out"/>
        <c:minorTickMark val="none"/>
        <c:tickLblPos val="nextTo"/>
        <c:crossAx val="95655040"/>
        <c:crosses val="autoZero"/>
        <c:auto val="1"/>
        <c:lblAlgn val="ctr"/>
        <c:lblOffset val="100"/>
        <c:noMultiLvlLbl val="0"/>
      </c:catAx>
      <c:valAx>
        <c:axId val="95655040"/>
        <c:scaling>
          <c:orientation val="minMax"/>
          <c:max val="1.8"/>
          <c:min val="0"/>
        </c:scaling>
        <c:delete val="0"/>
        <c:axPos val="l"/>
        <c:title>
          <c:tx>
            <c:rich>
              <a:bodyPr rot="-5400000" vert="horz"/>
              <a:lstStyle/>
              <a:p>
                <a:pPr>
                  <a:defRPr/>
                </a:pPr>
                <a:r>
                  <a:rPr lang="en-NZ"/>
                  <a:t>Odds Ratio (95% CI)</a:t>
                </a:r>
                <a:br>
                  <a:rPr lang="en-NZ"/>
                </a:br>
                <a:r>
                  <a:rPr lang="en-NZ"/>
                  <a:t>adjusted for age, sex, deprivation</a:t>
                </a:r>
              </a:p>
            </c:rich>
          </c:tx>
          <c:layout/>
          <c:overlay val="0"/>
        </c:title>
        <c:numFmt formatCode="General" sourceLinked="1"/>
        <c:majorTickMark val="out"/>
        <c:minorTickMark val="none"/>
        <c:tickLblPos val="nextTo"/>
        <c:crossAx val="95632384"/>
        <c:crosses val="autoZero"/>
        <c:crossBetween val="between"/>
      </c:valAx>
    </c:plotArea>
    <c:legend>
      <c:legendPos val="t"/>
      <c:legendEntry>
        <c:idx val="3"/>
        <c:delete val="1"/>
      </c:legendEntry>
      <c:legendEntry>
        <c:idx val="4"/>
        <c:delete val="1"/>
      </c:legendEntry>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Neoplasia</c:v>
                </c:pt>
              </c:strCache>
            </c:strRef>
          </c:tx>
          <c:spPr>
            <a:ln w="19050"/>
          </c:spPr>
          <c:invertIfNegative val="0"/>
          <c:dLbls>
            <c:delete val="1"/>
          </c:dLbls>
          <c:errBars>
            <c:errBarType val="both"/>
            <c:errValType val="cust"/>
            <c:noEndCap val="0"/>
            <c:plus>
              <c:numRef>
                <c:f>Sheet1!$E$2:$E$6</c:f>
                <c:numCache>
                  <c:formatCode>General</c:formatCode>
                  <c:ptCount val="5"/>
                  <c:pt idx="0">
                    <c:v>0</c:v>
                  </c:pt>
                  <c:pt idx="1">
                    <c:v>0.18</c:v>
                  </c:pt>
                  <c:pt idx="2">
                    <c:v>0.44</c:v>
                  </c:pt>
                  <c:pt idx="3">
                    <c:v>0.47</c:v>
                  </c:pt>
                  <c:pt idx="4">
                    <c:v>0.8</c:v>
                  </c:pt>
                </c:numCache>
              </c:numRef>
            </c:plus>
            <c:minus>
              <c:numRef>
                <c:f>Sheet1!$D$2:$D$6</c:f>
                <c:numCache>
                  <c:formatCode>General</c:formatCode>
                  <c:ptCount val="5"/>
                  <c:pt idx="0">
                    <c:v>0</c:v>
                  </c:pt>
                  <c:pt idx="1">
                    <c:v>0.14000000000000001</c:v>
                  </c:pt>
                  <c:pt idx="2">
                    <c:v>0.27</c:v>
                  </c:pt>
                  <c:pt idx="3">
                    <c:v>0.34</c:v>
                  </c:pt>
                  <c:pt idx="4">
                    <c:v>0.38</c:v>
                  </c:pt>
                </c:numCache>
              </c:numRef>
            </c:minus>
          </c:errBars>
          <c:cat>
            <c:strRef>
              <c:f>Sheet1!$A$2:$A$6</c:f>
              <c:strCache>
                <c:ptCount val="5"/>
                <c:pt idx="0">
                  <c:v>European</c:v>
                </c:pt>
                <c:pt idx="1">
                  <c:v>Asian</c:v>
                </c:pt>
                <c:pt idx="2">
                  <c:v>Pacific</c:v>
                </c:pt>
                <c:pt idx="3">
                  <c:v>Māori</c:v>
                </c:pt>
                <c:pt idx="4">
                  <c:v>Other</c:v>
                </c:pt>
              </c:strCache>
            </c:strRef>
          </c:cat>
          <c:val>
            <c:numRef>
              <c:f>Sheet1!$B$2:$B$6</c:f>
              <c:numCache>
                <c:formatCode>General</c:formatCode>
                <c:ptCount val="5"/>
                <c:pt idx="0">
                  <c:v>1</c:v>
                </c:pt>
                <c:pt idx="1">
                  <c:v>0.68</c:v>
                </c:pt>
                <c:pt idx="2">
                  <c:v>0.7</c:v>
                </c:pt>
                <c:pt idx="3">
                  <c:v>1.31</c:v>
                </c:pt>
                <c:pt idx="4">
                  <c:v>0.72</c:v>
                </c:pt>
              </c:numCache>
            </c:numRef>
          </c:val>
        </c:ser>
        <c:ser>
          <c:idx val="1"/>
          <c:order val="1"/>
          <c:tx>
            <c:strRef>
              <c:f>Sheet1!$C$1</c:f>
              <c:strCache>
                <c:ptCount val="1"/>
                <c:pt idx="0">
                  <c:v>  </c:v>
                </c:pt>
              </c:strCache>
            </c:strRef>
          </c:tx>
          <c:spPr>
            <a:noFill/>
            <a:ln>
              <a:noFill/>
            </a:ln>
          </c:spPr>
          <c:invertIfNegative val="0"/>
          <c:dLbls>
            <c:delete val="1"/>
          </c:dLbls>
          <c:trendline>
            <c:name>OR=1</c:name>
            <c:trendlineType val="linear"/>
            <c:forward val="0.5"/>
            <c:backward val="0.5"/>
            <c:dispRSqr val="0"/>
            <c:dispEq val="0"/>
          </c:trendline>
          <c:cat>
            <c:strRef>
              <c:f>Sheet1!$A$2:$A$6</c:f>
              <c:strCache>
                <c:ptCount val="5"/>
                <c:pt idx="0">
                  <c:v>European</c:v>
                </c:pt>
                <c:pt idx="1">
                  <c:v>Asian</c:v>
                </c:pt>
                <c:pt idx="2">
                  <c:v>Pacific</c:v>
                </c:pt>
                <c:pt idx="3">
                  <c:v>Māori</c:v>
                </c:pt>
                <c:pt idx="4">
                  <c:v>Other</c:v>
                </c:pt>
              </c:strCache>
            </c:strRef>
          </c:cat>
          <c:val>
            <c:numRef>
              <c:f>Sheet1!$C$2:$C$6</c:f>
              <c:numCache>
                <c:formatCode>General</c:formatCode>
                <c:ptCount val="5"/>
                <c:pt idx="0">
                  <c:v>1</c:v>
                </c:pt>
                <c:pt idx="1">
                  <c:v>1</c:v>
                </c:pt>
                <c:pt idx="2">
                  <c:v>1</c:v>
                </c:pt>
                <c:pt idx="3">
                  <c:v>1</c:v>
                </c:pt>
                <c:pt idx="4">
                  <c:v>1</c:v>
                </c:pt>
              </c:numCache>
            </c:numRef>
          </c:val>
        </c:ser>
        <c:dLbls>
          <c:showLegendKey val="0"/>
          <c:showVal val="1"/>
          <c:showCatName val="0"/>
          <c:showSerName val="0"/>
          <c:showPercent val="0"/>
          <c:showBubbleSize val="0"/>
        </c:dLbls>
        <c:gapWidth val="150"/>
        <c:axId val="95777152"/>
        <c:axId val="95779072"/>
      </c:barChart>
      <c:catAx>
        <c:axId val="95777152"/>
        <c:scaling>
          <c:orientation val="minMax"/>
        </c:scaling>
        <c:delete val="0"/>
        <c:axPos val="b"/>
        <c:title>
          <c:tx>
            <c:rich>
              <a:bodyPr/>
              <a:lstStyle/>
              <a:p>
                <a:pPr>
                  <a:defRPr/>
                </a:pPr>
                <a:r>
                  <a:rPr lang="en-NZ"/>
                  <a:t>Ethnicity</a:t>
                </a:r>
              </a:p>
            </c:rich>
          </c:tx>
          <c:layout/>
          <c:overlay val="0"/>
        </c:title>
        <c:numFmt formatCode="General" sourceLinked="0"/>
        <c:majorTickMark val="out"/>
        <c:minorTickMark val="none"/>
        <c:tickLblPos val="nextTo"/>
        <c:crossAx val="95779072"/>
        <c:crosses val="autoZero"/>
        <c:auto val="1"/>
        <c:lblAlgn val="ctr"/>
        <c:lblOffset val="100"/>
        <c:noMultiLvlLbl val="0"/>
      </c:catAx>
      <c:valAx>
        <c:axId val="95779072"/>
        <c:scaling>
          <c:orientation val="minMax"/>
        </c:scaling>
        <c:delete val="0"/>
        <c:axPos val="l"/>
        <c:title>
          <c:tx>
            <c:rich>
              <a:bodyPr rot="-5400000" vert="horz"/>
              <a:lstStyle/>
              <a:p>
                <a:pPr>
                  <a:defRPr/>
                </a:pPr>
                <a:r>
                  <a:rPr lang="en-NZ"/>
                  <a:t>Odds Ratio (95% CI)</a:t>
                </a:r>
                <a:br>
                  <a:rPr lang="en-NZ"/>
                </a:br>
                <a:r>
                  <a:rPr lang="en-NZ"/>
                  <a:t>adjusted for age, sex, deprivation</a:t>
                </a:r>
              </a:p>
            </c:rich>
          </c:tx>
          <c:layout/>
          <c:overlay val="0"/>
        </c:title>
        <c:numFmt formatCode="General" sourceLinked="1"/>
        <c:majorTickMark val="out"/>
        <c:minorTickMark val="none"/>
        <c:tickLblPos val="nextTo"/>
        <c:crossAx val="95777152"/>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Neoplasia</c:v>
                </c:pt>
              </c:strCache>
            </c:strRef>
          </c:tx>
          <c:spPr>
            <a:ln w="19050"/>
          </c:spPr>
          <c:marker>
            <c:symbol val="none"/>
          </c:marker>
          <c:dLbls>
            <c:delete val="1"/>
          </c:dLbls>
          <c:errBars>
            <c:errDir val="y"/>
            <c:errBarType val="both"/>
            <c:errValType val="cust"/>
            <c:noEndCap val="0"/>
            <c:plus>
              <c:numRef>
                <c:f>Sheet1!$E$2:$E$6</c:f>
                <c:numCache>
                  <c:formatCode>General</c:formatCode>
                  <c:ptCount val="5"/>
                  <c:pt idx="0">
                    <c:v>0</c:v>
                  </c:pt>
                  <c:pt idx="1">
                    <c:v>0.23</c:v>
                  </c:pt>
                  <c:pt idx="2">
                    <c:v>0.24</c:v>
                  </c:pt>
                  <c:pt idx="3">
                    <c:v>0.28999999999999998</c:v>
                  </c:pt>
                  <c:pt idx="4">
                    <c:v>0.66</c:v>
                  </c:pt>
                </c:numCache>
              </c:numRef>
            </c:plus>
            <c:minus>
              <c:numRef>
                <c:f>Sheet1!$D$2:$D$6</c:f>
                <c:numCache>
                  <c:formatCode>General</c:formatCode>
                  <c:ptCount val="5"/>
                  <c:pt idx="0">
                    <c:v>0</c:v>
                  </c:pt>
                  <c:pt idx="1">
                    <c:v>0.2</c:v>
                  </c:pt>
                  <c:pt idx="2">
                    <c:v>0.2</c:v>
                  </c:pt>
                  <c:pt idx="3">
                    <c:v>0.24</c:v>
                  </c:pt>
                  <c:pt idx="4">
                    <c:v>0.46</c:v>
                  </c:pt>
                </c:numCache>
              </c:numRef>
            </c:minus>
          </c:errBars>
          <c:cat>
            <c:strRef>
              <c:f>Sheet1!$A$2:$A$6</c:f>
              <c:strCache>
                <c:ptCount val="5"/>
                <c:pt idx="0">
                  <c:v>1-2</c:v>
                </c:pt>
                <c:pt idx="1">
                  <c:v>3-4</c:v>
                </c:pt>
                <c:pt idx="2">
                  <c:v>5-6</c:v>
                </c:pt>
                <c:pt idx="3">
                  <c:v>7-8</c:v>
                </c:pt>
                <c:pt idx="4">
                  <c:v>9-10</c:v>
                </c:pt>
              </c:strCache>
            </c:strRef>
          </c:cat>
          <c:val>
            <c:numRef>
              <c:f>Sheet1!$B$2:$B$6</c:f>
              <c:numCache>
                <c:formatCode>General</c:formatCode>
                <c:ptCount val="5"/>
                <c:pt idx="0">
                  <c:v>1</c:v>
                </c:pt>
                <c:pt idx="1">
                  <c:v>1.24</c:v>
                </c:pt>
                <c:pt idx="2">
                  <c:v>1.18</c:v>
                </c:pt>
                <c:pt idx="3">
                  <c:v>1.39</c:v>
                </c:pt>
                <c:pt idx="4">
                  <c:v>1.6</c:v>
                </c:pt>
              </c:numCache>
            </c:numRef>
          </c:val>
          <c:smooth val="0"/>
        </c:ser>
        <c:ser>
          <c:idx val="1"/>
          <c:order val="1"/>
          <c:tx>
            <c:strRef>
              <c:f>Sheet1!$C$1</c:f>
              <c:strCache>
                <c:ptCount val="1"/>
                <c:pt idx="0">
                  <c:v>  </c:v>
                </c:pt>
              </c:strCache>
            </c:strRef>
          </c:tx>
          <c:spPr>
            <a:ln>
              <a:noFill/>
            </a:ln>
          </c:spPr>
          <c:marker>
            <c:symbol val="none"/>
          </c:marker>
          <c:dLbls>
            <c:delete val="1"/>
          </c:dLbls>
          <c:trendline>
            <c:name>OR=1</c:name>
            <c:trendlineType val="linear"/>
            <c:forward val="0.5"/>
            <c:backward val="0.5"/>
            <c:dispRSqr val="0"/>
            <c:dispEq val="0"/>
          </c:trendline>
          <c:cat>
            <c:strRef>
              <c:f>Sheet1!$A$2:$A$6</c:f>
              <c:strCache>
                <c:ptCount val="5"/>
                <c:pt idx="0">
                  <c:v>1-2</c:v>
                </c:pt>
                <c:pt idx="1">
                  <c:v>3-4</c:v>
                </c:pt>
                <c:pt idx="2">
                  <c:v>5-6</c:v>
                </c:pt>
                <c:pt idx="3">
                  <c:v>7-8</c:v>
                </c:pt>
                <c:pt idx="4">
                  <c:v>9-10</c:v>
                </c:pt>
              </c:strCache>
            </c:strRef>
          </c:cat>
          <c:val>
            <c:numRef>
              <c:f>Sheet1!$C$2:$C$6</c:f>
              <c:numCache>
                <c:formatCode>General</c:formatCode>
                <c:ptCount val="5"/>
                <c:pt idx="0">
                  <c:v>1</c:v>
                </c:pt>
                <c:pt idx="1">
                  <c:v>1</c:v>
                </c:pt>
                <c:pt idx="2">
                  <c:v>1</c:v>
                </c:pt>
                <c:pt idx="3">
                  <c:v>1</c:v>
                </c:pt>
                <c:pt idx="4">
                  <c:v>1</c:v>
                </c:pt>
              </c:numCache>
            </c:numRef>
          </c:val>
          <c:smooth val="0"/>
        </c:ser>
        <c:dLbls>
          <c:showLegendKey val="0"/>
          <c:showVal val="1"/>
          <c:showCatName val="0"/>
          <c:showSerName val="0"/>
          <c:showPercent val="0"/>
          <c:showBubbleSize val="0"/>
        </c:dLbls>
        <c:marker val="1"/>
        <c:smooth val="0"/>
        <c:axId val="96358784"/>
        <c:axId val="96360704"/>
      </c:lineChart>
      <c:catAx>
        <c:axId val="96358784"/>
        <c:scaling>
          <c:orientation val="minMax"/>
        </c:scaling>
        <c:delete val="0"/>
        <c:axPos val="b"/>
        <c:title>
          <c:tx>
            <c:rich>
              <a:bodyPr/>
              <a:lstStyle/>
              <a:p>
                <a:pPr>
                  <a:defRPr/>
                </a:pPr>
                <a:r>
                  <a:rPr lang="en-NZ"/>
                  <a:t>New Zealand</a:t>
                </a:r>
                <a:r>
                  <a:rPr lang="en-NZ" baseline="0"/>
                  <a:t> Deprivation Index 2006 (in quintiles)</a:t>
                </a:r>
                <a:endParaRPr lang="en-NZ"/>
              </a:p>
            </c:rich>
          </c:tx>
          <c:layout/>
          <c:overlay val="0"/>
        </c:title>
        <c:numFmt formatCode="General" sourceLinked="0"/>
        <c:majorTickMark val="out"/>
        <c:minorTickMark val="none"/>
        <c:tickLblPos val="nextTo"/>
        <c:crossAx val="96360704"/>
        <c:crosses val="autoZero"/>
        <c:auto val="1"/>
        <c:lblAlgn val="ctr"/>
        <c:lblOffset val="100"/>
        <c:noMultiLvlLbl val="0"/>
      </c:catAx>
      <c:valAx>
        <c:axId val="96360704"/>
        <c:scaling>
          <c:orientation val="minMax"/>
          <c:max val="2.4"/>
          <c:min val="0.9"/>
        </c:scaling>
        <c:delete val="0"/>
        <c:axPos val="l"/>
        <c:title>
          <c:tx>
            <c:rich>
              <a:bodyPr rot="-5400000" vert="horz"/>
              <a:lstStyle/>
              <a:p>
                <a:pPr>
                  <a:defRPr/>
                </a:pPr>
                <a:r>
                  <a:rPr lang="en-NZ"/>
                  <a:t>Odds Ratio (95% CI)</a:t>
                </a:r>
                <a:br>
                  <a:rPr lang="en-NZ"/>
                </a:br>
                <a:r>
                  <a:rPr lang="en-NZ"/>
                  <a:t>adjusted for age, sex, ethnicity</a:t>
                </a:r>
              </a:p>
            </c:rich>
          </c:tx>
          <c:layout/>
          <c:overlay val="0"/>
        </c:title>
        <c:numFmt formatCode="General" sourceLinked="1"/>
        <c:majorTickMark val="out"/>
        <c:minorTickMark val="none"/>
        <c:tickLblPos val="nextTo"/>
        <c:crossAx val="9635878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Eur10</b:Tag>
    <b:SourceType>Report</b:SourceType>
    <b:Guid>{6C874D1A-59A2-490A-A1F1-BEFEC4E23309}</b:Guid>
    <b:Title>European guidelines for quality assurance in colorectal cancer screening and diagnosis</b:Title>
    <b:Year>2010</b:Year>
    <b:Author>
      <b:Author>
        <b:Corporate>European Commission</b:Corporate>
      </b:Author>
    </b:Author>
    <b:RefOrder>2</b:RefOrder>
  </b:Source>
  <b:Source>
    <b:Tag>Nat11</b:Tag>
    <b:SourceType>Report</b:SourceType>
    <b:Guid>{95A31599-E6D9-4F10-843D-3FEED6235BC1}</b:Guid>
    <b:Author>
      <b:Author>
        <b:Corporate>National Health Service Bowel Cancer Screening Programme</b:Corporate>
      </b:Author>
    </b:Author>
    <b:Title>Quality assurance guidelines for colonoscopy</b:Title>
    <b:Year>2011</b:Year>
    <b:Publisher>Publication No 6</b:Publisher>
    <b:RefOrder>5</b:RefOrder>
  </b:Source>
  <b:Source>
    <b:Tag>Dav</b:Tag>
    <b:SourceType>JournalArticle</b:SourceType>
    <b:Guid>{72D13B17-35F0-4AC3-9DFC-1DDBF27EE408}</b:Guid>
    <b:Author>
      <b:Author>
        <b:NameList>
          <b:Person>
            <b:Last>Weller</b:Last>
            <b:First>David</b:First>
          </b:Person>
        </b:NameList>
      </b:Author>
    </b:Author>
    <b:Title>The UK colorectal cancer screening pilot: results of the second round of screening in England.</b:Title>
    <b:JournalName>British Journal of Cancer</b:JournalName>
    <b:Year>2007</b:Year>
    <b:Pages>97 (1601-1605)</b:Pages>
    <b:RefOrder>1</b:RefOrder>
  </b:Source>
  <b:Source>
    <b:Tag>Min121</b:Tag>
    <b:SourceType>Report</b:SourceType>
    <b:Guid>{C69817F1-C9E5-4BCD-A3E0-D44D8B49E08D}</b:Guid>
    <b:Author>
      <b:Author>
        <b:Corporate>Ministry of Health</b:Corporate>
      </b:Author>
    </b:Author>
    <b:Title>Bowel Screening Pilot Interim Quality Standards version 2.0</b:Title>
    <b:Year>2012</b:Year>
    <b:RefOrder>4</b:RefOrder>
  </b:Source>
  <b:Source>
    <b:Tag>Min12</b:Tag>
    <b:SourceType>Report</b:SourceType>
    <b:Guid>{6E5684EA-43D6-4288-9FC7-172EC3FA2791}</b:Guid>
    <b:Author>
      <b:Author>
        <b:Corporate>Ministry of Health</b:Corporate>
      </b:Author>
    </b:Author>
    <b:Title>Draft Bowel Screening Pilot Indicator Methodology</b:Title>
    <b:Year>2012</b:Year>
    <b:RefOrder>3</b:RefOrder>
  </b:Source>
</b:Sources>
</file>

<file path=customXml/itemProps1.xml><?xml version="1.0" encoding="utf-8"?>
<ds:datastoreItem xmlns:ds="http://schemas.openxmlformats.org/officeDocument/2006/customXml" ds:itemID="{82B75182-7CD7-4D7F-AEFD-321AA7649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147</Pages>
  <Words>48930</Words>
  <Characters>272703</Characters>
  <Application>Microsoft Office Word</Application>
  <DocSecurity>0</DocSecurity>
  <Lines>2272</Lines>
  <Paragraphs>641</Paragraphs>
  <ScaleCrop>false</ScaleCrop>
  <HeadingPairs>
    <vt:vector size="2" baseType="variant">
      <vt:variant>
        <vt:lpstr>Title</vt:lpstr>
      </vt:variant>
      <vt:variant>
        <vt:i4>1</vt:i4>
      </vt:variant>
    </vt:vector>
  </HeadingPairs>
  <TitlesOfParts>
    <vt:vector size="1" baseType="lpstr">
      <vt:lpstr/>
    </vt:vector>
  </TitlesOfParts>
  <Company>Wordprocessing Services</Company>
  <LinksUpToDate>false</LinksUpToDate>
  <CharactersWithSpaces>320992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Evaluation Report of the Bowel Screening Pilot</dc:title>
  <dc:creator>Liz Smith - LITMUS</dc:creator>
  <cp:lastModifiedBy>Jane Adam</cp:lastModifiedBy>
  <cp:revision>3</cp:revision>
  <cp:lastPrinted>2015-05-28T04:32:00Z</cp:lastPrinted>
  <dcterms:created xsi:type="dcterms:W3CDTF">2015-05-28T04:26:00Z</dcterms:created>
  <dcterms:modified xsi:type="dcterms:W3CDTF">2015-05-28T04:36:00Z</dcterms:modified>
</cp:coreProperties>
</file>