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FD54" w14:textId="77777777" w:rsidR="009F4787" w:rsidRPr="000A1617" w:rsidRDefault="00890BD9" w:rsidP="000A1617">
      <w:pPr>
        <w:pStyle w:val="Title"/>
        <w:rPr>
          <w:b w:val="0"/>
        </w:rPr>
      </w:pPr>
      <w:r w:rsidRPr="000A1617">
        <w:t>Media Guidelines for Reporting on Suicide</w:t>
      </w:r>
    </w:p>
    <w:p w14:paraId="5B2EFD55" w14:textId="77777777" w:rsidR="00722A15" w:rsidRDefault="00722A15" w:rsidP="000A1617">
      <w:pPr>
        <w:sectPr w:rsidR="00722A15" w:rsidSect="00B60BAD">
          <w:headerReference w:type="default" r:id="rId7"/>
          <w:footerReference w:type="default" r:id="rId8"/>
          <w:footerReference w:type="first" r:id="rId9"/>
          <w:pgSz w:w="11910" w:h="16840" w:code="9"/>
          <w:pgMar w:top="1134" w:right="851" w:bottom="1134" w:left="851" w:header="567" w:footer="709" w:gutter="0"/>
          <w:cols w:space="427"/>
          <w:titlePg/>
        </w:sectPr>
      </w:pPr>
    </w:p>
    <w:p w14:paraId="5B2EFD56" w14:textId="77777777" w:rsidR="009F4787" w:rsidRPr="000A1617" w:rsidRDefault="00890BD9" w:rsidP="000A1617">
      <w:r w:rsidRPr="000A1617">
        <w:t xml:space="preserve">The following guidelines were established in 2021 by the Suicide Prevention Office in conjunction with a cross section of New Zealand media, including the Broadcasting Standards Authority, the Media </w:t>
      </w:r>
      <w:proofErr w:type="gramStart"/>
      <w:r w:rsidRPr="000A1617">
        <w:t>Council</w:t>
      </w:r>
      <w:proofErr w:type="gramEnd"/>
      <w:r w:rsidRPr="000A1617">
        <w:t xml:space="preserve"> and the Media Freedom Committee. The guidelines recogni</w:t>
      </w:r>
      <w:r w:rsidR="000A1617" w:rsidRPr="000A1617">
        <w:t>s</w:t>
      </w:r>
      <w:r w:rsidRPr="000A1617">
        <w:t>e that suicide is an</w:t>
      </w:r>
      <w:r w:rsidR="000A1617" w:rsidRPr="000A1617">
        <w:t xml:space="preserve"> </w:t>
      </w:r>
      <w:r w:rsidRPr="000A1617">
        <w:t>important public health issue and frequently a topic of media interest. The guidelines</w:t>
      </w:r>
      <w:r w:rsidR="000A1617" w:rsidRPr="000A1617">
        <w:t xml:space="preserve"> </w:t>
      </w:r>
      <w:r w:rsidRPr="000A1617">
        <w:t xml:space="preserve">are designed to assist working journalists, broadcasters, </w:t>
      </w:r>
      <w:proofErr w:type="gramStart"/>
      <w:r w:rsidRPr="000A1617">
        <w:t>commentators</w:t>
      </w:r>
      <w:proofErr w:type="gramEnd"/>
      <w:r w:rsidRPr="000A1617">
        <w:t xml:space="preserve"> and students of journalism report on suicide in a way that causes no further harm.</w:t>
      </w:r>
    </w:p>
    <w:p w14:paraId="5B2EFD57" w14:textId="77777777" w:rsidR="000A1617" w:rsidRPr="000A1617" w:rsidRDefault="000A1617" w:rsidP="000A1617"/>
    <w:p w14:paraId="5B2EFD58" w14:textId="77777777" w:rsidR="009F4787" w:rsidRPr="000A1617" w:rsidRDefault="00890BD9" w:rsidP="000A1617">
      <w:r w:rsidRPr="000A1617">
        <w:t>First and foremost - all publications and/or broadcasts must comply with the Coroners Act 2006</w:t>
      </w:r>
      <w:r w:rsidR="000A1617" w:rsidRPr="000A1617">
        <w:t>.</w:t>
      </w:r>
    </w:p>
    <w:p w14:paraId="5B2EFD59" w14:textId="77777777" w:rsidR="000A1617" w:rsidRPr="000A1617" w:rsidRDefault="000A1617" w:rsidP="000A1617"/>
    <w:p w14:paraId="5B2EFD5A" w14:textId="77777777" w:rsidR="009F4787" w:rsidRPr="00F56C56" w:rsidRDefault="000A1617" w:rsidP="00F56C56">
      <w:pPr>
        <w:pStyle w:val="Heading1"/>
      </w:pPr>
      <w:r w:rsidRPr="000A1617">
        <w:t>Under section 71</w:t>
      </w:r>
    </w:p>
    <w:p w14:paraId="5B2EFD5B" w14:textId="77777777" w:rsidR="009F4787" w:rsidRPr="000A1617" w:rsidRDefault="00890BD9" w:rsidP="000A1617">
      <w:r w:rsidRPr="000A1617">
        <w:t>When publishing information about any death which is self-inflicted, or where there is reasonable cause to suspect is self-inflicted, in New Zealand (or on a New Zealand registered plane or ship)</w:t>
      </w:r>
      <w:r w:rsidR="000A1617" w:rsidRPr="000A1617">
        <w:t>:</w:t>
      </w:r>
    </w:p>
    <w:p w14:paraId="5B2EFD5C" w14:textId="77777777" w:rsidR="009F4787" w:rsidRPr="000A1617" w:rsidRDefault="00890BD9" w:rsidP="000A1617">
      <w:pPr>
        <w:pStyle w:val="Bullet"/>
      </w:pPr>
      <w:r w:rsidRPr="000A1617">
        <w:t>the method or any suspected method causing death cannot be published</w:t>
      </w:r>
    </w:p>
    <w:p w14:paraId="5B2EFD5D" w14:textId="77777777" w:rsidR="009F4787" w:rsidRPr="000A1617" w:rsidRDefault="00890BD9" w:rsidP="000A1617">
      <w:pPr>
        <w:pStyle w:val="Bullet"/>
      </w:pPr>
      <w:r w:rsidRPr="000A1617">
        <w:t>no detail suggesting the method or suspected method of death can be published (</w:t>
      </w:r>
      <w:proofErr w:type="spellStart"/>
      <w:r w:rsidRPr="000A1617">
        <w:t>eg</w:t>
      </w:r>
      <w:proofErr w:type="spellEnd"/>
      <w:r w:rsidR="000A1617" w:rsidRPr="000A1617">
        <w:t>,</w:t>
      </w:r>
      <w:r w:rsidRPr="000A1617">
        <w:t xml:space="preserve"> the place of death)</w:t>
      </w:r>
    </w:p>
    <w:p w14:paraId="5B2EFD5E" w14:textId="77777777" w:rsidR="009F4787" w:rsidRPr="000A1617" w:rsidRDefault="00890BD9" w:rsidP="000A1617">
      <w:pPr>
        <w:pStyle w:val="Bullet"/>
      </w:pPr>
      <w:r w:rsidRPr="000A1617">
        <w:t>the death cannot be described as a suicide (unless the coroner has certified suicide to be the cause of death)</w:t>
      </w:r>
    </w:p>
    <w:p w14:paraId="5B2EFD5F" w14:textId="77777777" w:rsidR="009F4787" w:rsidRPr="000A1617" w:rsidRDefault="000A1617" w:rsidP="000A1617">
      <w:pPr>
        <w:spacing w:before="120"/>
      </w:pPr>
      <w:r w:rsidRPr="000A1617">
        <w:t>b</w:t>
      </w:r>
      <w:r w:rsidR="00890BD9" w:rsidRPr="000A1617">
        <w:t>ut the death can be described as a ‘suspected suicide’.</w:t>
      </w:r>
    </w:p>
    <w:p w14:paraId="5B2EFD60" w14:textId="77777777" w:rsidR="009F4787" w:rsidRPr="000A1617" w:rsidRDefault="009F4787">
      <w:pPr>
        <w:spacing w:before="11"/>
        <w:rPr>
          <w:sz w:val="21"/>
        </w:rPr>
      </w:pPr>
    </w:p>
    <w:p w14:paraId="5B2EFD61" w14:textId="77777777" w:rsidR="009F4787" w:rsidRPr="000A1617" w:rsidRDefault="00722A15" w:rsidP="00722A15">
      <w:pPr>
        <w:pStyle w:val="Heading1"/>
        <w:spacing w:before="60"/>
      </w:pPr>
      <w:r>
        <w:br w:type="column"/>
      </w:r>
      <w:r w:rsidR="00890BD9" w:rsidRPr="000A1617">
        <w:t>Under section 71A –</w:t>
      </w:r>
    </w:p>
    <w:p w14:paraId="5B2EFD62" w14:textId="77777777" w:rsidR="009F4787" w:rsidRPr="000A1617" w:rsidRDefault="00890BD9" w:rsidP="000A1617">
      <w:r w:rsidRPr="000A1617">
        <w:t>Anyone, including a journalist or media outlet, can apply to the chief coroner for an exemption to the section 71 restrictions.</w:t>
      </w:r>
    </w:p>
    <w:p w14:paraId="5B2EFD63" w14:textId="77777777" w:rsidR="000A1617" w:rsidRPr="000A1617" w:rsidRDefault="000A1617" w:rsidP="000A1617"/>
    <w:p w14:paraId="5B2EFD64" w14:textId="77777777" w:rsidR="009F4787" w:rsidRPr="000A1617" w:rsidRDefault="00890BD9" w:rsidP="000A1617">
      <w:r w:rsidRPr="000A1617">
        <w:t>The chief coroner may grant an exemption only if satisfied that:</w:t>
      </w:r>
    </w:p>
    <w:p w14:paraId="5B2EFD65" w14:textId="77777777" w:rsidR="009F4787" w:rsidRPr="000A1617" w:rsidRDefault="000A1617" w:rsidP="00722A15">
      <w:pPr>
        <w:spacing w:before="120"/>
        <w:ind w:left="567" w:hanging="567"/>
      </w:pPr>
      <w:r w:rsidRPr="000A1617">
        <w:t>a)</w:t>
      </w:r>
      <w:r w:rsidRPr="000A1617">
        <w:tab/>
      </w:r>
      <w:r w:rsidR="00890BD9" w:rsidRPr="000A1617">
        <w:t>granting the exemption does not present an undue risk that other people will attempt to copy the b</w:t>
      </w:r>
      <w:r w:rsidR="00F56C56">
        <w:t>e</w:t>
      </w:r>
      <w:r w:rsidR="00890BD9" w:rsidRPr="000A1617">
        <w:t>haviour of the dead person concerned; and</w:t>
      </w:r>
    </w:p>
    <w:p w14:paraId="5B2EFD66" w14:textId="77777777" w:rsidR="009F4787" w:rsidRPr="000A1617" w:rsidRDefault="000A1617" w:rsidP="00722A15">
      <w:pPr>
        <w:spacing w:before="120"/>
        <w:ind w:left="567" w:hanging="567"/>
      </w:pPr>
      <w:r w:rsidRPr="000A1617">
        <w:t>b)</w:t>
      </w:r>
      <w:r w:rsidRPr="000A1617">
        <w:tab/>
      </w:r>
      <w:r w:rsidR="00890BD9" w:rsidRPr="000A1617">
        <w:t>any risk that people will attempt to copy the behaviour of the dead person concerned is outweighed by other considerations that make it desirable, in</w:t>
      </w:r>
      <w:r w:rsidRPr="000A1617">
        <w:t xml:space="preserve"> </w:t>
      </w:r>
      <w:r w:rsidR="00890BD9" w:rsidRPr="000A1617">
        <w:t>the public interest, to allow the publication of the details.</w:t>
      </w:r>
    </w:p>
    <w:p w14:paraId="5B2EFD67" w14:textId="77777777" w:rsidR="000A1617" w:rsidRPr="000A1617" w:rsidRDefault="000A1617" w:rsidP="000A1617"/>
    <w:p w14:paraId="5B2EFD68" w14:textId="77777777" w:rsidR="009F4787" w:rsidRPr="000A1617" w:rsidRDefault="00890BD9" w:rsidP="000A1617">
      <w:r w:rsidRPr="000A1617">
        <w:t xml:space="preserve">In addition to complying with the Coroners Act 2006, the guidelines advise journalists, </w:t>
      </w:r>
      <w:proofErr w:type="gramStart"/>
      <w:r w:rsidRPr="000A1617">
        <w:t>broadcasters</w:t>
      </w:r>
      <w:proofErr w:type="gramEnd"/>
      <w:r w:rsidRPr="000A1617">
        <w:t xml:space="preserve"> and commentators to avoid harm by abiding by the following list of ‘dos’ and ‘don’ts’</w:t>
      </w:r>
      <w:r w:rsidR="000A1617" w:rsidRPr="000A1617">
        <w:t>:</w:t>
      </w:r>
    </w:p>
    <w:p w14:paraId="5B2EFD69" w14:textId="77777777" w:rsidR="000A1617" w:rsidRPr="000A1617" w:rsidRDefault="000A1617" w:rsidP="00F5069A"/>
    <w:p w14:paraId="5B2EFD6A" w14:textId="77777777" w:rsidR="009F4787" w:rsidRPr="00F5069A" w:rsidRDefault="00722A15" w:rsidP="00722A15">
      <w:pPr>
        <w:pStyle w:val="Heading1"/>
        <w:spacing w:before="60"/>
      </w:pPr>
      <w:r>
        <w:br w:type="column"/>
      </w:r>
      <w:r w:rsidR="00890BD9" w:rsidRPr="000A1617">
        <w:lastRenderedPageBreak/>
        <w:t>Do</w:t>
      </w:r>
    </w:p>
    <w:p w14:paraId="5B2EFD6B" w14:textId="77777777" w:rsidR="009F4787" w:rsidRPr="000A1617" w:rsidRDefault="00890BD9" w:rsidP="00722A15">
      <w:pPr>
        <w:pStyle w:val="Bullet"/>
        <w:spacing w:before="150"/>
      </w:pPr>
      <w:r w:rsidRPr="000A1617">
        <w:t>Report the death as a ‘suspected suicide’ until the coroner certifies the death is suicide.</w:t>
      </w:r>
    </w:p>
    <w:p w14:paraId="5B2EFD6C" w14:textId="77777777" w:rsidR="009F4787" w:rsidRPr="000A1617" w:rsidRDefault="00890BD9" w:rsidP="00722A15">
      <w:pPr>
        <w:pStyle w:val="Bullet"/>
        <w:spacing w:before="150"/>
      </w:pPr>
      <w:r w:rsidRPr="000A1617">
        <w:t>Keep to the verifiable facts of the case and do not speculate or oversimplify the circumstances of the death</w:t>
      </w:r>
    </w:p>
    <w:p w14:paraId="5B2EFD6D" w14:textId="77777777" w:rsidR="009F4787" w:rsidRPr="000A1617" w:rsidRDefault="00890BD9" w:rsidP="00722A15">
      <w:pPr>
        <w:pStyle w:val="Bullet"/>
        <w:spacing w:before="150"/>
      </w:pPr>
      <w:r w:rsidRPr="000A1617">
        <w:t>Apply particular caution when reporting youth suicides or suspected youth suicides:</w:t>
      </w:r>
    </w:p>
    <w:p w14:paraId="5B2EFD6E" w14:textId="77777777" w:rsidR="009F4787" w:rsidRPr="000A1617" w:rsidRDefault="00890BD9" w:rsidP="009B5283">
      <w:pPr>
        <w:pStyle w:val="Dash"/>
      </w:pPr>
      <w:r w:rsidRPr="000A1617">
        <w:t>think carefully before including images or content from the deceased’s social media and other associated social media links</w:t>
      </w:r>
    </w:p>
    <w:p w14:paraId="5B2EFD6F" w14:textId="77777777" w:rsidR="009F4787" w:rsidRPr="000A1617" w:rsidRDefault="00890BD9" w:rsidP="009B5283">
      <w:pPr>
        <w:pStyle w:val="Dash"/>
      </w:pPr>
      <w:r w:rsidRPr="000A1617">
        <w:t>consider how the story (including any interviews) will affect friends and family of the deceased, in both the short and long term</w:t>
      </w:r>
    </w:p>
    <w:p w14:paraId="5B2EFD70" w14:textId="77777777" w:rsidR="009F4787" w:rsidRPr="000A1617" w:rsidRDefault="00890BD9" w:rsidP="00722A15">
      <w:pPr>
        <w:pStyle w:val="Bullet"/>
        <w:spacing w:before="150"/>
      </w:pPr>
      <w:r w:rsidRPr="000A1617">
        <w:t>In all cases consider:</w:t>
      </w:r>
    </w:p>
    <w:p w14:paraId="5B2EFD71" w14:textId="77777777" w:rsidR="009F4787" w:rsidRPr="000A1617" w:rsidRDefault="00890BD9" w:rsidP="009B5283">
      <w:pPr>
        <w:pStyle w:val="Dash"/>
      </w:pPr>
      <w:r w:rsidRPr="000A1617">
        <w:t>the impact the story will have on the immediate family of the deceased person, their community and wider society</w:t>
      </w:r>
    </w:p>
    <w:p w14:paraId="5B2EFD72" w14:textId="77777777" w:rsidR="009F4787" w:rsidRPr="000A1617" w:rsidRDefault="00890BD9" w:rsidP="009B5283">
      <w:pPr>
        <w:pStyle w:val="Dash"/>
      </w:pPr>
      <w:r w:rsidRPr="000A1617">
        <w:t>how to include context and information in the story (for example, about the complexity of the psychosocial factors that contribute to suicide)</w:t>
      </w:r>
    </w:p>
    <w:p w14:paraId="5B2EFD73" w14:textId="77777777" w:rsidR="009F4787" w:rsidRPr="000A1617" w:rsidRDefault="00890BD9" w:rsidP="009B5283">
      <w:pPr>
        <w:pStyle w:val="Dash"/>
      </w:pPr>
      <w:r w:rsidRPr="000A1617">
        <w:t>whether you can include details about how to cope with life’s stressors or suicidal thoughts, or about how suicide can be prevented</w:t>
      </w:r>
    </w:p>
    <w:p w14:paraId="5B2EFD74" w14:textId="77777777" w:rsidR="009F4787" w:rsidRPr="000A1617" w:rsidRDefault="00890BD9" w:rsidP="00722A15">
      <w:pPr>
        <w:pStyle w:val="Bullet"/>
        <w:spacing w:before="150"/>
      </w:pPr>
      <w:r w:rsidRPr="000A1617">
        <w:t>Apply caution to coverage of overseas suicides, including taking care to avoid the publication of information which would breach the Coroners Act if the story originated in New Zealand (</w:t>
      </w:r>
      <w:proofErr w:type="spellStart"/>
      <w:r w:rsidRPr="000A1617">
        <w:t>eg</w:t>
      </w:r>
      <w:proofErr w:type="spellEnd"/>
      <w:r w:rsidR="009B5283">
        <w:t>,</w:t>
      </w:r>
      <w:r w:rsidRPr="000A1617">
        <w:t xml:space="preserve"> the method causing death)</w:t>
      </w:r>
    </w:p>
    <w:p w14:paraId="5B2EFD75" w14:textId="77777777" w:rsidR="009F4787" w:rsidRPr="000A1617" w:rsidRDefault="00890BD9" w:rsidP="00722A15">
      <w:pPr>
        <w:pStyle w:val="Bullet"/>
        <w:spacing w:before="150"/>
      </w:pPr>
      <w:r w:rsidRPr="000A1617">
        <w:t xml:space="preserve">In cases where the deceased is a celebrity, consider what amplified impact the story may have on certain population groups, particularly young </w:t>
      </w:r>
      <w:proofErr w:type="gramStart"/>
      <w:r w:rsidRPr="000A1617">
        <w:t>people</w:t>
      </w:r>
      <w:proofErr w:type="gramEnd"/>
      <w:r w:rsidRPr="000A1617">
        <w:t xml:space="preserve"> or people with existing mental health issues</w:t>
      </w:r>
    </w:p>
    <w:p w14:paraId="5B2EFD76" w14:textId="77777777" w:rsidR="00722A15" w:rsidRDefault="00890BD9" w:rsidP="00722A15">
      <w:pPr>
        <w:pStyle w:val="Bullet"/>
        <w:spacing w:before="150"/>
      </w:pPr>
      <w:r w:rsidRPr="000A1617">
        <w:t>Include information about where and how to get help</w:t>
      </w:r>
    </w:p>
    <w:p w14:paraId="5B2EFD77" w14:textId="77777777" w:rsidR="009F4787" w:rsidRPr="000A1617" w:rsidRDefault="00722A15" w:rsidP="00722A15">
      <w:pPr>
        <w:pStyle w:val="Heading1"/>
        <w:spacing w:before="60"/>
      </w:pPr>
      <w:r>
        <w:br w:type="column"/>
      </w:r>
      <w:r w:rsidR="00890BD9" w:rsidRPr="000A1617">
        <w:t>Don’t</w:t>
      </w:r>
    </w:p>
    <w:p w14:paraId="5B2EFD78" w14:textId="77777777" w:rsidR="009F4787" w:rsidRPr="000A1617" w:rsidRDefault="00890BD9" w:rsidP="009B5283">
      <w:pPr>
        <w:pStyle w:val="Bullet"/>
      </w:pPr>
      <w:r w:rsidRPr="000A1617">
        <w:t>Do not identify the method of suicide (unless the chief coroner has expressly said you can do so)</w:t>
      </w:r>
      <w:r w:rsidR="009B5283">
        <w:t>.</w:t>
      </w:r>
    </w:p>
    <w:p w14:paraId="5B2EFD79" w14:textId="77777777" w:rsidR="009F4787" w:rsidRPr="000A1617" w:rsidRDefault="00890BD9" w:rsidP="009B5283">
      <w:pPr>
        <w:pStyle w:val="Bullet"/>
      </w:pPr>
      <w:r w:rsidRPr="000A1617">
        <w:t>Do not identify the location of death if it is indicative of the method (unless it is self-explanatory</w:t>
      </w:r>
      <w:r w:rsidR="000A1617">
        <w:t>,</w:t>
      </w:r>
      <w:r w:rsidRPr="000A1617">
        <w:t xml:space="preserve"> </w:t>
      </w:r>
      <w:proofErr w:type="spellStart"/>
      <w:r w:rsidRPr="000A1617">
        <w:t>eg</w:t>
      </w:r>
      <w:proofErr w:type="spellEnd"/>
      <w:r w:rsidR="000A1617">
        <w:t>,</w:t>
      </w:r>
      <w:r w:rsidRPr="000A1617">
        <w:t xml:space="preserve"> a prison)</w:t>
      </w:r>
      <w:r w:rsidR="009B5283">
        <w:t>.</w:t>
      </w:r>
    </w:p>
    <w:p w14:paraId="5B2EFD7A" w14:textId="77777777" w:rsidR="009F4787" w:rsidRPr="000A1617" w:rsidRDefault="009B5283" w:rsidP="009B5283">
      <w:pPr>
        <w:pStyle w:val="Bullet"/>
      </w:pPr>
      <w:r>
        <w:t>Do not publish scene of death p</w:t>
      </w:r>
      <w:r w:rsidR="00890BD9" w:rsidRPr="000A1617">
        <w:t>hotographs if the body is still in situ or if it is indicative of method</w:t>
      </w:r>
      <w:r>
        <w:t>.</w:t>
      </w:r>
    </w:p>
    <w:p w14:paraId="5B2EFD7B" w14:textId="77777777" w:rsidR="009F4787" w:rsidRPr="000A1617" w:rsidRDefault="00890BD9" w:rsidP="009B5283">
      <w:pPr>
        <w:pStyle w:val="Bullet"/>
      </w:pPr>
      <w:r w:rsidRPr="000A1617">
        <w:t>Do not use sensationalist headlines and try to avoid using the word ‘suicide’ in the headline unless this is required by the context and framing of the story</w:t>
      </w:r>
      <w:r w:rsidR="009B5283">
        <w:t>.</w:t>
      </w:r>
    </w:p>
    <w:p w14:paraId="5B2EFD7C" w14:textId="77777777" w:rsidR="009F4787" w:rsidRPr="000A1617" w:rsidRDefault="00890BD9" w:rsidP="009B5283">
      <w:pPr>
        <w:pStyle w:val="Bullet"/>
      </w:pPr>
      <w:r w:rsidRPr="000A1617">
        <w:t>Avoid language that:</w:t>
      </w:r>
    </w:p>
    <w:p w14:paraId="5B2EFD7D" w14:textId="77777777" w:rsidR="009F4787" w:rsidRPr="000A1617" w:rsidRDefault="00890BD9" w:rsidP="009B5283">
      <w:pPr>
        <w:pStyle w:val="Dash"/>
      </w:pPr>
      <w:r w:rsidRPr="000A1617">
        <w:t>presents suicide as an inevitable outcome to a problem</w:t>
      </w:r>
    </w:p>
    <w:p w14:paraId="5B2EFD7E" w14:textId="77777777" w:rsidR="009F4787" w:rsidRPr="000A1617" w:rsidRDefault="00890BD9" w:rsidP="009B5283">
      <w:pPr>
        <w:pStyle w:val="Dash"/>
      </w:pPr>
      <w:r w:rsidRPr="000A1617">
        <w:t>romanticises or trivialises suicide or the effect of suicide</w:t>
      </w:r>
    </w:p>
    <w:p w14:paraId="5B2EFD7F" w14:textId="77777777" w:rsidR="009F4787" w:rsidRDefault="00890BD9" w:rsidP="009B5283">
      <w:pPr>
        <w:pStyle w:val="Dash"/>
      </w:pPr>
      <w:r w:rsidRPr="000A1617">
        <w:t>simplifies the reasons for a suicide or the circumstances that may have led to suicide.</w:t>
      </w:r>
    </w:p>
    <w:p w14:paraId="5B2EFD80" w14:textId="77777777" w:rsidR="006B412F" w:rsidRPr="000A1617" w:rsidRDefault="006B412F" w:rsidP="009B5283"/>
    <w:sectPr w:rsidR="006B412F" w:rsidRPr="000A1617" w:rsidSect="00722A15">
      <w:type w:val="continuous"/>
      <w:pgSz w:w="11910" w:h="16840" w:code="9"/>
      <w:pgMar w:top="1134" w:right="851" w:bottom="1134" w:left="851" w:header="567" w:footer="709" w:gutter="0"/>
      <w:cols w:num="2" w:space="852" w:equalWidth="0">
        <w:col w:w="4678" w:space="852"/>
        <w:col w:w="467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C010" w14:textId="77777777" w:rsidR="00E57822" w:rsidRDefault="00E57822">
      <w:r>
        <w:separator/>
      </w:r>
    </w:p>
  </w:endnote>
  <w:endnote w:type="continuationSeparator" w:id="0">
    <w:p w14:paraId="2D73F378" w14:textId="77777777" w:rsidR="00E57822" w:rsidRDefault="00E5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FD86" w14:textId="77777777" w:rsidR="009F4787" w:rsidRDefault="009F4787" w:rsidP="00F56C56">
    <w:pPr>
      <w:pBdr>
        <w:bottom w:val="single" w:sz="12" w:space="1" w:color="1B83A0"/>
      </w:pBdr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FD87" w14:textId="77777777" w:rsidR="00F56C56" w:rsidRDefault="00F56C56" w:rsidP="00F56C56">
    <w:pPr>
      <w:pStyle w:val="Footer"/>
      <w:pBdr>
        <w:bottom w:val="single" w:sz="12" w:space="1" w:color="1B83A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E7E5" w14:textId="77777777" w:rsidR="00E57822" w:rsidRDefault="00E57822">
      <w:r>
        <w:separator/>
      </w:r>
    </w:p>
  </w:footnote>
  <w:footnote w:type="continuationSeparator" w:id="0">
    <w:p w14:paraId="5DF845D3" w14:textId="77777777" w:rsidR="00E57822" w:rsidRDefault="00E5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FD85" w14:textId="77777777" w:rsidR="009F4787" w:rsidRDefault="009F4787" w:rsidP="00F56C56">
    <w:pPr>
      <w:pBdr>
        <w:bottom w:val="single" w:sz="12" w:space="1" w:color="1B83A0"/>
      </w:pBdr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03EBB"/>
    <w:multiLevelType w:val="hybridMultilevel"/>
    <w:tmpl w:val="BF80296E"/>
    <w:lvl w:ilvl="0" w:tplc="17FC98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sz w:val="18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5600"/>
    <w:multiLevelType w:val="hybridMultilevel"/>
    <w:tmpl w:val="F4BEC54E"/>
    <w:lvl w:ilvl="0" w:tplc="BEB83598">
      <w:numFmt w:val="bullet"/>
      <w:lvlText w:val="•"/>
      <w:lvlJc w:val="left"/>
      <w:pPr>
        <w:ind w:left="397" w:hanging="284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GB" w:eastAsia="en-GB" w:bidi="en-GB"/>
      </w:rPr>
    </w:lvl>
    <w:lvl w:ilvl="1" w:tplc="6A3CE790">
      <w:numFmt w:val="bullet"/>
      <w:lvlText w:val="•"/>
      <w:lvlJc w:val="left"/>
      <w:pPr>
        <w:ind w:left="680" w:hanging="284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GB" w:eastAsia="en-GB" w:bidi="en-GB"/>
      </w:rPr>
    </w:lvl>
    <w:lvl w:ilvl="2" w:tplc="35FA497C">
      <w:numFmt w:val="bullet"/>
      <w:lvlText w:val="•"/>
      <w:lvlJc w:val="left"/>
      <w:pPr>
        <w:ind w:left="556" w:hanging="284"/>
      </w:pPr>
      <w:rPr>
        <w:rFonts w:hint="default"/>
        <w:lang w:val="en-GB" w:eastAsia="en-GB" w:bidi="en-GB"/>
      </w:rPr>
    </w:lvl>
    <w:lvl w:ilvl="3" w:tplc="690A0BAA">
      <w:numFmt w:val="bullet"/>
      <w:lvlText w:val="•"/>
      <w:lvlJc w:val="left"/>
      <w:pPr>
        <w:ind w:left="433" w:hanging="284"/>
      </w:pPr>
      <w:rPr>
        <w:rFonts w:hint="default"/>
        <w:lang w:val="en-GB" w:eastAsia="en-GB" w:bidi="en-GB"/>
      </w:rPr>
    </w:lvl>
    <w:lvl w:ilvl="4" w:tplc="CAF0E190">
      <w:numFmt w:val="bullet"/>
      <w:lvlText w:val="•"/>
      <w:lvlJc w:val="left"/>
      <w:pPr>
        <w:ind w:left="310" w:hanging="284"/>
      </w:pPr>
      <w:rPr>
        <w:rFonts w:hint="default"/>
        <w:lang w:val="en-GB" w:eastAsia="en-GB" w:bidi="en-GB"/>
      </w:rPr>
    </w:lvl>
    <w:lvl w:ilvl="5" w:tplc="E064D7D2">
      <w:numFmt w:val="bullet"/>
      <w:lvlText w:val="•"/>
      <w:lvlJc w:val="left"/>
      <w:pPr>
        <w:ind w:left="187" w:hanging="284"/>
      </w:pPr>
      <w:rPr>
        <w:rFonts w:hint="default"/>
        <w:lang w:val="en-GB" w:eastAsia="en-GB" w:bidi="en-GB"/>
      </w:rPr>
    </w:lvl>
    <w:lvl w:ilvl="6" w:tplc="1B2E3536">
      <w:numFmt w:val="bullet"/>
      <w:lvlText w:val="•"/>
      <w:lvlJc w:val="left"/>
      <w:pPr>
        <w:ind w:left="64" w:hanging="284"/>
      </w:pPr>
      <w:rPr>
        <w:rFonts w:hint="default"/>
        <w:lang w:val="en-GB" w:eastAsia="en-GB" w:bidi="en-GB"/>
      </w:rPr>
    </w:lvl>
    <w:lvl w:ilvl="7" w:tplc="B2EEC198">
      <w:numFmt w:val="bullet"/>
      <w:lvlText w:val="•"/>
      <w:lvlJc w:val="left"/>
      <w:pPr>
        <w:ind w:left="-59" w:hanging="284"/>
      </w:pPr>
      <w:rPr>
        <w:rFonts w:hint="default"/>
        <w:lang w:val="en-GB" w:eastAsia="en-GB" w:bidi="en-GB"/>
      </w:rPr>
    </w:lvl>
    <w:lvl w:ilvl="8" w:tplc="8E46B096">
      <w:numFmt w:val="bullet"/>
      <w:lvlText w:val="•"/>
      <w:lvlJc w:val="left"/>
      <w:pPr>
        <w:ind w:left="-182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47304DC1"/>
    <w:multiLevelType w:val="hybridMultilevel"/>
    <w:tmpl w:val="60D074B6"/>
    <w:lvl w:ilvl="0" w:tplc="AF64366E">
      <w:start w:val="1"/>
      <w:numFmt w:val="bullet"/>
      <w:pStyle w:val="Dash"/>
      <w:lvlText w:val="–"/>
      <w:lvlJc w:val="left"/>
      <w:pPr>
        <w:ind w:left="1004" w:hanging="360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9A3926"/>
    <w:multiLevelType w:val="hybridMultilevel"/>
    <w:tmpl w:val="6B484A3C"/>
    <w:lvl w:ilvl="0" w:tplc="4A8EAC5A">
      <w:start w:val="1"/>
      <w:numFmt w:val="lowerLetter"/>
      <w:lvlText w:val="%1)"/>
      <w:lvlJc w:val="left"/>
      <w:pPr>
        <w:ind w:left="397" w:hanging="284"/>
        <w:jc w:val="left"/>
      </w:pPr>
      <w:rPr>
        <w:rFonts w:ascii="Lucida Sans Unicode" w:eastAsia="Lucida Sans Unicode" w:hAnsi="Lucida Sans Unicode" w:cs="Lucida Sans Unicode" w:hint="default"/>
        <w:w w:val="128"/>
        <w:sz w:val="20"/>
        <w:szCs w:val="20"/>
        <w:lang w:val="en-GB" w:eastAsia="en-GB" w:bidi="en-GB"/>
      </w:rPr>
    </w:lvl>
    <w:lvl w:ilvl="1" w:tplc="9C7A9056">
      <w:numFmt w:val="bullet"/>
      <w:lvlText w:val="•"/>
      <w:lvlJc w:val="left"/>
      <w:pPr>
        <w:ind w:left="836" w:hanging="284"/>
      </w:pPr>
      <w:rPr>
        <w:rFonts w:hint="default"/>
        <w:lang w:val="en-GB" w:eastAsia="en-GB" w:bidi="en-GB"/>
      </w:rPr>
    </w:lvl>
    <w:lvl w:ilvl="2" w:tplc="9538130C">
      <w:numFmt w:val="bullet"/>
      <w:lvlText w:val="•"/>
      <w:lvlJc w:val="left"/>
      <w:pPr>
        <w:ind w:left="1272" w:hanging="284"/>
      </w:pPr>
      <w:rPr>
        <w:rFonts w:hint="default"/>
        <w:lang w:val="en-GB" w:eastAsia="en-GB" w:bidi="en-GB"/>
      </w:rPr>
    </w:lvl>
    <w:lvl w:ilvl="3" w:tplc="1F5A2ABC">
      <w:numFmt w:val="bullet"/>
      <w:lvlText w:val="•"/>
      <w:lvlJc w:val="left"/>
      <w:pPr>
        <w:ind w:left="1708" w:hanging="284"/>
      </w:pPr>
      <w:rPr>
        <w:rFonts w:hint="default"/>
        <w:lang w:val="en-GB" w:eastAsia="en-GB" w:bidi="en-GB"/>
      </w:rPr>
    </w:lvl>
    <w:lvl w:ilvl="4" w:tplc="CB3C4124">
      <w:numFmt w:val="bullet"/>
      <w:lvlText w:val="•"/>
      <w:lvlJc w:val="left"/>
      <w:pPr>
        <w:ind w:left="2145" w:hanging="284"/>
      </w:pPr>
      <w:rPr>
        <w:rFonts w:hint="default"/>
        <w:lang w:val="en-GB" w:eastAsia="en-GB" w:bidi="en-GB"/>
      </w:rPr>
    </w:lvl>
    <w:lvl w:ilvl="5" w:tplc="6C58EC94">
      <w:numFmt w:val="bullet"/>
      <w:lvlText w:val="•"/>
      <w:lvlJc w:val="left"/>
      <w:pPr>
        <w:ind w:left="2581" w:hanging="284"/>
      </w:pPr>
      <w:rPr>
        <w:rFonts w:hint="default"/>
        <w:lang w:val="en-GB" w:eastAsia="en-GB" w:bidi="en-GB"/>
      </w:rPr>
    </w:lvl>
    <w:lvl w:ilvl="6" w:tplc="69F8E55A">
      <w:numFmt w:val="bullet"/>
      <w:lvlText w:val="•"/>
      <w:lvlJc w:val="left"/>
      <w:pPr>
        <w:ind w:left="3017" w:hanging="284"/>
      </w:pPr>
      <w:rPr>
        <w:rFonts w:hint="default"/>
        <w:lang w:val="en-GB" w:eastAsia="en-GB" w:bidi="en-GB"/>
      </w:rPr>
    </w:lvl>
    <w:lvl w:ilvl="7" w:tplc="612EA3E8">
      <w:numFmt w:val="bullet"/>
      <w:lvlText w:val="•"/>
      <w:lvlJc w:val="left"/>
      <w:pPr>
        <w:ind w:left="3454" w:hanging="284"/>
      </w:pPr>
      <w:rPr>
        <w:rFonts w:hint="default"/>
        <w:lang w:val="en-GB" w:eastAsia="en-GB" w:bidi="en-GB"/>
      </w:rPr>
    </w:lvl>
    <w:lvl w:ilvl="8" w:tplc="6D02481A">
      <w:numFmt w:val="bullet"/>
      <w:lvlText w:val="•"/>
      <w:lvlJc w:val="left"/>
      <w:pPr>
        <w:ind w:left="3890" w:hanging="284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787"/>
    <w:rsid w:val="000A1617"/>
    <w:rsid w:val="00334646"/>
    <w:rsid w:val="00610986"/>
    <w:rsid w:val="006B412F"/>
    <w:rsid w:val="006D347E"/>
    <w:rsid w:val="00722A15"/>
    <w:rsid w:val="00890BD9"/>
    <w:rsid w:val="009B5283"/>
    <w:rsid w:val="009F4787"/>
    <w:rsid w:val="00B60BAD"/>
    <w:rsid w:val="00E47C9D"/>
    <w:rsid w:val="00E57822"/>
    <w:rsid w:val="00F24748"/>
    <w:rsid w:val="00F5069A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EFD54"/>
  <w15:docId w15:val="{F7191787-5115-4B40-AFE2-F4F55C3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2A15"/>
    <w:pPr>
      <w:widowControl/>
    </w:pPr>
    <w:rPr>
      <w:rFonts w:ascii="Lucida Sans Unicode" w:eastAsia="Lucida Sans Unicode" w:hAnsi="Lucida Sans Unicode" w:cs="Lucida Sans Unicode"/>
      <w:sz w:val="20"/>
      <w:lang w:val="en-NZ" w:eastAsia="en-GB" w:bidi="en-GB"/>
    </w:rPr>
  </w:style>
  <w:style w:type="paragraph" w:styleId="Heading1">
    <w:name w:val="heading 1"/>
    <w:basedOn w:val="Normal"/>
    <w:uiPriority w:val="1"/>
    <w:qFormat/>
    <w:rsid w:val="000A1617"/>
    <w:pPr>
      <w:keepNext/>
      <w:spacing w:before="360" w:after="240"/>
      <w:outlineLvl w:val="0"/>
    </w:pPr>
    <w:rPr>
      <w:rFonts w:ascii="Arial" w:eastAsia="Arial" w:hAnsi="Arial" w:cs="Arial"/>
      <w:b/>
      <w:bCs/>
      <w:color w:val="1B83A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1"/>
    <w:qFormat/>
    <w:rsid w:val="009B5283"/>
    <w:pPr>
      <w:numPr>
        <w:numId w:val="3"/>
      </w:numPr>
      <w:spacing w:before="180"/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E47C9D"/>
    <w:pPr>
      <w:pBdr>
        <w:top w:val="single" w:sz="12" w:space="9" w:color="1B83A0"/>
        <w:bottom w:val="single" w:sz="12" w:space="9" w:color="1B83A0"/>
      </w:pBdr>
      <w:spacing w:after="480"/>
    </w:pPr>
    <w:rPr>
      <w:rFonts w:ascii="Arial Bold" w:eastAsiaTheme="majorEastAsia" w:hAnsi="Arial Bold" w:cstheme="majorBidi"/>
      <w:b/>
      <w:color w:val="1B83A0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C9D"/>
    <w:rPr>
      <w:rFonts w:ascii="Arial Bold" w:eastAsiaTheme="majorEastAsia" w:hAnsi="Arial Bold" w:cstheme="majorBidi"/>
      <w:b/>
      <w:color w:val="1B83A0"/>
      <w:sz w:val="48"/>
      <w:szCs w:val="52"/>
      <w:lang w:val="en-NZ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56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56"/>
    <w:rPr>
      <w:rFonts w:ascii="Lucida Sans Unicode" w:eastAsia="Lucida Sans Unicode" w:hAnsi="Lucida Sans Unicode" w:cs="Lucida Sans Unicode"/>
      <w:lang w:val="en-NZ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6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56"/>
    <w:rPr>
      <w:rFonts w:ascii="Lucida Sans Unicode" w:eastAsia="Lucida Sans Unicode" w:hAnsi="Lucida Sans Unicode" w:cs="Lucida Sans Unicode"/>
      <w:lang w:val="en-NZ" w:eastAsia="en-GB" w:bidi="en-GB"/>
    </w:rPr>
  </w:style>
  <w:style w:type="paragraph" w:customStyle="1" w:styleId="Dash">
    <w:name w:val="Dash"/>
    <w:basedOn w:val="Normal"/>
    <w:uiPriority w:val="1"/>
    <w:qFormat/>
    <w:rsid w:val="009B5283"/>
    <w:pPr>
      <w:numPr>
        <w:numId w:val="4"/>
      </w:numPr>
      <w:spacing w:before="60"/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Guidelines for Reporting on Suicide</vt:lpstr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Guidelines for Reporting on Suicide</dc:title>
  <dc:creator>Suicide Prevention Office</dc:creator>
  <cp:lastModifiedBy>Julianne Ryan</cp:lastModifiedBy>
  <cp:revision>12</cp:revision>
  <dcterms:created xsi:type="dcterms:W3CDTF">2021-09-30T20:40:00Z</dcterms:created>
  <dcterms:modified xsi:type="dcterms:W3CDTF">2021-10-01T01:06:00Z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2021-09-29T00:00:00Z</vt:filetime>
  </property>
</Properties>
</file>