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47C58D" w14:textId="777A71DC" w:rsidR="00C86248" w:rsidRDefault="00F902A0" w:rsidP="00926083">
      <w:pPr>
        <w:pStyle w:val="Title"/>
      </w:pPr>
      <w:r>
        <w:t>Heterosexual Sexual Behaviour</w:t>
      </w:r>
    </w:p>
    <w:p w14:paraId="43727462" w14:textId="77777777" w:rsidR="00D27922" w:rsidRDefault="003A5FA0" w:rsidP="00D27922">
      <w:pPr>
        <w:pStyle w:val="Subhead"/>
      </w:pPr>
      <w:r>
        <w:t>Findings from the</w:t>
      </w:r>
      <w:r>
        <w:br/>
        <w:t>2014/15 New Zealand Health Survey</w:t>
      </w:r>
    </w:p>
    <w:p w14:paraId="18E7BC5B" w14:textId="77777777" w:rsidR="00D27922" w:rsidRPr="00D27922" w:rsidRDefault="003A5FA0" w:rsidP="00D27922">
      <w:pPr>
        <w:pStyle w:val="Year"/>
      </w:pPr>
      <w:r>
        <w:t>2019</w:t>
      </w:r>
    </w:p>
    <w:p w14:paraId="0D319FFD" w14:textId="77777777" w:rsidR="00C05132" w:rsidRDefault="00C05132" w:rsidP="00A06BE4"/>
    <w:p w14:paraId="43D377D7" w14:textId="77777777" w:rsidR="00142954" w:rsidRPr="00142954" w:rsidRDefault="00142954" w:rsidP="00142954">
      <w:pPr>
        <w:sectPr w:rsidR="00142954" w:rsidRPr="00142954" w:rsidSect="00925892">
          <w:headerReference w:type="default" r:id="rId11"/>
          <w:footerReference w:type="default" r:id="rId12"/>
          <w:pgSz w:w="11907" w:h="16834" w:code="9"/>
          <w:pgMar w:top="5670" w:right="1134" w:bottom="1134" w:left="1134" w:header="567" w:footer="851" w:gutter="0"/>
          <w:pgNumType w:start="1"/>
          <w:cols w:space="720"/>
        </w:sectPr>
      </w:pPr>
    </w:p>
    <w:p w14:paraId="22A93F29" w14:textId="77777777" w:rsidR="00D27922" w:rsidRDefault="00D27922" w:rsidP="00D27922">
      <w:pPr>
        <w:pStyle w:val="Heading3"/>
      </w:pPr>
      <w:r>
        <w:lastRenderedPageBreak/>
        <w:t>Acknowledgements</w:t>
      </w:r>
    </w:p>
    <w:p w14:paraId="7FC070B6" w14:textId="77777777" w:rsidR="00F902A0" w:rsidRDefault="00F902A0" w:rsidP="00702A74">
      <w:pPr>
        <w:spacing w:before="240"/>
      </w:pPr>
      <w:r>
        <w:t>The New Zealand Health Survey would not have been possible without the support and enthusiasm of many individuals, including the many thousands of New Zealanders who gave their time to participate in it and the interviewers who worked so diligently to collect the data. Thank you for your generosity.</w:t>
      </w:r>
    </w:p>
    <w:p w14:paraId="120B9BEB" w14:textId="77777777" w:rsidR="00702A74" w:rsidRDefault="00702A74" w:rsidP="00702A74">
      <w:pPr>
        <w:pStyle w:val="Imprint"/>
        <w:spacing w:before="240"/>
        <w:rPr>
          <w:rFonts w:cs="Segoe UI"/>
          <w:color w:val="000000"/>
          <w:lang w:eastAsia="en-NZ"/>
        </w:rPr>
      </w:pPr>
      <w:r>
        <w:rPr>
          <w:rFonts w:cs="Segoe UI"/>
          <w:color w:val="000000"/>
          <w:lang w:eastAsia="en-NZ"/>
        </w:rPr>
        <w:t xml:space="preserve">This report was written by Antoinette </w:t>
      </w:r>
      <w:proofErr w:type="spellStart"/>
      <w:r>
        <w:rPr>
          <w:rFonts w:cs="Segoe UI"/>
          <w:color w:val="000000"/>
          <w:lang w:eastAsia="en-NZ"/>
        </w:rPr>
        <w:t>Righarts</w:t>
      </w:r>
      <w:proofErr w:type="spellEnd"/>
      <w:r>
        <w:rPr>
          <w:rFonts w:cs="Segoe UI"/>
          <w:color w:val="000000"/>
          <w:lang w:eastAsia="en-NZ"/>
        </w:rPr>
        <w:t xml:space="preserve"> (University of Otago), Bridget Murphy (Ministry of Health), Nigel Dickson (University of Otago), Jennie Connor (University of Otago) and Peter Saxton (University of Auckland). The data analysis was undertaken by Barry Gribben (CBG Health Research), Thomas Zhang (CBG Health Research) and James Stanley (University of Otago).</w:t>
      </w:r>
    </w:p>
    <w:p w14:paraId="2C352705" w14:textId="41A5D5E5" w:rsidR="00A80363" w:rsidRPr="00C05132" w:rsidRDefault="00A80363" w:rsidP="00A63DFF">
      <w:pPr>
        <w:pStyle w:val="Imprint"/>
        <w:spacing w:before="1200"/>
        <w:rPr>
          <w:rFonts w:cs="Segoe UI"/>
        </w:rPr>
      </w:pPr>
      <w:r w:rsidRPr="00C05132">
        <w:rPr>
          <w:rFonts w:cs="Segoe UI"/>
        </w:rPr>
        <w:t xml:space="preserve">Citation: </w:t>
      </w:r>
      <w:r w:rsidR="00442C1C" w:rsidRPr="00C05132">
        <w:rPr>
          <w:rFonts w:cs="Segoe UI"/>
        </w:rPr>
        <w:t xml:space="preserve">Ministry of Health. </w:t>
      </w:r>
      <w:r w:rsidR="003A5FA0">
        <w:rPr>
          <w:rFonts w:cs="Segoe UI"/>
        </w:rPr>
        <w:t>2019</w:t>
      </w:r>
      <w:r w:rsidR="00442C1C" w:rsidRPr="00C05132">
        <w:rPr>
          <w:rFonts w:cs="Segoe UI"/>
        </w:rPr>
        <w:t xml:space="preserve">. </w:t>
      </w:r>
      <w:r w:rsidR="00F902A0">
        <w:rPr>
          <w:rFonts w:cs="Segoe UI"/>
          <w:i/>
        </w:rPr>
        <w:t>Heterosexual Sexual Behaviour</w:t>
      </w:r>
      <w:r w:rsidR="00D27922">
        <w:rPr>
          <w:rFonts w:cs="Segoe UI"/>
          <w:i/>
        </w:rPr>
        <w:t xml:space="preserve">: </w:t>
      </w:r>
      <w:r w:rsidR="003A5FA0">
        <w:rPr>
          <w:rFonts w:cs="Segoe UI"/>
          <w:i/>
        </w:rPr>
        <w:t>Findings from the 2014/15 New Zealand Heath Survey</w:t>
      </w:r>
      <w:r w:rsidR="00442C1C" w:rsidRPr="00C05132">
        <w:rPr>
          <w:rFonts w:cs="Segoe UI"/>
        </w:rPr>
        <w:t>. Wellington: Ministry of Health.</w:t>
      </w:r>
    </w:p>
    <w:p w14:paraId="0E26B260" w14:textId="1DB501BD" w:rsidR="00C86248" w:rsidRDefault="00C86248">
      <w:pPr>
        <w:pStyle w:val="Imprint"/>
      </w:pPr>
      <w:r>
        <w:t xml:space="preserve">Published in </w:t>
      </w:r>
      <w:r w:rsidR="00F200C7">
        <w:t>November</w:t>
      </w:r>
      <w:r w:rsidR="00D27922">
        <w:t xml:space="preserve"> </w:t>
      </w:r>
      <w:r w:rsidR="003235C6">
        <w:t>2019</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7D95D241" w14:textId="6F33CC97" w:rsidR="00082CD6" w:rsidRPr="009C0F2D" w:rsidRDefault="00D863D0" w:rsidP="00082CD6">
      <w:pPr>
        <w:pStyle w:val="Imprint"/>
      </w:pPr>
      <w:r>
        <w:t>ISBN</w:t>
      </w:r>
      <w:r w:rsidR="00442C1C">
        <w:t xml:space="preserve"> </w:t>
      </w:r>
      <w:r w:rsidR="00F200C7" w:rsidRPr="00F200C7">
        <w:t>978-1-98-859745-4</w:t>
      </w:r>
      <w:r w:rsidR="00F200C7">
        <w:t xml:space="preserve"> </w:t>
      </w:r>
      <w:r>
        <w:t>(</w:t>
      </w:r>
      <w:r w:rsidR="00442C1C">
        <w:t>online</w:t>
      </w:r>
      <w:r>
        <w:t>)</w:t>
      </w:r>
      <w:r w:rsidR="00082CD6">
        <w:br/>
      </w:r>
      <w:r w:rsidR="00082CD6" w:rsidRPr="009C0F2D">
        <w:t xml:space="preserve">HP </w:t>
      </w:r>
      <w:r w:rsidR="00F200C7">
        <w:t>7269</w:t>
      </w:r>
    </w:p>
    <w:p w14:paraId="77B00F75" w14:textId="77777777" w:rsidR="00C86248" w:rsidRDefault="008C64C4" w:rsidP="00D27922">
      <w:pPr>
        <w:spacing w:before="360"/>
      </w:pPr>
      <w:r>
        <w:rPr>
          <w:noProof/>
          <w:lang w:eastAsia="en-NZ"/>
        </w:rPr>
        <w:drawing>
          <wp:inline distT="0" distB="0" distL="0" distR="0" wp14:anchorId="2E88FD4B" wp14:editId="26370942">
            <wp:extent cx="1413163" cy="576330"/>
            <wp:effectExtent l="0" t="0" r="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14:paraId="384DE17B" w14:textId="77777777" w:rsidR="00A63DFF" w:rsidRDefault="00A63DFF" w:rsidP="00A63DFF">
      <w:pPr>
        <w:pStyle w:val="Imprint"/>
        <w:spacing w:before="240" w:after="480"/>
      </w:pPr>
      <w:r>
        <w:t>This document is available at health.govt.nz</w:t>
      </w:r>
    </w:p>
    <w:tbl>
      <w:tblPr>
        <w:tblW w:w="0" w:type="auto"/>
        <w:tblLayout w:type="fixed"/>
        <w:tblLook w:val="04A0" w:firstRow="1" w:lastRow="0" w:firstColumn="1" w:lastColumn="0" w:noHBand="0" w:noVBand="1"/>
      </w:tblPr>
      <w:tblGrid>
        <w:gridCol w:w="1526"/>
        <w:gridCol w:w="6061"/>
      </w:tblGrid>
      <w:tr w:rsidR="00A63DFF" w:rsidRPr="00A63DFF" w14:paraId="3A78510F" w14:textId="77777777" w:rsidTr="00A63DFF">
        <w:trPr>
          <w:cantSplit/>
        </w:trPr>
        <w:tc>
          <w:tcPr>
            <w:tcW w:w="1526" w:type="dxa"/>
          </w:tcPr>
          <w:p w14:paraId="1ED00DC4" w14:textId="77777777" w:rsidR="00A63DFF" w:rsidRPr="00A63DFF" w:rsidRDefault="00A63DFF" w:rsidP="00F103BE">
            <w:pPr>
              <w:spacing w:before="240"/>
              <w:rPr>
                <w:rFonts w:cs="Segoe UI"/>
                <w:sz w:val="15"/>
                <w:szCs w:val="15"/>
              </w:rPr>
            </w:pPr>
            <w:r w:rsidRPr="00A63DFF">
              <w:rPr>
                <w:rFonts w:cs="Segoe UI"/>
                <w:b/>
                <w:noProof/>
                <w:sz w:val="15"/>
                <w:szCs w:val="15"/>
                <w:lang w:eastAsia="en-NZ"/>
              </w:rPr>
              <w:drawing>
                <wp:inline distT="0" distB="0" distL="0" distR="0" wp14:anchorId="71A9CAAB" wp14:editId="19D0EA33">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2EACE921"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w:t>
            </w:r>
            <w:proofErr w:type="gramStart"/>
            <w:r w:rsidRPr="00A63DFF">
              <w:rPr>
                <w:rFonts w:cs="Segoe UI"/>
                <w:sz w:val="15"/>
                <w:szCs w:val="15"/>
              </w:rPr>
              <w:t xml:space="preserve">In essence, </w:t>
            </w:r>
            <w:r w:rsidRPr="00A63DFF">
              <w:rPr>
                <w:rFonts w:cs="Segoe UI"/>
                <w:bCs/>
                <w:sz w:val="15"/>
                <w:szCs w:val="15"/>
              </w:rPr>
              <w:t>you</w:t>
            </w:r>
            <w:proofErr w:type="gramEnd"/>
            <w:r w:rsidRPr="00A63DFF">
              <w:rPr>
                <w:rFonts w:cs="Segoe UI"/>
                <w:bCs/>
                <w:sz w:val="15"/>
                <w:szCs w:val="15"/>
              </w:rPr>
              <w:t xml:space="preserve"> are free to: </w:t>
            </w:r>
            <w:r w:rsidRPr="00A63DFF">
              <w:rPr>
                <w:rFonts w:cs="Segoe UI"/>
                <w:sz w:val="15"/>
                <w:szCs w:val="15"/>
              </w:rPr>
              <w:t xml:space="preserve">share </w:t>
            </w:r>
            <w:proofErr w:type="spellStart"/>
            <w:r w:rsidRPr="00A63DFF">
              <w:rPr>
                <w:rFonts w:cs="Segoe UI"/>
                <w:sz w:val="15"/>
                <w:szCs w:val="15"/>
              </w:rPr>
              <w:t>ie</w:t>
            </w:r>
            <w:proofErr w:type="spellEnd"/>
            <w:r w:rsidRPr="00A63DFF">
              <w:rPr>
                <w:rFonts w:cs="Segoe UI"/>
                <w:sz w:val="15"/>
                <w:szCs w:val="15"/>
              </w:rPr>
              <w:t xml:space="preserve">, copy and redistribute the material in any medium or format; adapt </w:t>
            </w:r>
            <w:proofErr w:type="spellStart"/>
            <w:r w:rsidRPr="00A63DFF">
              <w:rPr>
                <w:rFonts w:cs="Segoe UI"/>
                <w:sz w:val="15"/>
                <w:szCs w:val="15"/>
              </w:rPr>
              <w:t>ie</w:t>
            </w:r>
            <w:proofErr w:type="spellEnd"/>
            <w:r w:rsidRPr="00A63DFF">
              <w:rPr>
                <w:rFonts w:cs="Segoe UI"/>
                <w:sz w:val="15"/>
                <w:szCs w:val="15"/>
              </w:rPr>
              <w:t xml:space="preserve">, remix, transform and build upon the material. </w:t>
            </w:r>
            <w:r w:rsidRPr="00A63DFF">
              <w:rPr>
                <w:rFonts w:cs="Segoe UI"/>
                <w:bCs/>
                <w:sz w:val="15"/>
                <w:szCs w:val="15"/>
              </w:rPr>
              <w:t>You must give appropriate credit, provide a link to the licence and indicate if changes were made.</w:t>
            </w:r>
          </w:p>
        </w:tc>
      </w:tr>
    </w:tbl>
    <w:p w14:paraId="34CA7D86" w14:textId="77777777" w:rsidR="007E74F1" w:rsidRPr="001F45A7" w:rsidRDefault="007E74F1" w:rsidP="006E2886">
      <w:pPr>
        <w:pStyle w:val="Imprint"/>
      </w:pPr>
    </w:p>
    <w:p w14:paraId="573E45AF" w14:textId="77777777" w:rsidR="00C86248" w:rsidRDefault="00C86248">
      <w:pPr>
        <w:jc w:val="center"/>
        <w:sectPr w:rsidR="00C86248" w:rsidSect="00925892">
          <w:footerReference w:type="even" r:id="rId15"/>
          <w:footerReference w:type="default" r:id="rId16"/>
          <w:pgSz w:w="11907" w:h="16834" w:code="9"/>
          <w:pgMar w:top="1701" w:right="2268" w:bottom="1134" w:left="2268" w:header="0" w:footer="0" w:gutter="0"/>
          <w:cols w:space="720"/>
          <w:vAlign w:val="bottom"/>
        </w:sectPr>
      </w:pPr>
    </w:p>
    <w:p w14:paraId="0B0439C5" w14:textId="77777777" w:rsidR="00C86248" w:rsidRDefault="00C86248" w:rsidP="00025A6F">
      <w:pPr>
        <w:pStyle w:val="IntroHead"/>
      </w:pPr>
      <w:bookmarkStart w:id="0" w:name="_Toc405792991"/>
      <w:bookmarkStart w:id="1" w:name="_Toc405793224"/>
      <w:r>
        <w:lastRenderedPageBreak/>
        <w:t>Contents</w:t>
      </w:r>
      <w:bookmarkEnd w:id="0"/>
      <w:bookmarkEnd w:id="1"/>
    </w:p>
    <w:p w14:paraId="515B2729" w14:textId="7FCD7783" w:rsidR="006648A9" w:rsidRDefault="006648A9">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22219954" w:history="1">
        <w:r w:rsidRPr="00B332D0">
          <w:rPr>
            <w:rStyle w:val="Hyperlink"/>
            <w:noProof/>
          </w:rPr>
          <w:t>Key findings</w:t>
        </w:r>
        <w:r>
          <w:rPr>
            <w:noProof/>
            <w:webHidden/>
          </w:rPr>
          <w:tab/>
        </w:r>
        <w:r>
          <w:rPr>
            <w:noProof/>
            <w:webHidden/>
          </w:rPr>
          <w:fldChar w:fldCharType="begin"/>
        </w:r>
        <w:r>
          <w:rPr>
            <w:noProof/>
            <w:webHidden/>
          </w:rPr>
          <w:instrText xml:space="preserve"> PAGEREF _Toc22219954 \h </w:instrText>
        </w:r>
        <w:r>
          <w:rPr>
            <w:noProof/>
            <w:webHidden/>
          </w:rPr>
        </w:r>
        <w:r>
          <w:rPr>
            <w:noProof/>
            <w:webHidden/>
          </w:rPr>
          <w:fldChar w:fldCharType="separate"/>
        </w:r>
        <w:r w:rsidR="00A152B9">
          <w:rPr>
            <w:noProof/>
            <w:webHidden/>
          </w:rPr>
          <w:t>v</w:t>
        </w:r>
        <w:r>
          <w:rPr>
            <w:noProof/>
            <w:webHidden/>
          </w:rPr>
          <w:fldChar w:fldCharType="end"/>
        </w:r>
      </w:hyperlink>
    </w:p>
    <w:p w14:paraId="30FA2A56" w14:textId="13704AC0" w:rsidR="006648A9" w:rsidRDefault="00A152B9">
      <w:pPr>
        <w:pStyle w:val="TOC1"/>
        <w:rPr>
          <w:rFonts w:asciiTheme="minorHAnsi" w:eastAsiaTheme="minorEastAsia" w:hAnsiTheme="minorHAnsi" w:cstheme="minorBidi"/>
          <w:noProof/>
          <w:sz w:val="22"/>
          <w:szCs w:val="22"/>
          <w:lang w:eastAsia="en-NZ"/>
        </w:rPr>
      </w:pPr>
      <w:hyperlink w:anchor="_Toc22219955" w:history="1">
        <w:r w:rsidR="006648A9" w:rsidRPr="00B332D0">
          <w:rPr>
            <w:rStyle w:val="Hyperlink"/>
            <w:noProof/>
          </w:rPr>
          <w:t>Introduction</w:t>
        </w:r>
        <w:r w:rsidR="006648A9">
          <w:rPr>
            <w:noProof/>
            <w:webHidden/>
          </w:rPr>
          <w:tab/>
        </w:r>
        <w:r w:rsidR="006648A9">
          <w:rPr>
            <w:noProof/>
            <w:webHidden/>
          </w:rPr>
          <w:fldChar w:fldCharType="begin"/>
        </w:r>
        <w:r w:rsidR="006648A9">
          <w:rPr>
            <w:noProof/>
            <w:webHidden/>
          </w:rPr>
          <w:instrText xml:space="preserve"> PAGEREF _Toc22219955 \h </w:instrText>
        </w:r>
        <w:r w:rsidR="006648A9">
          <w:rPr>
            <w:noProof/>
            <w:webHidden/>
          </w:rPr>
        </w:r>
        <w:r w:rsidR="006648A9">
          <w:rPr>
            <w:noProof/>
            <w:webHidden/>
          </w:rPr>
          <w:fldChar w:fldCharType="separate"/>
        </w:r>
        <w:r>
          <w:rPr>
            <w:noProof/>
            <w:webHidden/>
          </w:rPr>
          <w:t>1</w:t>
        </w:r>
        <w:r w:rsidR="006648A9">
          <w:rPr>
            <w:noProof/>
            <w:webHidden/>
          </w:rPr>
          <w:fldChar w:fldCharType="end"/>
        </w:r>
      </w:hyperlink>
    </w:p>
    <w:p w14:paraId="0836E1F0" w14:textId="014D2D38" w:rsidR="006648A9" w:rsidRDefault="00A152B9">
      <w:pPr>
        <w:pStyle w:val="TOC1"/>
        <w:rPr>
          <w:rFonts w:asciiTheme="minorHAnsi" w:eastAsiaTheme="minorEastAsia" w:hAnsiTheme="minorHAnsi" w:cstheme="minorBidi"/>
          <w:noProof/>
          <w:sz w:val="22"/>
          <w:szCs w:val="22"/>
          <w:lang w:eastAsia="en-NZ"/>
        </w:rPr>
      </w:pPr>
      <w:hyperlink w:anchor="_Toc22219956" w:history="1">
        <w:r w:rsidR="006648A9" w:rsidRPr="00B332D0">
          <w:rPr>
            <w:rStyle w:val="Hyperlink"/>
            <w:noProof/>
          </w:rPr>
          <w:t>Heterosexual sex in respondents’ lifetimes</w:t>
        </w:r>
        <w:r w:rsidR="006648A9">
          <w:rPr>
            <w:noProof/>
            <w:webHidden/>
          </w:rPr>
          <w:tab/>
        </w:r>
        <w:r w:rsidR="006648A9">
          <w:rPr>
            <w:noProof/>
            <w:webHidden/>
          </w:rPr>
          <w:fldChar w:fldCharType="begin"/>
        </w:r>
        <w:r w:rsidR="006648A9">
          <w:rPr>
            <w:noProof/>
            <w:webHidden/>
          </w:rPr>
          <w:instrText xml:space="preserve"> PAGEREF _Toc22219956 \h </w:instrText>
        </w:r>
        <w:r w:rsidR="006648A9">
          <w:rPr>
            <w:noProof/>
            <w:webHidden/>
          </w:rPr>
        </w:r>
        <w:r w:rsidR="006648A9">
          <w:rPr>
            <w:noProof/>
            <w:webHidden/>
          </w:rPr>
          <w:fldChar w:fldCharType="separate"/>
        </w:r>
        <w:r>
          <w:rPr>
            <w:noProof/>
            <w:webHidden/>
          </w:rPr>
          <w:t>2</w:t>
        </w:r>
        <w:r w:rsidR="006648A9">
          <w:rPr>
            <w:noProof/>
            <w:webHidden/>
          </w:rPr>
          <w:fldChar w:fldCharType="end"/>
        </w:r>
      </w:hyperlink>
    </w:p>
    <w:p w14:paraId="3C866C9C" w14:textId="27614AD5" w:rsidR="006648A9" w:rsidRDefault="00A152B9">
      <w:pPr>
        <w:pStyle w:val="TOC1"/>
        <w:rPr>
          <w:rFonts w:asciiTheme="minorHAnsi" w:eastAsiaTheme="minorEastAsia" w:hAnsiTheme="minorHAnsi" w:cstheme="minorBidi"/>
          <w:noProof/>
          <w:sz w:val="22"/>
          <w:szCs w:val="22"/>
          <w:lang w:eastAsia="en-NZ"/>
        </w:rPr>
      </w:pPr>
      <w:hyperlink w:anchor="_Toc22219957" w:history="1">
        <w:r w:rsidR="006648A9" w:rsidRPr="00B332D0">
          <w:rPr>
            <w:rStyle w:val="Hyperlink"/>
            <w:noProof/>
          </w:rPr>
          <w:t>Types of heterosexual sex in the year preceding the survey</w:t>
        </w:r>
        <w:r w:rsidR="006648A9">
          <w:rPr>
            <w:noProof/>
            <w:webHidden/>
          </w:rPr>
          <w:tab/>
        </w:r>
        <w:r w:rsidR="006648A9">
          <w:rPr>
            <w:noProof/>
            <w:webHidden/>
          </w:rPr>
          <w:fldChar w:fldCharType="begin"/>
        </w:r>
        <w:r w:rsidR="006648A9">
          <w:rPr>
            <w:noProof/>
            <w:webHidden/>
          </w:rPr>
          <w:instrText xml:space="preserve"> PAGEREF _Toc22219957 \h </w:instrText>
        </w:r>
        <w:r w:rsidR="006648A9">
          <w:rPr>
            <w:noProof/>
            <w:webHidden/>
          </w:rPr>
        </w:r>
        <w:r w:rsidR="006648A9">
          <w:rPr>
            <w:noProof/>
            <w:webHidden/>
          </w:rPr>
          <w:fldChar w:fldCharType="separate"/>
        </w:r>
        <w:r>
          <w:rPr>
            <w:noProof/>
            <w:webHidden/>
          </w:rPr>
          <w:t>5</w:t>
        </w:r>
        <w:r w:rsidR="006648A9">
          <w:rPr>
            <w:noProof/>
            <w:webHidden/>
          </w:rPr>
          <w:fldChar w:fldCharType="end"/>
        </w:r>
      </w:hyperlink>
    </w:p>
    <w:p w14:paraId="0C016DE6" w14:textId="12FF6394" w:rsidR="006648A9" w:rsidRDefault="00A152B9">
      <w:pPr>
        <w:pStyle w:val="TOC1"/>
        <w:rPr>
          <w:rFonts w:asciiTheme="minorHAnsi" w:eastAsiaTheme="minorEastAsia" w:hAnsiTheme="minorHAnsi" w:cstheme="minorBidi"/>
          <w:noProof/>
          <w:sz w:val="22"/>
          <w:szCs w:val="22"/>
          <w:lang w:eastAsia="en-NZ"/>
        </w:rPr>
      </w:pPr>
      <w:hyperlink w:anchor="_Toc22219958" w:history="1">
        <w:r w:rsidR="006648A9" w:rsidRPr="00B332D0">
          <w:rPr>
            <w:rStyle w:val="Hyperlink"/>
            <w:noProof/>
          </w:rPr>
          <w:t>Two or more heterosexual sex partners in last year</w:t>
        </w:r>
        <w:r w:rsidR="006648A9">
          <w:rPr>
            <w:noProof/>
            <w:webHidden/>
          </w:rPr>
          <w:tab/>
        </w:r>
        <w:r w:rsidR="006648A9">
          <w:rPr>
            <w:noProof/>
            <w:webHidden/>
          </w:rPr>
          <w:fldChar w:fldCharType="begin"/>
        </w:r>
        <w:r w:rsidR="006648A9">
          <w:rPr>
            <w:noProof/>
            <w:webHidden/>
          </w:rPr>
          <w:instrText xml:space="preserve"> PAGEREF _Toc22219958 \h </w:instrText>
        </w:r>
        <w:r w:rsidR="006648A9">
          <w:rPr>
            <w:noProof/>
            <w:webHidden/>
          </w:rPr>
        </w:r>
        <w:r w:rsidR="006648A9">
          <w:rPr>
            <w:noProof/>
            <w:webHidden/>
          </w:rPr>
          <w:fldChar w:fldCharType="separate"/>
        </w:r>
        <w:r>
          <w:rPr>
            <w:noProof/>
            <w:webHidden/>
          </w:rPr>
          <w:t>9</w:t>
        </w:r>
        <w:r w:rsidR="006648A9">
          <w:rPr>
            <w:noProof/>
            <w:webHidden/>
          </w:rPr>
          <w:fldChar w:fldCharType="end"/>
        </w:r>
      </w:hyperlink>
    </w:p>
    <w:p w14:paraId="2DE1C023" w14:textId="7736BA87" w:rsidR="006648A9" w:rsidRDefault="00A152B9">
      <w:pPr>
        <w:pStyle w:val="TOC1"/>
        <w:rPr>
          <w:rFonts w:asciiTheme="minorHAnsi" w:eastAsiaTheme="minorEastAsia" w:hAnsiTheme="minorHAnsi" w:cstheme="minorBidi"/>
          <w:noProof/>
          <w:sz w:val="22"/>
          <w:szCs w:val="22"/>
          <w:lang w:eastAsia="en-NZ"/>
        </w:rPr>
      </w:pPr>
      <w:hyperlink w:anchor="_Toc22219959" w:history="1">
        <w:r w:rsidR="006648A9" w:rsidRPr="00B332D0">
          <w:rPr>
            <w:rStyle w:val="Hyperlink"/>
            <w:noProof/>
          </w:rPr>
          <w:t>Average number of heterosexual sex partners in last 12 months</w:t>
        </w:r>
        <w:r w:rsidR="006648A9">
          <w:rPr>
            <w:noProof/>
            <w:webHidden/>
          </w:rPr>
          <w:tab/>
        </w:r>
        <w:r w:rsidR="006648A9">
          <w:rPr>
            <w:noProof/>
            <w:webHidden/>
          </w:rPr>
          <w:fldChar w:fldCharType="begin"/>
        </w:r>
        <w:r w:rsidR="006648A9">
          <w:rPr>
            <w:noProof/>
            <w:webHidden/>
          </w:rPr>
          <w:instrText xml:space="preserve"> PAGEREF _Toc22219959 \h </w:instrText>
        </w:r>
        <w:r w:rsidR="006648A9">
          <w:rPr>
            <w:noProof/>
            <w:webHidden/>
          </w:rPr>
        </w:r>
        <w:r w:rsidR="006648A9">
          <w:rPr>
            <w:noProof/>
            <w:webHidden/>
          </w:rPr>
          <w:fldChar w:fldCharType="separate"/>
        </w:r>
        <w:r>
          <w:rPr>
            <w:noProof/>
            <w:webHidden/>
          </w:rPr>
          <w:t>13</w:t>
        </w:r>
        <w:r w:rsidR="006648A9">
          <w:rPr>
            <w:noProof/>
            <w:webHidden/>
          </w:rPr>
          <w:fldChar w:fldCharType="end"/>
        </w:r>
      </w:hyperlink>
    </w:p>
    <w:p w14:paraId="4894BF4E" w14:textId="2DA78AE1" w:rsidR="006648A9" w:rsidRDefault="00A152B9">
      <w:pPr>
        <w:pStyle w:val="TOC1"/>
        <w:rPr>
          <w:rFonts w:asciiTheme="minorHAnsi" w:eastAsiaTheme="minorEastAsia" w:hAnsiTheme="minorHAnsi" w:cstheme="minorBidi"/>
          <w:noProof/>
          <w:sz w:val="22"/>
          <w:szCs w:val="22"/>
          <w:lang w:eastAsia="en-NZ"/>
        </w:rPr>
      </w:pPr>
      <w:hyperlink w:anchor="_Toc22219960" w:history="1">
        <w:r w:rsidR="006648A9" w:rsidRPr="00B332D0">
          <w:rPr>
            <w:rStyle w:val="Hyperlink"/>
            <w:noProof/>
          </w:rPr>
          <w:t>Condom use among those who had had two or more heterosexual sex partners in the last year</w:t>
        </w:r>
        <w:r w:rsidR="006648A9">
          <w:rPr>
            <w:noProof/>
            <w:webHidden/>
          </w:rPr>
          <w:tab/>
        </w:r>
        <w:r w:rsidR="006648A9">
          <w:rPr>
            <w:noProof/>
            <w:webHidden/>
          </w:rPr>
          <w:fldChar w:fldCharType="begin"/>
        </w:r>
        <w:r w:rsidR="006648A9">
          <w:rPr>
            <w:noProof/>
            <w:webHidden/>
          </w:rPr>
          <w:instrText xml:space="preserve"> PAGEREF _Toc22219960 \h </w:instrText>
        </w:r>
        <w:r w:rsidR="006648A9">
          <w:rPr>
            <w:noProof/>
            <w:webHidden/>
          </w:rPr>
        </w:r>
        <w:r w:rsidR="006648A9">
          <w:rPr>
            <w:noProof/>
            <w:webHidden/>
          </w:rPr>
          <w:fldChar w:fldCharType="separate"/>
        </w:r>
        <w:r>
          <w:rPr>
            <w:noProof/>
            <w:webHidden/>
          </w:rPr>
          <w:t>19</w:t>
        </w:r>
        <w:r w:rsidR="006648A9">
          <w:rPr>
            <w:noProof/>
            <w:webHidden/>
          </w:rPr>
          <w:fldChar w:fldCharType="end"/>
        </w:r>
      </w:hyperlink>
    </w:p>
    <w:p w14:paraId="0D7BDCD8" w14:textId="5F01DFFC" w:rsidR="006648A9" w:rsidRDefault="00A152B9">
      <w:pPr>
        <w:pStyle w:val="TOC1"/>
        <w:rPr>
          <w:rFonts w:asciiTheme="minorHAnsi" w:eastAsiaTheme="minorEastAsia" w:hAnsiTheme="minorHAnsi" w:cstheme="minorBidi"/>
          <w:noProof/>
          <w:sz w:val="22"/>
          <w:szCs w:val="22"/>
          <w:lang w:eastAsia="en-NZ"/>
        </w:rPr>
      </w:pPr>
      <w:hyperlink w:anchor="_Toc22219961" w:history="1">
        <w:r w:rsidR="006648A9" w:rsidRPr="00B332D0">
          <w:rPr>
            <w:rStyle w:val="Hyperlink"/>
            <w:noProof/>
          </w:rPr>
          <w:t>Condom use among those who had a non-cohabiting sexual partner in the last year</w:t>
        </w:r>
        <w:r w:rsidR="006648A9">
          <w:rPr>
            <w:noProof/>
            <w:webHidden/>
          </w:rPr>
          <w:tab/>
        </w:r>
        <w:r w:rsidR="006648A9">
          <w:rPr>
            <w:noProof/>
            <w:webHidden/>
          </w:rPr>
          <w:fldChar w:fldCharType="begin"/>
        </w:r>
        <w:r w:rsidR="006648A9">
          <w:rPr>
            <w:noProof/>
            <w:webHidden/>
          </w:rPr>
          <w:instrText xml:space="preserve"> PAGEREF _Toc22219961 \h </w:instrText>
        </w:r>
        <w:r w:rsidR="006648A9">
          <w:rPr>
            <w:noProof/>
            <w:webHidden/>
          </w:rPr>
        </w:r>
        <w:r w:rsidR="006648A9">
          <w:rPr>
            <w:noProof/>
            <w:webHidden/>
          </w:rPr>
          <w:fldChar w:fldCharType="separate"/>
        </w:r>
        <w:r>
          <w:rPr>
            <w:noProof/>
            <w:webHidden/>
          </w:rPr>
          <w:t>21</w:t>
        </w:r>
        <w:r w:rsidR="006648A9">
          <w:rPr>
            <w:noProof/>
            <w:webHidden/>
          </w:rPr>
          <w:fldChar w:fldCharType="end"/>
        </w:r>
      </w:hyperlink>
    </w:p>
    <w:p w14:paraId="63D40536" w14:textId="5F73F342" w:rsidR="006648A9" w:rsidRDefault="00A152B9">
      <w:pPr>
        <w:pStyle w:val="TOC1"/>
        <w:rPr>
          <w:rFonts w:asciiTheme="minorHAnsi" w:eastAsiaTheme="minorEastAsia" w:hAnsiTheme="minorHAnsi" w:cstheme="minorBidi"/>
          <w:noProof/>
          <w:sz w:val="22"/>
          <w:szCs w:val="22"/>
          <w:lang w:eastAsia="en-NZ"/>
        </w:rPr>
      </w:pPr>
      <w:hyperlink w:anchor="_Toc22219962" w:history="1">
        <w:r w:rsidR="006648A9" w:rsidRPr="00B332D0">
          <w:rPr>
            <w:rStyle w:val="Hyperlink"/>
            <w:noProof/>
          </w:rPr>
          <w:t>Interpretation notes</w:t>
        </w:r>
        <w:r w:rsidR="006648A9">
          <w:rPr>
            <w:noProof/>
            <w:webHidden/>
          </w:rPr>
          <w:tab/>
        </w:r>
        <w:r w:rsidR="006648A9">
          <w:rPr>
            <w:noProof/>
            <w:webHidden/>
          </w:rPr>
          <w:fldChar w:fldCharType="begin"/>
        </w:r>
        <w:r w:rsidR="006648A9">
          <w:rPr>
            <w:noProof/>
            <w:webHidden/>
          </w:rPr>
          <w:instrText xml:space="preserve"> PAGEREF _Toc22219962 \h </w:instrText>
        </w:r>
        <w:r w:rsidR="006648A9">
          <w:rPr>
            <w:noProof/>
            <w:webHidden/>
          </w:rPr>
        </w:r>
        <w:r w:rsidR="006648A9">
          <w:rPr>
            <w:noProof/>
            <w:webHidden/>
          </w:rPr>
          <w:fldChar w:fldCharType="separate"/>
        </w:r>
        <w:r>
          <w:rPr>
            <w:noProof/>
            <w:webHidden/>
          </w:rPr>
          <w:t>24</w:t>
        </w:r>
        <w:r w:rsidR="006648A9">
          <w:rPr>
            <w:noProof/>
            <w:webHidden/>
          </w:rPr>
          <w:fldChar w:fldCharType="end"/>
        </w:r>
      </w:hyperlink>
    </w:p>
    <w:p w14:paraId="57D8D20A" w14:textId="2EB397A8" w:rsidR="006648A9" w:rsidRDefault="00A152B9">
      <w:pPr>
        <w:pStyle w:val="TOC1"/>
        <w:rPr>
          <w:rFonts w:asciiTheme="minorHAnsi" w:eastAsiaTheme="minorEastAsia" w:hAnsiTheme="minorHAnsi" w:cstheme="minorBidi"/>
          <w:noProof/>
          <w:sz w:val="22"/>
          <w:szCs w:val="22"/>
          <w:lang w:eastAsia="en-NZ"/>
        </w:rPr>
      </w:pPr>
      <w:hyperlink w:anchor="_Toc22219963" w:history="1">
        <w:r w:rsidR="006648A9" w:rsidRPr="00B332D0">
          <w:rPr>
            <w:rStyle w:val="Hyperlink"/>
            <w:noProof/>
          </w:rPr>
          <w:t>Overview of survey methodology</w:t>
        </w:r>
        <w:r w:rsidR="006648A9">
          <w:rPr>
            <w:noProof/>
            <w:webHidden/>
          </w:rPr>
          <w:tab/>
        </w:r>
        <w:r w:rsidR="006648A9">
          <w:rPr>
            <w:noProof/>
            <w:webHidden/>
          </w:rPr>
          <w:fldChar w:fldCharType="begin"/>
        </w:r>
        <w:r w:rsidR="006648A9">
          <w:rPr>
            <w:noProof/>
            <w:webHidden/>
          </w:rPr>
          <w:instrText xml:space="preserve"> PAGEREF _Toc22219963 \h </w:instrText>
        </w:r>
        <w:r w:rsidR="006648A9">
          <w:rPr>
            <w:noProof/>
            <w:webHidden/>
          </w:rPr>
        </w:r>
        <w:r w:rsidR="006648A9">
          <w:rPr>
            <w:noProof/>
            <w:webHidden/>
          </w:rPr>
          <w:fldChar w:fldCharType="separate"/>
        </w:r>
        <w:r>
          <w:rPr>
            <w:noProof/>
            <w:webHidden/>
          </w:rPr>
          <w:t>26</w:t>
        </w:r>
        <w:r w:rsidR="006648A9">
          <w:rPr>
            <w:noProof/>
            <w:webHidden/>
          </w:rPr>
          <w:fldChar w:fldCharType="end"/>
        </w:r>
      </w:hyperlink>
    </w:p>
    <w:p w14:paraId="33FEB947" w14:textId="043FDDA4" w:rsidR="006648A9" w:rsidRDefault="00A152B9">
      <w:pPr>
        <w:pStyle w:val="TOC1"/>
        <w:rPr>
          <w:rFonts w:asciiTheme="minorHAnsi" w:eastAsiaTheme="minorEastAsia" w:hAnsiTheme="minorHAnsi" w:cstheme="minorBidi"/>
          <w:noProof/>
          <w:sz w:val="22"/>
          <w:szCs w:val="22"/>
          <w:lang w:eastAsia="en-NZ"/>
        </w:rPr>
      </w:pPr>
      <w:hyperlink w:anchor="_Toc22219964" w:history="1">
        <w:r w:rsidR="006648A9" w:rsidRPr="00B332D0">
          <w:rPr>
            <w:rStyle w:val="Hyperlink"/>
            <w:noProof/>
          </w:rPr>
          <w:t>References</w:t>
        </w:r>
        <w:r w:rsidR="006648A9">
          <w:rPr>
            <w:noProof/>
            <w:webHidden/>
          </w:rPr>
          <w:tab/>
        </w:r>
        <w:r w:rsidR="006648A9">
          <w:rPr>
            <w:noProof/>
            <w:webHidden/>
          </w:rPr>
          <w:fldChar w:fldCharType="begin"/>
        </w:r>
        <w:r w:rsidR="006648A9">
          <w:rPr>
            <w:noProof/>
            <w:webHidden/>
          </w:rPr>
          <w:instrText xml:space="preserve"> PAGEREF _Toc22219964 \h </w:instrText>
        </w:r>
        <w:r w:rsidR="006648A9">
          <w:rPr>
            <w:noProof/>
            <w:webHidden/>
          </w:rPr>
        </w:r>
        <w:r w:rsidR="006648A9">
          <w:rPr>
            <w:noProof/>
            <w:webHidden/>
          </w:rPr>
          <w:fldChar w:fldCharType="separate"/>
        </w:r>
        <w:r>
          <w:rPr>
            <w:noProof/>
            <w:webHidden/>
          </w:rPr>
          <w:t>29</w:t>
        </w:r>
        <w:r w:rsidR="006648A9">
          <w:rPr>
            <w:noProof/>
            <w:webHidden/>
          </w:rPr>
          <w:fldChar w:fldCharType="end"/>
        </w:r>
      </w:hyperlink>
    </w:p>
    <w:p w14:paraId="47F7632F" w14:textId="626B49FD" w:rsidR="00C86248" w:rsidRDefault="006648A9">
      <w:r>
        <w:rPr>
          <w:rFonts w:ascii="Segoe UI Semibold" w:hAnsi="Segoe UI Semibold"/>
          <w:b/>
          <w:sz w:val="24"/>
        </w:rPr>
        <w:fldChar w:fldCharType="end"/>
      </w:r>
    </w:p>
    <w:p w14:paraId="5D314288" w14:textId="77777777" w:rsidR="0059411A" w:rsidRDefault="0059411A" w:rsidP="00581629">
      <w:pPr>
        <w:pStyle w:val="TOC1"/>
        <w:keepNext/>
      </w:pPr>
      <w:r>
        <w:t>List of Tables</w:t>
      </w:r>
    </w:p>
    <w:p w14:paraId="6E3A2D40" w14:textId="5901BD13" w:rsidR="006648A9" w:rsidRDefault="006648A9">
      <w:pPr>
        <w:pStyle w:val="TOC3"/>
        <w:rPr>
          <w:rFonts w:asciiTheme="minorHAnsi" w:eastAsiaTheme="minorEastAsia" w:hAnsiTheme="minorHAnsi" w:cstheme="minorBidi"/>
          <w:noProof/>
          <w:sz w:val="22"/>
          <w:szCs w:val="22"/>
          <w:lang w:eastAsia="en-NZ"/>
        </w:rPr>
      </w:pPr>
      <w:r>
        <w:rPr>
          <w:sz w:val="20"/>
        </w:rPr>
        <w:fldChar w:fldCharType="begin"/>
      </w:r>
      <w:r>
        <w:rPr>
          <w:sz w:val="20"/>
        </w:rPr>
        <w:instrText xml:space="preserve"> TOC \h \z \t "Table,3" </w:instrText>
      </w:r>
      <w:r>
        <w:rPr>
          <w:sz w:val="20"/>
        </w:rPr>
        <w:fldChar w:fldCharType="separate"/>
      </w:r>
      <w:hyperlink w:anchor="_Toc22219965" w:history="1">
        <w:r w:rsidRPr="005C3A47">
          <w:rPr>
            <w:rStyle w:val="Hyperlink"/>
            <w:noProof/>
          </w:rPr>
          <w:t>Table 1: Participation in the Sexual and Reproductive Health module of the New Zealand Health Survey, by ethnicity</w:t>
        </w:r>
        <w:r>
          <w:rPr>
            <w:noProof/>
            <w:webHidden/>
          </w:rPr>
          <w:tab/>
        </w:r>
        <w:r>
          <w:rPr>
            <w:noProof/>
            <w:webHidden/>
          </w:rPr>
          <w:fldChar w:fldCharType="begin"/>
        </w:r>
        <w:r>
          <w:rPr>
            <w:noProof/>
            <w:webHidden/>
          </w:rPr>
          <w:instrText xml:space="preserve"> PAGEREF _Toc22219965 \h </w:instrText>
        </w:r>
        <w:r>
          <w:rPr>
            <w:noProof/>
            <w:webHidden/>
          </w:rPr>
        </w:r>
        <w:r>
          <w:rPr>
            <w:noProof/>
            <w:webHidden/>
          </w:rPr>
          <w:fldChar w:fldCharType="separate"/>
        </w:r>
        <w:r w:rsidR="00A152B9">
          <w:rPr>
            <w:noProof/>
            <w:webHidden/>
          </w:rPr>
          <w:t>27</w:t>
        </w:r>
        <w:r>
          <w:rPr>
            <w:noProof/>
            <w:webHidden/>
          </w:rPr>
          <w:fldChar w:fldCharType="end"/>
        </w:r>
      </w:hyperlink>
    </w:p>
    <w:p w14:paraId="2B9C6BB5" w14:textId="0435AA02" w:rsidR="0059411A" w:rsidRDefault="006648A9" w:rsidP="00BD7D1E">
      <w:r>
        <w:rPr>
          <w:sz w:val="20"/>
        </w:rPr>
        <w:fldChar w:fldCharType="end"/>
      </w:r>
    </w:p>
    <w:p w14:paraId="78A4EF77" w14:textId="77777777" w:rsidR="0033448B" w:rsidRDefault="0033448B" w:rsidP="001D6BAB">
      <w:pPr>
        <w:pStyle w:val="TOC1"/>
        <w:keepNext/>
      </w:pPr>
      <w:r>
        <w:t>List of Figures</w:t>
      </w:r>
    </w:p>
    <w:p w14:paraId="78C6EB41" w14:textId="74E6FA65" w:rsidR="006648A9" w:rsidRDefault="006648A9">
      <w:pPr>
        <w:pStyle w:val="TOC3"/>
        <w:rPr>
          <w:rFonts w:asciiTheme="minorHAnsi" w:eastAsiaTheme="minorEastAsia" w:hAnsiTheme="minorHAnsi" w:cstheme="minorBidi"/>
          <w:noProof/>
          <w:sz w:val="22"/>
          <w:szCs w:val="22"/>
          <w:lang w:eastAsia="en-NZ"/>
        </w:rPr>
      </w:pPr>
      <w:r>
        <w:fldChar w:fldCharType="begin"/>
      </w:r>
      <w:r>
        <w:instrText xml:space="preserve"> TOC \h \z \t "Figure,3" </w:instrText>
      </w:r>
      <w:r>
        <w:fldChar w:fldCharType="separate"/>
      </w:r>
      <w:hyperlink w:anchor="_Toc22219918" w:history="1">
        <w:r w:rsidRPr="00C818C0">
          <w:rPr>
            <w:rStyle w:val="Hyperlink"/>
            <w:noProof/>
          </w:rPr>
          <w:t>Figure 1: Heterosexual sex in respondents’ lifetimes, by age group and gender</w:t>
        </w:r>
        <w:r>
          <w:rPr>
            <w:noProof/>
            <w:webHidden/>
          </w:rPr>
          <w:tab/>
        </w:r>
        <w:r>
          <w:rPr>
            <w:noProof/>
            <w:webHidden/>
          </w:rPr>
          <w:fldChar w:fldCharType="begin"/>
        </w:r>
        <w:r>
          <w:rPr>
            <w:noProof/>
            <w:webHidden/>
          </w:rPr>
          <w:instrText xml:space="preserve"> PAGEREF _Toc22219918 \h </w:instrText>
        </w:r>
        <w:r>
          <w:rPr>
            <w:noProof/>
            <w:webHidden/>
          </w:rPr>
        </w:r>
        <w:r>
          <w:rPr>
            <w:noProof/>
            <w:webHidden/>
          </w:rPr>
          <w:fldChar w:fldCharType="separate"/>
        </w:r>
        <w:r w:rsidR="00A152B9">
          <w:rPr>
            <w:noProof/>
            <w:webHidden/>
          </w:rPr>
          <w:t>2</w:t>
        </w:r>
        <w:r>
          <w:rPr>
            <w:noProof/>
            <w:webHidden/>
          </w:rPr>
          <w:fldChar w:fldCharType="end"/>
        </w:r>
      </w:hyperlink>
    </w:p>
    <w:p w14:paraId="023C0E82" w14:textId="77544774" w:rsidR="006648A9" w:rsidRDefault="00A152B9">
      <w:pPr>
        <w:pStyle w:val="TOC3"/>
        <w:rPr>
          <w:rFonts w:asciiTheme="minorHAnsi" w:eastAsiaTheme="minorEastAsia" w:hAnsiTheme="minorHAnsi" w:cstheme="minorBidi"/>
          <w:noProof/>
          <w:sz w:val="22"/>
          <w:szCs w:val="22"/>
          <w:lang w:eastAsia="en-NZ"/>
        </w:rPr>
      </w:pPr>
      <w:hyperlink w:anchor="_Toc22219919" w:history="1">
        <w:r w:rsidR="006648A9" w:rsidRPr="00C818C0">
          <w:rPr>
            <w:rStyle w:val="Hyperlink"/>
            <w:noProof/>
          </w:rPr>
          <w:t>Figure 2: Heterosexual sex in respondents’ lifetimes, by ethnic group and gender</w:t>
        </w:r>
        <w:r w:rsidR="006648A9">
          <w:rPr>
            <w:noProof/>
            <w:webHidden/>
          </w:rPr>
          <w:tab/>
        </w:r>
        <w:r w:rsidR="006648A9">
          <w:rPr>
            <w:noProof/>
            <w:webHidden/>
          </w:rPr>
          <w:fldChar w:fldCharType="begin"/>
        </w:r>
        <w:r w:rsidR="006648A9">
          <w:rPr>
            <w:noProof/>
            <w:webHidden/>
          </w:rPr>
          <w:instrText xml:space="preserve"> PAGEREF _Toc22219919 \h </w:instrText>
        </w:r>
        <w:r w:rsidR="006648A9">
          <w:rPr>
            <w:noProof/>
            <w:webHidden/>
          </w:rPr>
        </w:r>
        <w:r w:rsidR="006648A9">
          <w:rPr>
            <w:noProof/>
            <w:webHidden/>
          </w:rPr>
          <w:fldChar w:fldCharType="separate"/>
        </w:r>
        <w:r>
          <w:rPr>
            <w:noProof/>
            <w:webHidden/>
          </w:rPr>
          <w:t>3</w:t>
        </w:r>
        <w:r w:rsidR="006648A9">
          <w:rPr>
            <w:noProof/>
            <w:webHidden/>
          </w:rPr>
          <w:fldChar w:fldCharType="end"/>
        </w:r>
      </w:hyperlink>
    </w:p>
    <w:p w14:paraId="5505484C" w14:textId="57F9154D" w:rsidR="006648A9" w:rsidRDefault="00A152B9">
      <w:pPr>
        <w:pStyle w:val="TOC3"/>
        <w:rPr>
          <w:rFonts w:asciiTheme="minorHAnsi" w:eastAsiaTheme="minorEastAsia" w:hAnsiTheme="minorHAnsi" w:cstheme="minorBidi"/>
          <w:noProof/>
          <w:sz w:val="22"/>
          <w:szCs w:val="22"/>
          <w:lang w:eastAsia="en-NZ"/>
        </w:rPr>
      </w:pPr>
      <w:hyperlink w:anchor="_Toc22219920" w:history="1">
        <w:r w:rsidR="006648A9" w:rsidRPr="00C818C0">
          <w:rPr>
            <w:rStyle w:val="Hyperlink"/>
            <w:noProof/>
          </w:rPr>
          <w:t>Figure 3: Heterosexual sex in respondents’ lifetimes, by neighbourhood deprivation and gender</w:t>
        </w:r>
        <w:r w:rsidR="006648A9">
          <w:rPr>
            <w:noProof/>
            <w:webHidden/>
          </w:rPr>
          <w:tab/>
        </w:r>
        <w:r w:rsidR="006648A9">
          <w:rPr>
            <w:noProof/>
            <w:webHidden/>
          </w:rPr>
          <w:fldChar w:fldCharType="begin"/>
        </w:r>
        <w:r w:rsidR="006648A9">
          <w:rPr>
            <w:noProof/>
            <w:webHidden/>
          </w:rPr>
          <w:instrText xml:space="preserve"> PAGEREF _Toc22219920 \h </w:instrText>
        </w:r>
        <w:r w:rsidR="006648A9">
          <w:rPr>
            <w:noProof/>
            <w:webHidden/>
          </w:rPr>
        </w:r>
        <w:r w:rsidR="006648A9">
          <w:rPr>
            <w:noProof/>
            <w:webHidden/>
          </w:rPr>
          <w:fldChar w:fldCharType="separate"/>
        </w:r>
        <w:r>
          <w:rPr>
            <w:noProof/>
            <w:webHidden/>
          </w:rPr>
          <w:t>4</w:t>
        </w:r>
        <w:r w:rsidR="006648A9">
          <w:rPr>
            <w:noProof/>
            <w:webHidden/>
          </w:rPr>
          <w:fldChar w:fldCharType="end"/>
        </w:r>
      </w:hyperlink>
    </w:p>
    <w:p w14:paraId="46B378DB" w14:textId="35F45868" w:rsidR="006648A9" w:rsidRDefault="00A152B9">
      <w:pPr>
        <w:pStyle w:val="TOC3"/>
        <w:rPr>
          <w:rFonts w:asciiTheme="minorHAnsi" w:eastAsiaTheme="minorEastAsia" w:hAnsiTheme="minorHAnsi" w:cstheme="minorBidi"/>
          <w:noProof/>
          <w:sz w:val="22"/>
          <w:szCs w:val="22"/>
          <w:lang w:eastAsia="en-NZ"/>
        </w:rPr>
      </w:pPr>
      <w:hyperlink w:anchor="_Toc22219921" w:history="1">
        <w:r w:rsidR="006648A9" w:rsidRPr="00C818C0">
          <w:rPr>
            <w:rStyle w:val="Hyperlink"/>
            <w:noProof/>
          </w:rPr>
          <w:t>Figure 4: Type of sex in the 12 months preceding the survey (total population), by age group and gender</w:t>
        </w:r>
        <w:r w:rsidR="006648A9">
          <w:rPr>
            <w:noProof/>
            <w:webHidden/>
          </w:rPr>
          <w:tab/>
        </w:r>
        <w:r w:rsidR="006648A9">
          <w:rPr>
            <w:noProof/>
            <w:webHidden/>
          </w:rPr>
          <w:fldChar w:fldCharType="begin"/>
        </w:r>
        <w:r w:rsidR="006648A9">
          <w:rPr>
            <w:noProof/>
            <w:webHidden/>
          </w:rPr>
          <w:instrText xml:space="preserve"> PAGEREF _Toc22219921 \h </w:instrText>
        </w:r>
        <w:r w:rsidR="006648A9">
          <w:rPr>
            <w:noProof/>
            <w:webHidden/>
          </w:rPr>
        </w:r>
        <w:r w:rsidR="006648A9">
          <w:rPr>
            <w:noProof/>
            <w:webHidden/>
          </w:rPr>
          <w:fldChar w:fldCharType="separate"/>
        </w:r>
        <w:r>
          <w:rPr>
            <w:noProof/>
            <w:webHidden/>
          </w:rPr>
          <w:t>6</w:t>
        </w:r>
        <w:r w:rsidR="006648A9">
          <w:rPr>
            <w:noProof/>
            <w:webHidden/>
          </w:rPr>
          <w:fldChar w:fldCharType="end"/>
        </w:r>
      </w:hyperlink>
    </w:p>
    <w:p w14:paraId="6E3053F4" w14:textId="131AFA99" w:rsidR="006648A9" w:rsidRDefault="00A152B9">
      <w:pPr>
        <w:pStyle w:val="TOC3"/>
        <w:rPr>
          <w:rFonts w:asciiTheme="minorHAnsi" w:eastAsiaTheme="minorEastAsia" w:hAnsiTheme="minorHAnsi" w:cstheme="minorBidi"/>
          <w:noProof/>
          <w:sz w:val="22"/>
          <w:szCs w:val="22"/>
          <w:lang w:eastAsia="en-NZ"/>
        </w:rPr>
      </w:pPr>
      <w:hyperlink w:anchor="_Toc22219922" w:history="1">
        <w:r w:rsidR="006648A9" w:rsidRPr="00C818C0">
          <w:rPr>
            <w:rStyle w:val="Hyperlink"/>
            <w:noProof/>
          </w:rPr>
          <w:t>Figure 5: Number of partners in the 12 months preceding the survey (total population), by age group and gender</w:t>
        </w:r>
        <w:r w:rsidR="006648A9">
          <w:rPr>
            <w:noProof/>
            <w:webHidden/>
          </w:rPr>
          <w:tab/>
        </w:r>
        <w:r w:rsidR="006648A9">
          <w:rPr>
            <w:noProof/>
            <w:webHidden/>
          </w:rPr>
          <w:fldChar w:fldCharType="begin"/>
        </w:r>
        <w:r w:rsidR="006648A9">
          <w:rPr>
            <w:noProof/>
            <w:webHidden/>
          </w:rPr>
          <w:instrText xml:space="preserve"> PAGEREF _Toc22219922 \h </w:instrText>
        </w:r>
        <w:r w:rsidR="006648A9">
          <w:rPr>
            <w:noProof/>
            <w:webHidden/>
          </w:rPr>
        </w:r>
        <w:r w:rsidR="006648A9">
          <w:rPr>
            <w:noProof/>
            <w:webHidden/>
          </w:rPr>
          <w:fldChar w:fldCharType="separate"/>
        </w:r>
        <w:r>
          <w:rPr>
            <w:noProof/>
            <w:webHidden/>
          </w:rPr>
          <w:t>10</w:t>
        </w:r>
        <w:r w:rsidR="006648A9">
          <w:rPr>
            <w:noProof/>
            <w:webHidden/>
          </w:rPr>
          <w:fldChar w:fldCharType="end"/>
        </w:r>
      </w:hyperlink>
    </w:p>
    <w:p w14:paraId="4F11B525" w14:textId="31B2579B" w:rsidR="006648A9" w:rsidRDefault="00A152B9">
      <w:pPr>
        <w:pStyle w:val="TOC3"/>
        <w:rPr>
          <w:rFonts w:asciiTheme="minorHAnsi" w:eastAsiaTheme="minorEastAsia" w:hAnsiTheme="minorHAnsi" w:cstheme="minorBidi"/>
          <w:noProof/>
          <w:sz w:val="22"/>
          <w:szCs w:val="22"/>
          <w:lang w:eastAsia="en-NZ"/>
        </w:rPr>
      </w:pPr>
      <w:hyperlink w:anchor="_Toc22219923" w:history="1">
        <w:r w:rsidR="006648A9" w:rsidRPr="00C818C0">
          <w:rPr>
            <w:rStyle w:val="Hyperlink"/>
            <w:noProof/>
          </w:rPr>
          <w:t>Figure 6: Number of partners in the 12 months preceding the survey (total population), by ethnic group and gender</w:t>
        </w:r>
        <w:r w:rsidR="006648A9">
          <w:rPr>
            <w:noProof/>
            <w:webHidden/>
          </w:rPr>
          <w:tab/>
        </w:r>
        <w:r w:rsidR="006648A9">
          <w:rPr>
            <w:noProof/>
            <w:webHidden/>
          </w:rPr>
          <w:fldChar w:fldCharType="begin"/>
        </w:r>
        <w:r w:rsidR="006648A9">
          <w:rPr>
            <w:noProof/>
            <w:webHidden/>
          </w:rPr>
          <w:instrText xml:space="preserve"> PAGEREF _Toc22219923 \h </w:instrText>
        </w:r>
        <w:r w:rsidR="006648A9">
          <w:rPr>
            <w:noProof/>
            <w:webHidden/>
          </w:rPr>
        </w:r>
        <w:r w:rsidR="006648A9">
          <w:rPr>
            <w:noProof/>
            <w:webHidden/>
          </w:rPr>
          <w:fldChar w:fldCharType="separate"/>
        </w:r>
        <w:r>
          <w:rPr>
            <w:noProof/>
            <w:webHidden/>
          </w:rPr>
          <w:t>11</w:t>
        </w:r>
        <w:r w:rsidR="006648A9">
          <w:rPr>
            <w:noProof/>
            <w:webHidden/>
          </w:rPr>
          <w:fldChar w:fldCharType="end"/>
        </w:r>
      </w:hyperlink>
    </w:p>
    <w:p w14:paraId="755F2FDE" w14:textId="67DD73B4" w:rsidR="006648A9" w:rsidRDefault="00A152B9">
      <w:pPr>
        <w:pStyle w:val="TOC3"/>
        <w:rPr>
          <w:rFonts w:asciiTheme="minorHAnsi" w:eastAsiaTheme="minorEastAsia" w:hAnsiTheme="minorHAnsi" w:cstheme="minorBidi"/>
          <w:noProof/>
          <w:sz w:val="22"/>
          <w:szCs w:val="22"/>
          <w:lang w:eastAsia="en-NZ"/>
        </w:rPr>
      </w:pPr>
      <w:hyperlink w:anchor="_Toc22219924" w:history="1">
        <w:r w:rsidR="006648A9" w:rsidRPr="00C818C0">
          <w:rPr>
            <w:rStyle w:val="Hyperlink"/>
            <w:noProof/>
          </w:rPr>
          <w:t>Figure 7: Number of partners in the 12 months preceding the survey (total population), by neighbourhood deprivation and gender</w:t>
        </w:r>
        <w:r w:rsidR="006648A9">
          <w:rPr>
            <w:noProof/>
            <w:webHidden/>
          </w:rPr>
          <w:tab/>
        </w:r>
        <w:r w:rsidR="006648A9">
          <w:rPr>
            <w:noProof/>
            <w:webHidden/>
          </w:rPr>
          <w:fldChar w:fldCharType="begin"/>
        </w:r>
        <w:r w:rsidR="006648A9">
          <w:rPr>
            <w:noProof/>
            <w:webHidden/>
          </w:rPr>
          <w:instrText xml:space="preserve"> PAGEREF _Toc22219924 \h </w:instrText>
        </w:r>
        <w:r w:rsidR="006648A9">
          <w:rPr>
            <w:noProof/>
            <w:webHidden/>
          </w:rPr>
        </w:r>
        <w:r w:rsidR="006648A9">
          <w:rPr>
            <w:noProof/>
            <w:webHidden/>
          </w:rPr>
          <w:fldChar w:fldCharType="separate"/>
        </w:r>
        <w:r>
          <w:rPr>
            <w:noProof/>
            <w:webHidden/>
          </w:rPr>
          <w:t>12</w:t>
        </w:r>
        <w:r w:rsidR="006648A9">
          <w:rPr>
            <w:noProof/>
            <w:webHidden/>
          </w:rPr>
          <w:fldChar w:fldCharType="end"/>
        </w:r>
      </w:hyperlink>
    </w:p>
    <w:p w14:paraId="5FBC5946" w14:textId="3B2C8985" w:rsidR="006648A9" w:rsidRDefault="00A152B9">
      <w:pPr>
        <w:pStyle w:val="TOC3"/>
        <w:rPr>
          <w:rFonts w:asciiTheme="minorHAnsi" w:eastAsiaTheme="minorEastAsia" w:hAnsiTheme="minorHAnsi" w:cstheme="minorBidi"/>
          <w:noProof/>
          <w:sz w:val="22"/>
          <w:szCs w:val="22"/>
          <w:lang w:eastAsia="en-NZ"/>
        </w:rPr>
      </w:pPr>
      <w:hyperlink w:anchor="_Toc22219925" w:history="1">
        <w:r w:rsidR="006648A9" w:rsidRPr="00C818C0">
          <w:rPr>
            <w:rStyle w:val="Hyperlink"/>
            <w:noProof/>
          </w:rPr>
          <w:t>Figure 8: Mean number of partners in the 12 months preceding the survey (among those who had ever had heterosexual sex), by age group and gender</w:t>
        </w:r>
        <w:r w:rsidR="006648A9">
          <w:rPr>
            <w:noProof/>
            <w:webHidden/>
          </w:rPr>
          <w:tab/>
        </w:r>
        <w:r w:rsidR="006648A9">
          <w:rPr>
            <w:noProof/>
            <w:webHidden/>
          </w:rPr>
          <w:fldChar w:fldCharType="begin"/>
        </w:r>
        <w:r w:rsidR="006648A9">
          <w:rPr>
            <w:noProof/>
            <w:webHidden/>
          </w:rPr>
          <w:instrText xml:space="preserve"> PAGEREF _Toc22219925 \h </w:instrText>
        </w:r>
        <w:r w:rsidR="006648A9">
          <w:rPr>
            <w:noProof/>
            <w:webHidden/>
          </w:rPr>
        </w:r>
        <w:r w:rsidR="006648A9">
          <w:rPr>
            <w:noProof/>
            <w:webHidden/>
          </w:rPr>
          <w:fldChar w:fldCharType="separate"/>
        </w:r>
        <w:r>
          <w:rPr>
            <w:noProof/>
            <w:webHidden/>
          </w:rPr>
          <w:t>14</w:t>
        </w:r>
        <w:r w:rsidR="006648A9">
          <w:rPr>
            <w:noProof/>
            <w:webHidden/>
          </w:rPr>
          <w:fldChar w:fldCharType="end"/>
        </w:r>
      </w:hyperlink>
    </w:p>
    <w:p w14:paraId="57B9B58F" w14:textId="5E35F254" w:rsidR="006648A9" w:rsidRDefault="00A152B9">
      <w:pPr>
        <w:pStyle w:val="TOC3"/>
        <w:rPr>
          <w:rFonts w:asciiTheme="minorHAnsi" w:eastAsiaTheme="minorEastAsia" w:hAnsiTheme="minorHAnsi" w:cstheme="minorBidi"/>
          <w:noProof/>
          <w:sz w:val="22"/>
          <w:szCs w:val="22"/>
          <w:lang w:eastAsia="en-NZ"/>
        </w:rPr>
      </w:pPr>
      <w:hyperlink w:anchor="_Toc22219926" w:history="1">
        <w:r w:rsidR="006648A9" w:rsidRPr="00C818C0">
          <w:rPr>
            <w:rStyle w:val="Hyperlink"/>
            <w:noProof/>
          </w:rPr>
          <w:t>Figure 9: Mean number of partners in the 12 months preceding the survey (among those who had ever had heterosexual sex), by ethnic group and gender</w:t>
        </w:r>
        <w:r w:rsidR="006648A9">
          <w:rPr>
            <w:noProof/>
            <w:webHidden/>
          </w:rPr>
          <w:tab/>
        </w:r>
        <w:r w:rsidR="006648A9">
          <w:rPr>
            <w:noProof/>
            <w:webHidden/>
          </w:rPr>
          <w:fldChar w:fldCharType="begin"/>
        </w:r>
        <w:r w:rsidR="006648A9">
          <w:rPr>
            <w:noProof/>
            <w:webHidden/>
          </w:rPr>
          <w:instrText xml:space="preserve"> PAGEREF _Toc22219926 \h </w:instrText>
        </w:r>
        <w:r w:rsidR="006648A9">
          <w:rPr>
            <w:noProof/>
            <w:webHidden/>
          </w:rPr>
        </w:r>
        <w:r w:rsidR="006648A9">
          <w:rPr>
            <w:noProof/>
            <w:webHidden/>
          </w:rPr>
          <w:fldChar w:fldCharType="separate"/>
        </w:r>
        <w:r>
          <w:rPr>
            <w:noProof/>
            <w:webHidden/>
          </w:rPr>
          <w:t>15</w:t>
        </w:r>
        <w:r w:rsidR="006648A9">
          <w:rPr>
            <w:noProof/>
            <w:webHidden/>
          </w:rPr>
          <w:fldChar w:fldCharType="end"/>
        </w:r>
      </w:hyperlink>
    </w:p>
    <w:p w14:paraId="0A7714B5" w14:textId="14D79CE8" w:rsidR="006648A9" w:rsidRDefault="00A152B9">
      <w:pPr>
        <w:pStyle w:val="TOC3"/>
        <w:rPr>
          <w:rFonts w:asciiTheme="minorHAnsi" w:eastAsiaTheme="minorEastAsia" w:hAnsiTheme="minorHAnsi" w:cstheme="minorBidi"/>
          <w:noProof/>
          <w:sz w:val="22"/>
          <w:szCs w:val="22"/>
          <w:lang w:eastAsia="en-NZ"/>
        </w:rPr>
      </w:pPr>
      <w:hyperlink w:anchor="_Toc22219927" w:history="1">
        <w:r w:rsidR="006648A9" w:rsidRPr="00C818C0">
          <w:rPr>
            <w:rStyle w:val="Hyperlink"/>
            <w:noProof/>
          </w:rPr>
          <w:t>Figure 10: Mean number of partners in the 12 months preceding the survey (among those who had ever had heterosexual sex), by neighbourhood deprivation and gender</w:t>
        </w:r>
        <w:r w:rsidR="006648A9">
          <w:rPr>
            <w:noProof/>
            <w:webHidden/>
          </w:rPr>
          <w:tab/>
        </w:r>
        <w:r w:rsidR="006648A9">
          <w:rPr>
            <w:noProof/>
            <w:webHidden/>
          </w:rPr>
          <w:fldChar w:fldCharType="begin"/>
        </w:r>
        <w:r w:rsidR="006648A9">
          <w:rPr>
            <w:noProof/>
            <w:webHidden/>
          </w:rPr>
          <w:instrText xml:space="preserve"> PAGEREF _Toc22219927 \h </w:instrText>
        </w:r>
        <w:r w:rsidR="006648A9">
          <w:rPr>
            <w:noProof/>
            <w:webHidden/>
          </w:rPr>
        </w:r>
        <w:r w:rsidR="006648A9">
          <w:rPr>
            <w:noProof/>
            <w:webHidden/>
          </w:rPr>
          <w:fldChar w:fldCharType="separate"/>
        </w:r>
        <w:r>
          <w:rPr>
            <w:noProof/>
            <w:webHidden/>
          </w:rPr>
          <w:t>16</w:t>
        </w:r>
        <w:r w:rsidR="006648A9">
          <w:rPr>
            <w:noProof/>
            <w:webHidden/>
          </w:rPr>
          <w:fldChar w:fldCharType="end"/>
        </w:r>
      </w:hyperlink>
    </w:p>
    <w:p w14:paraId="15620A7F" w14:textId="7584E6C9" w:rsidR="006648A9" w:rsidRDefault="00A152B9">
      <w:pPr>
        <w:pStyle w:val="TOC3"/>
        <w:rPr>
          <w:rFonts w:asciiTheme="minorHAnsi" w:eastAsiaTheme="minorEastAsia" w:hAnsiTheme="minorHAnsi" w:cstheme="minorBidi"/>
          <w:noProof/>
          <w:sz w:val="22"/>
          <w:szCs w:val="22"/>
          <w:lang w:eastAsia="en-NZ"/>
        </w:rPr>
      </w:pPr>
      <w:hyperlink w:anchor="_Toc22219928" w:history="1">
        <w:r w:rsidR="006648A9" w:rsidRPr="00C818C0">
          <w:rPr>
            <w:rStyle w:val="Hyperlink"/>
            <w:noProof/>
          </w:rPr>
          <w:t>Figure 11: Median and mean number of partners in respondents’ lifetimes (among those who had ever had heterosexual sex), by age group and gender</w:t>
        </w:r>
        <w:r w:rsidR="006648A9">
          <w:rPr>
            <w:noProof/>
            <w:webHidden/>
          </w:rPr>
          <w:tab/>
        </w:r>
        <w:r w:rsidR="006648A9">
          <w:rPr>
            <w:noProof/>
            <w:webHidden/>
          </w:rPr>
          <w:fldChar w:fldCharType="begin"/>
        </w:r>
        <w:r w:rsidR="006648A9">
          <w:rPr>
            <w:noProof/>
            <w:webHidden/>
          </w:rPr>
          <w:instrText xml:space="preserve"> PAGEREF _Toc22219928 \h </w:instrText>
        </w:r>
        <w:r w:rsidR="006648A9">
          <w:rPr>
            <w:noProof/>
            <w:webHidden/>
          </w:rPr>
        </w:r>
        <w:r w:rsidR="006648A9">
          <w:rPr>
            <w:noProof/>
            <w:webHidden/>
          </w:rPr>
          <w:fldChar w:fldCharType="separate"/>
        </w:r>
        <w:r>
          <w:rPr>
            <w:noProof/>
            <w:webHidden/>
          </w:rPr>
          <w:t>17</w:t>
        </w:r>
        <w:r w:rsidR="006648A9">
          <w:rPr>
            <w:noProof/>
            <w:webHidden/>
          </w:rPr>
          <w:fldChar w:fldCharType="end"/>
        </w:r>
      </w:hyperlink>
    </w:p>
    <w:p w14:paraId="6D395A17" w14:textId="5B864C37" w:rsidR="006648A9" w:rsidRDefault="00A152B9">
      <w:pPr>
        <w:pStyle w:val="TOC3"/>
        <w:rPr>
          <w:rFonts w:asciiTheme="minorHAnsi" w:eastAsiaTheme="minorEastAsia" w:hAnsiTheme="minorHAnsi" w:cstheme="minorBidi"/>
          <w:noProof/>
          <w:sz w:val="22"/>
          <w:szCs w:val="22"/>
          <w:lang w:eastAsia="en-NZ"/>
        </w:rPr>
      </w:pPr>
      <w:hyperlink w:anchor="_Toc22219929" w:history="1">
        <w:r w:rsidR="006648A9" w:rsidRPr="00C818C0">
          <w:rPr>
            <w:rStyle w:val="Hyperlink"/>
            <w:noProof/>
          </w:rPr>
          <w:t>Figure 12: Median and mean number of partners in respondents’ lifetimes (among those who had ever had heterosexual sex), by ethnic group and gender</w:t>
        </w:r>
        <w:r w:rsidR="006648A9">
          <w:rPr>
            <w:noProof/>
            <w:webHidden/>
          </w:rPr>
          <w:tab/>
        </w:r>
        <w:r w:rsidR="006648A9">
          <w:rPr>
            <w:noProof/>
            <w:webHidden/>
          </w:rPr>
          <w:fldChar w:fldCharType="begin"/>
        </w:r>
        <w:r w:rsidR="006648A9">
          <w:rPr>
            <w:noProof/>
            <w:webHidden/>
          </w:rPr>
          <w:instrText xml:space="preserve"> PAGEREF _Toc22219929 \h </w:instrText>
        </w:r>
        <w:r w:rsidR="006648A9">
          <w:rPr>
            <w:noProof/>
            <w:webHidden/>
          </w:rPr>
        </w:r>
        <w:r w:rsidR="006648A9">
          <w:rPr>
            <w:noProof/>
            <w:webHidden/>
          </w:rPr>
          <w:fldChar w:fldCharType="separate"/>
        </w:r>
        <w:r>
          <w:rPr>
            <w:noProof/>
            <w:webHidden/>
          </w:rPr>
          <w:t>18</w:t>
        </w:r>
        <w:r w:rsidR="006648A9">
          <w:rPr>
            <w:noProof/>
            <w:webHidden/>
          </w:rPr>
          <w:fldChar w:fldCharType="end"/>
        </w:r>
      </w:hyperlink>
    </w:p>
    <w:p w14:paraId="4C4207C9" w14:textId="4A3D6BEB" w:rsidR="006648A9" w:rsidRDefault="00A152B9">
      <w:pPr>
        <w:pStyle w:val="TOC3"/>
        <w:rPr>
          <w:rFonts w:asciiTheme="minorHAnsi" w:eastAsiaTheme="minorEastAsia" w:hAnsiTheme="minorHAnsi" w:cstheme="minorBidi"/>
          <w:noProof/>
          <w:sz w:val="22"/>
          <w:szCs w:val="22"/>
          <w:lang w:eastAsia="en-NZ"/>
        </w:rPr>
      </w:pPr>
      <w:hyperlink w:anchor="_Toc22219930" w:history="1">
        <w:r w:rsidR="006648A9" w:rsidRPr="00C818C0">
          <w:rPr>
            <w:rStyle w:val="Hyperlink"/>
            <w:noProof/>
          </w:rPr>
          <w:t>Figure 13: Median and mean number of partners in respondents’ lifetimes (among those who had ever had heterosexual sex), by neighbourhood deprivation and gender</w:t>
        </w:r>
        <w:r w:rsidR="006648A9">
          <w:rPr>
            <w:noProof/>
            <w:webHidden/>
          </w:rPr>
          <w:tab/>
        </w:r>
        <w:r w:rsidR="006648A9">
          <w:rPr>
            <w:noProof/>
            <w:webHidden/>
          </w:rPr>
          <w:fldChar w:fldCharType="begin"/>
        </w:r>
        <w:r w:rsidR="006648A9">
          <w:rPr>
            <w:noProof/>
            <w:webHidden/>
          </w:rPr>
          <w:instrText xml:space="preserve"> PAGEREF _Toc22219930 \h </w:instrText>
        </w:r>
        <w:r w:rsidR="006648A9">
          <w:rPr>
            <w:noProof/>
            <w:webHidden/>
          </w:rPr>
        </w:r>
        <w:r w:rsidR="006648A9">
          <w:rPr>
            <w:noProof/>
            <w:webHidden/>
          </w:rPr>
          <w:fldChar w:fldCharType="separate"/>
        </w:r>
        <w:r>
          <w:rPr>
            <w:noProof/>
            <w:webHidden/>
          </w:rPr>
          <w:t>18</w:t>
        </w:r>
        <w:r w:rsidR="006648A9">
          <w:rPr>
            <w:noProof/>
            <w:webHidden/>
          </w:rPr>
          <w:fldChar w:fldCharType="end"/>
        </w:r>
      </w:hyperlink>
    </w:p>
    <w:p w14:paraId="1C31855C" w14:textId="1421069D" w:rsidR="006648A9" w:rsidRDefault="00A152B9">
      <w:pPr>
        <w:pStyle w:val="TOC3"/>
        <w:rPr>
          <w:rFonts w:asciiTheme="minorHAnsi" w:eastAsiaTheme="minorEastAsia" w:hAnsiTheme="minorHAnsi" w:cstheme="minorBidi"/>
          <w:noProof/>
          <w:sz w:val="22"/>
          <w:szCs w:val="22"/>
          <w:lang w:eastAsia="en-NZ"/>
        </w:rPr>
      </w:pPr>
      <w:hyperlink w:anchor="_Toc22219931" w:history="1">
        <w:r w:rsidR="006648A9" w:rsidRPr="00C818C0">
          <w:rPr>
            <w:rStyle w:val="Hyperlink"/>
            <w:noProof/>
          </w:rPr>
          <w:t>Figure 14: Condom always used with vaginal/anal sex in the 12 months preceding the survey (among those who had had multiple partners), by age and gender</w:t>
        </w:r>
        <w:r w:rsidR="006648A9">
          <w:rPr>
            <w:noProof/>
            <w:webHidden/>
          </w:rPr>
          <w:tab/>
        </w:r>
        <w:r w:rsidR="006648A9">
          <w:rPr>
            <w:noProof/>
            <w:webHidden/>
          </w:rPr>
          <w:fldChar w:fldCharType="begin"/>
        </w:r>
        <w:r w:rsidR="006648A9">
          <w:rPr>
            <w:noProof/>
            <w:webHidden/>
          </w:rPr>
          <w:instrText xml:space="preserve"> PAGEREF _Toc22219931 \h </w:instrText>
        </w:r>
        <w:r w:rsidR="006648A9">
          <w:rPr>
            <w:noProof/>
            <w:webHidden/>
          </w:rPr>
        </w:r>
        <w:r w:rsidR="006648A9">
          <w:rPr>
            <w:noProof/>
            <w:webHidden/>
          </w:rPr>
          <w:fldChar w:fldCharType="separate"/>
        </w:r>
        <w:r>
          <w:rPr>
            <w:noProof/>
            <w:webHidden/>
          </w:rPr>
          <w:t>20</w:t>
        </w:r>
        <w:r w:rsidR="006648A9">
          <w:rPr>
            <w:noProof/>
            <w:webHidden/>
          </w:rPr>
          <w:fldChar w:fldCharType="end"/>
        </w:r>
      </w:hyperlink>
    </w:p>
    <w:p w14:paraId="32D5DE02" w14:textId="018ED7C6" w:rsidR="006648A9" w:rsidRDefault="00A152B9">
      <w:pPr>
        <w:pStyle w:val="TOC3"/>
        <w:rPr>
          <w:rFonts w:asciiTheme="minorHAnsi" w:eastAsiaTheme="minorEastAsia" w:hAnsiTheme="minorHAnsi" w:cstheme="minorBidi"/>
          <w:noProof/>
          <w:sz w:val="22"/>
          <w:szCs w:val="22"/>
          <w:lang w:eastAsia="en-NZ"/>
        </w:rPr>
      </w:pPr>
      <w:hyperlink w:anchor="_Toc22219932" w:history="1">
        <w:r w:rsidR="006648A9" w:rsidRPr="00C818C0">
          <w:rPr>
            <w:rStyle w:val="Hyperlink"/>
            <w:noProof/>
          </w:rPr>
          <w:t>Figure 15: Condom used at most recent vaginal/anal sex with non-cohabiting partner in the 12 months preceding the survey, by age group and gender</w:t>
        </w:r>
        <w:r w:rsidR="006648A9">
          <w:rPr>
            <w:noProof/>
            <w:webHidden/>
          </w:rPr>
          <w:tab/>
        </w:r>
        <w:r w:rsidR="006648A9">
          <w:rPr>
            <w:noProof/>
            <w:webHidden/>
          </w:rPr>
          <w:fldChar w:fldCharType="begin"/>
        </w:r>
        <w:r w:rsidR="006648A9">
          <w:rPr>
            <w:noProof/>
            <w:webHidden/>
          </w:rPr>
          <w:instrText xml:space="preserve"> PAGEREF _Toc22219932 \h </w:instrText>
        </w:r>
        <w:r w:rsidR="006648A9">
          <w:rPr>
            <w:noProof/>
            <w:webHidden/>
          </w:rPr>
        </w:r>
        <w:r w:rsidR="006648A9">
          <w:rPr>
            <w:noProof/>
            <w:webHidden/>
          </w:rPr>
          <w:fldChar w:fldCharType="separate"/>
        </w:r>
        <w:r>
          <w:rPr>
            <w:noProof/>
            <w:webHidden/>
          </w:rPr>
          <w:t>22</w:t>
        </w:r>
        <w:r w:rsidR="006648A9">
          <w:rPr>
            <w:noProof/>
            <w:webHidden/>
          </w:rPr>
          <w:fldChar w:fldCharType="end"/>
        </w:r>
      </w:hyperlink>
    </w:p>
    <w:p w14:paraId="51B2C66C" w14:textId="5AFE13A2" w:rsidR="006648A9" w:rsidRDefault="00A152B9">
      <w:pPr>
        <w:pStyle w:val="TOC3"/>
        <w:rPr>
          <w:rFonts w:asciiTheme="minorHAnsi" w:eastAsiaTheme="minorEastAsia" w:hAnsiTheme="minorHAnsi" w:cstheme="minorBidi"/>
          <w:noProof/>
          <w:sz w:val="22"/>
          <w:szCs w:val="22"/>
          <w:lang w:eastAsia="en-NZ"/>
        </w:rPr>
      </w:pPr>
      <w:hyperlink w:anchor="_Toc22219933" w:history="1">
        <w:r w:rsidR="006648A9" w:rsidRPr="00C818C0">
          <w:rPr>
            <w:rStyle w:val="Hyperlink"/>
            <w:noProof/>
          </w:rPr>
          <w:t>Figure 16: Condom used at most recent vaginal/anal sex with non-cohabiting partner in the 12 months preceding the survey, by ethnic group and gender</w:t>
        </w:r>
        <w:r w:rsidR="006648A9">
          <w:rPr>
            <w:noProof/>
            <w:webHidden/>
          </w:rPr>
          <w:tab/>
        </w:r>
        <w:r w:rsidR="006648A9">
          <w:rPr>
            <w:noProof/>
            <w:webHidden/>
          </w:rPr>
          <w:fldChar w:fldCharType="begin"/>
        </w:r>
        <w:r w:rsidR="006648A9">
          <w:rPr>
            <w:noProof/>
            <w:webHidden/>
          </w:rPr>
          <w:instrText xml:space="preserve"> PAGEREF _Toc22219933 \h </w:instrText>
        </w:r>
        <w:r w:rsidR="006648A9">
          <w:rPr>
            <w:noProof/>
            <w:webHidden/>
          </w:rPr>
        </w:r>
        <w:r w:rsidR="006648A9">
          <w:rPr>
            <w:noProof/>
            <w:webHidden/>
          </w:rPr>
          <w:fldChar w:fldCharType="separate"/>
        </w:r>
        <w:r>
          <w:rPr>
            <w:noProof/>
            <w:webHidden/>
          </w:rPr>
          <w:t>23</w:t>
        </w:r>
        <w:r w:rsidR="006648A9">
          <w:rPr>
            <w:noProof/>
            <w:webHidden/>
          </w:rPr>
          <w:fldChar w:fldCharType="end"/>
        </w:r>
      </w:hyperlink>
    </w:p>
    <w:p w14:paraId="21F561C8" w14:textId="626B6234" w:rsidR="0033448B" w:rsidRPr="000A0158" w:rsidRDefault="006648A9" w:rsidP="0033448B">
      <w:r>
        <w:fldChar w:fldCharType="end"/>
      </w:r>
    </w:p>
    <w:p w14:paraId="3DA74037" w14:textId="77777777" w:rsidR="0033448B" w:rsidRDefault="0033448B" w:rsidP="003A5FEA"/>
    <w:p w14:paraId="54574E74" w14:textId="77777777" w:rsidR="001D3E4E" w:rsidRDefault="001D3E4E" w:rsidP="003A5FEA">
      <w:pPr>
        <w:sectPr w:rsidR="001D3E4E" w:rsidSect="00925892">
          <w:headerReference w:type="even" r:id="rId17"/>
          <w:headerReference w:type="default" r:id="rId18"/>
          <w:footerReference w:type="even" r:id="rId19"/>
          <w:footerReference w:type="default" r:id="rId20"/>
          <w:pgSz w:w="11907" w:h="16840" w:code="9"/>
          <w:pgMar w:top="1418" w:right="1701" w:bottom="1134" w:left="1843" w:header="284" w:footer="425" w:gutter="284"/>
          <w:pgNumType w:fmt="lowerRoman"/>
          <w:cols w:space="720"/>
        </w:sectPr>
      </w:pPr>
    </w:p>
    <w:p w14:paraId="34699521" w14:textId="77777777" w:rsidR="006E2886" w:rsidRDefault="003A5FA0" w:rsidP="00F54E74">
      <w:pPr>
        <w:pStyle w:val="Heading1"/>
      </w:pPr>
      <w:bookmarkStart w:id="2" w:name="_Toc22219954"/>
      <w:r>
        <w:lastRenderedPageBreak/>
        <w:t>Key findings</w:t>
      </w:r>
      <w:bookmarkEnd w:id="2"/>
    </w:p>
    <w:p w14:paraId="257FBCC1" w14:textId="4FDA3BC4" w:rsidR="00F902A0" w:rsidRPr="007546F5" w:rsidRDefault="00F902A0" w:rsidP="00F902A0">
      <w:r w:rsidRPr="007546F5">
        <w:t>This report describes heterosexual sexual activities (</w:t>
      </w:r>
      <w:r>
        <w:t xml:space="preserve">that is, sexual activities </w:t>
      </w:r>
      <w:r w:rsidRPr="007546F5">
        <w:t xml:space="preserve">between men and women) in New Zealand </w:t>
      </w:r>
      <w:proofErr w:type="gramStart"/>
      <w:r w:rsidRPr="007546F5">
        <w:t>with regard to</w:t>
      </w:r>
      <w:proofErr w:type="gramEnd"/>
      <w:r w:rsidRPr="007546F5">
        <w:t xml:space="preserve"> gender, age, ethnicity and neighbourhood deprivation patterns.</w:t>
      </w:r>
    </w:p>
    <w:p w14:paraId="0233B5AF" w14:textId="77777777" w:rsidR="00F902A0" w:rsidRDefault="00F902A0" w:rsidP="00F902A0"/>
    <w:p w14:paraId="3078F6AE" w14:textId="77777777" w:rsidR="00F902A0" w:rsidRPr="007546F5" w:rsidRDefault="00F902A0" w:rsidP="00F902A0">
      <w:r w:rsidRPr="007546F5">
        <w:t>Key findings include</w:t>
      </w:r>
      <w:r>
        <w:t xml:space="preserve"> the following.</w:t>
      </w:r>
    </w:p>
    <w:p w14:paraId="2B9C3E63" w14:textId="77777777" w:rsidR="00F902A0" w:rsidRPr="007546F5" w:rsidRDefault="00F902A0" w:rsidP="00F902A0">
      <w:pPr>
        <w:pStyle w:val="Bullet"/>
      </w:pPr>
      <w:r w:rsidRPr="007546F5">
        <w:t>Most adults (89</w:t>
      </w:r>
      <w:bookmarkStart w:id="3" w:name="_Hlk19605807"/>
      <w:r>
        <w:t> percent</w:t>
      </w:r>
      <w:bookmarkEnd w:id="3"/>
      <w:r w:rsidRPr="007546F5">
        <w:t xml:space="preserve">) </w:t>
      </w:r>
      <w:r>
        <w:t>had</w:t>
      </w:r>
      <w:r w:rsidRPr="007546F5">
        <w:t xml:space="preserve"> had heterosexual sex</w:t>
      </w:r>
      <w:r>
        <w:t>;</w:t>
      </w:r>
      <w:r w:rsidRPr="00F902A0">
        <w:rPr>
          <w:rStyle w:val="FootnoteReference"/>
        </w:rPr>
        <w:footnoteReference w:id="1"/>
      </w:r>
      <w:r w:rsidRPr="007546F5">
        <w:t xml:space="preserve"> </w:t>
      </w:r>
      <w:r>
        <w:t xml:space="preserve">there was </w:t>
      </w:r>
      <w:r w:rsidRPr="007546F5">
        <w:t>minimal variation by gender, ethn</w:t>
      </w:r>
      <w:r>
        <w:t>i</w:t>
      </w:r>
      <w:r w:rsidRPr="007546F5">
        <w:t>city and neighbourhood deprivation.</w:t>
      </w:r>
    </w:p>
    <w:p w14:paraId="24123941" w14:textId="77777777" w:rsidR="00F902A0" w:rsidRPr="007546F5" w:rsidRDefault="00F902A0" w:rsidP="00F902A0">
      <w:pPr>
        <w:pStyle w:val="Bullet"/>
      </w:pPr>
      <w:r w:rsidRPr="007546F5">
        <w:t>In the year preceding the survey, 75</w:t>
      </w:r>
      <w:r>
        <w:t> percent</w:t>
      </w:r>
      <w:r w:rsidRPr="007546F5">
        <w:t xml:space="preserve"> of men and 68</w:t>
      </w:r>
      <w:r>
        <w:t> percent</w:t>
      </w:r>
      <w:r w:rsidRPr="007546F5">
        <w:t xml:space="preserve"> of women had </w:t>
      </w:r>
      <w:r>
        <w:t xml:space="preserve">had </w:t>
      </w:r>
      <w:r w:rsidRPr="007546F5">
        <w:t>vaginal sex, 59</w:t>
      </w:r>
      <w:r>
        <w:t> percent</w:t>
      </w:r>
      <w:r w:rsidRPr="007546F5">
        <w:t xml:space="preserve"> of men and 49</w:t>
      </w:r>
      <w:r>
        <w:t> percent</w:t>
      </w:r>
      <w:r w:rsidRPr="007546F5">
        <w:t xml:space="preserve"> of women had </w:t>
      </w:r>
      <w:r>
        <w:t xml:space="preserve">had </w:t>
      </w:r>
      <w:r w:rsidRPr="007546F5">
        <w:t>oral sex, and 10</w:t>
      </w:r>
      <w:r>
        <w:t> percent</w:t>
      </w:r>
      <w:r w:rsidRPr="007546F5">
        <w:t xml:space="preserve"> of men and 6.8</w:t>
      </w:r>
      <w:r>
        <w:t> percent</w:t>
      </w:r>
      <w:r w:rsidRPr="007546F5">
        <w:t xml:space="preserve"> of women had</w:t>
      </w:r>
      <w:r>
        <w:t xml:space="preserve"> had</w:t>
      </w:r>
      <w:r w:rsidRPr="007546F5">
        <w:t xml:space="preserve"> anal sex.</w:t>
      </w:r>
    </w:p>
    <w:p w14:paraId="6A2B2B8E" w14:textId="14CDA822" w:rsidR="00F902A0" w:rsidRPr="007546F5" w:rsidRDefault="00F902A0" w:rsidP="00F902A0">
      <w:pPr>
        <w:pStyle w:val="Bullet"/>
      </w:pPr>
      <w:r w:rsidRPr="007546F5">
        <w:t xml:space="preserve">Men were 1.3 times as likely </w:t>
      </w:r>
      <w:r>
        <w:t xml:space="preserve">as women </w:t>
      </w:r>
      <w:r w:rsidRPr="007546F5">
        <w:t xml:space="preserve">to have had </w:t>
      </w:r>
      <w:r>
        <w:t xml:space="preserve">two or more </w:t>
      </w:r>
      <w:r w:rsidRPr="007546F5">
        <w:t>partners in the last year.</w:t>
      </w:r>
    </w:p>
    <w:p w14:paraId="1532E897" w14:textId="77777777" w:rsidR="00F902A0" w:rsidRPr="007546F5" w:rsidRDefault="00F902A0" w:rsidP="00F902A0">
      <w:pPr>
        <w:pStyle w:val="Bullet"/>
      </w:pPr>
      <w:r w:rsidRPr="007546F5">
        <w:t>21</w:t>
      </w:r>
      <w:r>
        <w:t> percent</w:t>
      </w:r>
      <w:r w:rsidRPr="007546F5">
        <w:t xml:space="preserve"> of men who had </w:t>
      </w:r>
      <w:r>
        <w:t>had two or more</w:t>
      </w:r>
      <w:r w:rsidRPr="007546F5">
        <w:t xml:space="preserve"> partners in the last year used a condom </w:t>
      </w:r>
      <w:r>
        <w:t xml:space="preserve">at </w:t>
      </w:r>
      <w:r w:rsidRPr="007546F5">
        <w:t xml:space="preserve">the most recent time they had </w:t>
      </w:r>
      <w:r>
        <w:t xml:space="preserve">had </w:t>
      </w:r>
      <w:r w:rsidRPr="007546F5">
        <w:t>sex</w:t>
      </w:r>
      <w:r>
        <w:t>,</w:t>
      </w:r>
      <w:r w:rsidRPr="007546F5">
        <w:t xml:space="preserve"> </w:t>
      </w:r>
      <w:r>
        <w:t xml:space="preserve">compared with </w:t>
      </w:r>
      <w:r w:rsidRPr="007546F5">
        <w:t>1</w:t>
      </w:r>
      <w:r>
        <w:t>2 percent</w:t>
      </w:r>
      <w:r w:rsidRPr="007546F5">
        <w:t xml:space="preserve"> of women.</w:t>
      </w:r>
    </w:p>
    <w:p w14:paraId="5D11A1F3" w14:textId="77777777" w:rsidR="00F902A0" w:rsidRPr="007546F5" w:rsidRDefault="00F902A0" w:rsidP="00F902A0">
      <w:pPr>
        <w:pStyle w:val="Bullet"/>
      </w:pPr>
      <w:r w:rsidRPr="007546F5">
        <w:t>Men and women aged 16–24 years were less likely to have ever had heterosexual sex, but</w:t>
      </w:r>
      <w:r>
        <w:t>, if they had, were</w:t>
      </w:r>
      <w:r w:rsidRPr="007546F5">
        <w:t xml:space="preserve"> more likely to have had multiple partners in the last year.</w:t>
      </w:r>
    </w:p>
    <w:p w14:paraId="087ED0DB" w14:textId="06AB2B37" w:rsidR="00F902A0" w:rsidRPr="007546F5" w:rsidRDefault="00F902A0" w:rsidP="00F902A0">
      <w:pPr>
        <w:pStyle w:val="Bullet"/>
      </w:pPr>
      <w:r w:rsidRPr="007546F5">
        <w:t xml:space="preserve">Asian women generally </w:t>
      </w:r>
      <w:r>
        <w:t xml:space="preserve">said they had had </w:t>
      </w:r>
      <w:r w:rsidRPr="007546F5">
        <w:t>lower levels of heterosexual sexual activity than non-Asian women</w:t>
      </w:r>
      <w:r>
        <w:t>. F</w:t>
      </w:r>
      <w:r w:rsidRPr="007546F5">
        <w:t>or example</w:t>
      </w:r>
      <w:r>
        <w:t>,</w:t>
      </w:r>
      <w:r w:rsidRPr="007546F5">
        <w:t xml:space="preserve"> they were 0.4 times as likely to </w:t>
      </w:r>
      <w:r>
        <w:t>have had</w:t>
      </w:r>
      <w:r w:rsidRPr="007546F5">
        <w:t xml:space="preserve"> </w:t>
      </w:r>
      <w:r w:rsidR="004537DC" w:rsidRPr="007546F5">
        <w:t>multiple</w:t>
      </w:r>
      <w:r w:rsidRPr="007546F5">
        <w:t xml:space="preserve"> partners in the last year as non-Asian women</w:t>
      </w:r>
      <w:r>
        <w:t>;</w:t>
      </w:r>
      <w:r w:rsidRPr="007546F5">
        <w:t xml:space="preserve"> they were also 0.4 times as likely to </w:t>
      </w:r>
      <w:r>
        <w:t xml:space="preserve">have had </w:t>
      </w:r>
      <w:r w:rsidRPr="007546F5">
        <w:t>anal sex</w:t>
      </w:r>
      <w:r>
        <w:t xml:space="preserve"> in the last year,</w:t>
      </w:r>
      <w:r w:rsidRPr="007546F5">
        <w:t xml:space="preserve"> and 0.7 times as likely to </w:t>
      </w:r>
      <w:r>
        <w:t xml:space="preserve">have had </w:t>
      </w:r>
      <w:r w:rsidRPr="007546F5">
        <w:t>oral sex in the last year.</w:t>
      </w:r>
    </w:p>
    <w:p w14:paraId="041F126A" w14:textId="77777777" w:rsidR="00F902A0" w:rsidRDefault="00F902A0" w:rsidP="00F902A0">
      <w:pPr>
        <w:pStyle w:val="Bullet"/>
      </w:pPr>
      <w:r w:rsidRPr="007546F5">
        <w:t>Neighbourhood deprivation was associated with numbers of partners: women from high</w:t>
      </w:r>
      <w:r>
        <w:t>-</w:t>
      </w:r>
      <w:r w:rsidRPr="007546F5">
        <w:t xml:space="preserve">deprivation areas had 3.6 times, and men </w:t>
      </w:r>
      <w:r>
        <w:t xml:space="preserve">from those areas </w:t>
      </w:r>
      <w:r w:rsidRPr="007546F5">
        <w:t>2.9 times, the mean number of partners in the last year as those from the least deprived areas.</w:t>
      </w:r>
    </w:p>
    <w:p w14:paraId="29FE64A9" w14:textId="77777777" w:rsidR="002B7BEC" w:rsidRDefault="002B7BEC" w:rsidP="00F902A0"/>
    <w:p w14:paraId="1F685EFE" w14:textId="77777777" w:rsidR="00F16595" w:rsidRDefault="00F16595" w:rsidP="002B7BEC"/>
    <w:p w14:paraId="02110793" w14:textId="77777777" w:rsidR="001D3E4E" w:rsidRDefault="001D3E4E" w:rsidP="003A5FEA">
      <w:pPr>
        <w:sectPr w:rsidR="001D3E4E" w:rsidSect="00925892">
          <w:footerReference w:type="even" r:id="rId21"/>
          <w:pgSz w:w="11907" w:h="16840" w:code="9"/>
          <w:pgMar w:top="1418" w:right="1701" w:bottom="1134" w:left="1843" w:header="284" w:footer="425" w:gutter="284"/>
          <w:pgNumType w:fmt="lowerRoman"/>
          <w:cols w:space="720"/>
        </w:sectPr>
      </w:pPr>
    </w:p>
    <w:p w14:paraId="625C48F3" w14:textId="77777777" w:rsidR="008C2973" w:rsidRDefault="002B7BEC" w:rsidP="00F54E74">
      <w:pPr>
        <w:pStyle w:val="Heading1"/>
      </w:pPr>
      <w:bookmarkStart w:id="4" w:name="_Toc22219955"/>
      <w:r>
        <w:lastRenderedPageBreak/>
        <w:t>Introduction</w:t>
      </w:r>
      <w:bookmarkEnd w:id="4"/>
    </w:p>
    <w:p w14:paraId="39B05DF1" w14:textId="4CEC4C12" w:rsidR="00F902A0" w:rsidRDefault="00F902A0" w:rsidP="00F24087">
      <w:r>
        <w:t>D</w:t>
      </w:r>
      <w:r w:rsidRPr="007F7364">
        <w:t xml:space="preserve">ata on sexual behaviour </w:t>
      </w:r>
      <w:r>
        <w:t>is</w:t>
      </w:r>
      <w:r w:rsidRPr="007F7364">
        <w:t xml:space="preserve"> important because of </w:t>
      </w:r>
      <w:r>
        <w:t>its</w:t>
      </w:r>
      <w:r w:rsidRPr="007F7364">
        <w:t xml:space="preserve"> impact on the health and wellbeing of individuals and </w:t>
      </w:r>
      <w:r>
        <w:t xml:space="preserve">on </w:t>
      </w:r>
      <w:r w:rsidRPr="007F7364">
        <w:t>public health.</w:t>
      </w:r>
      <w:r>
        <w:t xml:space="preserve"> </w:t>
      </w:r>
      <w:r w:rsidRPr="007F7364">
        <w:t xml:space="preserve">Sexual relationships are key for most adults living a happy and healthy </w:t>
      </w:r>
      <w:proofErr w:type="gramStart"/>
      <w:r w:rsidRPr="007F7364">
        <w:t>life, and</w:t>
      </w:r>
      <w:proofErr w:type="gramEnd"/>
      <w:r w:rsidRPr="007F7364">
        <w:t xml:space="preserve"> have a strong bearing on planned life</w:t>
      </w:r>
      <w:r>
        <w:t>-</w:t>
      </w:r>
      <w:r w:rsidRPr="007F7364">
        <w:t xml:space="preserve">course trajectories, such as sharing a home and having children. While sexual partnerships and conduct are generally private subjects, they may be subject to social controls, </w:t>
      </w:r>
      <w:r>
        <w:t xml:space="preserve">and </w:t>
      </w:r>
      <w:r w:rsidRPr="007F7364">
        <w:t xml:space="preserve">men and women </w:t>
      </w:r>
      <w:r>
        <w:t xml:space="preserve">are </w:t>
      </w:r>
      <w:r w:rsidRPr="007F7364">
        <w:t xml:space="preserve">frequently held to different standards. </w:t>
      </w:r>
      <w:r>
        <w:t>T</w:t>
      </w:r>
      <w:r w:rsidRPr="007F7364">
        <w:t>his can cause difficulty in eliciting reliable responses to questions about sexual behaviour (Fenton et al 2001)</w:t>
      </w:r>
      <w:r>
        <w:t>.</w:t>
      </w:r>
    </w:p>
    <w:p w14:paraId="3E10C3FD" w14:textId="77777777" w:rsidR="00F902A0" w:rsidRPr="007F7364" w:rsidRDefault="00F902A0" w:rsidP="00F24087"/>
    <w:p w14:paraId="243B87CB" w14:textId="4C102434" w:rsidR="00F902A0" w:rsidRDefault="00F902A0" w:rsidP="00F24087">
      <w:r w:rsidRPr="007F7364">
        <w:t xml:space="preserve">Sexual relationships are fundamental to individual, family and social life in all cultures (Mercer 2014), and so examining sexual health and behaviour across the whole life course is important, including </w:t>
      </w:r>
      <w:r>
        <w:t xml:space="preserve">in the context of our search for a </w:t>
      </w:r>
      <w:r w:rsidRPr="007F7364">
        <w:t>better understanding of ageing</w:t>
      </w:r>
      <w:r w:rsidR="00F24087">
        <w:t>.</w:t>
      </w:r>
    </w:p>
    <w:p w14:paraId="1AD54A25" w14:textId="77777777" w:rsidR="00F902A0" w:rsidRDefault="00F902A0" w:rsidP="00F24087"/>
    <w:p w14:paraId="038A274A" w14:textId="77777777" w:rsidR="00F902A0" w:rsidRDefault="00F902A0" w:rsidP="00F24087">
      <w:r>
        <w:t>S</w:t>
      </w:r>
      <w:r w:rsidRPr="007F7364">
        <w:t>exual relationships may have negative, as well as positive, consequences</w:t>
      </w:r>
      <w:r>
        <w:t xml:space="preserve">. Numbers of </w:t>
      </w:r>
      <w:r w:rsidRPr="007F7364">
        <w:t>diagnoses of sexually transmitted infections (STI</w:t>
      </w:r>
      <w:r>
        <w:t>s</w:t>
      </w:r>
      <w:r w:rsidRPr="007F7364">
        <w:t xml:space="preserve">) at New Zealand sexual health clinics have risen substantially since the middle 1990s, particularly in young people, and New Zealand has some of the highest rates of </w:t>
      </w:r>
      <w:r>
        <w:t xml:space="preserve">STI </w:t>
      </w:r>
      <w:r w:rsidRPr="007F7364">
        <w:t>diagnosis in the OECD (Institute of Environmental Science and Research Ltd 2014).</w:t>
      </w:r>
    </w:p>
    <w:p w14:paraId="6611FE0C" w14:textId="77777777" w:rsidR="00F902A0" w:rsidRPr="007F7364" w:rsidRDefault="00F902A0" w:rsidP="00F24087"/>
    <w:p w14:paraId="5B4C0D17" w14:textId="2249BB21" w:rsidR="00F902A0" w:rsidRDefault="00F902A0" w:rsidP="00F24087">
      <w:r w:rsidRPr="007F7364">
        <w:t xml:space="preserve">Initiatives to control STIs depend on understanding the underlying drivers, which include the number (and sex) of </w:t>
      </w:r>
      <w:r>
        <w:t xml:space="preserve">people’s </w:t>
      </w:r>
      <w:r w:rsidRPr="007F7364">
        <w:t>sexual partners</w:t>
      </w:r>
      <w:r>
        <w:t>,</w:t>
      </w:r>
      <w:r w:rsidRPr="007F7364">
        <w:t xml:space="preserve"> and </w:t>
      </w:r>
      <w:r>
        <w:t xml:space="preserve">the </w:t>
      </w:r>
      <w:r w:rsidRPr="007F7364">
        <w:t xml:space="preserve">use of condoms. This report provides insights into potentially high-risk sexual behaviours, and hence where </w:t>
      </w:r>
      <w:r>
        <w:t xml:space="preserve">we could </w:t>
      </w:r>
      <w:r w:rsidRPr="007F7364">
        <w:t xml:space="preserve">focus efforts to reduce communicable diseases </w:t>
      </w:r>
      <w:r>
        <w:t xml:space="preserve">(for example, by </w:t>
      </w:r>
      <w:r w:rsidRPr="007F7364">
        <w:t xml:space="preserve">tracing gaps in sexual health education and </w:t>
      </w:r>
      <w:r>
        <w:t xml:space="preserve">the </w:t>
      </w:r>
      <w:r w:rsidRPr="007F7364">
        <w:t>efficacy of outreach efforts</w:t>
      </w:r>
      <w:r>
        <w:t>)</w:t>
      </w:r>
      <w:r w:rsidRPr="007F7364">
        <w:t>.</w:t>
      </w:r>
    </w:p>
    <w:p w14:paraId="0F9F196E" w14:textId="77777777" w:rsidR="00F902A0" w:rsidRPr="007F7364" w:rsidRDefault="00F902A0" w:rsidP="00F24087"/>
    <w:p w14:paraId="659F3DEA" w14:textId="77777777" w:rsidR="00F902A0" w:rsidRDefault="00F902A0" w:rsidP="00F24087">
      <w:r w:rsidRPr="007F7364">
        <w:t xml:space="preserve">The only previous national estimates of sexual behaviour in the New Zealand population </w:t>
      </w:r>
      <w:r>
        <w:t xml:space="preserve">are </w:t>
      </w:r>
      <w:r w:rsidRPr="007F7364">
        <w:t xml:space="preserve">from a 1991 survey (Paul et al 1995). Since </w:t>
      </w:r>
      <w:r>
        <w:t xml:space="preserve">then, </w:t>
      </w:r>
      <w:r w:rsidRPr="007F7364">
        <w:t>other studies have investigated sexual behaviour in specific groups</w:t>
      </w:r>
      <w:r>
        <w:t xml:space="preserve">. For example, </w:t>
      </w:r>
      <w:r w:rsidRPr="007F7364">
        <w:t>the youth health surveys (University of Auckland Adolescent Health Research Group 2018) and the Dunedin Multidisciplinary Health and Development Study (</w:t>
      </w:r>
      <w:r>
        <w:t xml:space="preserve">see </w:t>
      </w:r>
      <w:r w:rsidRPr="00F24087">
        <w:rPr>
          <w:rStyle w:val="Hyperlink"/>
        </w:rPr>
        <w:t>https://dunedinstudy.otago.ac.nz</w:t>
      </w:r>
      <w:r w:rsidRPr="007F7364">
        <w:t>).</w:t>
      </w:r>
    </w:p>
    <w:p w14:paraId="2917399D" w14:textId="77777777" w:rsidR="00F902A0" w:rsidRPr="007F7364" w:rsidRDefault="00F902A0" w:rsidP="00F24087"/>
    <w:p w14:paraId="7B09FC52" w14:textId="726AE332" w:rsidR="00F902A0" w:rsidRDefault="00F902A0" w:rsidP="00F24087">
      <w:r w:rsidRPr="007F7364">
        <w:t>The Ministry of Health included questions on sex between men and women (</w:t>
      </w:r>
      <w:r>
        <w:t>‘</w:t>
      </w:r>
      <w:r w:rsidRPr="007F7364">
        <w:t>heterosexual sex</w:t>
      </w:r>
      <w:r>
        <w:t>’</w:t>
      </w:r>
      <w:r w:rsidRPr="007F7364">
        <w:t>), number of sexual partners, types of sexual behaviour and condom use in the Sexual and Reproductive Health module of the 2014/15 New Zealand Health Survey (</w:t>
      </w:r>
      <w:r>
        <w:t>‘</w:t>
      </w:r>
      <w:r w:rsidRPr="007F7364">
        <w:t>the survey</w:t>
      </w:r>
      <w:r>
        <w:t>’</w:t>
      </w:r>
      <w:r w:rsidR="00F24087">
        <w:t>).</w:t>
      </w:r>
    </w:p>
    <w:p w14:paraId="4921D026" w14:textId="77777777" w:rsidR="00F902A0" w:rsidRPr="007F7364" w:rsidRDefault="00F902A0" w:rsidP="00F24087"/>
    <w:p w14:paraId="313B0D1C" w14:textId="77777777" w:rsidR="00F902A0" w:rsidRDefault="00F902A0" w:rsidP="00F24087">
      <w:r w:rsidRPr="007F7364">
        <w:t>This report presents key findings about heterosexual sex by gender, age group, ethnic group and neighbourhood deprivation at the time of the survey interview.</w:t>
      </w:r>
      <w:r w:rsidRPr="007F7364" w:rsidDel="00D702BB">
        <w:t xml:space="preserve"> </w:t>
      </w:r>
      <w:r w:rsidRPr="007F7364">
        <w:t>The results are based on</w:t>
      </w:r>
      <w:r>
        <w:t xml:space="preserve"> respondents’ experiences of</w:t>
      </w:r>
      <w:r w:rsidRPr="007F7364">
        <w:t xml:space="preserve"> heterosexual sex since turning age 13.</w:t>
      </w:r>
    </w:p>
    <w:p w14:paraId="4172B3B4" w14:textId="77777777" w:rsidR="00F902A0" w:rsidRPr="0014311F" w:rsidRDefault="00F902A0" w:rsidP="00F24087"/>
    <w:p w14:paraId="6864D3A2" w14:textId="02D3D69E" w:rsidR="00F902A0" w:rsidRPr="0014311F" w:rsidRDefault="00F902A0" w:rsidP="00F24087">
      <w:r w:rsidRPr="0014311F">
        <w:t xml:space="preserve">You can find more information and results from the survey, including </w:t>
      </w:r>
      <w:r>
        <w:t xml:space="preserve">on </w:t>
      </w:r>
      <w:r w:rsidRPr="0014311F">
        <w:t>lifetime number of sex partners and same-gender sexual behaviour</w:t>
      </w:r>
      <w:r>
        <w:t>,</w:t>
      </w:r>
      <w:r w:rsidRPr="0014311F">
        <w:t xml:space="preserve"> in the data tables in the data explorer, online at </w:t>
      </w:r>
      <w:r w:rsidR="00B366D1" w:rsidRPr="00B366D1">
        <w:rPr>
          <w:rStyle w:val="Hyperlink"/>
        </w:rPr>
        <w:t>https://www.health.govt.nz/publication/sexual-and-reproductive-health-2014-15-new-zealand-health-survey</w:t>
      </w:r>
    </w:p>
    <w:p w14:paraId="7F17E67C" w14:textId="77777777" w:rsidR="00F902A0" w:rsidRPr="0014311F" w:rsidRDefault="00F902A0" w:rsidP="001122D9">
      <w:pPr>
        <w:pStyle w:val="Heading1"/>
      </w:pPr>
      <w:bookmarkStart w:id="5" w:name="_Toc5169937"/>
      <w:bookmarkStart w:id="6" w:name="_Toc21090228"/>
      <w:bookmarkStart w:id="7" w:name="_Toc22219956"/>
      <w:r w:rsidRPr="0014311F">
        <w:lastRenderedPageBreak/>
        <w:t xml:space="preserve">Heterosexual sex in </w:t>
      </w:r>
      <w:r>
        <w:t xml:space="preserve">respondents’ </w:t>
      </w:r>
      <w:r w:rsidRPr="0014311F">
        <w:t>lifetime</w:t>
      </w:r>
      <w:bookmarkEnd w:id="5"/>
      <w:r>
        <w:t>s</w:t>
      </w:r>
      <w:bookmarkEnd w:id="6"/>
      <w:bookmarkEnd w:id="7"/>
    </w:p>
    <w:p w14:paraId="52F20DD2" w14:textId="7EBB5107" w:rsidR="00F902A0" w:rsidRDefault="00F902A0" w:rsidP="001122D9">
      <w:r w:rsidRPr="0014311F">
        <w:t>This section sets out responses to the question in the survey ‘Have you ever had sex with a female, since turning 13 years old? That is vaginal sex, oral sex or anal sex</w:t>
      </w:r>
      <w:r w:rsidR="001122D9">
        <w:t>’</w:t>
      </w:r>
      <w:r w:rsidRPr="0014311F">
        <w:t>.</w:t>
      </w:r>
      <w:r w:rsidRPr="001122D9">
        <w:rPr>
          <w:rStyle w:val="FootnoteReference"/>
        </w:rPr>
        <w:footnoteReference w:id="2"/>
      </w:r>
    </w:p>
    <w:p w14:paraId="2B0904FC" w14:textId="77777777" w:rsidR="00F902A0" w:rsidRPr="0014311F" w:rsidRDefault="00F902A0" w:rsidP="001122D9"/>
    <w:p w14:paraId="14110D45" w14:textId="77777777" w:rsidR="00F902A0" w:rsidRPr="0014311F" w:rsidRDefault="00F902A0" w:rsidP="001122D9">
      <w:r w:rsidRPr="0014311F">
        <w:t xml:space="preserve">Heterosexual sex was defined as vaginal, oral or anal sex between a </w:t>
      </w:r>
      <w:r>
        <w:t>male</w:t>
      </w:r>
      <w:r w:rsidRPr="0014311F">
        <w:t xml:space="preserve"> and a </w:t>
      </w:r>
      <w:r>
        <w:t>female</w:t>
      </w:r>
      <w:r w:rsidRPr="0014311F">
        <w:t>.</w:t>
      </w:r>
    </w:p>
    <w:p w14:paraId="6D36BBBF" w14:textId="77777777" w:rsidR="00F902A0" w:rsidRPr="009C52E6" w:rsidRDefault="00F902A0" w:rsidP="001122D9"/>
    <w:p w14:paraId="67CD8A9E" w14:textId="77777777" w:rsidR="00F902A0" w:rsidRPr="0014311F" w:rsidRDefault="00F902A0" w:rsidP="001122D9">
      <w:pPr>
        <w:pStyle w:val="Heading4"/>
        <w:rPr>
          <w:i/>
          <w:iCs/>
        </w:rPr>
      </w:pPr>
      <w:r w:rsidRPr="0014311F">
        <w:t>Almost 90</w:t>
      </w:r>
      <w:r>
        <w:t> percent</w:t>
      </w:r>
      <w:r w:rsidRPr="0014311F">
        <w:t xml:space="preserve"> of New Zealanders </w:t>
      </w:r>
      <w:r>
        <w:t xml:space="preserve">had </w:t>
      </w:r>
      <w:r w:rsidRPr="0014311F">
        <w:t>had heterosexual sex</w:t>
      </w:r>
    </w:p>
    <w:p w14:paraId="534BAF61" w14:textId="77777777" w:rsidR="00F902A0" w:rsidRPr="0014311F" w:rsidRDefault="00F902A0" w:rsidP="001122D9">
      <w:pPr>
        <w:pStyle w:val="Bullet"/>
      </w:pPr>
      <w:r w:rsidRPr="0014311F">
        <w:t>Overall, 89</w:t>
      </w:r>
      <w:r>
        <w:t> percent</w:t>
      </w:r>
      <w:r w:rsidRPr="0014311F">
        <w:t xml:space="preserve"> of both men and women aged 16–74 </w:t>
      </w:r>
      <w:r>
        <w:t xml:space="preserve">had </w:t>
      </w:r>
      <w:r w:rsidRPr="0014311F">
        <w:t xml:space="preserve">ever had heterosexual sex. Unsurprisingly, this </w:t>
      </w:r>
      <w:r>
        <w:t xml:space="preserve">figure </w:t>
      </w:r>
      <w:r w:rsidRPr="0014311F">
        <w:t>was lowest in the age group 16–24 years (71</w:t>
      </w:r>
      <w:r>
        <w:t> percent</w:t>
      </w:r>
      <w:r w:rsidRPr="0014311F">
        <w:t xml:space="preserve"> of men and 64</w:t>
      </w:r>
      <w:r>
        <w:t> percent</w:t>
      </w:r>
      <w:r w:rsidRPr="0014311F">
        <w:t xml:space="preserve"> of women)</w:t>
      </w:r>
      <w:r>
        <w:t xml:space="preserve">; it was </w:t>
      </w:r>
      <w:r w:rsidRPr="0014311F">
        <w:t>more than 90</w:t>
      </w:r>
      <w:r>
        <w:t> percent</w:t>
      </w:r>
      <w:r w:rsidRPr="0014311F">
        <w:t xml:space="preserve"> for all other age groups (Figure 1).</w:t>
      </w:r>
    </w:p>
    <w:p w14:paraId="1994103B" w14:textId="77777777" w:rsidR="00F902A0" w:rsidRPr="00630E71" w:rsidRDefault="00F902A0" w:rsidP="001122D9">
      <w:pPr>
        <w:rPr>
          <w:rFonts w:eastAsia="MingLiU"/>
        </w:rPr>
      </w:pPr>
    </w:p>
    <w:p w14:paraId="603F61CD" w14:textId="5F414C1A" w:rsidR="00F902A0" w:rsidRDefault="00F902A0" w:rsidP="001122D9">
      <w:pPr>
        <w:pStyle w:val="Figure"/>
      </w:pPr>
      <w:bookmarkStart w:id="8" w:name="_Toc1755011"/>
      <w:bookmarkStart w:id="9" w:name="_Toc5173199"/>
      <w:bookmarkStart w:id="10" w:name="_Toc13043008"/>
      <w:bookmarkStart w:id="11" w:name="_Toc21090237"/>
      <w:bookmarkStart w:id="12" w:name="_Toc22219918"/>
      <w:r>
        <w:t xml:space="preserve">Figure </w:t>
      </w:r>
      <w:r w:rsidR="00A152B9">
        <w:fldChar w:fldCharType="begin"/>
      </w:r>
      <w:r w:rsidR="00A152B9">
        <w:instrText xml:space="preserve"> SEQ Figure \* ARABIC </w:instrText>
      </w:r>
      <w:r w:rsidR="00A152B9">
        <w:fldChar w:fldCharType="separate"/>
      </w:r>
      <w:r w:rsidR="00A152B9">
        <w:rPr>
          <w:noProof/>
        </w:rPr>
        <w:t>1</w:t>
      </w:r>
      <w:r w:rsidR="00A152B9">
        <w:rPr>
          <w:noProof/>
        </w:rPr>
        <w:fldChar w:fldCharType="end"/>
      </w:r>
      <w:r>
        <w:t>:</w:t>
      </w:r>
      <w:r w:rsidRPr="005B1DC2">
        <w:t xml:space="preserve"> </w:t>
      </w:r>
      <w:r w:rsidRPr="00A1128E">
        <w:t xml:space="preserve">Heterosexual sex in </w:t>
      </w:r>
      <w:r>
        <w:t xml:space="preserve">respondents’ </w:t>
      </w:r>
      <w:r w:rsidRPr="00A1128E">
        <w:t>lifetime</w:t>
      </w:r>
      <w:r>
        <w:t>s, by age group and gender</w:t>
      </w:r>
      <w:bookmarkEnd w:id="8"/>
      <w:bookmarkEnd w:id="9"/>
      <w:bookmarkEnd w:id="10"/>
      <w:bookmarkEnd w:id="11"/>
      <w:bookmarkEnd w:id="12"/>
    </w:p>
    <w:p w14:paraId="6B00C1BD" w14:textId="5C5EE205" w:rsidR="001122D9" w:rsidRPr="001122D9" w:rsidRDefault="00C441C2" w:rsidP="00C441C2">
      <w:r w:rsidRPr="00C441C2">
        <w:rPr>
          <w:noProof/>
          <w:lang w:eastAsia="en-NZ"/>
        </w:rPr>
        <w:drawing>
          <wp:inline distT="0" distB="0" distL="0" distR="0" wp14:anchorId="3F11BA2D" wp14:editId="4DAD58BA">
            <wp:extent cx="5130165" cy="3347762"/>
            <wp:effectExtent l="0" t="0" r="0" b="5080"/>
            <wp:docPr id="1" name="Picture 1" descr="Over 90% of men and women in every age group over 25 had had heterosexual sex. About 70% of men and 64% of women in the 16-24 age group had had heterosexual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130165" cy="3347762"/>
                    </a:xfrm>
                    <a:prstGeom prst="rect">
                      <a:avLst/>
                    </a:prstGeom>
                  </pic:spPr>
                </pic:pic>
              </a:graphicData>
            </a:graphic>
          </wp:inline>
        </w:drawing>
      </w:r>
    </w:p>
    <w:p w14:paraId="2FD600C2" w14:textId="77777777" w:rsidR="00F902A0" w:rsidRPr="009C376F" w:rsidRDefault="00F902A0" w:rsidP="001122D9">
      <w:pPr>
        <w:rPr>
          <w:rFonts w:eastAsia="MingLiU"/>
        </w:rPr>
      </w:pPr>
    </w:p>
    <w:p w14:paraId="3FE7DCE1" w14:textId="77777777" w:rsidR="00F902A0" w:rsidRDefault="00F902A0" w:rsidP="001122D9">
      <w:pPr>
        <w:pStyle w:val="Bullet"/>
        <w:keepNext/>
      </w:pPr>
      <w:r w:rsidRPr="0014311F">
        <w:lastRenderedPageBreak/>
        <w:t xml:space="preserve">Figure 2 shows </w:t>
      </w:r>
      <w:r>
        <w:t xml:space="preserve">the </w:t>
      </w:r>
      <w:r w:rsidRPr="0014311F">
        <w:t xml:space="preserve">percentage of men and women who </w:t>
      </w:r>
      <w:r>
        <w:t xml:space="preserve">had </w:t>
      </w:r>
      <w:r w:rsidRPr="0014311F">
        <w:t>ever had heterosexual sex by ethnic group. After adjusting for age, Pacific men and women were 0.9 times as likely to have ever had heterosexual sex as non-Pacific men and women. Similarly, Asian men and women were 0.9 times as likely</w:t>
      </w:r>
      <w:r>
        <w:t xml:space="preserve"> to have ever had heterosexual sex</w:t>
      </w:r>
      <w:r w:rsidRPr="0014311F">
        <w:t xml:space="preserve"> as non-Asian men and women.</w:t>
      </w:r>
    </w:p>
    <w:p w14:paraId="30906330" w14:textId="77777777" w:rsidR="001122D9" w:rsidRPr="0014311F" w:rsidRDefault="001122D9" w:rsidP="001122D9">
      <w:pPr>
        <w:keepNext/>
      </w:pPr>
    </w:p>
    <w:p w14:paraId="652AAFFE" w14:textId="56C96FBA" w:rsidR="00F902A0" w:rsidRDefault="00F902A0" w:rsidP="001122D9">
      <w:pPr>
        <w:pStyle w:val="Figure"/>
      </w:pPr>
      <w:bookmarkStart w:id="13" w:name="_Toc1755012"/>
      <w:bookmarkStart w:id="14" w:name="_Toc5173200"/>
      <w:bookmarkStart w:id="15" w:name="_Toc13043009"/>
      <w:bookmarkStart w:id="16" w:name="_Toc21090238"/>
      <w:bookmarkStart w:id="17" w:name="_Toc22219919"/>
      <w:r>
        <w:t xml:space="preserve">Figure </w:t>
      </w:r>
      <w:r w:rsidR="00A152B9">
        <w:fldChar w:fldCharType="begin"/>
      </w:r>
      <w:r w:rsidR="00A152B9">
        <w:instrText xml:space="preserve"> SEQ Figure \* ARABIC </w:instrText>
      </w:r>
      <w:r w:rsidR="00A152B9">
        <w:fldChar w:fldCharType="separate"/>
      </w:r>
      <w:r w:rsidR="00A152B9">
        <w:rPr>
          <w:noProof/>
        </w:rPr>
        <w:t>2</w:t>
      </w:r>
      <w:r w:rsidR="00A152B9">
        <w:rPr>
          <w:noProof/>
        </w:rPr>
        <w:fldChar w:fldCharType="end"/>
      </w:r>
      <w:r>
        <w:t>:</w:t>
      </w:r>
      <w:r w:rsidRPr="005B1DC2">
        <w:t xml:space="preserve"> </w:t>
      </w:r>
      <w:r w:rsidRPr="00A1128E">
        <w:t>Heterosexual sex in</w:t>
      </w:r>
      <w:r>
        <w:t xml:space="preserve"> respondents’</w:t>
      </w:r>
      <w:r w:rsidRPr="00A1128E">
        <w:t xml:space="preserve"> lifetime</w:t>
      </w:r>
      <w:r>
        <w:t xml:space="preserve">s, by </w:t>
      </w:r>
      <w:r w:rsidRPr="005B1DC2">
        <w:t>ethnic</w:t>
      </w:r>
      <w:r>
        <w:t xml:space="preserve"> group and gender</w:t>
      </w:r>
      <w:bookmarkEnd w:id="13"/>
      <w:bookmarkEnd w:id="14"/>
      <w:bookmarkEnd w:id="15"/>
      <w:bookmarkEnd w:id="16"/>
      <w:bookmarkEnd w:id="17"/>
    </w:p>
    <w:p w14:paraId="56299915" w14:textId="3A7BE9E8" w:rsidR="00DB517A" w:rsidRPr="00DB517A" w:rsidRDefault="00DB517A" w:rsidP="00DB517A">
      <w:r w:rsidRPr="00DB517A">
        <w:rPr>
          <w:noProof/>
          <w:lang w:eastAsia="en-NZ"/>
        </w:rPr>
        <w:drawing>
          <wp:inline distT="0" distB="0" distL="0" distR="0" wp14:anchorId="3EC939AE" wp14:editId="6762E368">
            <wp:extent cx="5130165" cy="3347762"/>
            <wp:effectExtent l="0" t="0" r="0" b="5080"/>
            <wp:docPr id="8" name="Picture 8" descr="European/other men and women were most likely to have ever had heterosexual sex, at over 90%. Māori men and women were the next likeliest group, just under 90%. Asian men and women were less likely, around 75%, and Pacific people were least likely, aroun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130165" cy="3347762"/>
                    </a:xfrm>
                    <a:prstGeom prst="rect">
                      <a:avLst/>
                    </a:prstGeom>
                  </pic:spPr>
                </pic:pic>
              </a:graphicData>
            </a:graphic>
          </wp:inline>
        </w:drawing>
      </w:r>
    </w:p>
    <w:p w14:paraId="11F385D1" w14:textId="77777777" w:rsidR="00F902A0" w:rsidRDefault="00F902A0" w:rsidP="00DB517A">
      <w:pPr>
        <w:pStyle w:val="Note"/>
      </w:pPr>
      <w:r w:rsidRPr="00DB517A">
        <w:t>Note: Adults who reported more than one ethnic group are counted once in each group reported.</w:t>
      </w:r>
      <w:r w:rsidRPr="000F602C">
        <w:t xml:space="preserve"> This means that the total number of responses for all ethnic groups can be greater than the total number of </w:t>
      </w:r>
      <w:r>
        <w:t>adults</w:t>
      </w:r>
      <w:r w:rsidRPr="000F602C">
        <w:t xml:space="preserve"> who stated their ethnicities</w:t>
      </w:r>
      <w:r>
        <w:t>.</w:t>
      </w:r>
    </w:p>
    <w:p w14:paraId="46616144" w14:textId="77777777" w:rsidR="00F902A0" w:rsidRDefault="00F902A0" w:rsidP="001122D9">
      <w:pPr>
        <w:rPr>
          <w:rFonts w:eastAsia="MingLiU"/>
        </w:rPr>
      </w:pPr>
    </w:p>
    <w:p w14:paraId="20DD4C57" w14:textId="77777777" w:rsidR="00F902A0" w:rsidRPr="002B15C7" w:rsidRDefault="00F902A0" w:rsidP="001122D9">
      <w:pPr>
        <w:pStyle w:val="Bullet"/>
        <w:keepNext/>
      </w:pPr>
      <w:r w:rsidRPr="002B15C7">
        <w:lastRenderedPageBreak/>
        <w:t xml:space="preserve">Figure 3 shows percentages of men and women who </w:t>
      </w:r>
      <w:r>
        <w:t>had</w:t>
      </w:r>
      <w:r w:rsidRPr="002B15C7">
        <w:t xml:space="preserve"> ever had heterosexual sex by neighbourhood deprivation. After adjusting for age and ethnic group, men living in the most deprived neighbourhoods were 0.9 times as likely to have ever had heterosexual sex as those living in the least.</w:t>
      </w:r>
    </w:p>
    <w:p w14:paraId="64C668E4" w14:textId="77777777" w:rsidR="00F902A0" w:rsidRDefault="00F902A0" w:rsidP="001122D9">
      <w:pPr>
        <w:keepNext/>
      </w:pPr>
    </w:p>
    <w:p w14:paraId="2AB2D104" w14:textId="52A4D71F" w:rsidR="00F902A0" w:rsidRDefault="00F902A0" w:rsidP="001122D9">
      <w:pPr>
        <w:pStyle w:val="Figure"/>
      </w:pPr>
      <w:bookmarkStart w:id="18" w:name="_Toc1755013"/>
      <w:bookmarkStart w:id="19" w:name="_Toc5173201"/>
      <w:bookmarkStart w:id="20" w:name="_Toc13043010"/>
      <w:bookmarkStart w:id="21" w:name="_Toc21090239"/>
      <w:bookmarkStart w:id="22" w:name="_Toc22219920"/>
      <w:r>
        <w:t xml:space="preserve">Figure </w:t>
      </w:r>
      <w:r w:rsidR="00A152B9">
        <w:fldChar w:fldCharType="begin"/>
      </w:r>
      <w:r w:rsidR="00A152B9">
        <w:instrText xml:space="preserve"> SEQ Figure \* ARABIC </w:instrText>
      </w:r>
      <w:r w:rsidR="00A152B9">
        <w:fldChar w:fldCharType="separate"/>
      </w:r>
      <w:r w:rsidR="00A152B9">
        <w:rPr>
          <w:noProof/>
        </w:rPr>
        <w:t>3</w:t>
      </w:r>
      <w:r w:rsidR="00A152B9">
        <w:rPr>
          <w:noProof/>
        </w:rPr>
        <w:fldChar w:fldCharType="end"/>
      </w:r>
      <w:r>
        <w:t>:</w:t>
      </w:r>
      <w:r w:rsidRPr="005B1DC2">
        <w:t xml:space="preserve"> </w:t>
      </w:r>
      <w:r w:rsidRPr="00A1128E">
        <w:t>Heterosexual sex in</w:t>
      </w:r>
      <w:r>
        <w:t xml:space="preserve"> respondents’</w:t>
      </w:r>
      <w:r w:rsidRPr="00A1128E">
        <w:t xml:space="preserve"> lifetime</w:t>
      </w:r>
      <w:r>
        <w:t xml:space="preserve">s, </w:t>
      </w:r>
      <w:r w:rsidRPr="005B1DC2">
        <w:t>by</w:t>
      </w:r>
      <w:r>
        <w:t xml:space="preserve"> neighbourhood deprivation and gender</w:t>
      </w:r>
      <w:bookmarkEnd w:id="18"/>
      <w:bookmarkEnd w:id="19"/>
      <w:bookmarkEnd w:id="20"/>
      <w:bookmarkEnd w:id="21"/>
      <w:bookmarkEnd w:id="22"/>
    </w:p>
    <w:p w14:paraId="555BB1E6" w14:textId="6968E502" w:rsidR="0007332F" w:rsidRPr="0007332F" w:rsidRDefault="009479A7" w:rsidP="0007332F">
      <w:r w:rsidRPr="009479A7">
        <w:rPr>
          <w:noProof/>
          <w:lang w:eastAsia="en-NZ"/>
        </w:rPr>
        <w:drawing>
          <wp:inline distT="0" distB="0" distL="0" distR="0" wp14:anchorId="78267D40" wp14:editId="028693F9">
            <wp:extent cx="5130165" cy="3347762"/>
            <wp:effectExtent l="0" t="0" r="0" b="5080"/>
            <wp:docPr id="26" name="Picture 26" descr="People in the least deprived neighborhoods were slightly more likely than others to have had heterosexual sex, but while the percentage decreased with deprivation, the decline was very s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30165" cy="3347762"/>
                    </a:xfrm>
                    <a:prstGeom prst="rect">
                      <a:avLst/>
                    </a:prstGeom>
                  </pic:spPr>
                </pic:pic>
              </a:graphicData>
            </a:graphic>
          </wp:inline>
        </w:drawing>
      </w:r>
    </w:p>
    <w:p w14:paraId="63DA7BCB" w14:textId="77777777" w:rsidR="00F902A0" w:rsidRPr="009C376F" w:rsidRDefault="00F902A0" w:rsidP="0007332F"/>
    <w:p w14:paraId="5FF6FEB4" w14:textId="77777777" w:rsidR="00F902A0" w:rsidRPr="00340D78" w:rsidRDefault="00F902A0" w:rsidP="001122D9">
      <w:pPr>
        <w:pStyle w:val="Heading1"/>
      </w:pPr>
      <w:bookmarkStart w:id="23" w:name="_Toc5169938"/>
      <w:bookmarkStart w:id="24" w:name="_Toc21090229"/>
      <w:bookmarkStart w:id="25" w:name="_Toc22219957"/>
      <w:r w:rsidRPr="00340D78">
        <w:lastRenderedPageBreak/>
        <w:t>Types of heterosexual sex in the year preceding the survey</w:t>
      </w:r>
      <w:bookmarkEnd w:id="23"/>
      <w:bookmarkEnd w:id="24"/>
      <w:bookmarkEnd w:id="25"/>
    </w:p>
    <w:p w14:paraId="21962BE4" w14:textId="2BA28348" w:rsidR="00F902A0" w:rsidRPr="00340D78" w:rsidRDefault="00F902A0" w:rsidP="001122D9">
      <w:r w:rsidRPr="00340D78">
        <w:t>This section sets out responses to the four questions in the survey on types of heterosexual sex</w:t>
      </w:r>
      <w:r>
        <w:t>.</w:t>
      </w:r>
      <w:r w:rsidRPr="001122D9">
        <w:rPr>
          <w:rStyle w:val="FootnoteReference"/>
        </w:rPr>
        <w:footnoteReference w:id="3"/>
      </w:r>
      <w:r w:rsidRPr="001122D9">
        <w:t xml:space="preserve"> </w:t>
      </w:r>
      <w:r>
        <w:t>F</w:t>
      </w:r>
      <w:r w:rsidRPr="00340D78">
        <w:t>or men</w:t>
      </w:r>
      <w:r>
        <w:t>,</w:t>
      </w:r>
      <w:r w:rsidRPr="001122D9">
        <w:rPr>
          <w:rStyle w:val="FootnoteReference"/>
        </w:rPr>
        <w:footnoteReference w:id="4"/>
      </w:r>
      <w:r w:rsidRPr="001122D9">
        <w:t xml:space="preserve"> </w:t>
      </w:r>
      <w:r w:rsidRPr="00340D78">
        <w:t>these questions were</w:t>
      </w:r>
      <w:r>
        <w:t xml:space="preserve"> as follows.</w:t>
      </w:r>
    </w:p>
    <w:p w14:paraId="191E7DE8" w14:textId="14931D7A" w:rsidR="00F902A0" w:rsidRPr="00340D78" w:rsidRDefault="00F902A0" w:rsidP="001122D9">
      <w:pPr>
        <w:pStyle w:val="Bullet"/>
      </w:pPr>
      <w:r w:rsidRPr="00D976FC">
        <w:rPr>
          <w:rFonts w:ascii="Calibri" w:hAnsi="Calibri" w:cs="Calibri"/>
        </w:rPr>
        <w:t>‘</w:t>
      </w:r>
      <w:r w:rsidRPr="00340D78">
        <w:t>When, if ever, was the last occasion you had vaginal sex with a female? Vaginal sex is a male’s penis in a female’s vagina.’</w:t>
      </w:r>
    </w:p>
    <w:p w14:paraId="41D0E9F9" w14:textId="6ADE8D43" w:rsidR="00F902A0" w:rsidRPr="00340D78" w:rsidRDefault="00F902A0" w:rsidP="001122D9">
      <w:pPr>
        <w:pStyle w:val="Bullet"/>
      </w:pPr>
      <w:r w:rsidRPr="00340D78">
        <w:t>‘When, if ever, was the last occasion you had oral sex with a female? Oral sex is a female’s or male’s mouth on a partner’s genital area.’</w:t>
      </w:r>
    </w:p>
    <w:p w14:paraId="06ACD43F" w14:textId="76DE292A" w:rsidR="00F902A0" w:rsidRPr="00340D78" w:rsidRDefault="00F902A0" w:rsidP="001122D9">
      <w:pPr>
        <w:pStyle w:val="Bullet"/>
      </w:pPr>
      <w:r w:rsidRPr="00340D78">
        <w:t>‘When, if ever, was the last occasion you had anal sex with a female? Anal sex is a male’s penis in a partner’s anus (rectum or back passage)</w:t>
      </w:r>
      <w:r>
        <w:t>.’</w:t>
      </w:r>
    </w:p>
    <w:p w14:paraId="2F571FBF" w14:textId="77777777" w:rsidR="00F902A0" w:rsidRPr="00340D78" w:rsidRDefault="00F902A0" w:rsidP="001122D9">
      <w:pPr>
        <w:pStyle w:val="Bullet"/>
      </w:pPr>
      <w:r w:rsidRPr="00340D78">
        <w:t>‘When, if ever, was the last occasion you had genital contact with a female not involving vaginal, oral, or anal sex? That is, genital contact intended to achieve orgasm, for example, stimulating by hand.’</w:t>
      </w:r>
    </w:p>
    <w:p w14:paraId="3C69B854" w14:textId="77777777" w:rsidR="00F902A0" w:rsidRPr="00340D78" w:rsidRDefault="00F902A0" w:rsidP="001122D9">
      <w:pPr>
        <w:pStyle w:val="Bullet"/>
      </w:pPr>
      <w:r>
        <w:t xml:space="preserve">Answers of </w:t>
      </w:r>
      <w:r w:rsidRPr="00340D78">
        <w:t xml:space="preserve">‘In the last 7 days’, ‘Between 7 days and 4 weeks ago’, ‘Between 4 weeks and 6 months ago’ </w:t>
      </w:r>
      <w:r>
        <w:t xml:space="preserve">and </w:t>
      </w:r>
      <w:r w:rsidRPr="00340D78">
        <w:t xml:space="preserve">‘Between 6 months and 1 year ago’ were combined for each type of sex to </w:t>
      </w:r>
      <w:r>
        <w:t xml:space="preserve">arrive at numbers of respondents </w:t>
      </w:r>
      <w:r w:rsidRPr="00340D78">
        <w:t>having had vaginal, oral or anal sex, or genital contact, in the last year.</w:t>
      </w:r>
    </w:p>
    <w:p w14:paraId="3ED15578" w14:textId="77777777" w:rsidR="00F902A0" w:rsidRPr="00630E71" w:rsidRDefault="00F902A0" w:rsidP="001122D9">
      <w:pPr>
        <w:rPr>
          <w:lang w:val="en-US"/>
        </w:rPr>
      </w:pPr>
    </w:p>
    <w:p w14:paraId="7FC8A618" w14:textId="77EF7029" w:rsidR="00F902A0" w:rsidRPr="00CE4CB9" w:rsidRDefault="00F902A0" w:rsidP="001122D9">
      <w:pPr>
        <w:pStyle w:val="Heading4"/>
        <w:rPr>
          <w:i/>
          <w:iCs/>
        </w:rPr>
      </w:pPr>
      <w:r w:rsidRPr="00CE4CB9">
        <w:lastRenderedPageBreak/>
        <w:t xml:space="preserve">Adults were more likely to have had vaginal sex in the last </w:t>
      </w:r>
      <w:r w:rsidR="00D05470">
        <w:t>year than any other type of sex</w:t>
      </w:r>
    </w:p>
    <w:p w14:paraId="4F98EE30" w14:textId="2185F10D" w:rsidR="00F902A0" w:rsidRPr="00340D78" w:rsidRDefault="00F902A0" w:rsidP="00D05470">
      <w:pPr>
        <w:pStyle w:val="Bullet"/>
        <w:keepNext/>
      </w:pPr>
      <w:r w:rsidRPr="00340D78">
        <w:t>Overall,</w:t>
      </w:r>
      <w:r w:rsidRPr="001122D9">
        <w:rPr>
          <w:rStyle w:val="FootnoteReference"/>
        </w:rPr>
        <w:footnoteReference w:id="5"/>
      </w:r>
      <w:r w:rsidRPr="001122D9">
        <w:t xml:space="preserve"> </w:t>
      </w:r>
      <w:bookmarkStart w:id="26" w:name="_Hlk20480818"/>
      <w:r w:rsidRPr="00080CF9">
        <w:t>in the last year,</w:t>
      </w:r>
      <w:r>
        <w:rPr>
          <w:vertAlign w:val="superscript"/>
        </w:rPr>
        <w:t xml:space="preserve"> </w:t>
      </w:r>
      <w:r w:rsidRPr="00340D78">
        <w:t>75</w:t>
      </w:r>
      <w:r>
        <w:t> percent</w:t>
      </w:r>
      <w:r w:rsidRPr="00340D78">
        <w:t xml:space="preserve"> of men and 68</w:t>
      </w:r>
      <w:r>
        <w:t> percent</w:t>
      </w:r>
      <w:r w:rsidRPr="00340D78">
        <w:t xml:space="preserve"> of women had </w:t>
      </w:r>
      <w:r>
        <w:t xml:space="preserve">had </w:t>
      </w:r>
      <w:r w:rsidRPr="00340D78">
        <w:t>vaginal sex</w:t>
      </w:r>
      <w:r>
        <w:t>,</w:t>
      </w:r>
      <w:r w:rsidRPr="00340D78">
        <w:t xml:space="preserve"> 59</w:t>
      </w:r>
      <w:r>
        <w:t> percent</w:t>
      </w:r>
      <w:r w:rsidRPr="00340D78">
        <w:t xml:space="preserve"> of men and 49</w:t>
      </w:r>
      <w:r>
        <w:t> percent</w:t>
      </w:r>
      <w:r w:rsidRPr="00340D78">
        <w:t xml:space="preserve"> of women had </w:t>
      </w:r>
      <w:r>
        <w:t xml:space="preserve">had </w:t>
      </w:r>
      <w:r w:rsidRPr="00340D78">
        <w:t>oral sex, 10</w:t>
      </w:r>
      <w:r>
        <w:t> percent</w:t>
      </w:r>
      <w:r w:rsidRPr="00340D78">
        <w:t xml:space="preserve"> of men and </w:t>
      </w:r>
      <w:r>
        <w:t>7 percent</w:t>
      </w:r>
      <w:r w:rsidRPr="00340D78">
        <w:t xml:space="preserve"> of women had </w:t>
      </w:r>
      <w:r>
        <w:t xml:space="preserve">had </w:t>
      </w:r>
      <w:r w:rsidRPr="00340D78">
        <w:t>anal sex and 61</w:t>
      </w:r>
      <w:r>
        <w:t> percent</w:t>
      </w:r>
      <w:r w:rsidRPr="00340D78">
        <w:t xml:space="preserve"> of men and 52</w:t>
      </w:r>
      <w:r>
        <w:t> percent</w:t>
      </w:r>
      <w:r w:rsidRPr="00340D78">
        <w:t xml:space="preserve"> of women had </w:t>
      </w:r>
      <w:r w:rsidR="001122D9">
        <w:t>genital contact.</w:t>
      </w:r>
    </w:p>
    <w:bookmarkEnd w:id="26"/>
    <w:p w14:paraId="38F690DD" w14:textId="0F2A4644" w:rsidR="00F902A0" w:rsidRDefault="00F902A0" w:rsidP="00D05470">
      <w:pPr>
        <w:pStyle w:val="Bullet"/>
        <w:keepNext/>
      </w:pPr>
      <w:r w:rsidRPr="00340D78">
        <w:t>Sexual behaviours in the last year var</w:t>
      </w:r>
      <w:r>
        <w:t>ied</w:t>
      </w:r>
      <w:r w:rsidRPr="00340D78">
        <w:t xml:space="preserve"> with age (Figure 4). More than 75</w:t>
      </w:r>
      <w:r>
        <w:t> percent</w:t>
      </w:r>
      <w:r w:rsidRPr="00340D78">
        <w:t xml:space="preserve"> of all men aged 25–64 years, and 53</w:t>
      </w:r>
      <w:r>
        <w:t> percent</w:t>
      </w:r>
      <w:r w:rsidRPr="00340D78">
        <w:t xml:space="preserve"> of men aged 65–74</w:t>
      </w:r>
      <w:r>
        <w:t>,</w:t>
      </w:r>
      <w:r w:rsidRPr="00340D78">
        <w:t xml:space="preserve"> had </w:t>
      </w:r>
      <w:r>
        <w:t xml:space="preserve">had </w:t>
      </w:r>
      <w:r w:rsidRPr="00340D78">
        <w:t>vaginal sex</w:t>
      </w:r>
      <w:r>
        <w:t xml:space="preserve"> in the last year</w:t>
      </w:r>
      <w:r w:rsidRPr="00340D78">
        <w:t xml:space="preserve">. </w:t>
      </w:r>
      <w:r>
        <w:t>50 </w:t>
      </w:r>
      <w:r w:rsidRPr="00340D78">
        <w:t>percent of women aged less than 65 years and 42</w:t>
      </w:r>
      <w:r>
        <w:t> percent</w:t>
      </w:r>
      <w:r w:rsidRPr="00340D78">
        <w:t xml:space="preserve"> aged 65–74 had </w:t>
      </w:r>
      <w:r>
        <w:t xml:space="preserve">had </w:t>
      </w:r>
      <w:r w:rsidRPr="00340D78">
        <w:t>vaginal sex</w:t>
      </w:r>
      <w:r>
        <w:t xml:space="preserve"> over this time</w:t>
      </w:r>
      <w:r w:rsidRPr="00340D78">
        <w:t>. Genital contact in the last year was less common with increasing age from age 35 years for men and women</w:t>
      </w:r>
      <w:r>
        <w:t>;</w:t>
      </w:r>
      <w:r w:rsidRPr="00340D78">
        <w:t xml:space="preserve"> the drop </w:t>
      </w:r>
      <w:r>
        <w:t xml:space="preserve">was </w:t>
      </w:r>
      <w:r w:rsidR="001122D9">
        <w:t>steeper for women.</w:t>
      </w:r>
    </w:p>
    <w:p w14:paraId="4164FC05" w14:textId="77777777" w:rsidR="001122D9" w:rsidRPr="00340D78" w:rsidRDefault="001122D9" w:rsidP="00D05470">
      <w:pPr>
        <w:keepNext/>
      </w:pPr>
    </w:p>
    <w:p w14:paraId="66203790" w14:textId="5CB60DC0" w:rsidR="00F902A0" w:rsidRDefault="00F902A0" w:rsidP="001122D9">
      <w:pPr>
        <w:pStyle w:val="Figure"/>
      </w:pPr>
      <w:bookmarkStart w:id="27" w:name="_Toc1755014"/>
      <w:bookmarkStart w:id="28" w:name="_Toc5173202"/>
      <w:bookmarkStart w:id="29" w:name="_Toc13043011"/>
      <w:bookmarkStart w:id="30" w:name="_Toc21090240"/>
      <w:bookmarkStart w:id="31" w:name="_Toc22219921"/>
      <w:r>
        <w:t xml:space="preserve">Figure </w:t>
      </w:r>
      <w:r w:rsidR="00A152B9">
        <w:fldChar w:fldCharType="begin"/>
      </w:r>
      <w:r w:rsidR="00A152B9">
        <w:instrText xml:space="preserve"> SEQ Figure \* ARABIC </w:instrText>
      </w:r>
      <w:r w:rsidR="00A152B9">
        <w:fldChar w:fldCharType="separate"/>
      </w:r>
      <w:r w:rsidR="00A152B9">
        <w:rPr>
          <w:noProof/>
        </w:rPr>
        <w:t>4</w:t>
      </w:r>
      <w:r w:rsidR="00A152B9">
        <w:rPr>
          <w:noProof/>
        </w:rPr>
        <w:fldChar w:fldCharType="end"/>
      </w:r>
      <w:r>
        <w:t>: Type of sex in the 12 months preceding the survey (total population), by age group and gender</w:t>
      </w:r>
      <w:bookmarkEnd w:id="27"/>
      <w:bookmarkEnd w:id="28"/>
      <w:bookmarkEnd w:id="29"/>
      <w:bookmarkEnd w:id="30"/>
      <w:bookmarkEnd w:id="31"/>
    </w:p>
    <w:tbl>
      <w:tblPr>
        <w:tblStyle w:val="TableGrid"/>
        <w:tblW w:w="82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2268"/>
        <w:gridCol w:w="1985"/>
        <w:gridCol w:w="1276"/>
        <w:gridCol w:w="1984"/>
      </w:tblGrid>
      <w:tr w:rsidR="002004B4" w14:paraId="548946C8" w14:textId="77777777" w:rsidTr="00F13AB2">
        <w:trPr>
          <w:cantSplit/>
        </w:trPr>
        <w:tc>
          <w:tcPr>
            <w:tcW w:w="709" w:type="dxa"/>
          </w:tcPr>
          <w:p w14:paraId="1051B4D9" w14:textId="46CFE7D3" w:rsidR="002004B4" w:rsidRDefault="002004B4" w:rsidP="002004B4">
            <w:r w:rsidRPr="002004B4">
              <w:rPr>
                <w:noProof/>
              </w:rPr>
              <w:drawing>
                <wp:inline distT="0" distB="0" distL="0" distR="0" wp14:anchorId="30FD593A" wp14:editId="16DED4E0">
                  <wp:extent cx="382386" cy="1567570"/>
                  <wp:effectExtent l="0" t="0" r="0" b="0"/>
                  <wp:docPr id="14" name="Picture 14" descr="This figure shows the age groups, from 16-24 through 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r="84082"/>
                          <a:stretch/>
                        </pic:blipFill>
                        <pic:spPr bwMode="auto">
                          <a:xfrm>
                            <a:off x="0" y="0"/>
                            <a:ext cx="389028" cy="1594798"/>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Pr>
          <w:p w14:paraId="29939292" w14:textId="1EA840B9" w:rsidR="002004B4" w:rsidRDefault="002004B4" w:rsidP="002004B4">
            <w:r w:rsidRPr="002004B4">
              <w:rPr>
                <w:noProof/>
              </w:rPr>
              <w:drawing>
                <wp:inline distT="0" distB="0" distL="0" distR="0" wp14:anchorId="37C7AE1B" wp14:editId="62AEFFDA">
                  <wp:extent cx="1327526" cy="1529542"/>
                  <wp:effectExtent l="0" t="0" r="6350" b="0"/>
                  <wp:docPr id="16" name="Picture 16" descr="This figure shows the percentage of men and women in each age group who had vaginal sex in the previous 12 months. Over 85% of men and women age 25-44 had vaginal sex, 82% men and 72% of women aged 45-54; 76% of men and 58% of women age 55-65. The 16-24 age group was the next-most-active at 60% for men and 56% for women, and the least active group was 65-74, with 53% of men and 42% of women re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3469" r="29893"/>
                          <a:stretch/>
                        </pic:blipFill>
                        <pic:spPr bwMode="auto">
                          <a:xfrm>
                            <a:off x="0" y="0"/>
                            <a:ext cx="1335875" cy="1539162"/>
                          </a:xfrm>
                          <a:prstGeom prst="rect">
                            <a:avLst/>
                          </a:prstGeom>
                          <a:ln>
                            <a:noFill/>
                          </a:ln>
                          <a:extLst>
                            <a:ext uri="{53640926-AAD7-44D8-BBD7-CCE9431645EC}">
                              <a14:shadowObscured xmlns:a14="http://schemas.microsoft.com/office/drawing/2010/main"/>
                            </a:ext>
                          </a:extLst>
                        </pic:spPr>
                      </pic:pic>
                    </a:graphicData>
                  </a:graphic>
                </wp:inline>
              </w:drawing>
            </w:r>
          </w:p>
        </w:tc>
        <w:tc>
          <w:tcPr>
            <w:tcW w:w="1985" w:type="dxa"/>
          </w:tcPr>
          <w:p w14:paraId="28884712" w14:textId="21ECDCEC" w:rsidR="002004B4" w:rsidRDefault="002004B4" w:rsidP="002004B4">
            <w:r w:rsidRPr="002004B4">
              <w:rPr>
                <w:noProof/>
              </w:rPr>
              <w:drawing>
                <wp:inline distT="0" distB="0" distL="0" distR="0" wp14:anchorId="16E3FECA" wp14:editId="5ECC21C2">
                  <wp:extent cx="1109209" cy="1529542"/>
                  <wp:effectExtent l="0" t="0" r="0" b="0"/>
                  <wp:docPr id="17" name="Picture 17" descr="This figure shows oral sex activity. About 75% of men aged 25-44 reported participating in this activity, compared to about 70% of women. For the 45-54 age group, 63% of men and 48% of women reported; for ages 16-24, 61% of men and 52% of women reported. Older age groups were the least active. 45% of men and 29% of women age 55-65 reported, and only 22% of men and 11% of women age 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7622" r="35054"/>
                          <a:stretch/>
                        </pic:blipFill>
                        <pic:spPr bwMode="auto">
                          <a:xfrm>
                            <a:off x="0" y="0"/>
                            <a:ext cx="1110949" cy="1531941"/>
                          </a:xfrm>
                          <a:prstGeom prst="rect">
                            <a:avLst/>
                          </a:prstGeom>
                          <a:ln>
                            <a:noFill/>
                          </a:ln>
                          <a:extLst>
                            <a:ext uri="{53640926-AAD7-44D8-BBD7-CCE9431645EC}">
                              <a14:shadowObscured xmlns:a14="http://schemas.microsoft.com/office/drawing/2010/main"/>
                            </a:ext>
                          </a:extLst>
                        </pic:spPr>
                      </pic:pic>
                    </a:graphicData>
                  </a:graphic>
                </wp:inline>
              </w:drawing>
            </w:r>
          </w:p>
        </w:tc>
        <w:tc>
          <w:tcPr>
            <w:tcW w:w="1276" w:type="dxa"/>
          </w:tcPr>
          <w:p w14:paraId="1D6AA530" w14:textId="7D6848DE" w:rsidR="002004B4" w:rsidRDefault="002004B4" w:rsidP="002004B4">
            <w:r w:rsidRPr="002004B4">
              <w:rPr>
                <w:noProof/>
              </w:rPr>
              <w:drawing>
                <wp:inline distT="0" distB="0" distL="0" distR="0" wp14:anchorId="24C056AD" wp14:editId="3B21B782">
                  <wp:extent cx="667783" cy="1529542"/>
                  <wp:effectExtent l="0" t="0" r="0" b="0"/>
                  <wp:docPr id="18" name="Picture 18" descr="No more than 20% of any age group reported participating in anal sex. 18% of men and 12% of women in the 25-34 age group reported it, the most likely group. 13% of men aged 16-24 reported it, and 11% of men aged 35-44. All other groups reported at 9% or 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7679" r="43831"/>
                          <a:stretch/>
                        </pic:blipFill>
                        <pic:spPr bwMode="auto">
                          <a:xfrm>
                            <a:off x="0" y="0"/>
                            <a:ext cx="673516" cy="1542673"/>
                          </a:xfrm>
                          <a:prstGeom prst="rect">
                            <a:avLst/>
                          </a:prstGeom>
                          <a:ln>
                            <a:noFill/>
                          </a:ln>
                          <a:extLst>
                            <a:ext uri="{53640926-AAD7-44D8-BBD7-CCE9431645EC}">
                              <a14:shadowObscured xmlns:a14="http://schemas.microsoft.com/office/drawing/2010/main"/>
                            </a:ext>
                          </a:extLst>
                        </pic:spPr>
                      </pic:pic>
                    </a:graphicData>
                  </a:graphic>
                </wp:inline>
              </w:drawing>
            </w:r>
          </w:p>
        </w:tc>
        <w:tc>
          <w:tcPr>
            <w:tcW w:w="1984" w:type="dxa"/>
          </w:tcPr>
          <w:p w14:paraId="1F4FD41E" w14:textId="28AE6E30" w:rsidR="002004B4" w:rsidRDefault="002004B4" w:rsidP="002004B4">
            <w:r w:rsidRPr="002004B4">
              <w:rPr>
                <w:noProof/>
              </w:rPr>
              <w:drawing>
                <wp:inline distT="0" distB="0" distL="0" distR="0" wp14:anchorId="46C5FC7B" wp14:editId="36218787">
                  <wp:extent cx="1162492" cy="1529542"/>
                  <wp:effectExtent l="0" t="0" r="0" b="0"/>
                  <wp:docPr id="19" name="Picture 19" descr="This figure shows percentages of genital contact for each age group. 75% of men and 69% of women reported this in the 25-34 age group. The 35-44 group was slightly less active, at 70% for men and 66% for women, then 63% of men and 55% of women in the 45-54 age group. 59% of men and 49% of women in the 16-24 age group reported, 55% of men and 39% of women in the 55-64 group, and 38% of men and 25% of women in the 65-74 group, the least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5816" r="34587"/>
                          <a:stretch/>
                        </pic:blipFill>
                        <pic:spPr bwMode="auto">
                          <a:xfrm>
                            <a:off x="0" y="0"/>
                            <a:ext cx="1170986" cy="1540718"/>
                          </a:xfrm>
                          <a:prstGeom prst="rect">
                            <a:avLst/>
                          </a:prstGeom>
                          <a:ln>
                            <a:noFill/>
                          </a:ln>
                          <a:extLst>
                            <a:ext uri="{53640926-AAD7-44D8-BBD7-CCE9431645EC}">
                              <a14:shadowObscured xmlns:a14="http://schemas.microsoft.com/office/drawing/2010/main"/>
                            </a:ext>
                          </a:extLst>
                        </pic:spPr>
                      </pic:pic>
                    </a:graphicData>
                  </a:graphic>
                </wp:inline>
              </w:drawing>
            </w:r>
          </w:p>
        </w:tc>
      </w:tr>
    </w:tbl>
    <w:p w14:paraId="636CC169" w14:textId="77777777" w:rsidR="002004B4" w:rsidRDefault="002004B4" w:rsidP="002004B4"/>
    <w:p w14:paraId="1783642A" w14:textId="181C903C" w:rsidR="00F902A0" w:rsidRPr="00CE4CB9" w:rsidRDefault="00F902A0" w:rsidP="001122D9">
      <w:pPr>
        <w:pStyle w:val="Heading4"/>
        <w:rPr>
          <w:i/>
          <w:iCs/>
        </w:rPr>
      </w:pPr>
      <w:r>
        <w:t>M</w:t>
      </w:r>
      <w:r w:rsidRPr="00260194">
        <w:t xml:space="preserve">en were more likely to have had </w:t>
      </w:r>
      <w:r>
        <w:t xml:space="preserve">vaginal </w:t>
      </w:r>
      <w:r w:rsidRPr="00260194">
        <w:t>sex</w:t>
      </w:r>
      <w:r>
        <w:t xml:space="preserve"> in the last year than women</w:t>
      </w:r>
    </w:p>
    <w:p w14:paraId="26A6676A" w14:textId="77777777" w:rsidR="00F902A0" w:rsidRDefault="00F902A0" w:rsidP="00FD6E9A">
      <w:pPr>
        <w:pStyle w:val="Bullet"/>
        <w:keepNext/>
      </w:pPr>
      <w:r>
        <w:t>75 percent of men had had vaginal sex in the last year, compared with 68 percent of women.</w:t>
      </w:r>
    </w:p>
    <w:p w14:paraId="58DA2446" w14:textId="5420824E" w:rsidR="00F902A0" w:rsidRPr="000B6278" w:rsidRDefault="00F902A0" w:rsidP="00FD6E9A">
      <w:pPr>
        <w:pStyle w:val="Bullet"/>
        <w:keepNext/>
      </w:pPr>
      <w:r w:rsidRPr="000B6278">
        <w:t>Men were 1.1 times as likely to have had vaginal sex in the last year as women, after</w:t>
      </w:r>
      <w:r w:rsidR="00D05470">
        <w:t xml:space="preserve"> adjusting for age differences.</w:t>
      </w:r>
    </w:p>
    <w:p w14:paraId="43AE784E" w14:textId="77777777" w:rsidR="00F902A0" w:rsidRPr="00012133" w:rsidRDefault="00F902A0" w:rsidP="00FD6E9A">
      <w:pPr>
        <w:pStyle w:val="Bullet"/>
        <w:keepLines/>
      </w:pPr>
      <w:r w:rsidRPr="00012133">
        <w:t>The percentage of adults who had vaginal sex in the last year varied by ethnic group. For Māori, Pacific, Asian and European/Other men, the figures were 78, 64, 69 and 77 and percent respectively. For Māori, Pacific, Asian and European/Other women, they were 70, 57, 60 and 71 percent respectively. Pacific men and women were 0.8 times as likely as non-Pacific men and women, and Asian men and women 0.8 times as likely as non-Asian men and women, to have had vaginal sex, after adjustment for age.</w:t>
      </w:r>
    </w:p>
    <w:p w14:paraId="174A313D" w14:textId="211533EB" w:rsidR="00F902A0" w:rsidRDefault="00F902A0" w:rsidP="00B205F5">
      <w:pPr>
        <w:pStyle w:val="Bullet"/>
        <w:keepLines/>
      </w:pPr>
      <w:r>
        <w:lastRenderedPageBreak/>
        <w:t>C</w:t>
      </w:r>
      <w:r w:rsidRPr="000B6278">
        <w:t xml:space="preserve">omparing the least deprived neighbourhoods with the most deprived </w:t>
      </w:r>
      <w:r>
        <w:t xml:space="preserve">neighbourhoods, percentages of </w:t>
      </w:r>
      <w:r w:rsidRPr="000B6278">
        <w:t xml:space="preserve">men </w:t>
      </w:r>
      <w:r>
        <w:t xml:space="preserve">who had had vaginal sex in the last year </w:t>
      </w:r>
      <w:r w:rsidRPr="000B6278">
        <w:t>were 82 and 67</w:t>
      </w:r>
      <w:r>
        <w:t> percent respectively;</w:t>
      </w:r>
      <w:r w:rsidRPr="000B6278">
        <w:t xml:space="preserve"> </w:t>
      </w:r>
      <w:r>
        <w:t xml:space="preserve">the equivalent figures </w:t>
      </w:r>
      <w:r w:rsidRPr="000B6278">
        <w:t>for women were 72 and 63</w:t>
      </w:r>
      <w:r>
        <w:t> percent</w:t>
      </w:r>
      <w:r w:rsidRPr="000B6278">
        <w:t>. Men and women living in the most deprived neighbourhoods were 0.8</w:t>
      </w:r>
      <w:r w:rsidR="001122D9">
        <w:t> </w:t>
      </w:r>
      <w:r w:rsidRPr="000B6278">
        <w:t>times as likely to have had vaginal sex as those living in the least, after adjustment for age and ethnic group.</w:t>
      </w:r>
    </w:p>
    <w:p w14:paraId="45759464" w14:textId="77777777" w:rsidR="001122D9" w:rsidRPr="000B6278" w:rsidRDefault="001122D9" w:rsidP="001122D9"/>
    <w:p w14:paraId="144FB007" w14:textId="77777777" w:rsidR="00F902A0" w:rsidRPr="00CE4CB9" w:rsidRDefault="00F902A0" w:rsidP="001122D9">
      <w:pPr>
        <w:pStyle w:val="Heading4"/>
        <w:rPr>
          <w:i/>
          <w:iCs/>
        </w:rPr>
      </w:pPr>
      <w:r>
        <w:t>Māori and European/Other</w:t>
      </w:r>
      <w:r w:rsidRPr="00260194">
        <w:t xml:space="preserve"> </w:t>
      </w:r>
      <w:r>
        <w:t xml:space="preserve">adults </w:t>
      </w:r>
      <w:r w:rsidRPr="00260194">
        <w:t>were mo</w:t>
      </w:r>
      <w:r>
        <w:t>re</w:t>
      </w:r>
      <w:r w:rsidRPr="00260194">
        <w:t xml:space="preserve"> likely to have had </w:t>
      </w:r>
      <w:r>
        <w:t xml:space="preserve">oral </w:t>
      </w:r>
      <w:r w:rsidRPr="00260194">
        <w:t>sex</w:t>
      </w:r>
      <w:r>
        <w:t xml:space="preserve"> in the last year than Pacific and Asian adults</w:t>
      </w:r>
    </w:p>
    <w:p w14:paraId="5020BF3A" w14:textId="77777777" w:rsidR="00F902A0" w:rsidRPr="00F93190" w:rsidRDefault="00F902A0" w:rsidP="001122D9">
      <w:pPr>
        <w:pStyle w:val="Bullet"/>
      </w:pPr>
      <w:r w:rsidRPr="00F93190">
        <w:t>The percentage of adults who had had oral sex in the last year varied by ethnic group. Figures for Māori, Pacific, Asian and European/Other men were 65, 55, 52 and 60 percent respectively. Equivalent figures for women were 56, 39, 33 and 52 percent respectively. Māori women were 1.1 times as likely to have had oral sex as non-Māori women; Pacific women were 0.7 times as likely to have had oral sex as non-Pacific women; and Asian men and women were 0.6 times as likely to have had oral sex as non-Asian men and women, after adjustment for age.</w:t>
      </w:r>
    </w:p>
    <w:p w14:paraId="1355073D" w14:textId="77777777" w:rsidR="00F902A0" w:rsidRPr="002B15C7" w:rsidRDefault="00F902A0" w:rsidP="001122D9">
      <w:pPr>
        <w:pStyle w:val="Bullet"/>
      </w:pPr>
      <w:r w:rsidRPr="002B15C7">
        <w:t>Men were 1.2 times as likely to have had oral sex as women in the last year, after adjusting for age differences.</w:t>
      </w:r>
    </w:p>
    <w:p w14:paraId="4003699B" w14:textId="77777777" w:rsidR="00F902A0" w:rsidRPr="002B15C7" w:rsidRDefault="00F902A0" w:rsidP="001122D9">
      <w:pPr>
        <w:pStyle w:val="Bullet"/>
      </w:pPr>
      <w:r w:rsidRPr="002B15C7">
        <w:t>Oral sex in the last year was most common among younger men and women; the percentages declined substantially after age 55 years.</w:t>
      </w:r>
    </w:p>
    <w:p w14:paraId="5DF72CDC" w14:textId="77777777" w:rsidR="00F902A0" w:rsidRPr="000F4B72" w:rsidRDefault="00F902A0" w:rsidP="001122D9">
      <w:pPr>
        <w:pStyle w:val="Bullet"/>
      </w:pPr>
      <w:r w:rsidRPr="002B15C7">
        <w:t xml:space="preserve">The percentage of adults who </w:t>
      </w:r>
      <w:r>
        <w:t xml:space="preserve">had </w:t>
      </w:r>
      <w:r w:rsidRPr="002B15C7">
        <w:t>had oral sex in the last year also varied by deprivation. Comparing the least deprived with the most deprived neighbourhoods</w:t>
      </w:r>
      <w:r>
        <w:t>,</w:t>
      </w:r>
      <w:r w:rsidRPr="002B15C7">
        <w:t xml:space="preserve"> for men, </w:t>
      </w:r>
      <w:r>
        <w:t xml:space="preserve">the respective figures </w:t>
      </w:r>
      <w:r w:rsidRPr="002B15C7">
        <w:t>were 60 and 56</w:t>
      </w:r>
      <w:r>
        <w:t> percent;</w:t>
      </w:r>
      <w:r w:rsidRPr="002B15C7">
        <w:t xml:space="preserve"> for women, </w:t>
      </w:r>
      <w:r>
        <w:t xml:space="preserve">they </w:t>
      </w:r>
      <w:r w:rsidRPr="002B15C7">
        <w:t>were 52 and 47</w:t>
      </w:r>
      <w:r>
        <w:t> percent</w:t>
      </w:r>
      <w:r w:rsidRPr="002B15C7">
        <w:t>. Oral sex was 0.8 times as likely among women living in the most deprived neighbourhoods as those living in the least, after adjustment for age and ethnic group.</w:t>
      </w:r>
    </w:p>
    <w:p w14:paraId="6E80CDAF" w14:textId="77777777" w:rsidR="00F902A0" w:rsidRDefault="00F902A0" w:rsidP="001122D9"/>
    <w:p w14:paraId="5E5FA3A4" w14:textId="77777777" w:rsidR="00F902A0" w:rsidRDefault="00F902A0" w:rsidP="001122D9">
      <w:pPr>
        <w:pStyle w:val="Heading4"/>
      </w:pPr>
      <w:r w:rsidRPr="001E116E">
        <w:t>Anal sex</w:t>
      </w:r>
      <w:r>
        <w:t xml:space="preserve"> was </w:t>
      </w:r>
      <w:r w:rsidRPr="001E116E">
        <w:t>the least common form of heterosexual sex</w:t>
      </w:r>
    </w:p>
    <w:p w14:paraId="1615A82B" w14:textId="77777777" w:rsidR="00F902A0" w:rsidRPr="000F4B72" w:rsidRDefault="00F902A0" w:rsidP="00FD6E9A">
      <w:pPr>
        <w:pStyle w:val="Bullet"/>
        <w:keepNext/>
      </w:pPr>
      <w:r w:rsidRPr="000F4B72">
        <w:t>Only 10</w:t>
      </w:r>
      <w:r>
        <w:t> percent</w:t>
      </w:r>
      <w:r w:rsidRPr="000F4B72">
        <w:t xml:space="preserve"> of men and 6.8</w:t>
      </w:r>
      <w:r>
        <w:t> percent</w:t>
      </w:r>
      <w:r w:rsidRPr="000F4B72">
        <w:t xml:space="preserve"> of women had </w:t>
      </w:r>
      <w:r>
        <w:t xml:space="preserve">had </w:t>
      </w:r>
      <w:r w:rsidRPr="000F4B72">
        <w:t>anal sex in the last year. Men were 1.5 times as likely to have had anal sex as women, after adjusting for age differences.</w:t>
      </w:r>
    </w:p>
    <w:p w14:paraId="57E12813" w14:textId="77777777" w:rsidR="00F902A0" w:rsidRPr="000F4B72" w:rsidRDefault="00F902A0" w:rsidP="001122D9">
      <w:pPr>
        <w:pStyle w:val="Bullet"/>
      </w:pPr>
      <w:r w:rsidRPr="00F93190">
        <w:t>The percentage of adults who had had anal sex in the last year varied by ethnic group. For Māori, Pacific, Asian and European/Other men, figures were 14, 14, 11 and 10 percent, respectively. For Māori, Pacific, Asian</w:t>
      </w:r>
      <w:r w:rsidRPr="00F93190" w:rsidDel="008C6AD4">
        <w:t xml:space="preserve"> </w:t>
      </w:r>
      <w:r w:rsidRPr="00F93190">
        <w:t>and European/Other women, figures were 10, 12, 3 and 7 percent respectively. Anal sex was 1.4 times as likely among Māori men and women as non-Māori; it was</w:t>
      </w:r>
      <w:r w:rsidRPr="000F4B72">
        <w:t xml:space="preserve"> 1.4 times as likely among Pacific </w:t>
      </w:r>
      <w:r>
        <w:t xml:space="preserve">women </w:t>
      </w:r>
      <w:r w:rsidRPr="000F4B72">
        <w:t>as non-Pacific women</w:t>
      </w:r>
      <w:r>
        <w:t>;</w:t>
      </w:r>
      <w:r w:rsidRPr="000F4B72">
        <w:t xml:space="preserve"> and it was 0.3 times as likely </w:t>
      </w:r>
      <w:r>
        <w:t xml:space="preserve">among </w:t>
      </w:r>
      <w:r w:rsidRPr="000F4B72">
        <w:t xml:space="preserve">Asian </w:t>
      </w:r>
      <w:r>
        <w:t xml:space="preserve">women </w:t>
      </w:r>
      <w:r w:rsidRPr="000F4B72">
        <w:t xml:space="preserve">as non-Asian women, after adjustment for age. </w:t>
      </w:r>
    </w:p>
    <w:p w14:paraId="73CB526A" w14:textId="77777777" w:rsidR="00F902A0" w:rsidRPr="000F4B72" w:rsidRDefault="00F902A0" w:rsidP="001122D9">
      <w:pPr>
        <w:pStyle w:val="Bullet"/>
      </w:pPr>
      <w:r w:rsidRPr="000F4B72">
        <w:t xml:space="preserve">The percentage of adults who had anal sex in the last year also varied by deprivation. For men, comparing the least deprived to the most deprived neighbourhoods, </w:t>
      </w:r>
      <w:r>
        <w:t>figures</w:t>
      </w:r>
      <w:r w:rsidRPr="000F4B72">
        <w:t xml:space="preserve"> were 8 and 13</w:t>
      </w:r>
      <w:r>
        <w:t> percent</w:t>
      </w:r>
      <w:r w:rsidRPr="000F4B72">
        <w:t xml:space="preserve"> </w:t>
      </w:r>
      <w:r>
        <w:t>respectively;</w:t>
      </w:r>
      <w:r w:rsidRPr="000F4B72">
        <w:t xml:space="preserve"> for women, </w:t>
      </w:r>
      <w:r>
        <w:t xml:space="preserve">figures </w:t>
      </w:r>
      <w:r w:rsidRPr="000F4B72">
        <w:t>were 5 and 9</w:t>
      </w:r>
      <w:r>
        <w:t> percent respectively</w:t>
      </w:r>
      <w:r w:rsidRPr="000F4B72">
        <w:t>. Anal sex was 1.7 times as likely among men living in the most deprived neighbourhoods as those living in the least, after adjustment for age and ethnic group.</w:t>
      </w:r>
    </w:p>
    <w:p w14:paraId="5A25B3D4" w14:textId="77777777" w:rsidR="00F902A0" w:rsidRPr="00A457BD" w:rsidRDefault="00F902A0" w:rsidP="001122D9"/>
    <w:p w14:paraId="7370A780" w14:textId="77777777" w:rsidR="00F902A0" w:rsidRPr="00A457BD" w:rsidRDefault="00F902A0" w:rsidP="001122D9">
      <w:pPr>
        <w:pStyle w:val="Heading4"/>
        <w:rPr>
          <w:noProof/>
        </w:rPr>
      </w:pPr>
      <w:r>
        <w:rPr>
          <w:noProof/>
        </w:rPr>
        <w:lastRenderedPageBreak/>
        <w:t>G</w:t>
      </w:r>
      <w:r w:rsidRPr="00A65365">
        <w:rPr>
          <w:noProof/>
        </w:rPr>
        <w:t>enital contact not leading to intercourse</w:t>
      </w:r>
      <w:r w:rsidRPr="001122D9">
        <w:rPr>
          <w:rStyle w:val="FootnoteReference"/>
        </w:rPr>
        <w:footnoteReference w:id="6"/>
      </w:r>
      <w:r>
        <w:rPr>
          <w:noProof/>
        </w:rPr>
        <w:t xml:space="preserve"> in the last year was </w:t>
      </w:r>
      <w:r w:rsidRPr="00A65365">
        <w:rPr>
          <w:noProof/>
        </w:rPr>
        <w:t xml:space="preserve">common </w:t>
      </w:r>
      <w:r>
        <w:rPr>
          <w:noProof/>
        </w:rPr>
        <w:t>among</w:t>
      </w:r>
      <w:r w:rsidRPr="00A65365">
        <w:rPr>
          <w:noProof/>
        </w:rPr>
        <w:t xml:space="preserve"> both men</w:t>
      </w:r>
      <w:r>
        <w:rPr>
          <w:noProof/>
        </w:rPr>
        <w:t xml:space="preserve"> </w:t>
      </w:r>
      <w:r w:rsidRPr="00A65365">
        <w:rPr>
          <w:noProof/>
        </w:rPr>
        <w:t>and women</w:t>
      </w:r>
      <w:r>
        <w:rPr>
          <w:noProof/>
        </w:rPr>
        <w:t xml:space="preserve"> </w:t>
      </w:r>
    </w:p>
    <w:p w14:paraId="43D6D163" w14:textId="77777777" w:rsidR="00F902A0" w:rsidRPr="00A65386" w:rsidRDefault="00F902A0" w:rsidP="001122D9">
      <w:pPr>
        <w:pStyle w:val="Bullet"/>
      </w:pPr>
      <w:r w:rsidRPr="00A65386">
        <w:t>61</w:t>
      </w:r>
      <w:r>
        <w:t> percent</w:t>
      </w:r>
      <w:r w:rsidRPr="00A65386">
        <w:t xml:space="preserve"> of men and 52</w:t>
      </w:r>
      <w:r>
        <w:t> percent</w:t>
      </w:r>
      <w:r w:rsidRPr="00A65386">
        <w:t xml:space="preserve"> of women had </w:t>
      </w:r>
      <w:r>
        <w:t xml:space="preserve">had </w:t>
      </w:r>
      <w:r w:rsidRPr="00A65386">
        <w:t>genital contact in the last year. Men were 1.2 times as likely to have had genital contact as women after adjustment for age.</w:t>
      </w:r>
    </w:p>
    <w:p w14:paraId="232B8E6B" w14:textId="77777777" w:rsidR="00F902A0" w:rsidRPr="00F93190" w:rsidRDefault="00F902A0" w:rsidP="001122D9">
      <w:pPr>
        <w:pStyle w:val="Bullet"/>
      </w:pPr>
      <w:r w:rsidRPr="00F93190">
        <w:t>The percentage of adults who had had genital contact in the last year varied by ethnic group. For Māori, Pacific, Asian and European/Other men, figures were 64, 48, 51 and 64 percent respectively; for Māori, Pacific, Asian and European/Other women, figures were 56, 38, 32 and 57</w:t>
      </w:r>
      <w:r w:rsidRPr="00F93190" w:rsidDel="001C3C39">
        <w:t xml:space="preserve"> </w:t>
      </w:r>
      <w:r w:rsidRPr="00F93190">
        <w:t>percent respectively.</w:t>
      </w:r>
    </w:p>
    <w:p w14:paraId="59037556" w14:textId="56CBD4D9" w:rsidR="00F902A0" w:rsidRPr="00A65386" w:rsidRDefault="00F902A0" w:rsidP="001122D9">
      <w:pPr>
        <w:pStyle w:val="Bullet"/>
      </w:pPr>
      <w:r w:rsidRPr="00A65386">
        <w:t xml:space="preserve">Genital contact was 0.8 times as likely among Pacific </w:t>
      </w:r>
      <w:r>
        <w:t xml:space="preserve">women </w:t>
      </w:r>
      <w:r w:rsidRPr="00A65386">
        <w:t xml:space="preserve">as non-Pacific women, and 0.6 times as likely among Asian </w:t>
      </w:r>
      <w:r>
        <w:t xml:space="preserve">women </w:t>
      </w:r>
      <w:r w:rsidRPr="00A65386">
        <w:t>as non-Asian w</w:t>
      </w:r>
      <w:r w:rsidR="001122D9">
        <w:t>omen, after adjustment for age.</w:t>
      </w:r>
    </w:p>
    <w:p w14:paraId="74B9559B" w14:textId="77777777" w:rsidR="00F902A0" w:rsidRPr="00A65386" w:rsidRDefault="00F902A0" w:rsidP="001122D9">
      <w:pPr>
        <w:pStyle w:val="Bullet"/>
      </w:pPr>
      <w:r w:rsidRPr="00A65386">
        <w:t xml:space="preserve">The percentage of adults who </w:t>
      </w:r>
      <w:r>
        <w:t xml:space="preserve">had </w:t>
      </w:r>
      <w:r w:rsidRPr="00A65386">
        <w:t>had genital contact in the last year also varied by deprivation. For men, comparing the least deprived to the most deprived</w:t>
      </w:r>
      <w:r>
        <w:t xml:space="preserve"> areas</w:t>
      </w:r>
      <w:r w:rsidRPr="00A65386">
        <w:t xml:space="preserve">, </w:t>
      </w:r>
      <w:r>
        <w:t xml:space="preserve">figures </w:t>
      </w:r>
      <w:r w:rsidRPr="00A65386">
        <w:t>were 66 and 55</w:t>
      </w:r>
      <w:r>
        <w:t xml:space="preserve"> percent respectively; </w:t>
      </w:r>
      <w:r w:rsidRPr="00A65386">
        <w:t>for women</w:t>
      </w:r>
      <w:r>
        <w:t>, they</w:t>
      </w:r>
      <w:r w:rsidRPr="00A65386">
        <w:t xml:space="preserve"> were 56 and 47</w:t>
      </w:r>
      <w:r>
        <w:t> percent</w:t>
      </w:r>
      <w:r w:rsidRPr="00A65386">
        <w:t>.</w:t>
      </w:r>
    </w:p>
    <w:p w14:paraId="051614B2" w14:textId="77777777" w:rsidR="00F902A0" w:rsidRDefault="00F902A0" w:rsidP="001122D9">
      <w:pPr>
        <w:pStyle w:val="Bullet"/>
      </w:pPr>
      <w:r w:rsidRPr="00A65386">
        <w:t>Genital contact was 0.9 times as likely among men and women living in the most deprived neighbourhoods as those living in the least, after adjustment for age and ethnic group.</w:t>
      </w:r>
    </w:p>
    <w:p w14:paraId="455632C5" w14:textId="77777777" w:rsidR="001122D9" w:rsidRPr="00A65386" w:rsidRDefault="001122D9" w:rsidP="001122D9"/>
    <w:p w14:paraId="093539AF" w14:textId="77777777" w:rsidR="00F902A0" w:rsidRPr="00A65386" w:rsidRDefault="00F902A0" w:rsidP="001122D9">
      <w:pPr>
        <w:pStyle w:val="Heading1"/>
      </w:pPr>
      <w:bookmarkStart w:id="32" w:name="_Toc5169939"/>
      <w:bookmarkStart w:id="33" w:name="_Toc21090230"/>
      <w:bookmarkStart w:id="34" w:name="_Toc22219958"/>
      <w:bookmarkStart w:id="35" w:name="_Hlk20760831"/>
      <w:r w:rsidRPr="00A65386">
        <w:lastRenderedPageBreak/>
        <w:t>Two or more heterosexual sex partners in last year</w:t>
      </w:r>
      <w:bookmarkEnd w:id="32"/>
      <w:bookmarkEnd w:id="33"/>
      <w:bookmarkEnd w:id="34"/>
    </w:p>
    <w:bookmarkEnd w:id="35"/>
    <w:p w14:paraId="59F29AB5" w14:textId="1E36FEFE" w:rsidR="00F902A0" w:rsidRPr="00A65386" w:rsidRDefault="00F902A0" w:rsidP="001122D9">
      <w:r w:rsidRPr="00A65386">
        <w:t>This section sets out responses to the question in the survey ‘Altogether, in the last 12</w:t>
      </w:r>
      <w:r w:rsidR="001122D9">
        <w:t> </w:t>
      </w:r>
      <w:r w:rsidRPr="00A65386">
        <w:t xml:space="preserve">months, how many females have you had sex with?’ Those that </w:t>
      </w:r>
      <w:proofErr w:type="gramStart"/>
      <w:r w:rsidRPr="00A65386">
        <w:t>answered</w:t>
      </w:r>
      <w:proofErr w:type="gramEnd"/>
      <w:r w:rsidRPr="00A65386">
        <w:t xml:space="preserve"> ‘don’t know’ were asked ‘Can you estimate how many females you have had sex with in the last 12</w:t>
      </w:r>
      <w:r w:rsidR="001122D9">
        <w:t> </w:t>
      </w:r>
      <w:r w:rsidRPr="00A65386">
        <w:t>months?’</w:t>
      </w:r>
      <w:r w:rsidR="001122D9">
        <w:t>.</w:t>
      </w:r>
      <w:r w:rsidRPr="001122D9">
        <w:rPr>
          <w:rStyle w:val="FootnoteReference"/>
        </w:rPr>
        <w:footnoteReference w:id="7"/>
      </w:r>
      <w:r w:rsidRPr="001122D9">
        <w:t xml:space="preserve"> </w:t>
      </w:r>
      <w:r w:rsidRPr="00A65386">
        <w:t>Numbers of heterosexual sex</w:t>
      </w:r>
      <w:r w:rsidRPr="001122D9">
        <w:rPr>
          <w:rStyle w:val="FootnoteReference"/>
        </w:rPr>
        <w:footnoteReference w:id="8"/>
      </w:r>
      <w:r w:rsidRPr="00A65386">
        <w:t xml:space="preserve"> partners were grouped for this indicator as ‘None’, ‘One’ or ‘Two or more’. The term ‘multiple sex partners’ is used below to describe having had two or more heterosexual sex partners.</w:t>
      </w:r>
    </w:p>
    <w:p w14:paraId="4B25EB11" w14:textId="77777777" w:rsidR="00F902A0" w:rsidRDefault="00F902A0" w:rsidP="001122D9"/>
    <w:p w14:paraId="08B7D8CD" w14:textId="77777777" w:rsidR="00F902A0" w:rsidRPr="00D976FC" w:rsidRDefault="00F902A0" w:rsidP="001122D9">
      <w:pPr>
        <w:pStyle w:val="Heading4"/>
        <w:rPr>
          <w:noProof/>
        </w:rPr>
      </w:pPr>
      <w:r w:rsidRPr="00D976FC">
        <w:rPr>
          <w:noProof/>
        </w:rPr>
        <w:t>Men were more likely to have had multiple sex partners in the last year than women</w:t>
      </w:r>
    </w:p>
    <w:p w14:paraId="1004D9FC" w14:textId="3EE12686" w:rsidR="00F902A0" w:rsidRPr="00A65386" w:rsidRDefault="00F902A0" w:rsidP="001122D9">
      <w:pPr>
        <w:pStyle w:val="Bullet"/>
      </w:pPr>
      <w:r w:rsidRPr="00A65386">
        <w:t>13</w:t>
      </w:r>
      <w:r>
        <w:t> percent</w:t>
      </w:r>
      <w:r w:rsidRPr="00A65386">
        <w:t xml:space="preserve"> of men </w:t>
      </w:r>
      <w:r w:rsidRPr="00F93190">
        <w:t>and 9</w:t>
      </w:r>
      <w:r>
        <w:t>.3</w:t>
      </w:r>
      <w:r w:rsidRPr="00F93190" w:rsidDel="000A6F1E">
        <w:t xml:space="preserve"> </w:t>
      </w:r>
      <w:r w:rsidRPr="00F93190">
        <w:t>percent</w:t>
      </w:r>
      <w:r w:rsidRPr="00A65386">
        <w:t xml:space="preserve"> of women had </w:t>
      </w:r>
      <w:r>
        <w:t xml:space="preserve">had </w:t>
      </w:r>
      <w:r w:rsidRPr="00A65386">
        <w:t xml:space="preserve">multiple sex partners in the last year. Men were 1.3 times as likely to have had </w:t>
      </w:r>
      <w:r>
        <w:t>multiple</w:t>
      </w:r>
      <w:r w:rsidRPr="00A65386">
        <w:t xml:space="preserve"> partners in the last year as women</w:t>
      </w:r>
      <w:r>
        <w:t>,</w:t>
      </w:r>
      <w:r w:rsidRPr="00A65386">
        <w:t xml:space="preserve"> after adjusting for age differences.</w:t>
      </w:r>
    </w:p>
    <w:p w14:paraId="252B6427" w14:textId="77777777" w:rsidR="00F902A0" w:rsidRPr="00BE07B3" w:rsidRDefault="00F902A0" w:rsidP="001122D9">
      <w:pPr>
        <w:rPr>
          <w:rStyle w:val="CommentReference"/>
          <w:rFonts w:eastAsia="MingLiU" w:cs="Arial"/>
          <w:sz w:val="24"/>
          <w:szCs w:val="15"/>
        </w:rPr>
      </w:pPr>
    </w:p>
    <w:p w14:paraId="0CADEA36" w14:textId="77777777" w:rsidR="00F902A0" w:rsidRPr="00D976FC" w:rsidRDefault="00F902A0" w:rsidP="001122D9">
      <w:pPr>
        <w:pStyle w:val="Heading4"/>
        <w:rPr>
          <w:noProof/>
        </w:rPr>
      </w:pPr>
      <w:r w:rsidRPr="00D976FC">
        <w:rPr>
          <w:noProof/>
        </w:rPr>
        <w:lastRenderedPageBreak/>
        <w:t>Number of sex partners in the last year varied with age</w:t>
      </w:r>
    </w:p>
    <w:p w14:paraId="06FEDC62" w14:textId="77777777" w:rsidR="00F902A0" w:rsidRDefault="00F902A0" w:rsidP="004B128B">
      <w:pPr>
        <w:pStyle w:val="Bullet"/>
        <w:keepNext/>
      </w:pPr>
      <w:r w:rsidRPr="00A65386">
        <w:t xml:space="preserve">Having </w:t>
      </w:r>
      <w:r>
        <w:t xml:space="preserve">had </w:t>
      </w:r>
      <w:r w:rsidRPr="00A65386">
        <w:t>multiple sex partners in the last year was most common among men and women aged under 25</w:t>
      </w:r>
      <w:r>
        <w:t>: figures for this age group were 30 and 23 percent respectively</w:t>
      </w:r>
      <w:r w:rsidRPr="00A65386">
        <w:t xml:space="preserve">. The percentage of people </w:t>
      </w:r>
      <w:r>
        <w:t xml:space="preserve">who had had </w:t>
      </w:r>
      <w:r w:rsidRPr="00A65386">
        <w:t xml:space="preserve">no sex partners </w:t>
      </w:r>
      <w:r>
        <w:t xml:space="preserve">in the past year </w:t>
      </w:r>
      <w:r w:rsidRPr="00A65386">
        <w:t>increase</w:t>
      </w:r>
      <w:r>
        <w:t>d</w:t>
      </w:r>
      <w:r w:rsidRPr="00A65386">
        <w:t xml:space="preserve"> steadily with age (Figure 5).</w:t>
      </w:r>
    </w:p>
    <w:p w14:paraId="7A594901" w14:textId="77777777" w:rsidR="00F902A0" w:rsidRDefault="00F902A0" w:rsidP="004B128B">
      <w:pPr>
        <w:keepNext/>
      </w:pPr>
      <w:bookmarkStart w:id="36" w:name="OLE_LINK1"/>
      <w:bookmarkStart w:id="37" w:name="_Toc1755015"/>
    </w:p>
    <w:p w14:paraId="4E52AE6A" w14:textId="22B34AD9" w:rsidR="00F902A0" w:rsidRDefault="00F902A0" w:rsidP="001122D9">
      <w:pPr>
        <w:pStyle w:val="Figure"/>
      </w:pPr>
      <w:bookmarkStart w:id="38" w:name="_Toc5173203"/>
      <w:bookmarkStart w:id="39" w:name="_Toc13043012"/>
      <w:bookmarkStart w:id="40" w:name="_Toc21090241"/>
      <w:bookmarkStart w:id="41" w:name="_Toc22219922"/>
      <w:r>
        <w:t xml:space="preserve">Figure </w:t>
      </w:r>
      <w:r w:rsidR="00A152B9">
        <w:fldChar w:fldCharType="begin"/>
      </w:r>
      <w:r w:rsidR="00A152B9">
        <w:instrText xml:space="preserve"> SEQ Figure \* ARABIC </w:instrText>
      </w:r>
      <w:r w:rsidR="00A152B9">
        <w:fldChar w:fldCharType="separate"/>
      </w:r>
      <w:r w:rsidR="00A152B9">
        <w:rPr>
          <w:noProof/>
        </w:rPr>
        <w:t>5</w:t>
      </w:r>
      <w:r w:rsidR="00A152B9">
        <w:rPr>
          <w:noProof/>
        </w:rPr>
        <w:fldChar w:fldCharType="end"/>
      </w:r>
      <w:r>
        <w:t>:</w:t>
      </w:r>
      <w:r w:rsidRPr="00532F2C">
        <w:t xml:space="preserve"> </w:t>
      </w:r>
      <w:r w:rsidRPr="00D47E71">
        <w:t xml:space="preserve">Number of partners in the 12 months preceding </w:t>
      </w:r>
      <w:r>
        <w:t xml:space="preserve">the </w:t>
      </w:r>
      <w:r w:rsidRPr="00D47E71">
        <w:t>survey (total population)</w:t>
      </w:r>
      <w:r>
        <w:t>,</w:t>
      </w:r>
      <w:r w:rsidRPr="00532F2C">
        <w:t xml:space="preserve"> by age </w:t>
      </w:r>
      <w:r>
        <w:t>group</w:t>
      </w:r>
      <w:bookmarkEnd w:id="36"/>
      <w:bookmarkEnd w:id="37"/>
      <w:r>
        <w:t xml:space="preserve"> and gender</w:t>
      </w:r>
      <w:bookmarkEnd w:id="38"/>
      <w:bookmarkEnd w:id="39"/>
      <w:bookmarkEnd w:id="40"/>
      <w:bookmarkEnd w:id="41"/>
    </w:p>
    <w:p w14:paraId="161E9E07" w14:textId="6265623C" w:rsidR="00047487" w:rsidRPr="00047487" w:rsidRDefault="00047487" w:rsidP="00047487">
      <w:r w:rsidRPr="00047487">
        <w:rPr>
          <w:noProof/>
          <w:lang w:eastAsia="en-NZ"/>
        </w:rPr>
        <w:drawing>
          <wp:inline distT="0" distB="0" distL="0" distR="0" wp14:anchorId="66768EB5" wp14:editId="2D1ED495">
            <wp:extent cx="5130165" cy="3347762"/>
            <wp:effectExtent l="0" t="0" r="0" b="5080"/>
            <wp:docPr id="22" name="Picture 22" descr="This graph shows the number of partners for people of both genders in each age group as part of a total of 100%. Men and women 16-24 were the most likely groups to have more than one partner in the previous year and the second most likely to have had no partners in the previous year. All other age groups were most likely to report having a single partner, with the proportion having no partners increasing as age in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130165" cy="3347762"/>
                    </a:xfrm>
                    <a:prstGeom prst="rect">
                      <a:avLst/>
                    </a:prstGeom>
                  </pic:spPr>
                </pic:pic>
              </a:graphicData>
            </a:graphic>
          </wp:inline>
        </w:drawing>
      </w:r>
    </w:p>
    <w:p w14:paraId="120CE671" w14:textId="77777777" w:rsidR="00F902A0" w:rsidRDefault="00F902A0" w:rsidP="00047487">
      <w:pPr>
        <w:rPr>
          <w:noProof/>
        </w:rPr>
      </w:pPr>
    </w:p>
    <w:p w14:paraId="13F12F08" w14:textId="77777777" w:rsidR="00F902A0" w:rsidRPr="00D976FC" w:rsidRDefault="00F902A0" w:rsidP="001122D9">
      <w:pPr>
        <w:pStyle w:val="Heading4"/>
        <w:rPr>
          <w:noProof/>
        </w:rPr>
      </w:pPr>
      <w:r w:rsidRPr="00D976FC">
        <w:rPr>
          <w:noProof/>
        </w:rPr>
        <w:lastRenderedPageBreak/>
        <w:t>Number of sex partners in the last year varied by ethnic group</w:t>
      </w:r>
    </w:p>
    <w:p w14:paraId="26A5FF4E" w14:textId="77777777" w:rsidR="00F902A0" w:rsidRPr="009C36A3" w:rsidRDefault="00F902A0" w:rsidP="00EA59D7">
      <w:pPr>
        <w:pStyle w:val="Bullet"/>
        <w:keepNext/>
      </w:pPr>
      <w:r>
        <w:t xml:space="preserve">14 percent of Pacific men had had multiple sex partners in the last year. </w:t>
      </w:r>
      <w:r w:rsidRPr="009C36A3">
        <w:t xml:space="preserve">Māori women were 1.4 times as likely to have had multiple sex partners in the last year as non-Māori women, after adjustment for age. Asian women were 0.4 times as likely to have had multiple sex partners </w:t>
      </w:r>
      <w:r>
        <w:t xml:space="preserve">in the last year </w:t>
      </w:r>
      <w:r w:rsidRPr="009C36A3">
        <w:t>as non-Asian women, after adjustment for age (Figure 6).</w:t>
      </w:r>
    </w:p>
    <w:p w14:paraId="49400C0E" w14:textId="77777777" w:rsidR="00F902A0" w:rsidRPr="00BE07B3" w:rsidRDefault="00F902A0" w:rsidP="00EA59D7">
      <w:pPr>
        <w:keepNext/>
      </w:pPr>
    </w:p>
    <w:p w14:paraId="391B622F" w14:textId="29BE51BD" w:rsidR="00F902A0" w:rsidRDefault="00F902A0" w:rsidP="001122D9">
      <w:pPr>
        <w:pStyle w:val="Figure"/>
      </w:pPr>
      <w:bookmarkStart w:id="42" w:name="_Toc1755016"/>
      <w:bookmarkStart w:id="43" w:name="_Toc5173204"/>
      <w:bookmarkStart w:id="44" w:name="_Toc13043013"/>
      <w:bookmarkStart w:id="45" w:name="_Toc21090242"/>
      <w:bookmarkStart w:id="46" w:name="_Toc22219923"/>
      <w:r>
        <w:t xml:space="preserve">Figure </w:t>
      </w:r>
      <w:r w:rsidR="00A152B9">
        <w:fldChar w:fldCharType="begin"/>
      </w:r>
      <w:r w:rsidR="00A152B9">
        <w:instrText xml:space="preserve"> SEQ Figure \* ARABIC </w:instrText>
      </w:r>
      <w:r w:rsidR="00A152B9">
        <w:fldChar w:fldCharType="separate"/>
      </w:r>
      <w:r w:rsidR="00A152B9">
        <w:rPr>
          <w:noProof/>
        </w:rPr>
        <w:t>6</w:t>
      </w:r>
      <w:r w:rsidR="00A152B9">
        <w:rPr>
          <w:noProof/>
        </w:rPr>
        <w:fldChar w:fldCharType="end"/>
      </w:r>
      <w:r>
        <w:t>:</w:t>
      </w:r>
      <w:r w:rsidRPr="00532F2C">
        <w:t xml:space="preserve"> </w:t>
      </w:r>
      <w:r w:rsidRPr="005A2390">
        <w:t xml:space="preserve">Number of partners in the 12 months preceding </w:t>
      </w:r>
      <w:r>
        <w:t xml:space="preserve">the </w:t>
      </w:r>
      <w:r w:rsidRPr="005A2390">
        <w:t>survey (total population)</w:t>
      </w:r>
      <w:r w:rsidRPr="00532F2C">
        <w:t xml:space="preserve">, by </w:t>
      </w:r>
      <w:bookmarkEnd w:id="42"/>
      <w:r>
        <w:t>ethnic group and gender</w:t>
      </w:r>
      <w:bookmarkEnd w:id="43"/>
      <w:bookmarkEnd w:id="44"/>
      <w:bookmarkEnd w:id="45"/>
      <w:bookmarkEnd w:id="46"/>
    </w:p>
    <w:p w14:paraId="5F5FE1AB" w14:textId="726BF6D5" w:rsidR="00EA59D7" w:rsidRPr="00EA59D7" w:rsidRDefault="00EA59D7" w:rsidP="00EA59D7">
      <w:r w:rsidRPr="00EA59D7">
        <w:rPr>
          <w:noProof/>
          <w:lang w:eastAsia="en-NZ"/>
        </w:rPr>
        <w:drawing>
          <wp:inline distT="0" distB="0" distL="0" distR="0" wp14:anchorId="32E93D25" wp14:editId="5A175996">
            <wp:extent cx="5130165" cy="3347762"/>
            <wp:effectExtent l="0" t="0" r="0" b="5080"/>
            <wp:docPr id="23" name="Picture 23" descr="Pacific men and women were the most likely group to have no partners in the previous year, followed by Asian men and women. European men and women were the most likely group to have a single partner. A similar proportion of men from all groups had multiple partners, about 12 to 15%, while Asian women were the least likely to have multiple partn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130165" cy="3347762"/>
                    </a:xfrm>
                    <a:prstGeom prst="rect">
                      <a:avLst/>
                    </a:prstGeom>
                  </pic:spPr>
                </pic:pic>
              </a:graphicData>
            </a:graphic>
          </wp:inline>
        </w:drawing>
      </w:r>
    </w:p>
    <w:p w14:paraId="0E0DCBDC" w14:textId="77777777" w:rsidR="00F902A0" w:rsidRDefault="00F902A0" w:rsidP="001122D9">
      <w:pPr>
        <w:pStyle w:val="Note"/>
      </w:pPr>
      <w:bookmarkStart w:id="47" w:name="_Hlk172624"/>
      <w:r>
        <w:t>Note: Adults</w:t>
      </w:r>
      <w:r w:rsidRPr="00EC644C">
        <w:t xml:space="preserve"> who reported more than one ethnic group are counted once in each group reporte</w:t>
      </w:r>
      <w:r>
        <w:t>d.</w:t>
      </w:r>
      <w:r w:rsidRPr="00A50C51">
        <w:t xml:space="preserve"> </w:t>
      </w:r>
      <w:r w:rsidRPr="00A62B40">
        <w:t xml:space="preserve">This means that the total number of responses for all ethnic groups can be greater than the total number of </w:t>
      </w:r>
      <w:r>
        <w:t>adults</w:t>
      </w:r>
      <w:r w:rsidRPr="00A62B40">
        <w:t xml:space="preserve"> who stated their ethnicities</w:t>
      </w:r>
      <w:r>
        <w:t>.</w:t>
      </w:r>
      <w:bookmarkEnd w:id="47"/>
    </w:p>
    <w:p w14:paraId="42527257" w14:textId="77777777" w:rsidR="00F902A0" w:rsidRPr="00D976FC" w:rsidRDefault="00F902A0" w:rsidP="001122D9"/>
    <w:p w14:paraId="6FF94F04" w14:textId="77777777" w:rsidR="00F902A0" w:rsidRPr="00D976FC" w:rsidRDefault="00F902A0" w:rsidP="001122D9">
      <w:pPr>
        <w:pStyle w:val="Heading4"/>
        <w:rPr>
          <w:noProof/>
        </w:rPr>
      </w:pPr>
      <w:r w:rsidRPr="00D976FC">
        <w:rPr>
          <w:noProof/>
        </w:rPr>
        <w:lastRenderedPageBreak/>
        <w:t>Number of sex partners in the last year varied by neighbourhood deprivation</w:t>
      </w:r>
    </w:p>
    <w:p w14:paraId="4A593D5F" w14:textId="77777777" w:rsidR="00F902A0" w:rsidRDefault="00F902A0" w:rsidP="00EA59D7">
      <w:pPr>
        <w:pStyle w:val="Bullet"/>
        <w:keepNext/>
      </w:pPr>
      <w:r>
        <w:t>6.8 percent of women in the least deprived areas had had multiple partners in the last year, compared with 13 percent in the most deprived areas.</w:t>
      </w:r>
    </w:p>
    <w:p w14:paraId="5C943529" w14:textId="77777777" w:rsidR="00F902A0" w:rsidRPr="009C36A3" w:rsidRDefault="00F902A0" w:rsidP="00EA59D7">
      <w:pPr>
        <w:pStyle w:val="Bullet"/>
        <w:keepNext/>
      </w:pPr>
      <w:r w:rsidRPr="009C36A3">
        <w:t xml:space="preserve">Men living in the most deprived neighbourhoods were 2.4 times as likely as those living in the least </w:t>
      </w:r>
      <w:r>
        <w:t xml:space="preserve">deprived neighbourhoods </w:t>
      </w:r>
      <w:r w:rsidRPr="009C36A3">
        <w:t>to have had multiple sex partners in the last year, after adjustment for age and ethnic group (Figure 7).</w:t>
      </w:r>
    </w:p>
    <w:p w14:paraId="3CC842F5" w14:textId="77777777" w:rsidR="00F902A0" w:rsidRPr="00BE07B3" w:rsidRDefault="00F902A0" w:rsidP="00EA59D7">
      <w:pPr>
        <w:keepNext/>
      </w:pPr>
    </w:p>
    <w:p w14:paraId="69BD7B68" w14:textId="6D51D972" w:rsidR="00F902A0" w:rsidRPr="00F620A5" w:rsidRDefault="00F902A0" w:rsidP="001122D9">
      <w:pPr>
        <w:pStyle w:val="Figure"/>
      </w:pPr>
      <w:bookmarkStart w:id="48" w:name="_Toc5173205"/>
      <w:bookmarkStart w:id="49" w:name="_Toc13043014"/>
      <w:bookmarkStart w:id="50" w:name="_Toc21090243"/>
      <w:bookmarkStart w:id="51" w:name="_Toc22219924"/>
      <w:r>
        <w:t xml:space="preserve">Figure </w:t>
      </w:r>
      <w:r w:rsidR="00A152B9">
        <w:fldChar w:fldCharType="begin"/>
      </w:r>
      <w:r w:rsidR="00A152B9">
        <w:instrText xml:space="preserve"> SEQ Figure \* ARABIC </w:instrText>
      </w:r>
      <w:r w:rsidR="00A152B9">
        <w:fldChar w:fldCharType="separate"/>
      </w:r>
      <w:r w:rsidR="00A152B9">
        <w:rPr>
          <w:noProof/>
        </w:rPr>
        <w:t>7</w:t>
      </w:r>
      <w:r w:rsidR="00A152B9">
        <w:rPr>
          <w:noProof/>
        </w:rPr>
        <w:fldChar w:fldCharType="end"/>
      </w:r>
      <w:r w:rsidRPr="00F620A5">
        <w:t xml:space="preserve">: </w:t>
      </w:r>
      <w:r w:rsidRPr="00533326">
        <w:t xml:space="preserve">Number of partners in the 12 months preceding </w:t>
      </w:r>
      <w:r>
        <w:t xml:space="preserve">the </w:t>
      </w:r>
      <w:r w:rsidRPr="00533326">
        <w:t>survey (total population)</w:t>
      </w:r>
      <w:r w:rsidRPr="00F620A5">
        <w:t xml:space="preserve">, by </w:t>
      </w:r>
      <w:r>
        <w:t>neighbourhood deprivation and gender</w:t>
      </w:r>
      <w:bookmarkEnd w:id="48"/>
      <w:bookmarkEnd w:id="49"/>
      <w:bookmarkEnd w:id="50"/>
      <w:bookmarkEnd w:id="51"/>
    </w:p>
    <w:p w14:paraId="25342CC9" w14:textId="088394DC" w:rsidR="00F902A0" w:rsidRPr="001122D9" w:rsidRDefault="009479A7" w:rsidP="009479A7">
      <w:r w:rsidRPr="009479A7">
        <w:rPr>
          <w:noProof/>
          <w:lang w:eastAsia="en-NZ"/>
        </w:rPr>
        <w:drawing>
          <wp:inline distT="0" distB="0" distL="0" distR="0" wp14:anchorId="3AF2771E" wp14:editId="704F467E">
            <wp:extent cx="5130165" cy="3347762"/>
            <wp:effectExtent l="0" t="0" r="0" b="5080"/>
            <wp:docPr id="25" name="Picture 25" descr="Men and women had similar trend lines. Those in the least deprived areas were the most likely to have one partner and the least likely to have multiple partners or no partners. The proportion with a single partner shrank slightly in favor of multiple or no partners slightly with each level of greater deprivation, but even in the most deprived areas, the majority of respondents had a single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130165" cy="3347762"/>
                    </a:xfrm>
                    <a:prstGeom prst="rect">
                      <a:avLst/>
                    </a:prstGeom>
                  </pic:spPr>
                </pic:pic>
              </a:graphicData>
            </a:graphic>
          </wp:inline>
        </w:drawing>
      </w:r>
    </w:p>
    <w:p w14:paraId="5DA6D2FD" w14:textId="6A7373E5" w:rsidR="00F902A0" w:rsidRPr="009C36A3" w:rsidRDefault="00F902A0" w:rsidP="001122D9">
      <w:pPr>
        <w:pStyle w:val="Heading1"/>
      </w:pPr>
      <w:bookmarkStart w:id="52" w:name="_Toc5169940"/>
      <w:bookmarkStart w:id="53" w:name="_Toc21090231"/>
      <w:bookmarkStart w:id="54" w:name="_Toc22219959"/>
      <w:r w:rsidRPr="009C36A3">
        <w:lastRenderedPageBreak/>
        <w:t>Average number of heterosexual sex partners in last 12</w:t>
      </w:r>
      <w:r w:rsidR="001122D9">
        <w:t> </w:t>
      </w:r>
      <w:r w:rsidRPr="009C36A3">
        <w:t>months</w:t>
      </w:r>
      <w:bookmarkEnd w:id="52"/>
      <w:bookmarkEnd w:id="53"/>
      <w:bookmarkEnd w:id="54"/>
    </w:p>
    <w:p w14:paraId="63F9280C" w14:textId="62ED9A1B" w:rsidR="00F902A0" w:rsidRDefault="00F902A0" w:rsidP="001122D9">
      <w:r w:rsidRPr="009C36A3">
        <w:t>This section sets out responses to the question in the survey: ‘Altogether, in the last 12</w:t>
      </w:r>
      <w:r w:rsidR="001122D9">
        <w:t> </w:t>
      </w:r>
      <w:r w:rsidRPr="009C36A3">
        <w:t xml:space="preserve">months, how many females have you had sex with?’ Those that </w:t>
      </w:r>
      <w:proofErr w:type="gramStart"/>
      <w:r w:rsidRPr="009C36A3">
        <w:t>answered</w:t>
      </w:r>
      <w:proofErr w:type="gramEnd"/>
      <w:r w:rsidRPr="009C36A3">
        <w:t xml:space="preserve"> ‘don’t know’ were asked ‘Can you estimate how many females you have had sex with in the last 12</w:t>
      </w:r>
      <w:r w:rsidR="001122D9">
        <w:t> </w:t>
      </w:r>
      <w:r w:rsidRPr="009C36A3">
        <w:t>months?’</w:t>
      </w:r>
      <w:r w:rsidR="001122D9">
        <w:t>.</w:t>
      </w:r>
      <w:r w:rsidRPr="001122D9">
        <w:rPr>
          <w:rStyle w:val="FootnoteReference"/>
        </w:rPr>
        <w:footnoteReference w:id="9"/>
      </w:r>
    </w:p>
    <w:p w14:paraId="68824307" w14:textId="77777777" w:rsidR="00F902A0" w:rsidRPr="009C36A3" w:rsidRDefault="00F902A0" w:rsidP="001122D9"/>
    <w:p w14:paraId="6852483F" w14:textId="3D89CB57" w:rsidR="00F902A0" w:rsidRPr="000B2465" w:rsidRDefault="00F902A0" w:rsidP="001122D9">
      <w:pPr>
        <w:rPr>
          <w:rFonts w:cstheme="minorHAnsi"/>
        </w:rPr>
      </w:pPr>
      <w:r w:rsidRPr="009C36A3">
        <w:t xml:space="preserve">When respondents estimated the number of partners </w:t>
      </w:r>
      <w:r>
        <w:t xml:space="preserve">they had had, </w:t>
      </w:r>
      <w:r w:rsidRPr="009C36A3">
        <w:t>they chose from a range. To calculate means and medians</w:t>
      </w:r>
      <w:r>
        <w:t>, this analysis used</w:t>
      </w:r>
      <w:r w:rsidRPr="009C36A3">
        <w:t xml:space="preserve"> the midpoint of the chosen range. </w:t>
      </w:r>
      <w:r>
        <w:t xml:space="preserve">Where a </w:t>
      </w:r>
      <w:r w:rsidRPr="009C36A3">
        <w:t>respondent chose the last option</w:t>
      </w:r>
      <w:r>
        <w:t>,</w:t>
      </w:r>
      <w:r w:rsidRPr="009C36A3">
        <w:t xml:space="preserve"> </w:t>
      </w:r>
      <w:r>
        <w:t>‘</w:t>
      </w:r>
      <w:r w:rsidRPr="009C36A3">
        <w:t>Over 100</w:t>
      </w:r>
      <w:r>
        <w:t>’</w:t>
      </w:r>
      <w:r w:rsidRPr="009C36A3">
        <w:t xml:space="preserve">, </w:t>
      </w:r>
      <w:r>
        <w:t xml:space="preserve">we used </w:t>
      </w:r>
      <w:r w:rsidRPr="009C36A3">
        <w:t xml:space="preserve">the value </w:t>
      </w:r>
      <w:r>
        <w:t>‘</w:t>
      </w:r>
      <w:r w:rsidRPr="009C36A3">
        <w:t>100</w:t>
      </w:r>
      <w:r>
        <w:t>’</w:t>
      </w:r>
      <w:r w:rsidRPr="009C36A3">
        <w:t xml:space="preserve">. Those who had not had a heterosexual sex partner in the last year were excluded from these </w:t>
      </w:r>
      <w:r w:rsidR="004537DC" w:rsidRPr="009C36A3">
        <w:t>calculations</w:t>
      </w:r>
      <w:r w:rsidRPr="009C36A3">
        <w:t>.</w:t>
      </w:r>
    </w:p>
    <w:p w14:paraId="37AA7786" w14:textId="77777777" w:rsidR="00F902A0" w:rsidRPr="00E749EF" w:rsidRDefault="00F902A0" w:rsidP="001122D9"/>
    <w:p w14:paraId="21B812F8" w14:textId="77777777" w:rsidR="00F902A0" w:rsidRDefault="00F902A0" w:rsidP="001122D9">
      <w:pPr>
        <w:pStyle w:val="Heading4"/>
        <w:rPr>
          <w:noProof/>
        </w:rPr>
      </w:pPr>
      <w:r w:rsidRPr="00D976FC">
        <w:rPr>
          <w:noProof/>
        </w:rPr>
        <w:lastRenderedPageBreak/>
        <w:t xml:space="preserve">Among those who had heterosexual sex in the last year, the mean number of partners in last year dropped </w:t>
      </w:r>
      <w:r>
        <w:rPr>
          <w:noProof/>
        </w:rPr>
        <w:t xml:space="preserve">consistently </w:t>
      </w:r>
      <w:r w:rsidRPr="00D976FC">
        <w:rPr>
          <w:noProof/>
        </w:rPr>
        <w:t>with age</w:t>
      </w:r>
      <w:r>
        <w:rPr>
          <w:noProof/>
        </w:rPr>
        <w:t>,</w:t>
      </w:r>
      <w:r w:rsidRPr="00D976FC">
        <w:rPr>
          <w:noProof/>
        </w:rPr>
        <w:t xml:space="preserve"> and was consistently lower </w:t>
      </w:r>
      <w:r>
        <w:rPr>
          <w:noProof/>
        </w:rPr>
        <w:t xml:space="preserve">for </w:t>
      </w:r>
      <w:r w:rsidRPr="00D976FC">
        <w:rPr>
          <w:noProof/>
        </w:rPr>
        <w:t>women than men</w:t>
      </w:r>
    </w:p>
    <w:p w14:paraId="3084D636" w14:textId="062E41B3" w:rsidR="00F902A0" w:rsidRPr="00F94CC8" w:rsidRDefault="00F902A0" w:rsidP="009479A7">
      <w:pPr>
        <w:pStyle w:val="Bullet"/>
        <w:keepNext/>
      </w:pPr>
      <w:r w:rsidRPr="00F94CC8">
        <w:t>Men aged 16</w:t>
      </w:r>
      <w:r w:rsidR="001122D9">
        <w:t>–</w:t>
      </w:r>
      <w:r w:rsidRPr="00F94CC8">
        <w:t>24 had 2.5 partners in the 12 months preceding the survey</w:t>
      </w:r>
      <w:r>
        <w:t>,</w:t>
      </w:r>
      <w:r w:rsidRPr="00F94CC8">
        <w:t xml:space="preserve"> </w:t>
      </w:r>
      <w:r>
        <w:t>decreasing</w:t>
      </w:r>
      <w:r w:rsidRPr="00F94CC8">
        <w:t xml:space="preserve"> to 0.8 partners for men aged 65</w:t>
      </w:r>
      <w:r w:rsidR="001122D9">
        <w:t>–</w:t>
      </w:r>
      <w:r w:rsidRPr="00F94CC8">
        <w:t xml:space="preserve">74. For women the number of partners </w:t>
      </w:r>
      <w:r>
        <w:t xml:space="preserve">decreased from </w:t>
      </w:r>
      <w:r w:rsidRPr="00F94CC8">
        <w:t>2.0 dropping to 0.6</w:t>
      </w:r>
      <w:r>
        <w:t xml:space="preserve"> (Figure 8).</w:t>
      </w:r>
    </w:p>
    <w:p w14:paraId="731AA62A" w14:textId="77777777" w:rsidR="00F902A0" w:rsidRPr="00D976FC" w:rsidRDefault="00F902A0" w:rsidP="009479A7">
      <w:pPr>
        <w:keepNext/>
        <w:rPr>
          <w:noProof/>
        </w:rPr>
      </w:pPr>
    </w:p>
    <w:p w14:paraId="3081664C" w14:textId="2E1DF4DF" w:rsidR="00F902A0" w:rsidRPr="002B13E5" w:rsidRDefault="00F902A0" w:rsidP="001122D9">
      <w:pPr>
        <w:pStyle w:val="Figure"/>
      </w:pPr>
      <w:bookmarkStart w:id="55" w:name="_Toc1755017"/>
      <w:bookmarkStart w:id="56" w:name="_Toc5173206"/>
      <w:bookmarkStart w:id="57" w:name="_Toc13043015"/>
      <w:bookmarkStart w:id="58" w:name="_Toc21090244"/>
      <w:bookmarkStart w:id="59" w:name="_Toc22219925"/>
      <w:r>
        <w:t xml:space="preserve">Figure </w:t>
      </w:r>
      <w:r w:rsidR="00A152B9">
        <w:fldChar w:fldCharType="begin"/>
      </w:r>
      <w:r w:rsidR="00A152B9">
        <w:instrText xml:space="preserve"> SEQ Figure \* ARABIC </w:instrText>
      </w:r>
      <w:r w:rsidR="00A152B9">
        <w:fldChar w:fldCharType="separate"/>
      </w:r>
      <w:r w:rsidR="00A152B9">
        <w:rPr>
          <w:noProof/>
        </w:rPr>
        <w:t>8</w:t>
      </w:r>
      <w:r w:rsidR="00A152B9">
        <w:rPr>
          <w:noProof/>
        </w:rPr>
        <w:fldChar w:fldCharType="end"/>
      </w:r>
      <w:r>
        <w:t>:</w:t>
      </w:r>
      <w:r w:rsidRPr="002B13E5">
        <w:t xml:space="preserve"> </w:t>
      </w:r>
      <w:r w:rsidRPr="005334A8">
        <w:t xml:space="preserve">Mean number of partners in the 12 months preceding </w:t>
      </w:r>
      <w:r>
        <w:t xml:space="preserve">the </w:t>
      </w:r>
      <w:r w:rsidRPr="005334A8">
        <w:t>survey (among those who</w:t>
      </w:r>
      <w:r>
        <w:t xml:space="preserve"> had ever</w:t>
      </w:r>
      <w:r w:rsidRPr="005334A8">
        <w:t xml:space="preserve"> had </w:t>
      </w:r>
      <w:r>
        <w:t xml:space="preserve">heterosexual </w:t>
      </w:r>
      <w:r w:rsidRPr="005334A8">
        <w:t>sex)</w:t>
      </w:r>
      <w:r w:rsidRPr="002B13E5">
        <w:t>, by age</w:t>
      </w:r>
      <w:bookmarkEnd w:id="55"/>
      <w:r w:rsidRPr="002B13E5">
        <w:t xml:space="preserve"> </w:t>
      </w:r>
      <w:r>
        <w:t>group and gender</w:t>
      </w:r>
      <w:bookmarkEnd w:id="56"/>
      <w:bookmarkEnd w:id="57"/>
      <w:bookmarkEnd w:id="58"/>
      <w:bookmarkEnd w:id="59"/>
    </w:p>
    <w:p w14:paraId="6F3E37BD" w14:textId="594FFCFC" w:rsidR="00F902A0" w:rsidRDefault="00C26369" w:rsidP="00C26369">
      <w:r w:rsidRPr="00C26369">
        <w:rPr>
          <w:noProof/>
          <w:lang w:eastAsia="en-NZ"/>
        </w:rPr>
        <w:drawing>
          <wp:inline distT="0" distB="0" distL="0" distR="0" wp14:anchorId="6CA94136" wp14:editId="725106BF">
            <wp:extent cx="5130165" cy="3347762"/>
            <wp:effectExtent l="0" t="0" r="0" b="5080"/>
            <wp:docPr id="27" name="Picture 27" descr="The youngest groups had the highest number of partners in the preceding year, and the number of partners declined with age. Men age 16-24 had about 2.5 partners, while women had about 2. For ages 25-34 both men and women had fewer than 2 partners and numbers declined from t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130165" cy="3347762"/>
                    </a:xfrm>
                    <a:prstGeom prst="rect">
                      <a:avLst/>
                    </a:prstGeom>
                  </pic:spPr>
                </pic:pic>
              </a:graphicData>
            </a:graphic>
          </wp:inline>
        </w:drawing>
      </w:r>
    </w:p>
    <w:p w14:paraId="0C502697" w14:textId="77777777" w:rsidR="00C26369" w:rsidRPr="001122D9" w:rsidRDefault="00C26369" w:rsidP="00C26369"/>
    <w:p w14:paraId="40ED4E76" w14:textId="67DA4A31" w:rsidR="00F902A0" w:rsidRDefault="00F902A0" w:rsidP="001122D9">
      <w:pPr>
        <w:pStyle w:val="Bullet"/>
      </w:pPr>
      <w:r w:rsidRPr="009C36A3">
        <w:t xml:space="preserve">After adjusting for age, the mean number of partners for men was 1.3 times the mean </w:t>
      </w:r>
      <w:r>
        <w:t xml:space="preserve">number </w:t>
      </w:r>
      <w:r w:rsidRPr="009C36A3">
        <w:t>for women</w:t>
      </w:r>
      <w:r>
        <w:t>.</w:t>
      </w:r>
      <w:r w:rsidRPr="001122D9">
        <w:rPr>
          <w:rStyle w:val="FootnoteReference"/>
        </w:rPr>
        <w:footnoteReference w:id="10"/>
      </w:r>
    </w:p>
    <w:p w14:paraId="5DBC0763" w14:textId="77777777" w:rsidR="00F902A0" w:rsidRPr="000F581B" w:rsidRDefault="00F902A0" w:rsidP="001122D9">
      <w:pPr>
        <w:pStyle w:val="Bullet"/>
      </w:pPr>
      <w:r w:rsidRPr="000F581B">
        <w:t>After adjusting for age, Māori men had 1.3 times the mean number of partners as non-Māori men</w:t>
      </w:r>
      <w:r>
        <w:t>;</w:t>
      </w:r>
      <w:r w:rsidRPr="000F581B">
        <w:t xml:space="preserve"> Asian women had 0.8 times the mean number of partners as non-Asian women.</w:t>
      </w:r>
    </w:p>
    <w:p w14:paraId="1174546F" w14:textId="77777777" w:rsidR="00F902A0" w:rsidRPr="00012B18" w:rsidRDefault="00F902A0" w:rsidP="001122D9"/>
    <w:p w14:paraId="36D7D647" w14:textId="534919AE" w:rsidR="00F902A0" w:rsidRPr="00897659" w:rsidRDefault="00F902A0" w:rsidP="001122D9">
      <w:pPr>
        <w:pStyle w:val="Figure"/>
      </w:pPr>
      <w:bookmarkStart w:id="60" w:name="_Toc1755018"/>
      <w:bookmarkStart w:id="61" w:name="_Toc5173207"/>
      <w:bookmarkStart w:id="62" w:name="_Toc13043016"/>
      <w:bookmarkStart w:id="63" w:name="_Toc21090245"/>
      <w:bookmarkStart w:id="64" w:name="_Toc22219926"/>
      <w:r>
        <w:lastRenderedPageBreak/>
        <w:t xml:space="preserve">Figure </w:t>
      </w:r>
      <w:r w:rsidR="00A152B9">
        <w:fldChar w:fldCharType="begin"/>
      </w:r>
      <w:r w:rsidR="00A152B9">
        <w:instrText xml:space="preserve"> SEQ Figure \* ARABIC </w:instrText>
      </w:r>
      <w:r w:rsidR="00A152B9">
        <w:fldChar w:fldCharType="separate"/>
      </w:r>
      <w:r w:rsidR="00A152B9">
        <w:rPr>
          <w:noProof/>
        </w:rPr>
        <w:t>9</w:t>
      </w:r>
      <w:r w:rsidR="00A152B9">
        <w:rPr>
          <w:noProof/>
        </w:rPr>
        <w:fldChar w:fldCharType="end"/>
      </w:r>
      <w:r>
        <w:t>:</w:t>
      </w:r>
      <w:r w:rsidRPr="00897659">
        <w:t xml:space="preserve"> </w:t>
      </w:r>
      <w:r w:rsidRPr="005334A8">
        <w:t xml:space="preserve">Mean number of partners in the 12 months preceding </w:t>
      </w:r>
      <w:r>
        <w:t xml:space="preserve">the </w:t>
      </w:r>
      <w:r w:rsidRPr="005334A8">
        <w:t>survey (among those who</w:t>
      </w:r>
      <w:r>
        <w:t xml:space="preserve"> had ever</w:t>
      </w:r>
      <w:r w:rsidRPr="005334A8">
        <w:t xml:space="preserve"> had </w:t>
      </w:r>
      <w:r>
        <w:t xml:space="preserve">heterosexual </w:t>
      </w:r>
      <w:r w:rsidRPr="005334A8">
        <w:t>sex)</w:t>
      </w:r>
      <w:r>
        <w:t xml:space="preserve">, by ethnic group and </w:t>
      </w:r>
      <w:bookmarkEnd w:id="60"/>
      <w:r>
        <w:t>gender</w:t>
      </w:r>
      <w:bookmarkEnd w:id="61"/>
      <w:bookmarkEnd w:id="62"/>
      <w:bookmarkEnd w:id="63"/>
      <w:bookmarkEnd w:id="64"/>
    </w:p>
    <w:p w14:paraId="1144453A" w14:textId="1E9097C7" w:rsidR="00F902A0" w:rsidRPr="001122D9" w:rsidRDefault="00C26369" w:rsidP="00C26369">
      <w:r w:rsidRPr="00C26369">
        <w:rPr>
          <w:noProof/>
          <w:lang w:eastAsia="en-NZ"/>
        </w:rPr>
        <w:drawing>
          <wp:inline distT="0" distB="0" distL="0" distR="0" wp14:anchorId="2C1B724E" wp14:editId="5BA28C81">
            <wp:extent cx="5130165" cy="3347762"/>
            <wp:effectExtent l="0" t="0" r="0" b="5080"/>
            <wp:docPr id="28" name="Picture 28" descr="There weren't great differences between ethnic groups in number of sexual partners. No groups had a mean over 2 partners or less th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130165" cy="3347762"/>
                    </a:xfrm>
                    <a:prstGeom prst="rect">
                      <a:avLst/>
                    </a:prstGeom>
                  </pic:spPr>
                </pic:pic>
              </a:graphicData>
            </a:graphic>
          </wp:inline>
        </w:drawing>
      </w:r>
    </w:p>
    <w:p w14:paraId="032076F9" w14:textId="77777777" w:rsidR="00F902A0" w:rsidRDefault="00F902A0" w:rsidP="001122D9">
      <w:pPr>
        <w:pStyle w:val="Note"/>
      </w:pPr>
      <w:r>
        <w:t>Note: Adults</w:t>
      </w:r>
      <w:r w:rsidRPr="000F602C">
        <w:t xml:space="preserve"> who reported more than one ethnic group </w:t>
      </w:r>
      <w:r>
        <w:t xml:space="preserve">are </w:t>
      </w:r>
      <w:r w:rsidRPr="000F602C">
        <w:t xml:space="preserve">counted once in each group reported. This means that the total number of responses for all ethnic groups can be greater than the total number of </w:t>
      </w:r>
      <w:r>
        <w:t>adults</w:t>
      </w:r>
      <w:r w:rsidRPr="000F602C">
        <w:t xml:space="preserve"> who stated their ethnicities</w:t>
      </w:r>
      <w:r>
        <w:t>.</w:t>
      </w:r>
    </w:p>
    <w:p w14:paraId="0F80EB14" w14:textId="77777777" w:rsidR="00F902A0" w:rsidRPr="00012B18" w:rsidRDefault="00F902A0" w:rsidP="001122D9"/>
    <w:p w14:paraId="72B2F230" w14:textId="77777777" w:rsidR="00F902A0" w:rsidRDefault="00F902A0" w:rsidP="001122D9">
      <w:pPr>
        <w:pStyle w:val="Bullet"/>
      </w:pPr>
      <w:r w:rsidRPr="000F581B">
        <w:t xml:space="preserve">Women living in the most deprived neighbourhoods had 3.6 times the mean number </w:t>
      </w:r>
      <w:r>
        <w:t xml:space="preserve">of partners </w:t>
      </w:r>
      <w:r w:rsidRPr="000F581B">
        <w:t>as those living in the least</w:t>
      </w:r>
      <w:r>
        <w:t xml:space="preserve"> deprived neighbourhoods</w:t>
      </w:r>
      <w:r w:rsidRPr="000F581B">
        <w:t>, after adjustment for age and ethnic group. This difference for men was 2.9 times.</w:t>
      </w:r>
    </w:p>
    <w:p w14:paraId="68E828DD" w14:textId="77777777" w:rsidR="001122D9" w:rsidRPr="000F581B" w:rsidRDefault="001122D9" w:rsidP="001122D9"/>
    <w:p w14:paraId="56020E4D" w14:textId="3D314399" w:rsidR="00F902A0" w:rsidRPr="00897659" w:rsidRDefault="00F902A0" w:rsidP="001122D9">
      <w:pPr>
        <w:pStyle w:val="Figure"/>
      </w:pPr>
      <w:bookmarkStart w:id="65" w:name="_Toc1755019"/>
      <w:bookmarkStart w:id="66" w:name="_Toc5173208"/>
      <w:bookmarkStart w:id="67" w:name="_Toc13043017"/>
      <w:bookmarkStart w:id="68" w:name="_Toc21090246"/>
      <w:bookmarkStart w:id="69" w:name="_Toc22219927"/>
      <w:r>
        <w:lastRenderedPageBreak/>
        <w:t xml:space="preserve">Figure </w:t>
      </w:r>
      <w:r w:rsidR="00A152B9">
        <w:fldChar w:fldCharType="begin"/>
      </w:r>
      <w:r w:rsidR="00A152B9">
        <w:instrText xml:space="preserve"> SEQ Figure \* ARABIC </w:instrText>
      </w:r>
      <w:r w:rsidR="00A152B9">
        <w:fldChar w:fldCharType="separate"/>
      </w:r>
      <w:r w:rsidR="00A152B9">
        <w:rPr>
          <w:noProof/>
        </w:rPr>
        <w:t>10</w:t>
      </w:r>
      <w:r w:rsidR="00A152B9">
        <w:rPr>
          <w:noProof/>
        </w:rPr>
        <w:fldChar w:fldCharType="end"/>
      </w:r>
      <w:r>
        <w:t>:</w:t>
      </w:r>
      <w:r w:rsidRPr="00897659">
        <w:t xml:space="preserve"> </w:t>
      </w:r>
      <w:r w:rsidRPr="005334A8">
        <w:t xml:space="preserve">Mean number of partners in the 12 months preceding </w:t>
      </w:r>
      <w:r>
        <w:t xml:space="preserve">the </w:t>
      </w:r>
      <w:r w:rsidRPr="005334A8">
        <w:t>survey (among those who</w:t>
      </w:r>
      <w:r>
        <w:t xml:space="preserve"> had ever</w:t>
      </w:r>
      <w:r w:rsidRPr="005334A8">
        <w:t xml:space="preserve"> had </w:t>
      </w:r>
      <w:r>
        <w:t xml:space="preserve">heterosexual </w:t>
      </w:r>
      <w:r w:rsidRPr="005334A8">
        <w:t>sex)</w:t>
      </w:r>
      <w:r>
        <w:t>,</w:t>
      </w:r>
      <w:r w:rsidRPr="00897659">
        <w:t xml:space="preserve"> by neighbourhood deprivation</w:t>
      </w:r>
      <w:bookmarkEnd w:id="65"/>
      <w:r w:rsidRPr="00897659">
        <w:t xml:space="preserve"> </w:t>
      </w:r>
      <w:r>
        <w:t>and gender</w:t>
      </w:r>
      <w:bookmarkEnd w:id="66"/>
      <w:bookmarkEnd w:id="67"/>
      <w:bookmarkEnd w:id="68"/>
      <w:bookmarkEnd w:id="69"/>
    </w:p>
    <w:p w14:paraId="27EB8B59" w14:textId="481FE0D2" w:rsidR="00F902A0" w:rsidRDefault="00C26369" w:rsidP="00C26369">
      <w:pPr>
        <w:keepNext/>
      </w:pPr>
      <w:r w:rsidRPr="00C26369">
        <w:rPr>
          <w:noProof/>
          <w:lang w:eastAsia="en-NZ"/>
        </w:rPr>
        <w:drawing>
          <wp:inline distT="0" distB="0" distL="0" distR="0" wp14:anchorId="0A00BF18" wp14:editId="6AE1DBC8">
            <wp:extent cx="5130165" cy="3347762"/>
            <wp:effectExtent l="0" t="0" r="0" b="5080"/>
            <wp:docPr id="29" name="Picture 29" descr="Those in the least deprived areas tended to have only about 1 partner in the previous year. In the third quintile (median deprivation), those numbers increased slightly, a little more in the fourth quintile, and were highest in the most deprived areas, but still were not greater than 2 for men or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130165" cy="3347762"/>
                    </a:xfrm>
                    <a:prstGeom prst="rect">
                      <a:avLst/>
                    </a:prstGeom>
                  </pic:spPr>
                </pic:pic>
              </a:graphicData>
            </a:graphic>
          </wp:inline>
        </w:drawing>
      </w:r>
    </w:p>
    <w:p w14:paraId="70F254FB" w14:textId="77777777" w:rsidR="00C26369" w:rsidRPr="001122D9" w:rsidRDefault="00C26369" w:rsidP="00C26369"/>
    <w:p w14:paraId="124D93FA" w14:textId="09CF7673" w:rsidR="00F902A0" w:rsidRPr="000F581B" w:rsidRDefault="00F902A0" w:rsidP="001122D9">
      <w:pPr>
        <w:pStyle w:val="Bullet"/>
      </w:pPr>
      <w:r w:rsidRPr="000F581B">
        <w:t xml:space="preserve">The median number of partners in the last year for men and women in all age groups was one. The mean and median number of partners in the last year among those who </w:t>
      </w:r>
      <w:r>
        <w:t>had</w:t>
      </w:r>
      <w:r w:rsidRPr="000F581B">
        <w:t xml:space="preserve"> ever had heterosexual sex (not just in the last year) and the whole population are available at</w:t>
      </w:r>
      <w:r w:rsidR="00B366D1">
        <w:rPr>
          <w:rStyle w:val="Hyperlink"/>
        </w:rPr>
        <w:t xml:space="preserve"> </w:t>
      </w:r>
      <w:r w:rsidR="00B366D1" w:rsidRPr="00B366D1">
        <w:rPr>
          <w:rStyle w:val="Hyperlink"/>
        </w:rPr>
        <w:t>https://www.health.govt.nz/publication/sexual-and-reproductive-health-2014-15-new-zealand-health-survey</w:t>
      </w:r>
    </w:p>
    <w:p w14:paraId="45328B9A" w14:textId="77777777" w:rsidR="00F902A0" w:rsidRPr="00171398" w:rsidRDefault="00F902A0" w:rsidP="001122D9"/>
    <w:p w14:paraId="3F226C1C" w14:textId="47D9566D" w:rsidR="00F902A0" w:rsidRPr="00171398" w:rsidRDefault="00F902A0" w:rsidP="001122D9">
      <w:pPr>
        <w:pStyle w:val="Heading4"/>
        <w:rPr>
          <w:noProof/>
        </w:rPr>
      </w:pPr>
      <w:r>
        <w:rPr>
          <w:noProof/>
        </w:rPr>
        <w:lastRenderedPageBreak/>
        <w:t>The l</w:t>
      </w:r>
      <w:r w:rsidRPr="00171398">
        <w:rPr>
          <w:noProof/>
        </w:rPr>
        <w:t>ifetime me</w:t>
      </w:r>
      <w:r>
        <w:rPr>
          <w:noProof/>
        </w:rPr>
        <w:t>di</w:t>
      </w:r>
      <w:r w:rsidRPr="00171398">
        <w:rPr>
          <w:noProof/>
        </w:rPr>
        <w:t>an number of heterosexual sex partners peaked in the 35</w:t>
      </w:r>
      <w:r w:rsidR="003120C5">
        <w:rPr>
          <w:noProof/>
        </w:rPr>
        <w:t>–</w:t>
      </w:r>
      <w:r w:rsidRPr="00171398">
        <w:rPr>
          <w:noProof/>
        </w:rPr>
        <w:t>4</w:t>
      </w:r>
      <w:r>
        <w:rPr>
          <w:noProof/>
        </w:rPr>
        <w:t>4</w:t>
      </w:r>
      <w:r w:rsidRPr="00171398">
        <w:rPr>
          <w:noProof/>
        </w:rPr>
        <w:t>-year</w:t>
      </w:r>
      <w:r>
        <w:rPr>
          <w:noProof/>
        </w:rPr>
        <w:t>-old</w:t>
      </w:r>
      <w:r w:rsidRPr="00171398">
        <w:rPr>
          <w:noProof/>
        </w:rPr>
        <w:t xml:space="preserve"> age group</w:t>
      </w:r>
    </w:p>
    <w:p w14:paraId="269A4DDB" w14:textId="2F917880" w:rsidR="00F902A0" w:rsidRPr="000F581B" w:rsidRDefault="00F902A0" w:rsidP="003120C5">
      <w:pPr>
        <w:pStyle w:val="Bullet"/>
        <w:keepNext/>
      </w:pPr>
      <w:r w:rsidRPr="000F581B">
        <w:t xml:space="preserve">The median number of heterosexual sexual partners (among those who </w:t>
      </w:r>
      <w:r>
        <w:t>had</w:t>
      </w:r>
      <w:r w:rsidRPr="000F581B">
        <w:t xml:space="preserve"> ever had </w:t>
      </w:r>
      <w:r>
        <w:t>heterosexual sex</w:t>
      </w:r>
      <w:r w:rsidRPr="000F581B">
        <w:t>) peaked for both men and women in the age group 35–44 years (</w:t>
      </w:r>
      <w:bookmarkStart w:id="70" w:name="OLE_LINK2"/>
      <w:r w:rsidRPr="000F581B">
        <w:t xml:space="preserve">Figure </w:t>
      </w:r>
      <w:bookmarkEnd w:id="70"/>
      <w:r w:rsidRPr="000F581B">
        <w:t>11</w:t>
      </w:r>
      <w:r w:rsidR="008C06B7">
        <w:t xml:space="preserve"> </w:t>
      </w:r>
      <w:proofErr w:type="spellStart"/>
      <w:r w:rsidR="008C06B7">
        <w:t>i</w:t>
      </w:r>
      <w:proofErr w:type="spellEnd"/>
      <w:r w:rsidRPr="000F581B">
        <w:t xml:space="preserve">). This indicates a progressive change in sexual behaviour between those aged 65–74 years, most of whom would have been born in the 1940s, and those aged 35–44 years, who were mostly born in the 1970s. The decrease in the median in the younger age groups cannot be interpreted as a reversal of this trend, as the number of partners in the younger age groups is likely to increase with age more than in the older </w:t>
      </w:r>
      <w:r>
        <w:t>groups</w:t>
      </w:r>
      <w:r w:rsidRPr="000F581B">
        <w:t>.</w:t>
      </w:r>
    </w:p>
    <w:p w14:paraId="08A9A2AE" w14:textId="14D7A2E9" w:rsidR="00F902A0" w:rsidRPr="000F581B" w:rsidRDefault="00F902A0" w:rsidP="003120C5">
      <w:pPr>
        <w:pStyle w:val="Bullet"/>
        <w:keepNext/>
      </w:pPr>
      <w:r w:rsidRPr="000F581B">
        <w:t>The mean number of heterosexual sexual partners follow</w:t>
      </w:r>
      <w:r>
        <w:t>ed</w:t>
      </w:r>
      <w:r w:rsidRPr="000F581B">
        <w:t xml:space="preserve"> a similar pattern (Figure</w:t>
      </w:r>
      <w:r w:rsidR="001122D9">
        <w:t> </w:t>
      </w:r>
      <w:r w:rsidRPr="000F581B">
        <w:t>11</w:t>
      </w:r>
      <w:r w:rsidR="008C06B7">
        <w:t xml:space="preserve"> </w:t>
      </w:r>
      <w:r w:rsidRPr="000F581B">
        <w:t>i</w:t>
      </w:r>
      <w:r w:rsidR="008C06B7">
        <w:t>i</w:t>
      </w:r>
      <w:r w:rsidRPr="000F581B">
        <w:t xml:space="preserve">), although the peak for men was in the age group 45–54 years, and for women </w:t>
      </w:r>
      <w:r>
        <w:t xml:space="preserve">in the age group </w:t>
      </w:r>
      <w:r w:rsidRPr="000F581B">
        <w:t>35–44</w:t>
      </w:r>
      <w:r>
        <w:t xml:space="preserve"> years</w:t>
      </w:r>
      <w:r w:rsidRPr="000F581B">
        <w:t>. The mean was higher than the median due to a small number of people having high number of partners (</w:t>
      </w:r>
      <w:r>
        <w:t xml:space="preserve">resulting in </w:t>
      </w:r>
      <w:r w:rsidR="001122D9">
        <w:t>a skewed distribution).</w:t>
      </w:r>
    </w:p>
    <w:p w14:paraId="6ED291B3" w14:textId="4773B776" w:rsidR="00F902A0" w:rsidRDefault="00F902A0" w:rsidP="003120C5">
      <w:pPr>
        <w:pStyle w:val="Bullet"/>
        <w:keepNext/>
      </w:pPr>
      <w:proofErr w:type="gramStart"/>
      <w:r w:rsidRPr="000F581B">
        <w:t>Similar to</w:t>
      </w:r>
      <w:proofErr w:type="gramEnd"/>
      <w:r w:rsidRPr="000F581B">
        <w:t xml:space="preserve"> </w:t>
      </w:r>
      <w:r>
        <w:t xml:space="preserve">the figures relating to numbers of </w:t>
      </w:r>
      <w:r w:rsidRPr="000F581B">
        <w:t>partners in the last year, men had 1.7</w:t>
      </w:r>
      <w:r w:rsidR="001122D9">
        <w:t> </w:t>
      </w:r>
      <w:r w:rsidRPr="000F581B">
        <w:t>times the mean number of partners ever as women, after adjusting for age.</w:t>
      </w:r>
    </w:p>
    <w:p w14:paraId="3D520FC5" w14:textId="77777777" w:rsidR="001122D9" w:rsidRPr="000F581B" w:rsidRDefault="001122D9" w:rsidP="003120C5">
      <w:pPr>
        <w:keepNext/>
      </w:pPr>
    </w:p>
    <w:p w14:paraId="1F2C6B7A" w14:textId="7C87B299" w:rsidR="00F902A0" w:rsidRDefault="00F902A0" w:rsidP="001122D9">
      <w:pPr>
        <w:pStyle w:val="Figure"/>
      </w:pPr>
      <w:bookmarkStart w:id="71" w:name="_Toc1755020"/>
      <w:bookmarkStart w:id="72" w:name="_Toc5173209"/>
      <w:bookmarkStart w:id="73" w:name="_Toc13043018"/>
      <w:bookmarkStart w:id="74" w:name="_Toc21090247"/>
      <w:bookmarkStart w:id="75" w:name="_Toc22219928"/>
      <w:r>
        <w:t xml:space="preserve">Figure </w:t>
      </w:r>
      <w:r w:rsidR="00A152B9">
        <w:fldChar w:fldCharType="begin"/>
      </w:r>
      <w:r w:rsidR="00A152B9">
        <w:instrText xml:space="preserve"> SEQ Figure \* ARABIC </w:instrText>
      </w:r>
      <w:r w:rsidR="00A152B9">
        <w:fldChar w:fldCharType="separate"/>
      </w:r>
      <w:r w:rsidR="00A152B9">
        <w:rPr>
          <w:noProof/>
        </w:rPr>
        <w:t>11</w:t>
      </w:r>
      <w:r w:rsidR="00A152B9">
        <w:rPr>
          <w:noProof/>
        </w:rPr>
        <w:fldChar w:fldCharType="end"/>
      </w:r>
      <w:r>
        <w:t>:</w:t>
      </w:r>
      <w:r w:rsidRPr="001E116E">
        <w:t xml:space="preserve"> </w:t>
      </w:r>
      <w:r>
        <w:t>M</w:t>
      </w:r>
      <w:r w:rsidRPr="001E116E">
        <w:t xml:space="preserve">edian and mean number of partners </w:t>
      </w:r>
      <w:r>
        <w:t>in respondents’ lifetimes (among those who had ever had heterosexual sex)</w:t>
      </w:r>
      <w:r w:rsidRPr="001E116E">
        <w:t xml:space="preserve">, by age </w:t>
      </w:r>
      <w:r>
        <w:t>group</w:t>
      </w:r>
      <w:bookmarkEnd w:id="71"/>
      <w:r>
        <w:t xml:space="preserve"> and gender</w:t>
      </w:r>
      <w:bookmarkEnd w:id="72"/>
      <w:bookmarkEnd w:id="73"/>
      <w:bookmarkEnd w:id="74"/>
      <w:bookmarkEnd w:id="7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47"/>
        <w:gridCol w:w="4148"/>
      </w:tblGrid>
      <w:tr w:rsidR="008C06B7" w14:paraId="7D79C777" w14:textId="77777777" w:rsidTr="00D149C3">
        <w:trPr>
          <w:cantSplit/>
        </w:trPr>
        <w:tc>
          <w:tcPr>
            <w:tcW w:w="4147" w:type="dxa"/>
          </w:tcPr>
          <w:p w14:paraId="3DE1C2CF" w14:textId="533A7F86" w:rsidR="008C06B7" w:rsidRDefault="00D149C3" w:rsidP="008C06B7">
            <w:r w:rsidRPr="00D149C3">
              <w:rPr>
                <w:noProof/>
              </w:rPr>
              <w:drawing>
                <wp:inline distT="0" distB="0" distL="0" distR="0" wp14:anchorId="063B260E" wp14:editId="4F8EBAD2">
                  <wp:extent cx="2518756" cy="1643649"/>
                  <wp:effectExtent l="0" t="0" r="0" b="0"/>
                  <wp:docPr id="4" name="Picture 4" descr="Median sexual partners were highest in men 35-44, at about 8; followed by men 25-34 and 45-54, at about 7. Women age 35-44 had the highest median partners, about 6. For the youngest groups and those over 55, the numbers were 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521192" cy="1645238"/>
                          </a:xfrm>
                          <a:prstGeom prst="rect">
                            <a:avLst/>
                          </a:prstGeom>
                        </pic:spPr>
                      </pic:pic>
                    </a:graphicData>
                  </a:graphic>
                </wp:inline>
              </w:drawing>
            </w:r>
          </w:p>
        </w:tc>
        <w:tc>
          <w:tcPr>
            <w:tcW w:w="4148" w:type="dxa"/>
          </w:tcPr>
          <w:p w14:paraId="18FB585E" w14:textId="740BAF94" w:rsidR="008C06B7" w:rsidRDefault="00D149C3" w:rsidP="008C06B7">
            <w:r w:rsidRPr="00D149C3">
              <w:rPr>
                <w:noProof/>
              </w:rPr>
              <w:drawing>
                <wp:inline distT="0" distB="0" distL="0" distR="0" wp14:anchorId="7F5BAC0F" wp14:editId="49F22925">
                  <wp:extent cx="2527069" cy="1649073"/>
                  <wp:effectExtent l="0" t="0" r="6985" b="8890"/>
                  <wp:docPr id="7" name="Picture 7" descr="Mean number of partners was highest among men 45-54, at about 18. Both men and women age 16-24 reported a mean of about 9 partners. Men from every other age group reported a mean of about 15 partners. Women from all other groups reported between 8 and 12 partners, aside from women 65-74 who reported abou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533292" cy="1653134"/>
                          </a:xfrm>
                          <a:prstGeom prst="rect">
                            <a:avLst/>
                          </a:prstGeom>
                        </pic:spPr>
                      </pic:pic>
                    </a:graphicData>
                  </a:graphic>
                </wp:inline>
              </w:drawing>
            </w:r>
          </w:p>
        </w:tc>
      </w:tr>
    </w:tbl>
    <w:p w14:paraId="2B45367C" w14:textId="1033D39C" w:rsidR="00F902A0" w:rsidRPr="000F581B" w:rsidRDefault="00F902A0" w:rsidP="004C3920">
      <w:pPr>
        <w:pStyle w:val="Bullet"/>
        <w:keepNext/>
      </w:pPr>
      <w:r w:rsidRPr="000F581B">
        <w:lastRenderedPageBreak/>
        <w:t>Figure 12 shows the variation in the median</w:t>
      </w:r>
      <w:r w:rsidRPr="000F581B" w:rsidDel="006C42DE">
        <w:t xml:space="preserve"> </w:t>
      </w:r>
      <w:r w:rsidRPr="000F581B">
        <w:t>and mean number of heterosexual partners ever, by ethnic group.</w:t>
      </w:r>
    </w:p>
    <w:p w14:paraId="19480C97" w14:textId="77777777" w:rsidR="00F902A0" w:rsidRPr="00092B91" w:rsidRDefault="00F902A0" w:rsidP="004C3920">
      <w:pPr>
        <w:pStyle w:val="Bullet"/>
        <w:keepNext/>
      </w:pPr>
      <w:r w:rsidRPr="00092B91">
        <w:t xml:space="preserve">After adjusting for age, Māori men and women had 1.3 times the mean number of partners as non-Māori; Pacific women had </w:t>
      </w:r>
      <w:r>
        <w:t>0.7</w:t>
      </w:r>
      <w:r w:rsidRPr="00092B91">
        <w:t xml:space="preserve"> times the mean number of partners as non-Pacific women, and Asian men and women had 0.4 times the mean number of partners as non-Asian men and women.</w:t>
      </w:r>
    </w:p>
    <w:p w14:paraId="7C17B2A7" w14:textId="77777777" w:rsidR="00F902A0" w:rsidRDefault="00F902A0" w:rsidP="004C3920">
      <w:pPr>
        <w:keepNext/>
      </w:pPr>
      <w:bookmarkStart w:id="76" w:name="_Toc1755021"/>
    </w:p>
    <w:p w14:paraId="342D9A8B" w14:textId="691A0AD6" w:rsidR="00F902A0" w:rsidRDefault="00F902A0" w:rsidP="001122D9">
      <w:pPr>
        <w:pStyle w:val="Figure"/>
      </w:pPr>
      <w:bookmarkStart w:id="77" w:name="_Toc5173210"/>
      <w:bookmarkStart w:id="78" w:name="_Toc13043019"/>
      <w:bookmarkStart w:id="79" w:name="_Toc21090248"/>
      <w:bookmarkStart w:id="80" w:name="_Toc22219929"/>
      <w:r>
        <w:t xml:space="preserve">Figure </w:t>
      </w:r>
      <w:r w:rsidR="00A152B9">
        <w:fldChar w:fldCharType="begin"/>
      </w:r>
      <w:r w:rsidR="00A152B9">
        <w:instrText xml:space="preserve"> SEQ Figure \* ARABIC </w:instrText>
      </w:r>
      <w:r w:rsidR="00A152B9">
        <w:fldChar w:fldCharType="separate"/>
      </w:r>
      <w:r w:rsidR="00A152B9">
        <w:rPr>
          <w:noProof/>
        </w:rPr>
        <w:t>12</w:t>
      </w:r>
      <w:r w:rsidR="00A152B9">
        <w:rPr>
          <w:noProof/>
        </w:rPr>
        <w:fldChar w:fldCharType="end"/>
      </w:r>
      <w:r>
        <w:t>:</w:t>
      </w:r>
      <w:r w:rsidRPr="001E116E">
        <w:t xml:space="preserve"> </w:t>
      </w:r>
      <w:r>
        <w:t>M</w:t>
      </w:r>
      <w:r w:rsidRPr="001E116E">
        <w:t xml:space="preserve">edian and mean number of partners </w:t>
      </w:r>
      <w:r>
        <w:t>in respondents’ lifetimes (among those who had ever had heterosexual sex)</w:t>
      </w:r>
      <w:r w:rsidRPr="001E116E">
        <w:t xml:space="preserve">, by </w:t>
      </w:r>
      <w:bookmarkEnd w:id="76"/>
      <w:r>
        <w:t>ethnic group</w:t>
      </w:r>
      <w:bookmarkEnd w:id="77"/>
      <w:bookmarkEnd w:id="78"/>
      <w:r>
        <w:t xml:space="preserve"> and gender</w:t>
      </w:r>
      <w:bookmarkEnd w:id="79"/>
      <w:bookmarkEnd w:id="8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47"/>
        <w:gridCol w:w="4148"/>
      </w:tblGrid>
      <w:tr w:rsidR="006E098D" w14:paraId="27E9209D" w14:textId="77777777" w:rsidTr="00D149C3">
        <w:trPr>
          <w:cantSplit/>
        </w:trPr>
        <w:tc>
          <w:tcPr>
            <w:tcW w:w="4147" w:type="dxa"/>
          </w:tcPr>
          <w:p w14:paraId="55C85211" w14:textId="7775965C" w:rsidR="006E098D" w:rsidRDefault="00D149C3" w:rsidP="00DC53F0">
            <w:r w:rsidRPr="00D149C3">
              <w:rPr>
                <w:noProof/>
              </w:rPr>
              <w:drawing>
                <wp:inline distT="0" distB="0" distL="0" distR="0" wp14:anchorId="751640E1" wp14:editId="43EA8862">
                  <wp:extent cx="2585927" cy="1687483"/>
                  <wp:effectExtent l="0" t="0" r="5080" b="8255"/>
                  <wp:docPr id="9" name="Picture 9" descr="Māori , Pacific and European/Other men had a similar median number of lifetime partners, about 6. Asian men reported about 3. Māori and European/Other women both reported about 5, while Pacific women reported about 3, and Asian women report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588941" cy="1689450"/>
                          </a:xfrm>
                          <a:prstGeom prst="rect">
                            <a:avLst/>
                          </a:prstGeom>
                        </pic:spPr>
                      </pic:pic>
                    </a:graphicData>
                  </a:graphic>
                </wp:inline>
              </w:drawing>
            </w:r>
          </w:p>
        </w:tc>
        <w:tc>
          <w:tcPr>
            <w:tcW w:w="4148" w:type="dxa"/>
          </w:tcPr>
          <w:p w14:paraId="01013F61" w14:textId="0CCF7C8A" w:rsidR="006E098D" w:rsidRDefault="00D149C3" w:rsidP="00DC53F0">
            <w:r w:rsidRPr="00D149C3">
              <w:rPr>
                <w:noProof/>
              </w:rPr>
              <w:drawing>
                <wp:inline distT="0" distB="0" distL="0" distR="0" wp14:anchorId="0EE96B97" wp14:editId="6A05D2E2">
                  <wp:extent cx="2635135" cy="1719595"/>
                  <wp:effectExtent l="0" t="0" r="0" b="0"/>
                  <wp:docPr id="10" name="Picture 10" descr="Māori men and women reported the highest mean lifetime partner number, 18 for men and 11 for women. European/Other men and women were the next highest groups, about 15 partners for men and 10 for women. Pacific men reported about 12 partners while Pacific women reported about 6. Asian men and women had the lowest mean numbers, at about 7 for men and 3 for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635135" cy="1719595"/>
                          </a:xfrm>
                          <a:prstGeom prst="rect">
                            <a:avLst/>
                          </a:prstGeom>
                        </pic:spPr>
                      </pic:pic>
                    </a:graphicData>
                  </a:graphic>
                </wp:inline>
              </w:drawing>
            </w:r>
          </w:p>
        </w:tc>
      </w:tr>
    </w:tbl>
    <w:p w14:paraId="7CB5AB6A" w14:textId="7B3E14BB" w:rsidR="00F902A0" w:rsidRDefault="00F902A0" w:rsidP="001122D9">
      <w:pPr>
        <w:pStyle w:val="Note"/>
      </w:pPr>
      <w:r>
        <w:t>Note: Adults</w:t>
      </w:r>
      <w:r w:rsidRPr="000F602C">
        <w:t xml:space="preserve"> who reported more than one ethnic group </w:t>
      </w:r>
      <w:r>
        <w:t xml:space="preserve">are </w:t>
      </w:r>
      <w:r w:rsidRPr="000F602C">
        <w:t xml:space="preserve">counted once in each group reported. This means that the total number of responses for all ethnic groups can be greater than the total number of </w:t>
      </w:r>
      <w:r>
        <w:t>adults</w:t>
      </w:r>
      <w:r w:rsidRPr="000F602C">
        <w:t xml:space="preserve"> who stated their ethnicities</w:t>
      </w:r>
      <w:r>
        <w:t>.</w:t>
      </w:r>
    </w:p>
    <w:p w14:paraId="607DF56C" w14:textId="77777777" w:rsidR="00F902A0" w:rsidRPr="00817266" w:rsidRDefault="00F902A0" w:rsidP="001122D9"/>
    <w:p w14:paraId="5B3D0A12" w14:textId="77777777" w:rsidR="00F902A0" w:rsidRPr="002F23DD" w:rsidRDefault="00F902A0" w:rsidP="001122D9">
      <w:pPr>
        <w:pStyle w:val="Bullet"/>
      </w:pPr>
      <w:r w:rsidRPr="002F23DD">
        <w:t>Figure 13 shows the variation in median</w:t>
      </w:r>
      <w:r w:rsidRPr="002F23DD" w:rsidDel="006C42DE">
        <w:t xml:space="preserve"> </w:t>
      </w:r>
      <w:r w:rsidRPr="002F23DD">
        <w:t>and mean number of heterosexual partners ever, by deprivation level.</w:t>
      </w:r>
    </w:p>
    <w:p w14:paraId="7FE645F8" w14:textId="77777777" w:rsidR="00F902A0" w:rsidRDefault="00F902A0" w:rsidP="001122D9">
      <w:bookmarkStart w:id="81" w:name="_Toc1755022"/>
    </w:p>
    <w:p w14:paraId="40172D36" w14:textId="46D00657" w:rsidR="00F902A0" w:rsidRDefault="00F902A0" w:rsidP="001122D9">
      <w:pPr>
        <w:pStyle w:val="Figure"/>
      </w:pPr>
      <w:bookmarkStart w:id="82" w:name="_Toc5173211"/>
      <w:bookmarkStart w:id="83" w:name="_Toc13043020"/>
      <w:bookmarkStart w:id="84" w:name="_Toc21090249"/>
      <w:bookmarkStart w:id="85" w:name="_Toc22219930"/>
      <w:r>
        <w:t xml:space="preserve">Figure </w:t>
      </w:r>
      <w:r w:rsidR="00A152B9">
        <w:fldChar w:fldCharType="begin"/>
      </w:r>
      <w:r w:rsidR="00A152B9">
        <w:instrText xml:space="preserve"> SEQ Figure \* ARABIC </w:instrText>
      </w:r>
      <w:r w:rsidR="00A152B9">
        <w:fldChar w:fldCharType="separate"/>
      </w:r>
      <w:r w:rsidR="00A152B9">
        <w:rPr>
          <w:noProof/>
        </w:rPr>
        <w:t>13</w:t>
      </w:r>
      <w:r w:rsidR="00A152B9">
        <w:rPr>
          <w:noProof/>
        </w:rPr>
        <w:fldChar w:fldCharType="end"/>
      </w:r>
      <w:r>
        <w:t>:</w:t>
      </w:r>
      <w:r w:rsidRPr="001E116E">
        <w:t xml:space="preserve"> </w:t>
      </w:r>
      <w:r>
        <w:t>M</w:t>
      </w:r>
      <w:r w:rsidRPr="001E116E">
        <w:t xml:space="preserve">edian and mean number of partners </w:t>
      </w:r>
      <w:r>
        <w:t>in respondents’ lifetimes (among those who had ever had heterosexual sex)</w:t>
      </w:r>
      <w:r w:rsidRPr="001E116E">
        <w:t xml:space="preserve">, by </w:t>
      </w:r>
      <w:bookmarkEnd w:id="81"/>
      <w:bookmarkEnd w:id="82"/>
      <w:bookmarkEnd w:id="83"/>
      <w:r>
        <w:t>neighbourhood deprivation and gender</w:t>
      </w:r>
      <w:bookmarkEnd w:id="84"/>
      <w:bookmarkEnd w:id="8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40"/>
        <w:gridCol w:w="4141"/>
      </w:tblGrid>
      <w:tr w:rsidR="00EE0E99" w14:paraId="74D5375F" w14:textId="77777777" w:rsidTr="00D149C3">
        <w:trPr>
          <w:cantSplit/>
          <w:trHeight w:val="2731"/>
        </w:trPr>
        <w:tc>
          <w:tcPr>
            <w:tcW w:w="4140" w:type="dxa"/>
          </w:tcPr>
          <w:p w14:paraId="03FE4B3A" w14:textId="279D2815" w:rsidR="00EE0E99" w:rsidRDefault="00D149C3" w:rsidP="00DC53F0">
            <w:r w:rsidRPr="00D149C3">
              <w:rPr>
                <w:noProof/>
              </w:rPr>
              <w:drawing>
                <wp:inline distT="0" distB="0" distL="0" distR="0" wp14:anchorId="53177A21" wp14:editId="05B2A73B">
                  <wp:extent cx="2626822" cy="1714170"/>
                  <wp:effectExtent l="0" t="0" r="2540" b="635"/>
                  <wp:docPr id="12" name="Picture 12" descr="Women in the most deprived areas (the two lowest quintiles) reported the highest median lifetime partners, about 5, but this wasn't much greater than women in the higher quintiles, who reported about 4. Men had a greater variance, peaking in the middle with about 7, and at 5 or 6 in the other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626822" cy="1714170"/>
                          </a:xfrm>
                          <a:prstGeom prst="rect">
                            <a:avLst/>
                          </a:prstGeom>
                        </pic:spPr>
                      </pic:pic>
                    </a:graphicData>
                  </a:graphic>
                </wp:inline>
              </w:drawing>
            </w:r>
          </w:p>
        </w:tc>
        <w:tc>
          <w:tcPr>
            <w:tcW w:w="4141" w:type="dxa"/>
          </w:tcPr>
          <w:p w14:paraId="4D98AA97" w14:textId="62EE5EF7" w:rsidR="00EE0E99" w:rsidRDefault="00D149C3" w:rsidP="00DC53F0">
            <w:r w:rsidRPr="00D149C3">
              <w:rPr>
                <w:noProof/>
              </w:rPr>
              <w:drawing>
                <wp:inline distT="0" distB="0" distL="0" distR="0" wp14:anchorId="6DBE145A" wp14:editId="275D7D08">
                  <wp:extent cx="2624143" cy="1712421"/>
                  <wp:effectExtent l="0" t="0" r="5080" b="2540"/>
                  <wp:docPr id="13" name="Picture 13" descr="Mean partner numbers were highest for women in the two most deprived areas, reporting about 10 lifetime partners. Women in the three higher groups reported 7 or 8. Men peaked again in the middle deprivation quintile, at about 17 partners; 15 for the lower deciles and 12 or 13 for the higher dec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630251" cy="1716407"/>
                          </a:xfrm>
                          <a:prstGeom prst="rect">
                            <a:avLst/>
                          </a:prstGeom>
                        </pic:spPr>
                      </pic:pic>
                    </a:graphicData>
                  </a:graphic>
                </wp:inline>
              </w:drawing>
            </w:r>
          </w:p>
        </w:tc>
      </w:tr>
    </w:tbl>
    <w:p w14:paraId="24C0D6C4" w14:textId="650794BE" w:rsidR="007025D2" w:rsidRPr="007025D2" w:rsidRDefault="007025D2" w:rsidP="007025D2"/>
    <w:p w14:paraId="0CDA53FA" w14:textId="6B64FA57" w:rsidR="00F902A0" w:rsidRDefault="00F902A0" w:rsidP="001122D9">
      <w:pPr>
        <w:pStyle w:val="Bullet"/>
      </w:pPr>
      <w:r w:rsidRPr="00171398">
        <w:t xml:space="preserve">You can find more </w:t>
      </w:r>
      <w:r>
        <w:t>information</w:t>
      </w:r>
      <w:r w:rsidRPr="00171398">
        <w:t xml:space="preserve"> about median and mean number of heterosexual partners ever among the whole population, online at </w:t>
      </w:r>
      <w:r w:rsidR="00B366D1" w:rsidRPr="00B366D1">
        <w:rPr>
          <w:rStyle w:val="Hyperlink"/>
        </w:rPr>
        <w:t>https://www.health.govt.nz/publication/sexual-and-reproductive-health-2014-15-new-zealand-health-survey</w:t>
      </w:r>
    </w:p>
    <w:p w14:paraId="240E9AE1" w14:textId="77777777" w:rsidR="001122D9" w:rsidRPr="00171398" w:rsidRDefault="001122D9" w:rsidP="001122D9"/>
    <w:p w14:paraId="20D57294" w14:textId="77777777" w:rsidR="00F902A0" w:rsidRPr="002F23DD" w:rsidRDefault="00F902A0" w:rsidP="00D76022">
      <w:pPr>
        <w:pStyle w:val="Heading1"/>
        <w:ind w:right="-567"/>
      </w:pPr>
      <w:bookmarkStart w:id="86" w:name="_Toc5169941"/>
      <w:bookmarkStart w:id="87" w:name="_Toc21090232"/>
      <w:bookmarkStart w:id="88" w:name="_Toc22219960"/>
      <w:r w:rsidRPr="002F23DD">
        <w:lastRenderedPageBreak/>
        <w:t xml:space="preserve">Condom use among those </w:t>
      </w:r>
      <w:r>
        <w:t>who had had</w:t>
      </w:r>
      <w:r w:rsidRPr="002F23DD">
        <w:t xml:space="preserve"> </w:t>
      </w:r>
      <w:r w:rsidRPr="009969FC">
        <w:t>two or more</w:t>
      </w:r>
      <w:r w:rsidRPr="002F23DD">
        <w:t xml:space="preserve"> heterosexual sex partners in the last year</w:t>
      </w:r>
      <w:bookmarkEnd w:id="86"/>
      <w:bookmarkEnd w:id="87"/>
      <w:bookmarkEnd w:id="88"/>
    </w:p>
    <w:p w14:paraId="37995F53" w14:textId="1E35DD0D" w:rsidR="00F902A0" w:rsidRPr="002F23DD" w:rsidRDefault="00F902A0" w:rsidP="00D76022">
      <w:r w:rsidRPr="008C1E74">
        <w:t>Not using condoms when</w:t>
      </w:r>
      <w:r w:rsidRPr="002F23DD">
        <w:t xml:space="preserve"> having multiple sexual partners is considered a behavioural marker of STI acquisition and transmission risk. </w:t>
      </w:r>
      <w:r>
        <w:t>T</w:t>
      </w:r>
      <w:r w:rsidRPr="002F23DD">
        <w:t xml:space="preserve">his section sets out </w:t>
      </w:r>
      <w:r>
        <w:t xml:space="preserve">the </w:t>
      </w:r>
      <w:r w:rsidRPr="002F23DD">
        <w:t xml:space="preserve">responses </w:t>
      </w:r>
      <w:r>
        <w:t xml:space="preserve">of those who had had </w:t>
      </w:r>
      <w:r w:rsidRPr="002F23DD">
        <w:t>heterosexual sex</w:t>
      </w:r>
      <w:r w:rsidRPr="00D76022">
        <w:rPr>
          <w:rStyle w:val="FootnoteReference"/>
        </w:rPr>
        <w:footnoteReference w:id="11"/>
      </w:r>
      <w:r w:rsidRPr="002F23DD">
        <w:t xml:space="preserve"> with two or more partners in the last 12 months to the question in the survey ‘In the last 12 months, if you’ve had vaginal or anal sex with a female, how often was a condom used?’</w:t>
      </w:r>
      <w:r w:rsidR="00D76022">
        <w:t>.</w:t>
      </w:r>
      <w:r w:rsidRPr="00D76022">
        <w:rPr>
          <w:rStyle w:val="FootnoteReference"/>
        </w:rPr>
        <w:footnoteReference w:id="12"/>
      </w:r>
      <w:r w:rsidRPr="00AB660D">
        <w:t xml:space="preserve"> </w:t>
      </w:r>
      <w:r w:rsidRPr="002F23DD">
        <w:t xml:space="preserve">Those who did not answer </w:t>
      </w:r>
      <w:r>
        <w:t>‘</w:t>
      </w:r>
      <w:r w:rsidRPr="002F23DD">
        <w:t>Every time</w:t>
      </w:r>
      <w:r>
        <w:t>’</w:t>
      </w:r>
      <w:r w:rsidRPr="002F23DD">
        <w:t xml:space="preserve"> were defined as not using condoms every time.</w:t>
      </w:r>
    </w:p>
    <w:p w14:paraId="11EAB88A" w14:textId="77777777" w:rsidR="00F902A0" w:rsidRDefault="00F902A0" w:rsidP="00D76022"/>
    <w:p w14:paraId="74B64140" w14:textId="77777777" w:rsidR="00F902A0" w:rsidRPr="00171398" w:rsidRDefault="00F902A0" w:rsidP="00D76022">
      <w:pPr>
        <w:pStyle w:val="Heading4"/>
        <w:rPr>
          <w:noProof/>
        </w:rPr>
      </w:pPr>
      <w:r>
        <w:rPr>
          <w:noProof/>
        </w:rPr>
        <w:t>Less than one-quarter</w:t>
      </w:r>
      <w:r w:rsidRPr="00171398">
        <w:rPr>
          <w:noProof/>
        </w:rPr>
        <w:t xml:space="preserve"> of adults who had </w:t>
      </w:r>
      <w:r>
        <w:rPr>
          <w:noProof/>
        </w:rPr>
        <w:t xml:space="preserve">had </w:t>
      </w:r>
      <w:r w:rsidRPr="00171398">
        <w:rPr>
          <w:noProof/>
        </w:rPr>
        <w:t>two or more heterosexual sex partners in the last year use</w:t>
      </w:r>
      <w:r>
        <w:rPr>
          <w:noProof/>
        </w:rPr>
        <w:t>d</w:t>
      </w:r>
      <w:r w:rsidRPr="00171398">
        <w:rPr>
          <w:noProof/>
        </w:rPr>
        <w:t xml:space="preserve"> condoms every time</w:t>
      </w:r>
    </w:p>
    <w:p w14:paraId="0EF21A28" w14:textId="136E0575" w:rsidR="00F902A0" w:rsidRPr="002F23DD" w:rsidRDefault="00F902A0" w:rsidP="00D76022">
      <w:pPr>
        <w:pStyle w:val="Bullet"/>
      </w:pPr>
      <w:r w:rsidRPr="002F23DD">
        <w:t xml:space="preserve">Among those who had </w:t>
      </w:r>
      <w:r>
        <w:t xml:space="preserve">had </w:t>
      </w:r>
      <w:r w:rsidRPr="002F23DD">
        <w:t>two or more heterosexual sex partners in the last year, only 12</w:t>
      </w:r>
      <w:r>
        <w:t> percent</w:t>
      </w:r>
      <w:r w:rsidRPr="002F23DD">
        <w:t xml:space="preserve"> of women and </w:t>
      </w:r>
      <w:r>
        <w:t>21 percent</w:t>
      </w:r>
      <w:r w:rsidRPr="002F23DD">
        <w:t xml:space="preserve"> of men used condoms every time they had sex in the last year.</w:t>
      </w:r>
      <w:r w:rsidRPr="00D76022">
        <w:rPr>
          <w:rStyle w:val="FootnoteReference"/>
        </w:rPr>
        <w:footnoteReference w:id="13"/>
      </w:r>
    </w:p>
    <w:p w14:paraId="16BA3055" w14:textId="11E78FD9" w:rsidR="00F902A0" w:rsidRPr="002F23DD" w:rsidRDefault="00F902A0" w:rsidP="00D76022">
      <w:pPr>
        <w:pStyle w:val="Bullet"/>
      </w:pPr>
      <w:r>
        <w:t xml:space="preserve">Among </w:t>
      </w:r>
      <w:r w:rsidRPr="002F23DD">
        <w:t>men and women</w:t>
      </w:r>
      <w:r>
        <w:t>,</w:t>
      </w:r>
      <w:r w:rsidRPr="002F23DD">
        <w:t xml:space="preserve"> </w:t>
      </w:r>
      <w:r>
        <w:t xml:space="preserve">condom use </w:t>
      </w:r>
      <w:r w:rsidRPr="002F23DD">
        <w:t>was least common in those aged 35 and over</w:t>
      </w:r>
      <w:r>
        <w:t>; fewer</w:t>
      </w:r>
      <w:r w:rsidRPr="002F23DD">
        <w:t xml:space="preserve"> than 8</w:t>
      </w:r>
      <w:r>
        <w:t> percent</w:t>
      </w:r>
      <w:r w:rsidRPr="002F23DD">
        <w:t xml:space="preserve"> of women </w:t>
      </w:r>
      <w:r>
        <w:t xml:space="preserve">said they had </w:t>
      </w:r>
      <w:r w:rsidRPr="002F23DD">
        <w:t>use</w:t>
      </w:r>
      <w:r>
        <w:t>d a condom</w:t>
      </w:r>
      <w:r w:rsidRPr="002F23DD">
        <w:t xml:space="preserve"> every time</w:t>
      </w:r>
      <w:r w:rsidR="007025D2">
        <w:t xml:space="preserve"> </w:t>
      </w:r>
      <w:r w:rsidR="007025D2" w:rsidRPr="002F23DD">
        <w:t>(Figure 14</w:t>
      </w:r>
      <w:r w:rsidR="007025D2">
        <w:t>)</w:t>
      </w:r>
      <w:r w:rsidRPr="002F23DD">
        <w:t>.</w:t>
      </w:r>
    </w:p>
    <w:p w14:paraId="7FDCEAB1" w14:textId="77777777" w:rsidR="00F902A0" w:rsidRDefault="00F902A0" w:rsidP="00D76022">
      <w:bookmarkStart w:id="89" w:name="_Toc1755023"/>
    </w:p>
    <w:p w14:paraId="592482E2" w14:textId="75D182C9" w:rsidR="00F902A0" w:rsidRDefault="00F902A0" w:rsidP="00AB259D">
      <w:pPr>
        <w:pStyle w:val="Figure"/>
        <w:spacing w:before="0" w:after="60"/>
      </w:pPr>
      <w:bookmarkStart w:id="90" w:name="_Toc5173212"/>
      <w:bookmarkStart w:id="91" w:name="_Toc13043021"/>
      <w:bookmarkStart w:id="92" w:name="_Toc21090250"/>
      <w:bookmarkStart w:id="93" w:name="_Toc22219931"/>
      <w:r>
        <w:lastRenderedPageBreak/>
        <w:t xml:space="preserve">Figure </w:t>
      </w:r>
      <w:r w:rsidR="00A152B9">
        <w:fldChar w:fldCharType="begin"/>
      </w:r>
      <w:r w:rsidR="00A152B9">
        <w:instrText xml:space="preserve"> SEQ Figure \* ARABIC </w:instrText>
      </w:r>
      <w:r w:rsidR="00A152B9">
        <w:fldChar w:fldCharType="separate"/>
      </w:r>
      <w:r w:rsidR="00A152B9">
        <w:rPr>
          <w:noProof/>
        </w:rPr>
        <w:t>14</w:t>
      </w:r>
      <w:r w:rsidR="00A152B9">
        <w:rPr>
          <w:noProof/>
        </w:rPr>
        <w:fldChar w:fldCharType="end"/>
      </w:r>
      <w:r>
        <w:t>:</w:t>
      </w:r>
      <w:r w:rsidRPr="001E116E">
        <w:t xml:space="preserve"> </w:t>
      </w:r>
      <w:r>
        <w:t>Condom always used with vaginal/anal sex in the 12 months preceding the survey (among those who had had multiple partners)</w:t>
      </w:r>
      <w:r w:rsidRPr="001E116E">
        <w:t xml:space="preserve">, by age </w:t>
      </w:r>
      <w:bookmarkEnd w:id="89"/>
      <w:bookmarkEnd w:id="90"/>
      <w:bookmarkEnd w:id="91"/>
      <w:r>
        <w:t>and gender</w:t>
      </w:r>
      <w:bookmarkEnd w:id="92"/>
      <w:bookmarkEnd w:id="93"/>
    </w:p>
    <w:p w14:paraId="714E0797" w14:textId="4464E2DC" w:rsidR="00AB259D" w:rsidRPr="00AB259D" w:rsidRDefault="00AB259D" w:rsidP="00AB259D">
      <w:r w:rsidRPr="00AB259D">
        <w:rPr>
          <w:noProof/>
          <w:lang w:eastAsia="en-NZ"/>
        </w:rPr>
        <w:drawing>
          <wp:inline distT="0" distB="0" distL="0" distR="0" wp14:anchorId="6D5FE431" wp14:editId="6B005D7C">
            <wp:extent cx="5130165" cy="3347762"/>
            <wp:effectExtent l="0" t="0" r="0" b="5080"/>
            <wp:docPr id="59" name="Picture 59" descr="About 28% of men age 16-34 always used a condom, while only about 15% of women in these age groups did. The proportions dropped off with age, and were below 10% for all groups over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130165" cy="3347762"/>
                    </a:xfrm>
                    <a:prstGeom prst="rect">
                      <a:avLst/>
                    </a:prstGeom>
                  </pic:spPr>
                </pic:pic>
              </a:graphicData>
            </a:graphic>
          </wp:inline>
        </w:drawing>
      </w:r>
    </w:p>
    <w:p w14:paraId="78AFA173" w14:textId="77777777" w:rsidR="00D76022" w:rsidRDefault="00D76022" w:rsidP="00AB259D"/>
    <w:p w14:paraId="35802EEA" w14:textId="7B863725" w:rsidR="00F902A0" w:rsidRPr="002F23DD" w:rsidRDefault="00F902A0" w:rsidP="00D76022">
      <w:pPr>
        <w:pStyle w:val="Bullet"/>
      </w:pPr>
      <w:r w:rsidRPr="002F23DD">
        <w:t xml:space="preserve">There were no significant differences in the pattern of condom use by </w:t>
      </w:r>
      <w:r>
        <w:t>gender</w:t>
      </w:r>
      <w:r w:rsidRPr="002F23DD">
        <w:t>, ethnic group or neighbourhood deprivation level.</w:t>
      </w:r>
    </w:p>
    <w:p w14:paraId="11948E58" w14:textId="77777777" w:rsidR="00F902A0" w:rsidRDefault="00F902A0" w:rsidP="00D76022">
      <w:bookmarkStart w:id="94" w:name="_Toc1755024"/>
    </w:p>
    <w:p w14:paraId="47326D35" w14:textId="77777777" w:rsidR="00F902A0" w:rsidRPr="002F23DD" w:rsidRDefault="00F902A0" w:rsidP="00D76022">
      <w:pPr>
        <w:pStyle w:val="Heading1"/>
      </w:pPr>
      <w:bookmarkStart w:id="95" w:name="_Toc5169942"/>
      <w:bookmarkStart w:id="96" w:name="_Toc21090233"/>
      <w:bookmarkStart w:id="97" w:name="_Toc22219961"/>
      <w:bookmarkEnd w:id="94"/>
      <w:r w:rsidRPr="002F23DD">
        <w:lastRenderedPageBreak/>
        <w:t>Condom use among those who had a non-cohabiting sexual partner</w:t>
      </w:r>
      <w:r w:rsidRPr="00246B4F">
        <w:rPr>
          <w:rStyle w:val="FootnoteReference"/>
        </w:rPr>
        <w:footnoteReference w:id="14"/>
      </w:r>
      <w:r w:rsidRPr="002F23DD">
        <w:t xml:space="preserve"> in the last year</w:t>
      </w:r>
      <w:bookmarkEnd w:id="95"/>
      <w:bookmarkEnd w:id="96"/>
      <w:bookmarkEnd w:id="97"/>
    </w:p>
    <w:p w14:paraId="7AF36858" w14:textId="766C72E2" w:rsidR="00F902A0" w:rsidRDefault="00F902A0" w:rsidP="00246B4F">
      <w:r w:rsidRPr="002F23DD">
        <w:t>Non-condom use with non-cohabiting partners</w:t>
      </w:r>
      <w:r w:rsidRPr="00246B4F">
        <w:rPr>
          <w:rStyle w:val="FootnoteReference"/>
        </w:rPr>
        <w:footnoteReference w:id="15"/>
      </w:r>
      <w:r w:rsidRPr="002F23DD">
        <w:t xml:space="preserve"> is also considered a key behavioural marker for STI acq</w:t>
      </w:r>
      <w:r w:rsidR="00246B4F">
        <w:t>uisition and transmission risk.</w:t>
      </w:r>
    </w:p>
    <w:p w14:paraId="66F70236" w14:textId="77777777" w:rsidR="00F902A0" w:rsidRPr="002F23DD" w:rsidRDefault="00F902A0" w:rsidP="00246B4F"/>
    <w:p w14:paraId="2D1CB067" w14:textId="77777777" w:rsidR="00F902A0" w:rsidRDefault="00F902A0" w:rsidP="00246B4F">
      <w:r w:rsidRPr="002F23DD">
        <w:t>The survey asked</w:t>
      </w:r>
      <w:r>
        <w:t xml:space="preserve"> respondents</w:t>
      </w:r>
      <w:r w:rsidRPr="002F23DD">
        <w:t xml:space="preserve">: ‘Please start by thinking about the person you had sex with </w:t>
      </w:r>
      <w:r w:rsidRPr="002F23DD">
        <w:rPr>
          <w:b/>
          <w:bCs/>
        </w:rPr>
        <w:t>most recently</w:t>
      </w:r>
      <w:r w:rsidRPr="002F23DD">
        <w:t xml:space="preserve">, whether this was quite recently or some while ago. When was the </w:t>
      </w:r>
      <w:r w:rsidRPr="002F23DD">
        <w:rPr>
          <w:b/>
          <w:bCs/>
        </w:rPr>
        <w:t>most recent</w:t>
      </w:r>
      <w:r w:rsidRPr="002F23DD">
        <w:t xml:space="preserve"> occasion you had sex with that person?’ This define</w:t>
      </w:r>
      <w:r>
        <w:t>d</w:t>
      </w:r>
      <w:r w:rsidRPr="002F23DD">
        <w:t xml:space="preserve"> whether </w:t>
      </w:r>
      <w:r>
        <w:t xml:space="preserve">respondents </w:t>
      </w:r>
      <w:r w:rsidRPr="002F23DD">
        <w:t xml:space="preserve">had </w:t>
      </w:r>
      <w:r>
        <w:t xml:space="preserve">had </w:t>
      </w:r>
      <w:r w:rsidRPr="002F23DD">
        <w:t>sex with a partner in the last year.</w:t>
      </w:r>
    </w:p>
    <w:p w14:paraId="40A830A4" w14:textId="77777777" w:rsidR="00F902A0" w:rsidRPr="002F23DD" w:rsidRDefault="00F902A0" w:rsidP="00246B4F"/>
    <w:p w14:paraId="0F5ED986" w14:textId="25943A13" w:rsidR="00F902A0" w:rsidRDefault="00F902A0" w:rsidP="00246B4F">
      <w:r w:rsidRPr="002F23DD">
        <w:t xml:space="preserve">They survey then </w:t>
      </w:r>
      <w:proofErr w:type="gramStart"/>
      <w:r w:rsidRPr="002F23DD">
        <w:t>asked</w:t>
      </w:r>
      <w:proofErr w:type="gramEnd"/>
      <w:r w:rsidRPr="002F23DD">
        <w:t xml:space="preserve"> ‘Was a condom used on that most recent occasion?’</w:t>
      </w:r>
      <w:r w:rsidRPr="00246B4F">
        <w:rPr>
          <w:rStyle w:val="FootnoteReference"/>
        </w:rPr>
        <w:footnoteReference w:id="16"/>
      </w:r>
      <w:r w:rsidRPr="00246B4F">
        <w:t xml:space="preserve"> </w:t>
      </w:r>
      <w:r w:rsidRPr="002F23DD">
        <w:t xml:space="preserve">and, if </w:t>
      </w:r>
      <w:r>
        <w:t>the respondent</w:t>
      </w:r>
      <w:r w:rsidRPr="002F23DD">
        <w:t xml:space="preserve"> answered ‘We did not have vaginal or anal sex on that most recent occasion’, the survey asked: ‘On the most recent occasion you had vaginal or anal sex, was a condom used?’ These two questions define</w:t>
      </w:r>
      <w:r>
        <w:t>d</w:t>
      </w:r>
      <w:r w:rsidRPr="002F23DD">
        <w:t xml:space="preserve"> whether a </w:t>
      </w:r>
      <w:r>
        <w:t xml:space="preserve">respondent used a </w:t>
      </w:r>
      <w:r w:rsidRPr="002F23DD">
        <w:t>condom on the mos</w:t>
      </w:r>
      <w:r w:rsidR="00246B4F">
        <w:t>t recent occasion they had sex.</w:t>
      </w:r>
    </w:p>
    <w:p w14:paraId="44CBAA45" w14:textId="77777777" w:rsidR="00F902A0" w:rsidRPr="002F23DD" w:rsidRDefault="00F902A0" w:rsidP="00246B4F"/>
    <w:p w14:paraId="544FE292" w14:textId="4284B60E" w:rsidR="00F902A0" w:rsidRPr="002F23DD" w:rsidRDefault="00F902A0" w:rsidP="00246B4F">
      <w:r w:rsidRPr="002F23DD">
        <w:t xml:space="preserve">The survey also </w:t>
      </w:r>
      <w:proofErr w:type="gramStart"/>
      <w:r w:rsidRPr="002F23DD">
        <w:t>asked</w:t>
      </w:r>
      <w:proofErr w:type="gramEnd"/>
      <w:r w:rsidRPr="002F23DD">
        <w:t xml:space="preserve"> ‘Which one of these descriptions applies best to you and that person</w:t>
      </w:r>
      <w:r w:rsidRPr="00246B4F">
        <w:rPr>
          <w:rStyle w:val="FootnoteReference"/>
        </w:rPr>
        <w:footnoteReference w:id="17"/>
      </w:r>
      <w:r w:rsidRPr="002F23DD">
        <w:rPr>
          <w:vertAlign w:val="superscript"/>
        </w:rPr>
        <w:t xml:space="preserve"> </w:t>
      </w:r>
      <w:r w:rsidRPr="002F23DD">
        <w:t>at the time you most recently had sex</w:t>
      </w:r>
      <w:r>
        <w:t>?</w:t>
      </w:r>
      <w:r w:rsidRPr="002F23DD">
        <w:t>’</w:t>
      </w:r>
      <w:r w:rsidR="00246B4F">
        <w:t>.</w:t>
      </w:r>
      <w:r w:rsidRPr="002F23DD">
        <w:t xml:space="preserve"> All answers describing the </w:t>
      </w:r>
      <w:r>
        <w:t xml:space="preserve">relevant </w:t>
      </w:r>
      <w:r w:rsidRPr="002F23DD">
        <w:t xml:space="preserve">relationship that were not ‘We were living together as a couple / married / in a civil partnership at the time’ were defined as </w:t>
      </w:r>
      <w:r>
        <w:t xml:space="preserve">indicative of </w:t>
      </w:r>
      <w:r w:rsidRPr="002F23DD">
        <w:t>a non-cohabiting sexual partner. Anyone who had at least one non-cohabiting partner in the last year was defined as having had a non-cohabiting partner</w:t>
      </w:r>
      <w:r>
        <w:t>;</w:t>
      </w:r>
      <w:r w:rsidRPr="002F23DD">
        <w:t xml:space="preserve"> this include</w:t>
      </w:r>
      <w:r>
        <w:t>d</w:t>
      </w:r>
      <w:r w:rsidRPr="002F23DD">
        <w:t xml:space="preserve"> men and women who also had cohabiting partners in this period.</w:t>
      </w:r>
    </w:p>
    <w:p w14:paraId="17B3DC26" w14:textId="77777777" w:rsidR="00F902A0" w:rsidRPr="009C376F" w:rsidRDefault="00F902A0" w:rsidP="00246B4F"/>
    <w:p w14:paraId="6A1160DD" w14:textId="77777777" w:rsidR="00F902A0" w:rsidRPr="00171398" w:rsidRDefault="00F902A0" w:rsidP="00246B4F">
      <w:pPr>
        <w:pStyle w:val="Heading4"/>
        <w:rPr>
          <w:noProof/>
        </w:rPr>
      </w:pPr>
      <w:r w:rsidRPr="00171398">
        <w:rPr>
          <w:noProof/>
        </w:rPr>
        <w:t>Condom use with non-cohabiting partners declined with age</w:t>
      </w:r>
    </w:p>
    <w:p w14:paraId="37BDEDEE" w14:textId="2938AAE9" w:rsidR="00F902A0" w:rsidRPr="00B90BC2" w:rsidRDefault="00F902A0" w:rsidP="00246B4F">
      <w:pPr>
        <w:pStyle w:val="Bullet"/>
      </w:pPr>
      <w:r w:rsidRPr="002F23DD">
        <w:t xml:space="preserve">The percentage </w:t>
      </w:r>
      <w:r>
        <w:t xml:space="preserve">of respondents </w:t>
      </w:r>
      <w:r w:rsidRPr="002F23DD">
        <w:t xml:space="preserve">who had </w:t>
      </w:r>
      <w:r>
        <w:t xml:space="preserve">had </w:t>
      </w:r>
      <w:r w:rsidRPr="002F23DD">
        <w:t>sex with a non-cohabiting partner in the last year and used a condom at the</w:t>
      </w:r>
      <w:r>
        <w:t>ir</w:t>
      </w:r>
      <w:r w:rsidRPr="002F23DD">
        <w:t xml:space="preserve"> most recent sexual contact declined with age, from 54</w:t>
      </w:r>
      <w:r>
        <w:t> percent</w:t>
      </w:r>
      <w:r w:rsidRPr="002F23DD">
        <w:t xml:space="preserve"> among men and 45</w:t>
      </w:r>
      <w:r>
        <w:t> percent</w:t>
      </w:r>
      <w:r w:rsidRPr="002F23DD">
        <w:t xml:space="preserve"> among women aged 16–24 to </w:t>
      </w:r>
      <w:r w:rsidRPr="002F23DD">
        <w:lastRenderedPageBreak/>
        <w:t>35</w:t>
      </w:r>
      <w:r>
        <w:t> percent</w:t>
      </w:r>
      <w:r w:rsidRPr="002F23DD">
        <w:t xml:space="preserve"> and 20</w:t>
      </w:r>
      <w:r>
        <w:t> percent</w:t>
      </w:r>
      <w:r w:rsidRPr="002F23DD">
        <w:t xml:space="preserve"> respectively in those aged 45–54 (the small numbers over this age do not allow reliable estimates) (</w:t>
      </w:r>
      <w:r w:rsidRPr="00B90BC2">
        <w:t>Figure 1</w:t>
      </w:r>
      <w:r w:rsidR="00186B34" w:rsidRPr="00B90BC2">
        <w:t>5</w:t>
      </w:r>
      <w:r w:rsidRPr="00B90BC2">
        <w:t>).</w:t>
      </w:r>
    </w:p>
    <w:p w14:paraId="0C5D8FAB" w14:textId="2D1B70A1" w:rsidR="00F902A0" w:rsidRDefault="00F902A0" w:rsidP="00246B4F">
      <w:pPr>
        <w:pStyle w:val="Bullet"/>
      </w:pPr>
      <w:r w:rsidRPr="002F23DD">
        <w:t>21</w:t>
      </w:r>
      <w:r>
        <w:t> percent</w:t>
      </w:r>
      <w:r w:rsidRPr="002F23DD">
        <w:t xml:space="preserve"> of men and 17</w:t>
      </w:r>
      <w:r>
        <w:t> percent</w:t>
      </w:r>
      <w:r w:rsidRPr="002F23DD">
        <w:t xml:space="preserve"> of women had </w:t>
      </w:r>
      <w:r>
        <w:t xml:space="preserve">had </w:t>
      </w:r>
      <w:r w:rsidRPr="002F23DD">
        <w:t>sex with a non-cohabiting partner (either same-sex</w:t>
      </w:r>
      <w:r>
        <w:t xml:space="preserve"> sex</w:t>
      </w:r>
      <w:r w:rsidRPr="002F23DD">
        <w:t xml:space="preserve"> or hete</w:t>
      </w:r>
      <w:r w:rsidR="00246B4F">
        <w:t>rosexual sex) in the last year.</w:t>
      </w:r>
    </w:p>
    <w:p w14:paraId="7C5D3C2E" w14:textId="77777777" w:rsidR="00F902A0" w:rsidRDefault="00F902A0" w:rsidP="00246B4F">
      <w:pPr>
        <w:pStyle w:val="Bullet"/>
      </w:pPr>
      <w:r w:rsidRPr="00171398">
        <w:rPr>
          <w:rFonts w:cstheme="minorHAnsi"/>
        </w:rPr>
        <w:t>Overall, more men (44</w:t>
      </w:r>
      <w:r>
        <w:rPr>
          <w:rFonts w:cstheme="minorHAnsi"/>
        </w:rPr>
        <w:t> percent</w:t>
      </w:r>
      <w:r w:rsidRPr="00171398">
        <w:rPr>
          <w:rFonts w:cstheme="minorHAnsi"/>
        </w:rPr>
        <w:t>) th</w:t>
      </w:r>
      <w:r>
        <w:rPr>
          <w:rFonts w:cstheme="minorHAnsi"/>
        </w:rPr>
        <w:t>a</w:t>
      </w:r>
      <w:r w:rsidRPr="00171398">
        <w:rPr>
          <w:rFonts w:cstheme="minorHAnsi"/>
        </w:rPr>
        <w:t>n women (32</w:t>
      </w:r>
      <w:r>
        <w:rPr>
          <w:rFonts w:cstheme="minorHAnsi"/>
        </w:rPr>
        <w:t> percent</w:t>
      </w:r>
      <w:r w:rsidRPr="00171398">
        <w:rPr>
          <w:rFonts w:cstheme="minorHAnsi"/>
        </w:rPr>
        <w:t xml:space="preserve">) who had </w:t>
      </w:r>
      <w:r>
        <w:rPr>
          <w:rFonts w:cstheme="minorHAnsi"/>
        </w:rPr>
        <w:t xml:space="preserve">had </w:t>
      </w:r>
      <w:r w:rsidRPr="00171398">
        <w:rPr>
          <w:rFonts w:cstheme="minorHAnsi"/>
        </w:rPr>
        <w:t>sex with a non-cohabiting partner in the last year used a condom at the</w:t>
      </w:r>
      <w:r>
        <w:rPr>
          <w:rFonts w:cstheme="minorHAnsi"/>
        </w:rPr>
        <w:t xml:space="preserve"> occasion of their</w:t>
      </w:r>
      <w:r w:rsidRPr="00171398">
        <w:rPr>
          <w:rFonts w:cstheme="minorHAnsi"/>
        </w:rPr>
        <w:t xml:space="preserve"> most recent vaginal or anal sex</w:t>
      </w:r>
      <w:r>
        <w:rPr>
          <w:rFonts w:cstheme="minorHAnsi"/>
        </w:rPr>
        <w:t>ual</w:t>
      </w:r>
      <w:r w:rsidRPr="00171398">
        <w:rPr>
          <w:rFonts w:cstheme="minorHAnsi"/>
        </w:rPr>
        <w:t xml:space="preserve"> contact. Men were 1.4 times as likely to have used a condom in this situation as women</w:t>
      </w:r>
      <w:r>
        <w:rPr>
          <w:rFonts w:cstheme="minorHAnsi"/>
        </w:rPr>
        <w:t>, after adjusting for age.</w:t>
      </w:r>
    </w:p>
    <w:p w14:paraId="1FDA9F3C" w14:textId="77777777" w:rsidR="00F902A0" w:rsidRDefault="00F902A0" w:rsidP="00246B4F">
      <w:bookmarkStart w:id="98" w:name="_Toc1755026"/>
      <w:bookmarkStart w:id="99" w:name="_Toc5173215"/>
    </w:p>
    <w:p w14:paraId="211B7147" w14:textId="0C02A48D" w:rsidR="00F902A0" w:rsidRDefault="00F902A0" w:rsidP="00246B4F">
      <w:pPr>
        <w:pStyle w:val="Figure"/>
      </w:pPr>
      <w:bookmarkStart w:id="100" w:name="_Toc13043024"/>
      <w:bookmarkStart w:id="101" w:name="_Toc21090253"/>
      <w:bookmarkStart w:id="102" w:name="_Toc22219932"/>
      <w:r w:rsidRPr="00B90BC2">
        <w:t xml:space="preserve">Figure </w:t>
      </w:r>
      <w:r w:rsidR="00A152B9">
        <w:fldChar w:fldCharType="begin"/>
      </w:r>
      <w:r w:rsidR="00A152B9">
        <w:instrText xml:space="preserve"> SEQ Figure \* ARABIC </w:instrText>
      </w:r>
      <w:r w:rsidR="00A152B9">
        <w:fldChar w:fldCharType="separate"/>
      </w:r>
      <w:r w:rsidR="00A152B9">
        <w:rPr>
          <w:noProof/>
        </w:rPr>
        <w:t>15</w:t>
      </w:r>
      <w:r w:rsidR="00A152B9">
        <w:rPr>
          <w:noProof/>
        </w:rPr>
        <w:fldChar w:fldCharType="end"/>
      </w:r>
      <w:r w:rsidRPr="00B90BC2">
        <w:t xml:space="preserve">: Condom </w:t>
      </w:r>
      <w:r>
        <w:t>used at most recent vaginal/anal sex with non-cohabiting partner in the 12 months preceding the survey</w:t>
      </w:r>
      <w:r w:rsidRPr="001E116E">
        <w:t xml:space="preserve">, by age </w:t>
      </w:r>
      <w:r>
        <w:t>group</w:t>
      </w:r>
      <w:bookmarkEnd w:id="98"/>
      <w:bookmarkEnd w:id="99"/>
      <w:bookmarkEnd w:id="100"/>
      <w:r>
        <w:t xml:space="preserve"> and gender</w:t>
      </w:r>
      <w:bookmarkEnd w:id="101"/>
      <w:bookmarkEnd w:id="102"/>
    </w:p>
    <w:p w14:paraId="77F1CAB9" w14:textId="7143AE3B" w:rsidR="00740C16" w:rsidRPr="00740C16" w:rsidRDefault="00740C16" w:rsidP="00740C16">
      <w:r w:rsidRPr="00740C16">
        <w:rPr>
          <w:noProof/>
          <w:lang w:eastAsia="en-NZ"/>
        </w:rPr>
        <w:drawing>
          <wp:inline distT="0" distB="0" distL="0" distR="0" wp14:anchorId="4C800E89" wp14:editId="758D2872">
            <wp:extent cx="5130165" cy="3347762"/>
            <wp:effectExtent l="0" t="0" r="0" b="5080"/>
            <wp:docPr id="62" name="Picture 62" descr="Men and women in the 16-24 age group were most likely to use condoms; over 50% of men and about 45% of women. The levels dropped off for each age group for women. The same was true for men, except for an increase in men 65-74, 25% of whom used cond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130165" cy="3347762"/>
                    </a:xfrm>
                    <a:prstGeom prst="rect">
                      <a:avLst/>
                    </a:prstGeom>
                  </pic:spPr>
                </pic:pic>
              </a:graphicData>
            </a:graphic>
          </wp:inline>
        </w:drawing>
      </w:r>
    </w:p>
    <w:p w14:paraId="317CECC6" w14:textId="77777777" w:rsidR="00246B4F" w:rsidRDefault="00246B4F" w:rsidP="00246B4F"/>
    <w:p w14:paraId="7C73FA34" w14:textId="32B0BC93" w:rsidR="00F902A0" w:rsidRPr="00555ABC" w:rsidRDefault="00F902A0" w:rsidP="00740C16">
      <w:pPr>
        <w:pStyle w:val="Bullet"/>
        <w:keepNext/>
      </w:pPr>
      <w:r w:rsidRPr="00B90BC2">
        <w:lastRenderedPageBreak/>
        <w:t>Figure 1</w:t>
      </w:r>
      <w:r w:rsidR="00186B34" w:rsidRPr="00B90BC2">
        <w:t>6</w:t>
      </w:r>
      <w:r w:rsidRPr="00B90BC2">
        <w:t xml:space="preserve"> shows </w:t>
      </w:r>
      <w:r w:rsidRPr="00555ABC">
        <w:t xml:space="preserve">percentages of </w:t>
      </w:r>
      <w:r>
        <w:t xml:space="preserve">respondents </w:t>
      </w:r>
      <w:r w:rsidRPr="00555ABC">
        <w:t xml:space="preserve">who had </w:t>
      </w:r>
      <w:r>
        <w:t xml:space="preserve">had </w:t>
      </w:r>
      <w:r w:rsidRPr="00555ABC">
        <w:t>sex with a non-cohabiting partner in the last year who used a condom at the</w:t>
      </w:r>
      <w:r>
        <w:t>ir</w:t>
      </w:r>
      <w:r w:rsidRPr="00555ABC">
        <w:t xml:space="preserve"> most recent sexual contact, by ethnic group.</w:t>
      </w:r>
    </w:p>
    <w:p w14:paraId="0852A8DC" w14:textId="060B55E4" w:rsidR="00F902A0" w:rsidRDefault="00F902A0" w:rsidP="00740C16">
      <w:pPr>
        <w:pStyle w:val="Bullet"/>
        <w:keepNext/>
      </w:pPr>
      <w:r w:rsidRPr="00555ABC">
        <w:t>After adjusting for age, condom use at most recent sexual contact with a non-cohabiting partner was 0.7 times as likely among Māori women than non-Māori women</w:t>
      </w:r>
      <w:r>
        <w:t>,</w:t>
      </w:r>
      <w:r w:rsidRPr="00555ABC">
        <w:t xml:space="preserve"> and 1.5 times as likely among Asian men as non-Asian men.</w:t>
      </w:r>
    </w:p>
    <w:p w14:paraId="2094248D" w14:textId="034256C8" w:rsidR="00246B4F" w:rsidRDefault="00186B34" w:rsidP="00740C16">
      <w:pPr>
        <w:pStyle w:val="Bullet"/>
        <w:keepNext/>
      </w:pPr>
      <w:r w:rsidRPr="00555ABC">
        <w:t>After adjustment for age and ethnic group, there was no significant variation by deprivation.</w:t>
      </w:r>
    </w:p>
    <w:p w14:paraId="2C4F8783" w14:textId="77777777" w:rsidR="00B90BC2" w:rsidRPr="00555ABC" w:rsidRDefault="00B90BC2" w:rsidP="00B90BC2">
      <w:pPr>
        <w:keepNext/>
      </w:pPr>
    </w:p>
    <w:p w14:paraId="2AC38D8E" w14:textId="1059B012" w:rsidR="00F902A0" w:rsidRDefault="00F902A0" w:rsidP="00246B4F">
      <w:pPr>
        <w:pStyle w:val="Figure"/>
      </w:pPr>
      <w:bookmarkStart w:id="103" w:name="_Toc1755027"/>
      <w:bookmarkStart w:id="104" w:name="_Toc5173216"/>
      <w:bookmarkStart w:id="105" w:name="_Toc13043025"/>
      <w:bookmarkStart w:id="106" w:name="_Toc21090254"/>
      <w:bookmarkStart w:id="107" w:name="_Toc22219933"/>
      <w:r w:rsidRPr="00B90BC2">
        <w:t xml:space="preserve">Figure </w:t>
      </w:r>
      <w:r w:rsidR="00A152B9">
        <w:fldChar w:fldCharType="begin"/>
      </w:r>
      <w:r w:rsidR="00A152B9">
        <w:instrText xml:space="preserve"> SEQ Figure \* ARABIC </w:instrText>
      </w:r>
      <w:r w:rsidR="00A152B9">
        <w:fldChar w:fldCharType="separate"/>
      </w:r>
      <w:r w:rsidR="00A152B9">
        <w:rPr>
          <w:noProof/>
        </w:rPr>
        <w:t>16</w:t>
      </w:r>
      <w:r w:rsidR="00A152B9">
        <w:rPr>
          <w:noProof/>
        </w:rPr>
        <w:fldChar w:fldCharType="end"/>
      </w:r>
      <w:r w:rsidRPr="00B90BC2">
        <w:t xml:space="preserve">: Condom used </w:t>
      </w:r>
      <w:r>
        <w:t>at most recent vaginal/anal sex with non-cohabiting partner in the 12 months preceding the survey</w:t>
      </w:r>
      <w:r w:rsidRPr="00A65365">
        <w:t xml:space="preserve">, by </w:t>
      </w:r>
      <w:bookmarkEnd w:id="103"/>
      <w:r>
        <w:t>ethnic group</w:t>
      </w:r>
      <w:bookmarkEnd w:id="104"/>
      <w:bookmarkEnd w:id="105"/>
      <w:r>
        <w:t xml:space="preserve"> and gender</w:t>
      </w:r>
      <w:bookmarkEnd w:id="106"/>
      <w:bookmarkEnd w:id="107"/>
    </w:p>
    <w:p w14:paraId="3C9DE12E" w14:textId="0BA3D532" w:rsidR="00740C16" w:rsidRPr="00740C16" w:rsidRDefault="00740C16" w:rsidP="00740C16">
      <w:r w:rsidRPr="00740C16">
        <w:rPr>
          <w:noProof/>
          <w:lang w:eastAsia="en-NZ"/>
        </w:rPr>
        <w:drawing>
          <wp:inline distT="0" distB="0" distL="0" distR="0" wp14:anchorId="273699C3" wp14:editId="1B377548">
            <wp:extent cx="5130165" cy="3347762"/>
            <wp:effectExtent l="0" t="0" r="0" b="5080"/>
            <wp:docPr id="63" name="Picture 63" descr="Asian men and women were the most likely to use condoms, with over 60% of men and about 45% of women reporting they had. Māori and European/other men were the next most likely group, around 42%, and about 37% of Pacific men had used condoms. Women from all other groups used condoms between 25 and 30% of the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130165" cy="3347762"/>
                    </a:xfrm>
                    <a:prstGeom prst="rect">
                      <a:avLst/>
                    </a:prstGeom>
                  </pic:spPr>
                </pic:pic>
              </a:graphicData>
            </a:graphic>
          </wp:inline>
        </w:drawing>
      </w:r>
    </w:p>
    <w:p w14:paraId="289F4C3A" w14:textId="77777777" w:rsidR="00F902A0" w:rsidRDefault="00F902A0" w:rsidP="00246B4F">
      <w:pPr>
        <w:pStyle w:val="Note"/>
      </w:pPr>
      <w:r>
        <w:t>Note: Adults</w:t>
      </w:r>
      <w:r w:rsidRPr="000F602C">
        <w:t xml:space="preserve"> who reported more than one ethnic group </w:t>
      </w:r>
      <w:r>
        <w:t xml:space="preserve">are </w:t>
      </w:r>
      <w:r w:rsidRPr="000F602C">
        <w:t xml:space="preserve">counted once in each group reported. This means that the total number of responses for all ethnic groups can be greater than the total number of </w:t>
      </w:r>
      <w:r>
        <w:t>adults</w:t>
      </w:r>
      <w:r w:rsidRPr="000F602C">
        <w:t xml:space="preserve"> who stated their ethnicities</w:t>
      </w:r>
      <w:r>
        <w:t>.</w:t>
      </w:r>
    </w:p>
    <w:p w14:paraId="023C0C8A" w14:textId="7A272706" w:rsidR="00F902A0" w:rsidRDefault="00F902A0" w:rsidP="00246B4F"/>
    <w:p w14:paraId="1F021713" w14:textId="77777777" w:rsidR="00F902A0" w:rsidRPr="00555ABC" w:rsidRDefault="00F902A0" w:rsidP="00246B4F">
      <w:pPr>
        <w:pStyle w:val="Heading1"/>
      </w:pPr>
      <w:bookmarkStart w:id="108" w:name="_Toc4162005"/>
      <w:bookmarkStart w:id="109" w:name="_Toc4929744"/>
      <w:bookmarkStart w:id="110" w:name="_Toc5096160"/>
      <w:bookmarkStart w:id="111" w:name="_Toc21090234"/>
      <w:bookmarkStart w:id="112" w:name="_Toc22219962"/>
      <w:bookmarkStart w:id="113" w:name="_Toc1549824"/>
      <w:bookmarkStart w:id="114" w:name="_Toc4575953"/>
      <w:r w:rsidRPr="00555ABC">
        <w:lastRenderedPageBreak/>
        <w:t>Interpretation notes</w:t>
      </w:r>
      <w:bookmarkEnd w:id="108"/>
      <w:bookmarkEnd w:id="109"/>
      <w:bookmarkEnd w:id="110"/>
      <w:bookmarkEnd w:id="111"/>
      <w:bookmarkEnd w:id="112"/>
    </w:p>
    <w:p w14:paraId="2E3BEFC5" w14:textId="77777777" w:rsidR="00F902A0" w:rsidRPr="009F772F" w:rsidRDefault="00F902A0" w:rsidP="00246B4F">
      <w:r w:rsidRPr="009F772F">
        <w:t xml:space="preserve">This section provides some key points for interpreting the survey results presented in this report. For more details about the survey methodology, see the </w:t>
      </w:r>
      <w:r w:rsidRPr="009F772F">
        <w:rPr>
          <w:i/>
          <w:iCs/>
        </w:rPr>
        <w:t>Methodology Report 2014/15: New Zealand Health Survey</w:t>
      </w:r>
      <w:r w:rsidRPr="009F772F">
        <w:t xml:space="preserve"> (Ministry of Health 2015b) and </w:t>
      </w:r>
      <w:r w:rsidRPr="009F772F">
        <w:rPr>
          <w:i/>
          <w:iCs/>
        </w:rPr>
        <w:t>Sexual and Reproductive Health Indicator Interpretation Guide 2014/15: New Zealand Health Survey</w:t>
      </w:r>
      <w:r w:rsidRPr="009F772F">
        <w:t xml:space="preserve"> (Ministry of Health 2019).</w:t>
      </w:r>
    </w:p>
    <w:p w14:paraId="4C6A376D" w14:textId="77777777" w:rsidR="00F902A0" w:rsidRPr="00A838B1" w:rsidRDefault="00F902A0" w:rsidP="00246B4F"/>
    <w:p w14:paraId="21DD28CA" w14:textId="77777777" w:rsidR="00F902A0" w:rsidRPr="009F772F" w:rsidRDefault="00F902A0" w:rsidP="00246B4F">
      <w:pPr>
        <w:pStyle w:val="Heading3"/>
      </w:pPr>
      <w:r w:rsidRPr="009F772F">
        <w:t>Statistical significance</w:t>
      </w:r>
    </w:p>
    <w:p w14:paraId="3C729F34" w14:textId="77777777" w:rsidR="00F902A0" w:rsidRPr="009F772F" w:rsidRDefault="00F902A0" w:rsidP="00246B4F">
      <w:r w:rsidRPr="009F772F">
        <w:t>Unless otherwise specified, the results discussed in this report only refer to differences that are statistically significant at the 5 percent level (</w:t>
      </w:r>
      <w:proofErr w:type="spellStart"/>
      <w:r w:rsidRPr="009F772F">
        <w:t>ie</w:t>
      </w:r>
      <w:proofErr w:type="spellEnd"/>
      <w:r w:rsidRPr="009F772F">
        <w:t>, those with a p-value of less than 0.05). ‘Statistically significant’ means that the difference between the sample groups is likely to reflect real differences in the population groups, rather than being caused by chance. A statistically significant difference does not necessarily mean the difference between the population groups is meaningful.</w:t>
      </w:r>
    </w:p>
    <w:p w14:paraId="14527538" w14:textId="77777777" w:rsidR="00F902A0" w:rsidRPr="00A838B1" w:rsidRDefault="00F902A0" w:rsidP="00246B4F"/>
    <w:p w14:paraId="3A67AB54" w14:textId="77777777" w:rsidR="00F902A0" w:rsidRPr="009F772F" w:rsidRDefault="00F902A0" w:rsidP="00246B4F">
      <w:pPr>
        <w:pStyle w:val="Heading3"/>
      </w:pPr>
      <w:r w:rsidRPr="009F772F">
        <w:t>Confidence intervals</w:t>
      </w:r>
    </w:p>
    <w:p w14:paraId="319CBEC0" w14:textId="54693016" w:rsidR="00F902A0" w:rsidRDefault="00C85A09" w:rsidP="00246B4F">
      <w:r w:rsidRPr="00C85A09">
        <w:t>We use 95% confidence intervals to show the statistical precision of the estimates. Wider confidence intervals indicate less precise estimates than narrow intervals, caused by higher variation with a sample and/or smaller numbers in a sample. Confidence intervals generally agree with statistical significance. When confidence intervals for two estimates don't overlap, there is a statistically significant difference between the estimates. However</w:t>
      </w:r>
      <w:r>
        <w:t>,</w:t>
      </w:r>
      <w:bookmarkStart w:id="115" w:name="_GoBack"/>
      <w:bookmarkEnd w:id="115"/>
      <w:r w:rsidRPr="00C85A09">
        <w:t xml:space="preserve"> the opposite may not always be true.</w:t>
      </w:r>
    </w:p>
    <w:p w14:paraId="654EA9C8" w14:textId="77777777" w:rsidR="00F902A0" w:rsidRPr="009F772F" w:rsidRDefault="00F902A0" w:rsidP="00246B4F">
      <w:pPr>
        <w:pStyle w:val="Heading3"/>
      </w:pPr>
      <w:r w:rsidRPr="009F772F">
        <w:t>Comparing population subgroups</w:t>
      </w:r>
    </w:p>
    <w:p w14:paraId="15D45C4A" w14:textId="77777777" w:rsidR="00F902A0" w:rsidRPr="009F772F" w:rsidRDefault="00F902A0" w:rsidP="00246B4F">
      <w:r w:rsidRPr="009F772F">
        <w:t>This report uses adjusted ratios to test if the prevalence of indicators is statistically significantly different between groups. We have adjusted these ratios for demographic factors that may be influencing the comparison, such as age, gender and ethnicity. The adjusted ratio indicates whether the results are less or more likely in the group of interest than the comparison group. A ratio of less than 1 indicates that the result is less likely and a ratio greater than 1 indicates that it is more likely.</w:t>
      </w:r>
    </w:p>
    <w:p w14:paraId="0EE53550" w14:textId="77777777" w:rsidR="00F902A0" w:rsidRPr="009F772F" w:rsidRDefault="00F902A0" w:rsidP="00246B4F"/>
    <w:p w14:paraId="0A3AFAE8" w14:textId="77777777" w:rsidR="00F902A0" w:rsidRPr="009F772F" w:rsidRDefault="00F902A0" w:rsidP="00246B4F">
      <w:r w:rsidRPr="009F772F">
        <w:t>The survey uses the New Zealand Index of Deprivation 2013 (NZDep2013) to measure neighbourhood deprivation. The survey groups neighbourhoods into five quintiles (the label ‘quintile 1’ applies to neighbourhoods with the lowest levels of deprivation, and ‘quintile 5’ to those with the highest). Indicators are reported for each quintile.</w:t>
      </w:r>
      <w:r w:rsidRPr="009F772F" w:rsidDel="005D7206">
        <w:t xml:space="preserve"> </w:t>
      </w:r>
      <w:r w:rsidRPr="009F772F">
        <w:t>The adjusted ratios for deprivation compare the highest and lowest deprivation areas, after adjusting for age, ethnic group, gender and the pattern across all five quintiles.</w:t>
      </w:r>
    </w:p>
    <w:p w14:paraId="13B85CA4" w14:textId="77777777" w:rsidR="00F902A0" w:rsidRDefault="00F902A0" w:rsidP="00246B4F"/>
    <w:p w14:paraId="22C6C88F" w14:textId="77777777" w:rsidR="00F902A0" w:rsidRPr="009F772F" w:rsidRDefault="00F902A0" w:rsidP="00246B4F">
      <w:pPr>
        <w:pStyle w:val="Heading3"/>
      </w:pPr>
      <w:r w:rsidRPr="009F772F">
        <w:lastRenderedPageBreak/>
        <w:t>Gender</w:t>
      </w:r>
    </w:p>
    <w:p w14:paraId="3F08ECA4" w14:textId="77777777" w:rsidR="00F902A0" w:rsidRPr="009F772F" w:rsidRDefault="00F902A0" w:rsidP="00246B4F">
      <w:r w:rsidRPr="009F772F">
        <w:t>Gender is self-defined by respondents in the survey. For some people</w:t>
      </w:r>
      <w:r>
        <w:t>,</w:t>
      </w:r>
      <w:r w:rsidRPr="009F772F">
        <w:t xml:space="preserve"> their gender is not the same as their biological sex at birth. Respondents were asked if they were male or female, and while what these options meant was open to the respondent’s interpretation, gender-diverse options (</w:t>
      </w:r>
      <w:proofErr w:type="spellStart"/>
      <w:r w:rsidRPr="009F772F">
        <w:t>eg</w:t>
      </w:r>
      <w:proofErr w:type="spellEnd"/>
      <w:r w:rsidRPr="009F772F">
        <w:t xml:space="preserve">, ‘gender non-conforming’ or ‘other’) were not available. The Ministry of Health acknowledges the need to improve data collection in this </w:t>
      </w:r>
      <w:proofErr w:type="gramStart"/>
      <w:r w:rsidRPr="009F772F">
        <w:t>area, and</w:t>
      </w:r>
      <w:proofErr w:type="gramEnd"/>
      <w:r w:rsidRPr="009F772F">
        <w:t xml:space="preserve"> is considering implementing the statistical standard for gender identity in future surveys (Statistics New Zealand 2015).</w:t>
      </w:r>
    </w:p>
    <w:p w14:paraId="546B2F7C" w14:textId="77777777" w:rsidR="00F902A0" w:rsidRDefault="00F902A0" w:rsidP="00246B4F"/>
    <w:p w14:paraId="2F099512" w14:textId="77777777" w:rsidR="00F902A0" w:rsidRPr="009F772F" w:rsidRDefault="00F902A0" w:rsidP="00246B4F">
      <w:pPr>
        <w:pStyle w:val="Heading3"/>
      </w:pPr>
      <w:r w:rsidRPr="009F772F">
        <w:t>Non-sampling error</w:t>
      </w:r>
    </w:p>
    <w:p w14:paraId="1DA89208" w14:textId="77777777" w:rsidR="00F902A0" w:rsidRPr="009F772F" w:rsidRDefault="00F902A0" w:rsidP="00246B4F">
      <w:r w:rsidRPr="009F772F">
        <w:t xml:space="preserve">The survey results may underestimate or overestimate some indicators because the data is self-reported. The accuracy of a person’s memory may vary depending on many factors, including social norms, the importance of the event being recalled, the individual’s age at the time and the </w:t>
      </w:r>
      <w:proofErr w:type="gramStart"/>
      <w:r w:rsidRPr="009F772F">
        <w:t>period of time</w:t>
      </w:r>
      <w:proofErr w:type="gramEnd"/>
      <w:r w:rsidRPr="009F772F">
        <w:t xml:space="preserve"> that has passed since the event occurred.</w:t>
      </w:r>
    </w:p>
    <w:p w14:paraId="66F7031D" w14:textId="77777777" w:rsidR="00F902A0" w:rsidRDefault="00F902A0" w:rsidP="00246B4F"/>
    <w:p w14:paraId="2D3F50F2" w14:textId="77777777" w:rsidR="00F902A0" w:rsidRPr="00A853FC" w:rsidRDefault="00F902A0" w:rsidP="00246B4F">
      <w:pPr>
        <w:pStyle w:val="Heading1"/>
      </w:pPr>
      <w:bookmarkStart w:id="116" w:name="_Toc4162006"/>
      <w:bookmarkStart w:id="117" w:name="_Toc4929745"/>
      <w:bookmarkStart w:id="118" w:name="_Toc5096161"/>
      <w:bookmarkStart w:id="119" w:name="_Toc21090235"/>
      <w:bookmarkStart w:id="120" w:name="_Toc22219963"/>
      <w:r w:rsidRPr="009F772F">
        <w:lastRenderedPageBreak/>
        <w:t>Overview of survey</w:t>
      </w:r>
      <w:r w:rsidRPr="00F111CA">
        <w:t xml:space="preserve"> </w:t>
      </w:r>
      <w:r w:rsidRPr="009F772F">
        <w:t>methodology</w:t>
      </w:r>
      <w:bookmarkEnd w:id="116"/>
      <w:bookmarkEnd w:id="117"/>
      <w:bookmarkEnd w:id="118"/>
      <w:bookmarkEnd w:id="119"/>
      <w:bookmarkEnd w:id="120"/>
    </w:p>
    <w:p w14:paraId="71110C7B" w14:textId="59EF097E" w:rsidR="00F902A0" w:rsidRPr="009F772F" w:rsidRDefault="00F902A0" w:rsidP="00246B4F">
      <w:r w:rsidRPr="009F772F">
        <w:t>This section gives a brief overview of the survey methodology for the New Zealand Health Survey.</w:t>
      </w:r>
    </w:p>
    <w:p w14:paraId="3618D035" w14:textId="77777777" w:rsidR="00F902A0" w:rsidRDefault="00F902A0" w:rsidP="00246B4F"/>
    <w:p w14:paraId="70F84EF4" w14:textId="77777777" w:rsidR="00F902A0" w:rsidRPr="009F772F" w:rsidRDefault="00F902A0" w:rsidP="00246B4F">
      <w:pPr>
        <w:pStyle w:val="Heading3"/>
      </w:pPr>
      <w:r w:rsidRPr="009F772F">
        <w:t>How were people selected for the survey?</w:t>
      </w:r>
    </w:p>
    <w:p w14:paraId="00F9CE58" w14:textId="77777777" w:rsidR="00F902A0" w:rsidRPr="009F772F" w:rsidRDefault="00F902A0" w:rsidP="00246B4F">
      <w:r w:rsidRPr="009F772F">
        <w:t xml:space="preserve">The 2014/15 results refer to the sample selected for the period July 2014–June 2015. The survey has a multi-stage sampling design that involves randomly selecting a sample of small geographic areas, households within the selected areas and individuals within the selected households. One adult aged 15 years or older and one child aged 14 years or younger (if there were any) were chosen at random from each selected household. Adults aged 16–74 years who had completed the 2014/15 survey were invited to participate in the Sexual and Reproductive Health module. Further details are available in </w:t>
      </w:r>
      <w:r w:rsidRPr="009F772F">
        <w:rPr>
          <w:i/>
          <w:iCs/>
        </w:rPr>
        <w:t>The New Zealand Health Survey: Sample design, years 1–3 (2011–2013)</w:t>
      </w:r>
      <w:r w:rsidRPr="009F772F">
        <w:t xml:space="preserve"> (Ministry of Health 2011).</w:t>
      </w:r>
    </w:p>
    <w:p w14:paraId="0A6DC86F" w14:textId="77777777" w:rsidR="00F902A0" w:rsidRDefault="00F902A0" w:rsidP="00246B4F"/>
    <w:p w14:paraId="30AF0239" w14:textId="77777777" w:rsidR="00F902A0" w:rsidRPr="009F772F" w:rsidRDefault="00F902A0" w:rsidP="00246B4F">
      <w:pPr>
        <w:pStyle w:val="Heading3"/>
      </w:pPr>
      <w:r w:rsidRPr="009F772F">
        <w:t>How was data collected?</w:t>
      </w:r>
    </w:p>
    <w:p w14:paraId="44F51704" w14:textId="77777777" w:rsidR="00F902A0" w:rsidRPr="009F772F" w:rsidRDefault="00F902A0" w:rsidP="00246B4F">
      <w:r w:rsidRPr="009F772F">
        <w:t xml:space="preserve">Professional surveyors from CBG Health Research Ltd collected data in respondents’ homes. For the core part of the survey, data was collected through a face-to-face interview. However, participants completed the Sexual and Reproductive Health module by themselves, directly entering responses into a program run on a tablet computer. Surveyors provided minimal </w:t>
      </w:r>
      <w:proofErr w:type="gramStart"/>
      <w:r w:rsidRPr="009F772F">
        <w:t>assistance, and</w:t>
      </w:r>
      <w:proofErr w:type="gramEnd"/>
      <w:r w:rsidRPr="009F772F">
        <w:t xml:space="preserve"> reiterated that they would not be able to see the answers. Respondents could answer ‘Don’t know’ or ‘Choose not to answer’ to any question. If they chose either of those options for the question about having ever had sex with someone of a different sex, then they were not asked to complete the rest of the survey module.</w:t>
      </w:r>
    </w:p>
    <w:p w14:paraId="0980CF88" w14:textId="77777777" w:rsidR="00F902A0" w:rsidRPr="009F772F" w:rsidRDefault="00F902A0" w:rsidP="00246B4F"/>
    <w:p w14:paraId="2DA652D3" w14:textId="77777777" w:rsidR="00F902A0" w:rsidRPr="009F772F" w:rsidRDefault="00F902A0" w:rsidP="00246B4F">
      <w:pPr>
        <w:pStyle w:val="Heading3"/>
      </w:pPr>
      <w:r w:rsidRPr="009F772F">
        <w:lastRenderedPageBreak/>
        <w:t>How many people took part?</w:t>
      </w:r>
    </w:p>
    <w:p w14:paraId="60C427E4" w14:textId="77777777" w:rsidR="00F902A0" w:rsidRPr="009F772F" w:rsidRDefault="00F902A0" w:rsidP="00246B4F">
      <w:pPr>
        <w:keepNext/>
      </w:pPr>
      <w:r w:rsidRPr="009F772F">
        <w:t>11,993 adults aged 16–74 years completed the core 2014/15 survey and were eligible for the Sexual and Reproductive Health module. This report is based on the responses from 10,198 adults (or 87</w:t>
      </w:r>
      <w:r>
        <w:t> percent</w:t>
      </w:r>
      <w:r w:rsidRPr="009F772F">
        <w:t xml:space="preserve"> of eligible respondents). Some eligible respondents were not included in the final data set for the following reasons.</w:t>
      </w:r>
    </w:p>
    <w:p w14:paraId="603B3B5B" w14:textId="77777777" w:rsidR="00F902A0" w:rsidRPr="00EA3E17" w:rsidRDefault="00F902A0" w:rsidP="00246B4F">
      <w:pPr>
        <w:pStyle w:val="Bullet"/>
        <w:keepNext/>
      </w:pPr>
      <w:r w:rsidRPr="00EA3E17">
        <w:t>668 respondents (5.6</w:t>
      </w:r>
      <w:r>
        <w:t> percent</w:t>
      </w:r>
      <w:r w:rsidRPr="00EA3E17">
        <w:t xml:space="preserve"> of those who were eligible)</w:t>
      </w:r>
      <w:r>
        <w:t xml:space="preserve"> </w:t>
      </w:r>
      <w:r w:rsidRPr="00EA3E17">
        <w:t>did not start the module, either because they refused or because of English language and/or cognitive difficulties</w:t>
      </w:r>
      <w:r>
        <w:t>.</w:t>
      </w:r>
    </w:p>
    <w:p w14:paraId="5B60F09E" w14:textId="77777777" w:rsidR="00F902A0" w:rsidRPr="00EA3E17" w:rsidRDefault="00F902A0" w:rsidP="00246B4F">
      <w:pPr>
        <w:pStyle w:val="Bullet"/>
      </w:pPr>
      <w:r w:rsidRPr="00EA3E17">
        <w:t>991 respondents (6.5</w:t>
      </w:r>
      <w:r>
        <w:t> percent</w:t>
      </w:r>
      <w:r w:rsidRPr="00EA3E17">
        <w:t xml:space="preserve"> of eligible respondents) started the module but stopped before the end of the module</w:t>
      </w:r>
      <w:r>
        <w:t>.</w:t>
      </w:r>
    </w:p>
    <w:p w14:paraId="30FBC015" w14:textId="77777777" w:rsidR="00F902A0" w:rsidRPr="00EA3E17" w:rsidRDefault="00F902A0" w:rsidP="00246B4F">
      <w:pPr>
        <w:pStyle w:val="Bullet"/>
      </w:pPr>
      <w:r w:rsidRPr="00EA3E17">
        <w:t>123 respondents (1.2</w:t>
      </w:r>
      <w:r>
        <w:t> percent</w:t>
      </w:r>
      <w:r w:rsidRPr="00EA3E17">
        <w:t xml:space="preserve"> of eligible respondents) completed the module but their records were discarded because at least half of their responses were </w:t>
      </w:r>
      <w:r>
        <w:t>‘D</w:t>
      </w:r>
      <w:r w:rsidRPr="00EA3E17">
        <w:t>on</w:t>
      </w:r>
      <w:r>
        <w:t>’</w:t>
      </w:r>
      <w:r w:rsidRPr="00EA3E17">
        <w:t>t know</w:t>
      </w:r>
      <w:r>
        <w:t>’</w:t>
      </w:r>
      <w:r w:rsidRPr="004142E5">
        <w:t xml:space="preserve"> </w:t>
      </w:r>
      <w:r w:rsidRPr="00EA3E17">
        <w:t xml:space="preserve">or </w:t>
      </w:r>
      <w:r>
        <w:t>‘C</w:t>
      </w:r>
      <w:r w:rsidRPr="00EA3E17">
        <w:t>hoose not to answer</w:t>
      </w:r>
      <w:r>
        <w:t>’</w:t>
      </w:r>
      <w:r w:rsidRPr="00EA3E17">
        <w:t>.</w:t>
      </w:r>
    </w:p>
    <w:p w14:paraId="4504A192" w14:textId="77777777" w:rsidR="00F902A0" w:rsidRDefault="00F902A0" w:rsidP="00246B4F"/>
    <w:p w14:paraId="5DB743DD" w14:textId="77777777" w:rsidR="00F902A0" w:rsidRPr="009F772F" w:rsidRDefault="00F902A0" w:rsidP="00246B4F">
      <w:r w:rsidRPr="009F772F">
        <w:t>Of the people who completed the Sexual and Reproductive Health module, 4,358 gave their gender as male and 5,840 as female. The table below summarises the 10,198 survey respondents by ethnic group.</w:t>
      </w:r>
    </w:p>
    <w:p w14:paraId="5AB36FB7" w14:textId="77777777" w:rsidR="00F902A0" w:rsidRPr="00EA3E17" w:rsidRDefault="00F902A0" w:rsidP="00246B4F"/>
    <w:p w14:paraId="30D1B80B" w14:textId="0F619CE7" w:rsidR="00F902A0" w:rsidRPr="00F111CA" w:rsidRDefault="00F902A0" w:rsidP="00246B4F">
      <w:pPr>
        <w:pStyle w:val="Table"/>
      </w:pPr>
      <w:bookmarkStart w:id="121" w:name="_Toc4921975"/>
      <w:bookmarkStart w:id="122" w:name="_Toc13043377"/>
      <w:bookmarkStart w:id="123" w:name="_Toc13043389"/>
      <w:bookmarkStart w:id="124" w:name="_Toc21090256"/>
      <w:bookmarkStart w:id="125" w:name="_Toc22219965"/>
      <w:r>
        <w:t xml:space="preserve">Table </w:t>
      </w:r>
      <w:r w:rsidR="00A152B9">
        <w:fldChar w:fldCharType="begin"/>
      </w:r>
      <w:r w:rsidR="00A152B9">
        <w:instrText xml:space="preserve"> SEQ Table \* ARABIC </w:instrText>
      </w:r>
      <w:r w:rsidR="00A152B9">
        <w:fldChar w:fldCharType="separate"/>
      </w:r>
      <w:r w:rsidR="00A152B9">
        <w:rPr>
          <w:noProof/>
        </w:rPr>
        <w:t>1</w:t>
      </w:r>
      <w:r w:rsidR="00A152B9">
        <w:rPr>
          <w:noProof/>
        </w:rPr>
        <w:fldChar w:fldCharType="end"/>
      </w:r>
      <w:r w:rsidRPr="00F111CA">
        <w:t>: Participation in the Sexual and Reproductive Health module of the New</w:t>
      </w:r>
      <w:r>
        <w:t> </w:t>
      </w:r>
      <w:r w:rsidRPr="00F111CA">
        <w:t>Zealand Health Survey, by ethnicity</w:t>
      </w:r>
      <w:bookmarkEnd w:id="121"/>
      <w:bookmarkEnd w:id="122"/>
      <w:bookmarkEnd w:id="123"/>
      <w:bookmarkEnd w:id="124"/>
      <w:bookmarkEnd w:id="125"/>
    </w:p>
    <w:tbl>
      <w:tblPr>
        <w:tblStyle w:val="TableGrid"/>
        <w:tblW w:w="0" w:type="auto"/>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3119"/>
        <w:gridCol w:w="1276"/>
      </w:tblGrid>
      <w:tr w:rsidR="00F902A0" w:rsidRPr="000A0158" w14:paraId="08DBBD6A" w14:textId="77777777" w:rsidTr="00D76022">
        <w:trPr>
          <w:cantSplit/>
        </w:trPr>
        <w:tc>
          <w:tcPr>
            <w:tcW w:w="3119" w:type="dxa"/>
            <w:tcBorders>
              <w:top w:val="nil"/>
              <w:bottom w:val="nil"/>
            </w:tcBorders>
            <w:shd w:val="clear" w:color="auto" w:fill="D9D9D9" w:themeFill="background1" w:themeFillShade="D9"/>
          </w:tcPr>
          <w:p w14:paraId="788E3B6F" w14:textId="77777777" w:rsidR="00F902A0" w:rsidRPr="000A0158" w:rsidRDefault="00F902A0" w:rsidP="00D76022">
            <w:pPr>
              <w:pStyle w:val="TableText"/>
              <w:rPr>
                <w:b/>
              </w:rPr>
            </w:pPr>
            <w:r w:rsidRPr="000A0158">
              <w:rPr>
                <w:b/>
              </w:rPr>
              <w:t>Ethnic group</w:t>
            </w:r>
          </w:p>
        </w:tc>
        <w:tc>
          <w:tcPr>
            <w:tcW w:w="1276" w:type="dxa"/>
            <w:tcBorders>
              <w:top w:val="nil"/>
              <w:bottom w:val="nil"/>
            </w:tcBorders>
            <w:shd w:val="clear" w:color="auto" w:fill="D9D9D9" w:themeFill="background1" w:themeFillShade="D9"/>
          </w:tcPr>
          <w:p w14:paraId="038B0F6F" w14:textId="77777777" w:rsidR="00F902A0" w:rsidRPr="000A0158" w:rsidRDefault="00F902A0" w:rsidP="00D76022">
            <w:pPr>
              <w:pStyle w:val="TableText"/>
              <w:jc w:val="center"/>
              <w:rPr>
                <w:b/>
              </w:rPr>
            </w:pPr>
            <w:r w:rsidRPr="000A0158">
              <w:rPr>
                <w:b/>
              </w:rPr>
              <w:t>Number</w:t>
            </w:r>
          </w:p>
        </w:tc>
      </w:tr>
      <w:tr w:rsidR="00F902A0" w:rsidRPr="00EA3E17" w14:paraId="5EFFB0DB" w14:textId="77777777" w:rsidTr="00D76022">
        <w:trPr>
          <w:cantSplit/>
        </w:trPr>
        <w:tc>
          <w:tcPr>
            <w:tcW w:w="3119" w:type="dxa"/>
            <w:tcBorders>
              <w:top w:val="nil"/>
            </w:tcBorders>
            <w:shd w:val="clear" w:color="auto" w:fill="auto"/>
            <w:vAlign w:val="center"/>
          </w:tcPr>
          <w:p w14:paraId="70FE45CD" w14:textId="77777777" w:rsidR="00F902A0" w:rsidRPr="00EA3E17" w:rsidRDefault="00F902A0" w:rsidP="00D76022">
            <w:pPr>
              <w:pStyle w:val="TableText"/>
            </w:pPr>
            <w:r w:rsidRPr="00EA3E17">
              <w:t>Māori</w:t>
            </w:r>
          </w:p>
        </w:tc>
        <w:tc>
          <w:tcPr>
            <w:tcW w:w="1276" w:type="dxa"/>
            <w:tcBorders>
              <w:top w:val="nil"/>
            </w:tcBorders>
            <w:shd w:val="clear" w:color="auto" w:fill="auto"/>
            <w:vAlign w:val="center"/>
          </w:tcPr>
          <w:p w14:paraId="65C8AF73" w14:textId="77777777" w:rsidR="00F902A0" w:rsidRPr="00EA3E17" w:rsidRDefault="00F902A0" w:rsidP="00D76022">
            <w:pPr>
              <w:pStyle w:val="TableText"/>
              <w:tabs>
                <w:tab w:val="decimal" w:pos="793"/>
              </w:tabs>
            </w:pPr>
            <w:r w:rsidRPr="00EA3E17">
              <w:t>2,460</w:t>
            </w:r>
          </w:p>
        </w:tc>
      </w:tr>
      <w:tr w:rsidR="00F902A0" w:rsidRPr="00EA3E17" w14:paraId="39EB6CFE" w14:textId="77777777" w:rsidTr="00D76022">
        <w:trPr>
          <w:cantSplit/>
        </w:trPr>
        <w:tc>
          <w:tcPr>
            <w:tcW w:w="3119" w:type="dxa"/>
            <w:shd w:val="clear" w:color="auto" w:fill="auto"/>
            <w:vAlign w:val="center"/>
          </w:tcPr>
          <w:p w14:paraId="1230B8D9" w14:textId="77777777" w:rsidR="00F902A0" w:rsidRPr="00EA3E17" w:rsidRDefault="00F902A0" w:rsidP="00D76022">
            <w:pPr>
              <w:pStyle w:val="TableText"/>
            </w:pPr>
            <w:r w:rsidRPr="00EA3E17">
              <w:t>Pacific</w:t>
            </w:r>
          </w:p>
        </w:tc>
        <w:tc>
          <w:tcPr>
            <w:tcW w:w="1276" w:type="dxa"/>
            <w:shd w:val="clear" w:color="auto" w:fill="auto"/>
            <w:vAlign w:val="center"/>
          </w:tcPr>
          <w:p w14:paraId="723016E6" w14:textId="77777777" w:rsidR="00F902A0" w:rsidRPr="00EA3E17" w:rsidRDefault="00F902A0" w:rsidP="00D76022">
            <w:pPr>
              <w:pStyle w:val="TableText"/>
              <w:tabs>
                <w:tab w:val="decimal" w:pos="793"/>
              </w:tabs>
            </w:pPr>
            <w:r w:rsidRPr="00EA3E17">
              <w:t>619</w:t>
            </w:r>
          </w:p>
        </w:tc>
      </w:tr>
      <w:tr w:rsidR="00F902A0" w:rsidRPr="00EA3E17" w14:paraId="10CB70AB" w14:textId="77777777" w:rsidTr="00D76022">
        <w:trPr>
          <w:cantSplit/>
        </w:trPr>
        <w:tc>
          <w:tcPr>
            <w:tcW w:w="3119" w:type="dxa"/>
            <w:shd w:val="clear" w:color="auto" w:fill="auto"/>
            <w:vAlign w:val="center"/>
          </w:tcPr>
          <w:p w14:paraId="17C11448" w14:textId="77777777" w:rsidR="00F902A0" w:rsidRPr="00EA3E17" w:rsidRDefault="00F902A0" w:rsidP="00D76022">
            <w:pPr>
              <w:pStyle w:val="TableText"/>
            </w:pPr>
            <w:r w:rsidRPr="00EA3E17">
              <w:t>Asian</w:t>
            </w:r>
          </w:p>
        </w:tc>
        <w:tc>
          <w:tcPr>
            <w:tcW w:w="1276" w:type="dxa"/>
            <w:shd w:val="clear" w:color="auto" w:fill="auto"/>
            <w:vAlign w:val="center"/>
          </w:tcPr>
          <w:p w14:paraId="6533D6FC" w14:textId="77777777" w:rsidR="00F902A0" w:rsidRPr="00EA3E17" w:rsidRDefault="00F902A0" w:rsidP="00D76022">
            <w:pPr>
              <w:pStyle w:val="TableText"/>
              <w:tabs>
                <w:tab w:val="decimal" w:pos="793"/>
              </w:tabs>
            </w:pPr>
            <w:r w:rsidRPr="00EA3E17">
              <w:t>814</w:t>
            </w:r>
          </w:p>
        </w:tc>
      </w:tr>
      <w:tr w:rsidR="00F902A0" w:rsidRPr="00EA3E17" w14:paraId="28CD561F" w14:textId="77777777" w:rsidTr="00D76022">
        <w:trPr>
          <w:cantSplit/>
        </w:trPr>
        <w:tc>
          <w:tcPr>
            <w:tcW w:w="3119" w:type="dxa"/>
            <w:shd w:val="clear" w:color="auto" w:fill="auto"/>
            <w:vAlign w:val="center"/>
          </w:tcPr>
          <w:p w14:paraId="67AE11E8" w14:textId="77777777" w:rsidR="00F902A0" w:rsidRPr="00EA3E17" w:rsidRDefault="00F902A0" w:rsidP="00D76022">
            <w:pPr>
              <w:pStyle w:val="TableText"/>
            </w:pPr>
            <w:r w:rsidRPr="00EA3E17">
              <w:t>European/Other</w:t>
            </w:r>
          </w:p>
        </w:tc>
        <w:tc>
          <w:tcPr>
            <w:tcW w:w="1276" w:type="dxa"/>
            <w:shd w:val="clear" w:color="auto" w:fill="auto"/>
            <w:vAlign w:val="center"/>
          </w:tcPr>
          <w:p w14:paraId="1BF1DD8E" w14:textId="77777777" w:rsidR="00F902A0" w:rsidRPr="00EA3E17" w:rsidRDefault="00F902A0" w:rsidP="00D76022">
            <w:pPr>
              <w:pStyle w:val="TableText"/>
              <w:tabs>
                <w:tab w:val="decimal" w:pos="793"/>
              </w:tabs>
            </w:pPr>
            <w:r w:rsidRPr="00EA3E17">
              <w:t>7,542</w:t>
            </w:r>
          </w:p>
        </w:tc>
      </w:tr>
    </w:tbl>
    <w:p w14:paraId="686DAC51" w14:textId="77777777" w:rsidR="00F902A0" w:rsidRDefault="00F902A0" w:rsidP="00246B4F">
      <w:pPr>
        <w:pStyle w:val="Note"/>
        <w:rPr>
          <w:lang w:eastAsia="en-US"/>
        </w:rPr>
      </w:pPr>
      <w:r>
        <w:rPr>
          <w:lang w:eastAsia="en-US"/>
        </w:rPr>
        <w:t xml:space="preserve">Note: </w:t>
      </w:r>
      <w:r w:rsidRPr="00F111CA">
        <w:rPr>
          <w:lang w:eastAsia="en-US"/>
        </w:rPr>
        <w:t xml:space="preserve">Adults who reported more than one ethnic group are counted once in each group reported. This means that the total number of responses for all ethnic groups </w:t>
      </w:r>
      <w:r>
        <w:rPr>
          <w:lang w:eastAsia="en-US"/>
        </w:rPr>
        <w:t>can</w:t>
      </w:r>
      <w:r w:rsidRPr="00F111CA">
        <w:rPr>
          <w:lang w:eastAsia="en-US"/>
        </w:rPr>
        <w:t xml:space="preserve"> be greater than the total number of adults who stated their ethnicities.</w:t>
      </w:r>
    </w:p>
    <w:p w14:paraId="52787D16" w14:textId="77777777" w:rsidR="00F902A0" w:rsidRPr="00EA3E17" w:rsidRDefault="00F902A0" w:rsidP="00246B4F"/>
    <w:p w14:paraId="736390C7" w14:textId="77777777" w:rsidR="00F902A0" w:rsidRPr="009F772F" w:rsidRDefault="00F902A0" w:rsidP="00246B4F">
      <w:pPr>
        <w:pStyle w:val="Heading3"/>
      </w:pPr>
      <w:r w:rsidRPr="009F772F">
        <w:t>Survey weights</w:t>
      </w:r>
    </w:p>
    <w:p w14:paraId="4DB60FB0" w14:textId="77777777" w:rsidR="00F902A0" w:rsidRPr="009F772F" w:rsidRDefault="00F902A0" w:rsidP="00246B4F">
      <w:r w:rsidRPr="009F772F">
        <w:t>The Sexual and Reproductive Health data set was weighted so that the responding sample represented the New Zealand ‘usually resident’ population in that year, using external population benchmarks (age, sex, ethnicity and neighbourhood deprivation) and demographic and behavioural benchmarks (</w:t>
      </w:r>
      <w:proofErr w:type="spellStart"/>
      <w:r w:rsidRPr="009F772F">
        <w:t>eg</w:t>
      </w:r>
      <w:proofErr w:type="spellEnd"/>
      <w:r w:rsidRPr="009F772F">
        <w:t xml:space="preserve">, educational level and hazardous drinking). After an initial selection weight was calculated, it was adjusted for those who did not complete the module (for any reason). This should have minimised the impact of any differences in the characteristics of people who did or did not participate in the Sexual and Reproductive Health module. For more detail about the survey methodology, refer to the </w:t>
      </w:r>
      <w:r w:rsidRPr="00B97A43">
        <w:rPr>
          <w:i/>
          <w:iCs/>
        </w:rPr>
        <w:t>Methodology Report 2014/15</w:t>
      </w:r>
      <w:r w:rsidRPr="009F772F">
        <w:t xml:space="preserve"> (Ministry of Health 2015b).</w:t>
      </w:r>
    </w:p>
    <w:p w14:paraId="5C84B445" w14:textId="77777777" w:rsidR="00F902A0" w:rsidRPr="009F772F" w:rsidRDefault="00F902A0" w:rsidP="00246B4F"/>
    <w:p w14:paraId="6A049308" w14:textId="77777777" w:rsidR="00F902A0" w:rsidRPr="009F772F" w:rsidRDefault="00F902A0" w:rsidP="00246B4F">
      <w:pPr>
        <w:pStyle w:val="Heading3"/>
      </w:pPr>
      <w:r w:rsidRPr="009F772F">
        <w:lastRenderedPageBreak/>
        <w:t>Additional information</w:t>
      </w:r>
    </w:p>
    <w:p w14:paraId="4C897D30" w14:textId="77777777" w:rsidR="00F902A0" w:rsidRPr="009F772F" w:rsidRDefault="00F902A0" w:rsidP="00246B4F">
      <w:r w:rsidRPr="009F772F">
        <w:t>See also the following documents:</w:t>
      </w:r>
    </w:p>
    <w:p w14:paraId="519467C3" w14:textId="77777777" w:rsidR="00F902A0" w:rsidRPr="007D1594" w:rsidRDefault="00F902A0" w:rsidP="00246B4F">
      <w:pPr>
        <w:pStyle w:val="Bullet"/>
      </w:pPr>
      <w:r w:rsidRPr="00B97A43">
        <w:rPr>
          <w:i/>
          <w:iCs/>
        </w:rPr>
        <w:t xml:space="preserve">The </w:t>
      </w:r>
      <w:r w:rsidRPr="009F772F">
        <w:rPr>
          <w:i/>
          <w:iCs/>
        </w:rPr>
        <w:t>New Zealand Health Survey: Sample design years 1–3 (2011–2013)</w:t>
      </w:r>
      <w:r w:rsidRPr="007D1594">
        <w:t xml:space="preserve"> </w:t>
      </w:r>
      <w:r>
        <w:t>(Ministry of Health 2011). Note, despite the report title being 2011–13, this sample design was used for the 2014/15 Health Survey</w:t>
      </w:r>
    </w:p>
    <w:p w14:paraId="455D8F10" w14:textId="77777777" w:rsidR="00F902A0" w:rsidRPr="007D1594" w:rsidRDefault="00F902A0" w:rsidP="00246B4F">
      <w:pPr>
        <w:pStyle w:val="Bullet"/>
      </w:pPr>
      <w:r w:rsidRPr="009F772F">
        <w:rPr>
          <w:i/>
          <w:iCs/>
        </w:rPr>
        <w:t>Methodology Report 2014/15: New Zealand Health Survey</w:t>
      </w:r>
      <w:r w:rsidRPr="007D1594">
        <w:t xml:space="preserve"> </w:t>
      </w:r>
      <w:r>
        <w:t>(Ministry of Health 2015b)</w:t>
      </w:r>
    </w:p>
    <w:p w14:paraId="31462FE1" w14:textId="77777777" w:rsidR="00F902A0" w:rsidRPr="007D1594" w:rsidRDefault="00F902A0" w:rsidP="00246B4F">
      <w:pPr>
        <w:pStyle w:val="Bullet"/>
      </w:pPr>
      <w:r w:rsidRPr="009F772F">
        <w:rPr>
          <w:i/>
          <w:iCs/>
        </w:rPr>
        <w:t>Content Guide 2014/15: New Zealand Health Survey</w:t>
      </w:r>
      <w:r w:rsidRPr="007D1594">
        <w:t xml:space="preserve"> </w:t>
      </w:r>
      <w:r>
        <w:t>(Ministry of Health 2015a)</w:t>
      </w:r>
    </w:p>
    <w:p w14:paraId="6CA7A71F" w14:textId="77777777" w:rsidR="00F902A0" w:rsidRPr="00E16BA9" w:rsidRDefault="00F902A0" w:rsidP="00246B4F">
      <w:pPr>
        <w:pStyle w:val="Bullet"/>
      </w:pPr>
      <w:r w:rsidRPr="00A26AA1">
        <w:t xml:space="preserve">Questionnaires </w:t>
      </w:r>
      <w:r>
        <w:t xml:space="preserve">for the </w:t>
      </w:r>
      <w:r w:rsidRPr="00A26AA1">
        <w:t>New Zealand Health Survey</w:t>
      </w:r>
      <w:r>
        <w:t xml:space="preserve"> 2014/15 (Ministry of Health 2016a; Ministry of Heath 2016b)</w:t>
      </w:r>
    </w:p>
    <w:p w14:paraId="76C34F0A" w14:textId="77777777" w:rsidR="00F902A0" w:rsidRDefault="00F902A0" w:rsidP="00246B4F">
      <w:pPr>
        <w:pStyle w:val="Bullet"/>
      </w:pPr>
      <w:r w:rsidRPr="009F772F">
        <w:rPr>
          <w:i/>
          <w:iCs/>
        </w:rPr>
        <w:t>Sexual and Reproductive Health Indicator Interpretation Guide 2014/15: New Zealand Health Survey</w:t>
      </w:r>
      <w:r w:rsidRPr="009F772F">
        <w:t xml:space="preserve"> </w:t>
      </w:r>
      <w:r w:rsidRPr="00E16BA9">
        <w:t>(Ministry of Health 2019)</w:t>
      </w:r>
      <w:r>
        <w:t>.</w:t>
      </w:r>
    </w:p>
    <w:p w14:paraId="54F4C20E" w14:textId="77777777" w:rsidR="00246B4F" w:rsidRDefault="00246B4F" w:rsidP="00246B4F"/>
    <w:p w14:paraId="3DBC195C" w14:textId="77777777" w:rsidR="00F902A0" w:rsidRPr="009F772F" w:rsidRDefault="00F902A0" w:rsidP="00246B4F">
      <w:pPr>
        <w:pStyle w:val="Heading1"/>
      </w:pPr>
      <w:bookmarkStart w:id="126" w:name="_Toc525908130"/>
      <w:bookmarkStart w:id="127" w:name="_Toc1549826"/>
      <w:bookmarkStart w:id="128" w:name="_Toc2791562"/>
      <w:bookmarkStart w:id="129" w:name="_Toc5169945"/>
      <w:bookmarkStart w:id="130" w:name="_Toc21090236"/>
      <w:bookmarkStart w:id="131" w:name="_Toc22219964"/>
      <w:bookmarkEnd w:id="113"/>
      <w:bookmarkEnd w:id="114"/>
      <w:r w:rsidRPr="009F772F">
        <w:lastRenderedPageBreak/>
        <w:t>References</w:t>
      </w:r>
      <w:bookmarkEnd w:id="126"/>
      <w:bookmarkEnd w:id="127"/>
      <w:bookmarkEnd w:id="128"/>
      <w:bookmarkEnd w:id="129"/>
      <w:bookmarkEnd w:id="130"/>
      <w:bookmarkEnd w:id="131"/>
    </w:p>
    <w:p w14:paraId="7425B975" w14:textId="608A0951" w:rsidR="00F902A0" w:rsidRPr="00640009" w:rsidRDefault="00F902A0" w:rsidP="00246B4F">
      <w:pPr>
        <w:pStyle w:val="References"/>
      </w:pPr>
      <w:r w:rsidRPr="009F772F">
        <w:t>Fenton</w:t>
      </w:r>
      <w:r w:rsidR="00246B4F">
        <w:t xml:space="preserve"> </w:t>
      </w:r>
      <w:r w:rsidRPr="009F772F">
        <w:t>KA,</w:t>
      </w:r>
      <w:r w:rsidR="00246B4F">
        <w:t xml:space="preserve"> </w:t>
      </w:r>
      <w:r w:rsidRPr="009F772F">
        <w:t>Johnson</w:t>
      </w:r>
      <w:r w:rsidR="00246B4F">
        <w:t xml:space="preserve"> </w:t>
      </w:r>
      <w:r w:rsidRPr="009F772F">
        <w:t>AM,</w:t>
      </w:r>
      <w:r w:rsidR="00246B4F">
        <w:t xml:space="preserve"> </w:t>
      </w:r>
      <w:r w:rsidRPr="009F772F">
        <w:t>McManus</w:t>
      </w:r>
      <w:r w:rsidR="00246B4F">
        <w:t xml:space="preserve"> </w:t>
      </w:r>
      <w:r w:rsidRPr="009F772F">
        <w:t xml:space="preserve">S, et al. </w:t>
      </w:r>
      <w:r>
        <w:t xml:space="preserve">2001. </w:t>
      </w:r>
      <w:r w:rsidRPr="009F772F">
        <w:t xml:space="preserve">Measuring sexual behaviour: </w:t>
      </w:r>
      <w:r w:rsidR="00246B4F">
        <w:t>m</w:t>
      </w:r>
      <w:r w:rsidRPr="009F772F">
        <w:t xml:space="preserve">ethodological challenges in survey research. </w:t>
      </w:r>
      <w:r w:rsidRPr="009F772F">
        <w:rPr>
          <w:i/>
          <w:iCs/>
        </w:rPr>
        <w:t>Sex</w:t>
      </w:r>
      <w:r>
        <w:rPr>
          <w:i/>
          <w:iCs/>
        </w:rPr>
        <w:t>ually</w:t>
      </w:r>
      <w:r w:rsidRPr="009F772F">
        <w:rPr>
          <w:i/>
          <w:iCs/>
        </w:rPr>
        <w:t xml:space="preserve"> Transm</w:t>
      </w:r>
      <w:r>
        <w:rPr>
          <w:i/>
          <w:iCs/>
        </w:rPr>
        <w:t>itted</w:t>
      </w:r>
      <w:r w:rsidRPr="009F772F">
        <w:rPr>
          <w:i/>
          <w:iCs/>
        </w:rPr>
        <w:t xml:space="preserve"> Infect</w:t>
      </w:r>
      <w:r>
        <w:rPr>
          <w:i/>
          <w:iCs/>
        </w:rPr>
        <w:t>ions</w:t>
      </w:r>
      <w:r w:rsidR="00246B4F">
        <w:rPr>
          <w:iCs/>
        </w:rPr>
        <w:br/>
      </w:r>
      <w:r w:rsidRPr="009F772F">
        <w:t>77(2): 84</w:t>
      </w:r>
      <w:r>
        <w:t>–</w:t>
      </w:r>
      <w:r w:rsidR="00246B4F">
        <w:t>92.</w:t>
      </w:r>
    </w:p>
    <w:p w14:paraId="6648B1F1" w14:textId="77777777" w:rsidR="00F902A0" w:rsidRPr="00640009" w:rsidRDefault="00F902A0" w:rsidP="00246B4F">
      <w:pPr>
        <w:pStyle w:val="References"/>
      </w:pPr>
      <w:r w:rsidRPr="009F772F">
        <w:t xml:space="preserve">Institute of Environmental Science and Research Ltd. </w:t>
      </w:r>
      <w:r>
        <w:t xml:space="preserve">2014. </w:t>
      </w:r>
      <w:r w:rsidRPr="00973960">
        <w:rPr>
          <w:i/>
          <w:iCs/>
        </w:rPr>
        <w:t>Sexually Transmitted Infections in New Zealand: Annual Surveillance Report 2014</w:t>
      </w:r>
      <w:r w:rsidRPr="009F772F">
        <w:t>. Porirua</w:t>
      </w:r>
      <w:r>
        <w:t xml:space="preserve">: </w:t>
      </w:r>
      <w:r w:rsidRPr="009F772F">
        <w:t>Institute of Environmental Science and Research Ltd.</w:t>
      </w:r>
    </w:p>
    <w:p w14:paraId="0DDF4EBC" w14:textId="77777777" w:rsidR="00F902A0" w:rsidRPr="00246B4F" w:rsidRDefault="00F902A0" w:rsidP="00246B4F">
      <w:pPr>
        <w:pStyle w:val="References"/>
      </w:pPr>
      <w:r w:rsidRPr="009F772F">
        <w:t xml:space="preserve">Ministry of Health. 2011. </w:t>
      </w:r>
      <w:r w:rsidRPr="009F772F">
        <w:rPr>
          <w:i/>
          <w:iCs/>
        </w:rPr>
        <w:t>The New Zealand Health Survey: Sample design, years 1–3 (2011–2013)</w:t>
      </w:r>
      <w:r w:rsidRPr="009F772F">
        <w:t>. Wellington: Ministry of Health.</w:t>
      </w:r>
    </w:p>
    <w:p w14:paraId="4ADC3027" w14:textId="77777777" w:rsidR="00F902A0" w:rsidRPr="00246B4F" w:rsidRDefault="00F902A0" w:rsidP="00246B4F">
      <w:pPr>
        <w:pStyle w:val="References"/>
      </w:pPr>
      <w:r w:rsidRPr="009F772F">
        <w:t xml:space="preserve">Ministry of Health. 2015a. </w:t>
      </w:r>
      <w:r w:rsidRPr="009F772F">
        <w:rPr>
          <w:i/>
          <w:iCs/>
        </w:rPr>
        <w:t>Content Guide 2014/15: New Zealand Health Survey</w:t>
      </w:r>
      <w:r w:rsidRPr="009F772F">
        <w:t>. Wellington: Ministry of Health.</w:t>
      </w:r>
    </w:p>
    <w:p w14:paraId="7C30284C" w14:textId="77777777" w:rsidR="00F902A0" w:rsidRPr="00246B4F" w:rsidRDefault="00F902A0" w:rsidP="00246B4F">
      <w:pPr>
        <w:pStyle w:val="References"/>
      </w:pPr>
      <w:r w:rsidRPr="009F772F">
        <w:t xml:space="preserve">Ministry of Health. 2015b. </w:t>
      </w:r>
      <w:r w:rsidRPr="009F772F">
        <w:rPr>
          <w:i/>
          <w:iCs/>
        </w:rPr>
        <w:t>Methodology Report 2014/15: New Zealand Health Survey</w:t>
      </w:r>
      <w:r w:rsidRPr="009F772F">
        <w:t>. Wellington: Ministry of Health.</w:t>
      </w:r>
    </w:p>
    <w:p w14:paraId="5E86ED89" w14:textId="77777777" w:rsidR="00F902A0" w:rsidRPr="00246B4F" w:rsidRDefault="00F902A0" w:rsidP="00246B4F">
      <w:pPr>
        <w:pStyle w:val="References"/>
      </w:pPr>
      <w:r w:rsidRPr="009F772F">
        <w:t xml:space="preserve">Ministry of Health. 2016a. </w:t>
      </w:r>
      <w:r w:rsidRPr="009F772F">
        <w:rPr>
          <w:i/>
          <w:iCs/>
        </w:rPr>
        <w:t>Adult Sexual Reproductive Health Module (Year 4)</w:t>
      </w:r>
      <w:r w:rsidRPr="00B97A43">
        <w:t>.</w:t>
      </w:r>
      <w:r w:rsidRPr="009F772F">
        <w:t xml:space="preserve"> Wellington: Ministry of Health.</w:t>
      </w:r>
    </w:p>
    <w:p w14:paraId="79537942" w14:textId="77777777" w:rsidR="00F902A0" w:rsidRPr="00246B4F" w:rsidRDefault="00F902A0" w:rsidP="00246B4F">
      <w:pPr>
        <w:pStyle w:val="References"/>
      </w:pPr>
      <w:r w:rsidRPr="009F772F">
        <w:t xml:space="preserve">Ministry of Health. 2016b. </w:t>
      </w:r>
      <w:r w:rsidRPr="009F772F">
        <w:rPr>
          <w:i/>
          <w:iCs/>
        </w:rPr>
        <w:t>New Zealand Health Survey Adult Questionnaire (Year 4)</w:t>
      </w:r>
      <w:r w:rsidRPr="00B97A43">
        <w:t>.</w:t>
      </w:r>
      <w:r w:rsidRPr="009F772F">
        <w:t xml:space="preserve"> Wellington: Ministry of Health.</w:t>
      </w:r>
    </w:p>
    <w:p w14:paraId="125FC6AD" w14:textId="77777777" w:rsidR="00F902A0" w:rsidRPr="00640009" w:rsidRDefault="00F902A0" w:rsidP="00246B4F">
      <w:pPr>
        <w:pStyle w:val="References"/>
      </w:pPr>
      <w:r w:rsidRPr="009F772F">
        <w:t xml:space="preserve">Ministry of Health. 2019. </w:t>
      </w:r>
      <w:r w:rsidRPr="009F772F">
        <w:rPr>
          <w:i/>
          <w:iCs/>
        </w:rPr>
        <w:t>Sexual and Reproductive Health Indicator Interpretation Guide 2014/15: New Zealand Health Survey</w:t>
      </w:r>
      <w:r w:rsidRPr="009F772F">
        <w:t>. Wellington: Ministry of Health.</w:t>
      </w:r>
    </w:p>
    <w:p w14:paraId="7F558B53" w14:textId="15ECCECC" w:rsidR="00F902A0" w:rsidRPr="00246B4F" w:rsidRDefault="00F902A0" w:rsidP="00246B4F">
      <w:pPr>
        <w:pStyle w:val="References"/>
      </w:pPr>
      <w:r w:rsidRPr="009F772F">
        <w:t xml:space="preserve">Mercer CH. </w:t>
      </w:r>
      <w:r>
        <w:t xml:space="preserve">2014. </w:t>
      </w:r>
      <w:r w:rsidRPr="009F772F">
        <w:t>Sexual behaviour.</w:t>
      </w:r>
      <w:r w:rsidR="00246B4F">
        <w:t xml:space="preserve"> </w:t>
      </w:r>
      <w:r w:rsidRPr="009F772F">
        <w:rPr>
          <w:i/>
          <w:iCs/>
        </w:rPr>
        <w:t>Medicine</w:t>
      </w:r>
      <w:r w:rsidRPr="00246B4F">
        <w:rPr>
          <w:iCs/>
        </w:rPr>
        <w:t xml:space="preserve"> (Abingdon, </w:t>
      </w:r>
      <w:proofErr w:type="gramStart"/>
      <w:r w:rsidRPr="00246B4F">
        <w:rPr>
          <w:iCs/>
        </w:rPr>
        <w:t>England</w:t>
      </w:r>
      <w:r w:rsidRPr="00246B4F">
        <w:rPr>
          <w:rFonts w:ascii="Times New Roman" w:hAnsi="Times New Roman"/>
          <w:iCs/>
        </w:rPr>
        <w:t> </w:t>
      </w:r>
      <w:r w:rsidRPr="00246B4F">
        <w:rPr>
          <w:iCs/>
        </w:rPr>
        <w:t>:</w:t>
      </w:r>
      <w:proofErr w:type="gramEnd"/>
      <w:r w:rsidRPr="00246B4F">
        <w:rPr>
          <w:iCs/>
        </w:rPr>
        <w:t xml:space="preserve"> UK Ed)</w:t>
      </w:r>
      <w:r w:rsidRPr="00246B4F">
        <w:t xml:space="preserve"> 42(6): 291–3.</w:t>
      </w:r>
    </w:p>
    <w:p w14:paraId="0FCEDD00" w14:textId="77777777" w:rsidR="00F902A0" w:rsidRPr="00640009" w:rsidRDefault="00F902A0" w:rsidP="00246B4F">
      <w:pPr>
        <w:pStyle w:val="References"/>
      </w:pPr>
      <w:r w:rsidRPr="00873DFE">
        <w:t xml:space="preserve">Mitchell KR, Mercer CH, </w:t>
      </w:r>
      <w:proofErr w:type="spellStart"/>
      <w:r w:rsidRPr="00873DFE">
        <w:t>Prah</w:t>
      </w:r>
      <w:proofErr w:type="spellEnd"/>
      <w:r w:rsidRPr="00873DFE">
        <w:t xml:space="preserve"> P, et al. 2018</w:t>
      </w:r>
      <w:r w:rsidRPr="009F772F">
        <w:t xml:space="preserve">. Why do men report more opposite-sex sexual partners than women? Analysis of the gender discrepancy in a British National Probability Survey. </w:t>
      </w:r>
      <w:r w:rsidRPr="004D4EC5">
        <w:rPr>
          <w:i/>
          <w:iCs/>
        </w:rPr>
        <w:t>Journal of Sexual Research</w:t>
      </w:r>
      <w:r w:rsidRPr="009F772F">
        <w:t xml:space="preserve"> 56(1):</w:t>
      </w:r>
      <w:r>
        <w:t xml:space="preserve"> </w:t>
      </w:r>
      <w:r w:rsidRPr="009F772F">
        <w:t>1</w:t>
      </w:r>
      <w:r>
        <w:t>–</w:t>
      </w:r>
      <w:r w:rsidRPr="009F772F">
        <w:t>8.</w:t>
      </w:r>
    </w:p>
    <w:p w14:paraId="0E01076B" w14:textId="77777777" w:rsidR="00F902A0" w:rsidRPr="00246B4F" w:rsidRDefault="00F902A0" w:rsidP="00246B4F">
      <w:pPr>
        <w:pStyle w:val="References"/>
        <w:rPr>
          <w:rFonts w:eastAsia="MS Gothic"/>
        </w:rPr>
      </w:pPr>
      <w:r w:rsidRPr="009F772F">
        <w:t xml:space="preserve">Paul C, Dickson N, Davis PB, et al. </w:t>
      </w:r>
      <w:r>
        <w:t xml:space="preserve">1995. </w:t>
      </w:r>
      <w:r w:rsidRPr="009F772F">
        <w:t xml:space="preserve">Heterosexual behaviour and HIV risk in New Zealand: data from a national survey. </w:t>
      </w:r>
      <w:r w:rsidRPr="009F772F">
        <w:rPr>
          <w:i/>
          <w:iCs/>
        </w:rPr>
        <w:t>Aust</w:t>
      </w:r>
      <w:r>
        <w:rPr>
          <w:i/>
          <w:iCs/>
        </w:rPr>
        <w:t>ralian</w:t>
      </w:r>
      <w:r w:rsidRPr="009F772F">
        <w:rPr>
          <w:i/>
          <w:iCs/>
        </w:rPr>
        <w:t xml:space="preserve"> J</w:t>
      </w:r>
      <w:r>
        <w:rPr>
          <w:i/>
          <w:iCs/>
        </w:rPr>
        <w:t>ournal of</w:t>
      </w:r>
      <w:r w:rsidRPr="009F772F">
        <w:rPr>
          <w:i/>
          <w:iCs/>
        </w:rPr>
        <w:t xml:space="preserve"> Public Health</w:t>
      </w:r>
      <w:r w:rsidRPr="009F772F">
        <w:t xml:space="preserve"> 19</w:t>
      </w:r>
      <w:r>
        <w:t>(1)</w:t>
      </w:r>
      <w:r w:rsidRPr="009F772F">
        <w:t>: 13–18.</w:t>
      </w:r>
    </w:p>
    <w:p w14:paraId="5886531C" w14:textId="67FA85E8" w:rsidR="00F902A0" w:rsidRDefault="00F902A0" w:rsidP="00246B4F">
      <w:pPr>
        <w:pStyle w:val="References"/>
        <w:rPr>
          <w:rFonts w:cstheme="minorHAnsi"/>
          <w:lang w:eastAsia="en-US"/>
        </w:rPr>
      </w:pPr>
      <w:r w:rsidRPr="001D44FA">
        <w:rPr>
          <w:rFonts w:cstheme="minorHAnsi"/>
          <w:lang w:eastAsia="en-US"/>
        </w:rPr>
        <w:t xml:space="preserve">Statistics New Zealand. 2015. </w:t>
      </w:r>
      <w:r w:rsidRPr="001D44FA">
        <w:rPr>
          <w:rFonts w:cstheme="minorHAnsi"/>
          <w:i/>
          <w:iCs/>
          <w:lang w:eastAsia="en-US"/>
        </w:rPr>
        <w:t xml:space="preserve">Statistical </w:t>
      </w:r>
      <w:r w:rsidR="00246B4F">
        <w:rPr>
          <w:rFonts w:cstheme="minorHAnsi"/>
          <w:i/>
          <w:iCs/>
          <w:lang w:eastAsia="en-US"/>
        </w:rPr>
        <w:t>S</w:t>
      </w:r>
      <w:r w:rsidRPr="001D44FA">
        <w:rPr>
          <w:rFonts w:cstheme="minorHAnsi"/>
          <w:i/>
          <w:iCs/>
          <w:lang w:eastAsia="en-US"/>
        </w:rPr>
        <w:t xml:space="preserve">tandard for </w:t>
      </w:r>
      <w:r w:rsidR="00246B4F">
        <w:rPr>
          <w:rFonts w:cstheme="minorHAnsi"/>
          <w:i/>
          <w:iCs/>
          <w:lang w:eastAsia="en-US"/>
        </w:rPr>
        <w:t>G</w:t>
      </w:r>
      <w:r w:rsidRPr="001D44FA">
        <w:rPr>
          <w:rFonts w:cstheme="minorHAnsi"/>
          <w:i/>
          <w:iCs/>
          <w:lang w:eastAsia="en-US"/>
        </w:rPr>
        <w:t xml:space="preserve">ender </w:t>
      </w:r>
      <w:r w:rsidR="00246B4F">
        <w:rPr>
          <w:rFonts w:cstheme="minorHAnsi"/>
          <w:i/>
          <w:iCs/>
          <w:lang w:eastAsia="en-US"/>
        </w:rPr>
        <w:t>I</w:t>
      </w:r>
      <w:r w:rsidRPr="001D44FA">
        <w:rPr>
          <w:rFonts w:cstheme="minorHAnsi"/>
          <w:i/>
          <w:iCs/>
          <w:lang w:eastAsia="en-US"/>
        </w:rPr>
        <w:t>dentity</w:t>
      </w:r>
      <w:r w:rsidRPr="001D44FA">
        <w:rPr>
          <w:rFonts w:cstheme="minorHAnsi"/>
          <w:lang w:eastAsia="en-US"/>
        </w:rPr>
        <w:t>. Wellington: Statistics New Zealand.</w:t>
      </w:r>
    </w:p>
    <w:p w14:paraId="342F3EB3" w14:textId="26E8A033" w:rsidR="00F902A0" w:rsidRPr="009F772F" w:rsidRDefault="00F902A0" w:rsidP="00246B4F">
      <w:pPr>
        <w:pStyle w:val="References"/>
      </w:pPr>
      <w:r w:rsidRPr="009F772F">
        <w:t xml:space="preserve">University of Auckland Adolescent Health Research Group. </w:t>
      </w:r>
      <w:r w:rsidRPr="00246B4F">
        <w:rPr>
          <w:i/>
        </w:rPr>
        <w:t xml:space="preserve">About the Youth2000 </w:t>
      </w:r>
      <w:r w:rsidR="00246B4F">
        <w:rPr>
          <w:i/>
        </w:rPr>
        <w:t>S</w:t>
      </w:r>
      <w:r w:rsidRPr="00246B4F">
        <w:rPr>
          <w:i/>
        </w:rPr>
        <w:t xml:space="preserve">urvey </w:t>
      </w:r>
      <w:r w:rsidR="00246B4F">
        <w:rPr>
          <w:i/>
        </w:rPr>
        <w:t>S</w:t>
      </w:r>
      <w:r w:rsidRPr="00246B4F">
        <w:rPr>
          <w:i/>
        </w:rPr>
        <w:t>eries: National youth health and wellbeing surveys</w:t>
      </w:r>
      <w:r w:rsidRPr="009F772F">
        <w:t xml:space="preserve">. URL: </w:t>
      </w:r>
      <w:r w:rsidRPr="00246B4F">
        <w:rPr>
          <w:rStyle w:val="Hyperlink"/>
        </w:rPr>
        <w:t>https://www.fmhs.auckland.ac.nz/en/faculty/adolescent-health-research-group/youth2000-national-youth-health-survey-series.html</w:t>
      </w:r>
      <w:r w:rsidRPr="009F772F">
        <w:t xml:space="preserve"> (accessed </w:t>
      </w:r>
      <w:r>
        <w:t>17</w:t>
      </w:r>
      <w:r w:rsidR="00246B4F">
        <w:t> </w:t>
      </w:r>
      <w:r>
        <w:t>September 2019</w:t>
      </w:r>
      <w:r w:rsidRPr="009F772F">
        <w:t>).</w:t>
      </w:r>
    </w:p>
    <w:p w14:paraId="7AE14109" w14:textId="77777777" w:rsidR="003A5FA0" w:rsidRPr="003A5FA0" w:rsidRDefault="003A5FA0" w:rsidP="00246B4F"/>
    <w:sectPr w:rsidR="003A5FA0" w:rsidRPr="003A5FA0" w:rsidSect="002B7BEC">
      <w:footerReference w:type="even" r:id="rId44"/>
      <w:footerReference w:type="default" r:id="rId45"/>
      <w:pgSz w:w="11907" w:h="16834" w:code="9"/>
      <w:pgMar w:top="1418" w:right="1701" w:bottom="1134" w:left="1843" w:header="284" w:footer="425" w:gutter="284"/>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F6CF20" w14:textId="77777777" w:rsidR="002E2DAE" w:rsidRDefault="002E2DAE">
      <w:r>
        <w:separator/>
      </w:r>
    </w:p>
    <w:p w14:paraId="6574C7E7" w14:textId="77777777" w:rsidR="002E2DAE" w:rsidRDefault="002E2DAE"/>
  </w:endnote>
  <w:endnote w:type="continuationSeparator" w:id="0">
    <w:p w14:paraId="6361F378" w14:textId="77777777" w:rsidR="002E2DAE" w:rsidRDefault="002E2DAE">
      <w:r>
        <w:continuationSeparator/>
      </w:r>
    </w:p>
    <w:p w14:paraId="3FC6311D" w14:textId="77777777" w:rsidR="002E2DAE" w:rsidRDefault="002E2D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Black">
    <w:panose1 w:val="020B0A02040204020203"/>
    <w:charset w:val="00"/>
    <w:family w:val="swiss"/>
    <w:pitch w:val="variable"/>
    <w:sig w:usb0="E1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erkeley">
    <w:altName w:val="Goudy Old Style"/>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DA374" w14:textId="77777777" w:rsidR="002E2DAE" w:rsidRDefault="002E2DAE" w:rsidP="00D501E3">
    <w:pPr>
      <w:pStyle w:val="Footer"/>
      <w:pBdr>
        <w:bottom w:val="single" w:sz="4" w:space="1" w:color="auto"/>
      </w:pBdr>
      <w:tabs>
        <w:tab w:val="right" w:pos="9639"/>
      </w:tabs>
      <w:spacing w:after="360"/>
      <w:rPr>
        <w:b/>
      </w:rPr>
    </w:pPr>
    <w:r>
      <w:rPr>
        <w:noProof/>
        <w:lang w:eastAsia="en-NZ"/>
      </w:rPr>
      <w:drawing>
        <wp:inline distT="0" distB="0" distL="0" distR="0" wp14:anchorId="1664C43F" wp14:editId="32C96075">
          <wp:extent cx="4397433" cy="1152103"/>
          <wp:effectExtent l="0" t="0" r="3175" b="0"/>
          <wp:docPr id="11" name="Picture 11" descr="NZ Health Survey 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Z Health Survey 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02462" cy="1153420"/>
                  </a:xfrm>
                  <a:prstGeom prst="rect">
                    <a:avLst/>
                  </a:prstGeom>
                  <a:noFill/>
                  <a:ln>
                    <a:noFill/>
                  </a:ln>
                </pic:spPr>
              </pic:pic>
            </a:graphicData>
          </a:graphic>
        </wp:inline>
      </w:drawing>
    </w:r>
  </w:p>
  <w:p w14:paraId="5C747E4B" w14:textId="77777777" w:rsidR="002E2DAE" w:rsidRPr="00581136" w:rsidRDefault="002E2DAE" w:rsidP="005A79E5">
    <w:pPr>
      <w:pStyle w:val="Footer"/>
      <w:pBdr>
        <w:bottom w:val="single" w:sz="4" w:space="1" w:color="auto"/>
      </w:pBdr>
      <w:tabs>
        <w:tab w:val="right" w:pos="9639"/>
      </w:tabs>
      <w:rPr>
        <w:b/>
      </w:rPr>
    </w:pPr>
    <w:r w:rsidRPr="00581136">
      <w:rPr>
        <w:b/>
      </w:rPr>
      <w:t>Released 201</w:t>
    </w:r>
    <w:r>
      <w:rPr>
        <w:b/>
      </w:rPr>
      <w:t>9</w:t>
    </w:r>
    <w:r w:rsidRPr="00581136">
      <w:rPr>
        <w:b/>
      </w:rPr>
      <w:tab/>
      <w:t>health.govt.nz</w:t>
    </w:r>
  </w:p>
  <w:p w14:paraId="7C1DE553" w14:textId="77777777" w:rsidR="002E2DAE" w:rsidRPr="005A79E5" w:rsidRDefault="002E2DAE">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BE11F" w14:textId="77777777" w:rsidR="002E2DAE" w:rsidRDefault="002E2DAE"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63240" w14:textId="77777777" w:rsidR="002E2DAE" w:rsidRDefault="002E2DA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2E2DAE" w14:paraId="0ADCA9E7" w14:textId="77777777" w:rsidTr="00D662F8">
      <w:trPr>
        <w:cantSplit/>
      </w:trPr>
      <w:tc>
        <w:tcPr>
          <w:tcW w:w="709" w:type="dxa"/>
          <w:vAlign w:val="center"/>
        </w:tcPr>
        <w:p w14:paraId="74DF1988" w14:textId="77777777" w:rsidR="002E2DAE" w:rsidRPr="00931466" w:rsidRDefault="002E2DAE"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iv</w:t>
          </w:r>
          <w:r w:rsidRPr="00931466">
            <w:rPr>
              <w:rStyle w:val="PageNumber"/>
            </w:rPr>
            <w:fldChar w:fldCharType="end"/>
          </w:r>
        </w:p>
      </w:tc>
      <w:tc>
        <w:tcPr>
          <w:tcW w:w="8080" w:type="dxa"/>
          <w:vAlign w:val="center"/>
        </w:tcPr>
        <w:p w14:paraId="2DE37A6E" w14:textId="1D7D1295" w:rsidR="002E2DAE" w:rsidRDefault="002E2DAE" w:rsidP="00F902A0">
          <w:pPr>
            <w:pStyle w:val="RectoFooter"/>
            <w:jc w:val="left"/>
          </w:pPr>
          <w:r>
            <w:t>heterosexual sexual behaviour: findings from the 2014/15 new zealand health survey</w:t>
          </w:r>
        </w:p>
      </w:tc>
    </w:tr>
  </w:tbl>
  <w:p w14:paraId="4E6EB186" w14:textId="77777777" w:rsidR="002E2DAE" w:rsidRPr="00571223" w:rsidRDefault="002E2DAE"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Layout w:type="fixed"/>
      <w:tblCellMar>
        <w:left w:w="0" w:type="dxa"/>
        <w:right w:w="0" w:type="dxa"/>
      </w:tblCellMar>
      <w:tblLook w:val="04A0" w:firstRow="1" w:lastRow="0" w:firstColumn="1" w:lastColumn="0" w:noHBand="0" w:noVBand="1"/>
    </w:tblPr>
    <w:tblGrid>
      <w:gridCol w:w="8080"/>
      <w:gridCol w:w="709"/>
    </w:tblGrid>
    <w:tr w:rsidR="002E2DAE" w14:paraId="7C632B2B" w14:textId="77777777" w:rsidTr="006E2886">
      <w:trPr>
        <w:cantSplit/>
      </w:trPr>
      <w:tc>
        <w:tcPr>
          <w:tcW w:w="8080" w:type="dxa"/>
          <w:vAlign w:val="center"/>
        </w:tcPr>
        <w:p w14:paraId="35E47048" w14:textId="0050F511" w:rsidR="002E2DAE" w:rsidRDefault="002E2DAE" w:rsidP="00F902A0">
          <w:pPr>
            <w:pStyle w:val="RectoFooter"/>
          </w:pPr>
          <w:r>
            <w:t>heterosexual sexual behaviour: findings from the 2014/15 new zealand health survey</w:t>
          </w:r>
        </w:p>
      </w:tc>
      <w:tc>
        <w:tcPr>
          <w:tcW w:w="709" w:type="dxa"/>
          <w:vAlign w:val="center"/>
        </w:tcPr>
        <w:p w14:paraId="17B45665" w14:textId="77777777" w:rsidR="002E2DAE" w:rsidRPr="00931466" w:rsidRDefault="002E2DAE"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037BFF98" w14:textId="77777777" w:rsidR="002E2DAE" w:rsidRPr="00581EB8" w:rsidRDefault="002E2DAE"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Ind w:w="-567" w:type="dxa"/>
      <w:tblLayout w:type="fixed"/>
      <w:tblLook w:val="04A0" w:firstRow="1" w:lastRow="0" w:firstColumn="1" w:lastColumn="0" w:noHBand="0" w:noVBand="1"/>
    </w:tblPr>
    <w:tblGrid>
      <w:gridCol w:w="675"/>
      <w:gridCol w:w="9072"/>
    </w:tblGrid>
    <w:tr w:rsidR="002E2DAE" w14:paraId="3E0DC14B" w14:textId="77777777" w:rsidTr="006E2886">
      <w:trPr>
        <w:cantSplit/>
      </w:trPr>
      <w:tc>
        <w:tcPr>
          <w:tcW w:w="675" w:type="dxa"/>
          <w:vAlign w:val="center"/>
        </w:tcPr>
        <w:p w14:paraId="43D6468F" w14:textId="77777777" w:rsidR="002E2DAE" w:rsidRPr="00931466" w:rsidRDefault="002E2DAE"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9072" w:type="dxa"/>
          <w:vAlign w:val="center"/>
        </w:tcPr>
        <w:p w14:paraId="0E5DC2FB" w14:textId="77777777" w:rsidR="002E2DAE" w:rsidRDefault="002E2DAE" w:rsidP="00030EB1">
          <w:pPr>
            <w:pStyle w:val="RectoFooter"/>
            <w:jc w:val="left"/>
          </w:pPr>
          <w:r>
            <w:t>non-volitional sex: findings from the 2014/15 new zealand health survey</w:t>
          </w:r>
        </w:p>
      </w:tc>
    </w:tr>
  </w:tbl>
  <w:p w14:paraId="30BD373C" w14:textId="77777777" w:rsidR="002E2DAE" w:rsidRPr="00571223" w:rsidRDefault="002E2DAE"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Ind w:w="-567" w:type="dxa"/>
      <w:tblLayout w:type="fixed"/>
      <w:tblLook w:val="04A0" w:firstRow="1" w:lastRow="0" w:firstColumn="1" w:lastColumn="0" w:noHBand="0" w:noVBand="1"/>
    </w:tblPr>
    <w:tblGrid>
      <w:gridCol w:w="675"/>
      <w:gridCol w:w="9072"/>
    </w:tblGrid>
    <w:tr w:rsidR="002E2DAE" w14:paraId="3EE40428" w14:textId="77777777" w:rsidTr="006E2886">
      <w:trPr>
        <w:cantSplit/>
      </w:trPr>
      <w:tc>
        <w:tcPr>
          <w:tcW w:w="675" w:type="dxa"/>
          <w:vAlign w:val="center"/>
        </w:tcPr>
        <w:p w14:paraId="2BCE0F8F" w14:textId="77777777" w:rsidR="002E2DAE" w:rsidRPr="00931466" w:rsidRDefault="002E2DAE"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6</w:t>
          </w:r>
          <w:r w:rsidRPr="00931466">
            <w:rPr>
              <w:rStyle w:val="PageNumber"/>
            </w:rPr>
            <w:fldChar w:fldCharType="end"/>
          </w:r>
        </w:p>
      </w:tc>
      <w:tc>
        <w:tcPr>
          <w:tcW w:w="9072" w:type="dxa"/>
          <w:vAlign w:val="center"/>
        </w:tcPr>
        <w:p w14:paraId="1B37988C" w14:textId="74922B39" w:rsidR="002E2DAE" w:rsidRDefault="002E2DAE" w:rsidP="004B128B">
          <w:pPr>
            <w:pStyle w:val="RectoFooter"/>
            <w:ind w:left="-85"/>
            <w:jc w:val="left"/>
          </w:pPr>
          <w:r>
            <w:t>heterosexual sexual behaviour: findings from the 2014/15 new zealand health survey</w:t>
          </w:r>
        </w:p>
      </w:tc>
    </w:tr>
  </w:tbl>
  <w:p w14:paraId="4C804F71" w14:textId="77777777" w:rsidR="002E2DAE" w:rsidRPr="00571223" w:rsidRDefault="002E2DAE" w:rsidP="00571223">
    <w:pPr>
      <w:pStyle w:val="Verso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Layout w:type="fixed"/>
      <w:tblCellMar>
        <w:left w:w="0" w:type="dxa"/>
        <w:right w:w="0" w:type="dxa"/>
      </w:tblCellMar>
      <w:tblLook w:val="04A0" w:firstRow="1" w:lastRow="0" w:firstColumn="1" w:lastColumn="0" w:noHBand="0" w:noVBand="1"/>
    </w:tblPr>
    <w:tblGrid>
      <w:gridCol w:w="8080"/>
      <w:gridCol w:w="709"/>
    </w:tblGrid>
    <w:tr w:rsidR="002E2DAE" w14:paraId="66F51F20" w14:textId="77777777" w:rsidTr="006E2886">
      <w:trPr>
        <w:cantSplit/>
      </w:trPr>
      <w:tc>
        <w:tcPr>
          <w:tcW w:w="8080" w:type="dxa"/>
          <w:vAlign w:val="center"/>
        </w:tcPr>
        <w:p w14:paraId="1E1A9BFC" w14:textId="3FC341B9" w:rsidR="002E2DAE" w:rsidRDefault="002E2DAE" w:rsidP="00F902A0">
          <w:pPr>
            <w:pStyle w:val="RectoFooter"/>
          </w:pPr>
          <w:r>
            <w:t>heterosexual sexual behaviour: findings from the 2014/15 new zealand health survey</w:t>
          </w:r>
        </w:p>
      </w:tc>
      <w:tc>
        <w:tcPr>
          <w:tcW w:w="709" w:type="dxa"/>
          <w:vAlign w:val="center"/>
        </w:tcPr>
        <w:p w14:paraId="7DDEC9EA" w14:textId="77777777" w:rsidR="002E2DAE" w:rsidRPr="00931466" w:rsidRDefault="002E2DAE"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5</w:t>
          </w:r>
          <w:r w:rsidRPr="00931466">
            <w:rPr>
              <w:rStyle w:val="PageNumber"/>
            </w:rPr>
            <w:fldChar w:fldCharType="end"/>
          </w:r>
        </w:p>
      </w:tc>
    </w:tr>
  </w:tbl>
  <w:p w14:paraId="64B7F80C" w14:textId="77777777" w:rsidR="002E2DAE" w:rsidRPr="00581EB8" w:rsidRDefault="002E2DAE"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235F16" w14:textId="77777777" w:rsidR="002E2DAE" w:rsidRPr="00A26E6B" w:rsidRDefault="002E2DAE" w:rsidP="00A26E6B"/>
  </w:footnote>
  <w:footnote w:type="continuationSeparator" w:id="0">
    <w:p w14:paraId="4F4DEFA8" w14:textId="77777777" w:rsidR="002E2DAE" w:rsidRDefault="002E2DAE">
      <w:r>
        <w:continuationSeparator/>
      </w:r>
    </w:p>
    <w:p w14:paraId="7BEFE6D4" w14:textId="77777777" w:rsidR="002E2DAE" w:rsidRDefault="002E2DAE"/>
  </w:footnote>
  <w:footnote w:id="1">
    <w:p w14:paraId="37123078" w14:textId="1CF89780" w:rsidR="002E2DAE" w:rsidRPr="00F846CC" w:rsidRDefault="002E2DAE" w:rsidP="00F846CC">
      <w:pPr>
        <w:pStyle w:val="FootnoteText"/>
      </w:pPr>
      <w:r w:rsidRPr="00F846CC">
        <w:rPr>
          <w:rStyle w:val="FootnoteReference"/>
        </w:rPr>
        <w:footnoteRef/>
      </w:r>
      <w:r w:rsidRPr="00F846CC">
        <w:tab/>
        <w:t>Heterosexual sex was defined as vaginal, oral or anal sex between a male and a female.</w:t>
      </w:r>
    </w:p>
  </w:footnote>
  <w:footnote w:id="2">
    <w:p w14:paraId="5CEDCAA5" w14:textId="05AD78D2" w:rsidR="002E2DAE" w:rsidRPr="00091CC0" w:rsidRDefault="002E2DAE" w:rsidP="001122D9">
      <w:pPr>
        <w:pStyle w:val="FootnoteText"/>
      </w:pPr>
      <w:r w:rsidRPr="001122D9">
        <w:rPr>
          <w:rStyle w:val="FootnoteReference"/>
        </w:rPr>
        <w:footnoteRef/>
      </w:r>
      <w:r>
        <w:tab/>
      </w:r>
      <w:r w:rsidRPr="00340D78">
        <w:t>This question was presented to men; women were asked the same question about having sex with a ‘male’.</w:t>
      </w:r>
    </w:p>
  </w:footnote>
  <w:footnote w:id="3">
    <w:p w14:paraId="2984012C" w14:textId="3112B543" w:rsidR="002E2DAE" w:rsidRPr="00340D78" w:rsidRDefault="002E2DAE" w:rsidP="001122D9">
      <w:pPr>
        <w:pStyle w:val="FootnoteText"/>
      </w:pPr>
      <w:r w:rsidRPr="001122D9">
        <w:rPr>
          <w:rStyle w:val="FootnoteReference"/>
        </w:rPr>
        <w:footnoteRef/>
      </w:r>
      <w:r>
        <w:tab/>
      </w:r>
      <w:r w:rsidRPr="00340D78">
        <w:t xml:space="preserve">Heterosexual sex was defined as vaginal, oral or anal sex between a </w:t>
      </w:r>
      <w:r>
        <w:t>male</w:t>
      </w:r>
      <w:r w:rsidRPr="00340D78">
        <w:t xml:space="preserve"> and a </w:t>
      </w:r>
      <w:r>
        <w:t>female</w:t>
      </w:r>
      <w:r w:rsidRPr="00340D78">
        <w:t>.</w:t>
      </w:r>
    </w:p>
  </w:footnote>
  <w:footnote w:id="4">
    <w:p w14:paraId="482DB7AC" w14:textId="391DB7F0" w:rsidR="002E2DAE" w:rsidRPr="00340D78" w:rsidRDefault="002E2DAE" w:rsidP="001122D9">
      <w:pPr>
        <w:pStyle w:val="FootnoteText"/>
      </w:pPr>
      <w:r w:rsidRPr="001122D9">
        <w:rPr>
          <w:rStyle w:val="FootnoteReference"/>
        </w:rPr>
        <w:footnoteRef/>
      </w:r>
      <w:r>
        <w:tab/>
      </w:r>
      <w:r w:rsidRPr="00340D78">
        <w:t>For women, these questions asked about types of heterosexual sex with a ‘male’.</w:t>
      </w:r>
    </w:p>
  </w:footnote>
  <w:footnote w:id="5">
    <w:p w14:paraId="1CEC0E4A" w14:textId="0ABE4B8C" w:rsidR="002E2DAE" w:rsidRPr="001122D9" w:rsidRDefault="002E2DAE" w:rsidP="001122D9">
      <w:pPr>
        <w:pStyle w:val="FootnoteText"/>
      </w:pPr>
      <w:r w:rsidRPr="001122D9">
        <w:rPr>
          <w:rStyle w:val="FootnoteReference"/>
        </w:rPr>
        <w:footnoteRef/>
      </w:r>
      <w:r>
        <w:tab/>
      </w:r>
      <w:r w:rsidRPr="00340D78">
        <w:t xml:space="preserve">All analyses in this </w:t>
      </w:r>
      <w:r>
        <w:t>report</w:t>
      </w:r>
      <w:r w:rsidRPr="00340D78">
        <w:t xml:space="preserve"> refer to the total population</w:t>
      </w:r>
      <w:r>
        <w:t>,</w:t>
      </w:r>
      <w:r w:rsidRPr="00340D78">
        <w:t xml:space="preserve"> regardless of whether they have ever had heterosexual sex, unless otherwise specified.</w:t>
      </w:r>
    </w:p>
  </w:footnote>
  <w:footnote w:id="6">
    <w:p w14:paraId="26ECE754" w14:textId="054864F8" w:rsidR="002E2DAE" w:rsidRPr="001122D9" w:rsidRDefault="002E2DAE" w:rsidP="001122D9">
      <w:pPr>
        <w:pStyle w:val="FootnoteText"/>
      </w:pPr>
      <w:r w:rsidRPr="001122D9">
        <w:rPr>
          <w:rStyle w:val="FootnoteReference"/>
        </w:rPr>
        <w:footnoteRef/>
      </w:r>
      <w:r>
        <w:tab/>
        <w:t>The question about g</w:t>
      </w:r>
      <w:r w:rsidRPr="00A65386">
        <w:t>enital contact not leading to intercourse was only asked of those who had ever had vaginal, anal or oral heterosexual sex; therefore, it is likely, especially for those aged 16–24 years old, that prevalence has been under-estimated.</w:t>
      </w:r>
    </w:p>
  </w:footnote>
  <w:footnote w:id="7">
    <w:p w14:paraId="69734F10" w14:textId="5BE8BA36" w:rsidR="002E2DAE" w:rsidRPr="009C36A3" w:rsidRDefault="002E2DAE" w:rsidP="001122D9">
      <w:pPr>
        <w:pStyle w:val="FootnoteText"/>
      </w:pPr>
      <w:r w:rsidRPr="001122D9">
        <w:rPr>
          <w:rStyle w:val="FootnoteReference"/>
        </w:rPr>
        <w:footnoteRef/>
      </w:r>
      <w:r>
        <w:tab/>
      </w:r>
      <w:r w:rsidRPr="009C36A3">
        <w:t xml:space="preserve">Women were asked the same questions about ‘males’ they </w:t>
      </w:r>
      <w:r>
        <w:t>had</w:t>
      </w:r>
      <w:r w:rsidRPr="009C36A3">
        <w:t xml:space="preserve"> had sex with.</w:t>
      </w:r>
    </w:p>
  </w:footnote>
  <w:footnote w:id="8">
    <w:p w14:paraId="07AD18F2" w14:textId="50BF57D4" w:rsidR="002E2DAE" w:rsidRPr="000E01B8" w:rsidRDefault="002E2DAE" w:rsidP="001122D9">
      <w:pPr>
        <w:pStyle w:val="FootnoteText"/>
        <w:rPr>
          <w:lang w:val="en-US"/>
        </w:rPr>
      </w:pPr>
      <w:r w:rsidRPr="001122D9">
        <w:rPr>
          <w:rStyle w:val="FootnoteReference"/>
        </w:rPr>
        <w:footnoteRef/>
      </w:r>
      <w:r>
        <w:tab/>
      </w:r>
      <w:r w:rsidRPr="009C36A3">
        <w:t xml:space="preserve">Heterosexual sex was defined as vaginal, oral or anal sex between a </w:t>
      </w:r>
      <w:r>
        <w:t>male</w:t>
      </w:r>
      <w:r w:rsidRPr="009C36A3">
        <w:t xml:space="preserve"> and a </w:t>
      </w:r>
      <w:r>
        <w:t>female</w:t>
      </w:r>
      <w:r w:rsidRPr="009C36A3">
        <w:t>.</w:t>
      </w:r>
    </w:p>
  </w:footnote>
  <w:footnote w:id="9">
    <w:p w14:paraId="16A2A042" w14:textId="121191BD" w:rsidR="002E2DAE" w:rsidRPr="009C36A3" w:rsidRDefault="002E2DAE" w:rsidP="001122D9">
      <w:pPr>
        <w:pStyle w:val="FootnoteText"/>
      </w:pPr>
      <w:r w:rsidRPr="001122D9">
        <w:rPr>
          <w:rStyle w:val="FootnoteReference"/>
        </w:rPr>
        <w:footnoteRef/>
      </w:r>
      <w:r>
        <w:tab/>
      </w:r>
      <w:r w:rsidRPr="009C36A3">
        <w:t xml:space="preserve">Women were asked the same questions about ‘males’ they </w:t>
      </w:r>
      <w:r>
        <w:t>had</w:t>
      </w:r>
      <w:r w:rsidRPr="009C36A3">
        <w:t xml:space="preserve"> had sex with.</w:t>
      </w:r>
    </w:p>
  </w:footnote>
  <w:footnote w:id="10">
    <w:p w14:paraId="77EABB1F" w14:textId="5FB507F7" w:rsidR="002E2DAE" w:rsidRPr="00AB33E9" w:rsidRDefault="002E2DAE" w:rsidP="001122D9">
      <w:pPr>
        <w:pStyle w:val="FootnoteText"/>
        <w:rPr>
          <w:lang w:val="en-US"/>
        </w:rPr>
      </w:pPr>
      <w:r w:rsidRPr="001122D9">
        <w:rPr>
          <w:rStyle w:val="FootnoteReference"/>
        </w:rPr>
        <w:footnoteRef/>
      </w:r>
      <w:r>
        <w:tab/>
      </w:r>
      <w:r w:rsidRPr="009C36A3">
        <w:t xml:space="preserve">While the mean for men and women would be expected to be the same, </w:t>
      </w:r>
      <w:r>
        <w:t xml:space="preserve">a </w:t>
      </w:r>
      <w:r w:rsidRPr="009C36A3">
        <w:t xml:space="preserve">higher </w:t>
      </w:r>
      <w:r>
        <w:t xml:space="preserve">figure </w:t>
      </w:r>
      <w:r w:rsidRPr="009C36A3">
        <w:t xml:space="preserve">for men is a consistent finding in surveys. This might be due to biased reporting (more </w:t>
      </w:r>
      <w:r>
        <w:t xml:space="preserve">partners are reported </w:t>
      </w:r>
      <w:r w:rsidRPr="009C36A3">
        <w:t>by men and fewer by women), or possibly under-representation of some women (such as sex workers) who have a large number of partners (Mitchell et al 2018).</w:t>
      </w:r>
    </w:p>
  </w:footnote>
  <w:footnote w:id="11">
    <w:p w14:paraId="0319887B" w14:textId="1C197A6F" w:rsidR="002E2DAE" w:rsidRPr="002F23DD" w:rsidRDefault="002E2DAE" w:rsidP="00D76022">
      <w:pPr>
        <w:pStyle w:val="FootnoteText"/>
      </w:pPr>
      <w:r w:rsidRPr="00D76022">
        <w:rPr>
          <w:rStyle w:val="FootnoteReference"/>
        </w:rPr>
        <w:footnoteRef/>
      </w:r>
      <w:r>
        <w:tab/>
      </w:r>
      <w:r w:rsidRPr="002F23DD">
        <w:t xml:space="preserve">Heterosexual sex was defined as vaginal, oral or anal sex between a </w:t>
      </w:r>
      <w:r>
        <w:t>male</w:t>
      </w:r>
      <w:r w:rsidRPr="002F23DD">
        <w:t xml:space="preserve"> and a </w:t>
      </w:r>
      <w:r>
        <w:t>female</w:t>
      </w:r>
      <w:r w:rsidRPr="002F23DD">
        <w:t>.</w:t>
      </w:r>
    </w:p>
  </w:footnote>
  <w:footnote w:id="12">
    <w:p w14:paraId="05957FAC" w14:textId="387527C0" w:rsidR="002E2DAE" w:rsidRPr="002F23DD" w:rsidRDefault="002E2DAE" w:rsidP="00D76022">
      <w:pPr>
        <w:pStyle w:val="FootnoteText"/>
      </w:pPr>
      <w:r w:rsidRPr="00D76022">
        <w:rPr>
          <w:rStyle w:val="FootnoteReference"/>
        </w:rPr>
        <w:footnoteRef/>
      </w:r>
      <w:r>
        <w:tab/>
      </w:r>
      <w:r w:rsidRPr="002F23DD">
        <w:t>Women were asked the same questions about sex with a ‘male’.</w:t>
      </w:r>
    </w:p>
  </w:footnote>
  <w:footnote w:id="13">
    <w:p w14:paraId="32537A5F" w14:textId="24A21295" w:rsidR="002E2DAE" w:rsidRPr="00B3512C" w:rsidRDefault="002E2DAE" w:rsidP="00F902A0">
      <w:pPr>
        <w:pStyle w:val="FootnoteText"/>
        <w:rPr>
          <w:lang w:val="en-US"/>
        </w:rPr>
      </w:pPr>
      <w:r w:rsidRPr="00D76022">
        <w:rPr>
          <w:rStyle w:val="FootnoteReference"/>
        </w:rPr>
        <w:footnoteRef/>
      </w:r>
      <w:r>
        <w:tab/>
      </w:r>
      <w:r w:rsidRPr="002F23DD">
        <w:t>This refers to having vaginal and/or anal sex (since condom use during oral sex was not asked about) with two or more partners in the last year, and using a condom every time.</w:t>
      </w:r>
    </w:p>
  </w:footnote>
  <w:footnote w:id="14">
    <w:p w14:paraId="478A644E" w14:textId="0939D4F3" w:rsidR="002E2DAE" w:rsidRPr="002F23DD" w:rsidRDefault="002E2DAE" w:rsidP="00246B4F">
      <w:pPr>
        <w:pStyle w:val="FootnoteText"/>
      </w:pPr>
      <w:r w:rsidRPr="00246B4F">
        <w:rPr>
          <w:rStyle w:val="FootnoteReference"/>
        </w:rPr>
        <w:footnoteRef/>
      </w:r>
      <w:r>
        <w:tab/>
      </w:r>
      <w:r w:rsidRPr="002F23DD">
        <w:t xml:space="preserve">This non-cohabiting partner measure includes same-sex, as well as heterosexual, partners (data on having ever had a same-sex and/or heterosexual partner can be found here </w:t>
      </w:r>
      <w:r w:rsidR="00E87977" w:rsidRPr="00E87977">
        <w:rPr>
          <w:rStyle w:val="Hyperlink"/>
        </w:rPr>
        <w:t>minhealthnz.shinyapps.io/nz-health-survey-2014-15-srh-data-explorer/</w:t>
      </w:r>
    </w:p>
  </w:footnote>
  <w:footnote w:id="15">
    <w:p w14:paraId="2336DD5A" w14:textId="0D7F5B5E" w:rsidR="002E2DAE" w:rsidRPr="002F23DD" w:rsidRDefault="002E2DAE" w:rsidP="00246B4F">
      <w:pPr>
        <w:pStyle w:val="FootnoteText"/>
      </w:pPr>
      <w:r w:rsidRPr="00246B4F">
        <w:rPr>
          <w:rStyle w:val="FootnoteReference"/>
        </w:rPr>
        <w:footnoteRef/>
      </w:r>
      <w:r>
        <w:tab/>
      </w:r>
      <w:r w:rsidRPr="002F23DD">
        <w:t>Non-cohabiting partners are not a homogenous group in N</w:t>
      </w:r>
      <w:r>
        <w:t xml:space="preserve">ew </w:t>
      </w:r>
      <w:r w:rsidRPr="002F23DD">
        <w:t>Z</w:t>
      </w:r>
      <w:r>
        <w:t>ealand</w:t>
      </w:r>
      <w:r w:rsidRPr="002F23DD">
        <w:t>; some sub-groups (</w:t>
      </w:r>
      <w:r>
        <w:t>for example,</w:t>
      </w:r>
      <w:r w:rsidRPr="002F23DD">
        <w:t xml:space="preserve"> couples in long</w:t>
      </w:r>
      <w:r>
        <w:t>-</w:t>
      </w:r>
      <w:r w:rsidRPr="002F23DD">
        <w:t>term relationships) are not at greater risk of STI</w:t>
      </w:r>
      <w:r>
        <w:t>s</w:t>
      </w:r>
      <w:r w:rsidRPr="002F23DD">
        <w:t>.</w:t>
      </w:r>
    </w:p>
  </w:footnote>
  <w:footnote w:id="16">
    <w:p w14:paraId="0AD69772" w14:textId="70C3D0BA" w:rsidR="002E2DAE" w:rsidRPr="002F23DD" w:rsidRDefault="002E2DAE" w:rsidP="00246B4F">
      <w:pPr>
        <w:pStyle w:val="FootnoteText"/>
      </w:pPr>
      <w:r w:rsidRPr="00246B4F">
        <w:rPr>
          <w:rStyle w:val="FootnoteReference"/>
        </w:rPr>
        <w:footnoteRef/>
      </w:r>
      <w:r>
        <w:tab/>
      </w:r>
      <w:r w:rsidRPr="002F23DD">
        <w:t>‘</w:t>
      </w:r>
      <w:r>
        <w:t>T</w:t>
      </w:r>
      <w:r w:rsidRPr="002F23DD">
        <w:t xml:space="preserve">hat most recent occasion’ refers to the most recent time </w:t>
      </w:r>
      <w:r>
        <w:t xml:space="preserve">respondents </w:t>
      </w:r>
      <w:r w:rsidRPr="002F23DD">
        <w:t>had sex.</w:t>
      </w:r>
    </w:p>
  </w:footnote>
  <w:footnote w:id="17">
    <w:p w14:paraId="657CAA68" w14:textId="553C484B" w:rsidR="002E2DAE" w:rsidRPr="00246B4F" w:rsidRDefault="002E2DAE" w:rsidP="00246B4F">
      <w:pPr>
        <w:pStyle w:val="FootnoteText"/>
      </w:pPr>
      <w:r w:rsidRPr="00246B4F">
        <w:rPr>
          <w:rStyle w:val="FootnoteReference"/>
        </w:rPr>
        <w:footnoteRef/>
      </w:r>
      <w:r>
        <w:tab/>
      </w:r>
      <w:r w:rsidRPr="002F23DD">
        <w:t>‘</w:t>
      </w:r>
      <w:r>
        <w:t>T</w:t>
      </w:r>
      <w:r w:rsidRPr="002F23DD">
        <w:t xml:space="preserve">hat person’ refers to </w:t>
      </w:r>
      <w:r>
        <w:t xml:space="preserve">respondents’ </w:t>
      </w:r>
      <w:r w:rsidRPr="002F23DD">
        <w:t>most recent heterosexual or same-sex sex partner.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4A0" w:firstRow="1" w:lastRow="0" w:firstColumn="1" w:lastColumn="0" w:noHBand="0" w:noVBand="1"/>
    </w:tblPr>
    <w:tblGrid>
      <w:gridCol w:w="5210"/>
      <w:gridCol w:w="4429"/>
    </w:tblGrid>
    <w:tr w:rsidR="002E2DAE" w14:paraId="2F4E8273" w14:textId="77777777" w:rsidTr="005A79E5">
      <w:trPr>
        <w:cantSplit/>
      </w:trPr>
      <w:tc>
        <w:tcPr>
          <w:tcW w:w="5210" w:type="dxa"/>
        </w:tcPr>
        <w:p w14:paraId="642EF2B0" w14:textId="77777777" w:rsidR="002E2DAE" w:rsidRDefault="002E2DAE" w:rsidP="008814E8">
          <w:pPr>
            <w:pStyle w:val="Header"/>
          </w:pPr>
          <w:r>
            <w:rPr>
              <w:noProof/>
              <w:lang w:eastAsia="en-NZ"/>
            </w:rPr>
            <w:drawing>
              <wp:inline distT="0" distB="0" distL="0" distR="0" wp14:anchorId="5777E81A" wp14:editId="687B261F">
                <wp:extent cx="1395076" cy="573578"/>
                <wp:effectExtent l="0" t="0" r="0" b="0"/>
                <wp:docPr id="5" name="Picture 5"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_logo1_RGB.jpg"/>
                        <pic:cNvPicPr/>
                      </pic:nvPicPr>
                      <pic:blipFill rotWithShape="1">
                        <a:blip r:embed="rId1" cstate="print">
                          <a:extLst>
                            <a:ext uri="{28A0092B-C50C-407E-A947-70E740481C1C}">
                              <a14:useLocalDpi xmlns:a14="http://schemas.microsoft.com/office/drawing/2010/main" val="0"/>
                            </a:ext>
                          </a:extLst>
                        </a:blip>
                        <a:srcRect l="7327" t="15285" r="7327" b="13946"/>
                        <a:stretch/>
                      </pic:blipFill>
                      <pic:spPr bwMode="auto">
                        <a:xfrm>
                          <a:off x="0" y="0"/>
                          <a:ext cx="1397853" cy="574720"/>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78214484" w14:textId="77777777" w:rsidR="002E2DAE" w:rsidRDefault="002E2DAE" w:rsidP="008814E8">
          <w:pPr>
            <w:pStyle w:val="Header"/>
            <w:jc w:val="right"/>
          </w:pPr>
          <w:r>
            <w:rPr>
              <w:noProof/>
              <w:lang w:eastAsia="en-NZ"/>
            </w:rPr>
            <w:drawing>
              <wp:inline distT="0" distB="0" distL="0" distR="0" wp14:anchorId="370727E6" wp14:editId="0A07C6B3">
                <wp:extent cx="1720735" cy="177135"/>
                <wp:effectExtent l="0" t="0" r="0" b="0"/>
                <wp:docPr id="6" name="Picture 6"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governmentblacksmall.jpg"/>
                        <pic:cNvPicPr/>
                      </pic:nvPicPr>
                      <pic:blipFill>
                        <a:blip r:embed="rId2">
                          <a:extLst>
                            <a:ext uri="{28A0092B-C50C-407E-A947-70E740481C1C}">
                              <a14:useLocalDpi xmlns:a14="http://schemas.microsoft.com/office/drawing/2010/main" val="0"/>
                            </a:ext>
                          </a:extLst>
                        </a:blip>
                        <a:stretch>
                          <a:fillRect/>
                        </a:stretch>
                      </pic:blipFill>
                      <pic:spPr>
                        <a:xfrm>
                          <a:off x="0" y="0"/>
                          <a:ext cx="1718896" cy="176946"/>
                        </a:xfrm>
                        <a:prstGeom prst="rect">
                          <a:avLst/>
                        </a:prstGeom>
                      </pic:spPr>
                    </pic:pic>
                  </a:graphicData>
                </a:graphic>
              </wp:inline>
            </w:drawing>
          </w:r>
        </w:p>
      </w:tc>
    </w:tr>
  </w:tbl>
  <w:p w14:paraId="71EF5169" w14:textId="77777777" w:rsidR="002E2DAE" w:rsidRDefault="002E2D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81062" w14:textId="77777777" w:rsidR="002E2DAE" w:rsidRDefault="002E2DAE"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E1D06" w14:textId="77777777" w:rsidR="002E2DAE" w:rsidRDefault="002E2DAE" w:rsidP="009001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817C7"/>
    <w:multiLevelType w:val="multilevel"/>
    <w:tmpl w:val="DC5AE990"/>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2A513A3"/>
    <w:multiLevelType w:val="hybridMultilevel"/>
    <w:tmpl w:val="14208E82"/>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3" w15:restartNumberingAfterBreak="0">
    <w:nsid w:val="16863DB5"/>
    <w:multiLevelType w:val="hybridMultilevel"/>
    <w:tmpl w:val="EF88D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8594514"/>
    <w:multiLevelType w:val="hybridMultilevel"/>
    <w:tmpl w:val="88268E9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18F517FD"/>
    <w:multiLevelType w:val="hybridMultilevel"/>
    <w:tmpl w:val="DAA45C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B1D5E29"/>
    <w:multiLevelType w:val="hybridMultilevel"/>
    <w:tmpl w:val="4DE82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23621A"/>
    <w:multiLevelType w:val="multilevel"/>
    <w:tmpl w:val="A2A88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3365AC"/>
    <w:multiLevelType w:val="hybridMultilevel"/>
    <w:tmpl w:val="90406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1F3BC9"/>
    <w:multiLevelType w:val="hybridMultilevel"/>
    <w:tmpl w:val="9A0660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2B1120A"/>
    <w:multiLevelType w:val="hybridMultilevel"/>
    <w:tmpl w:val="629A07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55B4282"/>
    <w:multiLevelType w:val="hybridMultilevel"/>
    <w:tmpl w:val="2272BB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A6531F9"/>
    <w:multiLevelType w:val="hybridMultilevel"/>
    <w:tmpl w:val="9864CC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FC01E45"/>
    <w:multiLevelType w:val="hybridMultilevel"/>
    <w:tmpl w:val="FBAC96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32A1BDD"/>
    <w:multiLevelType w:val="hybridMultilevel"/>
    <w:tmpl w:val="365E0E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F35B21"/>
    <w:multiLevelType w:val="hybridMultilevel"/>
    <w:tmpl w:val="F208B8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6" w15:restartNumberingAfterBreak="0">
    <w:nsid w:val="372721E3"/>
    <w:multiLevelType w:val="hybridMultilevel"/>
    <w:tmpl w:val="4320B9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D01610"/>
    <w:multiLevelType w:val="hybridMultilevel"/>
    <w:tmpl w:val="0F74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58F2FC8"/>
    <w:multiLevelType w:val="hybridMultilevel"/>
    <w:tmpl w:val="84A2A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631C44"/>
    <w:multiLevelType w:val="hybridMultilevel"/>
    <w:tmpl w:val="35FA075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4E9164E1"/>
    <w:multiLevelType w:val="hybridMultilevel"/>
    <w:tmpl w:val="9E14E9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F890BA9"/>
    <w:multiLevelType w:val="hybridMultilevel"/>
    <w:tmpl w:val="2498293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58B851C5"/>
    <w:multiLevelType w:val="hybridMultilevel"/>
    <w:tmpl w:val="8B18BE5C"/>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6E6740"/>
    <w:multiLevelType w:val="hybridMultilevel"/>
    <w:tmpl w:val="A72831F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5EE54C30"/>
    <w:multiLevelType w:val="hybridMultilevel"/>
    <w:tmpl w:val="3BF6A2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2AA6CEE"/>
    <w:multiLevelType w:val="hybridMultilevel"/>
    <w:tmpl w:val="505E95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C2C2DA1"/>
    <w:multiLevelType w:val="hybridMultilevel"/>
    <w:tmpl w:val="4670B7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7B6D4D73"/>
    <w:multiLevelType w:val="hybridMultilevel"/>
    <w:tmpl w:val="F304A1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C1218D3"/>
    <w:multiLevelType w:val="singleLevel"/>
    <w:tmpl w:val="6576CCE6"/>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30"/>
  </w:num>
  <w:num w:numId="2">
    <w:abstractNumId w:val="17"/>
  </w:num>
  <w:num w:numId="3">
    <w:abstractNumId w:val="18"/>
  </w:num>
  <w:num w:numId="4">
    <w:abstractNumId w:val="2"/>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7"/>
  </w:num>
  <w:num w:numId="9">
    <w:abstractNumId w:val="12"/>
  </w:num>
  <w:num w:numId="10">
    <w:abstractNumId w:val="15"/>
  </w:num>
  <w:num w:numId="11">
    <w:abstractNumId w:val="19"/>
  </w:num>
  <w:num w:numId="12">
    <w:abstractNumId w:val="11"/>
  </w:num>
  <w:num w:numId="13">
    <w:abstractNumId w:val="29"/>
  </w:num>
  <w:num w:numId="14">
    <w:abstractNumId w:val="22"/>
  </w:num>
  <w:num w:numId="15">
    <w:abstractNumId w:val="13"/>
  </w:num>
  <w:num w:numId="16">
    <w:abstractNumId w:val="14"/>
  </w:num>
  <w:num w:numId="17">
    <w:abstractNumId w:val="26"/>
  </w:num>
  <w:num w:numId="18">
    <w:abstractNumId w:val="27"/>
  </w:num>
  <w:num w:numId="19">
    <w:abstractNumId w:val="24"/>
  </w:num>
  <w:num w:numId="20">
    <w:abstractNumId w:val="8"/>
  </w:num>
  <w:num w:numId="21">
    <w:abstractNumId w:val="21"/>
  </w:num>
  <w:num w:numId="22">
    <w:abstractNumId w:val="23"/>
  </w:num>
  <w:num w:numId="23">
    <w:abstractNumId w:val="25"/>
  </w:num>
  <w:num w:numId="24">
    <w:abstractNumId w:val="1"/>
  </w:num>
  <w:num w:numId="25">
    <w:abstractNumId w:val="28"/>
  </w:num>
  <w:num w:numId="26">
    <w:abstractNumId w:val="10"/>
  </w:num>
  <w:num w:numId="27">
    <w:abstractNumId w:val="16"/>
  </w:num>
  <w:num w:numId="28">
    <w:abstractNumId w:val="6"/>
  </w:num>
  <w:num w:numId="29">
    <w:abstractNumId w:val="5"/>
  </w:num>
  <w:num w:numId="30">
    <w:abstractNumId w:val="3"/>
  </w:num>
  <w:num w:numId="31">
    <w:abstractNumId w:val="20"/>
  </w:num>
  <w:num w:numId="32">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78EB"/>
    <w:rsid w:val="000025B8"/>
    <w:rsid w:val="00003169"/>
    <w:rsid w:val="00005BB5"/>
    <w:rsid w:val="00025A6F"/>
    <w:rsid w:val="00025C5C"/>
    <w:rsid w:val="0002618D"/>
    <w:rsid w:val="00030B26"/>
    <w:rsid w:val="00030E84"/>
    <w:rsid w:val="00030EB1"/>
    <w:rsid w:val="00032C0A"/>
    <w:rsid w:val="00035257"/>
    <w:rsid w:val="00035D68"/>
    <w:rsid w:val="00036027"/>
    <w:rsid w:val="00045613"/>
    <w:rsid w:val="00047487"/>
    <w:rsid w:val="00047899"/>
    <w:rsid w:val="00053921"/>
    <w:rsid w:val="00054B44"/>
    <w:rsid w:val="00054FF5"/>
    <w:rsid w:val="0006006B"/>
    <w:rsid w:val="0006228D"/>
    <w:rsid w:val="000646C7"/>
    <w:rsid w:val="00072BD6"/>
    <w:rsid w:val="0007332F"/>
    <w:rsid w:val="00075B78"/>
    <w:rsid w:val="0007619F"/>
    <w:rsid w:val="0007628D"/>
    <w:rsid w:val="000763E9"/>
    <w:rsid w:val="00082CD6"/>
    <w:rsid w:val="0008437D"/>
    <w:rsid w:val="00084EC6"/>
    <w:rsid w:val="00085AFE"/>
    <w:rsid w:val="00086905"/>
    <w:rsid w:val="00094800"/>
    <w:rsid w:val="000A0158"/>
    <w:rsid w:val="000A373D"/>
    <w:rsid w:val="000A41ED"/>
    <w:rsid w:val="000B0730"/>
    <w:rsid w:val="000C3E78"/>
    <w:rsid w:val="000D19F4"/>
    <w:rsid w:val="000D58DD"/>
    <w:rsid w:val="000D6C40"/>
    <w:rsid w:val="000D792C"/>
    <w:rsid w:val="000F1F42"/>
    <w:rsid w:val="000F2AE2"/>
    <w:rsid w:val="000F2BFF"/>
    <w:rsid w:val="000F5126"/>
    <w:rsid w:val="00102063"/>
    <w:rsid w:val="00104237"/>
    <w:rsid w:val="0010541C"/>
    <w:rsid w:val="00105770"/>
    <w:rsid w:val="00106F93"/>
    <w:rsid w:val="00111D50"/>
    <w:rsid w:val="001122D9"/>
    <w:rsid w:val="00113B8E"/>
    <w:rsid w:val="00117F59"/>
    <w:rsid w:val="0012053C"/>
    <w:rsid w:val="00120843"/>
    <w:rsid w:val="00122363"/>
    <w:rsid w:val="00125D45"/>
    <w:rsid w:val="001342C7"/>
    <w:rsid w:val="0013585C"/>
    <w:rsid w:val="0013592A"/>
    <w:rsid w:val="00142261"/>
    <w:rsid w:val="00142954"/>
    <w:rsid w:val="001460E0"/>
    <w:rsid w:val="001472F0"/>
    <w:rsid w:val="00147F71"/>
    <w:rsid w:val="00150A6E"/>
    <w:rsid w:val="0016304B"/>
    <w:rsid w:val="0016318F"/>
    <w:rsid w:val="0016468A"/>
    <w:rsid w:val="0017070E"/>
    <w:rsid w:val="00174F02"/>
    <w:rsid w:val="0018376C"/>
    <w:rsid w:val="00184E0E"/>
    <w:rsid w:val="0018662D"/>
    <w:rsid w:val="00186B34"/>
    <w:rsid w:val="001878E5"/>
    <w:rsid w:val="00191326"/>
    <w:rsid w:val="00197427"/>
    <w:rsid w:val="001A21B4"/>
    <w:rsid w:val="001A5CF5"/>
    <w:rsid w:val="001B39D2"/>
    <w:rsid w:val="001B4BF8"/>
    <w:rsid w:val="001B7B14"/>
    <w:rsid w:val="001B7CA2"/>
    <w:rsid w:val="001C4326"/>
    <w:rsid w:val="001C5AF9"/>
    <w:rsid w:val="001C665E"/>
    <w:rsid w:val="001D3541"/>
    <w:rsid w:val="001D3E4E"/>
    <w:rsid w:val="001D6BAB"/>
    <w:rsid w:val="001E254A"/>
    <w:rsid w:val="001E7386"/>
    <w:rsid w:val="001F45A7"/>
    <w:rsid w:val="001F5E27"/>
    <w:rsid w:val="0020027C"/>
    <w:rsid w:val="002004B4"/>
    <w:rsid w:val="00201A01"/>
    <w:rsid w:val="0020754B"/>
    <w:rsid w:val="002104D3"/>
    <w:rsid w:val="002123D7"/>
    <w:rsid w:val="00213A33"/>
    <w:rsid w:val="0021763B"/>
    <w:rsid w:val="00232A88"/>
    <w:rsid w:val="00240C5D"/>
    <w:rsid w:val="00245438"/>
    <w:rsid w:val="00245748"/>
    <w:rsid w:val="00246B4F"/>
    <w:rsid w:val="00246DB1"/>
    <w:rsid w:val="002476B5"/>
    <w:rsid w:val="002520CC"/>
    <w:rsid w:val="00253ECF"/>
    <w:rsid w:val="00254044"/>
    <w:rsid w:val="002546A1"/>
    <w:rsid w:val="002575E8"/>
    <w:rsid w:val="00257EF1"/>
    <w:rsid w:val="002628F4"/>
    <w:rsid w:val="002655E9"/>
    <w:rsid w:val="00275D08"/>
    <w:rsid w:val="002839AF"/>
    <w:rsid w:val="002858E3"/>
    <w:rsid w:val="0029190A"/>
    <w:rsid w:val="00292C5A"/>
    <w:rsid w:val="00295241"/>
    <w:rsid w:val="002A4DFC"/>
    <w:rsid w:val="002B047D"/>
    <w:rsid w:val="002B3239"/>
    <w:rsid w:val="002B732B"/>
    <w:rsid w:val="002B76A7"/>
    <w:rsid w:val="002B7BEC"/>
    <w:rsid w:val="002C2219"/>
    <w:rsid w:val="002C2552"/>
    <w:rsid w:val="002C380A"/>
    <w:rsid w:val="002D0DF2"/>
    <w:rsid w:val="002D23BD"/>
    <w:rsid w:val="002E0B47"/>
    <w:rsid w:val="002E2DAE"/>
    <w:rsid w:val="002F3A0D"/>
    <w:rsid w:val="002F4685"/>
    <w:rsid w:val="002F7213"/>
    <w:rsid w:val="003011B6"/>
    <w:rsid w:val="0030382F"/>
    <w:rsid w:val="0030408D"/>
    <w:rsid w:val="003057E1"/>
    <w:rsid w:val="003060E4"/>
    <w:rsid w:val="00310299"/>
    <w:rsid w:val="003120C5"/>
    <w:rsid w:val="003160E7"/>
    <w:rsid w:val="0031739E"/>
    <w:rsid w:val="00317DA3"/>
    <w:rsid w:val="00321381"/>
    <w:rsid w:val="00322530"/>
    <w:rsid w:val="003235C6"/>
    <w:rsid w:val="003251A4"/>
    <w:rsid w:val="00326215"/>
    <w:rsid w:val="003267CC"/>
    <w:rsid w:val="003309CA"/>
    <w:rsid w:val="003325AB"/>
    <w:rsid w:val="003332D1"/>
    <w:rsid w:val="0033412B"/>
    <w:rsid w:val="0033448B"/>
    <w:rsid w:val="00341161"/>
    <w:rsid w:val="00343365"/>
    <w:rsid w:val="00344325"/>
    <w:rsid w:val="003445F4"/>
    <w:rsid w:val="00353501"/>
    <w:rsid w:val="00353734"/>
    <w:rsid w:val="003538D4"/>
    <w:rsid w:val="003606F8"/>
    <w:rsid w:val="003648EF"/>
    <w:rsid w:val="003673E6"/>
    <w:rsid w:val="00377264"/>
    <w:rsid w:val="003778A8"/>
    <w:rsid w:val="003779D2"/>
    <w:rsid w:val="00385E38"/>
    <w:rsid w:val="00394200"/>
    <w:rsid w:val="00395203"/>
    <w:rsid w:val="003A26A5"/>
    <w:rsid w:val="003A3761"/>
    <w:rsid w:val="003A512D"/>
    <w:rsid w:val="003A5FA0"/>
    <w:rsid w:val="003A5FEA"/>
    <w:rsid w:val="003A710B"/>
    <w:rsid w:val="003B1D10"/>
    <w:rsid w:val="003C310C"/>
    <w:rsid w:val="003C76D4"/>
    <w:rsid w:val="003D137D"/>
    <w:rsid w:val="003D2CC5"/>
    <w:rsid w:val="003D3E5C"/>
    <w:rsid w:val="003E04C1"/>
    <w:rsid w:val="003E0887"/>
    <w:rsid w:val="003E74C8"/>
    <w:rsid w:val="003E74E2"/>
    <w:rsid w:val="003E7C46"/>
    <w:rsid w:val="003F2106"/>
    <w:rsid w:val="003F52A7"/>
    <w:rsid w:val="003F7013"/>
    <w:rsid w:val="003F7F6A"/>
    <w:rsid w:val="0040240C"/>
    <w:rsid w:val="00413021"/>
    <w:rsid w:val="00414C35"/>
    <w:rsid w:val="004171B7"/>
    <w:rsid w:val="0042213E"/>
    <w:rsid w:val="00424844"/>
    <w:rsid w:val="004301C6"/>
    <w:rsid w:val="0043478F"/>
    <w:rsid w:val="0043602B"/>
    <w:rsid w:val="004367D2"/>
    <w:rsid w:val="00440BE0"/>
    <w:rsid w:val="00442A06"/>
    <w:rsid w:val="00442C1C"/>
    <w:rsid w:val="0044584B"/>
    <w:rsid w:val="00447CB7"/>
    <w:rsid w:val="004537DC"/>
    <w:rsid w:val="00455CC9"/>
    <w:rsid w:val="00460826"/>
    <w:rsid w:val="00460B1E"/>
    <w:rsid w:val="00460EA7"/>
    <w:rsid w:val="0046195B"/>
    <w:rsid w:val="0046362D"/>
    <w:rsid w:val="0046596D"/>
    <w:rsid w:val="004852AB"/>
    <w:rsid w:val="00487C04"/>
    <w:rsid w:val="004907E1"/>
    <w:rsid w:val="00494C8E"/>
    <w:rsid w:val="004A035B"/>
    <w:rsid w:val="004A2108"/>
    <w:rsid w:val="004A3773"/>
    <w:rsid w:val="004A38D7"/>
    <w:rsid w:val="004A4E18"/>
    <w:rsid w:val="004A778C"/>
    <w:rsid w:val="004B128B"/>
    <w:rsid w:val="004B14DD"/>
    <w:rsid w:val="004B48C7"/>
    <w:rsid w:val="004C2E6A"/>
    <w:rsid w:val="004C3920"/>
    <w:rsid w:val="004C64B8"/>
    <w:rsid w:val="004C7648"/>
    <w:rsid w:val="004D1CE7"/>
    <w:rsid w:val="004D2A2D"/>
    <w:rsid w:val="004D479F"/>
    <w:rsid w:val="004D6689"/>
    <w:rsid w:val="004E1D1D"/>
    <w:rsid w:val="004E7AC8"/>
    <w:rsid w:val="004F05F4"/>
    <w:rsid w:val="004F0C94"/>
    <w:rsid w:val="004F731E"/>
    <w:rsid w:val="004F7D76"/>
    <w:rsid w:val="005019AE"/>
    <w:rsid w:val="00503749"/>
    <w:rsid w:val="00503D59"/>
    <w:rsid w:val="00504CF4"/>
    <w:rsid w:val="0050635B"/>
    <w:rsid w:val="005075B3"/>
    <w:rsid w:val="005151C2"/>
    <w:rsid w:val="005275E8"/>
    <w:rsid w:val="005309FE"/>
    <w:rsid w:val="0053199F"/>
    <w:rsid w:val="00531E12"/>
    <w:rsid w:val="00533B90"/>
    <w:rsid w:val="005410F8"/>
    <w:rsid w:val="005448EC"/>
    <w:rsid w:val="00545963"/>
    <w:rsid w:val="00550256"/>
    <w:rsid w:val="00553165"/>
    <w:rsid w:val="00553958"/>
    <w:rsid w:val="00556BB7"/>
    <w:rsid w:val="0055763D"/>
    <w:rsid w:val="00561516"/>
    <w:rsid w:val="005621F2"/>
    <w:rsid w:val="005636AA"/>
    <w:rsid w:val="00567B58"/>
    <w:rsid w:val="00571223"/>
    <w:rsid w:val="005763E0"/>
    <w:rsid w:val="00581136"/>
    <w:rsid w:val="00581629"/>
    <w:rsid w:val="00581EB8"/>
    <w:rsid w:val="005839E7"/>
    <w:rsid w:val="0058437F"/>
    <w:rsid w:val="0059411A"/>
    <w:rsid w:val="005A0556"/>
    <w:rsid w:val="005A27CA"/>
    <w:rsid w:val="005A43BD"/>
    <w:rsid w:val="005A79E5"/>
    <w:rsid w:val="005B3E74"/>
    <w:rsid w:val="005B4501"/>
    <w:rsid w:val="005D034C"/>
    <w:rsid w:val="005D2320"/>
    <w:rsid w:val="005D3CF4"/>
    <w:rsid w:val="005E1EB5"/>
    <w:rsid w:val="005E226E"/>
    <w:rsid w:val="005E2636"/>
    <w:rsid w:val="005E61C0"/>
    <w:rsid w:val="005F71F2"/>
    <w:rsid w:val="006015D7"/>
    <w:rsid w:val="00601B21"/>
    <w:rsid w:val="006041F0"/>
    <w:rsid w:val="00605C6D"/>
    <w:rsid w:val="006120CA"/>
    <w:rsid w:val="0061443A"/>
    <w:rsid w:val="006155D4"/>
    <w:rsid w:val="00624174"/>
    <w:rsid w:val="00626CF8"/>
    <w:rsid w:val="006314AF"/>
    <w:rsid w:val="00632505"/>
    <w:rsid w:val="00634003"/>
    <w:rsid w:val="00634ED8"/>
    <w:rsid w:val="00636D7D"/>
    <w:rsid w:val="00637408"/>
    <w:rsid w:val="00642868"/>
    <w:rsid w:val="00647AFE"/>
    <w:rsid w:val="00650417"/>
    <w:rsid w:val="006512BC"/>
    <w:rsid w:val="00653A5A"/>
    <w:rsid w:val="006554AC"/>
    <w:rsid w:val="00656F28"/>
    <w:rsid w:val="006575F4"/>
    <w:rsid w:val="006579E6"/>
    <w:rsid w:val="00660682"/>
    <w:rsid w:val="00660F74"/>
    <w:rsid w:val="00662AFA"/>
    <w:rsid w:val="00663EDC"/>
    <w:rsid w:val="006648A9"/>
    <w:rsid w:val="00665B41"/>
    <w:rsid w:val="00671078"/>
    <w:rsid w:val="006758CA"/>
    <w:rsid w:val="00680A04"/>
    <w:rsid w:val="00686D80"/>
    <w:rsid w:val="00694895"/>
    <w:rsid w:val="00697E2E"/>
    <w:rsid w:val="006A25A2"/>
    <w:rsid w:val="006A3B87"/>
    <w:rsid w:val="006A5E74"/>
    <w:rsid w:val="006A6E1C"/>
    <w:rsid w:val="006B0A88"/>
    <w:rsid w:val="006B0E73"/>
    <w:rsid w:val="006B1E3D"/>
    <w:rsid w:val="006B4A4D"/>
    <w:rsid w:val="006B5695"/>
    <w:rsid w:val="006B62E6"/>
    <w:rsid w:val="006B7B2E"/>
    <w:rsid w:val="006C78EB"/>
    <w:rsid w:val="006D1660"/>
    <w:rsid w:val="006D5A95"/>
    <w:rsid w:val="006D63E5"/>
    <w:rsid w:val="006E098D"/>
    <w:rsid w:val="006E1753"/>
    <w:rsid w:val="006E2886"/>
    <w:rsid w:val="006E35A2"/>
    <w:rsid w:val="006E3911"/>
    <w:rsid w:val="006E69F4"/>
    <w:rsid w:val="006F1B67"/>
    <w:rsid w:val="006F4D9C"/>
    <w:rsid w:val="0070091D"/>
    <w:rsid w:val="007025D2"/>
    <w:rsid w:val="00702854"/>
    <w:rsid w:val="00702A74"/>
    <w:rsid w:val="00702AC5"/>
    <w:rsid w:val="00702B69"/>
    <w:rsid w:val="00714A79"/>
    <w:rsid w:val="0071741C"/>
    <w:rsid w:val="0072595D"/>
    <w:rsid w:val="00731F4C"/>
    <w:rsid w:val="00740C16"/>
    <w:rsid w:val="00741B9C"/>
    <w:rsid w:val="00742B90"/>
    <w:rsid w:val="0074434D"/>
    <w:rsid w:val="007469E7"/>
    <w:rsid w:val="00752E53"/>
    <w:rsid w:val="007570C4"/>
    <w:rsid w:val="007605B8"/>
    <w:rsid w:val="00771B1E"/>
    <w:rsid w:val="00773C95"/>
    <w:rsid w:val="0078171E"/>
    <w:rsid w:val="0078658E"/>
    <w:rsid w:val="007908D0"/>
    <w:rsid w:val="007920E2"/>
    <w:rsid w:val="0079280A"/>
    <w:rsid w:val="0079566E"/>
    <w:rsid w:val="00795B34"/>
    <w:rsid w:val="007A067F"/>
    <w:rsid w:val="007B0DED"/>
    <w:rsid w:val="007B1770"/>
    <w:rsid w:val="007B4D3E"/>
    <w:rsid w:val="007B7C70"/>
    <w:rsid w:val="007B7DEB"/>
    <w:rsid w:val="007C0449"/>
    <w:rsid w:val="007C43B6"/>
    <w:rsid w:val="007D2151"/>
    <w:rsid w:val="007D3B90"/>
    <w:rsid w:val="007D42CC"/>
    <w:rsid w:val="007D5DE4"/>
    <w:rsid w:val="007D7C3A"/>
    <w:rsid w:val="007E0777"/>
    <w:rsid w:val="007E1341"/>
    <w:rsid w:val="007E1B41"/>
    <w:rsid w:val="007E1EC4"/>
    <w:rsid w:val="007E30B9"/>
    <w:rsid w:val="007E74F1"/>
    <w:rsid w:val="007F0F0C"/>
    <w:rsid w:val="007F1288"/>
    <w:rsid w:val="007F3E11"/>
    <w:rsid w:val="007F7576"/>
    <w:rsid w:val="00800A8A"/>
    <w:rsid w:val="0080155C"/>
    <w:rsid w:val="0080347F"/>
    <w:rsid w:val="008052E1"/>
    <w:rsid w:val="00805C7B"/>
    <w:rsid w:val="00806F4F"/>
    <w:rsid w:val="00807E36"/>
    <w:rsid w:val="00811EEB"/>
    <w:rsid w:val="00822721"/>
    <w:rsid w:val="00822F2C"/>
    <w:rsid w:val="00823DEE"/>
    <w:rsid w:val="008305E8"/>
    <w:rsid w:val="00836165"/>
    <w:rsid w:val="008363BD"/>
    <w:rsid w:val="008365B2"/>
    <w:rsid w:val="0084640C"/>
    <w:rsid w:val="00855437"/>
    <w:rsid w:val="00856088"/>
    <w:rsid w:val="00860826"/>
    <w:rsid w:val="00860E21"/>
    <w:rsid w:val="00861170"/>
    <w:rsid w:val="00863117"/>
    <w:rsid w:val="0086388B"/>
    <w:rsid w:val="008642E5"/>
    <w:rsid w:val="00864488"/>
    <w:rsid w:val="00866B50"/>
    <w:rsid w:val="00870A36"/>
    <w:rsid w:val="00872D93"/>
    <w:rsid w:val="00880470"/>
    <w:rsid w:val="00880D94"/>
    <w:rsid w:val="008814E8"/>
    <w:rsid w:val="00886F64"/>
    <w:rsid w:val="008924DE"/>
    <w:rsid w:val="008954D2"/>
    <w:rsid w:val="00896D15"/>
    <w:rsid w:val="008A3755"/>
    <w:rsid w:val="008B19DC"/>
    <w:rsid w:val="008B264F"/>
    <w:rsid w:val="008B2E76"/>
    <w:rsid w:val="008B4AD4"/>
    <w:rsid w:val="008B566C"/>
    <w:rsid w:val="008B6F83"/>
    <w:rsid w:val="008B7FD8"/>
    <w:rsid w:val="008C02D8"/>
    <w:rsid w:val="008C06B7"/>
    <w:rsid w:val="008C2973"/>
    <w:rsid w:val="008C6324"/>
    <w:rsid w:val="008C64C4"/>
    <w:rsid w:val="008D0F2F"/>
    <w:rsid w:val="008D2CDD"/>
    <w:rsid w:val="008D74D5"/>
    <w:rsid w:val="008D7C9F"/>
    <w:rsid w:val="008E04BA"/>
    <w:rsid w:val="008E0ED1"/>
    <w:rsid w:val="008E3A07"/>
    <w:rsid w:val="008E3CE5"/>
    <w:rsid w:val="008E537B"/>
    <w:rsid w:val="008F29BE"/>
    <w:rsid w:val="008F4AE5"/>
    <w:rsid w:val="008F51EB"/>
    <w:rsid w:val="00900197"/>
    <w:rsid w:val="00902F55"/>
    <w:rsid w:val="0090582B"/>
    <w:rsid w:val="009060C0"/>
    <w:rsid w:val="009133F5"/>
    <w:rsid w:val="0091756F"/>
    <w:rsid w:val="00920A27"/>
    <w:rsid w:val="00921216"/>
    <w:rsid w:val="009216CC"/>
    <w:rsid w:val="00922E41"/>
    <w:rsid w:val="00925892"/>
    <w:rsid w:val="00926083"/>
    <w:rsid w:val="00926D08"/>
    <w:rsid w:val="00927962"/>
    <w:rsid w:val="00930D08"/>
    <w:rsid w:val="00931466"/>
    <w:rsid w:val="00932D69"/>
    <w:rsid w:val="009354FD"/>
    <w:rsid w:val="00935589"/>
    <w:rsid w:val="00937408"/>
    <w:rsid w:val="009427FA"/>
    <w:rsid w:val="00944647"/>
    <w:rsid w:val="009469E2"/>
    <w:rsid w:val="009479A7"/>
    <w:rsid w:val="0095565C"/>
    <w:rsid w:val="00964AB6"/>
    <w:rsid w:val="0096638D"/>
    <w:rsid w:val="00966F9A"/>
    <w:rsid w:val="00977B8A"/>
    <w:rsid w:val="00980C16"/>
    <w:rsid w:val="00982971"/>
    <w:rsid w:val="009845AD"/>
    <w:rsid w:val="00984835"/>
    <w:rsid w:val="009933EF"/>
    <w:rsid w:val="00995BA0"/>
    <w:rsid w:val="009A1FC9"/>
    <w:rsid w:val="009A418B"/>
    <w:rsid w:val="009A426F"/>
    <w:rsid w:val="009A42D5"/>
    <w:rsid w:val="009A4473"/>
    <w:rsid w:val="009B05C9"/>
    <w:rsid w:val="009B286C"/>
    <w:rsid w:val="009C151C"/>
    <w:rsid w:val="009C440A"/>
    <w:rsid w:val="009D15B0"/>
    <w:rsid w:val="009D377C"/>
    <w:rsid w:val="009D5125"/>
    <w:rsid w:val="009D60B8"/>
    <w:rsid w:val="009D7D4B"/>
    <w:rsid w:val="009E36ED"/>
    <w:rsid w:val="009E3B47"/>
    <w:rsid w:val="009E3C8C"/>
    <w:rsid w:val="009E6B77"/>
    <w:rsid w:val="009F4372"/>
    <w:rsid w:val="009F460A"/>
    <w:rsid w:val="00A0035E"/>
    <w:rsid w:val="00A043FB"/>
    <w:rsid w:val="00A06BE4"/>
    <w:rsid w:val="00A0729C"/>
    <w:rsid w:val="00A073CF"/>
    <w:rsid w:val="00A07779"/>
    <w:rsid w:val="00A1166A"/>
    <w:rsid w:val="00A152B9"/>
    <w:rsid w:val="00A20B2E"/>
    <w:rsid w:val="00A24F33"/>
    <w:rsid w:val="00A25069"/>
    <w:rsid w:val="00A26E6B"/>
    <w:rsid w:val="00A3068F"/>
    <w:rsid w:val="00A3145B"/>
    <w:rsid w:val="00A3238A"/>
    <w:rsid w:val="00A339D0"/>
    <w:rsid w:val="00A3415C"/>
    <w:rsid w:val="00A41002"/>
    <w:rsid w:val="00A4201A"/>
    <w:rsid w:val="00A477F0"/>
    <w:rsid w:val="00A5465D"/>
    <w:rsid w:val="00A549ED"/>
    <w:rsid w:val="00A553CE"/>
    <w:rsid w:val="00A5677A"/>
    <w:rsid w:val="00A56DCC"/>
    <w:rsid w:val="00A625E8"/>
    <w:rsid w:val="00A63DFF"/>
    <w:rsid w:val="00A64496"/>
    <w:rsid w:val="00A6490D"/>
    <w:rsid w:val="00A67033"/>
    <w:rsid w:val="00A7415D"/>
    <w:rsid w:val="00A80363"/>
    <w:rsid w:val="00A80939"/>
    <w:rsid w:val="00A82524"/>
    <w:rsid w:val="00A83E9D"/>
    <w:rsid w:val="00A84D76"/>
    <w:rsid w:val="00A87C05"/>
    <w:rsid w:val="00A87D51"/>
    <w:rsid w:val="00A9169D"/>
    <w:rsid w:val="00A93598"/>
    <w:rsid w:val="00A97A3A"/>
    <w:rsid w:val="00AA240C"/>
    <w:rsid w:val="00AA6FD5"/>
    <w:rsid w:val="00AB0332"/>
    <w:rsid w:val="00AB259D"/>
    <w:rsid w:val="00AC101C"/>
    <w:rsid w:val="00AC335F"/>
    <w:rsid w:val="00AD4CF1"/>
    <w:rsid w:val="00AD5988"/>
    <w:rsid w:val="00AD6293"/>
    <w:rsid w:val="00AE1643"/>
    <w:rsid w:val="00AE16AF"/>
    <w:rsid w:val="00AF372E"/>
    <w:rsid w:val="00AF7800"/>
    <w:rsid w:val="00B00CF5"/>
    <w:rsid w:val="00B072E0"/>
    <w:rsid w:val="00B1007E"/>
    <w:rsid w:val="00B10D15"/>
    <w:rsid w:val="00B136BE"/>
    <w:rsid w:val="00B13D41"/>
    <w:rsid w:val="00B1646F"/>
    <w:rsid w:val="00B16DD6"/>
    <w:rsid w:val="00B205F5"/>
    <w:rsid w:val="00B253F6"/>
    <w:rsid w:val="00B26675"/>
    <w:rsid w:val="00B305DB"/>
    <w:rsid w:val="00B332F8"/>
    <w:rsid w:val="00B3492B"/>
    <w:rsid w:val="00B366D1"/>
    <w:rsid w:val="00B4646F"/>
    <w:rsid w:val="00B55C7D"/>
    <w:rsid w:val="00B61BB2"/>
    <w:rsid w:val="00B62094"/>
    <w:rsid w:val="00B63038"/>
    <w:rsid w:val="00B64BD8"/>
    <w:rsid w:val="00B701D1"/>
    <w:rsid w:val="00B73AF2"/>
    <w:rsid w:val="00B73D79"/>
    <w:rsid w:val="00B7551A"/>
    <w:rsid w:val="00B773F1"/>
    <w:rsid w:val="00B86AB1"/>
    <w:rsid w:val="00B87726"/>
    <w:rsid w:val="00B90BC2"/>
    <w:rsid w:val="00B91B22"/>
    <w:rsid w:val="00BA18A0"/>
    <w:rsid w:val="00BA53A4"/>
    <w:rsid w:val="00BA7EBA"/>
    <w:rsid w:val="00BB2A06"/>
    <w:rsid w:val="00BB2CBB"/>
    <w:rsid w:val="00BB4198"/>
    <w:rsid w:val="00BC03EE"/>
    <w:rsid w:val="00BC59F1"/>
    <w:rsid w:val="00BD488E"/>
    <w:rsid w:val="00BD7D1E"/>
    <w:rsid w:val="00BF3DE1"/>
    <w:rsid w:val="00BF4843"/>
    <w:rsid w:val="00BF5205"/>
    <w:rsid w:val="00C05132"/>
    <w:rsid w:val="00C07EDB"/>
    <w:rsid w:val="00C12508"/>
    <w:rsid w:val="00C14CC3"/>
    <w:rsid w:val="00C23728"/>
    <w:rsid w:val="00C26369"/>
    <w:rsid w:val="00C3026C"/>
    <w:rsid w:val="00C313A9"/>
    <w:rsid w:val="00C347C8"/>
    <w:rsid w:val="00C358E4"/>
    <w:rsid w:val="00C367BF"/>
    <w:rsid w:val="00C418EE"/>
    <w:rsid w:val="00C441C2"/>
    <w:rsid w:val="00C441CF"/>
    <w:rsid w:val="00C45AA2"/>
    <w:rsid w:val="00C4792C"/>
    <w:rsid w:val="00C55BEF"/>
    <w:rsid w:val="00C57C00"/>
    <w:rsid w:val="00C601AF"/>
    <w:rsid w:val="00C61A63"/>
    <w:rsid w:val="00C62314"/>
    <w:rsid w:val="00C6247D"/>
    <w:rsid w:val="00C627C5"/>
    <w:rsid w:val="00C66296"/>
    <w:rsid w:val="00C7394D"/>
    <w:rsid w:val="00C756B7"/>
    <w:rsid w:val="00C77282"/>
    <w:rsid w:val="00C84DE5"/>
    <w:rsid w:val="00C85A09"/>
    <w:rsid w:val="00C86248"/>
    <w:rsid w:val="00C90B31"/>
    <w:rsid w:val="00CA0D6F"/>
    <w:rsid w:val="00CA4C33"/>
    <w:rsid w:val="00CA6F4A"/>
    <w:rsid w:val="00CB3483"/>
    <w:rsid w:val="00CB6427"/>
    <w:rsid w:val="00CC0FBE"/>
    <w:rsid w:val="00CC6741"/>
    <w:rsid w:val="00CD0E39"/>
    <w:rsid w:val="00CD2119"/>
    <w:rsid w:val="00CD237A"/>
    <w:rsid w:val="00CD36AC"/>
    <w:rsid w:val="00CE13A3"/>
    <w:rsid w:val="00CE36BC"/>
    <w:rsid w:val="00CF01EE"/>
    <w:rsid w:val="00CF1747"/>
    <w:rsid w:val="00CF2478"/>
    <w:rsid w:val="00CF60ED"/>
    <w:rsid w:val="00D00676"/>
    <w:rsid w:val="00D05470"/>
    <w:rsid w:val="00D05D74"/>
    <w:rsid w:val="00D149C3"/>
    <w:rsid w:val="00D20C59"/>
    <w:rsid w:val="00D23323"/>
    <w:rsid w:val="00D2392A"/>
    <w:rsid w:val="00D249AD"/>
    <w:rsid w:val="00D25FFE"/>
    <w:rsid w:val="00D27922"/>
    <w:rsid w:val="00D27A64"/>
    <w:rsid w:val="00D3414E"/>
    <w:rsid w:val="00D37D80"/>
    <w:rsid w:val="00D442F3"/>
    <w:rsid w:val="00D44483"/>
    <w:rsid w:val="00D4476F"/>
    <w:rsid w:val="00D477B3"/>
    <w:rsid w:val="00D501E3"/>
    <w:rsid w:val="00D50573"/>
    <w:rsid w:val="00D54D50"/>
    <w:rsid w:val="00D560B4"/>
    <w:rsid w:val="00D662F8"/>
    <w:rsid w:val="00D66797"/>
    <w:rsid w:val="00D7087C"/>
    <w:rsid w:val="00D70C3C"/>
    <w:rsid w:val="00D71DF7"/>
    <w:rsid w:val="00D72BE5"/>
    <w:rsid w:val="00D75891"/>
    <w:rsid w:val="00D76022"/>
    <w:rsid w:val="00D81462"/>
    <w:rsid w:val="00D82431"/>
    <w:rsid w:val="00D82F26"/>
    <w:rsid w:val="00D863D0"/>
    <w:rsid w:val="00D86B00"/>
    <w:rsid w:val="00D86FB9"/>
    <w:rsid w:val="00D87C87"/>
    <w:rsid w:val="00D90BB4"/>
    <w:rsid w:val="00D90E07"/>
    <w:rsid w:val="00D932C2"/>
    <w:rsid w:val="00DA0232"/>
    <w:rsid w:val="00DA1D5D"/>
    <w:rsid w:val="00DA4156"/>
    <w:rsid w:val="00DA7F9E"/>
    <w:rsid w:val="00DB39CF"/>
    <w:rsid w:val="00DB517A"/>
    <w:rsid w:val="00DB7256"/>
    <w:rsid w:val="00DC0401"/>
    <w:rsid w:val="00DC20BD"/>
    <w:rsid w:val="00DC53F0"/>
    <w:rsid w:val="00DD0BCD"/>
    <w:rsid w:val="00DD447A"/>
    <w:rsid w:val="00DE3B20"/>
    <w:rsid w:val="00DE6C94"/>
    <w:rsid w:val="00DE6FD7"/>
    <w:rsid w:val="00DF0C7C"/>
    <w:rsid w:val="00E10B18"/>
    <w:rsid w:val="00E1469E"/>
    <w:rsid w:val="00E23271"/>
    <w:rsid w:val="00E24F80"/>
    <w:rsid w:val="00E259F3"/>
    <w:rsid w:val="00E30985"/>
    <w:rsid w:val="00E33238"/>
    <w:rsid w:val="00E33934"/>
    <w:rsid w:val="00E376B7"/>
    <w:rsid w:val="00E42F5D"/>
    <w:rsid w:val="00E4486C"/>
    <w:rsid w:val="00E460B6"/>
    <w:rsid w:val="00E511D5"/>
    <w:rsid w:val="00E53415"/>
    <w:rsid w:val="00E53A9F"/>
    <w:rsid w:val="00E560A0"/>
    <w:rsid w:val="00E57349"/>
    <w:rsid w:val="00E60249"/>
    <w:rsid w:val="00E62238"/>
    <w:rsid w:val="00E651F6"/>
    <w:rsid w:val="00E65269"/>
    <w:rsid w:val="00E70C52"/>
    <w:rsid w:val="00E76D66"/>
    <w:rsid w:val="00E82262"/>
    <w:rsid w:val="00E87977"/>
    <w:rsid w:val="00E97F75"/>
    <w:rsid w:val="00EA59D7"/>
    <w:rsid w:val="00EA796A"/>
    <w:rsid w:val="00EB1856"/>
    <w:rsid w:val="00EC50CE"/>
    <w:rsid w:val="00EC5B34"/>
    <w:rsid w:val="00ED021E"/>
    <w:rsid w:val="00ED323C"/>
    <w:rsid w:val="00EE0E99"/>
    <w:rsid w:val="00EE2D5C"/>
    <w:rsid w:val="00EE4ADE"/>
    <w:rsid w:val="00EE4DE8"/>
    <w:rsid w:val="00EE5CB7"/>
    <w:rsid w:val="00F000BF"/>
    <w:rsid w:val="00F024FE"/>
    <w:rsid w:val="00F05AD4"/>
    <w:rsid w:val="00F103BE"/>
    <w:rsid w:val="00F10EB6"/>
    <w:rsid w:val="00F12636"/>
    <w:rsid w:val="00F13AB2"/>
    <w:rsid w:val="00F13F07"/>
    <w:rsid w:val="00F140B2"/>
    <w:rsid w:val="00F16595"/>
    <w:rsid w:val="00F200C7"/>
    <w:rsid w:val="00F24087"/>
    <w:rsid w:val="00F25970"/>
    <w:rsid w:val="00F311A9"/>
    <w:rsid w:val="00F31343"/>
    <w:rsid w:val="00F36D01"/>
    <w:rsid w:val="00F37381"/>
    <w:rsid w:val="00F378B7"/>
    <w:rsid w:val="00F40063"/>
    <w:rsid w:val="00F43F97"/>
    <w:rsid w:val="00F46855"/>
    <w:rsid w:val="00F5180D"/>
    <w:rsid w:val="00F52480"/>
    <w:rsid w:val="00F54E74"/>
    <w:rsid w:val="00F63781"/>
    <w:rsid w:val="00F67496"/>
    <w:rsid w:val="00F724FB"/>
    <w:rsid w:val="00F7421E"/>
    <w:rsid w:val="00F801BA"/>
    <w:rsid w:val="00F807AD"/>
    <w:rsid w:val="00F846CC"/>
    <w:rsid w:val="00F84C18"/>
    <w:rsid w:val="00F902A0"/>
    <w:rsid w:val="00F9366A"/>
    <w:rsid w:val="00F946C9"/>
    <w:rsid w:val="00FA0EA5"/>
    <w:rsid w:val="00FA68C7"/>
    <w:rsid w:val="00FA74EE"/>
    <w:rsid w:val="00FC3711"/>
    <w:rsid w:val="00FC46E7"/>
    <w:rsid w:val="00FC5D25"/>
    <w:rsid w:val="00FD0D7E"/>
    <w:rsid w:val="00FD16C4"/>
    <w:rsid w:val="00FD1A39"/>
    <w:rsid w:val="00FD362F"/>
    <w:rsid w:val="00FD47FE"/>
    <w:rsid w:val="00FD4FFB"/>
    <w:rsid w:val="00FD6E9A"/>
    <w:rsid w:val="00FD7DFF"/>
    <w:rsid w:val="00FE022F"/>
    <w:rsid w:val="00FE6E13"/>
    <w:rsid w:val="00FE7D38"/>
    <w:rsid w:val="00FF15F6"/>
    <w:rsid w:val="00FF4D8A"/>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06177794"/>
  <w15:docId w15:val="{C9097DF8-884B-440D-8423-5224B739E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uiPriority="9" w:qFormat="1"/>
    <w:lsdException w:name="heading 3" w:uiPriority="1" w:qFormat="1"/>
    <w:lsdException w:name="heading 4" w:uiPriority="1"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qFormat="1"/>
    <w:lsdException w:name="footer" w:semiHidden="1" w:uiPriority="0" w:unhideWhenUsed="1" w:qFormat="1"/>
    <w:lsdException w:name="index heading" w:semiHidden="1" w:uiPriority="0" w:unhideWhenUsed="1"/>
    <w:lsdException w:name="caption" w:semiHidden="1" w:uiPriority="35"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1"/>
    <w:qFormat/>
    <w:rsid w:val="00DA7F9E"/>
    <w:pPr>
      <w:pageBreakBefore/>
      <w:spacing w:after="360"/>
      <w:outlineLvl w:val="0"/>
    </w:pPr>
    <w:rPr>
      <w:b/>
      <w:color w:val="23305D"/>
      <w:spacing w:val="-10"/>
      <w:sz w:val="72"/>
    </w:rPr>
  </w:style>
  <w:style w:type="paragraph" w:styleId="Heading2">
    <w:name w:val="heading 2"/>
    <w:basedOn w:val="Normal"/>
    <w:next w:val="Normal"/>
    <w:link w:val="Heading2Char"/>
    <w:uiPriority w:val="9"/>
    <w:qFormat/>
    <w:rsid w:val="002575E8"/>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030E84"/>
    <w:pPr>
      <w:keepNext/>
      <w:numPr>
        <w:ilvl w:val="2"/>
        <w:numId w:val="5"/>
      </w:numPr>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qFormat/>
    <w:rsid w:val="00B00CF5"/>
    <w:pPr>
      <w:keepNext/>
      <w:spacing w:before="120" w:after="120"/>
      <w:outlineLvl w:val="4"/>
    </w:pPr>
    <w:rPr>
      <w:color w:val="0A6AB4"/>
      <w:sz w:val="24"/>
    </w:rPr>
  </w:style>
  <w:style w:type="paragraph" w:styleId="Heading6">
    <w:name w:val="heading 6"/>
    <w:basedOn w:val="Normal"/>
    <w:next w:val="Normal"/>
    <w:link w:val="Heading6Char"/>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9427FA"/>
    <w:rPr>
      <w:rFonts w:ascii="Segoe UI" w:hAnsi="Segoe UI"/>
      <w:b/>
      <w:color w:val="23305D"/>
      <w:spacing w:val="-10"/>
      <w:sz w:val="72"/>
      <w:lang w:eastAsia="en-GB"/>
    </w:rPr>
  </w:style>
  <w:style w:type="character" w:customStyle="1" w:styleId="Heading2Char">
    <w:name w:val="Heading 2 Char"/>
    <w:link w:val="Heading2"/>
    <w:uiPriority w:val="9"/>
    <w:rsid w:val="00030E84"/>
    <w:rPr>
      <w:rFonts w:ascii="Segoe UI" w:hAnsi="Segoe UI"/>
      <w:b/>
      <w:color w:val="0A6AB4"/>
      <w:spacing w:val="-5"/>
      <w:sz w:val="48"/>
      <w:lang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rsid w:val="00B00CF5"/>
    <w:rPr>
      <w:rFonts w:ascii="Segoe UI" w:hAnsi="Segoe UI"/>
      <w:color w:val="0A6AB4"/>
      <w:sz w:val="24"/>
      <w:lang w:eastAsia="en-GB"/>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926D08"/>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656F28"/>
    <w:pPr>
      <w:tabs>
        <w:tab w:val="right" w:pos="8080"/>
      </w:tabs>
      <w:spacing w:before="60"/>
      <w:ind w:left="284" w:right="567"/>
    </w:pPr>
  </w:style>
  <w:style w:type="paragraph" w:styleId="TOC3">
    <w:name w:val="toc 3"/>
    <w:basedOn w:val="Normal"/>
    <w:next w:val="Normal"/>
    <w:uiPriority w:val="39"/>
    <w:rsid w:val="00086905"/>
    <w:pPr>
      <w:tabs>
        <w:tab w:val="right" w:pos="8080"/>
      </w:tabs>
      <w:spacing w:before="120"/>
      <w:ind w:left="1134" w:right="567" w:hanging="1134"/>
    </w:pPr>
  </w:style>
  <w:style w:type="paragraph" w:customStyle="1" w:styleId="Bullet">
    <w:name w:val="Bullet"/>
    <w:basedOn w:val="Normal"/>
    <w:link w:val="BulletChar"/>
    <w:qFormat/>
    <w:rsid w:val="00FA0EA5"/>
    <w:pPr>
      <w:numPr>
        <w:numId w:val="1"/>
      </w:numPr>
      <w:tabs>
        <w:tab w:val="clear" w:pos="284"/>
      </w:tabs>
      <w:spacing w:before="90"/>
    </w:pPr>
  </w:style>
  <w:style w:type="character" w:customStyle="1" w:styleId="BulletChar">
    <w:name w:val="Bullet Char"/>
    <w:link w:val="Bullet"/>
    <w:locked/>
    <w:rsid w:val="002B7BEC"/>
    <w:rPr>
      <w:rFonts w:ascii="Segoe UI" w:hAnsi="Segoe UI"/>
      <w:sz w:val="21"/>
      <w:lang w:eastAsia="en-GB"/>
    </w:r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basedOn w:val="Normal"/>
    <w:link w:val="FootnoteTextChar"/>
    <w:uiPriority w:val="99"/>
    <w:rsid w:val="00A7415D"/>
    <w:pPr>
      <w:spacing w:before="60" w:line="228" w:lineRule="auto"/>
      <w:ind w:left="284" w:hanging="284"/>
    </w:pPr>
    <w:rPr>
      <w:sz w:val="17"/>
    </w:rPr>
  </w:style>
  <w:style w:type="character" w:customStyle="1" w:styleId="FootnoteTextChar">
    <w:name w:val="Footnote Text Char"/>
    <w:link w:val="FootnoteText"/>
    <w:uiPriority w:val="99"/>
    <w:rsid w:val="00A7415D"/>
    <w:rPr>
      <w:rFonts w:ascii="Segoe UI" w:hAnsi="Segoe UI"/>
      <w:sz w:val="17"/>
      <w:lang w:eastAsia="en-GB"/>
    </w:rPr>
  </w:style>
  <w:style w:type="paragraph" w:styleId="Header">
    <w:name w:val="header"/>
    <w:basedOn w:val="Normal"/>
    <w:link w:val="HeaderChar"/>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customStyle="1" w:styleId="FooterChar">
    <w:name w:val="Footer Char"/>
    <w:link w:val="Footer"/>
    <w:rsid w:val="007A067F"/>
    <w:rPr>
      <w:rFonts w:ascii="Segoe UI" w:hAnsi="Segoe UI"/>
      <w:sz w:val="21"/>
      <w:lang w:eastAsia="en-GB"/>
    </w:rPr>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sz w:val="20"/>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uiPriority w:val="99"/>
    <w:rPr>
      <w:vertAlign w:val="superscript"/>
    </w:rPr>
  </w:style>
  <w:style w:type="paragraph" w:customStyle="1" w:styleId="Table">
    <w:name w:val="Table"/>
    <w:basedOn w:val="Figure"/>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qFormat/>
    <w:rsid w:val="00925892"/>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8814E8"/>
    <w:pPr>
      <w:pBdr>
        <w:top w:val="single" w:sz="4" w:space="12" w:color="auto"/>
        <w:left w:val="single" w:sz="4" w:space="12" w:color="auto"/>
        <w:bottom w:val="single" w:sz="4" w:space="12" w:color="auto"/>
        <w:right w:val="single" w:sz="4" w:space="12" w:color="auto"/>
      </w:pBdr>
      <w:spacing w:line="264" w:lineRule="auto"/>
      <w:ind w:left="568" w:right="284"/>
    </w:pPr>
  </w:style>
  <w:style w:type="paragraph" w:customStyle="1" w:styleId="IntroHead">
    <w:name w:val="IntroHead"/>
    <w:basedOn w:val="Heading1"/>
    <w:next w:val="Normal"/>
    <w:qFormat/>
    <w:rsid w:val="00F54E74"/>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paragraph" w:customStyle="1" w:styleId="Year">
    <w:name w:val="Year"/>
    <w:basedOn w:val="Subhead"/>
    <w:next w:val="Subhead"/>
    <w:qFormat/>
    <w:rsid w:val="00531E12"/>
    <w:rPr>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rsid w:val="00C07EDB"/>
    <w:pPr>
      <w:numPr>
        <w:ilvl w:val="3"/>
        <w:numId w:val="5"/>
      </w:numPr>
      <w:spacing w:before="90"/>
      <w:ind w:left="709" w:right="284" w:hanging="425"/>
    </w:pPr>
    <w:rPr>
      <w:szCs w:val="24"/>
    </w:rPr>
  </w:style>
  <w:style w:type="paragraph" w:customStyle="1" w:styleId="Letter">
    <w:name w:val="Letter"/>
    <w:basedOn w:val="Normal"/>
    <w:qFormat/>
    <w:rsid w:val="00F140B2"/>
    <w:pPr>
      <w:numPr>
        <w:ilvl w:val="4"/>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Roman">
    <w:name w:val="Roman"/>
    <w:basedOn w:val="Normal"/>
    <w:qFormat/>
    <w:rsid w:val="00AD6293"/>
    <w:pPr>
      <w:numPr>
        <w:ilvl w:val="5"/>
        <w:numId w:val="5"/>
      </w:numPr>
      <w:spacing w:before="90"/>
    </w:pPr>
    <w:rPr>
      <w:rFonts w:eastAsia="Arial Unicode MS"/>
    </w:rPr>
  </w:style>
  <w:style w:type="table" w:styleId="TableGrid">
    <w:name w:val="Table Grid"/>
    <w:basedOn w:val="TableNormal"/>
    <w:uiPriority w:val="39"/>
    <w:rsid w:val="003A5FA0"/>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65B41"/>
    <w:rPr>
      <w:rFonts w:ascii="Tahoma" w:hAnsi="Tahoma" w:cs="Tahoma"/>
      <w:sz w:val="16"/>
      <w:szCs w:val="16"/>
    </w:rPr>
  </w:style>
  <w:style w:type="character" w:customStyle="1" w:styleId="BalloonTextChar">
    <w:name w:val="Balloon Text Char"/>
    <w:basedOn w:val="DefaultParagraphFont"/>
    <w:link w:val="BalloonText"/>
    <w:uiPriority w:val="99"/>
    <w:semiHidden/>
    <w:rsid w:val="00665B41"/>
    <w:rPr>
      <w:rFonts w:ascii="Tahoma" w:hAnsi="Tahoma" w:cs="Tahoma"/>
      <w:sz w:val="16"/>
      <w:szCs w:val="16"/>
      <w:lang w:eastAsia="en-GB"/>
    </w:rPr>
  </w:style>
  <w:style w:type="paragraph" w:styleId="CommentText">
    <w:name w:val="annotation text"/>
    <w:basedOn w:val="Normal"/>
    <w:link w:val="CommentTextChar"/>
    <w:unhideWhenUsed/>
    <w:rPr>
      <w:sz w:val="20"/>
    </w:rPr>
  </w:style>
  <w:style w:type="character" w:customStyle="1" w:styleId="CommentTextChar">
    <w:name w:val="Comment Text Char"/>
    <w:basedOn w:val="DefaultParagraphFont"/>
    <w:link w:val="CommentText"/>
    <w:rPr>
      <w:rFonts w:ascii="Segoe UI" w:hAnsi="Segoe UI"/>
      <w:lang w:eastAsia="en-GB"/>
    </w:rPr>
  </w:style>
  <w:style w:type="character" w:styleId="CommentReference">
    <w:name w:val="annotation reference"/>
    <w:basedOn w:val="DefaultParagraphFont"/>
    <w:unhideWhenUsed/>
    <w:rPr>
      <w:sz w:val="16"/>
      <w:szCs w:val="16"/>
    </w:rPr>
  </w:style>
  <w:style w:type="paragraph" w:styleId="CommentSubject">
    <w:name w:val="annotation subject"/>
    <w:basedOn w:val="CommentText"/>
    <w:next w:val="CommentText"/>
    <w:link w:val="CommentSubjectChar"/>
    <w:uiPriority w:val="99"/>
    <w:semiHidden/>
    <w:unhideWhenUsed/>
    <w:rsid w:val="00822721"/>
    <w:rPr>
      <w:b/>
      <w:bCs/>
    </w:rPr>
  </w:style>
  <w:style w:type="character" w:customStyle="1" w:styleId="CommentSubjectChar">
    <w:name w:val="Comment Subject Char"/>
    <w:basedOn w:val="CommentTextChar"/>
    <w:link w:val="CommentSubject"/>
    <w:uiPriority w:val="99"/>
    <w:semiHidden/>
    <w:rsid w:val="00822721"/>
    <w:rPr>
      <w:rFonts w:ascii="Segoe UI" w:hAnsi="Segoe UI"/>
      <w:b/>
      <w:bCs/>
      <w:lang w:eastAsia="en-GB"/>
    </w:rPr>
  </w:style>
  <w:style w:type="paragraph" w:styleId="EndnoteText">
    <w:name w:val="endnote text"/>
    <w:basedOn w:val="Normal"/>
    <w:link w:val="EndnoteTextChar"/>
    <w:uiPriority w:val="99"/>
    <w:unhideWhenUsed/>
    <w:rsid w:val="00F902A0"/>
    <w:rPr>
      <w:rFonts w:ascii="Times New Roman" w:eastAsiaTheme="minorHAnsi" w:hAnsi="Times New Roman"/>
      <w:sz w:val="24"/>
      <w:szCs w:val="24"/>
      <w:lang w:val="en-GB"/>
    </w:rPr>
  </w:style>
  <w:style w:type="character" w:customStyle="1" w:styleId="EndnoteTextChar">
    <w:name w:val="Endnote Text Char"/>
    <w:basedOn w:val="DefaultParagraphFont"/>
    <w:link w:val="EndnoteText"/>
    <w:uiPriority w:val="99"/>
    <w:rsid w:val="00F902A0"/>
    <w:rPr>
      <w:rFonts w:eastAsiaTheme="minorHAnsi"/>
      <w:sz w:val="24"/>
      <w:szCs w:val="24"/>
      <w:lang w:val="en-GB" w:eastAsia="en-GB"/>
    </w:rPr>
  </w:style>
  <w:style w:type="character" w:styleId="EndnoteReference">
    <w:name w:val="endnote reference"/>
    <w:basedOn w:val="DefaultParagraphFont"/>
    <w:uiPriority w:val="99"/>
    <w:unhideWhenUsed/>
    <w:rsid w:val="00F902A0"/>
    <w:rPr>
      <w:vertAlign w:val="superscript"/>
    </w:rPr>
  </w:style>
  <w:style w:type="paragraph" w:styleId="ListParagraph">
    <w:name w:val="List Paragraph"/>
    <w:basedOn w:val="Normal"/>
    <w:uiPriority w:val="34"/>
    <w:qFormat/>
    <w:rsid w:val="00F902A0"/>
    <w:pPr>
      <w:ind w:left="720"/>
      <w:contextualSpacing/>
    </w:pPr>
    <w:rPr>
      <w:rFonts w:ascii="Times New Roman" w:eastAsiaTheme="minorHAnsi" w:hAnsi="Times New Roman"/>
      <w:sz w:val="24"/>
      <w:szCs w:val="24"/>
      <w:lang w:val="en-GB"/>
    </w:rPr>
  </w:style>
  <w:style w:type="character" w:customStyle="1" w:styleId="DocumentMapChar">
    <w:name w:val="Document Map Char"/>
    <w:basedOn w:val="DefaultParagraphFont"/>
    <w:link w:val="DocumentMap"/>
    <w:uiPriority w:val="99"/>
    <w:semiHidden/>
    <w:rsid w:val="00F902A0"/>
    <w:rPr>
      <w:rFonts w:eastAsiaTheme="minorHAnsi"/>
      <w:sz w:val="24"/>
      <w:szCs w:val="24"/>
      <w:lang w:val="en-GB" w:eastAsia="en-US"/>
    </w:rPr>
  </w:style>
  <w:style w:type="paragraph" w:styleId="DocumentMap">
    <w:name w:val="Document Map"/>
    <w:basedOn w:val="Normal"/>
    <w:link w:val="DocumentMapChar"/>
    <w:uiPriority w:val="99"/>
    <w:semiHidden/>
    <w:unhideWhenUsed/>
    <w:rsid w:val="00F902A0"/>
    <w:rPr>
      <w:rFonts w:ascii="Times New Roman" w:eastAsiaTheme="minorHAnsi" w:hAnsi="Times New Roman"/>
      <w:sz w:val="24"/>
      <w:szCs w:val="24"/>
      <w:lang w:val="en-GB" w:eastAsia="en-US"/>
    </w:rPr>
  </w:style>
  <w:style w:type="paragraph" w:styleId="BodyTextIndent2">
    <w:name w:val="Body Text Indent 2"/>
    <w:basedOn w:val="Normal"/>
    <w:link w:val="BodyTextIndent2Char"/>
    <w:rsid w:val="00F902A0"/>
    <w:pPr>
      <w:tabs>
        <w:tab w:val="left" w:pos="851"/>
      </w:tabs>
      <w:spacing w:after="120" w:line="240" w:lineRule="atLeast"/>
      <w:ind w:left="1418" w:hanging="992"/>
      <w:jc w:val="both"/>
    </w:pPr>
    <w:rPr>
      <w:rFonts w:ascii="Berkeley" w:hAnsi="Berkeley"/>
      <w:noProof/>
      <w:sz w:val="24"/>
    </w:rPr>
  </w:style>
  <w:style w:type="character" w:customStyle="1" w:styleId="BodyTextIndent2Char">
    <w:name w:val="Body Text Indent 2 Char"/>
    <w:basedOn w:val="DefaultParagraphFont"/>
    <w:link w:val="BodyTextIndent2"/>
    <w:rsid w:val="00F902A0"/>
    <w:rPr>
      <w:rFonts w:ascii="Berkeley" w:hAnsi="Berkeley"/>
      <w:noProof/>
      <w:sz w:val="24"/>
      <w:lang w:eastAsia="en-GB"/>
    </w:rPr>
  </w:style>
  <w:style w:type="character" w:styleId="Strong">
    <w:name w:val="Strong"/>
    <w:basedOn w:val="DefaultParagraphFont"/>
    <w:uiPriority w:val="22"/>
    <w:qFormat/>
    <w:rsid w:val="00F902A0"/>
    <w:rPr>
      <w:b/>
      <w:bCs/>
    </w:rPr>
  </w:style>
  <w:style w:type="paragraph" w:styleId="Caption">
    <w:name w:val="caption"/>
    <w:basedOn w:val="Normal"/>
    <w:next w:val="Normal"/>
    <w:uiPriority w:val="35"/>
    <w:unhideWhenUsed/>
    <w:qFormat/>
    <w:rsid w:val="00F902A0"/>
    <w:pPr>
      <w:spacing w:after="200"/>
    </w:pPr>
    <w:rPr>
      <w:rFonts w:asciiTheme="minorHAnsi" w:eastAsiaTheme="minorHAnsi" w:hAnsiTheme="minorHAnsi" w:cstheme="minorBidi"/>
      <w:i/>
      <w:iCs/>
      <w:color w:val="1F497D" w:themeColor="text2"/>
      <w:sz w:val="18"/>
      <w:szCs w:val="18"/>
      <w:lang w:val="en-GB" w:eastAsia="en-US"/>
    </w:rPr>
  </w:style>
  <w:style w:type="paragraph" w:styleId="TOCHeading">
    <w:name w:val="TOC Heading"/>
    <w:basedOn w:val="Heading1"/>
    <w:next w:val="Normal"/>
    <w:uiPriority w:val="39"/>
    <w:unhideWhenUsed/>
    <w:qFormat/>
    <w:rsid w:val="00F902A0"/>
    <w:pPr>
      <w:keepNext/>
      <w:keepLines/>
      <w:pageBreakBefore w:val="0"/>
      <w:spacing w:before="480" w:after="0" w:line="276" w:lineRule="auto"/>
      <w:outlineLvl w:val="9"/>
    </w:pPr>
    <w:rPr>
      <w:rFonts w:asciiTheme="majorHAnsi" w:eastAsiaTheme="majorEastAsia" w:hAnsiTheme="majorHAnsi" w:cstheme="majorBidi"/>
      <w:bCs/>
      <w:color w:val="365F91" w:themeColor="accent1" w:themeShade="BF"/>
      <w:spacing w:val="0"/>
      <w:sz w:val="28"/>
      <w:szCs w:val="28"/>
      <w:lang w:val="en-US" w:eastAsia="en-US"/>
    </w:rPr>
  </w:style>
  <w:style w:type="paragraph" w:styleId="TableofFigures">
    <w:name w:val="table of figures"/>
    <w:basedOn w:val="Normal"/>
    <w:next w:val="Normal"/>
    <w:uiPriority w:val="99"/>
    <w:unhideWhenUsed/>
    <w:rsid w:val="00F902A0"/>
    <w:pPr>
      <w:ind w:left="480" w:hanging="480"/>
    </w:pPr>
    <w:rPr>
      <w:rFonts w:asciiTheme="minorHAnsi" w:eastAsiaTheme="minorHAnsi" w:hAnsiTheme="minorHAnsi" w:cstheme="minorHAnsi"/>
      <w:bCs/>
      <w:sz w:val="20"/>
      <w:lang w:val="en-GB" w:eastAsia="en-US"/>
    </w:rPr>
  </w:style>
  <w:style w:type="character" w:styleId="UnresolvedMention">
    <w:name w:val="Unresolved Mention"/>
    <w:basedOn w:val="DefaultParagraphFont"/>
    <w:uiPriority w:val="99"/>
    <w:semiHidden/>
    <w:unhideWhenUsed/>
    <w:rsid w:val="00B366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2795727">
      <w:bodyDiv w:val="1"/>
      <w:marLeft w:val="0"/>
      <w:marRight w:val="0"/>
      <w:marTop w:val="0"/>
      <w:marBottom w:val="0"/>
      <w:divBdr>
        <w:top w:val="none" w:sz="0" w:space="0" w:color="auto"/>
        <w:left w:val="none" w:sz="0" w:space="0" w:color="auto"/>
        <w:bottom w:val="none" w:sz="0" w:space="0" w:color="auto"/>
        <w:right w:val="none" w:sz="0" w:space="0" w:color="auto"/>
      </w:divBdr>
      <w:divsChild>
        <w:div w:id="2030064500">
          <w:marLeft w:val="0"/>
          <w:marRight w:val="0"/>
          <w:marTop w:val="0"/>
          <w:marBottom w:val="0"/>
          <w:divBdr>
            <w:top w:val="none" w:sz="0" w:space="0" w:color="auto"/>
            <w:left w:val="none" w:sz="0" w:space="0" w:color="auto"/>
            <w:bottom w:val="none" w:sz="0" w:space="0" w:color="auto"/>
            <w:right w:val="none" w:sz="0" w:space="0" w:color="auto"/>
          </w:divBdr>
          <w:divsChild>
            <w:div w:id="736981175">
              <w:marLeft w:val="0"/>
              <w:marRight w:val="0"/>
              <w:marTop w:val="0"/>
              <w:marBottom w:val="0"/>
              <w:divBdr>
                <w:top w:val="none" w:sz="0" w:space="0" w:color="auto"/>
                <w:left w:val="none" w:sz="0" w:space="0" w:color="auto"/>
                <w:bottom w:val="none" w:sz="0" w:space="0" w:color="auto"/>
                <w:right w:val="none" w:sz="0" w:space="0" w:color="auto"/>
              </w:divBdr>
            </w:div>
            <w:div w:id="119419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footer" Target="footer6.xm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5.png"/><Relationship Id="rId44"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F4697251E3E6040AB808F8F242BC2A1" ma:contentTypeVersion="1" ma:contentTypeDescription="Create a new document." ma:contentTypeScope="" ma:versionID="5c2f0b920e3edff6d5e280cc9834d300">
  <xsd:schema xmlns:xsd="http://www.w3.org/2001/XMLSchema" xmlns:xs="http://www.w3.org/2001/XMLSchema" xmlns:p="http://schemas.microsoft.com/office/2006/metadata/properties" xmlns:ns2="793e8b86-6230-42b9-9700-2260f4325056" targetNamespace="http://schemas.microsoft.com/office/2006/metadata/properties" ma:root="true" ma:fieldsID="e06a09308592c431b9eff68689dd86d8" ns2:_="">
    <xsd:import namespace="793e8b86-6230-42b9-9700-2260f4325056"/>
    <xsd:element name="properties">
      <xsd:complexType>
        <xsd:sequence>
          <xsd:element name="documentManagement">
            <xsd:complexType>
              <xsd:all>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e8b86-6230-42b9-9700-2260f4325056" elementFormDefault="qualified">
    <xsd:import namespace="http://schemas.microsoft.com/office/2006/documentManagement/types"/>
    <xsd:import namespace="http://schemas.microsoft.com/office/infopath/2007/PartnerControls"/>
    <xsd:element name="Notes0" ma:index="8"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otes0 xmlns="793e8b86-6230-42b9-9700-2260f432505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7B2F2-818B-4EB8-895A-E02BAB9EB852}">
  <ds:schemaRefs>
    <ds:schemaRef ds:uri="http://schemas.microsoft.com/sharepoint/v3/contenttype/forms"/>
  </ds:schemaRefs>
</ds:datastoreItem>
</file>

<file path=customXml/itemProps2.xml><?xml version="1.0" encoding="utf-8"?>
<ds:datastoreItem xmlns:ds="http://schemas.openxmlformats.org/officeDocument/2006/customXml" ds:itemID="{7EC8DBF4-EBF5-48D1-BB81-FD235BB8F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3e8b86-6230-42b9-9700-2260f4325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F249DA-4DC5-4E45-B90B-8CE47EAAE284}">
  <ds:schemaRefs>
    <ds:schemaRef ds:uri="http://schemas.microsoft.com/office/2006/metadata/properties"/>
    <ds:schemaRef ds:uri="http://purl.org/dc/terms/"/>
    <ds:schemaRef ds:uri="http://schemas.microsoft.com/office/2006/documentManagement/types"/>
    <ds:schemaRef ds:uri="793e8b86-6230-42b9-9700-2260f4325056"/>
    <ds:schemaRef ds:uri="http://purl.org/dc/elements/1.1/"/>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CD241D4C-AD84-4D57-AF5B-432DFC30D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TotalTime>
  <Pages>35</Pages>
  <Words>6272</Words>
  <Characters>35752</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Heterosexual Sexual Behaviour: Findings from the 2014/15 New Zealand Heath Survey</vt:lpstr>
    </vt:vector>
  </TitlesOfParts>
  <Company>Microsoft</Company>
  <LinksUpToDate>false</LinksUpToDate>
  <CharactersWithSpaces>41941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Heterosexual Sexual Behaviour: Findings from the 2014/15 New Zealand Heath Survey</dc:title>
  <dc:creator>Ministry of Health</dc:creator>
  <cp:lastModifiedBy>Geneva Ruppert-Wise</cp:lastModifiedBy>
  <cp:revision>3</cp:revision>
  <cp:lastPrinted>2020-01-13T00:59:00Z</cp:lastPrinted>
  <dcterms:created xsi:type="dcterms:W3CDTF">2020-01-13T00:59:00Z</dcterms:created>
  <dcterms:modified xsi:type="dcterms:W3CDTF">2020-01-13T01:00:00Z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0x0101006F4697251E3E6040AB808F8F242BC2A1</vt:lpwstr>
  </property>
</Properties>
</file>