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248" w:rsidRPr="00D94409" w:rsidRDefault="00A74AC3" w:rsidP="00D54D50">
      <w:pPr>
        <w:pStyle w:val="Title"/>
      </w:pPr>
      <w:bookmarkStart w:id="0" w:name="_GoBack"/>
      <w:bookmarkEnd w:id="0"/>
      <w:r w:rsidRPr="00D94409">
        <w:t>Health and Independence Report</w:t>
      </w:r>
    </w:p>
    <w:p w:rsidR="00343365" w:rsidRPr="00D94409" w:rsidRDefault="00A74AC3" w:rsidP="00343365">
      <w:pPr>
        <w:pStyle w:val="Year"/>
      </w:pPr>
      <w:r w:rsidRPr="00D94409">
        <w:t>2015</w:t>
      </w:r>
      <w:r w:rsidRPr="00D94409">
        <w:br/>
        <w:t>Ministry of Health</w:t>
      </w:r>
    </w:p>
    <w:p w:rsidR="00C86248" w:rsidRPr="00D94409" w:rsidRDefault="00A74AC3" w:rsidP="00343365">
      <w:pPr>
        <w:pStyle w:val="Subhead"/>
      </w:pPr>
      <w:r w:rsidRPr="00D94409">
        <w:t>The Director-General of Health</w:t>
      </w:r>
      <w:r w:rsidR="00D94409" w:rsidRPr="00D94409">
        <w:t>’</w:t>
      </w:r>
      <w:r w:rsidRPr="00D94409">
        <w:t>s Annual Report on the State of Public Health</w:t>
      </w:r>
    </w:p>
    <w:p w:rsidR="00142954" w:rsidRPr="00D94409" w:rsidRDefault="00142954" w:rsidP="00142954">
      <w:pPr>
        <w:sectPr w:rsidR="00142954" w:rsidRPr="00D94409" w:rsidSect="000F2AE2">
          <w:headerReference w:type="default" r:id="rId9"/>
          <w:footerReference w:type="default" r:id="rId10"/>
          <w:pgSz w:w="11907" w:h="16834" w:code="9"/>
          <w:pgMar w:top="3969" w:right="851" w:bottom="851" w:left="2552" w:header="851" w:footer="851" w:gutter="0"/>
          <w:cols w:space="720"/>
        </w:sectPr>
      </w:pPr>
    </w:p>
    <w:p w:rsidR="00A80363" w:rsidRPr="00D94409" w:rsidRDefault="00A80363">
      <w:pPr>
        <w:pStyle w:val="Imprint"/>
      </w:pPr>
      <w:r w:rsidRPr="00D94409">
        <w:lastRenderedPageBreak/>
        <w:t xml:space="preserve">Citation: </w:t>
      </w:r>
      <w:r w:rsidR="00442C1C" w:rsidRPr="00D94409">
        <w:t xml:space="preserve">Ministry of Health. </w:t>
      </w:r>
      <w:r w:rsidR="00A74AC3" w:rsidRPr="00D94409">
        <w:t>2015</w:t>
      </w:r>
      <w:r w:rsidR="00442C1C" w:rsidRPr="00D94409">
        <w:t xml:space="preserve">. </w:t>
      </w:r>
      <w:r w:rsidR="00A74AC3" w:rsidRPr="00D94409">
        <w:rPr>
          <w:i/>
        </w:rPr>
        <w:t>Health and Independence Report 2015</w:t>
      </w:r>
      <w:proofErr w:type="gramStart"/>
      <w:r w:rsidR="00A74AC3" w:rsidRPr="00D94409">
        <w:rPr>
          <w:i/>
        </w:rPr>
        <w:t>:</w:t>
      </w:r>
      <w:proofErr w:type="gramEnd"/>
      <w:r w:rsidR="00A74AC3" w:rsidRPr="00D94409">
        <w:rPr>
          <w:i/>
        </w:rPr>
        <w:br/>
        <w:t>Ministry of Health</w:t>
      </w:r>
      <w:r w:rsidR="00442C1C" w:rsidRPr="00D94409">
        <w:t>.</w:t>
      </w:r>
      <w:r w:rsidR="00A74AC3" w:rsidRPr="00D94409">
        <w:t xml:space="preserve"> </w:t>
      </w:r>
      <w:r w:rsidR="00442C1C" w:rsidRPr="00D94409">
        <w:t>Wellington: Ministry of Health.</w:t>
      </w:r>
    </w:p>
    <w:p w:rsidR="00C86248" w:rsidRPr="00D94409" w:rsidRDefault="00C86248">
      <w:pPr>
        <w:pStyle w:val="Imprint"/>
      </w:pPr>
      <w:r w:rsidRPr="00D94409">
        <w:t xml:space="preserve">Published in </w:t>
      </w:r>
      <w:r w:rsidR="00A74AC3" w:rsidRPr="00D94409">
        <w:t>October 2015</w:t>
      </w:r>
      <w:r w:rsidR="005019AE" w:rsidRPr="00D94409">
        <w:br/>
      </w:r>
      <w:r w:rsidRPr="00D94409">
        <w:t>by the</w:t>
      </w:r>
      <w:r w:rsidR="00442C1C" w:rsidRPr="00D94409">
        <w:t xml:space="preserve"> </w:t>
      </w:r>
      <w:r w:rsidRPr="00D94409">
        <w:t>Ministry of Health</w:t>
      </w:r>
      <w:r w:rsidRPr="00D94409">
        <w:br/>
        <w:t>PO Box 5013, Wellington</w:t>
      </w:r>
      <w:r w:rsidR="00A80363" w:rsidRPr="00D94409">
        <w:t xml:space="preserve"> 6145</w:t>
      </w:r>
      <w:r w:rsidRPr="00D94409">
        <w:t>, New Zealand</w:t>
      </w:r>
    </w:p>
    <w:p w:rsidR="00082CD6" w:rsidRPr="00D94409" w:rsidRDefault="00D863D0" w:rsidP="00082CD6">
      <w:pPr>
        <w:pStyle w:val="Imprint"/>
      </w:pPr>
      <w:r w:rsidRPr="00D94409">
        <w:t>ISBN</w:t>
      </w:r>
      <w:r w:rsidR="00442C1C" w:rsidRPr="00D94409">
        <w:t xml:space="preserve"> </w:t>
      </w:r>
      <w:r w:rsidR="00A74AC3" w:rsidRPr="00D94409">
        <w:t>978-0-947491-06-2</w:t>
      </w:r>
      <w:r w:rsidR="00442C1C" w:rsidRPr="00D94409">
        <w:t xml:space="preserve"> </w:t>
      </w:r>
      <w:r w:rsidRPr="00D94409">
        <w:t>(</w:t>
      </w:r>
      <w:r w:rsidR="00A74AC3" w:rsidRPr="00D94409">
        <w:t>print</w:t>
      </w:r>
      <w:proofErr w:type="gramStart"/>
      <w:r w:rsidRPr="00D94409">
        <w:t>)</w:t>
      </w:r>
      <w:proofErr w:type="gramEnd"/>
      <w:r w:rsidR="00A74AC3" w:rsidRPr="00D94409">
        <w:br/>
        <w:t>ISBN978-0-947491-07-9 (online)</w:t>
      </w:r>
      <w:r w:rsidR="00082CD6" w:rsidRPr="00D94409">
        <w:br/>
        <w:t xml:space="preserve">HP </w:t>
      </w:r>
      <w:r w:rsidR="00A74AC3" w:rsidRPr="00D94409">
        <w:t>6279</w:t>
      </w:r>
    </w:p>
    <w:p w:rsidR="00C86248" w:rsidRPr="00D94409" w:rsidRDefault="00C86248">
      <w:pPr>
        <w:pStyle w:val="Imprint"/>
      </w:pPr>
      <w:r w:rsidRPr="00D94409">
        <w:t xml:space="preserve">This document is available </w:t>
      </w:r>
      <w:r w:rsidR="0071741C" w:rsidRPr="00D94409">
        <w:t>at w</w:t>
      </w:r>
      <w:r w:rsidRPr="00D94409">
        <w:t>ww.h</w:t>
      </w:r>
      <w:r w:rsidR="00A80363" w:rsidRPr="00D94409">
        <w:t>ealth</w:t>
      </w:r>
      <w:r w:rsidRPr="00D94409">
        <w:t>.govt.nz</w:t>
      </w:r>
    </w:p>
    <w:p w:rsidR="00C86248" w:rsidRPr="00D94409" w:rsidRDefault="008C64C4">
      <w:pPr>
        <w:jc w:val="center"/>
      </w:pPr>
      <w:r w:rsidRPr="00D94409">
        <w:rPr>
          <w:noProof/>
          <w:lang w:eastAsia="en-NZ"/>
        </w:rPr>
        <w:drawing>
          <wp:inline distT="0" distB="0" distL="0" distR="0" wp14:anchorId="0B078BD0" wp14:editId="3B8B5C17">
            <wp:extent cx="1670685" cy="68135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rsidR="007E74F1" w:rsidRPr="00D94409" w:rsidRDefault="007E74F1" w:rsidP="007E74F1">
      <w:pPr>
        <w:pStyle w:val="Heading3"/>
        <w:keepNext w:val="0"/>
        <w:shd w:val="clear" w:color="auto" w:fill="FFFFFF"/>
        <w:ind w:right="-851"/>
        <w:rPr>
          <w:sz w:val="18"/>
          <w:szCs w:val="18"/>
        </w:rPr>
      </w:pPr>
      <w:r w:rsidRPr="00D94409">
        <w:rPr>
          <w:rStyle w:val="A4"/>
          <w:b w:val="0"/>
          <w:noProof/>
          <w:sz w:val="22"/>
          <w:szCs w:val="22"/>
          <w:lang w:eastAsia="en-NZ"/>
        </w:rPr>
        <w:drawing>
          <wp:inline distT="0" distB="0" distL="0" distR="0" wp14:anchorId="6C58BAAA" wp14:editId="22FE0392">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sidRPr="00D94409">
        <w:rPr>
          <w:rStyle w:val="A4"/>
          <w:b w:val="0"/>
          <w:sz w:val="22"/>
          <w:szCs w:val="22"/>
        </w:rPr>
        <w:t xml:space="preserve"> </w:t>
      </w:r>
      <w:r w:rsidRPr="00D94409">
        <w:rPr>
          <w:rStyle w:val="A4"/>
          <w:b w:val="0"/>
          <w:sz w:val="18"/>
          <w:szCs w:val="18"/>
        </w:rPr>
        <w:t xml:space="preserve">This work is licensed under the Creative Commons Attribution 4.0 International licence. In essence, </w:t>
      </w:r>
      <w:r w:rsidRPr="00D94409">
        <w:rPr>
          <w:rFonts w:cs="Arial"/>
          <w:b w:val="0"/>
          <w:bCs/>
          <w:sz w:val="18"/>
          <w:szCs w:val="18"/>
        </w:rPr>
        <w:t xml:space="preserve">you are free to: </w:t>
      </w:r>
      <w:r w:rsidRPr="00D94409">
        <w:rPr>
          <w:rFonts w:cs="Arial"/>
          <w:b w:val="0"/>
          <w:sz w:val="18"/>
          <w:szCs w:val="18"/>
        </w:rPr>
        <w:t xml:space="preserve">share </w:t>
      </w:r>
      <w:proofErr w:type="spellStart"/>
      <w:r w:rsidRPr="00D94409">
        <w:rPr>
          <w:rFonts w:cs="Arial"/>
          <w:b w:val="0"/>
          <w:sz w:val="18"/>
          <w:szCs w:val="18"/>
        </w:rPr>
        <w:t>ie</w:t>
      </w:r>
      <w:proofErr w:type="spellEnd"/>
      <w:r w:rsidRPr="00D94409">
        <w:rPr>
          <w:rFonts w:cs="Arial"/>
          <w:b w:val="0"/>
          <w:sz w:val="18"/>
          <w:szCs w:val="18"/>
        </w:rPr>
        <w:t xml:space="preserve">, copy and redistribute the material in any medium or format; adapt </w:t>
      </w:r>
      <w:proofErr w:type="spellStart"/>
      <w:r w:rsidRPr="00D94409">
        <w:rPr>
          <w:rFonts w:cs="Arial"/>
          <w:b w:val="0"/>
          <w:sz w:val="18"/>
          <w:szCs w:val="18"/>
        </w:rPr>
        <w:t>ie</w:t>
      </w:r>
      <w:proofErr w:type="spellEnd"/>
      <w:r w:rsidRPr="00D94409">
        <w:rPr>
          <w:rFonts w:cs="Arial"/>
          <w:b w:val="0"/>
          <w:sz w:val="18"/>
          <w:szCs w:val="18"/>
        </w:rPr>
        <w:t xml:space="preserve">, remix, transform and build upon the material. </w:t>
      </w:r>
      <w:r w:rsidRPr="00D94409">
        <w:rPr>
          <w:rFonts w:cs="Arial"/>
          <w:b w:val="0"/>
          <w:bCs/>
          <w:sz w:val="18"/>
          <w:szCs w:val="18"/>
        </w:rPr>
        <w:t>You must give appropriate credit, provide a link to the licence and indicate if changes were made.</w:t>
      </w:r>
    </w:p>
    <w:p w:rsidR="00C86248" w:rsidRPr="00D94409" w:rsidRDefault="00C86248">
      <w:pPr>
        <w:jc w:val="center"/>
        <w:sectPr w:rsidR="00C86248" w:rsidRPr="00D94409" w:rsidSect="0016468A">
          <w:footerReference w:type="even" r:id="rId13"/>
          <w:footerReference w:type="default" r:id="rId14"/>
          <w:pgSz w:w="11907" w:h="16834" w:code="9"/>
          <w:pgMar w:top="1701" w:right="1134" w:bottom="1134" w:left="1985" w:header="0" w:footer="0" w:gutter="0"/>
          <w:cols w:space="720"/>
          <w:vAlign w:val="bottom"/>
        </w:sectPr>
      </w:pPr>
    </w:p>
    <w:p w:rsidR="00DE3B20" w:rsidRPr="00D94409" w:rsidRDefault="00DE3B20" w:rsidP="0021763B">
      <w:pPr>
        <w:pStyle w:val="Heading1"/>
      </w:pPr>
      <w:bookmarkStart w:id="1" w:name="_Toc433234082"/>
      <w:bookmarkStart w:id="2" w:name="_Toc405792991"/>
      <w:bookmarkStart w:id="3" w:name="_Toc405793224"/>
      <w:r w:rsidRPr="00D94409">
        <w:lastRenderedPageBreak/>
        <w:t>Foreword</w:t>
      </w:r>
      <w:bookmarkEnd w:id="1"/>
    </w:p>
    <w:p w:rsidR="00A74AC3" w:rsidRPr="00D94409" w:rsidRDefault="00A74AC3" w:rsidP="007E3FAC">
      <w:r w:rsidRPr="00D94409">
        <w:t>I am pleased to present my annual report on the state of public health in New Zealand.</w:t>
      </w:r>
    </w:p>
    <w:p w:rsidR="00A74AC3" w:rsidRPr="00D94409" w:rsidRDefault="00A74AC3" w:rsidP="007E3FAC">
      <w:pPr>
        <w:rPr>
          <w:rFonts w:ascii="Century" w:eastAsia="Century" w:hAnsi="Century" w:cs="Century"/>
        </w:rPr>
      </w:pPr>
    </w:p>
    <w:p w:rsidR="00A74AC3" w:rsidRPr="00D94409" w:rsidRDefault="00A74AC3" w:rsidP="007E3FAC">
      <w:r w:rsidRPr="00D94409">
        <w:t>We know that good health starts in the womb and the early years. A healthy start can improve our lifestyle and health throughout life. Indeed, today New Zealanders continue to live longer, and most of us can expect to spend more of that time in good health. However, too few New Zealanders are</w:t>
      </w:r>
      <w:r w:rsidR="007E3FAC">
        <w:t xml:space="preserve"> </w:t>
      </w:r>
      <w:r w:rsidRPr="00D94409">
        <w:t>optimising their health by eating well, getting enough exercise, maintaining a healthy weight, reducing risky health behaviours and looking after their mental wellbeing. The reasons for these trends are complex and go well beyond the health sector.</w:t>
      </w:r>
    </w:p>
    <w:p w:rsidR="00A74AC3" w:rsidRPr="00D94409" w:rsidRDefault="00A74AC3" w:rsidP="007E3FAC">
      <w:pPr>
        <w:rPr>
          <w:rFonts w:ascii="Century" w:eastAsia="Century" w:hAnsi="Century" w:cs="Century"/>
          <w:sz w:val="18"/>
          <w:szCs w:val="18"/>
        </w:rPr>
      </w:pPr>
    </w:p>
    <w:p w:rsidR="00A74AC3" w:rsidRPr="00D94409" w:rsidRDefault="00A74AC3" w:rsidP="007E3FAC">
      <w:r w:rsidRPr="00D94409">
        <w:t xml:space="preserve">The social, economic and physical </w:t>
      </w:r>
      <w:proofErr w:type="gramStart"/>
      <w:r w:rsidRPr="00D94409">
        <w:t>environments</w:t>
      </w:r>
      <w:proofErr w:type="gramEnd"/>
      <w:r w:rsidRPr="00D94409">
        <w:t xml:space="preserve"> in which we live, learn, work and play all influence our ability to adopt and maintain a healthy lifestyle. The communities and homes we live in, the education we receive, what we do for a living and our exposure to crime and violence all impact on our health and our ability to make healthy decisions.</w:t>
      </w:r>
    </w:p>
    <w:p w:rsidR="00A74AC3" w:rsidRPr="00D94409" w:rsidRDefault="00A74AC3" w:rsidP="007E3FAC">
      <w:pPr>
        <w:rPr>
          <w:rFonts w:ascii="Century" w:eastAsia="Century" w:hAnsi="Century" w:cs="Century"/>
          <w:sz w:val="18"/>
          <w:szCs w:val="18"/>
        </w:rPr>
      </w:pPr>
    </w:p>
    <w:p w:rsidR="00A74AC3" w:rsidRPr="00D94409" w:rsidRDefault="00A74AC3" w:rsidP="007E3FAC">
      <w:r w:rsidRPr="00D94409">
        <w:t>This report draws on a range of information to illustrate the key health issues affecting New Zealanders. It provides an overview of the burden of disease, our health status, and the wide range of factors influencing our health and wellbeing.</w:t>
      </w:r>
    </w:p>
    <w:p w:rsidR="00A74AC3" w:rsidRPr="00D94409" w:rsidRDefault="00A74AC3" w:rsidP="007E3FAC">
      <w:pPr>
        <w:rPr>
          <w:rFonts w:ascii="Century" w:eastAsia="Century" w:hAnsi="Century" w:cs="Century"/>
          <w:sz w:val="18"/>
          <w:szCs w:val="18"/>
        </w:rPr>
      </w:pPr>
    </w:p>
    <w:p w:rsidR="00A74AC3" w:rsidRPr="00D94409" w:rsidRDefault="00A74AC3" w:rsidP="007E3FAC">
      <w:r w:rsidRPr="00D94409">
        <w:t>While already performing well and achieving good results, the health and disability system must continually adapt to meet the changing health needs of New Zealanders. The update of the New Zealand Health Strategy will set out a new vision and road map for the health sector for the next five years.</w:t>
      </w:r>
    </w:p>
    <w:p w:rsidR="00A74AC3" w:rsidRPr="00D94409" w:rsidRDefault="00A74AC3" w:rsidP="007E3FAC">
      <w:pPr>
        <w:rPr>
          <w:rFonts w:ascii="Century" w:eastAsia="Century" w:hAnsi="Century" w:cs="Century"/>
          <w:sz w:val="18"/>
          <w:szCs w:val="18"/>
        </w:rPr>
      </w:pPr>
    </w:p>
    <w:p w:rsidR="00A74AC3" w:rsidRPr="00D94409" w:rsidRDefault="00A74AC3" w:rsidP="007E3FAC">
      <w:r w:rsidRPr="00D94409">
        <w:t>Cross-agency collaboration is essential if we are to address the wider determinants of health, reduce the social impact of poor health and improve support for vulnerable groups. The Ministry of Health is committed to working with other public services to ensure New Zealanders live well, stay well and get well.</w:t>
      </w:r>
    </w:p>
    <w:p w:rsidR="00A74AC3" w:rsidRPr="00D94409" w:rsidRDefault="00A74AC3" w:rsidP="007E3FAC">
      <w:pPr>
        <w:rPr>
          <w:rFonts w:eastAsia="Century"/>
        </w:rPr>
      </w:pPr>
    </w:p>
    <w:p w:rsidR="00A74AC3" w:rsidRPr="00D94409" w:rsidRDefault="00A74AC3" w:rsidP="007E3FAC">
      <w:pPr>
        <w:rPr>
          <w:rFonts w:eastAsia="Century"/>
        </w:rPr>
      </w:pPr>
    </w:p>
    <w:p w:rsidR="00A74AC3" w:rsidRPr="00D94409" w:rsidRDefault="00A74AC3" w:rsidP="007E3FAC">
      <w:r w:rsidRPr="00D94409">
        <w:t xml:space="preserve">Chai </w:t>
      </w:r>
      <w:proofErr w:type="spellStart"/>
      <w:r w:rsidRPr="00D94409">
        <w:t>Chuah</w:t>
      </w:r>
      <w:proofErr w:type="spellEnd"/>
    </w:p>
    <w:p w:rsidR="00DE3B20" w:rsidRPr="00D94409" w:rsidRDefault="00A74AC3" w:rsidP="007E3FAC">
      <w:r w:rsidRPr="00D94409">
        <w:t>Director-General of Health Ministry of Health</w:t>
      </w:r>
    </w:p>
    <w:p w:rsidR="00DE3B20" w:rsidRPr="00D94409" w:rsidRDefault="00DE3B20">
      <w:pPr>
        <w:spacing w:line="240" w:lineRule="auto"/>
      </w:pPr>
      <w:r w:rsidRPr="00D94409">
        <w:br w:type="page"/>
      </w:r>
    </w:p>
    <w:p w:rsidR="0021763B" w:rsidRPr="00D94409" w:rsidRDefault="0021763B" w:rsidP="0021763B">
      <w:pPr>
        <w:pStyle w:val="Heading1"/>
      </w:pPr>
      <w:bookmarkStart w:id="4" w:name="_Toc433234083"/>
      <w:r w:rsidRPr="00D94409">
        <w:lastRenderedPageBreak/>
        <w:t>Acknowledgements</w:t>
      </w:r>
      <w:bookmarkEnd w:id="4"/>
    </w:p>
    <w:p w:rsidR="00A74AC3" w:rsidRDefault="00A74AC3" w:rsidP="007E3FAC">
      <w:r w:rsidRPr="00D94409">
        <w:t>This report was written by the Health and Disability Intelligence Group, Ministry of Health.</w:t>
      </w:r>
    </w:p>
    <w:p w:rsidR="007E3FAC" w:rsidRPr="00D94409" w:rsidRDefault="007E3FAC" w:rsidP="007E3FAC"/>
    <w:p w:rsidR="00E33238" w:rsidRDefault="00A74AC3" w:rsidP="007E3FAC">
      <w:r w:rsidRPr="00D94409">
        <w:t>They would like to thank the peer reviewers and those who provided data for inclusion in the report.</w:t>
      </w:r>
    </w:p>
    <w:p w:rsidR="007E3FAC" w:rsidRPr="00D94409" w:rsidRDefault="007E3FAC" w:rsidP="007E3FAC"/>
    <w:p w:rsidR="00E33238" w:rsidRPr="00D94409" w:rsidRDefault="00E33238" w:rsidP="00E33238">
      <w:r w:rsidRPr="00D94409">
        <w:br w:type="page"/>
      </w:r>
    </w:p>
    <w:p w:rsidR="00C86248" w:rsidRPr="00D94409" w:rsidRDefault="00C86248">
      <w:pPr>
        <w:pStyle w:val="IntroHead"/>
      </w:pPr>
      <w:r w:rsidRPr="00D94409">
        <w:lastRenderedPageBreak/>
        <w:t>Contents</w:t>
      </w:r>
      <w:bookmarkEnd w:id="2"/>
      <w:bookmarkEnd w:id="3"/>
    </w:p>
    <w:p w:rsidR="009B2B80" w:rsidRDefault="00C86248">
      <w:pPr>
        <w:pStyle w:val="TOC1"/>
        <w:rPr>
          <w:rFonts w:asciiTheme="minorHAnsi" w:eastAsiaTheme="minorEastAsia" w:hAnsiTheme="minorHAnsi" w:cstheme="minorBidi"/>
          <w:b w:val="0"/>
          <w:noProof/>
          <w:szCs w:val="22"/>
          <w:lang w:eastAsia="en-NZ"/>
        </w:rPr>
      </w:pPr>
      <w:r w:rsidRPr="00D94409">
        <w:rPr>
          <w:b w:val="0"/>
        </w:rPr>
        <w:fldChar w:fldCharType="begin"/>
      </w:r>
      <w:r w:rsidRPr="00D94409">
        <w:instrText xml:space="preserve"> TOC \o "1-2" </w:instrText>
      </w:r>
      <w:r w:rsidRPr="00D94409">
        <w:rPr>
          <w:b w:val="0"/>
        </w:rPr>
        <w:fldChar w:fldCharType="separate"/>
      </w:r>
      <w:r w:rsidR="009B2B80">
        <w:rPr>
          <w:noProof/>
        </w:rPr>
        <w:t>Foreword</w:t>
      </w:r>
      <w:r w:rsidR="009B2B80">
        <w:rPr>
          <w:noProof/>
        </w:rPr>
        <w:tab/>
      </w:r>
      <w:r w:rsidR="009B2B80">
        <w:rPr>
          <w:noProof/>
        </w:rPr>
        <w:fldChar w:fldCharType="begin"/>
      </w:r>
      <w:r w:rsidR="009B2B80">
        <w:rPr>
          <w:noProof/>
        </w:rPr>
        <w:instrText xml:space="preserve"> PAGEREF _Toc433234082 \h </w:instrText>
      </w:r>
      <w:r w:rsidR="009B2B80">
        <w:rPr>
          <w:noProof/>
        </w:rPr>
      </w:r>
      <w:r w:rsidR="009B2B80">
        <w:rPr>
          <w:noProof/>
        </w:rPr>
        <w:fldChar w:fldCharType="separate"/>
      </w:r>
      <w:r w:rsidR="009B2B80">
        <w:rPr>
          <w:noProof/>
        </w:rPr>
        <w:t>iii</w:t>
      </w:r>
      <w:r w:rsidR="009B2B80">
        <w:rPr>
          <w:noProof/>
        </w:rPr>
        <w:fldChar w:fldCharType="end"/>
      </w:r>
    </w:p>
    <w:p w:rsidR="009B2B80" w:rsidRDefault="009B2B80">
      <w:pPr>
        <w:pStyle w:val="TOC1"/>
        <w:rPr>
          <w:rFonts w:asciiTheme="minorHAnsi" w:eastAsiaTheme="minorEastAsia" w:hAnsiTheme="minorHAnsi" w:cstheme="minorBidi"/>
          <w:b w:val="0"/>
          <w:noProof/>
          <w:szCs w:val="22"/>
          <w:lang w:eastAsia="en-NZ"/>
        </w:rPr>
      </w:pPr>
      <w:r>
        <w:rPr>
          <w:noProof/>
        </w:rPr>
        <w:t>Acknowledgements</w:t>
      </w:r>
      <w:r>
        <w:rPr>
          <w:noProof/>
        </w:rPr>
        <w:tab/>
      </w:r>
      <w:r>
        <w:rPr>
          <w:noProof/>
        </w:rPr>
        <w:fldChar w:fldCharType="begin"/>
      </w:r>
      <w:r>
        <w:rPr>
          <w:noProof/>
        </w:rPr>
        <w:instrText xml:space="preserve"> PAGEREF _Toc433234083 \h </w:instrText>
      </w:r>
      <w:r>
        <w:rPr>
          <w:noProof/>
        </w:rPr>
      </w:r>
      <w:r>
        <w:rPr>
          <w:noProof/>
        </w:rPr>
        <w:fldChar w:fldCharType="separate"/>
      </w:r>
      <w:r>
        <w:rPr>
          <w:noProof/>
        </w:rPr>
        <w:t>iv</w:t>
      </w:r>
      <w:r>
        <w:rPr>
          <w:noProof/>
        </w:rPr>
        <w:fldChar w:fldCharType="end"/>
      </w:r>
    </w:p>
    <w:p w:rsidR="009B2B80" w:rsidRDefault="009B2B80">
      <w:pPr>
        <w:pStyle w:val="TOC1"/>
        <w:rPr>
          <w:rFonts w:asciiTheme="minorHAnsi" w:eastAsiaTheme="minorEastAsia" w:hAnsiTheme="minorHAnsi" w:cstheme="minorBidi"/>
          <w:b w:val="0"/>
          <w:noProof/>
          <w:szCs w:val="22"/>
          <w:lang w:eastAsia="en-NZ"/>
        </w:rPr>
      </w:pPr>
      <w:r>
        <w:rPr>
          <w:noProof/>
        </w:rPr>
        <w:t>Executive summary</w:t>
      </w:r>
      <w:r>
        <w:rPr>
          <w:noProof/>
        </w:rPr>
        <w:tab/>
      </w:r>
      <w:r>
        <w:rPr>
          <w:noProof/>
        </w:rPr>
        <w:fldChar w:fldCharType="begin"/>
      </w:r>
      <w:r>
        <w:rPr>
          <w:noProof/>
        </w:rPr>
        <w:instrText xml:space="preserve"> PAGEREF _Toc433234084 \h </w:instrText>
      </w:r>
      <w:r>
        <w:rPr>
          <w:noProof/>
        </w:rPr>
      </w:r>
      <w:r>
        <w:rPr>
          <w:noProof/>
        </w:rPr>
        <w:fldChar w:fldCharType="separate"/>
      </w:r>
      <w:r>
        <w:rPr>
          <w:noProof/>
        </w:rPr>
        <w:t>vii</w:t>
      </w:r>
      <w:r>
        <w:rPr>
          <w:noProof/>
        </w:rPr>
        <w:fldChar w:fldCharType="end"/>
      </w:r>
    </w:p>
    <w:p w:rsidR="009B2B80" w:rsidRDefault="009B2B80">
      <w:pPr>
        <w:pStyle w:val="TOC1"/>
        <w:rPr>
          <w:rFonts w:asciiTheme="minorHAnsi" w:eastAsiaTheme="minorEastAsia" w:hAnsiTheme="minorHAnsi" w:cstheme="minorBidi"/>
          <w:b w:val="0"/>
          <w:noProof/>
          <w:szCs w:val="22"/>
          <w:lang w:eastAsia="en-NZ"/>
        </w:rPr>
      </w:pPr>
      <w:r>
        <w:rPr>
          <w:noProof/>
        </w:rPr>
        <w:t>Introduction</w:t>
      </w:r>
      <w:r>
        <w:rPr>
          <w:noProof/>
        </w:rPr>
        <w:tab/>
      </w:r>
      <w:r>
        <w:rPr>
          <w:noProof/>
        </w:rPr>
        <w:fldChar w:fldCharType="begin"/>
      </w:r>
      <w:r>
        <w:rPr>
          <w:noProof/>
        </w:rPr>
        <w:instrText xml:space="preserve"> PAGEREF _Toc433234085 \h </w:instrText>
      </w:r>
      <w:r>
        <w:rPr>
          <w:noProof/>
        </w:rPr>
      </w:r>
      <w:r>
        <w:rPr>
          <w:noProof/>
        </w:rPr>
        <w:fldChar w:fldCharType="separate"/>
      </w:r>
      <w:r>
        <w:rPr>
          <w:noProof/>
        </w:rPr>
        <w:t>2</w:t>
      </w:r>
      <w:r>
        <w:rPr>
          <w:noProof/>
        </w:rPr>
        <w:fldChar w:fldCharType="end"/>
      </w:r>
    </w:p>
    <w:p w:rsidR="009B2B80" w:rsidRDefault="009B2B80">
      <w:pPr>
        <w:pStyle w:val="TOC1"/>
        <w:rPr>
          <w:rFonts w:asciiTheme="minorHAnsi" w:eastAsiaTheme="minorEastAsia" w:hAnsiTheme="minorHAnsi" w:cstheme="minorBidi"/>
          <w:b w:val="0"/>
          <w:noProof/>
          <w:szCs w:val="22"/>
          <w:lang w:eastAsia="en-NZ"/>
        </w:rPr>
      </w:pPr>
      <w:r>
        <w:rPr>
          <w:noProof/>
        </w:rPr>
        <w:t>How healthy are New Zealanders?</w:t>
      </w:r>
      <w:r>
        <w:rPr>
          <w:noProof/>
        </w:rPr>
        <w:tab/>
      </w:r>
      <w:r>
        <w:rPr>
          <w:noProof/>
        </w:rPr>
        <w:fldChar w:fldCharType="begin"/>
      </w:r>
      <w:r>
        <w:rPr>
          <w:noProof/>
        </w:rPr>
        <w:instrText xml:space="preserve"> PAGEREF _Toc433234086 \h </w:instrText>
      </w:r>
      <w:r>
        <w:rPr>
          <w:noProof/>
        </w:rPr>
      </w:r>
      <w:r>
        <w:rPr>
          <w:noProof/>
        </w:rPr>
        <w:fldChar w:fldCharType="separate"/>
      </w:r>
      <w:r>
        <w:rPr>
          <w:noProof/>
        </w:rPr>
        <w:t>4</w:t>
      </w:r>
      <w:r>
        <w:rPr>
          <w:noProof/>
        </w:rPr>
        <w:fldChar w:fldCharType="end"/>
      </w:r>
    </w:p>
    <w:p w:rsidR="009B2B80" w:rsidRDefault="009B2B80">
      <w:pPr>
        <w:pStyle w:val="TOC2"/>
        <w:rPr>
          <w:rFonts w:asciiTheme="minorHAnsi" w:eastAsiaTheme="minorEastAsia" w:hAnsiTheme="minorHAnsi" w:cstheme="minorBidi"/>
          <w:noProof/>
          <w:szCs w:val="22"/>
          <w:lang w:eastAsia="en-NZ"/>
        </w:rPr>
      </w:pPr>
      <w:r>
        <w:rPr>
          <w:noProof/>
        </w:rPr>
        <w:t>Leading causes of health loss</w:t>
      </w:r>
      <w:r>
        <w:rPr>
          <w:noProof/>
        </w:rPr>
        <w:tab/>
      </w:r>
      <w:r>
        <w:rPr>
          <w:noProof/>
        </w:rPr>
        <w:fldChar w:fldCharType="begin"/>
      </w:r>
      <w:r>
        <w:rPr>
          <w:noProof/>
        </w:rPr>
        <w:instrText xml:space="preserve"> PAGEREF _Toc433234087 \h </w:instrText>
      </w:r>
      <w:r>
        <w:rPr>
          <w:noProof/>
        </w:rPr>
      </w:r>
      <w:r>
        <w:rPr>
          <w:noProof/>
        </w:rPr>
        <w:fldChar w:fldCharType="separate"/>
      </w:r>
      <w:r>
        <w:rPr>
          <w:noProof/>
        </w:rPr>
        <w:t>7</w:t>
      </w:r>
      <w:r>
        <w:rPr>
          <w:noProof/>
        </w:rPr>
        <w:fldChar w:fldCharType="end"/>
      </w:r>
    </w:p>
    <w:p w:rsidR="009B2B80" w:rsidRDefault="009B2B80">
      <w:pPr>
        <w:pStyle w:val="TOC2"/>
        <w:rPr>
          <w:rFonts w:asciiTheme="minorHAnsi" w:eastAsiaTheme="minorEastAsia" w:hAnsiTheme="minorHAnsi" w:cstheme="minorBidi"/>
          <w:noProof/>
          <w:szCs w:val="22"/>
          <w:lang w:eastAsia="en-NZ"/>
        </w:rPr>
      </w:pPr>
      <w:r>
        <w:rPr>
          <w:noProof/>
        </w:rPr>
        <w:t>Looking after our health</w:t>
      </w:r>
      <w:r>
        <w:rPr>
          <w:noProof/>
        </w:rPr>
        <w:tab/>
      </w:r>
      <w:r>
        <w:rPr>
          <w:noProof/>
        </w:rPr>
        <w:fldChar w:fldCharType="begin"/>
      </w:r>
      <w:r>
        <w:rPr>
          <w:noProof/>
        </w:rPr>
        <w:instrText xml:space="preserve"> PAGEREF _Toc433234088 \h </w:instrText>
      </w:r>
      <w:r>
        <w:rPr>
          <w:noProof/>
        </w:rPr>
      </w:r>
      <w:r>
        <w:rPr>
          <w:noProof/>
        </w:rPr>
        <w:fldChar w:fldCharType="separate"/>
      </w:r>
      <w:r>
        <w:rPr>
          <w:noProof/>
        </w:rPr>
        <w:t>10</w:t>
      </w:r>
      <w:r>
        <w:rPr>
          <w:noProof/>
        </w:rPr>
        <w:fldChar w:fldCharType="end"/>
      </w:r>
    </w:p>
    <w:p w:rsidR="009B2B80" w:rsidRDefault="009B2B80">
      <w:pPr>
        <w:pStyle w:val="TOC1"/>
        <w:rPr>
          <w:rFonts w:asciiTheme="minorHAnsi" w:eastAsiaTheme="minorEastAsia" w:hAnsiTheme="minorHAnsi" w:cstheme="minorBidi"/>
          <w:b w:val="0"/>
          <w:noProof/>
          <w:szCs w:val="22"/>
          <w:lang w:eastAsia="en-NZ"/>
        </w:rPr>
      </w:pPr>
      <w:r>
        <w:rPr>
          <w:noProof/>
        </w:rPr>
        <w:t>Preventing ill health</w:t>
      </w:r>
      <w:r>
        <w:rPr>
          <w:noProof/>
        </w:rPr>
        <w:tab/>
      </w:r>
      <w:r>
        <w:rPr>
          <w:noProof/>
        </w:rPr>
        <w:fldChar w:fldCharType="begin"/>
      </w:r>
      <w:r>
        <w:rPr>
          <w:noProof/>
        </w:rPr>
        <w:instrText xml:space="preserve"> PAGEREF _Toc433234089 \h </w:instrText>
      </w:r>
      <w:r>
        <w:rPr>
          <w:noProof/>
        </w:rPr>
      </w:r>
      <w:r>
        <w:rPr>
          <w:noProof/>
        </w:rPr>
        <w:fldChar w:fldCharType="separate"/>
      </w:r>
      <w:r>
        <w:rPr>
          <w:noProof/>
        </w:rPr>
        <w:t>15</w:t>
      </w:r>
      <w:r>
        <w:rPr>
          <w:noProof/>
        </w:rPr>
        <w:fldChar w:fldCharType="end"/>
      </w:r>
    </w:p>
    <w:p w:rsidR="009B2B80" w:rsidRDefault="009B2B80">
      <w:pPr>
        <w:pStyle w:val="TOC2"/>
        <w:rPr>
          <w:rFonts w:asciiTheme="minorHAnsi" w:eastAsiaTheme="minorEastAsia" w:hAnsiTheme="minorHAnsi" w:cstheme="minorBidi"/>
          <w:noProof/>
          <w:szCs w:val="22"/>
          <w:lang w:eastAsia="en-NZ"/>
        </w:rPr>
      </w:pPr>
      <w:r>
        <w:rPr>
          <w:noProof/>
        </w:rPr>
        <w:t>Wider determinants of health</w:t>
      </w:r>
      <w:r>
        <w:rPr>
          <w:noProof/>
        </w:rPr>
        <w:tab/>
      </w:r>
      <w:r>
        <w:rPr>
          <w:noProof/>
        </w:rPr>
        <w:fldChar w:fldCharType="begin"/>
      </w:r>
      <w:r>
        <w:rPr>
          <w:noProof/>
        </w:rPr>
        <w:instrText xml:space="preserve"> PAGEREF _Toc433234090 \h </w:instrText>
      </w:r>
      <w:r>
        <w:rPr>
          <w:noProof/>
        </w:rPr>
      </w:r>
      <w:r>
        <w:rPr>
          <w:noProof/>
        </w:rPr>
        <w:fldChar w:fldCharType="separate"/>
      </w:r>
      <w:r>
        <w:rPr>
          <w:noProof/>
        </w:rPr>
        <w:t>15</w:t>
      </w:r>
      <w:r>
        <w:rPr>
          <w:noProof/>
        </w:rPr>
        <w:fldChar w:fldCharType="end"/>
      </w:r>
    </w:p>
    <w:p w:rsidR="009B2B80" w:rsidRDefault="009B2B80">
      <w:pPr>
        <w:pStyle w:val="TOC2"/>
        <w:rPr>
          <w:rFonts w:asciiTheme="minorHAnsi" w:eastAsiaTheme="minorEastAsia" w:hAnsiTheme="minorHAnsi" w:cstheme="minorBidi"/>
          <w:noProof/>
          <w:szCs w:val="22"/>
          <w:lang w:eastAsia="en-NZ"/>
        </w:rPr>
      </w:pPr>
      <w:r>
        <w:rPr>
          <w:noProof/>
        </w:rPr>
        <w:t>Healthy start</w:t>
      </w:r>
      <w:r>
        <w:rPr>
          <w:noProof/>
        </w:rPr>
        <w:tab/>
      </w:r>
      <w:r>
        <w:rPr>
          <w:noProof/>
        </w:rPr>
        <w:fldChar w:fldCharType="begin"/>
      </w:r>
      <w:r>
        <w:rPr>
          <w:noProof/>
        </w:rPr>
        <w:instrText xml:space="preserve"> PAGEREF _Toc433234091 \h </w:instrText>
      </w:r>
      <w:r>
        <w:rPr>
          <w:noProof/>
        </w:rPr>
      </w:r>
      <w:r>
        <w:rPr>
          <w:noProof/>
        </w:rPr>
        <w:fldChar w:fldCharType="separate"/>
      </w:r>
      <w:r>
        <w:rPr>
          <w:noProof/>
        </w:rPr>
        <w:t>17</w:t>
      </w:r>
      <w:r>
        <w:rPr>
          <w:noProof/>
        </w:rPr>
        <w:fldChar w:fldCharType="end"/>
      </w:r>
    </w:p>
    <w:p w:rsidR="009B2B80" w:rsidRDefault="009B2B80">
      <w:pPr>
        <w:pStyle w:val="TOC2"/>
        <w:rPr>
          <w:rFonts w:asciiTheme="minorHAnsi" w:eastAsiaTheme="minorEastAsia" w:hAnsiTheme="minorHAnsi" w:cstheme="minorBidi"/>
          <w:noProof/>
          <w:szCs w:val="22"/>
          <w:lang w:eastAsia="en-NZ"/>
        </w:rPr>
      </w:pPr>
      <w:r>
        <w:rPr>
          <w:noProof/>
        </w:rPr>
        <w:t>Mental health and wellbeing</w:t>
      </w:r>
      <w:r>
        <w:rPr>
          <w:noProof/>
        </w:rPr>
        <w:tab/>
      </w:r>
      <w:r>
        <w:rPr>
          <w:noProof/>
        </w:rPr>
        <w:fldChar w:fldCharType="begin"/>
      </w:r>
      <w:r>
        <w:rPr>
          <w:noProof/>
        </w:rPr>
        <w:instrText xml:space="preserve"> PAGEREF _Toc433234092 \h </w:instrText>
      </w:r>
      <w:r>
        <w:rPr>
          <w:noProof/>
        </w:rPr>
      </w:r>
      <w:r>
        <w:rPr>
          <w:noProof/>
        </w:rPr>
        <w:fldChar w:fldCharType="separate"/>
      </w:r>
      <w:r>
        <w:rPr>
          <w:noProof/>
        </w:rPr>
        <w:t>21</w:t>
      </w:r>
      <w:r>
        <w:rPr>
          <w:noProof/>
        </w:rPr>
        <w:fldChar w:fldCharType="end"/>
      </w:r>
    </w:p>
    <w:p w:rsidR="009B2B80" w:rsidRDefault="009B2B80">
      <w:pPr>
        <w:pStyle w:val="TOC1"/>
        <w:rPr>
          <w:rFonts w:asciiTheme="minorHAnsi" w:eastAsiaTheme="minorEastAsia" w:hAnsiTheme="minorHAnsi" w:cstheme="minorBidi"/>
          <w:b w:val="0"/>
          <w:noProof/>
          <w:szCs w:val="22"/>
          <w:lang w:eastAsia="en-NZ"/>
        </w:rPr>
      </w:pPr>
      <w:r>
        <w:rPr>
          <w:noProof/>
        </w:rPr>
        <w:t>Protecting our health</w:t>
      </w:r>
      <w:r>
        <w:rPr>
          <w:noProof/>
        </w:rPr>
        <w:tab/>
      </w:r>
      <w:r>
        <w:rPr>
          <w:noProof/>
        </w:rPr>
        <w:fldChar w:fldCharType="begin"/>
      </w:r>
      <w:r>
        <w:rPr>
          <w:noProof/>
        </w:rPr>
        <w:instrText xml:space="preserve"> PAGEREF _Toc433234093 \h </w:instrText>
      </w:r>
      <w:r>
        <w:rPr>
          <w:noProof/>
        </w:rPr>
      </w:r>
      <w:r>
        <w:rPr>
          <w:noProof/>
        </w:rPr>
        <w:fldChar w:fldCharType="separate"/>
      </w:r>
      <w:r>
        <w:rPr>
          <w:noProof/>
        </w:rPr>
        <w:t>25</w:t>
      </w:r>
      <w:r>
        <w:rPr>
          <w:noProof/>
        </w:rPr>
        <w:fldChar w:fldCharType="end"/>
      </w:r>
    </w:p>
    <w:p w:rsidR="009B2B80" w:rsidRDefault="009B2B80">
      <w:pPr>
        <w:pStyle w:val="TOC2"/>
        <w:rPr>
          <w:rFonts w:asciiTheme="minorHAnsi" w:eastAsiaTheme="minorEastAsia" w:hAnsiTheme="minorHAnsi" w:cstheme="minorBidi"/>
          <w:noProof/>
          <w:szCs w:val="22"/>
          <w:lang w:eastAsia="en-NZ"/>
        </w:rPr>
      </w:pPr>
      <w:r>
        <w:rPr>
          <w:noProof/>
        </w:rPr>
        <w:t>Early detection and treatment</w:t>
      </w:r>
      <w:r>
        <w:rPr>
          <w:noProof/>
        </w:rPr>
        <w:tab/>
      </w:r>
      <w:r>
        <w:rPr>
          <w:noProof/>
        </w:rPr>
        <w:fldChar w:fldCharType="begin"/>
      </w:r>
      <w:r>
        <w:rPr>
          <w:noProof/>
        </w:rPr>
        <w:instrText xml:space="preserve"> PAGEREF _Toc433234094 \h </w:instrText>
      </w:r>
      <w:r>
        <w:rPr>
          <w:noProof/>
        </w:rPr>
      </w:r>
      <w:r>
        <w:rPr>
          <w:noProof/>
        </w:rPr>
        <w:fldChar w:fldCharType="separate"/>
      </w:r>
      <w:r>
        <w:rPr>
          <w:noProof/>
        </w:rPr>
        <w:t>25</w:t>
      </w:r>
      <w:r>
        <w:rPr>
          <w:noProof/>
        </w:rPr>
        <w:fldChar w:fldCharType="end"/>
      </w:r>
    </w:p>
    <w:p w:rsidR="009B2B80" w:rsidRDefault="009B2B80">
      <w:pPr>
        <w:pStyle w:val="TOC2"/>
        <w:rPr>
          <w:rFonts w:asciiTheme="minorHAnsi" w:eastAsiaTheme="minorEastAsia" w:hAnsiTheme="minorHAnsi" w:cstheme="minorBidi"/>
          <w:noProof/>
          <w:szCs w:val="22"/>
          <w:lang w:eastAsia="en-NZ"/>
        </w:rPr>
      </w:pPr>
      <w:r>
        <w:rPr>
          <w:noProof/>
        </w:rPr>
        <w:t>Integrated management of long-term conditions</w:t>
      </w:r>
      <w:r>
        <w:rPr>
          <w:noProof/>
        </w:rPr>
        <w:tab/>
      </w:r>
      <w:r>
        <w:rPr>
          <w:noProof/>
        </w:rPr>
        <w:fldChar w:fldCharType="begin"/>
      </w:r>
      <w:r>
        <w:rPr>
          <w:noProof/>
        </w:rPr>
        <w:instrText xml:space="preserve"> PAGEREF _Toc433234095 \h </w:instrText>
      </w:r>
      <w:r>
        <w:rPr>
          <w:noProof/>
        </w:rPr>
      </w:r>
      <w:r>
        <w:rPr>
          <w:noProof/>
        </w:rPr>
        <w:fldChar w:fldCharType="separate"/>
      </w:r>
      <w:r>
        <w:rPr>
          <w:noProof/>
        </w:rPr>
        <w:t>29</w:t>
      </w:r>
      <w:r>
        <w:rPr>
          <w:noProof/>
        </w:rPr>
        <w:fldChar w:fldCharType="end"/>
      </w:r>
    </w:p>
    <w:p w:rsidR="009B2B80" w:rsidRDefault="009B2B80">
      <w:pPr>
        <w:pStyle w:val="TOC2"/>
        <w:rPr>
          <w:rFonts w:asciiTheme="minorHAnsi" w:eastAsiaTheme="minorEastAsia" w:hAnsiTheme="minorHAnsi" w:cstheme="minorBidi"/>
          <w:noProof/>
          <w:szCs w:val="22"/>
          <w:lang w:eastAsia="en-NZ"/>
        </w:rPr>
      </w:pPr>
      <w:r>
        <w:rPr>
          <w:noProof/>
        </w:rPr>
        <w:t>Communicable disease control</w:t>
      </w:r>
      <w:r>
        <w:rPr>
          <w:noProof/>
        </w:rPr>
        <w:tab/>
      </w:r>
      <w:r>
        <w:rPr>
          <w:noProof/>
        </w:rPr>
        <w:fldChar w:fldCharType="begin"/>
      </w:r>
      <w:r>
        <w:rPr>
          <w:noProof/>
        </w:rPr>
        <w:instrText xml:space="preserve"> PAGEREF _Toc433234096 \h </w:instrText>
      </w:r>
      <w:r>
        <w:rPr>
          <w:noProof/>
        </w:rPr>
      </w:r>
      <w:r>
        <w:rPr>
          <w:noProof/>
        </w:rPr>
        <w:fldChar w:fldCharType="separate"/>
      </w:r>
      <w:r>
        <w:rPr>
          <w:noProof/>
        </w:rPr>
        <w:t>30</w:t>
      </w:r>
      <w:r>
        <w:rPr>
          <w:noProof/>
        </w:rPr>
        <w:fldChar w:fldCharType="end"/>
      </w:r>
    </w:p>
    <w:p w:rsidR="009B2B80" w:rsidRDefault="009B2B80">
      <w:pPr>
        <w:pStyle w:val="TOC1"/>
        <w:rPr>
          <w:rFonts w:asciiTheme="minorHAnsi" w:eastAsiaTheme="minorEastAsia" w:hAnsiTheme="minorHAnsi" w:cstheme="minorBidi"/>
          <w:b w:val="0"/>
          <w:noProof/>
          <w:szCs w:val="22"/>
          <w:lang w:eastAsia="en-NZ"/>
        </w:rPr>
      </w:pPr>
      <w:r>
        <w:rPr>
          <w:noProof/>
        </w:rPr>
        <w:t>Meeting health system challenges</w:t>
      </w:r>
      <w:r>
        <w:rPr>
          <w:noProof/>
        </w:rPr>
        <w:tab/>
      </w:r>
      <w:r>
        <w:rPr>
          <w:noProof/>
        </w:rPr>
        <w:fldChar w:fldCharType="begin"/>
      </w:r>
      <w:r>
        <w:rPr>
          <w:noProof/>
        </w:rPr>
        <w:instrText xml:space="preserve"> PAGEREF _Toc433234097 \h </w:instrText>
      </w:r>
      <w:r>
        <w:rPr>
          <w:noProof/>
        </w:rPr>
      </w:r>
      <w:r>
        <w:rPr>
          <w:noProof/>
        </w:rPr>
        <w:fldChar w:fldCharType="separate"/>
      </w:r>
      <w:r>
        <w:rPr>
          <w:noProof/>
        </w:rPr>
        <w:t>34</w:t>
      </w:r>
      <w:r>
        <w:rPr>
          <w:noProof/>
        </w:rPr>
        <w:fldChar w:fldCharType="end"/>
      </w:r>
    </w:p>
    <w:p w:rsidR="009B2B80" w:rsidRDefault="009B2B80">
      <w:pPr>
        <w:pStyle w:val="TOC2"/>
        <w:rPr>
          <w:rFonts w:asciiTheme="minorHAnsi" w:eastAsiaTheme="minorEastAsia" w:hAnsiTheme="minorHAnsi" w:cstheme="minorBidi"/>
          <w:noProof/>
          <w:szCs w:val="22"/>
          <w:lang w:eastAsia="en-NZ"/>
        </w:rPr>
      </w:pPr>
      <w:r>
        <w:rPr>
          <w:noProof/>
        </w:rPr>
        <w:t>Improving equity for groups with poorer health outcomes</w:t>
      </w:r>
      <w:r>
        <w:rPr>
          <w:noProof/>
        </w:rPr>
        <w:tab/>
      </w:r>
      <w:r>
        <w:rPr>
          <w:noProof/>
        </w:rPr>
        <w:fldChar w:fldCharType="begin"/>
      </w:r>
      <w:r>
        <w:rPr>
          <w:noProof/>
        </w:rPr>
        <w:instrText xml:space="preserve"> PAGEREF _Toc433234098 \h </w:instrText>
      </w:r>
      <w:r>
        <w:rPr>
          <w:noProof/>
        </w:rPr>
      </w:r>
      <w:r>
        <w:rPr>
          <w:noProof/>
        </w:rPr>
        <w:fldChar w:fldCharType="separate"/>
      </w:r>
      <w:r>
        <w:rPr>
          <w:noProof/>
        </w:rPr>
        <w:t>34</w:t>
      </w:r>
      <w:r>
        <w:rPr>
          <w:noProof/>
        </w:rPr>
        <w:fldChar w:fldCharType="end"/>
      </w:r>
    </w:p>
    <w:p w:rsidR="009B2B80" w:rsidRDefault="009B2B80">
      <w:pPr>
        <w:pStyle w:val="TOC2"/>
        <w:rPr>
          <w:rFonts w:asciiTheme="minorHAnsi" w:eastAsiaTheme="minorEastAsia" w:hAnsiTheme="minorHAnsi" w:cstheme="minorBidi"/>
          <w:noProof/>
          <w:szCs w:val="22"/>
          <w:lang w:eastAsia="en-NZ"/>
        </w:rPr>
      </w:pPr>
      <w:r>
        <w:rPr>
          <w:noProof/>
        </w:rPr>
        <w:t>Protecting vulnerable groups</w:t>
      </w:r>
      <w:r>
        <w:rPr>
          <w:noProof/>
        </w:rPr>
        <w:tab/>
      </w:r>
      <w:r>
        <w:rPr>
          <w:noProof/>
        </w:rPr>
        <w:fldChar w:fldCharType="begin"/>
      </w:r>
      <w:r>
        <w:rPr>
          <w:noProof/>
        </w:rPr>
        <w:instrText xml:space="preserve"> PAGEREF _Toc433234099 \h </w:instrText>
      </w:r>
      <w:r>
        <w:rPr>
          <w:noProof/>
        </w:rPr>
      </w:r>
      <w:r>
        <w:rPr>
          <w:noProof/>
        </w:rPr>
        <w:fldChar w:fldCharType="separate"/>
      </w:r>
      <w:r>
        <w:rPr>
          <w:noProof/>
        </w:rPr>
        <w:t>36</w:t>
      </w:r>
      <w:r>
        <w:rPr>
          <w:noProof/>
        </w:rPr>
        <w:fldChar w:fldCharType="end"/>
      </w:r>
    </w:p>
    <w:p w:rsidR="009B2B80" w:rsidRDefault="009B2B80">
      <w:pPr>
        <w:pStyle w:val="TOC2"/>
        <w:rPr>
          <w:rFonts w:asciiTheme="minorHAnsi" w:eastAsiaTheme="minorEastAsia" w:hAnsiTheme="minorHAnsi" w:cstheme="minorBidi"/>
          <w:noProof/>
          <w:szCs w:val="22"/>
          <w:lang w:eastAsia="en-NZ"/>
        </w:rPr>
      </w:pPr>
      <w:r>
        <w:rPr>
          <w:noProof/>
        </w:rPr>
        <w:t>Delivering high-quality, sustainable and safe health care services</w:t>
      </w:r>
      <w:r>
        <w:rPr>
          <w:noProof/>
        </w:rPr>
        <w:tab/>
      </w:r>
      <w:r>
        <w:rPr>
          <w:noProof/>
        </w:rPr>
        <w:fldChar w:fldCharType="begin"/>
      </w:r>
      <w:r>
        <w:rPr>
          <w:noProof/>
        </w:rPr>
        <w:instrText xml:space="preserve"> PAGEREF _Toc433234100 \h </w:instrText>
      </w:r>
      <w:r>
        <w:rPr>
          <w:noProof/>
        </w:rPr>
      </w:r>
      <w:r>
        <w:rPr>
          <w:noProof/>
        </w:rPr>
        <w:fldChar w:fldCharType="separate"/>
      </w:r>
      <w:r>
        <w:rPr>
          <w:noProof/>
        </w:rPr>
        <w:t>41</w:t>
      </w:r>
      <w:r>
        <w:rPr>
          <w:noProof/>
        </w:rPr>
        <w:fldChar w:fldCharType="end"/>
      </w:r>
    </w:p>
    <w:p w:rsidR="009B2B80" w:rsidRDefault="009B2B80">
      <w:pPr>
        <w:pStyle w:val="TOC1"/>
        <w:rPr>
          <w:rFonts w:asciiTheme="minorHAnsi" w:eastAsiaTheme="minorEastAsia" w:hAnsiTheme="minorHAnsi" w:cstheme="minorBidi"/>
          <w:b w:val="0"/>
          <w:noProof/>
          <w:szCs w:val="22"/>
          <w:lang w:eastAsia="en-NZ"/>
        </w:rPr>
      </w:pPr>
      <w:r>
        <w:rPr>
          <w:noProof/>
        </w:rPr>
        <w:t>Summary</w:t>
      </w:r>
      <w:r>
        <w:rPr>
          <w:noProof/>
        </w:rPr>
        <w:tab/>
      </w:r>
      <w:r>
        <w:rPr>
          <w:noProof/>
        </w:rPr>
        <w:fldChar w:fldCharType="begin"/>
      </w:r>
      <w:r>
        <w:rPr>
          <w:noProof/>
        </w:rPr>
        <w:instrText xml:space="preserve"> PAGEREF _Toc433234101 \h </w:instrText>
      </w:r>
      <w:r>
        <w:rPr>
          <w:noProof/>
        </w:rPr>
      </w:r>
      <w:r>
        <w:rPr>
          <w:noProof/>
        </w:rPr>
        <w:fldChar w:fldCharType="separate"/>
      </w:r>
      <w:r>
        <w:rPr>
          <w:noProof/>
        </w:rPr>
        <w:t>45</w:t>
      </w:r>
      <w:r>
        <w:rPr>
          <w:noProof/>
        </w:rPr>
        <w:fldChar w:fldCharType="end"/>
      </w:r>
    </w:p>
    <w:p w:rsidR="009B2B80" w:rsidRDefault="009B2B80">
      <w:pPr>
        <w:pStyle w:val="TOC1"/>
        <w:rPr>
          <w:rFonts w:asciiTheme="minorHAnsi" w:eastAsiaTheme="minorEastAsia" w:hAnsiTheme="minorHAnsi" w:cstheme="minorBidi"/>
          <w:b w:val="0"/>
          <w:noProof/>
          <w:szCs w:val="22"/>
          <w:lang w:eastAsia="en-NZ"/>
        </w:rPr>
      </w:pPr>
      <w:r>
        <w:rPr>
          <w:noProof/>
        </w:rPr>
        <w:t>Technical notes</w:t>
      </w:r>
      <w:r>
        <w:rPr>
          <w:noProof/>
        </w:rPr>
        <w:tab/>
      </w:r>
      <w:r>
        <w:rPr>
          <w:noProof/>
        </w:rPr>
        <w:fldChar w:fldCharType="begin"/>
      </w:r>
      <w:r>
        <w:rPr>
          <w:noProof/>
        </w:rPr>
        <w:instrText xml:space="preserve"> PAGEREF _Toc433234102 \h </w:instrText>
      </w:r>
      <w:r>
        <w:rPr>
          <w:noProof/>
        </w:rPr>
      </w:r>
      <w:r>
        <w:rPr>
          <w:noProof/>
        </w:rPr>
        <w:fldChar w:fldCharType="separate"/>
      </w:r>
      <w:r>
        <w:rPr>
          <w:noProof/>
        </w:rPr>
        <w:t>46</w:t>
      </w:r>
      <w:r>
        <w:rPr>
          <w:noProof/>
        </w:rPr>
        <w:fldChar w:fldCharType="end"/>
      </w:r>
    </w:p>
    <w:p w:rsidR="009B2B80" w:rsidRDefault="009B2B80">
      <w:pPr>
        <w:pStyle w:val="TOC1"/>
        <w:rPr>
          <w:rFonts w:asciiTheme="minorHAnsi" w:eastAsiaTheme="minorEastAsia" w:hAnsiTheme="minorHAnsi" w:cstheme="minorBidi"/>
          <w:b w:val="0"/>
          <w:noProof/>
          <w:szCs w:val="22"/>
          <w:lang w:eastAsia="en-NZ"/>
        </w:rPr>
      </w:pPr>
      <w:r>
        <w:rPr>
          <w:noProof/>
        </w:rPr>
        <w:t>References</w:t>
      </w:r>
      <w:r>
        <w:rPr>
          <w:noProof/>
        </w:rPr>
        <w:tab/>
      </w:r>
      <w:r>
        <w:rPr>
          <w:noProof/>
        </w:rPr>
        <w:fldChar w:fldCharType="begin"/>
      </w:r>
      <w:r>
        <w:rPr>
          <w:noProof/>
        </w:rPr>
        <w:instrText xml:space="preserve"> PAGEREF _Toc433234103 \h </w:instrText>
      </w:r>
      <w:r>
        <w:rPr>
          <w:noProof/>
        </w:rPr>
      </w:r>
      <w:r>
        <w:rPr>
          <w:noProof/>
        </w:rPr>
        <w:fldChar w:fldCharType="separate"/>
      </w:r>
      <w:r>
        <w:rPr>
          <w:noProof/>
        </w:rPr>
        <w:t>47</w:t>
      </w:r>
      <w:r>
        <w:rPr>
          <w:noProof/>
        </w:rPr>
        <w:fldChar w:fldCharType="end"/>
      </w:r>
    </w:p>
    <w:p w:rsidR="00C86248" w:rsidRPr="00D94409" w:rsidRDefault="00C86248">
      <w:r w:rsidRPr="00D94409">
        <w:rPr>
          <w:b/>
        </w:rPr>
        <w:fldChar w:fldCharType="end"/>
      </w:r>
    </w:p>
    <w:p w:rsidR="00C86248" w:rsidRPr="00D94409" w:rsidRDefault="00C86248"/>
    <w:p w:rsidR="00C86248" w:rsidRPr="00D94409" w:rsidRDefault="00C86248" w:rsidP="000D44CE">
      <w:pPr>
        <w:pStyle w:val="TOC1"/>
        <w:keepNext/>
      </w:pPr>
      <w:r w:rsidRPr="00D94409">
        <w:lastRenderedPageBreak/>
        <w:t>List of Tables</w:t>
      </w:r>
    </w:p>
    <w:p w:rsidR="009B2B80" w:rsidRDefault="00C86248" w:rsidP="009B2B80">
      <w:pPr>
        <w:pStyle w:val="TOC3"/>
        <w:keepNext/>
        <w:rPr>
          <w:rFonts w:asciiTheme="minorHAnsi" w:eastAsiaTheme="minorEastAsia" w:hAnsiTheme="minorHAnsi" w:cstheme="minorBidi"/>
          <w:noProof/>
          <w:szCs w:val="22"/>
          <w:lang w:eastAsia="en-NZ"/>
        </w:rPr>
      </w:pPr>
      <w:r w:rsidRPr="00D94409">
        <w:rPr>
          <w:sz w:val="20"/>
        </w:rPr>
        <w:fldChar w:fldCharType="begin"/>
      </w:r>
      <w:r w:rsidRPr="00D94409">
        <w:instrText xml:space="preserve"> TOC \t "Table,3" </w:instrText>
      </w:r>
      <w:r w:rsidRPr="00D94409">
        <w:rPr>
          <w:sz w:val="20"/>
        </w:rPr>
        <w:fldChar w:fldCharType="separate"/>
      </w:r>
      <w:r w:rsidR="009B2B80">
        <w:rPr>
          <w:noProof/>
        </w:rPr>
        <w:t>Table 1:</w:t>
      </w:r>
      <w:r w:rsidR="009B2B80">
        <w:rPr>
          <w:noProof/>
        </w:rPr>
        <w:tab/>
        <w:t>Leading causes of health loss and death</w:t>
      </w:r>
      <w:r w:rsidR="009B2B80">
        <w:rPr>
          <w:noProof/>
        </w:rPr>
        <w:tab/>
      </w:r>
      <w:r w:rsidR="009B2B80">
        <w:rPr>
          <w:noProof/>
        </w:rPr>
        <w:fldChar w:fldCharType="begin"/>
      </w:r>
      <w:r w:rsidR="009B2B80">
        <w:rPr>
          <w:noProof/>
        </w:rPr>
        <w:instrText xml:space="preserve"> PAGEREF _Toc433234104 \h </w:instrText>
      </w:r>
      <w:r w:rsidR="009B2B80">
        <w:rPr>
          <w:noProof/>
        </w:rPr>
      </w:r>
      <w:r w:rsidR="009B2B80">
        <w:rPr>
          <w:noProof/>
        </w:rPr>
        <w:fldChar w:fldCharType="separate"/>
      </w:r>
      <w:r w:rsidR="009B2B80">
        <w:rPr>
          <w:noProof/>
        </w:rPr>
        <w:t>7</w:t>
      </w:r>
      <w:r w:rsidR="009B2B80">
        <w:rPr>
          <w:noProof/>
        </w:rPr>
        <w:fldChar w:fldCharType="end"/>
      </w:r>
    </w:p>
    <w:p w:rsidR="009B2B80" w:rsidRDefault="009B2B80" w:rsidP="009B2B80">
      <w:pPr>
        <w:pStyle w:val="TOC3"/>
        <w:keepNext/>
        <w:rPr>
          <w:rFonts w:asciiTheme="minorHAnsi" w:eastAsiaTheme="minorEastAsia" w:hAnsiTheme="minorHAnsi" w:cstheme="minorBidi"/>
          <w:noProof/>
          <w:szCs w:val="22"/>
          <w:lang w:eastAsia="en-NZ"/>
        </w:rPr>
      </w:pPr>
      <w:r>
        <w:rPr>
          <w:noProof/>
        </w:rPr>
        <w:t>Table 2:</w:t>
      </w:r>
      <w:r>
        <w:rPr>
          <w:noProof/>
        </w:rPr>
        <w:tab/>
        <w:t>Ethnic breakdown of the medical and nursing workforce and the New Zealand population</w:t>
      </w:r>
      <w:r>
        <w:rPr>
          <w:noProof/>
        </w:rPr>
        <w:tab/>
      </w:r>
      <w:r>
        <w:rPr>
          <w:noProof/>
        </w:rPr>
        <w:fldChar w:fldCharType="begin"/>
      </w:r>
      <w:r>
        <w:rPr>
          <w:noProof/>
        </w:rPr>
        <w:instrText xml:space="preserve"> PAGEREF _Toc433234105 \h </w:instrText>
      </w:r>
      <w:r>
        <w:rPr>
          <w:noProof/>
        </w:rPr>
      </w:r>
      <w:r>
        <w:rPr>
          <w:noProof/>
        </w:rPr>
        <w:fldChar w:fldCharType="separate"/>
      </w:r>
      <w:r>
        <w:rPr>
          <w:noProof/>
        </w:rPr>
        <w:t>35</w:t>
      </w:r>
      <w:r>
        <w:rPr>
          <w:noProof/>
        </w:rPr>
        <w:fldChar w:fldCharType="end"/>
      </w:r>
    </w:p>
    <w:p w:rsidR="009B2B80" w:rsidRDefault="009B2B80" w:rsidP="009B2B80">
      <w:pPr>
        <w:pStyle w:val="TOC3"/>
        <w:keepNext/>
        <w:rPr>
          <w:rFonts w:asciiTheme="minorHAnsi" w:eastAsiaTheme="minorEastAsia" w:hAnsiTheme="minorHAnsi" w:cstheme="minorBidi"/>
          <w:noProof/>
          <w:szCs w:val="22"/>
          <w:lang w:eastAsia="en-NZ"/>
        </w:rPr>
      </w:pPr>
      <w:r>
        <w:rPr>
          <w:noProof/>
        </w:rPr>
        <w:t>Table 3:</w:t>
      </w:r>
      <w:r>
        <w:rPr>
          <w:noProof/>
        </w:rPr>
        <w:tab/>
        <w:t>Outcomes of home and long-term care facility assessments undertaken in 2014/15</w:t>
      </w:r>
      <w:r>
        <w:rPr>
          <w:noProof/>
        </w:rPr>
        <w:tab/>
      </w:r>
      <w:r>
        <w:rPr>
          <w:noProof/>
        </w:rPr>
        <w:fldChar w:fldCharType="begin"/>
      </w:r>
      <w:r>
        <w:rPr>
          <w:noProof/>
        </w:rPr>
        <w:instrText xml:space="preserve"> PAGEREF _Toc433234106 \h </w:instrText>
      </w:r>
      <w:r>
        <w:rPr>
          <w:noProof/>
        </w:rPr>
      </w:r>
      <w:r>
        <w:rPr>
          <w:noProof/>
        </w:rPr>
        <w:fldChar w:fldCharType="separate"/>
      </w:r>
      <w:r>
        <w:rPr>
          <w:noProof/>
        </w:rPr>
        <w:t>39</w:t>
      </w:r>
      <w:r>
        <w:rPr>
          <w:noProof/>
        </w:rPr>
        <w:fldChar w:fldCharType="end"/>
      </w:r>
    </w:p>
    <w:p w:rsidR="00C86248" w:rsidRPr="00D94409" w:rsidRDefault="00C86248" w:rsidP="000D44CE">
      <w:pPr>
        <w:keepNext/>
      </w:pPr>
      <w:r w:rsidRPr="00D94409">
        <w:fldChar w:fldCharType="end"/>
      </w:r>
    </w:p>
    <w:p w:rsidR="003A5FEA" w:rsidRPr="00D94409" w:rsidRDefault="003A5FEA" w:rsidP="000D44CE">
      <w:pPr>
        <w:pStyle w:val="TOC1"/>
        <w:keepNext/>
      </w:pPr>
      <w:r w:rsidRPr="00D94409">
        <w:t>List of Figures</w:t>
      </w:r>
    </w:p>
    <w:p w:rsidR="009B2B80" w:rsidRDefault="003A5FEA">
      <w:pPr>
        <w:pStyle w:val="TOC3"/>
        <w:rPr>
          <w:rFonts w:asciiTheme="minorHAnsi" w:eastAsiaTheme="minorEastAsia" w:hAnsiTheme="minorHAnsi" w:cstheme="minorBidi"/>
          <w:noProof/>
          <w:szCs w:val="22"/>
          <w:lang w:eastAsia="en-NZ"/>
        </w:rPr>
      </w:pPr>
      <w:r w:rsidRPr="00D94409">
        <w:fldChar w:fldCharType="begin"/>
      </w:r>
      <w:r w:rsidRPr="00D94409">
        <w:instrText xml:space="preserve"> TOC \t "Figure,3" </w:instrText>
      </w:r>
      <w:r w:rsidRPr="00D94409">
        <w:fldChar w:fldCharType="separate"/>
      </w:r>
      <w:r w:rsidR="009B2B80">
        <w:rPr>
          <w:noProof/>
        </w:rPr>
        <w:t>Figure 1:</w:t>
      </w:r>
      <w:r w:rsidR="009B2B80">
        <w:rPr>
          <w:noProof/>
        </w:rPr>
        <w:tab/>
        <w:t>Social wellbeing indicators</w:t>
      </w:r>
      <w:r w:rsidR="009B2B80">
        <w:rPr>
          <w:noProof/>
        </w:rPr>
        <w:tab/>
      </w:r>
      <w:r w:rsidR="009B2B80">
        <w:rPr>
          <w:noProof/>
        </w:rPr>
        <w:fldChar w:fldCharType="begin"/>
      </w:r>
      <w:r w:rsidR="009B2B80">
        <w:rPr>
          <w:noProof/>
        </w:rPr>
        <w:instrText xml:space="preserve"> PAGEREF _Toc433234110 \h </w:instrText>
      </w:r>
      <w:r w:rsidR="009B2B80">
        <w:rPr>
          <w:noProof/>
        </w:rPr>
      </w:r>
      <w:r w:rsidR="009B2B80">
        <w:rPr>
          <w:noProof/>
        </w:rPr>
        <w:fldChar w:fldCharType="separate"/>
      </w:r>
      <w:r w:rsidR="009B2B80">
        <w:rPr>
          <w:noProof/>
        </w:rPr>
        <w:t>4</w:t>
      </w:r>
      <w:r w:rsidR="009B2B80">
        <w:rPr>
          <w:noProof/>
        </w:rPr>
        <w:fldChar w:fldCharType="end"/>
      </w:r>
    </w:p>
    <w:p w:rsidR="009B2B80" w:rsidRDefault="009B2B80">
      <w:pPr>
        <w:pStyle w:val="TOC3"/>
        <w:rPr>
          <w:rFonts w:asciiTheme="minorHAnsi" w:eastAsiaTheme="minorEastAsia" w:hAnsiTheme="minorHAnsi" w:cstheme="minorBidi"/>
          <w:noProof/>
          <w:szCs w:val="22"/>
          <w:lang w:eastAsia="en-NZ"/>
        </w:rPr>
      </w:pPr>
      <w:r>
        <w:rPr>
          <w:noProof/>
        </w:rPr>
        <w:t>Figure 2:</w:t>
      </w:r>
      <w:r>
        <w:rPr>
          <w:noProof/>
        </w:rPr>
        <w:tab/>
        <w:t>Life expectancy and independent life expectancy at birth in New Zealand, 2013</w:t>
      </w:r>
      <w:r>
        <w:rPr>
          <w:noProof/>
        </w:rPr>
        <w:tab/>
      </w:r>
      <w:r>
        <w:rPr>
          <w:noProof/>
        </w:rPr>
        <w:fldChar w:fldCharType="begin"/>
      </w:r>
      <w:r>
        <w:rPr>
          <w:noProof/>
        </w:rPr>
        <w:instrText xml:space="preserve"> PAGEREF _Toc433234111 \h </w:instrText>
      </w:r>
      <w:r>
        <w:rPr>
          <w:noProof/>
        </w:rPr>
      </w:r>
      <w:r>
        <w:rPr>
          <w:noProof/>
        </w:rPr>
        <w:fldChar w:fldCharType="separate"/>
      </w:r>
      <w:r>
        <w:rPr>
          <w:noProof/>
        </w:rPr>
        <w:t>6</w:t>
      </w:r>
      <w:r>
        <w:rPr>
          <w:noProof/>
        </w:rPr>
        <w:fldChar w:fldCharType="end"/>
      </w:r>
    </w:p>
    <w:p w:rsidR="009B2B80" w:rsidRDefault="009B2B80">
      <w:pPr>
        <w:pStyle w:val="TOC3"/>
        <w:rPr>
          <w:rFonts w:asciiTheme="minorHAnsi" w:eastAsiaTheme="minorEastAsia" w:hAnsiTheme="minorHAnsi" w:cstheme="minorBidi"/>
          <w:noProof/>
          <w:szCs w:val="22"/>
          <w:lang w:eastAsia="en-NZ"/>
        </w:rPr>
      </w:pPr>
      <w:r>
        <w:rPr>
          <w:noProof/>
        </w:rPr>
        <w:t>Figure 3:</w:t>
      </w:r>
      <w:r>
        <w:rPr>
          <w:noProof/>
        </w:rPr>
        <w:tab/>
        <w:t>Number of deaths and registrations for the top 10 causes of cancer death in New Zealand, 2012</w:t>
      </w:r>
      <w:r>
        <w:rPr>
          <w:noProof/>
        </w:rPr>
        <w:tab/>
      </w:r>
      <w:r>
        <w:rPr>
          <w:noProof/>
        </w:rPr>
        <w:fldChar w:fldCharType="begin"/>
      </w:r>
      <w:r>
        <w:rPr>
          <w:noProof/>
        </w:rPr>
        <w:instrText xml:space="preserve"> PAGEREF _Toc433234112 \h </w:instrText>
      </w:r>
      <w:r>
        <w:rPr>
          <w:noProof/>
        </w:rPr>
      </w:r>
      <w:r>
        <w:rPr>
          <w:noProof/>
        </w:rPr>
        <w:fldChar w:fldCharType="separate"/>
      </w:r>
      <w:r>
        <w:rPr>
          <w:noProof/>
        </w:rPr>
        <w:t>8</w:t>
      </w:r>
      <w:r>
        <w:rPr>
          <w:noProof/>
        </w:rPr>
        <w:fldChar w:fldCharType="end"/>
      </w:r>
    </w:p>
    <w:p w:rsidR="009B2B80" w:rsidRDefault="009B2B80">
      <w:pPr>
        <w:pStyle w:val="TOC3"/>
        <w:rPr>
          <w:rFonts w:asciiTheme="minorHAnsi" w:eastAsiaTheme="minorEastAsia" w:hAnsiTheme="minorHAnsi" w:cstheme="minorBidi"/>
          <w:noProof/>
          <w:szCs w:val="22"/>
          <w:lang w:eastAsia="en-NZ"/>
        </w:rPr>
      </w:pPr>
      <w:r>
        <w:rPr>
          <w:noProof/>
        </w:rPr>
        <w:t>Figure 4:</w:t>
      </w:r>
      <w:r>
        <w:rPr>
          <w:noProof/>
        </w:rPr>
        <w:tab/>
        <w:t>Health loss in New Zealand (% of total Disability Adjusted Life Years) by condition, 2010</w:t>
      </w:r>
      <w:r>
        <w:rPr>
          <w:noProof/>
        </w:rPr>
        <w:tab/>
      </w:r>
      <w:r>
        <w:rPr>
          <w:noProof/>
        </w:rPr>
        <w:fldChar w:fldCharType="begin"/>
      </w:r>
      <w:r>
        <w:rPr>
          <w:noProof/>
        </w:rPr>
        <w:instrText xml:space="preserve"> PAGEREF _Toc433234113 \h </w:instrText>
      </w:r>
      <w:r>
        <w:rPr>
          <w:noProof/>
        </w:rPr>
      </w:r>
      <w:r>
        <w:rPr>
          <w:noProof/>
        </w:rPr>
        <w:fldChar w:fldCharType="separate"/>
      </w:r>
      <w:r>
        <w:rPr>
          <w:noProof/>
        </w:rPr>
        <w:t>9</w:t>
      </w:r>
      <w:r>
        <w:rPr>
          <w:noProof/>
        </w:rPr>
        <w:fldChar w:fldCharType="end"/>
      </w:r>
    </w:p>
    <w:p w:rsidR="009B2B80" w:rsidRDefault="009B2B80">
      <w:pPr>
        <w:pStyle w:val="TOC3"/>
        <w:rPr>
          <w:rFonts w:asciiTheme="minorHAnsi" w:eastAsiaTheme="minorEastAsia" w:hAnsiTheme="minorHAnsi" w:cstheme="minorBidi"/>
          <w:noProof/>
          <w:szCs w:val="22"/>
          <w:lang w:eastAsia="en-NZ"/>
        </w:rPr>
      </w:pPr>
      <w:r w:rsidRPr="005D61BF">
        <w:rPr>
          <w:rFonts w:eastAsia="Palatino Linotype"/>
          <w:noProof/>
        </w:rPr>
        <w:t>Figure 5</w:t>
      </w:r>
      <w:r>
        <w:rPr>
          <w:rFonts w:eastAsia="Palatino Linotype"/>
          <w:noProof/>
        </w:rPr>
        <w:t>:</w:t>
      </w:r>
      <w:r>
        <w:rPr>
          <w:rFonts w:eastAsia="Palatino Linotype"/>
          <w:noProof/>
        </w:rPr>
        <w:tab/>
      </w:r>
      <w:r w:rsidRPr="005D61BF">
        <w:rPr>
          <w:rFonts w:eastAsia="Palatino Linotype"/>
          <w:noProof/>
        </w:rPr>
        <w:t>Trends in age-standardised DALY rate caused by selected health conditions, 1990–2010</w:t>
      </w:r>
      <w:r>
        <w:rPr>
          <w:noProof/>
        </w:rPr>
        <w:tab/>
      </w:r>
      <w:r>
        <w:rPr>
          <w:noProof/>
        </w:rPr>
        <w:fldChar w:fldCharType="begin"/>
      </w:r>
      <w:r>
        <w:rPr>
          <w:noProof/>
        </w:rPr>
        <w:instrText xml:space="preserve"> PAGEREF _Toc433234114 \h </w:instrText>
      </w:r>
      <w:r>
        <w:rPr>
          <w:noProof/>
        </w:rPr>
      </w:r>
      <w:r>
        <w:rPr>
          <w:noProof/>
        </w:rPr>
        <w:fldChar w:fldCharType="separate"/>
      </w:r>
      <w:r>
        <w:rPr>
          <w:noProof/>
        </w:rPr>
        <w:t>10</w:t>
      </w:r>
      <w:r>
        <w:rPr>
          <w:noProof/>
        </w:rPr>
        <w:fldChar w:fldCharType="end"/>
      </w:r>
    </w:p>
    <w:p w:rsidR="009B2B80" w:rsidRDefault="009B2B80">
      <w:pPr>
        <w:pStyle w:val="TOC3"/>
        <w:rPr>
          <w:rFonts w:asciiTheme="minorHAnsi" w:eastAsiaTheme="minorEastAsia" w:hAnsiTheme="minorHAnsi" w:cstheme="minorBidi"/>
          <w:noProof/>
          <w:szCs w:val="22"/>
          <w:lang w:eastAsia="en-NZ"/>
        </w:rPr>
      </w:pPr>
      <w:r>
        <w:rPr>
          <w:noProof/>
        </w:rPr>
        <w:t>Figure 6:</w:t>
      </w:r>
      <w:r>
        <w:rPr>
          <w:noProof/>
        </w:rPr>
        <w:tab/>
        <w:t>Proportion of adults who are physically inactive (&lt;30 minutes of physical activity per week) by age group, 2013/14</w:t>
      </w:r>
      <w:r>
        <w:rPr>
          <w:noProof/>
        </w:rPr>
        <w:tab/>
      </w:r>
      <w:r>
        <w:rPr>
          <w:noProof/>
        </w:rPr>
        <w:fldChar w:fldCharType="begin"/>
      </w:r>
      <w:r>
        <w:rPr>
          <w:noProof/>
        </w:rPr>
        <w:instrText xml:space="preserve"> PAGEREF _Toc433234115 \h </w:instrText>
      </w:r>
      <w:r>
        <w:rPr>
          <w:noProof/>
        </w:rPr>
      </w:r>
      <w:r>
        <w:rPr>
          <w:noProof/>
        </w:rPr>
        <w:fldChar w:fldCharType="separate"/>
      </w:r>
      <w:r>
        <w:rPr>
          <w:noProof/>
        </w:rPr>
        <w:t>12</w:t>
      </w:r>
      <w:r>
        <w:rPr>
          <w:noProof/>
        </w:rPr>
        <w:fldChar w:fldCharType="end"/>
      </w:r>
    </w:p>
    <w:p w:rsidR="009B2B80" w:rsidRDefault="009B2B80">
      <w:pPr>
        <w:pStyle w:val="TOC3"/>
        <w:rPr>
          <w:rFonts w:asciiTheme="minorHAnsi" w:eastAsiaTheme="minorEastAsia" w:hAnsiTheme="minorHAnsi" w:cstheme="minorBidi"/>
          <w:noProof/>
          <w:szCs w:val="22"/>
          <w:lang w:eastAsia="en-NZ"/>
        </w:rPr>
      </w:pPr>
      <w:r>
        <w:rPr>
          <w:noProof/>
        </w:rPr>
        <w:t>Figure 7:</w:t>
      </w:r>
      <w:r>
        <w:rPr>
          <w:noProof/>
        </w:rPr>
        <w:tab/>
        <w:t>Prevalence of multiple risk factors among adults, 2011/12 to 2013/14</w:t>
      </w:r>
      <w:r>
        <w:rPr>
          <w:noProof/>
        </w:rPr>
        <w:tab/>
      </w:r>
      <w:r>
        <w:rPr>
          <w:noProof/>
        </w:rPr>
        <w:fldChar w:fldCharType="begin"/>
      </w:r>
      <w:r>
        <w:rPr>
          <w:noProof/>
        </w:rPr>
        <w:instrText xml:space="preserve"> PAGEREF _Toc433234116 \h </w:instrText>
      </w:r>
      <w:r>
        <w:rPr>
          <w:noProof/>
        </w:rPr>
      </w:r>
      <w:r>
        <w:rPr>
          <w:noProof/>
        </w:rPr>
        <w:fldChar w:fldCharType="separate"/>
      </w:r>
      <w:r>
        <w:rPr>
          <w:noProof/>
        </w:rPr>
        <w:t>14</w:t>
      </w:r>
      <w:r>
        <w:rPr>
          <w:noProof/>
        </w:rPr>
        <w:fldChar w:fldCharType="end"/>
      </w:r>
    </w:p>
    <w:p w:rsidR="009B2B80" w:rsidRDefault="009B2B80">
      <w:pPr>
        <w:pStyle w:val="TOC3"/>
        <w:rPr>
          <w:rFonts w:asciiTheme="minorHAnsi" w:eastAsiaTheme="minorEastAsia" w:hAnsiTheme="minorHAnsi" w:cstheme="minorBidi"/>
          <w:noProof/>
          <w:szCs w:val="22"/>
          <w:lang w:eastAsia="en-NZ"/>
        </w:rPr>
      </w:pPr>
      <w:r>
        <w:rPr>
          <w:noProof/>
        </w:rPr>
        <w:t>Figure 8:</w:t>
      </w:r>
      <w:r>
        <w:rPr>
          <w:noProof/>
        </w:rPr>
        <w:tab/>
        <w:t>Proportion of people living in each deprivation quintile by ethnic group</w:t>
      </w:r>
      <w:r>
        <w:rPr>
          <w:noProof/>
        </w:rPr>
        <w:tab/>
      </w:r>
      <w:r>
        <w:rPr>
          <w:noProof/>
        </w:rPr>
        <w:fldChar w:fldCharType="begin"/>
      </w:r>
      <w:r>
        <w:rPr>
          <w:noProof/>
        </w:rPr>
        <w:instrText xml:space="preserve"> PAGEREF _Toc433234117 \h </w:instrText>
      </w:r>
      <w:r>
        <w:rPr>
          <w:noProof/>
        </w:rPr>
      </w:r>
      <w:r>
        <w:rPr>
          <w:noProof/>
        </w:rPr>
        <w:fldChar w:fldCharType="separate"/>
      </w:r>
      <w:r>
        <w:rPr>
          <w:noProof/>
        </w:rPr>
        <w:t>16</w:t>
      </w:r>
      <w:r>
        <w:rPr>
          <w:noProof/>
        </w:rPr>
        <w:fldChar w:fldCharType="end"/>
      </w:r>
    </w:p>
    <w:p w:rsidR="009B2B80" w:rsidRDefault="009B2B80">
      <w:pPr>
        <w:pStyle w:val="TOC3"/>
        <w:rPr>
          <w:rFonts w:asciiTheme="minorHAnsi" w:eastAsiaTheme="minorEastAsia" w:hAnsiTheme="minorHAnsi" w:cstheme="minorBidi"/>
          <w:noProof/>
          <w:szCs w:val="22"/>
          <w:lang w:eastAsia="en-NZ"/>
        </w:rPr>
      </w:pPr>
      <w:r w:rsidRPr="005D61BF">
        <w:rPr>
          <w:rFonts w:eastAsia="Palatino Linotype"/>
          <w:noProof/>
        </w:rPr>
        <w:t>Figure 9</w:t>
      </w:r>
      <w:r>
        <w:rPr>
          <w:rFonts w:eastAsia="Palatino Linotype"/>
          <w:noProof/>
        </w:rPr>
        <w:t>:</w:t>
      </w:r>
      <w:r>
        <w:rPr>
          <w:rFonts w:eastAsia="Palatino Linotype"/>
          <w:noProof/>
        </w:rPr>
        <w:tab/>
      </w:r>
      <w:r w:rsidRPr="005D61BF">
        <w:rPr>
          <w:rFonts w:eastAsia="Palatino Linotype"/>
          <w:noProof/>
        </w:rPr>
        <w:t>Early influences on children’s health</w:t>
      </w:r>
      <w:r>
        <w:rPr>
          <w:noProof/>
        </w:rPr>
        <w:tab/>
      </w:r>
      <w:r>
        <w:rPr>
          <w:noProof/>
        </w:rPr>
        <w:fldChar w:fldCharType="begin"/>
      </w:r>
      <w:r>
        <w:rPr>
          <w:noProof/>
        </w:rPr>
        <w:instrText xml:space="preserve"> PAGEREF _Toc433234118 \h </w:instrText>
      </w:r>
      <w:r>
        <w:rPr>
          <w:noProof/>
        </w:rPr>
      </w:r>
      <w:r>
        <w:rPr>
          <w:noProof/>
        </w:rPr>
        <w:fldChar w:fldCharType="separate"/>
      </w:r>
      <w:r>
        <w:rPr>
          <w:noProof/>
        </w:rPr>
        <w:t>18</w:t>
      </w:r>
      <w:r>
        <w:rPr>
          <w:noProof/>
        </w:rPr>
        <w:fldChar w:fldCharType="end"/>
      </w:r>
    </w:p>
    <w:p w:rsidR="009B2B80" w:rsidRDefault="009B2B80">
      <w:pPr>
        <w:pStyle w:val="TOC3"/>
        <w:rPr>
          <w:rFonts w:asciiTheme="minorHAnsi" w:eastAsiaTheme="minorEastAsia" w:hAnsiTheme="minorHAnsi" w:cstheme="minorBidi"/>
          <w:noProof/>
          <w:szCs w:val="22"/>
          <w:lang w:eastAsia="en-NZ"/>
        </w:rPr>
      </w:pPr>
      <w:r>
        <w:rPr>
          <w:noProof/>
        </w:rPr>
        <w:t>Figure 10:</w:t>
      </w:r>
      <w:r>
        <w:rPr>
          <w:noProof/>
        </w:rPr>
        <w:tab/>
        <w:t>Impact of protective and risk factors on mental health</w:t>
      </w:r>
      <w:r>
        <w:rPr>
          <w:noProof/>
        </w:rPr>
        <w:tab/>
      </w:r>
      <w:r>
        <w:rPr>
          <w:noProof/>
        </w:rPr>
        <w:fldChar w:fldCharType="begin"/>
      </w:r>
      <w:r>
        <w:rPr>
          <w:noProof/>
        </w:rPr>
        <w:instrText xml:space="preserve"> PAGEREF _Toc433234119 \h </w:instrText>
      </w:r>
      <w:r>
        <w:rPr>
          <w:noProof/>
        </w:rPr>
      </w:r>
      <w:r>
        <w:rPr>
          <w:noProof/>
        </w:rPr>
        <w:fldChar w:fldCharType="separate"/>
      </w:r>
      <w:r>
        <w:rPr>
          <w:noProof/>
        </w:rPr>
        <w:t>23</w:t>
      </w:r>
      <w:r>
        <w:rPr>
          <w:noProof/>
        </w:rPr>
        <w:fldChar w:fldCharType="end"/>
      </w:r>
    </w:p>
    <w:p w:rsidR="009B2B80" w:rsidRDefault="009B2B80">
      <w:pPr>
        <w:pStyle w:val="TOC3"/>
        <w:rPr>
          <w:rFonts w:asciiTheme="minorHAnsi" w:eastAsiaTheme="minorEastAsia" w:hAnsiTheme="minorHAnsi" w:cstheme="minorBidi"/>
          <w:noProof/>
          <w:szCs w:val="22"/>
          <w:lang w:eastAsia="en-NZ"/>
        </w:rPr>
      </w:pPr>
      <w:r>
        <w:rPr>
          <w:noProof/>
        </w:rPr>
        <w:t>Figure 11:</w:t>
      </w:r>
      <w:r>
        <w:rPr>
          <w:noProof/>
        </w:rPr>
        <w:tab/>
        <w:t>Health loss from cardiovascular and circulatory disease that is due to lifestyle and metabolic risk factors</w:t>
      </w:r>
      <w:r>
        <w:rPr>
          <w:noProof/>
        </w:rPr>
        <w:tab/>
      </w:r>
      <w:r>
        <w:rPr>
          <w:noProof/>
        </w:rPr>
        <w:fldChar w:fldCharType="begin"/>
      </w:r>
      <w:r>
        <w:rPr>
          <w:noProof/>
        </w:rPr>
        <w:instrText xml:space="preserve"> PAGEREF _Toc433234120 \h </w:instrText>
      </w:r>
      <w:r>
        <w:rPr>
          <w:noProof/>
        </w:rPr>
      </w:r>
      <w:r>
        <w:rPr>
          <w:noProof/>
        </w:rPr>
        <w:fldChar w:fldCharType="separate"/>
      </w:r>
      <w:r>
        <w:rPr>
          <w:noProof/>
        </w:rPr>
        <w:t>27</w:t>
      </w:r>
      <w:r>
        <w:rPr>
          <w:noProof/>
        </w:rPr>
        <w:fldChar w:fldCharType="end"/>
      </w:r>
    </w:p>
    <w:p w:rsidR="009B2B80" w:rsidRDefault="009B2B80">
      <w:pPr>
        <w:pStyle w:val="TOC3"/>
        <w:rPr>
          <w:rFonts w:asciiTheme="minorHAnsi" w:eastAsiaTheme="minorEastAsia" w:hAnsiTheme="minorHAnsi" w:cstheme="minorBidi"/>
          <w:noProof/>
          <w:szCs w:val="22"/>
          <w:lang w:eastAsia="en-NZ"/>
        </w:rPr>
      </w:pPr>
      <w:r w:rsidRPr="005D61BF">
        <w:rPr>
          <w:rFonts w:eastAsia="Georgia"/>
          <w:noProof/>
        </w:rPr>
        <w:t>Figure 12</w:t>
      </w:r>
      <w:r>
        <w:rPr>
          <w:rFonts w:eastAsia="Georgia"/>
          <w:noProof/>
        </w:rPr>
        <w:t>:</w:t>
      </w:r>
      <w:r>
        <w:rPr>
          <w:rFonts w:eastAsia="Georgia"/>
          <w:noProof/>
        </w:rPr>
        <w:tab/>
      </w:r>
      <w:r w:rsidRPr="005D61BF">
        <w:rPr>
          <w:rFonts w:eastAsia="Georgia"/>
          <w:noProof/>
        </w:rPr>
        <w:t>Weekly consultation rate for influenza-like illness in New Zealand, April 2012–August 2015</w:t>
      </w:r>
      <w:r>
        <w:rPr>
          <w:noProof/>
        </w:rPr>
        <w:tab/>
      </w:r>
      <w:r>
        <w:rPr>
          <w:noProof/>
        </w:rPr>
        <w:fldChar w:fldCharType="begin"/>
      </w:r>
      <w:r>
        <w:rPr>
          <w:noProof/>
        </w:rPr>
        <w:instrText xml:space="preserve"> PAGEREF _Toc433234121 \h </w:instrText>
      </w:r>
      <w:r>
        <w:rPr>
          <w:noProof/>
        </w:rPr>
      </w:r>
      <w:r>
        <w:rPr>
          <w:noProof/>
        </w:rPr>
        <w:fldChar w:fldCharType="separate"/>
      </w:r>
      <w:r>
        <w:rPr>
          <w:noProof/>
        </w:rPr>
        <w:t>31</w:t>
      </w:r>
      <w:r>
        <w:rPr>
          <w:noProof/>
        </w:rPr>
        <w:fldChar w:fldCharType="end"/>
      </w:r>
    </w:p>
    <w:p w:rsidR="009B2B80" w:rsidRDefault="009B2B80">
      <w:pPr>
        <w:pStyle w:val="TOC3"/>
        <w:rPr>
          <w:rFonts w:asciiTheme="minorHAnsi" w:eastAsiaTheme="minorEastAsia" w:hAnsiTheme="minorHAnsi" w:cstheme="minorBidi"/>
          <w:noProof/>
          <w:szCs w:val="22"/>
          <w:lang w:eastAsia="en-NZ"/>
        </w:rPr>
      </w:pPr>
      <w:r>
        <w:rPr>
          <w:noProof/>
        </w:rPr>
        <w:t>Figure 13:</w:t>
      </w:r>
      <w:r>
        <w:rPr>
          <w:noProof/>
        </w:rPr>
        <w:tab/>
        <w:t>The impact of child abuse and neglect on New Zealand children</w:t>
      </w:r>
      <w:r>
        <w:rPr>
          <w:noProof/>
        </w:rPr>
        <w:tab/>
      </w:r>
      <w:r>
        <w:rPr>
          <w:noProof/>
        </w:rPr>
        <w:fldChar w:fldCharType="begin"/>
      </w:r>
      <w:r>
        <w:rPr>
          <w:noProof/>
        </w:rPr>
        <w:instrText xml:space="preserve"> PAGEREF _Toc433234122 \h </w:instrText>
      </w:r>
      <w:r>
        <w:rPr>
          <w:noProof/>
        </w:rPr>
      </w:r>
      <w:r>
        <w:rPr>
          <w:noProof/>
        </w:rPr>
        <w:fldChar w:fldCharType="separate"/>
      </w:r>
      <w:r>
        <w:rPr>
          <w:noProof/>
        </w:rPr>
        <w:t>37</w:t>
      </w:r>
      <w:r>
        <w:rPr>
          <w:noProof/>
        </w:rPr>
        <w:fldChar w:fldCharType="end"/>
      </w:r>
    </w:p>
    <w:p w:rsidR="009B2B80" w:rsidRDefault="009B2B80">
      <w:pPr>
        <w:pStyle w:val="TOC3"/>
        <w:rPr>
          <w:rFonts w:asciiTheme="minorHAnsi" w:eastAsiaTheme="minorEastAsia" w:hAnsiTheme="minorHAnsi" w:cstheme="minorBidi"/>
          <w:noProof/>
          <w:szCs w:val="22"/>
          <w:lang w:eastAsia="en-NZ"/>
        </w:rPr>
      </w:pPr>
      <w:r>
        <w:rPr>
          <w:noProof/>
        </w:rPr>
        <w:t>Figure 14:</w:t>
      </w:r>
      <w:r>
        <w:rPr>
          <w:noProof/>
        </w:rPr>
        <w:tab/>
        <w:t>Proportion of children in the Growing up in New Zealand study exposed to individual risk factors during the ante-natal period</w:t>
      </w:r>
      <w:r>
        <w:rPr>
          <w:noProof/>
        </w:rPr>
        <w:tab/>
      </w:r>
      <w:r>
        <w:rPr>
          <w:noProof/>
        </w:rPr>
        <w:fldChar w:fldCharType="begin"/>
      </w:r>
      <w:r>
        <w:rPr>
          <w:noProof/>
        </w:rPr>
        <w:instrText xml:space="preserve"> PAGEREF _Toc433234123 \h </w:instrText>
      </w:r>
      <w:r>
        <w:rPr>
          <w:noProof/>
        </w:rPr>
      </w:r>
      <w:r>
        <w:rPr>
          <w:noProof/>
        </w:rPr>
        <w:fldChar w:fldCharType="separate"/>
      </w:r>
      <w:r>
        <w:rPr>
          <w:noProof/>
        </w:rPr>
        <w:t>38</w:t>
      </w:r>
      <w:r>
        <w:rPr>
          <w:noProof/>
        </w:rPr>
        <w:fldChar w:fldCharType="end"/>
      </w:r>
    </w:p>
    <w:p w:rsidR="009B2B80" w:rsidRDefault="009B2B80">
      <w:pPr>
        <w:pStyle w:val="TOC3"/>
        <w:rPr>
          <w:rFonts w:asciiTheme="minorHAnsi" w:eastAsiaTheme="minorEastAsia" w:hAnsiTheme="minorHAnsi" w:cstheme="minorBidi"/>
          <w:noProof/>
          <w:szCs w:val="22"/>
          <w:lang w:eastAsia="en-NZ"/>
        </w:rPr>
      </w:pPr>
      <w:r>
        <w:rPr>
          <w:noProof/>
        </w:rPr>
        <w:t>Figure 15:</w:t>
      </w:r>
      <w:r>
        <w:rPr>
          <w:noProof/>
        </w:rPr>
        <w:tab/>
        <w:t>Hospital admissions and hip fracture rates, by age group, 2013</w:t>
      </w:r>
      <w:r>
        <w:rPr>
          <w:noProof/>
        </w:rPr>
        <w:tab/>
      </w:r>
      <w:r>
        <w:rPr>
          <w:noProof/>
        </w:rPr>
        <w:fldChar w:fldCharType="begin"/>
      </w:r>
      <w:r>
        <w:rPr>
          <w:noProof/>
        </w:rPr>
        <w:instrText xml:space="preserve"> PAGEREF _Toc433234124 \h </w:instrText>
      </w:r>
      <w:r>
        <w:rPr>
          <w:noProof/>
        </w:rPr>
      </w:r>
      <w:r>
        <w:rPr>
          <w:noProof/>
        </w:rPr>
        <w:fldChar w:fldCharType="separate"/>
      </w:r>
      <w:r>
        <w:rPr>
          <w:noProof/>
        </w:rPr>
        <w:t>40</w:t>
      </w:r>
      <w:r>
        <w:rPr>
          <w:noProof/>
        </w:rPr>
        <w:fldChar w:fldCharType="end"/>
      </w:r>
    </w:p>
    <w:p w:rsidR="009B2B80" w:rsidRDefault="009B2B80">
      <w:pPr>
        <w:pStyle w:val="TOC3"/>
        <w:rPr>
          <w:rFonts w:asciiTheme="minorHAnsi" w:eastAsiaTheme="minorEastAsia" w:hAnsiTheme="minorHAnsi" w:cstheme="minorBidi"/>
          <w:noProof/>
          <w:szCs w:val="22"/>
          <w:lang w:eastAsia="en-NZ"/>
        </w:rPr>
      </w:pPr>
      <w:r w:rsidRPr="005D61BF">
        <w:rPr>
          <w:rFonts w:eastAsia="Georgia"/>
          <w:noProof/>
        </w:rPr>
        <w:t>Figure 16</w:t>
      </w:r>
      <w:r>
        <w:rPr>
          <w:rFonts w:eastAsia="Georgia"/>
          <w:noProof/>
        </w:rPr>
        <w:t>:</w:t>
      </w:r>
      <w:r>
        <w:rPr>
          <w:rFonts w:eastAsia="Georgia"/>
          <w:noProof/>
        </w:rPr>
        <w:tab/>
      </w:r>
      <w:r w:rsidRPr="005D61BF">
        <w:rPr>
          <w:rFonts w:eastAsia="Georgia"/>
          <w:noProof/>
        </w:rPr>
        <w:t>Amenable mortality rate per 100,000 people aged 0–74 years, by ethnic group, 2000–2012</w:t>
      </w:r>
      <w:r>
        <w:rPr>
          <w:noProof/>
        </w:rPr>
        <w:tab/>
      </w:r>
      <w:r>
        <w:rPr>
          <w:noProof/>
        </w:rPr>
        <w:fldChar w:fldCharType="begin"/>
      </w:r>
      <w:r>
        <w:rPr>
          <w:noProof/>
        </w:rPr>
        <w:instrText xml:space="preserve"> PAGEREF _Toc433234125 \h </w:instrText>
      </w:r>
      <w:r>
        <w:rPr>
          <w:noProof/>
        </w:rPr>
      </w:r>
      <w:r>
        <w:rPr>
          <w:noProof/>
        </w:rPr>
        <w:fldChar w:fldCharType="separate"/>
      </w:r>
      <w:r>
        <w:rPr>
          <w:noProof/>
        </w:rPr>
        <w:t>42</w:t>
      </w:r>
      <w:r>
        <w:rPr>
          <w:noProof/>
        </w:rPr>
        <w:fldChar w:fldCharType="end"/>
      </w:r>
    </w:p>
    <w:p w:rsidR="003A5FEA" w:rsidRPr="00D94409" w:rsidRDefault="003A5FEA" w:rsidP="000D44CE">
      <w:r w:rsidRPr="00D94409">
        <w:fldChar w:fldCharType="end"/>
      </w:r>
    </w:p>
    <w:p w:rsidR="0021763B" w:rsidRPr="00D94409" w:rsidRDefault="0021763B" w:rsidP="0021763B">
      <w:pPr>
        <w:pStyle w:val="Heading1"/>
      </w:pPr>
      <w:r w:rsidRPr="00D94409">
        <w:br w:type="page"/>
      </w:r>
      <w:bookmarkStart w:id="5" w:name="_Toc433234084"/>
      <w:r w:rsidRPr="00D94409">
        <w:lastRenderedPageBreak/>
        <w:t>Executive summary</w:t>
      </w:r>
      <w:bookmarkEnd w:id="5"/>
    </w:p>
    <w:p w:rsidR="00A74AC3" w:rsidRPr="00D94409" w:rsidRDefault="00A74AC3" w:rsidP="007E3FAC">
      <w:r w:rsidRPr="00D94409">
        <w:t>This year</w:t>
      </w:r>
      <w:r w:rsidR="00D94409" w:rsidRPr="00D94409">
        <w:t>’</w:t>
      </w:r>
      <w:r w:rsidRPr="00D94409">
        <w:t>s Health and Independence Report provides an overview of the state of New Zealanders</w:t>
      </w:r>
      <w:r w:rsidR="00D94409" w:rsidRPr="00D94409">
        <w:t>’</w:t>
      </w:r>
      <w:r w:rsidRPr="00D94409">
        <w:t xml:space="preserve"> health, including how well the health and disability system is performing. It focuses on a number of high-profile areas for the health and disability system, such as pregnancy and early childhood, mental health and wellbeing, and vulnerable groups. The report also highlights where social sector agencies need to work together, due to the interdependence between health and social outcomes.</w:t>
      </w:r>
    </w:p>
    <w:p w:rsidR="00A74AC3" w:rsidRPr="00D94409" w:rsidRDefault="00A74AC3" w:rsidP="007E3FAC">
      <w:pPr>
        <w:rPr>
          <w:rFonts w:ascii="Century" w:eastAsia="Century" w:hAnsi="Century" w:cs="Century"/>
          <w:sz w:val="26"/>
          <w:szCs w:val="26"/>
        </w:rPr>
      </w:pPr>
    </w:p>
    <w:p w:rsidR="00A74AC3" w:rsidRPr="00D94409" w:rsidRDefault="00A74AC3" w:rsidP="00184D9F">
      <w:pPr>
        <w:pStyle w:val="Heading3"/>
        <w:rPr>
          <w:bCs/>
        </w:rPr>
      </w:pPr>
      <w:r w:rsidRPr="00D94409">
        <w:t>How healthy are New Zealanders?</w:t>
      </w:r>
    </w:p>
    <w:p w:rsidR="00A74AC3" w:rsidRPr="00D94409" w:rsidRDefault="00A74AC3" w:rsidP="007E3FAC">
      <w:r w:rsidRPr="00D94409">
        <w:t>New Zealanders are living longer and independent life expectancy has increased. However, independent life expectancy has not kept pace with the increase in life expectancy. This means we are spending a greater proportion of our lives, around a fifth, in poor health.</w:t>
      </w:r>
    </w:p>
    <w:p w:rsidR="00A74AC3" w:rsidRPr="00D94409" w:rsidRDefault="00A74AC3" w:rsidP="007E3FAC">
      <w:pPr>
        <w:rPr>
          <w:rFonts w:eastAsia="Century"/>
        </w:rPr>
      </w:pPr>
    </w:p>
    <w:p w:rsidR="00A74AC3" w:rsidRPr="00D94409" w:rsidRDefault="00184D9F" w:rsidP="007E3FAC">
      <w:r>
        <w:rPr>
          <w:noProof/>
          <w:lang w:eastAsia="en-NZ"/>
        </w:rPr>
        <mc:AlternateContent>
          <mc:Choice Requires="wps">
            <w:drawing>
              <wp:anchor distT="0" distB="0" distL="114300" distR="0" simplePos="0" relativeHeight="251764736" behindDoc="1" locked="0" layoutInCell="1" allowOverlap="1" wp14:anchorId="63972FFF" wp14:editId="3A192413">
                <wp:simplePos x="0" y="0"/>
                <wp:positionH relativeFrom="column">
                  <wp:posOffset>4142740</wp:posOffset>
                </wp:positionH>
                <wp:positionV relativeFrom="paragraph">
                  <wp:posOffset>9525</wp:posOffset>
                </wp:positionV>
                <wp:extent cx="1792605" cy="1205230"/>
                <wp:effectExtent l="0" t="0" r="0" b="0"/>
                <wp:wrapTight wrapText="left">
                  <wp:wrapPolygon edited="0">
                    <wp:start x="0" y="0"/>
                    <wp:lineTo x="0" y="21168"/>
                    <wp:lineTo x="21348" y="21168"/>
                    <wp:lineTo x="21348" y="0"/>
                    <wp:lineTo x="0" y="0"/>
                  </wp:wrapPolygon>
                </wp:wrapTight>
                <wp:docPr id="1973" name="Rectangle 1973"/>
                <wp:cNvGraphicFramePr/>
                <a:graphic xmlns:a="http://schemas.openxmlformats.org/drawingml/2006/main">
                  <a:graphicData uri="http://schemas.microsoft.com/office/word/2010/wordprocessingShape">
                    <wps:wsp>
                      <wps:cNvSpPr/>
                      <wps:spPr>
                        <a:xfrm>
                          <a:off x="0" y="0"/>
                          <a:ext cx="1792605" cy="1205230"/>
                        </a:xfrm>
                        <a:prstGeom prst="rect">
                          <a:avLst/>
                        </a:prstGeom>
                        <a:solidFill>
                          <a:schemeClr val="bg1">
                            <a:lumMod val="8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0380" w:rsidRPr="00184D9F" w:rsidRDefault="00880380" w:rsidP="00184D9F">
                            <w:pPr>
                              <w:jc w:val="center"/>
                              <w:rPr>
                                <w:color w:val="000000"/>
                              </w:rPr>
                            </w:pPr>
                            <w:r w:rsidRPr="00184D9F">
                              <w:rPr>
                                <w:color w:val="000000"/>
                              </w:rPr>
                              <w:t>We can expect</w:t>
                            </w:r>
                            <w:r>
                              <w:rPr>
                                <w:color w:val="000000"/>
                              </w:rPr>
                              <w:br/>
                            </w:r>
                            <w:r w:rsidRPr="00184D9F">
                              <w:rPr>
                                <w:color w:val="000000"/>
                              </w:rPr>
                              <w:t>to live</w:t>
                            </w:r>
                            <w:r w:rsidRPr="00184D9F">
                              <w:rPr>
                                <w:color w:val="000000"/>
                              </w:rPr>
                              <w:br/>
                            </w:r>
                            <w:r w:rsidRPr="00184D9F">
                              <w:rPr>
                                <w:b/>
                                <w:color w:val="000000"/>
                                <w:sz w:val="32"/>
                              </w:rPr>
                              <w:t>4 out of 5 years</w:t>
                            </w:r>
                            <w:r w:rsidRPr="00184D9F">
                              <w:rPr>
                                <w:color w:val="000000"/>
                              </w:rPr>
                              <w:t xml:space="preserve"> of our lif</w:t>
                            </w:r>
                            <w:r>
                              <w:rPr>
                                <w:color w:val="000000"/>
                              </w:rPr>
                              <w:t>e</w:t>
                            </w:r>
                            <w:r>
                              <w:rPr>
                                <w:color w:val="000000"/>
                              </w:rPr>
                              <w:br/>
                            </w:r>
                            <w:r w:rsidRPr="00184D9F">
                              <w:rPr>
                                <w:color w:val="000000"/>
                              </w:rPr>
                              <w:t>in good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73" o:spid="_x0000_s1026" style="position:absolute;margin-left:326.2pt;margin-top:.75pt;width:141.15pt;height:94.9pt;z-index:-251551744;visibility:visible;mso-wrap-style:square;mso-width-percent:0;mso-height-percent:0;mso-wrap-distance-left:9pt;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" fillcolor="#d8d8d8 [2732]" stroked="f" strokeweight=".5pt">
                <v:textbox>
                  <w:txbxContent>
                    <w:p w:rsidR="00880380" w:rsidRPr="00184D9F" w:rsidRDefault="00880380" w:rsidP="00184D9F">
                      <w:pPr>
                        <w:jc w:val="center"/>
                        <w:rPr>
                          <w:color w:val="000000"/>
                        </w:rPr>
                      </w:pPr>
                      <w:r w:rsidRPr="00184D9F">
                        <w:rPr>
                          <w:color w:val="000000"/>
                        </w:rPr>
                        <w:t>We can expect</w:t>
                      </w:r>
                      <w:r>
                        <w:rPr>
                          <w:color w:val="000000"/>
                        </w:rPr>
                        <w:br/>
                      </w:r>
                      <w:r w:rsidRPr="00184D9F">
                        <w:rPr>
                          <w:color w:val="000000"/>
                        </w:rPr>
                        <w:t>to live</w:t>
                      </w:r>
                      <w:r w:rsidRPr="00184D9F">
                        <w:rPr>
                          <w:color w:val="000000"/>
                        </w:rPr>
                        <w:br/>
                      </w:r>
                      <w:r w:rsidRPr="00184D9F">
                        <w:rPr>
                          <w:b/>
                          <w:color w:val="000000"/>
                          <w:sz w:val="32"/>
                        </w:rPr>
                        <w:t>4 out of 5 years</w:t>
                      </w:r>
                      <w:r w:rsidRPr="00184D9F">
                        <w:rPr>
                          <w:color w:val="000000"/>
                        </w:rPr>
                        <w:t xml:space="preserve"> of our lif</w:t>
                      </w:r>
                      <w:r>
                        <w:rPr>
                          <w:color w:val="000000"/>
                        </w:rPr>
                        <w:t>e</w:t>
                      </w:r>
                      <w:r>
                        <w:rPr>
                          <w:color w:val="000000"/>
                        </w:rPr>
                        <w:br/>
                      </w:r>
                      <w:r w:rsidRPr="00184D9F">
                        <w:rPr>
                          <w:color w:val="000000"/>
                        </w:rPr>
                        <w:t>in good health</w:t>
                      </w:r>
                    </w:p>
                  </w:txbxContent>
                </v:textbox>
                <w10:wrap type="tight" side="left"/>
              </v:rect>
            </w:pict>
          </mc:Fallback>
        </mc:AlternateContent>
      </w:r>
      <w:r w:rsidR="00A74AC3" w:rsidRPr="00D94409">
        <w:t>The leading causes of health loss are cancers, cardiovascular diseases, mental health disorders, musculoskeletal disorders and injuries. Mental health and musculoskeletal disorders account for a growing proportion of total health loss, as survival from cancer and cardiovascular disease improves.</w:t>
      </w:r>
    </w:p>
    <w:p w:rsidR="00A74AC3" w:rsidRPr="00D94409" w:rsidRDefault="00A74AC3" w:rsidP="007E3FAC">
      <w:pPr>
        <w:rPr>
          <w:rFonts w:eastAsia="Century"/>
        </w:rPr>
      </w:pPr>
    </w:p>
    <w:p w:rsidR="00A74AC3" w:rsidRPr="00D94409" w:rsidRDefault="00A74AC3" w:rsidP="007E3FAC">
      <w:r w:rsidRPr="00D94409">
        <w:t>Much of this health loss is due to lifestyle factors, including smoking,</w:t>
      </w:r>
      <w:r w:rsidR="00184D9F">
        <w:t xml:space="preserve"> </w:t>
      </w:r>
      <w:r w:rsidRPr="00D94409">
        <w:t xml:space="preserve">harmful alcohol intake, poor nutrition, and physical inactivity. While many New Zealanders look after their health, one in eight adults </w:t>
      </w:r>
      <w:proofErr w:type="gramStart"/>
      <w:r w:rsidRPr="00D94409">
        <w:t>has</w:t>
      </w:r>
      <w:proofErr w:type="gramEnd"/>
      <w:r w:rsidRPr="00D94409">
        <w:t xml:space="preserve"> an unhealthy lifestyle, reporting three or more of these risk behaviours.</w:t>
      </w:r>
    </w:p>
    <w:p w:rsidR="00A74AC3" w:rsidRDefault="00184D9F" w:rsidP="00184D9F">
      <w:pPr>
        <w:rPr>
          <w:rFonts w:eastAsia="Century"/>
        </w:rPr>
      </w:pPr>
      <w:r>
        <w:rPr>
          <w:noProof/>
          <w:lang w:eastAsia="en-NZ"/>
        </w:rPr>
        <mc:AlternateContent>
          <mc:Choice Requires="wps">
            <w:drawing>
              <wp:anchor distT="0" distB="0" distL="0" distR="114300" simplePos="0" relativeHeight="251765760" behindDoc="0" locked="0" layoutInCell="1" allowOverlap="1" wp14:anchorId="20834BDC" wp14:editId="6801EB12">
                <wp:simplePos x="0" y="0"/>
                <wp:positionH relativeFrom="column">
                  <wp:posOffset>2540</wp:posOffset>
                </wp:positionH>
                <wp:positionV relativeFrom="paragraph">
                  <wp:posOffset>100965</wp:posOffset>
                </wp:positionV>
                <wp:extent cx="1792605" cy="1205865"/>
                <wp:effectExtent l="0" t="0" r="0" b="0"/>
                <wp:wrapSquare wrapText="right"/>
                <wp:docPr id="1974" name="Rectangle 1974"/>
                <wp:cNvGraphicFramePr/>
                <a:graphic xmlns:a="http://schemas.openxmlformats.org/drawingml/2006/main">
                  <a:graphicData uri="http://schemas.microsoft.com/office/word/2010/wordprocessingShape">
                    <wps:wsp>
                      <wps:cNvSpPr/>
                      <wps:spPr>
                        <a:xfrm>
                          <a:off x="0" y="0"/>
                          <a:ext cx="1792605" cy="1205865"/>
                        </a:xfrm>
                        <a:prstGeom prst="rect">
                          <a:avLst/>
                        </a:prstGeom>
                        <a:solidFill>
                          <a:schemeClr val="bg1">
                            <a:lumMod val="8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0380" w:rsidRPr="00184D9F" w:rsidRDefault="00880380" w:rsidP="00184D9F">
                            <w:pPr>
                              <w:jc w:val="center"/>
                              <w:rPr>
                                <w:color w:val="000000"/>
                              </w:rPr>
                            </w:pPr>
                            <w:r>
                              <w:rPr>
                                <w:b/>
                                <w:color w:val="000000"/>
                                <w:sz w:val="32"/>
                              </w:rPr>
                              <w:t>Young people</w:t>
                            </w:r>
                            <w:r>
                              <w:rPr>
                                <w:b/>
                                <w:color w:val="000000"/>
                                <w:sz w:val="32"/>
                              </w:rPr>
                              <w:br/>
                            </w:r>
                            <w:r>
                              <w:rPr>
                                <w:color w:val="000000"/>
                              </w:rPr>
                              <w:t>are less likely</w:t>
                            </w:r>
                            <w:r>
                              <w:rPr>
                                <w:color w:val="000000"/>
                              </w:rPr>
                              <w:br/>
                              <w:t>to smoke or drink hazardously than previously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74" o:spid="_x0000_s1027" style="position:absolute;margin-left:.2pt;margin-top:7.95pt;width:141.15pt;height:94.95pt;z-index:251765760;visibility:visible;mso-wrap-style:square;mso-width-percent:0;mso-height-percent:0;mso-wrap-distance-left:0;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" fillcolor="#d8d8d8 [2732]" stroked="f" strokeweight=".5pt">
                <v:textbox>
                  <w:txbxContent>
                    <w:p w:rsidR="00880380" w:rsidRPr="00184D9F" w:rsidRDefault="00880380" w:rsidP="00184D9F">
                      <w:pPr>
                        <w:jc w:val="center"/>
                        <w:rPr>
                          <w:color w:val="000000"/>
                        </w:rPr>
                      </w:pPr>
                      <w:r>
                        <w:rPr>
                          <w:b/>
                          <w:color w:val="000000"/>
                          <w:sz w:val="32"/>
                        </w:rPr>
                        <w:t>Young people</w:t>
                      </w:r>
                      <w:r>
                        <w:rPr>
                          <w:b/>
                          <w:color w:val="000000"/>
                          <w:sz w:val="32"/>
                        </w:rPr>
                        <w:br/>
                      </w:r>
                      <w:r>
                        <w:rPr>
                          <w:color w:val="000000"/>
                        </w:rPr>
                        <w:t>are less likely</w:t>
                      </w:r>
                      <w:r>
                        <w:rPr>
                          <w:color w:val="000000"/>
                        </w:rPr>
                        <w:br/>
                        <w:t>to smoke or drink hazardously than previously</w:t>
                      </w:r>
                    </w:p>
                  </w:txbxContent>
                </v:textbox>
                <w10:wrap type="square" side="right"/>
              </v:rect>
            </w:pict>
          </mc:Fallback>
        </mc:AlternateContent>
      </w:r>
    </w:p>
    <w:p w:rsidR="00A74AC3" w:rsidRPr="00D94409" w:rsidRDefault="00A74AC3" w:rsidP="007E3FAC">
      <w:r w:rsidRPr="00D94409">
        <w:t>Our daily smoking rate has decreased to 15 percent and is considerably lower than the average for member countries of the Organisation for Economic Co-operation and Development (OECD). However, the daily smoking rate for Māori adults remains high at 37 percent.</w:t>
      </w:r>
    </w:p>
    <w:p w:rsidR="00A74AC3" w:rsidRPr="00D94409" w:rsidRDefault="00A74AC3" w:rsidP="00184D9F">
      <w:pPr>
        <w:rPr>
          <w:rFonts w:eastAsia="Century"/>
        </w:rPr>
      </w:pPr>
    </w:p>
    <w:p w:rsidR="00A74AC3" w:rsidRPr="00D94409" w:rsidRDefault="00A74AC3" w:rsidP="007E3FAC">
      <w:r w:rsidRPr="00D94409">
        <w:t>Fewer young people are smoking or drinking hazardously. The youth smoking rate (in those aged 15–17 years) has halved over the last seven years. Further, although a third of young adults aged 18–24 years are</w:t>
      </w:r>
      <w:r w:rsidR="00184D9F">
        <w:t xml:space="preserve"> </w:t>
      </w:r>
      <w:r w:rsidRPr="00D94409">
        <w:t xml:space="preserve">hazardous </w:t>
      </w:r>
      <w:proofErr w:type="gramStart"/>
      <w:r w:rsidRPr="00D94409">
        <w:t>drinkers,</w:t>
      </w:r>
      <w:proofErr w:type="gramEnd"/>
      <w:r w:rsidRPr="00D94409">
        <w:t xml:space="preserve"> this proportion has fallen by 30 percent since 2006/07.</w:t>
      </w:r>
    </w:p>
    <w:p w:rsidR="00A74AC3" w:rsidRPr="00D94409" w:rsidRDefault="00A74AC3" w:rsidP="007E3FAC">
      <w:pPr>
        <w:rPr>
          <w:rFonts w:eastAsia="Century"/>
        </w:rPr>
      </w:pPr>
    </w:p>
    <w:p w:rsidR="00A74AC3" w:rsidRPr="00D94409" w:rsidRDefault="00A74AC3" w:rsidP="00184D9F">
      <w:pPr>
        <w:pStyle w:val="Heading3"/>
        <w:rPr>
          <w:bCs/>
        </w:rPr>
      </w:pPr>
      <w:r w:rsidRPr="00D94409">
        <w:t>Preventing ill health</w:t>
      </w:r>
    </w:p>
    <w:p w:rsidR="00A74AC3" w:rsidRPr="00D94409" w:rsidRDefault="00A74AC3" w:rsidP="007E3FAC">
      <w:r w:rsidRPr="00D94409">
        <w:t xml:space="preserve">Our health and our ability to lead a healthy lifestyle are strongly influenced by the social, economic and physical </w:t>
      </w:r>
      <w:proofErr w:type="gramStart"/>
      <w:r w:rsidRPr="00D94409">
        <w:t>environments</w:t>
      </w:r>
      <w:proofErr w:type="gramEnd"/>
      <w:r w:rsidRPr="00D94409">
        <w:t xml:space="preserve"> in which we live, learn, work and play.</w:t>
      </w:r>
    </w:p>
    <w:p w:rsidR="00A74AC3" w:rsidRPr="00D94409" w:rsidRDefault="00A74AC3" w:rsidP="007E3FAC">
      <w:pPr>
        <w:rPr>
          <w:rFonts w:eastAsia="Century"/>
        </w:rPr>
      </w:pPr>
    </w:p>
    <w:p w:rsidR="00A74AC3" w:rsidRPr="00D94409" w:rsidRDefault="00184D9F" w:rsidP="007E3FAC">
      <w:r>
        <w:rPr>
          <w:noProof/>
          <w:lang w:eastAsia="en-NZ"/>
        </w:rPr>
        <mc:AlternateContent>
          <mc:Choice Requires="wps">
            <w:drawing>
              <wp:anchor distT="0" distB="0" distL="114300" distR="0" simplePos="0" relativeHeight="251767808" behindDoc="1" locked="0" layoutInCell="1" allowOverlap="1" wp14:anchorId="6BFD9A17" wp14:editId="7B0D4409">
                <wp:simplePos x="0" y="0"/>
                <wp:positionH relativeFrom="column">
                  <wp:posOffset>3926205</wp:posOffset>
                </wp:positionH>
                <wp:positionV relativeFrom="paragraph">
                  <wp:posOffset>44450</wp:posOffset>
                </wp:positionV>
                <wp:extent cx="2033270" cy="947420"/>
                <wp:effectExtent l="0" t="0" r="5080" b="5080"/>
                <wp:wrapTight wrapText="left">
                  <wp:wrapPolygon edited="0">
                    <wp:start x="0" y="0"/>
                    <wp:lineTo x="0" y="21282"/>
                    <wp:lineTo x="21452" y="21282"/>
                    <wp:lineTo x="21452" y="0"/>
                    <wp:lineTo x="0" y="0"/>
                  </wp:wrapPolygon>
                </wp:wrapTight>
                <wp:docPr id="1975" name="Rectangle 1975"/>
                <wp:cNvGraphicFramePr/>
                <a:graphic xmlns:a="http://schemas.openxmlformats.org/drawingml/2006/main">
                  <a:graphicData uri="http://schemas.microsoft.com/office/word/2010/wordprocessingShape">
                    <wps:wsp>
                      <wps:cNvSpPr/>
                      <wps:spPr>
                        <a:xfrm>
                          <a:off x="0" y="0"/>
                          <a:ext cx="2033270" cy="947420"/>
                        </a:xfrm>
                        <a:prstGeom prst="rect">
                          <a:avLst/>
                        </a:prstGeom>
                        <a:solidFill>
                          <a:schemeClr val="bg1">
                            <a:lumMod val="8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0380" w:rsidRPr="00184D9F" w:rsidRDefault="00880380" w:rsidP="00184D9F">
                            <w:pPr>
                              <w:jc w:val="center"/>
                              <w:rPr>
                                <w:color w:val="000000"/>
                              </w:rPr>
                            </w:pPr>
                            <w:r>
                              <w:rPr>
                                <w:b/>
                                <w:color w:val="000000"/>
                                <w:sz w:val="32"/>
                              </w:rPr>
                              <w:t>Māori and Pacific</w:t>
                            </w:r>
                            <w:r>
                              <w:rPr>
                                <w:b/>
                                <w:color w:val="000000"/>
                                <w:sz w:val="32"/>
                              </w:rPr>
                              <w:br/>
                            </w:r>
                            <w:r>
                              <w:rPr>
                                <w:color w:val="000000"/>
                              </w:rPr>
                              <w:t>are over-represented in deprived areas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75" o:spid="_x0000_s1028" style="position:absolute;margin-left:309.15pt;margin-top:3.5pt;width:160.1pt;height:74.6pt;z-index:-251548672;visibility:visible;mso-wrap-style:square;mso-width-percent:0;mso-height-percent:0;mso-wrap-distance-left:9pt;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" fillcolor="#d8d8d8 [2732]" stroked="f" strokeweight=".5pt">
                <v:textbox>
                  <w:txbxContent>
                    <w:p w:rsidR="00880380" w:rsidRPr="00184D9F" w:rsidRDefault="00880380" w:rsidP="00184D9F">
                      <w:pPr>
                        <w:jc w:val="center"/>
                        <w:rPr>
                          <w:color w:val="000000"/>
                        </w:rPr>
                      </w:pPr>
                      <w:r>
                        <w:rPr>
                          <w:b/>
                          <w:color w:val="000000"/>
                          <w:sz w:val="32"/>
                        </w:rPr>
                        <w:t>Māori and Pacific</w:t>
                      </w:r>
                      <w:r>
                        <w:rPr>
                          <w:b/>
                          <w:color w:val="000000"/>
                          <w:sz w:val="32"/>
                        </w:rPr>
                        <w:br/>
                      </w:r>
                      <w:r>
                        <w:rPr>
                          <w:color w:val="000000"/>
                        </w:rPr>
                        <w:t>are over-represented in deprived areas</w:t>
                      </w:r>
                    </w:p>
                  </w:txbxContent>
                </v:textbox>
                <w10:wrap type="tight" side="left"/>
              </v:rect>
            </w:pict>
          </mc:Fallback>
        </mc:AlternateContent>
      </w:r>
      <w:r w:rsidR="00A74AC3" w:rsidRPr="00D94409">
        <w:t>The New Zealand Index of Deprivation highlights the unequal distribution of socioeconomic deprivation in New Zealand.</w:t>
      </w:r>
      <w:r>
        <w:t xml:space="preserve"> </w:t>
      </w:r>
      <w:r w:rsidR="00A74AC3" w:rsidRPr="00D94409">
        <w:t>A</w:t>
      </w:r>
      <w:r>
        <w:t> </w:t>
      </w:r>
      <w:r w:rsidR="00A74AC3" w:rsidRPr="00D94409">
        <w:t>greater proportion of Māori and Pacific peoples live in the most socioeconomically deprived areas. Children are also over­represented in the most deprived areas as well as being more likely to live in crowded households.</w:t>
      </w:r>
    </w:p>
    <w:p w:rsidR="00A74AC3" w:rsidRPr="00D94409" w:rsidRDefault="00A74AC3" w:rsidP="00184D9F">
      <w:pPr>
        <w:rPr>
          <w:rFonts w:eastAsia="Century"/>
        </w:rPr>
      </w:pPr>
    </w:p>
    <w:p w:rsidR="0021763B" w:rsidRPr="00D94409" w:rsidRDefault="00A74AC3" w:rsidP="007E3FAC">
      <w:r w:rsidRPr="00D94409">
        <w:lastRenderedPageBreak/>
        <w:t>Ensuring children and young people have a healthy start to life is essential to reduce the impact of conditions such as obesity, cardiovascular disease and poor mental health on their lives. The future health of our children is shaped throughout pregnancy and childhood as their experience of both positive and negative influences grows.</w:t>
      </w:r>
    </w:p>
    <w:p w:rsidR="00A74AC3" w:rsidRPr="00D94409" w:rsidRDefault="00A74AC3" w:rsidP="007E3FAC"/>
    <w:p w:rsidR="00A74AC3" w:rsidRPr="00D94409" w:rsidRDefault="00A74AC3" w:rsidP="007E3FAC">
      <w:r w:rsidRPr="00D94409">
        <w:t>The majority of mothers stop drinking alcohol either when trying to get pregnant or as soon as they become aware of their pregnancy. However, one in six women continues to drink after finding out she is pregnant.</w:t>
      </w:r>
    </w:p>
    <w:p w:rsidR="00A74AC3" w:rsidRDefault="00A74AC3" w:rsidP="00184D9F">
      <w:pPr>
        <w:rPr>
          <w:rFonts w:eastAsia="Century"/>
        </w:rPr>
      </w:pPr>
    </w:p>
    <w:p w:rsidR="00A74AC3" w:rsidRPr="00D94409" w:rsidRDefault="00184D9F" w:rsidP="007E3FAC">
      <w:r>
        <w:rPr>
          <w:noProof/>
          <w:lang w:eastAsia="en-NZ"/>
        </w:rPr>
        <mc:AlternateContent>
          <mc:Choice Requires="wps">
            <w:drawing>
              <wp:anchor distT="0" distB="0" distL="0" distR="114300" simplePos="0" relativeHeight="251769856" behindDoc="0" locked="0" layoutInCell="1" allowOverlap="1" wp14:anchorId="40A91419" wp14:editId="3174D2CF">
                <wp:simplePos x="0" y="0"/>
                <wp:positionH relativeFrom="column">
                  <wp:posOffset>-11430</wp:posOffset>
                </wp:positionH>
                <wp:positionV relativeFrom="paragraph">
                  <wp:posOffset>97155</wp:posOffset>
                </wp:positionV>
                <wp:extent cx="1529080" cy="1205865"/>
                <wp:effectExtent l="0" t="0" r="0" b="0"/>
                <wp:wrapSquare wrapText="right"/>
                <wp:docPr id="1976" name="Rectangle 1976"/>
                <wp:cNvGraphicFramePr/>
                <a:graphic xmlns:a="http://schemas.openxmlformats.org/drawingml/2006/main">
                  <a:graphicData uri="http://schemas.microsoft.com/office/word/2010/wordprocessingShape">
                    <wps:wsp>
                      <wps:cNvSpPr/>
                      <wps:spPr>
                        <a:xfrm>
                          <a:off x="0" y="0"/>
                          <a:ext cx="1529080" cy="1205865"/>
                        </a:xfrm>
                        <a:prstGeom prst="rect">
                          <a:avLst/>
                        </a:prstGeom>
                        <a:solidFill>
                          <a:schemeClr val="bg1">
                            <a:lumMod val="8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0380" w:rsidRPr="00184D9F" w:rsidRDefault="00880380" w:rsidP="00184D9F">
                            <w:pPr>
                              <w:jc w:val="center"/>
                              <w:rPr>
                                <w:color w:val="000000"/>
                              </w:rPr>
                            </w:pPr>
                            <w:r>
                              <w:rPr>
                                <w:b/>
                                <w:color w:val="000000"/>
                                <w:sz w:val="32"/>
                              </w:rPr>
                              <w:t>1 in 6</w:t>
                            </w:r>
                            <w:r>
                              <w:rPr>
                                <w:b/>
                                <w:color w:val="000000"/>
                                <w:sz w:val="32"/>
                              </w:rPr>
                              <w:br/>
                            </w:r>
                            <w:r>
                              <w:rPr>
                                <w:color w:val="000000"/>
                              </w:rPr>
                              <w:t>women continue to drink after finding out that they are pregnant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76" o:spid="_x0000_s1029" style="position:absolute;margin-left:-.9pt;margin-top:7.65pt;width:120.4pt;height:94.95pt;z-index:251769856;visibility:visible;mso-wrap-style:square;mso-width-percent:0;mso-height-percent:0;mso-wrap-distance-left:0;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" fillcolor="#d8d8d8 [2732]" stroked="f" strokeweight=".5pt">
                <v:textbox>
                  <w:txbxContent>
                    <w:p w:rsidR="00880380" w:rsidRPr="00184D9F" w:rsidRDefault="00880380" w:rsidP="00184D9F">
                      <w:pPr>
                        <w:jc w:val="center"/>
                        <w:rPr>
                          <w:color w:val="000000"/>
                        </w:rPr>
                      </w:pPr>
                      <w:r>
                        <w:rPr>
                          <w:b/>
                          <w:color w:val="000000"/>
                          <w:sz w:val="32"/>
                        </w:rPr>
                        <w:t>1 in 6</w:t>
                      </w:r>
                      <w:r>
                        <w:rPr>
                          <w:b/>
                          <w:color w:val="000000"/>
                          <w:sz w:val="32"/>
                        </w:rPr>
                        <w:br/>
                      </w:r>
                      <w:r>
                        <w:rPr>
                          <w:color w:val="000000"/>
                        </w:rPr>
                        <w:t>women continue to drink after finding out that they are pregnant</w:t>
                      </w:r>
                    </w:p>
                  </w:txbxContent>
                </v:textbox>
                <w10:wrap type="square" side="right"/>
              </v:rect>
            </w:pict>
          </mc:Fallback>
        </mc:AlternateContent>
      </w:r>
      <w:r w:rsidR="00A74AC3" w:rsidRPr="00D94409">
        <w:t>Likewise, while support is available for pregnant women who smoke, one in eight women is smoking two weeks after the birth of her child.</w:t>
      </w:r>
    </w:p>
    <w:p w:rsidR="00A74AC3" w:rsidRPr="00D94409" w:rsidRDefault="00A74AC3" w:rsidP="00A74AC3">
      <w:pPr>
        <w:spacing w:before="10"/>
        <w:rPr>
          <w:rFonts w:ascii="Century" w:eastAsia="Century" w:hAnsi="Century" w:cs="Century"/>
          <w:sz w:val="18"/>
          <w:szCs w:val="18"/>
        </w:rPr>
      </w:pPr>
    </w:p>
    <w:p w:rsidR="00A74AC3" w:rsidRPr="00D94409" w:rsidRDefault="00A74AC3" w:rsidP="007E3FAC">
      <w:r w:rsidRPr="00D94409">
        <w:t>A numb</w:t>
      </w:r>
      <w:r w:rsidRPr="007E3FAC">
        <w:t>er of unhealthy behaviours are also evident among our children</w:t>
      </w:r>
      <w:r w:rsidRPr="00D94409">
        <w:t>. One in six children aged 2–14 years has fizzy drinks three or more times a week and half watch two or more hours of TV each day. One in ten children aged 2–14 years is obese, increasing their risk of poor health outcomes.</w:t>
      </w:r>
    </w:p>
    <w:p w:rsidR="00A74AC3" w:rsidRPr="00D94409" w:rsidRDefault="00A74AC3" w:rsidP="00184D9F">
      <w:pPr>
        <w:rPr>
          <w:rFonts w:eastAsia="Century"/>
        </w:rPr>
      </w:pPr>
    </w:p>
    <w:p w:rsidR="00A74AC3" w:rsidRPr="00D94409" w:rsidRDefault="00A74AC3" w:rsidP="007E3FAC">
      <w:r w:rsidRPr="00D94409">
        <w:t xml:space="preserve">Maternity and Well Child / </w:t>
      </w:r>
      <w:proofErr w:type="spellStart"/>
      <w:r w:rsidRPr="00D94409">
        <w:t>Tamariki</w:t>
      </w:r>
      <w:proofErr w:type="spellEnd"/>
      <w:r w:rsidRPr="00D94409">
        <w:t xml:space="preserve"> </w:t>
      </w:r>
      <w:proofErr w:type="spellStart"/>
      <w:r w:rsidRPr="00D94409">
        <w:t>Ora</w:t>
      </w:r>
      <w:proofErr w:type="spellEnd"/>
      <w:r w:rsidRPr="00D94409">
        <w:t xml:space="preserve"> services support families to adopt and maintain a healthy lifestyle. Early access to a Lead Maternity Carer (LMC) has improved for all ethnic groups, with two- thirds of pregnant women registering with an LMC by the 12th week of pregnancy.</w:t>
      </w:r>
    </w:p>
    <w:p w:rsidR="00A74AC3" w:rsidRPr="00D94409" w:rsidRDefault="00A74AC3" w:rsidP="007E3FAC">
      <w:pPr>
        <w:rPr>
          <w:rFonts w:eastAsia="Century"/>
        </w:rPr>
      </w:pPr>
    </w:p>
    <w:p w:rsidR="00A74AC3" w:rsidRPr="00D94409" w:rsidRDefault="00A74AC3" w:rsidP="007E3FAC">
      <w:r w:rsidRPr="00D94409">
        <w:t xml:space="preserve">Well Child / </w:t>
      </w:r>
      <w:proofErr w:type="spellStart"/>
      <w:r w:rsidRPr="00D94409">
        <w:t>Tamariki</w:t>
      </w:r>
      <w:proofErr w:type="spellEnd"/>
      <w:r w:rsidRPr="00D94409">
        <w:t xml:space="preserve"> </w:t>
      </w:r>
      <w:proofErr w:type="spellStart"/>
      <w:r w:rsidRPr="00D94409">
        <w:t>Ora</w:t>
      </w:r>
      <w:proofErr w:type="spellEnd"/>
      <w:r w:rsidRPr="00D94409">
        <w:t xml:space="preserve"> services are seeing more children: three-quarters of infants receive all core visits available in their first year, and 93 percent of four-year-olds have a B4 School Check. Health and wellbeing continue to be promoted once children begin school, through Health Promoting Schools and School Based Health Services.</w:t>
      </w:r>
    </w:p>
    <w:p w:rsidR="00A74AC3" w:rsidRPr="00D94409" w:rsidRDefault="00A74AC3" w:rsidP="007E3FAC">
      <w:pPr>
        <w:rPr>
          <w:rFonts w:eastAsia="Century"/>
        </w:rPr>
      </w:pPr>
    </w:p>
    <w:p w:rsidR="00A74AC3" w:rsidRPr="00D94409" w:rsidRDefault="000A26F8" w:rsidP="007E3FAC">
      <w:r>
        <w:rPr>
          <w:noProof/>
          <w:lang w:eastAsia="en-NZ"/>
        </w:rPr>
        <mc:AlternateContent>
          <mc:Choice Requires="wps">
            <w:drawing>
              <wp:anchor distT="0" distB="0" distL="0" distR="114300" simplePos="0" relativeHeight="251771904" behindDoc="0" locked="0" layoutInCell="1" allowOverlap="1" wp14:anchorId="094D257A" wp14:editId="6FA373D6">
                <wp:simplePos x="0" y="0"/>
                <wp:positionH relativeFrom="column">
                  <wp:posOffset>-11430</wp:posOffset>
                </wp:positionH>
                <wp:positionV relativeFrom="paragraph">
                  <wp:posOffset>88900</wp:posOffset>
                </wp:positionV>
                <wp:extent cx="1529715" cy="864235"/>
                <wp:effectExtent l="0" t="0" r="0" b="0"/>
                <wp:wrapSquare wrapText="right"/>
                <wp:docPr id="1977" name="Rectangle 1977"/>
                <wp:cNvGraphicFramePr/>
                <a:graphic xmlns:a="http://schemas.openxmlformats.org/drawingml/2006/main">
                  <a:graphicData uri="http://schemas.microsoft.com/office/word/2010/wordprocessingShape">
                    <wps:wsp>
                      <wps:cNvSpPr/>
                      <wps:spPr>
                        <a:xfrm>
                          <a:off x="0" y="0"/>
                          <a:ext cx="1529715" cy="864235"/>
                        </a:xfrm>
                        <a:prstGeom prst="rect">
                          <a:avLst/>
                        </a:prstGeom>
                        <a:solidFill>
                          <a:schemeClr val="bg1">
                            <a:lumMod val="8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0380" w:rsidRPr="00184D9F" w:rsidRDefault="00880380" w:rsidP="00184D9F">
                            <w:pPr>
                              <w:jc w:val="center"/>
                              <w:rPr>
                                <w:color w:val="000000"/>
                              </w:rPr>
                            </w:pPr>
                            <w:r>
                              <w:rPr>
                                <w:b/>
                                <w:color w:val="000000"/>
                                <w:sz w:val="32"/>
                              </w:rPr>
                              <w:t>93%</w:t>
                            </w:r>
                            <w:r>
                              <w:rPr>
                                <w:b/>
                                <w:color w:val="000000"/>
                                <w:sz w:val="32"/>
                              </w:rPr>
                              <w:br/>
                            </w:r>
                            <w:r>
                              <w:rPr>
                                <w:color w:val="000000"/>
                              </w:rPr>
                              <w:t>of eight-month-olds ae fully immunised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77" o:spid="_x0000_s1030" style="position:absolute;margin-left:-.9pt;margin-top:7pt;width:120.45pt;height:68.05pt;z-index:251771904;visibility:visible;mso-wrap-style:square;mso-width-percent:0;mso-height-percent:0;mso-wrap-distance-left:0;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" fillcolor="#d8d8d8 [2732]" stroked="f" strokeweight=".5pt">
                <v:textbox>
                  <w:txbxContent>
                    <w:p w:rsidR="00880380" w:rsidRPr="00184D9F" w:rsidRDefault="00880380" w:rsidP="00184D9F">
                      <w:pPr>
                        <w:jc w:val="center"/>
                        <w:rPr>
                          <w:color w:val="000000"/>
                        </w:rPr>
                      </w:pPr>
                      <w:r>
                        <w:rPr>
                          <w:b/>
                          <w:color w:val="000000"/>
                          <w:sz w:val="32"/>
                        </w:rPr>
                        <w:t>93%</w:t>
                      </w:r>
                      <w:r>
                        <w:rPr>
                          <w:b/>
                          <w:color w:val="000000"/>
                          <w:sz w:val="32"/>
                        </w:rPr>
                        <w:br/>
                      </w:r>
                      <w:r>
                        <w:rPr>
                          <w:color w:val="000000"/>
                        </w:rPr>
                        <w:t>of eight-month-olds ae fully immunised</w:t>
                      </w:r>
                    </w:p>
                  </w:txbxContent>
                </v:textbox>
                <w10:wrap type="square" side="right"/>
              </v:rect>
            </w:pict>
          </mc:Fallback>
        </mc:AlternateContent>
      </w:r>
      <w:r w:rsidR="00A74AC3" w:rsidRPr="00D94409">
        <w:t>The proportion of children who are up to date with their immunisations has increased markedly over recent years. By eight months of age, 93 percent of children are now immunised against a number of serious infectious diseases. The rates of immunisation have also increased for Māori and Pacific children as well as for those living in the most socioeconomically deprived areas.</w:t>
      </w:r>
    </w:p>
    <w:p w:rsidR="00A74AC3" w:rsidRPr="00D94409" w:rsidRDefault="00A74AC3" w:rsidP="00184D9F">
      <w:pPr>
        <w:rPr>
          <w:rFonts w:eastAsia="Century"/>
        </w:rPr>
      </w:pPr>
    </w:p>
    <w:p w:rsidR="00A74AC3" w:rsidRPr="00D94409" w:rsidRDefault="00A74AC3" w:rsidP="007E3FAC">
      <w:r w:rsidRPr="00D94409">
        <w:t>As with physical health, good mental health starts early in life. One in six mothers reports experiencing depression during pregnancy; this proportion decreases to one in nine by the time the child is nine months old.</w:t>
      </w:r>
    </w:p>
    <w:p w:rsidR="00A74AC3" w:rsidRPr="00D94409" w:rsidRDefault="000A26F8" w:rsidP="007E3FAC">
      <w:pPr>
        <w:rPr>
          <w:rFonts w:eastAsia="Century"/>
        </w:rPr>
      </w:pPr>
      <w:r>
        <w:rPr>
          <w:noProof/>
          <w:lang w:eastAsia="en-NZ"/>
        </w:rPr>
        <mc:AlternateContent>
          <mc:Choice Requires="wps">
            <w:drawing>
              <wp:anchor distT="0" distB="0" distL="114300" distR="0" simplePos="0" relativeHeight="251773952" behindDoc="1" locked="0" layoutInCell="1" allowOverlap="1" wp14:anchorId="367B1E24" wp14:editId="2C401CE7">
                <wp:simplePos x="0" y="0"/>
                <wp:positionH relativeFrom="column">
                  <wp:posOffset>4269740</wp:posOffset>
                </wp:positionH>
                <wp:positionV relativeFrom="paragraph">
                  <wp:posOffset>156845</wp:posOffset>
                </wp:positionV>
                <wp:extent cx="1658620" cy="947420"/>
                <wp:effectExtent l="0" t="0" r="0" b="5080"/>
                <wp:wrapTight wrapText="left">
                  <wp:wrapPolygon edited="0">
                    <wp:start x="0" y="0"/>
                    <wp:lineTo x="0" y="21282"/>
                    <wp:lineTo x="21335" y="21282"/>
                    <wp:lineTo x="21335" y="0"/>
                    <wp:lineTo x="0" y="0"/>
                  </wp:wrapPolygon>
                </wp:wrapTight>
                <wp:docPr id="1979" name="Rectangle 1979"/>
                <wp:cNvGraphicFramePr/>
                <a:graphic xmlns:a="http://schemas.openxmlformats.org/drawingml/2006/main">
                  <a:graphicData uri="http://schemas.microsoft.com/office/word/2010/wordprocessingShape">
                    <wps:wsp>
                      <wps:cNvSpPr/>
                      <wps:spPr>
                        <a:xfrm>
                          <a:off x="0" y="0"/>
                          <a:ext cx="1658620" cy="947420"/>
                        </a:xfrm>
                        <a:prstGeom prst="rect">
                          <a:avLst/>
                        </a:prstGeom>
                        <a:solidFill>
                          <a:schemeClr val="bg1">
                            <a:lumMod val="8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0380" w:rsidRPr="00184D9F" w:rsidRDefault="00880380" w:rsidP="000A26F8">
                            <w:pPr>
                              <w:jc w:val="center"/>
                              <w:rPr>
                                <w:color w:val="000000"/>
                              </w:rPr>
                            </w:pPr>
                            <w:r>
                              <w:rPr>
                                <w:color w:val="000000"/>
                              </w:rPr>
                              <w:t xml:space="preserve">Suicide is responsible for </w:t>
                            </w:r>
                            <w:r>
                              <w:rPr>
                                <w:b/>
                                <w:color w:val="000000"/>
                                <w:sz w:val="32"/>
                              </w:rPr>
                              <w:t>1 in 3</w:t>
                            </w:r>
                            <w:r>
                              <w:rPr>
                                <w:b/>
                                <w:color w:val="000000"/>
                                <w:sz w:val="32"/>
                              </w:rPr>
                              <w:br/>
                            </w:r>
                            <w:r>
                              <w:rPr>
                                <w:color w:val="000000"/>
                              </w:rPr>
                              <w:t>deaths among young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79" o:spid="_x0000_s1031" style="position:absolute;margin-left:336.2pt;margin-top:12.35pt;width:130.6pt;height:74.6pt;z-index:-251542528;visibility:visible;mso-wrap-style:square;mso-width-percent:0;mso-height-percent:0;mso-wrap-distance-left:9pt;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" fillcolor="#d8d8d8 [2732]" stroked="f" strokeweight=".5pt">
                <v:textbox>
                  <w:txbxContent>
                    <w:p w:rsidR="00880380" w:rsidRPr="00184D9F" w:rsidRDefault="00880380" w:rsidP="000A26F8">
                      <w:pPr>
                        <w:jc w:val="center"/>
                        <w:rPr>
                          <w:color w:val="000000"/>
                        </w:rPr>
                      </w:pPr>
                      <w:r>
                        <w:rPr>
                          <w:color w:val="000000"/>
                        </w:rPr>
                        <w:t xml:space="preserve">Suicide is responsible for </w:t>
                      </w:r>
                      <w:r>
                        <w:rPr>
                          <w:b/>
                          <w:color w:val="000000"/>
                          <w:sz w:val="32"/>
                        </w:rPr>
                        <w:t>1 in 3</w:t>
                      </w:r>
                      <w:r>
                        <w:rPr>
                          <w:b/>
                          <w:color w:val="000000"/>
                          <w:sz w:val="32"/>
                        </w:rPr>
                        <w:br/>
                      </w:r>
                      <w:r>
                        <w:rPr>
                          <w:color w:val="000000"/>
                        </w:rPr>
                        <w:t>deaths among young people</w:t>
                      </w:r>
                    </w:p>
                  </w:txbxContent>
                </v:textbox>
                <w10:wrap type="tight" side="left"/>
              </v:rect>
            </w:pict>
          </mc:Fallback>
        </mc:AlternateContent>
      </w:r>
    </w:p>
    <w:p w:rsidR="00A74AC3" w:rsidRPr="00D94409" w:rsidRDefault="00A74AC3" w:rsidP="007E3FAC">
      <w:r w:rsidRPr="00D94409">
        <w:t>Among teenagers, one in six girls and one in eleven boys display clinically significant signs of depression. Identifying and supporting these young people is essential to help tackle New Zealand</w:t>
      </w:r>
      <w:r w:rsidR="00D94409" w:rsidRPr="00D94409">
        <w:t>’</w:t>
      </w:r>
      <w:r w:rsidRPr="00D94409">
        <w:t>s high youth suicide rate. Suicide accounts for a third of all deaths in those aged 15–24 years, with Māori youths particularly vulnerable.</w:t>
      </w:r>
    </w:p>
    <w:p w:rsidR="00A74AC3" w:rsidRPr="00D94409" w:rsidRDefault="00A74AC3" w:rsidP="007E3FAC">
      <w:pPr>
        <w:rPr>
          <w:rFonts w:eastAsia="Century"/>
        </w:rPr>
      </w:pPr>
    </w:p>
    <w:p w:rsidR="00A74AC3" w:rsidRPr="00D94409" w:rsidRDefault="00A74AC3" w:rsidP="000A26F8">
      <w:pPr>
        <w:pStyle w:val="Heading3"/>
        <w:rPr>
          <w:bCs/>
        </w:rPr>
      </w:pPr>
      <w:r w:rsidRPr="00D94409">
        <w:t>Protecting our health</w:t>
      </w:r>
    </w:p>
    <w:p w:rsidR="00A74AC3" w:rsidRPr="00D94409" w:rsidRDefault="00A74AC3" w:rsidP="007E3FAC">
      <w:r w:rsidRPr="00D94409">
        <w:t>Early identification and effective management of poor health can help slow the progression of disease, improving health outcomes.</w:t>
      </w:r>
    </w:p>
    <w:p w:rsidR="00A74AC3" w:rsidRPr="00D94409" w:rsidRDefault="00A74AC3" w:rsidP="007E3FAC">
      <w:pPr>
        <w:rPr>
          <w:rFonts w:eastAsia="Century"/>
        </w:rPr>
      </w:pPr>
    </w:p>
    <w:p w:rsidR="00A74AC3" w:rsidRPr="00D94409" w:rsidRDefault="00A74AC3" w:rsidP="007E3FAC">
      <w:r w:rsidRPr="00D94409">
        <w:t>Our cervical cancer mortality rate is low compared with similar countries. However, inequities in uptake of cervical screening persist among Māori, Asian and Pacific women.</w:t>
      </w:r>
    </w:p>
    <w:p w:rsidR="00A74AC3" w:rsidRPr="00D94409" w:rsidRDefault="00A74AC3" w:rsidP="007E3FAC">
      <w:pPr>
        <w:rPr>
          <w:rFonts w:eastAsia="Century"/>
        </w:rPr>
      </w:pPr>
    </w:p>
    <w:p w:rsidR="00A74AC3" w:rsidRPr="00D94409" w:rsidRDefault="00A74AC3" w:rsidP="007E3FAC">
      <w:r w:rsidRPr="00D94409">
        <w:lastRenderedPageBreak/>
        <w:t>Although breast cancer screening rates have improved among Pacific women, low Māori screening uptake remains a challenge.</w:t>
      </w:r>
    </w:p>
    <w:p w:rsidR="00A74AC3" w:rsidRPr="00D94409" w:rsidRDefault="000A26F8" w:rsidP="007E3FAC">
      <w:pPr>
        <w:rPr>
          <w:rFonts w:eastAsia="Century"/>
        </w:rPr>
      </w:pPr>
      <w:r>
        <w:rPr>
          <w:noProof/>
          <w:lang w:eastAsia="en-NZ"/>
        </w:rPr>
        <mc:AlternateContent>
          <mc:Choice Requires="wps">
            <w:drawing>
              <wp:anchor distT="0" distB="0" distL="114300" distR="0" simplePos="0" relativeHeight="251776000" behindDoc="1" locked="0" layoutInCell="1" allowOverlap="1" wp14:anchorId="66F0B467" wp14:editId="3B45C349">
                <wp:simplePos x="0" y="0"/>
                <wp:positionH relativeFrom="column">
                  <wp:posOffset>4269740</wp:posOffset>
                </wp:positionH>
                <wp:positionV relativeFrom="paragraph">
                  <wp:posOffset>101600</wp:posOffset>
                </wp:positionV>
                <wp:extent cx="1658620" cy="947420"/>
                <wp:effectExtent l="0" t="0" r="0" b="5080"/>
                <wp:wrapTight wrapText="left">
                  <wp:wrapPolygon edited="0">
                    <wp:start x="0" y="0"/>
                    <wp:lineTo x="0" y="21282"/>
                    <wp:lineTo x="21335" y="21282"/>
                    <wp:lineTo x="21335" y="0"/>
                    <wp:lineTo x="0" y="0"/>
                  </wp:wrapPolygon>
                </wp:wrapTight>
                <wp:docPr id="1980" name="Rectangle 1980"/>
                <wp:cNvGraphicFramePr/>
                <a:graphic xmlns:a="http://schemas.openxmlformats.org/drawingml/2006/main">
                  <a:graphicData uri="http://schemas.microsoft.com/office/word/2010/wordprocessingShape">
                    <wps:wsp>
                      <wps:cNvSpPr/>
                      <wps:spPr>
                        <a:xfrm>
                          <a:off x="0" y="0"/>
                          <a:ext cx="1658620" cy="947420"/>
                        </a:xfrm>
                        <a:prstGeom prst="rect">
                          <a:avLst/>
                        </a:prstGeom>
                        <a:solidFill>
                          <a:schemeClr val="bg1">
                            <a:lumMod val="8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0380" w:rsidRPr="00184D9F" w:rsidRDefault="00880380" w:rsidP="000A26F8">
                            <w:pPr>
                              <w:jc w:val="center"/>
                              <w:rPr>
                                <w:color w:val="000000"/>
                              </w:rPr>
                            </w:pPr>
                            <w:r>
                              <w:rPr>
                                <w:b/>
                                <w:color w:val="000000"/>
                                <w:sz w:val="32"/>
                              </w:rPr>
                              <w:t>Equitable</w:t>
                            </w:r>
                            <w:r>
                              <w:rPr>
                                <w:b/>
                                <w:color w:val="000000"/>
                                <w:sz w:val="32"/>
                              </w:rPr>
                              <w:br/>
                            </w:r>
                            <w:r>
                              <w:rPr>
                                <w:color w:val="000000"/>
                              </w:rPr>
                              <w:t>access to cancer screening remains a challenge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80" o:spid="_x0000_s1032" style="position:absolute;margin-left:336.2pt;margin-top:8pt;width:130.6pt;height:74.6pt;z-index:-251540480;visibility:visible;mso-wrap-style:square;mso-width-percent:0;mso-height-percent:0;mso-wrap-distance-left:9pt;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" fillcolor="#d8d8d8 [2732]" stroked="f" strokeweight=".5pt">
                <v:textbox>
                  <w:txbxContent>
                    <w:p w:rsidR="00880380" w:rsidRPr="00184D9F" w:rsidRDefault="00880380" w:rsidP="000A26F8">
                      <w:pPr>
                        <w:jc w:val="center"/>
                        <w:rPr>
                          <w:color w:val="000000"/>
                        </w:rPr>
                      </w:pPr>
                      <w:r>
                        <w:rPr>
                          <w:b/>
                          <w:color w:val="000000"/>
                          <w:sz w:val="32"/>
                        </w:rPr>
                        <w:t>Equitable</w:t>
                      </w:r>
                      <w:r>
                        <w:rPr>
                          <w:b/>
                          <w:color w:val="000000"/>
                          <w:sz w:val="32"/>
                        </w:rPr>
                        <w:br/>
                      </w:r>
                      <w:r>
                        <w:rPr>
                          <w:color w:val="000000"/>
                        </w:rPr>
                        <w:t>access to cancer screening remains a challenge</w:t>
                      </w:r>
                    </w:p>
                  </w:txbxContent>
                </v:textbox>
                <w10:wrap type="tight" side="left"/>
              </v:rect>
            </w:pict>
          </mc:Fallback>
        </mc:AlternateContent>
      </w:r>
    </w:p>
    <w:p w:rsidR="00A74AC3" w:rsidRPr="00D94409" w:rsidRDefault="00A74AC3" w:rsidP="007E3FAC">
      <w:r w:rsidRPr="00D94409">
        <w:t>Effective management of obesity, high blood pressure, high cholesterol and diabetes can help lower cardiovascular disease risk. Over a million adults are obese, which is three out of every ten adults. One in six adults is taking medication for high blood pressure and one in nine is taking medication for high cholesterol.</w:t>
      </w:r>
    </w:p>
    <w:p w:rsidR="00A74AC3" w:rsidRPr="00D94409" w:rsidRDefault="00A74AC3" w:rsidP="007E3FAC"/>
    <w:p w:rsidR="00A74AC3" w:rsidRPr="00D94409" w:rsidRDefault="000A26F8" w:rsidP="007E3FAC">
      <w:r>
        <w:rPr>
          <w:noProof/>
          <w:lang w:eastAsia="en-NZ"/>
        </w:rPr>
        <mc:AlternateContent>
          <mc:Choice Requires="wps">
            <w:drawing>
              <wp:anchor distT="0" distB="0" distL="0" distR="114300" simplePos="0" relativeHeight="251778048" behindDoc="0" locked="0" layoutInCell="1" allowOverlap="1" wp14:anchorId="7B566C94" wp14:editId="3D9072A9">
                <wp:simplePos x="0" y="0"/>
                <wp:positionH relativeFrom="column">
                  <wp:posOffset>2540</wp:posOffset>
                </wp:positionH>
                <wp:positionV relativeFrom="paragraph">
                  <wp:posOffset>19685</wp:posOffset>
                </wp:positionV>
                <wp:extent cx="2028190" cy="1055370"/>
                <wp:effectExtent l="0" t="0" r="0" b="0"/>
                <wp:wrapSquare wrapText="right"/>
                <wp:docPr id="1981" name="Rectangle 1981"/>
                <wp:cNvGraphicFramePr/>
                <a:graphic xmlns:a="http://schemas.openxmlformats.org/drawingml/2006/main">
                  <a:graphicData uri="http://schemas.microsoft.com/office/word/2010/wordprocessingShape">
                    <wps:wsp>
                      <wps:cNvSpPr/>
                      <wps:spPr>
                        <a:xfrm>
                          <a:off x="0" y="0"/>
                          <a:ext cx="2028190" cy="1055370"/>
                        </a:xfrm>
                        <a:prstGeom prst="rect">
                          <a:avLst/>
                        </a:prstGeom>
                        <a:solidFill>
                          <a:schemeClr val="bg1">
                            <a:lumMod val="8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0380" w:rsidRPr="00184D9F" w:rsidRDefault="00880380" w:rsidP="000A26F8">
                            <w:pPr>
                              <w:jc w:val="center"/>
                              <w:rPr>
                                <w:color w:val="000000"/>
                              </w:rPr>
                            </w:pPr>
                            <w:r>
                              <w:rPr>
                                <w:b/>
                                <w:color w:val="000000"/>
                                <w:sz w:val="32"/>
                              </w:rPr>
                              <w:t>1.1 million</w:t>
                            </w:r>
                            <w:r>
                              <w:rPr>
                                <w:b/>
                                <w:color w:val="000000"/>
                                <w:sz w:val="32"/>
                              </w:rPr>
                              <w:br/>
                            </w:r>
                            <w:r>
                              <w:rPr>
                                <w:color w:val="000000"/>
                              </w:rPr>
                              <w:t>New Zealanders have had their cardiovascular risk assessed in the last five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81" o:spid="_x0000_s1033" style="position:absolute;margin-left:.2pt;margin-top:1.55pt;width:159.7pt;height:83.1pt;z-index:251778048;visibility:visible;mso-wrap-style:square;mso-width-percent:0;mso-height-percent:0;mso-wrap-distance-left:0;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" fillcolor="#d8d8d8 [2732]" stroked="f" strokeweight=".5pt">
                <v:textbox>
                  <w:txbxContent>
                    <w:p w:rsidR="00880380" w:rsidRPr="00184D9F" w:rsidRDefault="00880380" w:rsidP="000A26F8">
                      <w:pPr>
                        <w:jc w:val="center"/>
                        <w:rPr>
                          <w:color w:val="000000"/>
                        </w:rPr>
                      </w:pPr>
                      <w:r>
                        <w:rPr>
                          <w:b/>
                          <w:color w:val="000000"/>
                          <w:sz w:val="32"/>
                        </w:rPr>
                        <w:t>1.1 million</w:t>
                      </w:r>
                      <w:r>
                        <w:rPr>
                          <w:b/>
                          <w:color w:val="000000"/>
                          <w:sz w:val="32"/>
                        </w:rPr>
                        <w:br/>
                      </w:r>
                      <w:r>
                        <w:rPr>
                          <w:color w:val="000000"/>
                        </w:rPr>
                        <w:t>New Zealanders have had their cardiovascular risk assessed in the last five years</w:t>
                      </w:r>
                    </w:p>
                  </w:txbxContent>
                </v:textbox>
                <w10:wrap type="square" side="right"/>
              </v:rect>
            </w:pict>
          </mc:Fallback>
        </mc:AlternateContent>
      </w:r>
      <w:r w:rsidR="00A74AC3" w:rsidRPr="00D94409">
        <w:t>The prevalence of diabetes is increasing; 6 percent of adults have been diagnosed with this condition. Undiagnosed diabetes is also an issue, with a quarter of people with diabetes unaware of their condition.</w:t>
      </w:r>
    </w:p>
    <w:p w:rsidR="00A74AC3" w:rsidRPr="00D94409" w:rsidRDefault="00A74AC3" w:rsidP="000A26F8">
      <w:pPr>
        <w:rPr>
          <w:rFonts w:eastAsia="Century"/>
        </w:rPr>
      </w:pPr>
    </w:p>
    <w:p w:rsidR="00A74AC3" w:rsidRPr="00D94409" w:rsidRDefault="00A74AC3" w:rsidP="000A26F8">
      <w:r w:rsidRPr="00D94409">
        <w:t>Lifestyle factors account for 60 percent of health loss from cardiovascular disease. Initiatives supporting individuals to increase their physical activity, such as the Green</w:t>
      </w:r>
      <w:r w:rsidR="000A26F8">
        <w:t xml:space="preserve"> </w:t>
      </w:r>
      <w:r w:rsidRPr="00D94409">
        <w:t xml:space="preserve">Prescription scheme and smoking cessation </w:t>
      </w:r>
      <w:proofErr w:type="gramStart"/>
      <w:r w:rsidRPr="00D94409">
        <w:t>services,</w:t>
      </w:r>
      <w:proofErr w:type="gramEnd"/>
      <w:r w:rsidRPr="00D94409">
        <w:t xml:space="preserve"> are important to help people reduce their risk of cardiovascular disease.</w:t>
      </w:r>
    </w:p>
    <w:p w:rsidR="00A74AC3" w:rsidRPr="00D94409" w:rsidRDefault="00A74AC3" w:rsidP="007E3FAC">
      <w:pPr>
        <w:rPr>
          <w:rFonts w:eastAsia="Century"/>
        </w:rPr>
      </w:pPr>
    </w:p>
    <w:p w:rsidR="00A74AC3" w:rsidRPr="00D94409" w:rsidRDefault="00A74AC3" w:rsidP="007E3FAC">
      <w:r w:rsidRPr="00D94409">
        <w:t>The health target of more heart and diabetes checks is supporting earlier diagnosis of these conditions, enabling better management and a lowering of cardiovascular disease risk. Over 1.1</w:t>
      </w:r>
      <w:r w:rsidR="000A26F8">
        <w:t> </w:t>
      </w:r>
      <w:r w:rsidRPr="00D94409">
        <w:t>million people have had their cardiovascular risk assessed over the last five years. However, despite having higher levels of cardiovascular risk, a lower proportion of Māori adults have had a heart and diabetes check in the last five years.</w:t>
      </w:r>
    </w:p>
    <w:p w:rsidR="00A74AC3" w:rsidRPr="00D94409" w:rsidRDefault="000A26F8" w:rsidP="000A26F8">
      <w:pPr>
        <w:rPr>
          <w:rFonts w:eastAsia="Century"/>
        </w:rPr>
      </w:pPr>
      <w:r>
        <w:rPr>
          <w:noProof/>
          <w:lang w:eastAsia="en-NZ"/>
        </w:rPr>
        <mc:AlternateContent>
          <mc:Choice Requires="wps">
            <w:drawing>
              <wp:anchor distT="0" distB="0" distL="114300" distR="0" simplePos="0" relativeHeight="251780096" behindDoc="1" locked="0" layoutInCell="1" allowOverlap="1" wp14:anchorId="73820A73" wp14:editId="5ED7D19D">
                <wp:simplePos x="0" y="0"/>
                <wp:positionH relativeFrom="column">
                  <wp:posOffset>4258310</wp:posOffset>
                </wp:positionH>
                <wp:positionV relativeFrom="paragraph">
                  <wp:posOffset>106680</wp:posOffset>
                </wp:positionV>
                <wp:extent cx="1658620" cy="947420"/>
                <wp:effectExtent l="0" t="0" r="0" b="5080"/>
                <wp:wrapTight wrapText="left">
                  <wp:wrapPolygon edited="0">
                    <wp:start x="0" y="0"/>
                    <wp:lineTo x="0" y="21282"/>
                    <wp:lineTo x="21335" y="21282"/>
                    <wp:lineTo x="21335" y="0"/>
                    <wp:lineTo x="0" y="0"/>
                  </wp:wrapPolygon>
                </wp:wrapTight>
                <wp:docPr id="1982" name="Rectangle 1982"/>
                <wp:cNvGraphicFramePr/>
                <a:graphic xmlns:a="http://schemas.openxmlformats.org/drawingml/2006/main">
                  <a:graphicData uri="http://schemas.microsoft.com/office/word/2010/wordprocessingShape">
                    <wps:wsp>
                      <wps:cNvSpPr/>
                      <wps:spPr>
                        <a:xfrm>
                          <a:off x="0" y="0"/>
                          <a:ext cx="1658620" cy="947420"/>
                        </a:xfrm>
                        <a:prstGeom prst="rect">
                          <a:avLst/>
                        </a:prstGeom>
                        <a:solidFill>
                          <a:schemeClr val="bg1">
                            <a:lumMod val="8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0380" w:rsidRPr="00184D9F" w:rsidRDefault="00880380" w:rsidP="000A26F8">
                            <w:pPr>
                              <w:jc w:val="center"/>
                              <w:rPr>
                                <w:color w:val="000000"/>
                              </w:rPr>
                            </w:pPr>
                            <w:r>
                              <w:rPr>
                                <w:b/>
                                <w:color w:val="000000"/>
                                <w:sz w:val="32"/>
                              </w:rPr>
                              <w:t>7 out of 10</w:t>
                            </w:r>
                            <w:r>
                              <w:rPr>
                                <w:b/>
                                <w:color w:val="000000"/>
                                <w:sz w:val="32"/>
                              </w:rPr>
                              <w:br/>
                            </w:r>
                            <w:r>
                              <w:rPr>
                                <w:color w:val="000000"/>
                              </w:rPr>
                              <w:t>adults aged 65+ have a long-term condition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82" o:spid="_x0000_s1034" style="position:absolute;margin-left:335.3pt;margin-top:8.4pt;width:130.6pt;height:74.6pt;z-index:-251536384;visibility:visible;mso-wrap-style:square;mso-width-percent:0;mso-height-percent:0;mso-wrap-distance-left:9pt;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" fillcolor="#d8d8d8 [2732]" stroked="f" strokeweight=".5pt">
                <v:textbox>
                  <w:txbxContent>
                    <w:p w:rsidR="00880380" w:rsidRPr="00184D9F" w:rsidRDefault="00880380" w:rsidP="000A26F8">
                      <w:pPr>
                        <w:jc w:val="center"/>
                        <w:rPr>
                          <w:color w:val="000000"/>
                        </w:rPr>
                      </w:pPr>
                      <w:r>
                        <w:rPr>
                          <w:b/>
                          <w:color w:val="000000"/>
                          <w:sz w:val="32"/>
                        </w:rPr>
                        <w:t>7 out of 10</w:t>
                      </w:r>
                      <w:r>
                        <w:rPr>
                          <w:b/>
                          <w:color w:val="000000"/>
                          <w:sz w:val="32"/>
                        </w:rPr>
                        <w:br/>
                      </w:r>
                      <w:r>
                        <w:rPr>
                          <w:color w:val="000000"/>
                        </w:rPr>
                        <w:t>adults aged 65+ have a long-term condition</w:t>
                      </w:r>
                    </w:p>
                  </w:txbxContent>
                </v:textbox>
                <w10:wrap type="tight" side="left"/>
              </v:rect>
            </w:pict>
          </mc:Fallback>
        </mc:AlternateContent>
      </w:r>
    </w:p>
    <w:p w:rsidR="00A74AC3" w:rsidRPr="00D94409" w:rsidRDefault="00A74AC3" w:rsidP="007E3FAC">
      <w:r w:rsidRPr="00D94409">
        <w:t>As we live longer, the proportion of people living with one or more long­ term conditions is increasing. The majority (72 percent) of adults aged 65 years and over have at least one long-term condition, while 42 percent have at least two and 18 percent at least three long-term conditions.</w:t>
      </w:r>
    </w:p>
    <w:p w:rsidR="00A74AC3" w:rsidRPr="00D94409" w:rsidRDefault="00A74AC3" w:rsidP="007E3FAC">
      <w:pPr>
        <w:rPr>
          <w:rFonts w:eastAsia="Century"/>
        </w:rPr>
      </w:pPr>
    </w:p>
    <w:p w:rsidR="00A74AC3" w:rsidRPr="00D94409" w:rsidRDefault="00A74AC3" w:rsidP="007E3FAC">
      <w:r w:rsidRPr="00D94409">
        <w:t>Although infectious diseases now have less impact on the health of the population than they did historically, their control remains a priority. The health sector is continually working to ensure New Zealand is prepared for and, where possible, protected against both domestic and international outbreaks of infectious disease.</w:t>
      </w:r>
    </w:p>
    <w:p w:rsidR="00A74AC3" w:rsidRPr="00D94409" w:rsidRDefault="000A26F8" w:rsidP="000A26F8">
      <w:pPr>
        <w:rPr>
          <w:rFonts w:eastAsia="Century"/>
        </w:rPr>
      </w:pPr>
      <w:r>
        <w:rPr>
          <w:noProof/>
          <w:lang w:eastAsia="en-NZ"/>
        </w:rPr>
        <mc:AlternateContent>
          <mc:Choice Requires="wps">
            <w:drawing>
              <wp:anchor distT="0" distB="0" distL="0" distR="114300" simplePos="0" relativeHeight="251782144" behindDoc="0" locked="0" layoutInCell="1" allowOverlap="1" wp14:anchorId="1B5FB76C" wp14:editId="420C5E62">
                <wp:simplePos x="0" y="0"/>
                <wp:positionH relativeFrom="column">
                  <wp:posOffset>2540</wp:posOffset>
                </wp:positionH>
                <wp:positionV relativeFrom="paragraph">
                  <wp:posOffset>165100</wp:posOffset>
                </wp:positionV>
                <wp:extent cx="1604010" cy="872490"/>
                <wp:effectExtent l="0" t="0" r="0" b="3810"/>
                <wp:wrapSquare wrapText="right"/>
                <wp:docPr id="1984" name="Rectangle 1984"/>
                <wp:cNvGraphicFramePr/>
                <a:graphic xmlns:a="http://schemas.openxmlformats.org/drawingml/2006/main">
                  <a:graphicData uri="http://schemas.microsoft.com/office/word/2010/wordprocessingShape">
                    <wps:wsp>
                      <wps:cNvSpPr/>
                      <wps:spPr>
                        <a:xfrm>
                          <a:off x="0" y="0"/>
                          <a:ext cx="1604010" cy="872490"/>
                        </a:xfrm>
                        <a:prstGeom prst="rect">
                          <a:avLst/>
                        </a:prstGeom>
                        <a:solidFill>
                          <a:schemeClr val="bg1">
                            <a:lumMod val="8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0380" w:rsidRPr="00184D9F" w:rsidRDefault="00880380" w:rsidP="000A26F8">
                            <w:pPr>
                              <w:jc w:val="center"/>
                              <w:rPr>
                                <w:color w:val="000000"/>
                              </w:rPr>
                            </w:pPr>
                            <w:r>
                              <w:rPr>
                                <w:color w:val="000000"/>
                              </w:rPr>
                              <w:t>The rheumatic fever rate has declined by</w:t>
                            </w:r>
                            <w:r>
                              <w:rPr>
                                <w:color w:val="000000"/>
                              </w:rPr>
                              <w:br/>
                            </w:r>
                            <w:r>
                              <w:rPr>
                                <w:b/>
                                <w:color w:val="000000"/>
                                <w:sz w:val="32"/>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84" o:spid="_x0000_s1035" style="position:absolute;margin-left:.2pt;margin-top:13pt;width:126.3pt;height:68.7pt;z-index:251782144;visibility:visible;mso-wrap-style:square;mso-width-percent:0;mso-height-percent:0;mso-wrap-distance-left:0;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" fillcolor="#d8d8d8 [2732]" stroked="f" strokeweight=".5pt">
                <v:textbox>
                  <w:txbxContent>
                    <w:p w:rsidR="00880380" w:rsidRPr="00184D9F" w:rsidRDefault="00880380" w:rsidP="000A26F8">
                      <w:pPr>
                        <w:jc w:val="center"/>
                        <w:rPr>
                          <w:color w:val="000000"/>
                        </w:rPr>
                      </w:pPr>
                      <w:r>
                        <w:rPr>
                          <w:color w:val="000000"/>
                        </w:rPr>
                        <w:t>The rheumatic fever rate has declined by</w:t>
                      </w:r>
                      <w:r>
                        <w:rPr>
                          <w:color w:val="000000"/>
                        </w:rPr>
                        <w:br/>
                      </w:r>
                      <w:r>
                        <w:rPr>
                          <w:b/>
                          <w:color w:val="000000"/>
                          <w:sz w:val="32"/>
                        </w:rPr>
                        <w:t>24%</w:t>
                      </w:r>
                    </w:p>
                  </w:txbxContent>
                </v:textbox>
                <w10:wrap type="square" side="right"/>
              </v:rect>
            </w:pict>
          </mc:Fallback>
        </mc:AlternateContent>
      </w:r>
    </w:p>
    <w:p w:rsidR="00A74AC3" w:rsidRPr="00D94409" w:rsidRDefault="00A74AC3" w:rsidP="007E3FAC">
      <w:r w:rsidRPr="00D94409">
        <w:t>The rheumatic fever rate has declined by 24 percent since targeted intervention work began. Cross-agency collaboration has been a key feature of this work. For example, agencies worked together to roll out the Healthy Homes Initiative to reduce overcrowded living conditions for those in at-risk groups.</w:t>
      </w:r>
    </w:p>
    <w:p w:rsidR="00A74AC3" w:rsidRPr="00D94409" w:rsidRDefault="00A74AC3" w:rsidP="000A26F8">
      <w:pPr>
        <w:rPr>
          <w:rFonts w:eastAsia="Century"/>
        </w:rPr>
      </w:pPr>
    </w:p>
    <w:p w:rsidR="00A74AC3" w:rsidRPr="00D94409" w:rsidRDefault="00A74AC3" w:rsidP="000A26F8">
      <w:pPr>
        <w:pStyle w:val="Heading3"/>
        <w:rPr>
          <w:bCs/>
        </w:rPr>
      </w:pPr>
      <w:r w:rsidRPr="00D94409">
        <w:t>Meeting health system challenges</w:t>
      </w:r>
    </w:p>
    <w:p w:rsidR="00A74AC3" w:rsidRPr="00D94409" w:rsidRDefault="00A74AC3" w:rsidP="000A26F8">
      <w:r w:rsidRPr="00D94409">
        <w:t>The health and disability system faces a number of challenges now and in the future. Although the national picture of health is positive, there is substantial variation across different population</w:t>
      </w:r>
      <w:r w:rsidR="000A26F8">
        <w:t xml:space="preserve"> </w:t>
      </w:r>
      <w:r w:rsidRPr="00D94409">
        <w:t xml:space="preserve">groups. To improve health services for all New Zealanders, it is necessary to both deliver core services </w:t>
      </w:r>
      <w:proofErr w:type="gramStart"/>
      <w:r w:rsidRPr="00D94409">
        <w:t>effectively,</w:t>
      </w:r>
      <w:proofErr w:type="gramEnd"/>
      <w:r w:rsidRPr="00D94409">
        <w:t xml:space="preserve"> and to provide additional support and tailored services to those in need of them.</w:t>
      </w:r>
    </w:p>
    <w:p w:rsidR="00A74AC3" w:rsidRPr="00D94409" w:rsidRDefault="00A74AC3" w:rsidP="007E3FAC">
      <w:pPr>
        <w:rPr>
          <w:rFonts w:eastAsia="Century"/>
        </w:rPr>
      </w:pPr>
    </w:p>
    <w:p w:rsidR="00A74AC3" w:rsidRPr="00D94409" w:rsidRDefault="00A74AC3" w:rsidP="007E3FAC">
      <w:r w:rsidRPr="00D94409">
        <w:t>The population is becoming increasingly diverse. The Asian population increased by a third between the 2006 and 2013 census, to 12 percent of the total population. In addition, around 2</w:t>
      </w:r>
      <w:r w:rsidR="000A26F8">
        <w:t> </w:t>
      </w:r>
      <w:r w:rsidRPr="00D94409">
        <w:t>percent of people living in New Zealand do not speak English.</w:t>
      </w:r>
    </w:p>
    <w:p w:rsidR="00A74AC3" w:rsidRPr="00D94409" w:rsidRDefault="001377F8" w:rsidP="001377F8">
      <w:pPr>
        <w:spacing w:before="220"/>
      </w:pPr>
      <w:r>
        <w:rPr>
          <w:noProof/>
          <w:lang w:eastAsia="en-NZ"/>
        </w:rPr>
        <w:lastRenderedPageBreak/>
        <mc:AlternateContent>
          <mc:Choice Requires="wps">
            <w:drawing>
              <wp:anchor distT="0" distB="0" distL="0" distR="114300" simplePos="0" relativeHeight="251784192" behindDoc="0" locked="0" layoutInCell="1" allowOverlap="1" wp14:anchorId="230CAED9" wp14:editId="389C6FCF">
                <wp:simplePos x="0" y="0"/>
                <wp:positionH relativeFrom="column">
                  <wp:posOffset>-27940</wp:posOffset>
                </wp:positionH>
                <wp:positionV relativeFrom="paragraph">
                  <wp:posOffset>20320</wp:posOffset>
                </wp:positionV>
                <wp:extent cx="1412875" cy="872490"/>
                <wp:effectExtent l="0" t="0" r="0" b="3810"/>
                <wp:wrapSquare wrapText="right"/>
                <wp:docPr id="1985" name="Rectangle 1985"/>
                <wp:cNvGraphicFramePr/>
                <a:graphic xmlns:a="http://schemas.openxmlformats.org/drawingml/2006/main">
                  <a:graphicData uri="http://schemas.microsoft.com/office/word/2010/wordprocessingShape">
                    <wps:wsp>
                      <wps:cNvSpPr/>
                      <wps:spPr>
                        <a:xfrm>
                          <a:off x="0" y="0"/>
                          <a:ext cx="1412875" cy="872490"/>
                        </a:xfrm>
                        <a:prstGeom prst="rect">
                          <a:avLst/>
                        </a:prstGeom>
                        <a:solidFill>
                          <a:schemeClr val="bg1">
                            <a:lumMod val="8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0380" w:rsidRPr="00184D9F" w:rsidRDefault="00880380" w:rsidP="001377F8">
                            <w:pPr>
                              <w:jc w:val="center"/>
                              <w:rPr>
                                <w:color w:val="000000"/>
                              </w:rPr>
                            </w:pPr>
                            <w:r>
                              <w:rPr>
                                <w:color w:val="000000"/>
                              </w:rPr>
                              <w:t>The majority of New Zealanders have poor health literacy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85" o:spid="_x0000_s1036" style="position:absolute;margin-left:-2.2pt;margin-top:1.6pt;width:111.25pt;height:68.7pt;z-index:251784192;visibility:visible;mso-wrap-style:square;mso-width-percent:0;mso-height-percent:0;mso-wrap-distance-left:0;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" fillcolor="#d8d8d8 [2732]" stroked="f" strokeweight=".5pt">
                <v:textbox>
                  <w:txbxContent>
                    <w:p w:rsidR="00880380" w:rsidRPr="00184D9F" w:rsidRDefault="00880380" w:rsidP="001377F8">
                      <w:pPr>
                        <w:jc w:val="center"/>
                        <w:rPr>
                          <w:color w:val="000000"/>
                        </w:rPr>
                      </w:pPr>
                      <w:r>
                        <w:rPr>
                          <w:color w:val="000000"/>
                        </w:rPr>
                        <w:t>The majority of New Zealanders have poor health literacy</w:t>
                      </w:r>
                    </w:p>
                  </w:txbxContent>
                </v:textbox>
                <w10:wrap type="square" side="right"/>
              </v:rect>
            </w:pict>
          </mc:Fallback>
        </mc:AlternateContent>
      </w:r>
      <w:r w:rsidR="00A74AC3" w:rsidRPr="00D94409">
        <w:t>Cultural and language barriers, together with poor health literacy, increase the challenges people face when navigating the health and disability system.</w:t>
      </w:r>
    </w:p>
    <w:p w:rsidR="00A74AC3" w:rsidRPr="00D94409" w:rsidRDefault="00A74AC3" w:rsidP="001377F8">
      <w:pPr>
        <w:rPr>
          <w:rFonts w:eastAsia="Century"/>
        </w:rPr>
      </w:pPr>
    </w:p>
    <w:p w:rsidR="00A74AC3" w:rsidRPr="00D94409" w:rsidRDefault="00A74AC3" w:rsidP="001377F8">
      <w:r w:rsidRPr="00D94409">
        <w:t>The health and disability system, together with agencies in the wider social sector, plays a vital role in protecting vulnerable populations. Each year over 16,000 children are the victims of substantiated abuse or neglect, and eight lose their lives as a consequence of assault, neglect or maltreatment. High</w:t>
      </w:r>
      <w:r w:rsidR="001377F8">
        <w:t xml:space="preserve"> </w:t>
      </w:r>
      <w:r w:rsidRPr="00D94409">
        <w:t xml:space="preserve">levels of enrolment with primary care, maternity and Well Child / </w:t>
      </w:r>
      <w:proofErr w:type="spellStart"/>
      <w:r w:rsidRPr="00D94409">
        <w:t>Tamariki</w:t>
      </w:r>
      <w:proofErr w:type="spellEnd"/>
      <w:r w:rsidRPr="00D94409">
        <w:t xml:space="preserve"> </w:t>
      </w:r>
      <w:proofErr w:type="spellStart"/>
      <w:r w:rsidRPr="00D94409">
        <w:t>Ora</w:t>
      </w:r>
      <w:proofErr w:type="spellEnd"/>
      <w:r w:rsidRPr="00D94409">
        <w:t xml:space="preserve"> services, mean health professionals can develop ongoing relationships with families. These services help identify problems early and provide support to parents before they reach crisis point.</w:t>
      </w:r>
    </w:p>
    <w:p w:rsidR="00A74AC3" w:rsidRPr="00D94409" w:rsidRDefault="00A74AC3" w:rsidP="001377F8"/>
    <w:p w:rsidR="00A74AC3" w:rsidRPr="00D94409" w:rsidRDefault="00A74AC3" w:rsidP="007E3FAC">
      <w:r w:rsidRPr="00D94409">
        <w:t>The elderly population is growing, with 14 percent of the population aged 65 years and over. While the majority are independent, it is necessary to identify and support vulnerable older people. Over 82,000 comprehensive assessments were undertaken last year, helping identify the health and social care needs of older people.</w:t>
      </w:r>
    </w:p>
    <w:p w:rsidR="00A74AC3" w:rsidRPr="00D94409" w:rsidRDefault="00D36B88" w:rsidP="007E3FAC">
      <w:pPr>
        <w:rPr>
          <w:rFonts w:eastAsia="Century"/>
        </w:rPr>
      </w:pPr>
      <w:r>
        <w:rPr>
          <w:noProof/>
          <w:lang w:eastAsia="en-NZ"/>
        </w:rPr>
        <mc:AlternateContent>
          <mc:Choice Requires="wps">
            <w:drawing>
              <wp:anchor distT="0" distB="0" distL="114300" distR="0" simplePos="0" relativeHeight="251786240" behindDoc="1" locked="0" layoutInCell="1" allowOverlap="1" wp14:anchorId="081FA088" wp14:editId="405E334F">
                <wp:simplePos x="0" y="0"/>
                <wp:positionH relativeFrom="column">
                  <wp:posOffset>4275455</wp:posOffset>
                </wp:positionH>
                <wp:positionV relativeFrom="paragraph">
                  <wp:posOffset>36830</wp:posOffset>
                </wp:positionV>
                <wp:extent cx="1658620" cy="1047115"/>
                <wp:effectExtent l="0" t="0" r="0" b="635"/>
                <wp:wrapTight wrapText="left">
                  <wp:wrapPolygon edited="0">
                    <wp:start x="0" y="0"/>
                    <wp:lineTo x="0" y="21220"/>
                    <wp:lineTo x="21335" y="21220"/>
                    <wp:lineTo x="21335" y="0"/>
                    <wp:lineTo x="0" y="0"/>
                  </wp:wrapPolygon>
                </wp:wrapTight>
                <wp:docPr id="1986" name="Rectangle 1986"/>
                <wp:cNvGraphicFramePr/>
                <a:graphic xmlns:a="http://schemas.openxmlformats.org/drawingml/2006/main">
                  <a:graphicData uri="http://schemas.microsoft.com/office/word/2010/wordprocessingShape">
                    <wps:wsp>
                      <wps:cNvSpPr/>
                      <wps:spPr>
                        <a:xfrm>
                          <a:off x="0" y="0"/>
                          <a:ext cx="1658620" cy="1047115"/>
                        </a:xfrm>
                        <a:prstGeom prst="rect">
                          <a:avLst/>
                        </a:prstGeom>
                        <a:solidFill>
                          <a:schemeClr val="bg1">
                            <a:lumMod val="8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0380" w:rsidRPr="00184D9F" w:rsidRDefault="00880380" w:rsidP="001377F8">
                            <w:pPr>
                              <w:jc w:val="center"/>
                              <w:rPr>
                                <w:color w:val="000000"/>
                              </w:rPr>
                            </w:pPr>
                            <w:r>
                              <w:rPr>
                                <w:b/>
                                <w:color w:val="000000"/>
                                <w:sz w:val="32"/>
                              </w:rPr>
                              <w:t>Half</w:t>
                            </w:r>
                            <w:r>
                              <w:rPr>
                                <w:b/>
                                <w:color w:val="000000"/>
                                <w:sz w:val="32"/>
                              </w:rPr>
                              <w:br/>
                            </w:r>
                            <w:r>
                              <w:rPr>
                                <w:color w:val="000000"/>
                              </w:rPr>
                              <w:t xml:space="preserve">of adults aged 85+ are taking </w:t>
                            </w:r>
                            <w:r w:rsidRPr="001377F8">
                              <w:rPr>
                                <w:b/>
                                <w:color w:val="000000"/>
                                <w:sz w:val="32"/>
                                <w:szCs w:val="32"/>
                              </w:rPr>
                              <w:t>5 or more</w:t>
                            </w:r>
                            <w:r>
                              <w:rPr>
                                <w:color w:val="000000"/>
                              </w:rPr>
                              <w:t xml:space="preserve"> medications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86" o:spid="_x0000_s1037" style="position:absolute;margin-left:336.65pt;margin-top:2.9pt;width:130.6pt;height:82.45pt;z-index:-251530240;visibility:visible;mso-wrap-style:square;mso-width-percent:0;mso-height-percent:0;mso-wrap-distance-left:9pt;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" fillcolor="#d8d8d8 [2732]" stroked="f" strokeweight=".5pt">
                <v:textbox>
                  <w:txbxContent>
                    <w:p w:rsidR="00880380" w:rsidRPr="00184D9F" w:rsidRDefault="00880380" w:rsidP="001377F8">
                      <w:pPr>
                        <w:jc w:val="center"/>
                        <w:rPr>
                          <w:color w:val="000000"/>
                        </w:rPr>
                      </w:pPr>
                      <w:r>
                        <w:rPr>
                          <w:b/>
                          <w:color w:val="000000"/>
                          <w:sz w:val="32"/>
                        </w:rPr>
                        <w:t>Half</w:t>
                      </w:r>
                      <w:r>
                        <w:rPr>
                          <w:b/>
                          <w:color w:val="000000"/>
                          <w:sz w:val="32"/>
                        </w:rPr>
                        <w:br/>
                      </w:r>
                      <w:r>
                        <w:rPr>
                          <w:color w:val="000000"/>
                        </w:rPr>
                        <w:t xml:space="preserve">of adults aged 85+ are taking </w:t>
                      </w:r>
                      <w:r w:rsidRPr="001377F8">
                        <w:rPr>
                          <w:b/>
                          <w:color w:val="000000"/>
                          <w:sz w:val="32"/>
                          <w:szCs w:val="32"/>
                        </w:rPr>
                        <w:t>5 or more</w:t>
                      </w:r>
                      <w:r>
                        <w:rPr>
                          <w:color w:val="000000"/>
                        </w:rPr>
                        <w:t xml:space="preserve"> medications</w:t>
                      </w:r>
                    </w:p>
                  </w:txbxContent>
                </v:textbox>
                <w10:wrap type="tight" side="left"/>
              </v:rect>
            </w:pict>
          </mc:Fallback>
        </mc:AlternateContent>
      </w:r>
    </w:p>
    <w:p w:rsidR="00A74AC3" w:rsidRPr="00D94409" w:rsidRDefault="00A74AC3" w:rsidP="007E3FAC">
      <w:r w:rsidRPr="00D94409">
        <w:t>Use of multiple medications is a concern because it increases a person</w:t>
      </w:r>
      <w:r w:rsidR="00D94409" w:rsidRPr="00D94409">
        <w:t>’</w:t>
      </w:r>
      <w:r w:rsidRPr="00D94409">
        <w:t>s risk of adverse drug reactions. Half of adults aged 85 years and over are taking five or more medications. These adults are at greater risk of having a fall, with one in eleven adults aged 85 years and over hospitalised each year as a result of a fall.</w:t>
      </w:r>
    </w:p>
    <w:p w:rsidR="00A74AC3" w:rsidRPr="00D94409" w:rsidRDefault="00A74AC3" w:rsidP="007E3FAC">
      <w:pPr>
        <w:rPr>
          <w:rFonts w:eastAsia="Century"/>
        </w:rPr>
      </w:pPr>
    </w:p>
    <w:p w:rsidR="00A74AC3" w:rsidRPr="00D94409" w:rsidRDefault="00A74AC3" w:rsidP="007E3FAC">
      <w:r w:rsidRPr="00D94409">
        <w:t>The health and disability system faces the challenge of raising the quality and effectiveness of services within the resources available. New Zealanders are</w:t>
      </w:r>
    </w:p>
    <w:p w:rsidR="00A74AC3" w:rsidRPr="00D94409" w:rsidRDefault="00A74AC3" w:rsidP="007E3FAC">
      <w:proofErr w:type="gramStart"/>
      <w:r w:rsidRPr="00D94409">
        <w:t>spending</w:t>
      </w:r>
      <w:proofErr w:type="gramEnd"/>
      <w:r w:rsidRPr="00D94409">
        <w:t xml:space="preserve"> less time in hospital, supporting a shift towards more community-based care. The average length of a hospital stay has decreased while the number and proportion of surgeries being undertaken as day cases have grown. Although this trend will help reduce health care costs, information on patient outcomes is needed to help maintain high-quality care.</w:t>
      </w:r>
    </w:p>
    <w:p w:rsidR="00A74AC3" w:rsidRPr="00D94409" w:rsidRDefault="00A74AC3" w:rsidP="007E3FAC">
      <w:pPr>
        <w:rPr>
          <w:rFonts w:eastAsia="Century"/>
        </w:rPr>
      </w:pPr>
    </w:p>
    <w:p w:rsidR="00A74AC3" w:rsidRPr="00D94409" w:rsidRDefault="00A74AC3" w:rsidP="007E3FAC">
      <w:r w:rsidRPr="00D94409">
        <w:t>In addition, the amenable mortality rate has fallen by 28 percent over the last 10 years, meaning that fewer people are dying of causes that could have been prevented.</w:t>
      </w:r>
    </w:p>
    <w:p w:rsidR="00A74AC3" w:rsidRPr="00D94409" w:rsidRDefault="00A74AC3" w:rsidP="007E3FAC">
      <w:pPr>
        <w:rPr>
          <w:rFonts w:eastAsia="Century"/>
        </w:rPr>
      </w:pPr>
    </w:p>
    <w:p w:rsidR="00A74AC3" w:rsidRPr="00D94409" w:rsidRDefault="00D36B88" w:rsidP="007E3FAC">
      <w:r>
        <w:rPr>
          <w:noProof/>
          <w:lang w:eastAsia="en-NZ"/>
        </w:rPr>
        <mc:AlternateContent>
          <mc:Choice Requires="wps">
            <w:drawing>
              <wp:anchor distT="0" distB="0" distL="0" distR="114300" simplePos="0" relativeHeight="251788288" behindDoc="0" locked="0" layoutInCell="1" allowOverlap="1" wp14:anchorId="5AB99E4B" wp14:editId="1DFA828F">
                <wp:simplePos x="0" y="0"/>
                <wp:positionH relativeFrom="column">
                  <wp:posOffset>7620</wp:posOffset>
                </wp:positionH>
                <wp:positionV relativeFrom="paragraph">
                  <wp:posOffset>79375</wp:posOffset>
                </wp:positionV>
                <wp:extent cx="1412875" cy="872490"/>
                <wp:effectExtent l="0" t="0" r="0" b="3810"/>
                <wp:wrapSquare wrapText="right"/>
                <wp:docPr id="1987" name="Rectangle 1987"/>
                <wp:cNvGraphicFramePr/>
                <a:graphic xmlns:a="http://schemas.openxmlformats.org/drawingml/2006/main">
                  <a:graphicData uri="http://schemas.microsoft.com/office/word/2010/wordprocessingShape">
                    <wps:wsp>
                      <wps:cNvSpPr/>
                      <wps:spPr>
                        <a:xfrm>
                          <a:off x="0" y="0"/>
                          <a:ext cx="1412875" cy="872490"/>
                        </a:xfrm>
                        <a:prstGeom prst="rect">
                          <a:avLst/>
                        </a:prstGeom>
                        <a:solidFill>
                          <a:schemeClr val="bg1">
                            <a:lumMod val="8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0380" w:rsidRPr="00184D9F" w:rsidRDefault="00880380" w:rsidP="00D36B88">
                            <w:pPr>
                              <w:jc w:val="center"/>
                              <w:rPr>
                                <w:color w:val="000000"/>
                              </w:rPr>
                            </w:pPr>
                            <w:r>
                              <w:rPr>
                                <w:color w:val="000000"/>
                              </w:rPr>
                              <w:t xml:space="preserve">The amenable mortality rate has declined by </w:t>
                            </w:r>
                            <w:r w:rsidRPr="00D36B88">
                              <w:rPr>
                                <w:b/>
                                <w:color w:val="000000"/>
                                <w:sz w:val="32"/>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87" o:spid="_x0000_s1038" style="position:absolute;margin-left:.6pt;margin-top:6.25pt;width:111.25pt;height:68.7pt;z-index:251788288;visibility:visible;mso-wrap-style:square;mso-width-percent:0;mso-height-percent:0;mso-wrap-distance-left:0;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" fillcolor="#d8d8d8 [2732]" stroked="f" strokeweight=".5pt">
                <v:textbox>
                  <w:txbxContent>
                    <w:p w:rsidR="00880380" w:rsidRPr="00184D9F" w:rsidRDefault="00880380" w:rsidP="00D36B88">
                      <w:pPr>
                        <w:jc w:val="center"/>
                        <w:rPr>
                          <w:color w:val="000000"/>
                        </w:rPr>
                      </w:pPr>
                      <w:r>
                        <w:rPr>
                          <w:color w:val="000000"/>
                        </w:rPr>
                        <w:t xml:space="preserve">The amenable mortality rate has declined by </w:t>
                      </w:r>
                      <w:r w:rsidRPr="00D36B88">
                        <w:rPr>
                          <w:b/>
                          <w:color w:val="000000"/>
                          <w:sz w:val="32"/>
                        </w:rPr>
                        <w:t>28%</w:t>
                      </w:r>
                    </w:p>
                  </w:txbxContent>
                </v:textbox>
                <w10:wrap type="square" side="right"/>
              </v:rect>
            </w:pict>
          </mc:Fallback>
        </mc:AlternateContent>
      </w:r>
      <w:r w:rsidR="00A74AC3" w:rsidRPr="00D94409">
        <w:t>However, more needs to be done to keep people out of hospital. Ambulatory sensitive hospitalisations measure the number of people who appear in hospital with conditions that could have been prevented or treated in other settings such as primary care. Despite a small decline in the rate for Māori, the ambulatory sensitive hospitalisation rate for the population as a whole has remained stable since 2010.</w:t>
      </w:r>
    </w:p>
    <w:p w:rsidR="00A74AC3" w:rsidRPr="00D94409" w:rsidRDefault="00A74AC3" w:rsidP="00D36B88">
      <w:pPr>
        <w:rPr>
          <w:rFonts w:eastAsia="Century"/>
        </w:rPr>
      </w:pPr>
    </w:p>
    <w:p w:rsidR="00A74AC3" w:rsidRPr="00D94409" w:rsidRDefault="00A74AC3" w:rsidP="007E3FAC">
      <w:r w:rsidRPr="00D94409">
        <w:t xml:space="preserve">The Health, Quality and Safety Commission has focused on a number of quality and safety markers through the </w:t>
      </w:r>
      <w:r w:rsidR="00D94409" w:rsidRPr="00D94409">
        <w:t>‘</w:t>
      </w:r>
      <w:r w:rsidRPr="00D94409">
        <w:t>Open for better care</w:t>
      </w:r>
      <w:r w:rsidR="00D94409" w:rsidRPr="00D94409">
        <w:t>’</w:t>
      </w:r>
      <w:r w:rsidRPr="00D94409">
        <w:t xml:space="preserve"> patient safety campaign. This initiative has seen an increase in the proportion of older people assessed for falls in hospital, as well as improvements in hand hygiene compliance and the use of surgical safety checklists.</w:t>
      </w:r>
    </w:p>
    <w:p w:rsidR="00A74AC3" w:rsidRPr="00D94409" w:rsidRDefault="00A74AC3" w:rsidP="007E3FAC">
      <w:pPr>
        <w:rPr>
          <w:rFonts w:eastAsia="Century"/>
        </w:rPr>
      </w:pPr>
    </w:p>
    <w:p w:rsidR="00A74AC3" w:rsidRPr="00D94409" w:rsidRDefault="00A74AC3" w:rsidP="007E3FAC">
      <w:r w:rsidRPr="00D94409">
        <w:t>New Zealanders rate their health and disability system highly, with the majority of people satisfied with the care they receive in hospital and in the community. While the health and disability system adapts to meet these challenges, it must continue to deliver high-quality care to the millions of people who access the system each year.</w:t>
      </w:r>
    </w:p>
    <w:p w:rsidR="00A74AC3" w:rsidRPr="00D94409" w:rsidRDefault="00A74AC3" w:rsidP="007E3FAC"/>
    <w:p w:rsidR="00C86248" w:rsidRPr="00D94409" w:rsidRDefault="00C86248" w:rsidP="0086388B"/>
    <w:p w:rsidR="00C86248" w:rsidRPr="00D94409" w:rsidRDefault="00C86248">
      <w:pPr>
        <w:sectPr w:rsidR="00C86248" w:rsidRPr="00D94409" w:rsidSect="009D5125">
          <w:headerReference w:type="even" r:id="rId15"/>
          <w:headerReference w:type="default" r:id="rId16"/>
          <w:footerReference w:type="even" r:id="rId17"/>
          <w:footerReference w:type="default" r:id="rId18"/>
          <w:pgSz w:w="11907" w:h="16840" w:code="9"/>
          <w:pgMar w:top="851" w:right="1134" w:bottom="1134" w:left="1134" w:header="284" w:footer="567" w:gutter="284"/>
          <w:pgNumType w:fmt="lowerRoman"/>
          <w:cols w:space="720"/>
        </w:sectPr>
      </w:pPr>
    </w:p>
    <w:p w:rsidR="00A74AC3" w:rsidRPr="00D94409" w:rsidRDefault="00611516" w:rsidP="00611516">
      <w:pPr>
        <w:rPr>
          <w:rFonts w:eastAsia="Palatino Linotype"/>
        </w:rPr>
      </w:pPr>
      <w:r>
        <w:rPr>
          <w:noProof/>
          <w:lang w:eastAsia="en-NZ"/>
        </w:rPr>
        <w:lastRenderedPageBreak/>
        <w:drawing>
          <wp:inline distT="0" distB="0" distL="0" distR="0" wp14:anchorId="31079752" wp14:editId="0B44F6D7">
            <wp:extent cx="5295207" cy="8880496"/>
            <wp:effectExtent l="0" t="0" r="1270" b="0"/>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grayscl/>
                    </a:blip>
                    <a:srcRect l="2577"/>
                    <a:stretch/>
                  </pic:blipFill>
                  <pic:spPr bwMode="auto">
                    <a:xfrm>
                      <a:off x="0" y="0"/>
                      <a:ext cx="5298048" cy="8885260"/>
                    </a:xfrm>
                    <a:prstGeom prst="rect">
                      <a:avLst/>
                    </a:prstGeom>
                    <a:ln>
                      <a:noFill/>
                    </a:ln>
                    <a:extLst>
                      <a:ext uri="{53640926-AAD7-44D8-BBD7-CCE9431645EC}">
                        <a14:shadowObscured xmlns:a14="http://schemas.microsoft.com/office/drawing/2010/main"/>
                      </a:ext>
                    </a:extLst>
                  </pic:spPr>
                </pic:pic>
              </a:graphicData>
            </a:graphic>
          </wp:inline>
        </w:drawing>
      </w:r>
    </w:p>
    <w:p w:rsidR="00A74AC3" w:rsidRPr="00D94409" w:rsidRDefault="00A74AC3" w:rsidP="00611516"/>
    <w:bookmarkStart w:id="6" w:name="Introduction"/>
    <w:bookmarkStart w:id="7" w:name="_Toc433234085"/>
    <w:bookmarkEnd w:id="6"/>
    <w:p w:rsidR="00A74AC3" w:rsidRPr="00D94409" w:rsidRDefault="00611516" w:rsidP="00611516">
      <w:pPr>
        <w:pStyle w:val="Heading1"/>
        <w:rPr>
          <w:bCs/>
        </w:rPr>
      </w:pPr>
      <w:r>
        <w:rPr>
          <w:noProof/>
          <w:lang w:eastAsia="en-NZ"/>
        </w:rPr>
        <w:lastRenderedPageBreak/>
        <mc:AlternateContent>
          <mc:Choice Requires="wps">
            <w:drawing>
              <wp:anchor distT="0" distB="0" distL="114300" distR="0" simplePos="0" relativeHeight="251790336" behindDoc="1" locked="0" layoutInCell="1" allowOverlap="1" wp14:anchorId="23695E83" wp14:editId="1C5B91C6">
                <wp:simplePos x="0" y="0"/>
                <wp:positionH relativeFrom="column">
                  <wp:posOffset>2879090</wp:posOffset>
                </wp:positionH>
                <wp:positionV relativeFrom="paragraph">
                  <wp:posOffset>972185</wp:posOffset>
                </wp:positionV>
                <wp:extent cx="3085465" cy="2327275"/>
                <wp:effectExtent l="0" t="0" r="635" b="0"/>
                <wp:wrapTight wrapText="left">
                  <wp:wrapPolygon edited="0">
                    <wp:start x="0" y="0"/>
                    <wp:lineTo x="0" y="21394"/>
                    <wp:lineTo x="21471" y="21394"/>
                    <wp:lineTo x="21471" y="0"/>
                    <wp:lineTo x="0" y="0"/>
                  </wp:wrapPolygon>
                </wp:wrapTight>
                <wp:docPr id="1989" name="Rectangle 1989"/>
                <wp:cNvGraphicFramePr/>
                <a:graphic xmlns:a="http://schemas.openxmlformats.org/drawingml/2006/main">
                  <a:graphicData uri="http://schemas.microsoft.com/office/word/2010/wordprocessingShape">
                    <wps:wsp>
                      <wps:cNvSpPr/>
                      <wps:spPr>
                        <a:xfrm>
                          <a:off x="0" y="0"/>
                          <a:ext cx="3085465" cy="2327275"/>
                        </a:xfrm>
                        <a:prstGeom prst="rect">
                          <a:avLst/>
                        </a:prstGeom>
                        <a:solidFill>
                          <a:schemeClr val="bg1">
                            <a:lumMod val="8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0380" w:rsidRPr="00B935D1" w:rsidRDefault="00880380" w:rsidP="00611516">
                            <w:pPr>
                              <w:jc w:val="center"/>
                              <w:rPr>
                                <w:b/>
                                <w:color w:val="000000"/>
                                <w:szCs w:val="22"/>
                              </w:rPr>
                            </w:pPr>
                            <w:r w:rsidRPr="00B935D1">
                              <w:rPr>
                                <w:b/>
                                <w:color w:val="000000"/>
                                <w:szCs w:val="22"/>
                              </w:rPr>
                              <w:t>What are the major causes of</w:t>
                            </w:r>
                            <w:r w:rsidRPr="00B935D1">
                              <w:rPr>
                                <w:b/>
                                <w:color w:val="000000"/>
                                <w:szCs w:val="22"/>
                              </w:rPr>
                              <w:br/>
                              <w:t>ill health in New Zealand?</w:t>
                            </w:r>
                          </w:p>
                          <w:p w:rsidR="00880380" w:rsidRDefault="00880380" w:rsidP="00611516">
                            <w:pPr>
                              <w:spacing w:before="220"/>
                              <w:jc w:val="center"/>
                              <w:rPr>
                                <w:color w:val="000000"/>
                                <w:szCs w:val="22"/>
                              </w:rPr>
                            </w:pPr>
                            <w:r>
                              <w:rPr>
                                <w:color w:val="000000"/>
                                <w:szCs w:val="22"/>
                              </w:rPr>
                              <w:t>How healthy are our lifestyles and</w:t>
                            </w:r>
                            <w:r>
                              <w:rPr>
                                <w:color w:val="000000"/>
                                <w:szCs w:val="22"/>
                              </w:rPr>
                              <w:br/>
                              <w:t>what impact is this having on our health?</w:t>
                            </w:r>
                          </w:p>
                          <w:p w:rsidR="00880380" w:rsidRPr="00B935D1" w:rsidRDefault="00880380" w:rsidP="00611516">
                            <w:pPr>
                              <w:spacing w:before="220"/>
                              <w:jc w:val="center"/>
                              <w:rPr>
                                <w:b/>
                                <w:color w:val="000000"/>
                                <w:szCs w:val="22"/>
                              </w:rPr>
                            </w:pPr>
                            <w:r w:rsidRPr="00B935D1">
                              <w:rPr>
                                <w:b/>
                                <w:color w:val="000000"/>
                                <w:szCs w:val="22"/>
                              </w:rPr>
                              <w:t>What opportunities are there to act early</w:t>
                            </w:r>
                            <w:r w:rsidRPr="00B935D1">
                              <w:rPr>
                                <w:b/>
                                <w:color w:val="000000"/>
                                <w:szCs w:val="22"/>
                              </w:rPr>
                              <w:br/>
                              <w:t>to prevent or minimise future ill health?</w:t>
                            </w:r>
                          </w:p>
                          <w:p w:rsidR="00880380" w:rsidRPr="00611516" w:rsidRDefault="00880380" w:rsidP="00611516">
                            <w:pPr>
                              <w:spacing w:before="220"/>
                              <w:jc w:val="center"/>
                              <w:rPr>
                                <w:color w:val="000000"/>
                                <w:szCs w:val="22"/>
                              </w:rPr>
                            </w:pPr>
                            <w:r>
                              <w:rPr>
                                <w:color w:val="000000"/>
                                <w:szCs w:val="22"/>
                              </w:rPr>
                              <w:t>What challenges does the</w:t>
                            </w:r>
                            <w:r>
                              <w:rPr>
                                <w:color w:val="000000"/>
                                <w:szCs w:val="22"/>
                              </w:rPr>
                              <w:br/>
                              <w:t>health and disability system face</w:t>
                            </w:r>
                            <w:r>
                              <w:rPr>
                                <w:color w:val="000000"/>
                                <w:szCs w:val="22"/>
                              </w:rPr>
                              <w:br/>
                              <w:t>and what are we doing to address these?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89" o:spid="_x0000_s1039" style="position:absolute;margin-left:226.7pt;margin-top:76.55pt;width:242.95pt;height:183.25pt;z-index:-251526144;visibility:visible;mso-wrap-style:square;mso-width-percent:0;mso-height-percent:0;mso-wrap-distance-left:9pt;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" fillcolor="#d8d8d8 [2732]" stroked="f" strokeweight=".5pt">
                <v:textbox>
                  <w:txbxContent>
                    <w:p w:rsidR="00880380" w:rsidRPr="00B935D1" w:rsidRDefault="00880380" w:rsidP="00611516">
                      <w:pPr>
                        <w:jc w:val="center"/>
                        <w:rPr>
                          <w:b/>
                          <w:color w:val="000000"/>
                          <w:szCs w:val="22"/>
                        </w:rPr>
                      </w:pPr>
                      <w:r w:rsidRPr="00B935D1">
                        <w:rPr>
                          <w:b/>
                          <w:color w:val="000000"/>
                          <w:szCs w:val="22"/>
                        </w:rPr>
                        <w:t>What are the major causes of</w:t>
                      </w:r>
                      <w:r w:rsidRPr="00B935D1">
                        <w:rPr>
                          <w:b/>
                          <w:color w:val="000000"/>
                          <w:szCs w:val="22"/>
                        </w:rPr>
                        <w:br/>
                        <w:t>ill health in New Zealand?</w:t>
                      </w:r>
                    </w:p>
                    <w:p w:rsidR="00880380" w:rsidRDefault="00880380" w:rsidP="00611516">
                      <w:pPr>
                        <w:spacing w:before="220"/>
                        <w:jc w:val="center"/>
                        <w:rPr>
                          <w:color w:val="000000"/>
                          <w:szCs w:val="22"/>
                        </w:rPr>
                      </w:pPr>
                      <w:r>
                        <w:rPr>
                          <w:color w:val="000000"/>
                          <w:szCs w:val="22"/>
                        </w:rPr>
                        <w:t>How healthy are our lifestyles and</w:t>
                      </w:r>
                      <w:r>
                        <w:rPr>
                          <w:color w:val="000000"/>
                          <w:szCs w:val="22"/>
                        </w:rPr>
                        <w:br/>
                        <w:t>what impact is this having on our health?</w:t>
                      </w:r>
                    </w:p>
                    <w:p w:rsidR="00880380" w:rsidRPr="00B935D1" w:rsidRDefault="00880380" w:rsidP="00611516">
                      <w:pPr>
                        <w:spacing w:before="220"/>
                        <w:jc w:val="center"/>
                        <w:rPr>
                          <w:b/>
                          <w:color w:val="000000"/>
                          <w:szCs w:val="22"/>
                        </w:rPr>
                      </w:pPr>
                      <w:r w:rsidRPr="00B935D1">
                        <w:rPr>
                          <w:b/>
                          <w:color w:val="000000"/>
                          <w:szCs w:val="22"/>
                        </w:rPr>
                        <w:t>What opportunities are there to act early</w:t>
                      </w:r>
                      <w:r w:rsidRPr="00B935D1">
                        <w:rPr>
                          <w:b/>
                          <w:color w:val="000000"/>
                          <w:szCs w:val="22"/>
                        </w:rPr>
                        <w:br/>
                        <w:t>to prevent or minimise future ill health?</w:t>
                      </w:r>
                    </w:p>
                    <w:p w:rsidR="00880380" w:rsidRPr="00611516" w:rsidRDefault="00880380" w:rsidP="00611516">
                      <w:pPr>
                        <w:spacing w:before="220"/>
                        <w:jc w:val="center"/>
                        <w:rPr>
                          <w:color w:val="000000"/>
                          <w:szCs w:val="22"/>
                        </w:rPr>
                      </w:pPr>
                      <w:r>
                        <w:rPr>
                          <w:color w:val="000000"/>
                          <w:szCs w:val="22"/>
                        </w:rPr>
                        <w:t>What challenges does the</w:t>
                      </w:r>
                      <w:r>
                        <w:rPr>
                          <w:color w:val="000000"/>
                          <w:szCs w:val="22"/>
                        </w:rPr>
                        <w:br/>
                        <w:t>health and disability system face</w:t>
                      </w:r>
                      <w:r>
                        <w:rPr>
                          <w:color w:val="000000"/>
                          <w:szCs w:val="22"/>
                        </w:rPr>
                        <w:br/>
                        <w:t>and what are we doing to address these?</w:t>
                      </w:r>
                    </w:p>
                  </w:txbxContent>
                </v:textbox>
                <w10:wrap type="tight" side="left"/>
              </v:rect>
            </w:pict>
          </mc:Fallback>
        </mc:AlternateContent>
      </w:r>
      <w:r>
        <w:rPr>
          <w:noProof/>
          <w:lang w:eastAsia="en-NZ"/>
        </w:rPr>
        <mc:AlternateContent>
          <mc:Choice Requires="wps">
            <w:drawing>
              <wp:anchor distT="0" distB="0" distL="114300" distR="114300" simplePos="0" relativeHeight="251791360" behindDoc="0" locked="0" layoutInCell="1" allowOverlap="1" wp14:anchorId="3727831A" wp14:editId="01DD5743">
                <wp:simplePos x="0" y="0"/>
                <wp:positionH relativeFrom="column">
                  <wp:posOffset>2881744</wp:posOffset>
                </wp:positionH>
                <wp:positionV relativeFrom="paragraph">
                  <wp:posOffset>972531</wp:posOffset>
                </wp:positionV>
                <wp:extent cx="3083041" cy="0"/>
                <wp:effectExtent l="0" t="19050" r="22225" b="38100"/>
                <wp:wrapNone/>
                <wp:docPr id="1990" name="Straight Connector 1990"/>
                <wp:cNvGraphicFramePr/>
                <a:graphic xmlns:a="http://schemas.openxmlformats.org/drawingml/2006/main">
                  <a:graphicData uri="http://schemas.microsoft.com/office/word/2010/wordprocessingShape">
                    <wps:wsp>
                      <wps:cNvCnPr/>
                      <wps:spPr>
                        <a:xfrm>
                          <a:off x="0" y="0"/>
                          <a:ext cx="3083041"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90"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226.9pt,76.6pt" to="469.65pt,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" strokecolor="black [3213]" strokeweight="4.5pt"/>
            </w:pict>
          </mc:Fallback>
        </mc:AlternateContent>
      </w:r>
      <w:r w:rsidR="00A74AC3" w:rsidRPr="00D94409">
        <w:t>Introduction</w:t>
      </w:r>
      <w:bookmarkEnd w:id="7"/>
    </w:p>
    <w:p w:rsidR="00A74AC3" w:rsidRPr="00D94409" w:rsidRDefault="00A74AC3" w:rsidP="00611516">
      <w:r w:rsidRPr="00D94409">
        <w:rPr>
          <w:rFonts w:eastAsia="Georgia" w:cs="Georgia"/>
          <w:i/>
        </w:rPr>
        <w:t xml:space="preserve">The Health and Independence Report </w:t>
      </w:r>
      <w:r w:rsidRPr="00D94409">
        <w:t>is the Director-General of Health</w:t>
      </w:r>
      <w:r w:rsidR="00D94409" w:rsidRPr="00D94409">
        <w:t>’</w:t>
      </w:r>
      <w:r w:rsidRPr="00D94409">
        <w:t>s annual report on the state of public health in New Zealand. The report looks at: the health of New Zealanders; opportunities to improve health; and some of the challenges facing the health and disability system.</w:t>
      </w:r>
    </w:p>
    <w:p w:rsidR="00A74AC3" w:rsidRPr="00D94409" w:rsidRDefault="00A74AC3" w:rsidP="00611516">
      <w:pPr>
        <w:rPr>
          <w:rFonts w:eastAsia="Century"/>
        </w:rPr>
      </w:pPr>
    </w:p>
    <w:p w:rsidR="00A74AC3" w:rsidRPr="00D94409" w:rsidRDefault="00611516" w:rsidP="00611516">
      <w:r>
        <w:rPr>
          <w:noProof/>
          <w:lang w:eastAsia="en-NZ"/>
        </w:rPr>
        <mc:AlternateContent>
          <mc:Choice Requires="wps">
            <w:drawing>
              <wp:anchor distT="0" distB="0" distL="114300" distR="114300" simplePos="0" relativeHeight="251793408" behindDoc="0" locked="0" layoutInCell="1" allowOverlap="1" wp14:anchorId="05BB616B" wp14:editId="00950677">
                <wp:simplePos x="0" y="0"/>
                <wp:positionH relativeFrom="column">
                  <wp:posOffset>2891790</wp:posOffset>
                </wp:positionH>
                <wp:positionV relativeFrom="paragraph">
                  <wp:posOffset>914400</wp:posOffset>
                </wp:positionV>
                <wp:extent cx="3082925" cy="0"/>
                <wp:effectExtent l="0" t="0" r="22225" b="19050"/>
                <wp:wrapNone/>
                <wp:docPr id="1991" name="Straight Connector 1991"/>
                <wp:cNvGraphicFramePr/>
                <a:graphic xmlns:a="http://schemas.openxmlformats.org/drawingml/2006/main">
                  <a:graphicData uri="http://schemas.microsoft.com/office/word/2010/wordprocessingShape">
                    <wps:wsp>
                      <wps:cNvCnPr/>
                      <wps:spPr>
                        <a:xfrm>
                          <a:off x="0" y="0"/>
                          <a:ext cx="30829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91"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227.7pt,1in" to="470.4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" strokecolor="black [3213]" strokeweight="1.5pt"/>
            </w:pict>
          </mc:Fallback>
        </mc:AlternateContent>
      </w:r>
      <w:proofErr w:type="gramStart"/>
      <w:r w:rsidR="00A74AC3" w:rsidRPr="00D94409">
        <w:t>Covering such a broad topic while accurately reflecting the wealth of available information</w:t>
      </w:r>
      <w:r w:rsidR="00D94409" w:rsidRPr="00D94409">
        <w:t xml:space="preserve"> </w:t>
      </w:r>
      <w:r w:rsidR="00A74AC3" w:rsidRPr="00D94409">
        <w:t>is a challenging task.</w:t>
      </w:r>
      <w:proofErr w:type="gramEnd"/>
      <w:r w:rsidR="00A74AC3" w:rsidRPr="00D94409">
        <w:t xml:space="preserve"> While some may prefer a large reference document, we believe that most of the audience for this report would prefer a shorter, more concise overview of the health</w:t>
      </w:r>
      <w:r>
        <w:t xml:space="preserve"> </w:t>
      </w:r>
      <w:r w:rsidR="00A74AC3" w:rsidRPr="00D94409">
        <w:t>of New Zealanders. We are mindful that much of the information included here is already published in more detail elsewhere and so have chosen to present a brief snapshot of the state of health in New Zealand.</w:t>
      </w:r>
    </w:p>
    <w:p w:rsidR="00A74AC3" w:rsidRPr="00D94409" w:rsidRDefault="00A74AC3" w:rsidP="00611516">
      <w:pPr>
        <w:rPr>
          <w:rFonts w:eastAsia="Century"/>
        </w:rPr>
      </w:pPr>
    </w:p>
    <w:p w:rsidR="00A74AC3" w:rsidRPr="00D94409" w:rsidRDefault="00A74AC3" w:rsidP="00611516">
      <w:r w:rsidRPr="00D94409">
        <w:t>At the time of writing this report, the Ministry of Health is leading the update of the New</w:t>
      </w:r>
      <w:r w:rsidR="00611516">
        <w:t xml:space="preserve"> </w:t>
      </w:r>
      <w:r w:rsidRPr="00D94409">
        <w:t>Zealand Health Strategy. The strategy will provide a vision for the development of the health and disability system over the next 10 years.</w:t>
      </w:r>
    </w:p>
    <w:p w:rsidR="00A74AC3" w:rsidRPr="00D94409" w:rsidRDefault="00A74AC3" w:rsidP="00611516">
      <w:pPr>
        <w:rPr>
          <w:rFonts w:eastAsia="Century"/>
        </w:rPr>
      </w:pPr>
    </w:p>
    <w:p w:rsidR="00A74AC3" w:rsidRPr="00D94409" w:rsidRDefault="00A74AC3" w:rsidP="00611516">
      <w:r w:rsidRPr="00D94409">
        <w:t>This report provides insights into the health of New Zealanders, highlighting where we are making good progress as well as noting areas for improvement. It shows some of the changes over time and differences between population groups. We hope this information will spark your interest in particular areas. We encourage you to explore these further, using the links to additional resources included in the text.</w:t>
      </w:r>
    </w:p>
    <w:p w:rsidR="00A74AC3" w:rsidRPr="00D94409" w:rsidRDefault="00A74AC3" w:rsidP="00611516">
      <w:pPr>
        <w:rPr>
          <w:rFonts w:eastAsia="Century"/>
        </w:rPr>
      </w:pPr>
    </w:p>
    <w:p w:rsidR="00A74AC3" w:rsidRPr="00D94409" w:rsidRDefault="00A74AC3" w:rsidP="00611516">
      <w:r w:rsidRPr="00D94409">
        <w:t>High-profile areas covered include pregnancy and early childhood, mental health and wellbeing, and vulnerable groups. We also touch on the wider determinants of health and the social impact of poor health, demonstrating the need for health to be seen within the broader social and economic environment.</w:t>
      </w:r>
    </w:p>
    <w:p w:rsidR="00A74AC3" w:rsidRPr="00D94409" w:rsidRDefault="00A74AC3" w:rsidP="00611516">
      <w:pPr>
        <w:rPr>
          <w:rFonts w:eastAsia="Century"/>
        </w:rPr>
      </w:pPr>
    </w:p>
    <w:p w:rsidR="00A74AC3" w:rsidRPr="00D94409" w:rsidRDefault="00A74AC3" w:rsidP="00611516">
      <w:r w:rsidRPr="00D94409">
        <w:t xml:space="preserve">The first question this report considers is, </w:t>
      </w:r>
      <w:r w:rsidR="00D94409" w:rsidRPr="00D94409">
        <w:t>‘</w:t>
      </w:r>
      <w:r w:rsidRPr="00D94409">
        <w:t>How healthy are New Zealanders?</w:t>
      </w:r>
      <w:r w:rsidR="00D94409" w:rsidRPr="00D94409">
        <w:t>’</w:t>
      </w:r>
      <w:r w:rsidRPr="00D94409">
        <w:t xml:space="preserve"> In answer, the first section looks at our overall health and wellbeing before summarising the leading causes of health loss and the major lifestyle factors impacting on our health.</w:t>
      </w:r>
    </w:p>
    <w:p w:rsidR="00A74AC3" w:rsidRPr="00D94409" w:rsidRDefault="00A74AC3" w:rsidP="00611516">
      <w:pPr>
        <w:rPr>
          <w:rFonts w:eastAsia="Century"/>
        </w:rPr>
      </w:pPr>
    </w:p>
    <w:p w:rsidR="00A74AC3" w:rsidRPr="00D94409" w:rsidRDefault="00A74AC3" w:rsidP="00611516">
      <w:r w:rsidRPr="00D94409">
        <w:t>Next, this report discusses the opportunities to prevent ill health by addressing the wider determinants of health. From a life-course perspective, it points out the importance of establishing healthy behaviours early in life. This same perspective shows how positive and negative experiences have a cumulative impact on our mental wellbeing.</w:t>
      </w:r>
    </w:p>
    <w:p w:rsidR="00A74AC3" w:rsidRPr="00D94409" w:rsidRDefault="00A74AC3" w:rsidP="00611516">
      <w:pPr>
        <w:rPr>
          <w:rFonts w:eastAsia="Century"/>
        </w:rPr>
      </w:pPr>
    </w:p>
    <w:p w:rsidR="00A74AC3" w:rsidRPr="00D94409" w:rsidRDefault="00A74AC3" w:rsidP="00611516">
      <w:r w:rsidRPr="00D94409">
        <w:t>The third section of the report looks at the importance of detecting and treating disease early in order to prevent or minimise future ill health. It focuses on the examples of screening for cancer and assessing the risk of cardiovascular disease. Another topic is the high prevalence of long-term conditions and the need for agencies to work together in an integrated way to support people with multiple long-term conditions.</w:t>
      </w:r>
    </w:p>
    <w:p w:rsidR="00A74AC3" w:rsidRPr="00D94409" w:rsidRDefault="00A74AC3" w:rsidP="00611516">
      <w:pPr>
        <w:rPr>
          <w:rFonts w:eastAsia="Century"/>
        </w:rPr>
      </w:pPr>
    </w:p>
    <w:p w:rsidR="00A74AC3" w:rsidRPr="00D94409" w:rsidRDefault="00A74AC3" w:rsidP="00611516">
      <w:r w:rsidRPr="00D94409">
        <w:lastRenderedPageBreak/>
        <w:t>The final section is concerned with the challenges facing the health system now and in the future. All sections of the report highlight health disparities for Māori and Pacific peoples as well as for those</w:t>
      </w:r>
      <w:r w:rsidR="0028059A">
        <w:t xml:space="preserve"> l</w:t>
      </w:r>
      <w:r w:rsidRPr="00D94409">
        <w:t>iving in the most socioeconomically deprived areas. This section considers the barriers for these and other groups with poor health outcomes and how these can be addressed to reduce health inequalities. As this section discusses, the health sector needs to work more closely with other social sector agencies to protect vulnerable populations from harm. The final section also considers how the health and disability system is addressing the ongoing challenge of delivering effective, efficient, high-quality services within current funding constraints.</w:t>
      </w:r>
    </w:p>
    <w:p w:rsidR="00A74AC3" w:rsidRPr="00D94409" w:rsidRDefault="00A74AC3" w:rsidP="0028059A">
      <w:pPr>
        <w:rPr>
          <w:rFonts w:eastAsia="Century"/>
        </w:rPr>
      </w:pPr>
    </w:p>
    <w:p w:rsidR="00A74AC3" w:rsidRDefault="00A74AC3" w:rsidP="0028059A">
      <w:r w:rsidRPr="00D94409">
        <w:t>Thank you for taking the time to read this report. We hope you find it engaging and thought-provoking.</w:t>
      </w:r>
    </w:p>
    <w:p w:rsidR="0028059A" w:rsidRPr="00D94409" w:rsidRDefault="0028059A" w:rsidP="0028059A"/>
    <w:p w:rsidR="0028059A" w:rsidRDefault="0028059A" w:rsidP="0028059A">
      <w:bookmarkStart w:id="8" w:name="How_healthy_are_New_Zealanders?"/>
      <w:bookmarkEnd w:id="8"/>
      <w:r>
        <w:br w:type="page"/>
      </w:r>
    </w:p>
    <w:p w:rsidR="00A74AC3" w:rsidRPr="00D94409" w:rsidRDefault="00A74AC3" w:rsidP="0028059A">
      <w:pPr>
        <w:pStyle w:val="Heading1"/>
        <w:rPr>
          <w:bCs/>
        </w:rPr>
      </w:pPr>
      <w:bookmarkStart w:id="9" w:name="_Toc433234086"/>
      <w:r w:rsidRPr="00D94409">
        <w:lastRenderedPageBreak/>
        <w:t>How healthy are New</w:t>
      </w:r>
      <w:r w:rsidR="0028059A">
        <w:t> </w:t>
      </w:r>
      <w:r w:rsidRPr="00D94409">
        <w:t>Zealanders?</w:t>
      </w:r>
      <w:bookmarkEnd w:id="9"/>
    </w:p>
    <w:p w:rsidR="00A74AC3" w:rsidRPr="00D94409" w:rsidRDefault="00A74AC3" w:rsidP="0028059A">
      <w:r w:rsidRPr="00D94409">
        <w:t>Health, money, relationships and housing are important factors related to life satisfaction (Statistics New Zealand 2014d). Individuals who rate their health as good, have enough money to meet their everyday needs, are not lonely and have no major problems with the condition of their housing are overwhelmingly satisfied with life.</w:t>
      </w:r>
    </w:p>
    <w:p w:rsidR="00A74AC3" w:rsidRPr="00D94409" w:rsidRDefault="00A74AC3" w:rsidP="00A74AC3">
      <w:pPr>
        <w:spacing w:line="279" w:lineRule="auto"/>
      </w:pPr>
    </w:p>
    <w:p w:rsidR="00A74AC3" w:rsidRPr="00D94409" w:rsidRDefault="00A74AC3" w:rsidP="0028059A">
      <w:r w:rsidRPr="00D94409">
        <w:t>These four factors summarise a broad range of social, economic, environmental and individual factors that influence our health and are also influenced by how healthy we are.</w:t>
      </w:r>
    </w:p>
    <w:p w:rsidR="00A74AC3" w:rsidRPr="00D94409" w:rsidRDefault="00A74AC3" w:rsidP="0028059A">
      <w:pPr>
        <w:rPr>
          <w:rFonts w:eastAsia="Century"/>
        </w:rPr>
      </w:pPr>
    </w:p>
    <w:p w:rsidR="00A74AC3" w:rsidRPr="00D94409" w:rsidRDefault="00A74AC3" w:rsidP="0028059A">
      <w:r w:rsidRPr="00D94409">
        <w:t>Three out of five New Zealanders rate their health as very good or excellent (Figure 1). People who rate their health as poor are more likely to be older, be unemployed, have a low income, have low educational qualifications, be of Pacific or</w:t>
      </w:r>
      <w:r w:rsidR="00D94409" w:rsidRPr="00D94409">
        <w:t xml:space="preserve"> </w:t>
      </w:r>
      <w:r w:rsidRPr="00D94409">
        <w:t>Māori ethnicity and/or live in rental accommodation.</w:t>
      </w:r>
    </w:p>
    <w:p w:rsidR="00D94409" w:rsidRPr="00D94409" w:rsidRDefault="00D94409" w:rsidP="0028059A"/>
    <w:p w:rsidR="00A74AC3" w:rsidRPr="00D94409" w:rsidRDefault="00A74AC3" w:rsidP="0028059A">
      <w:pPr>
        <w:pStyle w:val="Figure"/>
        <w:rPr>
          <w:rFonts w:eastAsia="Palatino Linotype" w:hAnsi="Palatino Linotype" w:cs="Palatino Linotype"/>
          <w:szCs w:val="19"/>
        </w:rPr>
      </w:pPr>
      <w:bookmarkStart w:id="10" w:name="_Toc433234110"/>
      <w:r w:rsidRPr="00D94409">
        <w:t>Figure 1: Social wellbeing indicators</w:t>
      </w:r>
      <w:bookmarkEnd w:id="10"/>
    </w:p>
    <w:p w:rsidR="00A74AC3" w:rsidRPr="00D94409" w:rsidRDefault="0028059A" w:rsidP="0028059A">
      <w:pPr>
        <w:rPr>
          <w:rFonts w:eastAsia="Palatino Linotype"/>
        </w:rPr>
      </w:pPr>
      <w:r>
        <w:rPr>
          <w:rFonts w:eastAsia="Palatino Linotype"/>
          <w:noProof/>
          <w:lang w:eastAsia="en-NZ"/>
        </w:rPr>
        <w:drawing>
          <wp:inline distT="0" distB="0" distL="0" distR="0" wp14:anchorId="78B08D7B">
            <wp:extent cx="4305993" cy="3641000"/>
            <wp:effectExtent l="0" t="0" r="0" b="0"/>
            <wp:docPr id="1993" name="Picture 1993" title="Figure 1: Social wellbeing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12869" cy="3646814"/>
                    </a:xfrm>
                    <a:prstGeom prst="rect">
                      <a:avLst/>
                    </a:prstGeom>
                    <a:noFill/>
                  </pic:spPr>
                </pic:pic>
              </a:graphicData>
            </a:graphic>
          </wp:inline>
        </w:drawing>
      </w:r>
    </w:p>
    <w:p w:rsidR="00A74AC3" w:rsidRDefault="00A74AC3" w:rsidP="0028059A">
      <w:pPr>
        <w:pStyle w:val="Source"/>
      </w:pPr>
      <w:r w:rsidRPr="00D94409">
        <w:t>Source: 2014 General Social Survey</w:t>
      </w:r>
    </w:p>
    <w:p w:rsidR="0028059A" w:rsidRPr="0028059A" w:rsidRDefault="0028059A" w:rsidP="0028059A">
      <w:pPr>
        <w:rPr>
          <w:rFonts w:eastAsia="Century"/>
        </w:rPr>
      </w:pPr>
    </w:p>
    <w:p w:rsidR="00B935D1" w:rsidRDefault="00B935D1" w:rsidP="00B935D1">
      <w:r>
        <w:br w:type="page"/>
      </w:r>
    </w:p>
    <w:p w:rsidR="00A74AC3" w:rsidRPr="00D94409" w:rsidRDefault="00A74AC3" w:rsidP="00B935D1">
      <w:pPr>
        <w:pStyle w:val="Heading3"/>
        <w:spacing w:before="0"/>
        <w:rPr>
          <w:bCs/>
        </w:rPr>
      </w:pPr>
      <w:r w:rsidRPr="00D94409">
        <w:lastRenderedPageBreak/>
        <w:t>New Zealanders are living longer than ever before, but not all groups enjoy a long life</w:t>
      </w:r>
    </w:p>
    <w:p w:rsidR="00A74AC3" w:rsidRPr="00D94409" w:rsidRDefault="00B935D1" w:rsidP="00B935D1">
      <w:r>
        <w:rPr>
          <w:noProof/>
          <w:lang w:eastAsia="en-NZ"/>
        </w:rPr>
        <mc:AlternateContent>
          <mc:Choice Requires="wps">
            <w:drawing>
              <wp:anchor distT="0" distB="0" distL="114300" distR="114300" simplePos="0" relativeHeight="251799552" behindDoc="0" locked="0" layoutInCell="1" allowOverlap="1" wp14:anchorId="33031810" wp14:editId="18BEE0BA">
                <wp:simplePos x="0" y="0"/>
                <wp:positionH relativeFrom="column">
                  <wp:posOffset>3928110</wp:posOffset>
                </wp:positionH>
                <wp:positionV relativeFrom="paragraph">
                  <wp:posOffset>850265</wp:posOffset>
                </wp:positionV>
                <wp:extent cx="2027555" cy="0"/>
                <wp:effectExtent l="0" t="0" r="10795" b="19050"/>
                <wp:wrapNone/>
                <wp:docPr id="7" name="Straight Connector 7"/>
                <wp:cNvGraphicFramePr/>
                <a:graphic xmlns:a="http://schemas.openxmlformats.org/drawingml/2006/main">
                  <a:graphicData uri="http://schemas.microsoft.com/office/word/2010/wordprocessingShape">
                    <wps:wsp>
                      <wps:cNvCnPr/>
                      <wps:spPr>
                        <a:xfrm>
                          <a:off x="0" y="0"/>
                          <a:ext cx="202755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9.3pt,66.95pt" to="468.95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" strokecolor="black [3213]" strokeweight="1.5pt"/>
            </w:pict>
          </mc:Fallback>
        </mc:AlternateContent>
      </w:r>
      <w:r>
        <w:rPr>
          <w:noProof/>
          <w:lang w:eastAsia="en-NZ"/>
        </w:rPr>
        <mc:AlternateContent>
          <mc:Choice Requires="wps">
            <w:drawing>
              <wp:anchor distT="0" distB="0" distL="114300" distR="114300" simplePos="0" relativeHeight="251797504" behindDoc="0" locked="0" layoutInCell="1" allowOverlap="1" wp14:anchorId="5184AF1D" wp14:editId="6A3EBA22">
                <wp:simplePos x="0" y="0"/>
                <wp:positionH relativeFrom="column">
                  <wp:posOffset>3928745</wp:posOffset>
                </wp:positionH>
                <wp:positionV relativeFrom="paragraph">
                  <wp:posOffset>27305</wp:posOffset>
                </wp:positionV>
                <wp:extent cx="2026285" cy="0"/>
                <wp:effectExtent l="0" t="19050" r="12065" b="38100"/>
                <wp:wrapNone/>
                <wp:docPr id="6" name="Straight Connector 6"/>
                <wp:cNvGraphicFramePr/>
                <a:graphic xmlns:a="http://schemas.openxmlformats.org/drawingml/2006/main">
                  <a:graphicData uri="http://schemas.microsoft.com/office/word/2010/wordprocessingShape">
                    <wps:wsp>
                      <wps:cNvCnPr/>
                      <wps:spPr>
                        <a:xfrm>
                          <a:off x="0" y="0"/>
                          <a:ext cx="20262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6" o:spid="_x0000_s1026" style="position:absolute;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9.35pt,2.15pt" to="468.9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" strokecolor="black [3213]" strokeweight="4.5pt"/>
            </w:pict>
          </mc:Fallback>
        </mc:AlternateContent>
      </w:r>
      <w:r>
        <w:rPr>
          <w:noProof/>
          <w:lang w:eastAsia="en-NZ"/>
        </w:rPr>
        <mc:AlternateContent>
          <mc:Choice Requires="wps">
            <w:drawing>
              <wp:anchor distT="0" distB="0" distL="114300" distR="0" simplePos="0" relativeHeight="251795456" behindDoc="1" locked="0" layoutInCell="1" allowOverlap="1" wp14:anchorId="037798F3" wp14:editId="1E3359A7">
                <wp:simplePos x="0" y="0"/>
                <wp:positionH relativeFrom="column">
                  <wp:posOffset>3928745</wp:posOffset>
                </wp:positionH>
                <wp:positionV relativeFrom="paragraph">
                  <wp:posOffset>10795</wp:posOffset>
                </wp:positionV>
                <wp:extent cx="2026800" cy="838800"/>
                <wp:effectExtent l="0" t="0" r="0" b="0"/>
                <wp:wrapSquare wrapText="left"/>
                <wp:docPr id="5" name="Rectangle 5"/>
                <wp:cNvGraphicFramePr/>
                <a:graphic xmlns:a="http://schemas.openxmlformats.org/drawingml/2006/main">
                  <a:graphicData uri="http://schemas.microsoft.com/office/word/2010/wordprocessingShape">
                    <wps:wsp>
                      <wps:cNvSpPr/>
                      <wps:spPr>
                        <a:xfrm>
                          <a:off x="0" y="0"/>
                          <a:ext cx="2026800" cy="838800"/>
                        </a:xfrm>
                        <a:prstGeom prst="rect">
                          <a:avLst/>
                        </a:prstGeom>
                        <a:solidFill>
                          <a:schemeClr val="bg1">
                            <a:lumMod val="8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0380" w:rsidRPr="00611516" w:rsidRDefault="00880380" w:rsidP="00B935D1">
                            <w:pPr>
                              <w:spacing w:before="120" w:after="120"/>
                              <w:jc w:val="center"/>
                              <w:rPr>
                                <w:color w:val="000000"/>
                                <w:szCs w:val="22"/>
                              </w:rPr>
                            </w:pPr>
                            <w:r>
                              <w:rPr>
                                <w:color w:val="000000"/>
                                <w:szCs w:val="22"/>
                              </w:rPr>
                              <w:t xml:space="preserve">Download </w:t>
                            </w:r>
                            <w:r>
                              <w:rPr>
                                <w:i/>
                                <w:color w:val="000000"/>
                                <w:szCs w:val="22"/>
                              </w:rPr>
                              <w:t>Independent Life Expectancy in New Zealand</w:t>
                            </w:r>
                            <w:r>
                              <w:rPr>
                                <w:color w:val="000000"/>
                                <w:szCs w:val="22"/>
                              </w:rPr>
                              <w:t xml:space="preserve"> from www.health.govt.nz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40" style="position:absolute;margin-left:309.35pt;margin-top:.85pt;width:159.6pt;height:66.05pt;z-index:-251521024;visibility:visible;mso-wrap-style:square;mso-width-percent:0;mso-height-percent:0;mso-wrap-distance-left:9pt;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" fillcolor="#d8d8d8 [2732]" stroked="f" strokeweight=".5pt">
                <v:textbox>
                  <w:txbxContent>
                    <w:p w:rsidR="00880380" w:rsidRPr="00611516" w:rsidRDefault="00880380" w:rsidP="00B935D1">
                      <w:pPr>
                        <w:spacing w:before="120" w:after="120"/>
                        <w:jc w:val="center"/>
                        <w:rPr>
                          <w:color w:val="000000"/>
                          <w:szCs w:val="22"/>
                        </w:rPr>
                      </w:pPr>
                      <w:r>
                        <w:rPr>
                          <w:color w:val="000000"/>
                          <w:szCs w:val="22"/>
                        </w:rPr>
                        <w:t xml:space="preserve">Download </w:t>
                      </w:r>
                      <w:r>
                        <w:rPr>
                          <w:i/>
                          <w:color w:val="000000"/>
                          <w:szCs w:val="22"/>
                        </w:rPr>
                        <w:t>Independent Life Expectancy in New Zealand</w:t>
                      </w:r>
                      <w:r>
                        <w:rPr>
                          <w:color w:val="000000"/>
                          <w:szCs w:val="22"/>
                        </w:rPr>
                        <w:t xml:space="preserve"> from www.health.govt.nz</w:t>
                      </w:r>
                    </w:p>
                  </w:txbxContent>
                </v:textbox>
                <w10:wrap type="square" side="left"/>
              </v:rect>
            </w:pict>
          </mc:Fallback>
        </mc:AlternateContent>
      </w:r>
      <w:r w:rsidR="00A74AC3" w:rsidRPr="00D94409">
        <w:t>In 2013 life expectancy at birth was 79.5 years for males, and 83.2 years for females (Figure</w:t>
      </w:r>
      <w:r>
        <w:t> </w:t>
      </w:r>
      <w:r w:rsidR="00A74AC3" w:rsidRPr="00D94409">
        <w:t>2). New Zealand</w:t>
      </w:r>
      <w:r w:rsidR="00D94409" w:rsidRPr="00D94409">
        <w:t>’</w:t>
      </w:r>
      <w:r w:rsidR="00A74AC3" w:rsidRPr="00D94409">
        <w:t>s life expectancy compares well with similar countries, and is above the 2013 average among member countries of the Organisation for Economic Co-operation and Development (OECD)</w:t>
      </w:r>
      <w:r>
        <w:rPr>
          <w:rStyle w:val="FootnoteReference"/>
        </w:rPr>
        <w:footnoteReference w:id="1"/>
      </w:r>
      <w:r>
        <w:t xml:space="preserve"> </w:t>
      </w:r>
      <w:r w:rsidR="00A74AC3" w:rsidRPr="00D94409">
        <w:t>( 77.8 years for males and 83.1 for females)</w:t>
      </w:r>
      <w:r>
        <w:br/>
      </w:r>
      <w:r w:rsidR="00A74AC3" w:rsidRPr="00D94409">
        <w:t>(OECD 2015).</w:t>
      </w:r>
    </w:p>
    <w:p w:rsidR="00A74AC3" w:rsidRPr="00D94409" w:rsidRDefault="00A74AC3" w:rsidP="00B935D1">
      <w:pPr>
        <w:rPr>
          <w:rFonts w:eastAsia="Century"/>
        </w:rPr>
      </w:pPr>
    </w:p>
    <w:p w:rsidR="00A74AC3" w:rsidRPr="00D94409" w:rsidRDefault="00A74AC3" w:rsidP="00B935D1">
      <w:r w:rsidRPr="00D94409">
        <w:t>While this is good news for New Zealand as a whole, Māori and Pacific life expectancy is considerably lower than the national average. On average, Māori live seven years less than non</w:t>
      </w:r>
      <w:r w:rsidR="00B935D1">
        <w:noBreakHyphen/>
      </w:r>
      <w:r w:rsidRPr="00D94409">
        <w:t>Māori, with</w:t>
      </w:r>
      <w:r w:rsidR="00B935D1">
        <w:t xml:space="preserve"> </w:t>
      </w:r>
      <w:r w:rsidRPr="00D94409">
        <w:t>Māori males having a life expectancy at birth of 73.0 years and Māori females 77.1</w:t>
      </w:r>
      <w:r w:rsidR="00B935D1">
        <w:t> </w:t>
      </w:r>
      <w:r w:rsidRPr="00D94409">
        <w:t>years (Statistics New Zealand 2014d). Pacific life expectancy is higher than the Māori rate, but is lower than the life</w:t>
      </w:r>
      <w:r w:rsidR="00B935D1">
        <w:t xml:space="preserve"> </w:t>
      </w:r>
      <w:r w:rsidRPr="00D94409">
        <w:t>expectancy of the total population. Pacific males have a life expectancy at birth of 74.5 years and Pacific females 78.7 years</w:t>
      </w:r>
      <w:r w:rsidR="00B935D1">
        <w:t>.</w:t>
      </w:r>
      <w:r w:rsidR="00B935D1">
        <w:rPr>
          <w:rStyle w:val="FootnoteReference"/>
        </w:rPr>
        <w:footnoteReference w:id="2"/>
      </w:r>
    </w:p>
    <w:p w:rsidR="00A74AC3" w:rsidRPr="00D94409" w:rsidRDefault="00A74AC3" w:rsidP="00B935D1">
      <w:pPr>
        <w:rPr>
          <w:rFonts w:eastAsia="Century"/>
        </w:rPr>
      </w:pPr>
    </w:p>
    <w:p w:rsidR="00A74AC3" w:rsidRPr="00D94409" w:rsidRDefault="00A74AC3" w:rsidP="00B935D1">
      <w:pPr>
        <w:pStyle w:val="Heading3"/>
        <w:rPr>
          <w:bCs/>
        </w:rPr>
      </w:pPr>
      <w:r w:rsidRPr="00D94409">
        <w:t>On average we will spend four out of five years of our life in good health</w:t>
      </w:r>
    </w:p>
    <w:p w:rsidR="00A74AC3" w:rsidRPr="00D94409" w:rsidRDefault="00A74AC3" w:rsidP="00B935D1">
      <w:r w:rsidRPr="00D94409">
        <w:t>Independent life expectancy measures the average number of years we can expect to live free from functional limitations requiring assistance. Between 1996 and 2013, independent life expectancy at birth increased. However, the increase has not kept pace with the increase in life expectancy, meaning the proportion of our lives spent in poor health is increasing.</w:t>
      </w:r>
    </w:p>
    <w:p w:rsidR="00A74AC3" w:rsidRPr="00D94409" w:rsidRDefault="00A74AC3" w:rsidP="00B935D1">
      <w:pPr>
        <w:rPr>
          <w:rFonts w:eastAsia="Century"/>
        </w:rPr>
      </w:pPr>
    </w:p>
    <w:p w:rsidR="00A74AC3" w:rsidRPr="00D94409" w:rsidRDefault="00A74AC3" w:rsidP="00B935D1">
      <w:r w:rsidRPr="00D94409">
        <w:t>In 2013, New Zealand males could expect to live 82 percent of their life in good health, compared with 86 percent in 1996. New Zealand females in 2013 could expect to live 80 percent of their life in good health, compared with 83 percent in 1996.</w:t>
      </w:r>
    </w:p>
    <w:p w:rsidR="00A74AC3" w:rsidRPr="00D94409" w:rsidRDefault="00A74AC3" w:rsidP="00B935D1">
      <w:pPr>
        <w:rPr>
          <w:rFonts w:eastAsia="Century"/>
        </w:rPr>
      </w:pPr>
    </w:p>
    <w:p w:rsidR="00A74AC3" w:rsidRPr="00D94409" w:rsidRDefault="00A74AC3" w:rsidP="00B935D1">
      <w:r w:rsidRPr="00D94409">
        <w:t>While females have a higher life expectancy than males, they spend more of their life in poor health. In 2013 New Zealand females required assistance for 16.7 years of their life, compared with 14.3 years for New Zealand males (Figure 2).</w:t>
      </w:r>
    </w:p>
    <w:p w:rsidR="00A74AC3" w:rsidRPr="00D94409" w:rsidRDefault="00A74AC3" w:rsidP="00B935D1">
      <w:pPr>
        <w:rPr>
          <w:rFonts w:eastAsia="Century"/>
        </w:rPr>
      </w:pPr>
    </w:p>
    <w:p w:rsidR="00A74AC3" w:rsidRDefault="00A74AC3" w:rsidP="00B935D1">
      <w:pPr>
        <w:pStyle w:val="Figure"/>
      </w:pPr>
      <w:bookmarkStart w:id="11" w:name="_Toc433234111"/>
      <w:r w:rsidRPr="00D94409">
        <w:lastRenderedPageBreak/>
        <w:t>Figure 2: Life expectancy and independent life expectancy at birth in New Zealand, 2013</w:t>
      </w:r>
      <w:bookmarkEnd w:id="11"/>
    </w:p>
    <w:p w:rsidR="00B935D1" w:rsidRPr="00B935D1" w:rsidRDefault="00B935D1" w:rsidP="00B935D1">
      <w:pPr>
        <w:rPr>
          <w:rFonts w:eastAsia="Palatino Linotype"/>
        </w:rPr>
      </w:pPr>
      <w:r>
        <w:rPr>
          <w:noProof/>
          <w:lang w:eastAsia="en-NZ"/>
        </w:rPr>
        <w:drawing>
          <wp:inline distT="0" distB="0" distL="0" distR="0" wp14:anchorId="6E2F3D6A" wp14:editId="2553EC8B">
            <wp:extent cx="5940425" cy="3212653"/>
            <wp:effectExtent l="0" t="0" r="3175" b="6985"/>
            <wp:docPr id="8" name="Picture 8" title="Figure 2: Life expectancy and independent life expectancy at birth in New Zealan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grayscl/>
                    </a:blip>
                    <a:stretch>
                      <a:fillRect/>
                    </a:stretch>
                  </pic:blipFill>
                  <pic:spPr>
                    <a:xfrm>
                      <a:off x="0" y="0"/>
                      <a:ext cx="5940425" cy="3212653"/>
                    </a:xfrm>
                    <a:prstGeom prst="rect">
                      <a:avLst/>
                    </a:prstGeom>
                  </pic:spPr>
                </pic:pic>
              </a:graphicData>
            </a:graphic>
          </wp:inline>
        </w:drawing>
      </w:r>
    </w:p>
    <w:p w:rsidR="00A74AC3" w:rsidRPr="00D94409" w:rsidRDefault="00A74AC3" w:rsidP="0064573A">
      <w:pPr>
        <w:pStyle w:val="Source"/>
        <w:ind w:right="482"/>
        <w:rPr>
          <w:rFonts w:eastAsia="Century" w:hAnsi="Century" w:cs="Century"/>
          <w:szCs w:val="18"/>
        </w:rPr>
      </w:pPr>
      <w:r w:rsidRPr="00D94409">
        <w:t>Source: Independent Life Expectancy in New Zealand, Ministry of Health</w:t>
      </w:r>
    </w:p>
    <w:p w:rsidR="00A74AC3" w:rsidRPr="00D94409" w:rsidRDefault="00A74AC3" w:rsidP="0064573A">
      <w:pPr>
        <w:rPr>
          <w:rFonts w:eastAsia="Century"/>
        </w:rPr>
      </w:pPr>
    </w:p>
    <w:p w:rsidR="00A74AC3" w:rsidRPr="00D94409" w:rsidRDefault="00A74AC3" w:rsidP="0064573A">
      <w:r w:rsidRPr="00D94409">
        <w:t>Māori males can expect to live independently for 12.4 years less than non-Māori males.</w:t>
      </w:r>
      <w:r w:rsidR="0064573A">
        <w:rPr>
          <w:rStyle w:val="FootnoteReference"/>
        </w:rPr>
        <w:footnoteReference w:id="3"/>
      </w:r>
      <w:r w:rsidR="0064573A">
        <w:t xml:space="preserve"> </w:t>
      </w:r>
      <w:r w:rsidRPr="00D94409">
        <w:t>Māori males also spend more of their lives in ill health, requiring assistance for an estimated 18.7</w:t>
      </w:r>
      <w:r w:rsidR="0064573A">
        <w:t> </w:t>
      </w:r>
      <w:r w:rsidRPr="00D94409">
        <w:t>years, compared with 13.6 years for non-Māori males. This means that Māori males can expect to live only 74 percent of their lives in good health, compared with 83 percent for non</w:t>
      </w:r>
      <w:r w:rsidR="0064573A">
        <w:noBreakHyphen/>
      </w:r>
      <w:r w:rsidRPr="00D94409">
        <w:t>Māori males.</w:t>
      </w:r>
    </w:p>
    <w:p w:rsidR="00A74AC3" w:rsidRPr="00D94409" w:rsidRDefault="00A74AC3" w:rsidP="0064573A">
      <w:pPr>
        <w:rPr>
          <w:rFonts w:eastAsia="Century"/>
        </w:rPr>
      </w:pPr>
    </w:p>
    <w:p w:rsidR="00A74AC3" w:rsidRPr="00D94409" w:rsidRDefault="00A74AC3" w:rsidP="0064573A">
      <w:r w:rsidRPr="00D94409">
        <w:t>There is a seven-year gap in independent life expectancy at birth between Māori females (60.4</w:t>
      </w:r>
      <w:r w:rsidR="00137EC2">
        <w:t> </w:t>
      </w:r>
      <w:r w:rsidRPr="00D94409">
        <w:t>years) and non-Māori females (67.4 years). However, both will spend a similar number of years in ill health. Māori females can expect to live 78 percent of their lives in good health, compared with 80 percent for non-Māori females.</w:t>
      </w:r>
    </w:p>
    <w:p w:rsidR="00A74AC3" w:rsidRPr="00D94409" w:rsidRDefault="00A74AC3" w:rsidP="00137EC2">
      <w:pPr>
        <w:rPr>
          <w:rFonts w:eastAsia="Century"/>
        </w:rPr>
      </w:pPr>
    </w:p>
    <w:p w:rsidR="00A74AC3" w:rsidRPr="00D94409" w:rsidRDefault="00A74AC3" w:rsidP="00137EC2">
      <w:pPr>
        <w:pStyle w:val="Heading3"/>
        <w:rPr>
          <w:bCs/>
        </w:rPr>
      </w:pPr>
      <w:r w:rsidRPr="00D94409">
        <w:t>One in four New Zealanders has a disability</w:t>
      </w:r>
    </w:p>
    <w:p w:rsidR="00A74AC3" w:rsidRPr="00D94409" w:rsidRDefault="00A74AC3" w:rsidP="00137EC2">
      <w:r w:rsidRPr="00D94409">
        <w:t>The number of people living with a disability</w:t>
      </w:r>
      <w:r w:rsidR="00201EDB">
        <w:rPr>
          <w:rStyle w:val="FootnoteReference"/>
        </w:rPr>
        <w:footnoteReference w:id="4"/>
      </w:r>
      <w:r w:rsidR="00201EDB">
        <w:t xml:space="preserve"> </w:t>
      </w:r>
      <w:r w:rsidRPr="00D94409">
        <w:t>has increased to around 1.1 million individuals (Statistics New Zealand 2014c). The proportion has also increased from 20 percent of New Zealanders in 2001 to 24 percent in 2013, which is partly explained by our ageing population.</w:t>
      </w:r>
    </w:p>
    <w:p w:rsidR="00A74AC3" w:rsidRPr="00D94409" w:rsidRDefault="00A74AC3" w:rsidP="00137EC2">
      <w:pPr>
        <w:rPr>
          <w:rFonts w:eastAsia="Century"/>
        </w:rPr>
      </w:pPr>
    </w:p>
    <w:bookmarkStart w:id="12" w:name="Leading_causes_of_health_loss"/>
    <w:bookmarkEnd w:id="12"/>
    <w:p w:rsidR="00A74AC3" w:rsidRPr="00D94409" w:rsidRDefault="00201EDB" w:rsidP="00137EC2">
      <w:r>
        <w:rPr>
          <w:noProof/>
          <w:lang w:eastAsia="en-NZ"/>
        </w:rPr>
        <mc:AlternateContent>
          <mc:Choice Requires="wpg">
            <w:drawing>
              <wp:anchor distT="0" distB="0" distL="114300" distR="0" simplePos="0" relativeHeight="251804672" behindDoc="0" locked="0" layoutInCell="1" allowOverlap="1" wp14:anchorId="7F85E8E4" wp14:editId="4F4460D2">
                <wp:simplePos x="0" y="0"/>
                <wp:positionH relativeFrom="column">
                  <wp:posOffset>3985895</wp:posOffset>
                </wp:positionH>
                <wp:positionV relativeFrom="paragraph">
                  <wp:posOffset>48260</wp:posOffset>
                </wp:positionV>
                <wp:extent cx="1950720" cy="838200"/>
                <wp:effectExtent l="0" t="0" r="11430" b="19050"/>
                <wp:wrapSquare wrapText="left"/>
                <wp:docPr id="13" name="Group 13"/>
                <wp:cNvGraphicFramePr/>
                <a:graphic xmlns:a="http://schemas.openxmlformats.org/drawingml/2006/main">
                  <a:graphicData uri="http://schemas.microsoft.com/office/word/2010/wordprocessingGroup">
                    <wpg:wgp>
                      <wpg:cNvGrpSpPr/>
                      <wpg:grpSpPr>
                        <a:xfrm>
                          <a:off x="0" y="0"/>
                          <a:ext cx="1950720" cy="838200"/>
                          <a:chOff x="0" y="0"/>
                          <a:chExt cx="1952625" cy="839585"/>
                        </a:xfrm>
                      </wpg:grpSpPr>
                      <wpg:grpSp>
                        <wpg:cNvPr id="12" name="Group 12"/>
                        <wpg:cNvGrpSpPr/>
                        <wpg:grpSpPr>
                          <a:xfrm>
                            <a:off x="0" y="0"/>
                            <a:ext cx="1951355" cy="838200"/>
                            <a:chOff x="0" y="0"/>
                            <a:chExt cx="1951355" cy="838200"/>
                          </a:xfrm>
                        </wpg:grpSpPr>
                        <wps:wsp>
                          <wps:cNvPr id="9" name="Rectangle 9"/>
                          <wps:cNvSpPr/>
                          <wps:spPr>
                            <a:xfrm>
                              <a:off x="0" y="0"/>
                              <a:ext cx="1951355" cy="838200"/>
                            </a:xfrm>
                            <a:prstGeom prst="rect">
                              <a:avLst/>
                            </a:prstGeom>
                            <a:solidFill>
                              <a:schemeClr val="bg1">
                                <a:lumMod val="8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0380" w:rsidRPr="00611516" w:rsidRDefault="00880380" w:rsidP="00201EDB">
                                <w:pPr>
                                  <w:spacing w:before="120" w:after="120"/>
                                  <w:jc w:val="center"/>
                                  <w:rPr>
                                    <w:color w:val="000000"/>
                                    <w:szCs w:val="22"/>
                                  </w:rPr>
                                </w:pPr>
                                <w:r>
                                  <w:rPr>
                                    <w:color w:val="000000"/>
                                    <w:szCs w:val="22"/>
                                  </w:rPr>
                                  <w:t xml:space="preserve">Find out more about the </w:t>
                                </w:r>
                                <w:r>
                                  <w:rPr>
                                    <w:i/>
                                    <w:color w:val="000000"/>
                                    <w:szCs w:val="22"/>
                                  </w:rPr>
                                  <w:t>2013 Disability Survey</w:t>
                                </w:r>
                                <w:r>
                                  <w:rPr>
                                    <w:color w:val="000000"/>
                                    <w:szCs w:val="22"/>
                                  </w:rPr>
                                  <w:t xml:space="preserve"> at www.stats.govt.nz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traight Connector 10"/>
                          <wps:cNvCnPr/>
                          <wps:spPr>
                            <a:xfrm>
                              <a:off x="0" y="16625"/>
                              <a:ext cx="195135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 name="Straight Connector 11"/>
                        <wps:cNvCnPr/>
                        <wps:spPr>
                          <a:xfrm>
                            <a:off x="0" y="839585"/>
                            <a:ext cx="19526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3" o:spid="_x0000_s1041" style="position:absolute;margin-left:313.85pt;margin-top:3.8pt;width:153.6pt;height:66pt;z-index:251804672;mso-wrap-distance-right:0;mso-width-relative:margin;mso-height-relative:margin" coordsize="19526,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">
                <v:group id="Group 12" o:spid="_x0000_s1042" style="position:absolute;width:19513;height:8382" coordsize="19513,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9" o:spid="_x0000_s1043" style="position:absolute;width:19513;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9OOcEA&#10;AADaAAAADwAAAGRycy9kb3ducmV2LnhtbESPwWrDMBBE74X8g9hAb42cHorjRA4hUHChlyb+gEXa&#10;2MbWykiK7fTrq0Khx2Fm3jCH42IHMZEPnWMF200Gglg703GjoL6+v+QgQkQ2ODgmBQ8KcCxXTwcs&#10;jJv5i6ZLbESCcChQQRvjWEgZdEsWw8aNxMm7OW8xJukbaTzOCW4H+Zplb9Jix2mhxZHOLen+crcK&#10;TvXjlk/dR1+xruZvXX822udKPa+X0x5EpCX+h//alVGwg98r6QbI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PTjnBAAAA2gAAAA8AAAAAAAAAAAAAAAAAmAIAAGRycy9kb3du&#10;cmV2LnhtbFBLBQYAAAAABAAEAPUAAACGAwAAAAA=&#10;" fillcolor="#d8d8d8 [2732]" stroked="f" strokeweight=".5pt">
                    <v:textbox>
                      <w:txbxContent>
                        <w:p w:rsidR="00880380" w:rsidRPr="00611516" w:rsidRDefault="00880380" w:rsidP="00201EDB">
                          <w:pPr>
                            <w:spacing w:before="120" w:after="120"/>
                            <w:jc w:val="center"/>
                            <w:rPr>
                              <w:color w:val="000000"/>
                              <w:szCs w:val="22"/>
                            </w:rPr>
                          </w:pPr>
                          <w:r>
                            <w:rPr>
                              <w:color w:val="000000"/>
                              <w:szCs w:val="22"/>
                            </w:rPr>
                            <w:t xml:space="preserve">Find out more about the </w:t>
                          </w:r>
                          <w:r>
                            <w:rPr>
                              <w:i/>
                              <w:color w:val="000000"/>
                              <w:szCs w:val="22"/>
                            </w:rPr>
                            <w:t>2013 Disability Survey</w:t>
                          </w:r>
                          <w:r>
                            <w:rPr>
                              <w:color w:val="000000"/>
                              <w:szCs w:val="22"/>
                            </w:rPr>
                            <w:t xml:space="preserve"> at www.stats.govt.nz</w:t>
                          </w:r>
                        </w:p>
                      </w:txbxContent>
                    </v:textbox>
                  </v:rect>
                  <v:line id="Straight Connector 10" o:spid="_x0000_s1044" style="position:absolute;visibility:visible;mso-wrap-style:square" from="0,166" to="19513,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6UgsMAAADbAAAADwAAAGRycy9kb3ducmV2LnhtbESPzYrCQBCE7wu+w9CCt3XiHmSJjiKC&#10;Iov4E32AJtMmwUxPmBk1+/bbB2Fv3VR11dfzZe9a9aQQG88GJuMMFHHpbcOVgetl8/kNKiZki61n&#10;MvBLEZaLwcccc+tffKZnkSolIRxzNFCn1OVax7Imh3HsO2LRbj44TLKGStuALwl3rf7Ksql22LA0&#10;1NjRuqbyXjycgXAI23B8TI8/ld7d7PVUZN1+bcxo2K9moBL16d/8vt5ZwRd6+UUG0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ulILDAAAA2wAAAA8AAAAAAAAAAAAA&#10;AAAAoQIAAGRycy9kb3ducmV2LnhtbFBLBQYAAAAABAAEAPkAAACRAwAAAAA=&#10;" strokecolor="black [3213]" strokeweight="4.5pt"/>
                </v:group>
                <v:line id="Straight Connector 11" o:spid="_x0000_s1045" style="position:absolute;visibility:visible;mso-wrap-style:square" from="0,8395" to="19526,8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lY578AAADbAAAADwAAAGRycy9kb3ducmV2LnhtbERPTYvCMBC9L+x/CCN4W1M9iFSjqODq&#10;1boevA3NbFO2mZQktfXfG0HY2zze56w2g23EnXyoHSuYTjIQxKXTNVcKfi6HrwWIEJE1No5JwYMC&#10;bNafHyvMtev5TPciViKFcMhRgYmxzaUMpSGLYeJa4sT9Om8xJugrqT32Kdw2cpZlc2mx5tRgsKW9&#10;ofKv6KyCW7eL/niR274Y9t9mdmjKzl2VGo+G7RJEpCH+i9/uk07zp/D6JR0g10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plY578AAADbAAAADwAAAAAAAAAAAAAAAACh&#10;AgAAZHJzL2Rvd25yZXYueG1sUEsFBgAAAAAEAAQA+QAAAI0DAAAAAA==&#10;" strokecolor="black [3213]" strokeweight="1.5pt"/>
                <w10:wrap type="square" side="left"/>
              </v:group>
            </w:pict>
          </mc:Fallback>
        </mc:AlternateContent>
      </w:r>
      <w:r w:rsidR="00A74AC3" w:rsidRPr="00D94409">
        <w:t>Rates of disability increase with age, with 59 percent of people aged 65 years and over having at least one disability. Multiple impairments are common: over half of disabled people have more than one type of impairment. One in nine children aged 0–14 years (11 percent) has a disability; for half of them, the disability involves learning difficulties.</w:t>
      </w:r>
    </w:p>
    <w:p w:rsidR="00A74AC3" w:rsidRPr="00D94409" w:rsidRDefault="00A74AC3" w:rsidP="00201EDB">
      <w:pPr>
        <w:rPr>
          <w:rFonts w:eastAsia="Century"/>
        </w:rPr>
      </w:pPr>
    </w:p>
    <w:p w:rsidR="00A74AC3" w:rsidRPr="00D94409" w:rsidRDefault="00A74AC3" w:rsidP="00201EDB">
      <w:r w:rsidRPr="00D94409">
        <w:t>Māori (27 percent) and Pacific peoples (19 percent) have higher than average disability rates after adjusting for age (Statistics New Zealand 2014c).</w:t>
      </w:r>
    </w:p>
    <w:p w:rsidR="00A74AC3" w:rsidRPr="00D94409" w:rsidRDefault="00A74AC3" w:rsidP="00201EDB">
      <w:pPr>
        <w:pStyle w:val="Heading2"/>
        <w:spacing w:before="360"/>
        <w:rPr>
          <w:rFonts w:eastAsia="Georgia" w:cs="Georgia"/>
          <w:szCs w:val="40"/>
        </w:rPr>
      </w:pPr>
      <w:bookmarkStart w:id="13" w:name="_Toc433234087"/>
      <w:r w:rsidRPr="00D94409">
        <w:lastRenderedPageBreak/>
        <w:t>Leading causes of health loss</w:t>
      </w:r>
      <w:bookmarkEnd w:id="13"/>
    </w:p>
    <w:p w:rsidR="00A74AC3" w:rsidRPr="00D94409" w:rsidRDefault="00A74AC3" w:rsidP="00201EDB">
      <w:r w:rsidRPr="00D94409">
        <w:t>The 2010 Global Burden of Disease Study uses disability adjusted life years (DALYs) to summarise both fatal and non-fatal health loss (Institute for Health Metrics and Evaluation 2013). One DALY represents the loss of one year of healthy life.</w:t>
      </w:r>
    </w:p>
    <w:p w:rsidR="00A74AC3" w:rsidRPr="00D94409" w:rsidRDefault="00A74AC3" w:rsidP="00201EDB">
      <w:pPr>
        <w:rPr>
          <w:rFonts w:eastAsia="Century"/>
        </w:rPr>
      </w:pPr>
    </w:p>
    <w:p w:rsidR="00A74AC3" w:rsidRPr="00D94409" w:rsidRDefault="00A74AC3" w:rsidP="00201EDB">
      <w:r w:rsidRPr="00D94409">
        <w:t>Just over a million years of healthy life are lost in New Zealand each year as a result of disability and premature death. Figure 4 summarises the conditions that are responsible for the majority of this health loss New Zealand.</w:t>
      </w:r>
    </w:p>
    <w:p w:rsidR="00A74AC3" w:rsidRPr="00D94409" w:rsidRDefault="00A74AC3" w:rsidP="00201EDB">
      <w:pPr>
        <w:rPr>
          <w:rFonts w:eastAsia="Century"/>
        </w:rPr>
      </w:pPr>
    </w:p>
    <w:p w:rsidR="00A74AC3" w:rsidRPr="00D94409" w:rsidRDefault="00A74AC3" w:rsidP="00201EDB">
      <w:pPr>
        <w:pStyle w:val="Heading3"/>
        <w:rPr>
          <w:bCs/>
        </w:rPr>
      </w:pPr>
      <w:r w:rsidRPr="00D94409">
        <w:t>Cancer is the leading cause of health loss, followed by cardiovascular disease</w:t>
      </w:r>
    </w:p>
    <w:p w:rsidR="00A74AC3" w:rsidRPr="00D94409" w:rsidRDefault="00A74AC3" w:rsidP="00201EDB">
      <w:r w:rsidRPr="00D94409">
        <w:t>Cancer, cardiovascular disease, mental health disorders, musculoskeletal disorders and injuries are the leading causes of health loss (Table 1). Together these conditions account for over two-thirds of all health loss.</w:t>
      </w:r>
    </w:p>
    <w:p w:rsidR="00A74AC3" w:rsidRPr="00D94409" w:rsidRDefault="00A74AC3" w:rsidP="00201EDB">
      <w:pPr>
        <w:rPr>
          <w:rFonts w:eastAsia="Century"/>
        </w:rPr>
      </w:pPr>
    </w:p>
    <w:p w:rsidR="00A74AC3" w:rsidRPr="00D94409" w:rsidRDefault="00A74AC3" w:rsidP="00201EDB">
      <w:r w:rsidRPr="00D94409">
        <w:t>Sixteen percent of health loss is due to cancer. Lung, colorectal and breast cancers are the leading causes of cancer-related health loss (Institute for Health Metrics and Evaluation 2013). They are also responsible for the majority of cancer deaths (Figure 3). While the number of cancer deaths is</w:t>
      </w:r>
      <w:r w:rsidR="00201EDB">
        <w:t xml:space="preserve"> </w:t>
      </w:r>
      <w:r w:rsidRPr="00D94409">
        <w:t>increasing due to the ageing population, the age-standardised death rate is decreasing. In 2012 there were 124 cancer deaths per 100,000 people in New Zealand, compared with 146 per 100,000 in 2000.</w:t>
      </w:r>
    </w:p>
    <w:p w:rsidR="00A74AC3" w:rsidRPr="00D94409" w:rsidRDefault="00A74AC3" w:rsidP="00201EDB">
      <w:pPr>
        <w:rPr>
          <w:rFonts w:eastAsia="Century"/>
        </w:rPr>
      </w:pPr>
    </w:p>
    <w:p w:rsidR="00A74AC3" w:rsidRPr="00201EDB" w:rsidRDefault="00A74AC3" w:rsidP="00201EDB">
      <w:r w:rsidRPr="00D94409">
        <w:t xml:space="preserve">In 2012 there were 21,814 new cancer registrations, which </w:t>
      </w:r>
      <w:proofErr w:type="gramStart"/>
      <w:r w:rsidRPr="00D94409">
        <w:t>is</w:t>
      </w:r>
      <w:proofErr w:type="gramEnd"/>
      <w:r w:rsidRPr="00D94409">
        <w:t xml:space="preserve"> 336 per 100,000 New Zealanders after standardising for age. While the total number of cancer registrations has increased by 23</w:t>
      </w:r>
      <w:r w:rsidR="00201EDB">
        <w:t> </w:t>
      </w:r>
      <w:r w:rsidRPr="00D94409">
        <w:t>percent since 2000, the age-standardised rate has decreased by 8 percent over the same period. Prostate cancer is responsible for the highest number of new cancer diagnoses, with 3129 new registrations in 2012.</w:t>
      </w:r>
      <w:r w:rsidR="00201EDB">
        <w:t xml:space="preserve"> </w:t>
      </w:r>
      <w:r w:rsidRPr="00D94409">
        <w:t>This is followed by breast (3054) and colorectal (3016) cancers.</w:t>
      </w:r>
      <w:r w:rsidR="00201EDB">
        <w:rPr>
          <w:rStyle w:val="FootnoteReference"/>
        </w:rPr>
        <w:footnoteReference w:id="5"/>
      </w:r>
    </w:p>
    <w:p w:rsidR="00A74AC3" w:rsidRPr="00D94409" w:rsidRDefault="00A74AC3" w:rsidP="00201EDB">
      <w:pPr>
        <w:rPr>
          <w:rFonts w:eastAsia="Century"/>
        </w:rPr>
      </w:pPr>
    </w:p>
    <w:p w:rsidR="00A74AC3" w:rsidRPr="00D94409" w:rsidRDefault="00A74AC3" w:rsidP="00201EDB">
      <w:pPr>
        <w:pStyle w:val="Table"/>
        <w:rPr>
          <w:rFonts w:eastAsia="Palatino Linotype" w:hAnsi="Palatino Linotype" w:cs="Palatino Linotype"/>
          <w:szCs w:val="19"/>
        </w:rPr>
      </w:pPr>
      <w:bookmarkStart w:id="14" w:name="_Toc433234104"/>
      <w:r w:rsidRPr="00D94409">
        <w:t>Table 1: Leading causes of health loss and death</w:t>
      </w:r>
      <w:bookmarkEnd w:id="14"/>
    </w:p>
    <w:tbl>
      <w:tblPr>
        <w:tblW w:w="9711" w:type="dxa"/>
        <w:tblInd w:w="57" w:type="dxa"/>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3354"/>
        <w:gridCol w:w="1381"/>
        <w:gridCol w:w="288"/>
        <w:gridCol w:w="647"/>
        <w:gridCol w:w="4041"/>
      </w:tblGrid>
      <w:tr w:rsidR="00201EDB" w:rsidRPr="00201EDB" w:rsidTr="00201EDB">
        <w:trPr>
          <w:cantSplit/>
        </w:trPr>
        <w:tc>
          <w:tcPr>
            <w:tcW w:w="4735" w:type="dxa"/>
            <w:gridSpan w:val="2"/>
            <w:tcBorders>
              <w:top w:val="single" w:sz="4" w:space="0" w:color="auto"/>
              <w:bottom w:val="single" w:sz="4" w:space="0" w:color="auto"/>
            </w:tcBorders>
          </w:tcPr>
          <w:p w:rsidR="00201EDB" w:rsidRPr="00201EDB" w:rsidRDefault="00201EDB" w:rsidP="00201EDB">
            <w:pPr>
              <w:pStyle w:val="TableText"/>
              <w:rPr>
                <w:rFonts w:ascii="Georgia" w:hAnsi="Georgia"/>
                <w:b/>
                <w:sz w:val="24"/>
                <w:szCs w:val="24"/>
              </w:rPr>
            </w:pPr>
            <w:r w:rsidRPr="00201EDB">
              <w:rPr>
                <w:rFonts w:ascii="Georgia" w:hAnsi="Georgia"/>
                <w:b/>
                <w:sz w:val="24"/>
                <w:szCs w:val="24"/>
              </w:rPr>
              <w:t>Leading causes of health loss</w:t>
            </w:r>
            <w:r w:rsidRPr="00201EDB">
              <w:rPr>
                <w:rFonts w:ascii="Georgia" w:hAnsi="Georgia"/>
                <w:b/>
                <w:sz w:val="20"/>
              </w:rPr>
              <w:br/>
              <w:t>(% of total health loss)</w:t>
            </w:r>
          </w:p>
        </w:tc>
        <w:tc>
          <w:tcPr>
            <w:tcW w:w="288" w:type="dxa"/>
            <w:tcBorders>
              <w:top w:val="nil"/>
              <w:bottom w:val="nil"/>
            </w:tcBorders>
          </w:tcPr>
          <w:p w:rsidR="00201EDB" w:rsidRPr="00201EDB" w:rsidRDefault="00201EDB" w:rsidP="00201EDB">
            <w:pPr>
              <w:pStyle w:val="TableText"/>
              <w:rPr>
                <w:rFonts w:ascii="Georgia" w:hAnsi="Georgia"/>
                <w:b/>
                <w:sz w:val="24"/>
                <w:szCs w:val="24"/>
              </w:rPr>
            </w:pPr>
          </w:p>
        </w:tc>
        <w:tc>
          <w:tcPr>
            <w:tcW w:w="4688" w:type="dxa"/>
            <w:gridSpan w:val="2"/>
            <w:tcBorders>
              <w:top w:val="single" w:sz="4" w:space="0" w:color="auto"/>
              <w:bottom w:val="single" w:sz="4" w:space="0" w:color="auto"/>
            </w:tcBorders>
          </w:tcPr>
          <w:p w:rsidR="00201EDB" w:rsidRPr="00201EDB" w:rsidRDefault="00201EDB" w:rsidP="00201EDB">
            <w:pPr>
              <w:pStyle w:val="TableText"/>
              <w:rPr>
                <w:rFonts w:ascii="Georgia" w:hAnsi="Georgia"/>
                <w:b/>
                <w:sz w:val="24"/>
                <w:szCs w:val="24"/>
              </w:rPr>
            </w:pPr>
            <w:r w:rsidRPr="00201EDB">
              <w:rPr>
                <w:rFonts w:ascii="Georgia" w:hAnsi="Georgia"/>
                <w:b/>
                <w:sz w:val="24"/>
                <w:szCs w:val="24"/>
              </w:rPr>
              <w:t>Leading causes of death</w:t>
            </w:r>
            <w:r w:rsidRPr="00201EDB">
              <w:rPr>
                <w:rFonts w:ascii="Georgia" w:hAnsi="Georgia"/>
                <w:b/>
                <w:sz w:val="20"/>
              </w:rPr>
              <w:br/>
              <w:t>(% of all deaths)</w:t>
            </w:r>
          </w:p>
        </w:tc>
      </w:tr>
      <w:tr w:rsidR="00A74AC3" w:rsidRPr="00D94409" w:rsidTr="00201EDB">
        <w:trPr>
          <w:cantSplit/>
        </w:trPr>
        <w:tc>
          <w:tcPr>
            <w:tcW w:w="3354" w:type="dxa"/>
            <w:tcBorders>
              <w:top w:val="single" w:sz="4" w:space="0" w:color="auto"/>
            </w:tcBorders>
            <w:vAlign w:val="center"/>
          </w:tcPr>
          <w:p w:rsidR="00A74AC3" w:rsidRPr="00201EDB" w:rsidRDefault="00A74AC3" w:rsidP="00201EDB">
            <w:pPr>
              <w:pStyle w:val="TableText"/>
              <w:rPr>
                <w:rFonts w:ascii="Georgia" w:eastAsia="Century" w:hAnsi="Georgia" w:cs="Century"/>
                <w:sz w:val="20"/>
              </w:rPr>
            </w:pPr>
            <w:r w:rsidRPr="00201EDB">
              <w:rPr>
                <w:rFonts w:ascii="Georgia" w:hAnsi="Georgia"/>
                <w:sz w:val="20"/>
              </w:rPr>
              <w:t>Cancer</w:t>
            </w:r>
          </w:p>
        </w:tc>
        <w:tc>
          <w:tcPr>
            <w:tcW w:w="1381" w:type="dxa"/>
            <w:tcBorders>
              <w:top w:val="single" w:sz="4" w:space="0" w:color="auto"/>
            </w:tcBorders>
            <w:vAlign w:val="center"/>
          </w:tcPr>
          <w:p w:rsidR="00A74AC3" w:rsidRPr="00201EDB" w:rsidRDefault="00A74AC3" w:rsidP="00201EDB">
            <w:pPr>
              <w:pStyle w:val="TableText"/>
              <w:jc w:val="right"/>
              <w:rPr>
                <w:rFonts w:ascii="Georgia" w:eastAsia="Georgia" w:hAnsi="Georgia" w:cs="Georgia"/>
                <w:sz w:val="24"/>
                <w:szCs w:val="24"/>
              </w:rPr>
            </w:pPr>
            <w:r w:rsidRPr="00201EDB">
              <w:rPr>
                <w:rFonts w:ascii="Georgia" w:hAnsi="Georgia"/>
                <w:b/>
                <w:sz w:val="24"/>
              </w:rPr>
              <w:t>16%</w:t>
            </w:r>
          </w:p>
        </w:tc>
        <w:tc>
          <w:tcPr>
            <w:tcW w:w="288" w:type="dxa"/>
            <w:tcBorders>
              <w:top w:val="nil"/>
              <w:bottom w:val="nil"/>
            </w:tcBorders>
            <w:vAlign w:val="center"/>
          </w:tcPr>
          <w:p w:rsidR="00A74AC3" w:rsidRPr="00201EDB" w:rsidRDefault="00A74AC3" w:rsidP="00201EDB">
            <w:pPr>
              <w:pStyle w:val="TableText"/>
              <w:rPr>
                <w:rFonts w:ascii="Georgia" w:hAnsi="Georgia"/>
              </w:rPr>
            </w:pPr>
          </w:p>
        </w:tc>
        <w:tc>
          <w:tcPr>
            <w:tcW w:w="647" w:type="dxa"/>
            <w:tcBorders>
              <w:top w:val="single" w:sz="4" w:space="0" w:color="auto"/>
            </w:tcBorders>
            <w:vAlign w:val="center"/>
          </w:tcPr>
          <w:p w:rsidR="00A74AC3" w:rsidRPr="00201EDB" w:rsidRDefault="00A74AC3" w:rsidP="00201EDB">
            <w:pPr>
              <w:pStyle w:val="TableText"/>
              <w:jc w:val="right"/>
              <w:rPr>
                <w:rFonts w:ascii="Georgia" w:eastAsia="Georgia" w:hAnsi="Georgia" w:cs="Georgia"/>
                <w:sz w:val="24"/>
                <w:szCs w:val="24"/>
              </w:rPr>
            </w:pPr>
            <w:r w:rsidRPr="00201EDB">
              <w:rPr>
                <w:rFonts w:ascii="Georgia" w:hAnsi="Georgia"/>
                <w:b/>
                <w:sz w:val="24"/>
              </w:rPr>
              <w:t>34%</w:t>
            </w:r>
          </w:p>
        </w:tc>
        <w:tc>
          <w:tcPr>
            <w:tcW w:w="4041" w:type="dxa"/>
            <w:tcBorders>
              <w:top w:val="single" w:sz="4" w:space="0" w:color="auto"/>
            </w:tcBorders>
            <w:vAlign w:val="center"/>
          </w:tcPr>
          <w:p w:rsidR="00A74AC3" w:rsidRPr="00201EDB" w:rsidRDefault="00A74AC3" w:rsidP="00201EDB">
            <w:pPr>
              <w:pStyle w:val="TableText"/>
              <w:ind w:left="142"/>
              <w:rPr>
                <w:rFonts w:ascii="Georgia" w:eastAsia="Century" w:hAnsi="Georgia" w:cs="Century"/>
                <w:sz w:val="20"/>
              </w:rPr>
            </w:pPr>
            <w:r w:rsidRPr="00201EDB">
              <w:rPr>
                <w:rFonts w:ascii="Georgia" w:hAnsi="Georgia"/>
                <w:sz w:val="20"/>
              </w:rPr>
              <w:t>Cardiovascular disease</w:t>
            </w:r>
          </w:p>
        </w:tc>
      </w:tr>
      <w:tr w:rsidR="00A74AC3" w:rsidRPr="00D94409" w:rsidTr="00201EDB">
        <w:trPr>
          <w:cantSplit/>
        </w:trPr>
        <w:tc>
          <w:tcPr>
            <w:tcW w:w="3354" w:type="dxa"/>
            <w:vAlign w:val="center"/>
          </w:tcPr>
          <w:p w:rsidR="00A74AC3" w:rsidRPr="00201EDB" w:rsidRDefault="00A74AC3" w:rsidP="00201EDB">
            <w:pPr>
              <w:pStyle w:val="TableText"/>
              <w:rPr>
                <w:rFonts w:ascii="Georgia" w:eastAsia="Century" w:hAnsi="Georgia" w:cs="Century"/>
                <w:sz w:val="20"/>
              </w:rPr>
            </w:pPr>
            <w:r w:rsidRPr="00201EDB">
              <w:rPr>
                <w:rFonts w:ascii="Georgia" w:hAnsi="Georgia"/>
                <w:sz w:val="20"/>
              </w:rPr>
              <w:t>Cardiovascular disease</w:t>
            </w:r>
          </w:p>
        </w:tc>
        <w:tc>
          <w:tcPr>
            <w:tcW w:w="1381" w:type="dxa"/>
            <w:vAlign w:val="center"/>
          </w:tcPr>
          <w:p w:rsidR="00A74AC3" w:rsidRPr="00201EDB" w:rsidRDefault="00A74AC3" w:rsidP="00201EDB">
            <w:pPr>
              <w:pStyle w:val="TableText"/>
              <w:jc w:val="right"/>
              <w:rPr>
                <w:rFonts w:ascii="Georgia" w:eastAsia="Georgia" w:hAnsi="Georgia" w:cs="Georgia"/>
                <w:sz w:val="24"/>
                <w:szCs w:val="24"/>
              </w:rPr>
            </w:pPr>
            <w:r w:rsidRPr="00201EDB">
              <w:rPr>
                <w:rFonts w:ascii="Georgia" w:hAnsi="Georgia"/>
                <w:b/>
                <w:sz w:val="24"/>
              </w:rPr>
              <w:t>15%</w:t>
            </w:r>
          </w:p>
        </w:tc>
        <w:tc>
          <w:tcPr>
            <w:tcW w:w="288" w:type="dxa"/>
            <w:tcBorders>
              <w:top w:val="nil"/>
              <w:bottom w:val="nil"/>
            </w:tcBorders>
            <w:vAlign w:val="center"/>
          </w:tcPr>
          <w:p w:rsidR="00A74AC3" w:rsidRPr="00201EDB" w:rsidRDefault="00A74AC3" w:rsidP="00201EDB">
            <w:pPr>
              <w:pStyle w:val="TableText"/>
              <w:rPr>
                <w:rFonts w:ascii="Georgia" w:hAnsi="Georgia"/>
              </w:rPr>
            </w:pPr>
          </w:p>
        </w:tc>
        <w:tc>
          <w:tcPr>
            <w:tcW w:w="647" w:type="dxa"/>
            <w:vAlign w:val="center"/>
          </w:tcPr>
          <w:p w:rsidR="00A74AC3" w:rsidRPr="00201EDB" w:rsidRDefault="00A74AC3" w:rsidP="00201EDB">
            <w:pPr>
              <w:pStyle w:val="TableText"/>
              <w:jc w:val="right"/>
              <w:rPr>
                <w:rFonts w:ascii="Georgia" w:eastAsia="Georgia" w:hAnsi="Georgia" w:cs="Georgia"/>
                <w:sz w:val="24"/>
                <w:szCs w:val="24"/>
              </w:rPr>
            </w:pPr>
            <w:r w:rsidRPr="00201EDB">
              <w:rPr>
                <w:rFonts w:ascii="Georgia" w:hAnsi="Georgia"/>
                <w:b/>
                <w:sz w:val="24"/>
              </w:rPr>
              <w:t>30%</w:t>
            </w:r>
          </w:p>
        </w:tc>
        <w:tc>
          <w:tcPr>
            <w:tcW w:w="4041" w:type="dxa"/>
            <w:vAlign w:val="center"/>
          </w:tcPr>
          <w:p w:rsidR="00A74AC3" w:rsidRPr="00201EDB" w:rsidRDefault="00A74AC3" w:rsidP="00201EDB">
            <w:pPr>
              <w:pStyle w:val="TableText"/>
              <w:ind w:left="142"/>
              <w:rPr>
                <w:rFonts w:ascii="Georgia" w:eastAsia="Century" w:hAnsi="Georgia" w:cs="Century"/>
                <w:sz w:val="20"/>
              </w:rPr>
            </w:pPr>
            <w:r w:rsidRPr="00201EDB">
              <w:rPr>
                <w:rFonts w:ascii="Georgia" w:hAnsi="Georgia"/>
                <w:sz w:val="20"/>
              </w:rPr>
              <w:t>Cancer</w:t>
            </w:r>
          </w:p>
        </w:tc>
      </w:tr>
      <w:tr w:rsidR="00A74AC3" w:rsidRPr="00D94409" w:rsidTr="00201EDB">
        <w:trPr>
          <w:cantSplit/>
        </w:trPr>
        <w:tc>
          <w:tcPr>
            <w:tcW w:w="3354" w:type="dxa"/>
            <w:vAlign w:val="center"/>
          </w:tcPr>
          <w:p w:rsidR="00A74AC3" w:rsidRPr="00201EDB" w:rsidRDefault="00A74AC3" w:rsidP="00201EDB">
            <w:pPr>
              <w:pStyle w:val="TableText"/>
              <w:rPr>
                <w:rFonts w:ascii="Georgia" w:eastAsia="Century" w:hAnsi="Georgia" w:cs="Century"/>
                <w:sz w:val="20"/>
              </w:rPr>
            </w:pPr>
            <w:r w:rsidRPr="00201EDB">
              <w:rPr>
                <w:rFonts w:ascii="Georgia" w:hAnsi="Georgia"/>
                <w:sz w:val="20"/>
              </w:rPr>
              <w:t>Mental health disorders</w:t>
            </w:r>
          </w:p>
        </w:tc>
        <w:tc>
          <w:tcPr>
            <w:tcW w:w="1381" w:type="dxa"/>
            <w:vAlign w:val="center"/>
          </w:tcPr>
          <w:p w:rsidR="00A74AC3" w:rsidRPr="00201EDB" w:rsidRDefault="00A74AC3" w:rsidP="00201EDB">
            <w:pPr>
              <w:pStyle w:val="TableText"/>
              <w:jc w:val="right"/>
              <w:rPr>
                <w:rFonts w:ascii="Georgia" w:eastAsia="Georgia" w:hAnsi="Georgia" w:cs="Georgia"/>
                <w:sz w:val="24"/>
                <w:szCs w:val="24"/>
              </w:rPr>
            </w:pPr>
            <w:r w:rsidRPr="00201EDB">
              <w:rPr>
                <w:rFonts w:ascii="Georgia" w:hAnsi="Georgia"/>
                <w:b/>
                <w:sz w:val="24"/>
              </w:rPr>
              <w:t>14%</w:t>
            </w:r>
          </w:p>
        </w:tc>
        <w:tc>
          <w:tcPr>
            <w:tcW w:w="288" w:type="dxa"/>
            <w:tcBorders>
              <w:top w:val="nil"/>
              <w:bottom w:val="nil"/>
            </w:tcBorders>
            <w:vAlign w:val="center"/>
          </w:tcPr>
          <w:p w:rsidR="00A74AC3" w:rsidRPr="00201EDB" w:rsidRDefault="00A74AC3" w:rsidP="00201EDB">
            <w:pPr>
              <w:pStyle w:val="TableText"/>
              <w:rPr>
                <w:rFonts w:ascii="Georgia" w:hAnsi="Georgia"/>
              </w:rPr>
            </w:pPr>
          </w:p>
        </w:tc>
        <w:tc>
          <w:tcPr>
            <w:tcW w:w="647" w:type="dxa"/>
            <w:vAlign w:val="center"/>
          </w:tcPr>
          <w:p w:rsidR="00A74AC3" w:rsidRPr="00201EDB" w:rsidRDefault="00A74AC3" w:rsidP="00201EDB">
            <w:pPr>
              <w:pStyle w:val="TableText"/>
              <w:jc w:val="right"/>
              <w:rPr>
                <w:rFonts w:ascii="Georgia" w:eastAsia="Georgia" w:hAnsi="Georgia" w:cs="Georgia"/>
                <w:sz w:val="24"/>
                <w:szCs w:val="24"/>
              </w:rPr>
            </w:pPr>
            <w:r w:rsidRPr="00201EDB">
              <w:rPr>
                <w:rFonts w:ascii="Georgia" w:hAnsi="Georgia"/>
                <w:b/>
                <w:sz w:val="24"/>
              </w:rPr>
              <w:t>9%</w:t>
            </w:r>
          </w:p>
        </w:tc>
        <w:tc>
          <w:tcPr>
            <w:tcW w:w="4041" w:type="dxa"/>
            <w:vAlign w:val="center"/>
          </w:tcPr>
          <w:p w:rsidR="00A74AC3" w:rsidRPr="00201EDB" w:rsidRDefault="00A74AC3" w:rsidP="00201EDB">
            <w:pPr>
              <w:pStyle w:val="TableText"/>
              <w:ind w:left="142"/>
              <w:rPr>
                <w:rFonts w:ascii="Georgia" w:eastAsia="Century" w:hAnsi="Georgia" w:cs="Century"/>
                <w:sz w:val="20"/>
              </w:rPr>
            </w:pPr>
            <w:r w:rsidRPr="00201EDB">
              <w:rPr>
                <w:rFonts w:ascii="Georgia" w:hAnsi="Georgia"/>
                <w:sz w:val="20"/>
              </w:rPr>
              <w:t>Respiratory disease</w:t>
            </w:r>
          </w:p>
        </w:tc>
      </w:tr>
      <w:tr w:rsidR="00A74AC3" w:rsidRPr="00D94409" w:rsidTr="00201EDB">
        <w:trPr>
          <w:cantSplit/>
        </w:trPr>
        <w:tc>
          <w:tcPr>
            <w:tcW w:w="3354" w:type="dxa"/>
            <w:vAlign w:val="center"/>
          </w:tcPr>
          <w:p w:rsidR="00A74AC3" w:rsidRPr="00201EDB" w:rsidRDefault="00A74AC3" w:rsidP="00201EDB">
            <w:pPr>
              <w:pStyle w:val="TableText"/>
              <w:rPr>
                <w:rFonts w:ascii="Georgia" w:eastAsia="Century" w:hAnsi="Georgia" w:cs="Century"/>
                <w:sz w:val="20"/>
              </w:rPr>
            </w:pPr>
            <w:r w:rsidRPr="00201EDB">
              <w:rPr>
                <w:rFonts w:ascii="Georgia" w:hAnsi="Georgia"/>
                <w:sz w:val="20"/>
              </w:rPr>
              <w:t>Musculoskeletal disorders</w:t>
            </w:r>
          </w:p>
        </w:tc>
        <w:tc>
          <w:tcPr>
            <w:tcW w:w="1381" w:type="dxa"/>
            <w:vAlign w:val="center"/>
          </w:tcPr>
          <w:p w:rsidR="00A74AC3" w:rsidRPr="00201EDB" w:rsidRDefault="00A74AC3" w:rsidP="00201EDB">
            <w:pPr>
              <w:pStyle w:val="TableText"/>
              <w:jc w:val="right"/>
              <w:rPr>
                <w:rFonts w:ascii="Georgia" w:eastAsia="Georgia" w:hAnsi="Georgia" w:cs="Georgia"/>
                <w:sz w:val="24"/>
                <w:szCs w:val="24"/>
              </w:rPr>
            </w:pPr>
            <w:r w:rsidRPr="00201EDB">
              <w:rPr>
                <w:rFonts w:ascii="Georgia" w:hAnsi="Georgia"/>
                <w:b/>
                <w:sz w:val="24"/>
              </w:rPr>
              <w:t>14%</w:t>
            </w:r>
          </w:p>
        </w:tc>
        <w:tc>
          <w:tcPr>
            <w:tcW w:w="288" w:type="dxa"/>
            <w:tcBorders>
              <w:top w:val="nil"/>
              <w:bottom w:val="nil"/>
            </w:tcBorders>
            <w:vAlign w:val="center"/>
          </w:tcPr>
          <w:p w:rsidR="00A74AC3" w:rsidRPr="00201EDB" w:rsidRDefault="00A74AC3" w:rsidP="00201EDB">
            <w:pPr>
              <w:pStyle w:val="TableText"/>
              <w:rPr>
                <w:rFonts w:ascii="Georgia" w:hAnsi="Georgia"/>
              </w:rPr>
            </w:pPr>
          </w:p>
        </w:tc>
        <w:tc>
          <w:tcPr>
            <w:tcW w:w="647" w:type="dxa"/>
            <w:vAlign w:val="center"/>
          </w:tcPr>
          <w:p w:rsidR="00A74AC3" w:rsidRPr="00201EDB" w:rsidRDefault="00A74AC3" w:rsidP="00201EDB">
            <w:pPr>
              <w:pStyle w:val="TableText"/>
              <w:jc w:val="right"/>
              <w:rPr>
                <w:rFonts w:ascii="Georgia" w:eastAsia="Georgia" w:hAnsi="Georgia" w:cs="Georgia"/>
                <w:sz w:val="24"/>
                <w:szCs w:val="24"/>
              </w:rPr>
            </w:pPr>
            <w:r w:rsidRPr="00201EDB">
              <w:rPr>
                <w:rFonts w:ascii="Georgia" w:hAnsi="Georgia"/>
                <w:b/>
                <w:sz w:val="24"/>
              </w:rPr>
              <w:t>6%</w:t>
            </w:r>
          </w:p>
        </w:tc>
        <w:tc>
          <w:tcPr>
            <w:tcW w:w="4041" w:type="dxa"/>
            <w:vAlign w:val="center"/>
          </w:tcPr>
          <w:p w:rsidR="00A74AC3" w:rsidRPr="00201EDB" w:rsidRDefault="00A74AC3" w:rsidP="00201EDB">
            <w:pPr>
              <w:pStyle w:val="TableText"/>
              <w:ind w:left="142"/>
              <w:rPr>
                <w:rFonts w:ascii="Georgia" w:eastAsia="Century" w:hAnsi="Georgia" w:cs="Century"/>
                <w:sz w:val="20"/>
              </w:rPr>
            </w:pPr>
            <w:r w:rsidRPr="00201EDB">
              <w:rPr>
                <w:rFonts w:ascii="Georgia" w:hAnsi="Georgia"/>
                <w:sz w:val="20"/>
              </w:rPr>
              <w:t>Injuries (including violence)</w:t>
            </w:r>
          </w:p>
        </w:tc>
      </w:tr>
      <w:tr w:rsidR="00A74AC3" w:rsidRPr="00D94409" w:rsidTr="00201EDB">
        <w:trPr>
          <w:cantSplit/>
        </w:trPr>
        <w:tc>
          <w:tcPr>
            <w:tcW w:w="3354" w:type="dxa"/>
          </w:tcPr>
          <w:p w:rsidR="00A74AC3" w:rsidRPr="00201EDB" w:rsidRDefault="00A74AC3" w:rsidP="00201EDB">
            <w:pPr>
              <w:pStyle w:val="TableText"/>
              <w:rPr>
                <w:rFonts w:ascii="Georgia" w:eastAsia="Century" w:hAnsi="Georgia" w:cs="Century"/>
                <w:sz w:val="20"/>
              </w:rPr>
            </w:pPr>
            <w:r w:rsidRPr="00201EDB">
              <w:rPr>
                <w:rFonts w:ascii="Georgia" w:hAnsi="Georgia"/>
                <w:sz w:val="20"/>
              </w:rPr>
              <w:t>Injuries (including violence)</w:t>
            </w:r>
          </w:p>
        </w:tc>
        <w:tc>
          <w:tcPr>
            <w:tcW w:w="1381" w:type="dxa"/>
          </w:tcPr>
          <w:p w:rsidR="00A74AC3" w:rsidRPr="00201EDB" w:rsidRDefault="00A74AC3" w:rsidP="00201EDB">
            <w:pPr>
              <w:pStyle w:val="TableText"/>
              <w:jc w:val="right"/>
              <w:rPr>
                <w:rFonts w:ascii="Georgia" w:eastAsia="Georgia" w:hAnsi="Georgia" w:cs="Georgia"/>
                <w:sz w:val="24"/>
                <w:szCs w:val="24"/>
              </w:rPr>
            </w:pPr>
            <w:r w:rsidRPr="00201EDB">
              <w:rPr>
                <w:rFonts w:ascii="Georgia" w:hAnsi="Georgia"/>
                <w:b/>
                <w:sz w:val="24"/>
              </w:rPr>
              <w:t>10%</w:t>
            </w:r>
          </w:p>
        </w:tc>
        <w:tc>
          <w:tcPr>
            <w:tcW w:w="288" w:type="dxa"/>
            <w:tcBorders>
              <w:top w:val="nil"/>
              <w:bottom w:val="nil"/>
            </w:tcBorders>
          </w:tcPr>
          <w:p w:rsidR="00A74AC3" w:rsidRPr="00201EDB" w:rsidRDefault="00A74AC3" w:rsidP="00201EDB">
            <w:pPr>
              <w:pStyle w:val="TableText"/>
              <w:rPr>
                <w:rFonts w:ascii="Georgia" w:hAnsi="Georgia"/>
              </w:rPr>
            </w:pPr>
          </w:p>
        </w:tc>
        <w:tc>
          <w:tcPr>
            <w:tcW w:w="647" w:type="dxa"/>
          </w:tcPr>
          <w:p w:rsidR="00A74AC3" w:rsidRPr="00201EDB" w:rsidRDefault="00A74AC3" w:rsidP="00201EDB">
            <w:pPr>
              <w:pStyle w:val="TableText"/>
              <w:jc w:val="right"/>
              <w:rPr>
                <w:rFonts w:ascii="Georgia" w:eastAsia="Georgia" w:hAnsi="Georgia" w:cs="Georgia"/>
                <w:sz w:val="24"/>
                <w:szCs w:val="24"/>
              </w:rPr>
            </w:pPr>
            <w:r w:rsidRPr="00201EDB">
              <w:rPr>
                <w:rFonts w:ascii="Georgia" w:hAnsi="Georgia"/>
                <w:b/>
                <w:sz w:val="24"/>
              </w:rPr>
              <w:t>4%</w:t>
            </w:r>
          </w:p>
        </w:tc>
        <w:tc>
          <w:tcPr>
            <w:tcW w:w="4041" w:type="dxa"/>
          </w:tcPr>
          <w:p w:rsidR="00A74AC3" w:rsidRPr="00201EDB" w:rsidRDefault="00A74AC3" w:rsidP="00201EDB">
            <w:pPr>
              <w:pStyle w:val="TableText"/>
              <w:ind w:left="142"/>
              <w:rPr>
                <w:rFonts w:ascii="Georgia" w:eastAsia="Century" w:hAnsi="Georgia" w:cs="Century"/>
                <w:sz w:val="20"/>
              </w:rPr>
            </w:pPr>
            <w:r w:rsidRPr="00201EDB">
              <w:rPr>
                <w:rFonts w:ascii="Georgia" w:hAnsi="Georgia"/>
                <w:sz w:val="20"/>
              </w:rPr>
              <w:t>Diseases of the nervous system</w:t>
            </w:r>
            <w:r w:rsidR="00201EDB">
              <w:rPr>
                <w:rFonts w:ascii="Georgia" w:hAnsi="Georgia"/>
                <w:sz w:val="20"/>
              </w:rPr>
              <w:br/>
            </w:r>
            <w:r w:rsidRPr="00201EDB">
              <w:rPr>
                <w:rFonts w:ascii="Georgia" w:hAnsi="Georgia"/>
                <w:sz w:val="20"/>
              </w:rPr>
              <w:t>(including Alzheimer</w:t>
            </w:r>
            <w:r w:rsidR="00D94409" w:rsidRPr="00201EDB">
              <w:rPr>
                <w:rFonts w:ascii="Georgia" w:hAnsi="Georgia"/>
                <w:sz w:val="20"/>
              </w:rPr>
              <w:t>’</w:t>
            </w:r>
            <w:r w:rsidRPr="00201EDB">
              <w:rPr>
                <w:rFonts w:ascii="Georgia" w:hAnsi="Georgia"/>
                <w:sz w:val="20"/>
              </w:rPr>
              <w:t>s)</w:t>
            </w:r>
          </w:p>
        </w:tc>
      </w:tr>
    </w:tbl>
    <w:p w:rsidR="00A74AC3" w:rsidRPr="00D94409" w:rsidRDefault="00A74AC3" w:rsidP="00201EDB">
      <w:pPr>
        <w:rPr>
          <w:rFonts w:eastAsia="Georgia"/>
        </w:rPr>
      </w:pPr>
    </w:p>
    <w:p w:rsidR="00A74AC3" w:rsidRDefault="00201EDB" w:rsidP="00201EDB">
      <w:pPr>
        <w:pStyle w:val="Figure"/>
      </w:pPr>
      <w:bookmarkStart w:id="15" w:name="_Toc433234112"/>
      <w:r>
        <w:lastRenderedPageBreak/>
        <w:t>F</w:t>
      </w:r>
      <w:r w:rsidR="00A74AC3" w:rsidRPr="00D94409">
        <w:t>igure 3: Number of deaths and registrations for the top 10 causes of cancer death in New Zealand, 2012</w:t>
      </w:r>
      <w:bookmarkEnd w:id="15"/>
    </w:p>
    <w:p w:rsidR="00201EDB" w:rsidRPr="00201EDB" w:rsidRDefault="00201EDB" w:rsidP="00201EDB">
      <w:pPr>
        <w:rPr>
          <w:rFonts w:eastAsia="Palatino Linotype"/>
        </w:rPr>
      </w:pPr>
      <w:r>
        <w:rPr>
          <w:noProof/>
          <w:lang w:eastAsia="en-NZ"/>
        </w:rPr>
        <w:drawing>
          <wp:inline distT="0" distB="0" distL="0" distR="0" wp14:anchorId="04E53AA3" wp14:editId="3A71D71E">
            <wp:extent cx="5940425" cy="3842236"/>
            <wp:effectExtent l="0" t="0" r="3175" b="6350"/>
            <wp:docPr id="14" name="Picture 14" title="Figure 3: Number of deaths and registrations for the top 10 causes of cancer death in New Zealand,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grayscl/>
                    </a:blip>
                    <a:stretch>
                      <a:fillRect/>
                    </a:stretch>
                  </pic:blipFill>
                  <pic:spPr>
                    <a:xfrm>
                      <a:off x="0" y="0"/>
                      <a:ext cx="5940425" cy="3842236"/>
                    </a:xfrm>
                    <a:prstGeom prst="rect">
                      <a:avLst/>
                    </a:prstGeom>
                  </pic:spPr>
                </pic:pic>
              </a:graphicData>
            </a:graphic>
          </wp:inline>
        </w:drawing>
      </w:r>
    </w:p>
    <w:p w:rsidR="00A74AC3" w:rsidRPr="00D94409" w:rsidRDefault="00A74AC3" w:rsidP="00201EDB">
      <w:pPr>
        <w:pStyle w:val="Source"/>
        <w:ind w:right="0"/>
        <w:rPr>
          <w:rFonts w:eastAsia="Century" w:hAnsi="Century" w:cs="Century"/>
          <w:szCs w:val="17"/>
        </w:rPr>
      </w:pPr>
      <w:r w:rsidRPr="00D94409">
        <w:t>Source: New Zealand Cancer Registry and the Mortality Collection, Ministry of Health</w:t>
      </w:r>
    </w:p>
    <w:p w:rsidR="00A74AC3" w:rsidRPr="00D94409" w:rsidRDefault="00A74AC3" w:rsidP="00201EDB">
      <w:pPr>
        <w:rPr>
          <w:rFonts w:eastAsia="Century"/>
        </w:rPr>
      </w:pPr>
    </w:p>
    <w:p w:rsidR="00A74AC3" w:rsidRPr="00D94409" w:rsidRDefault="00A74AC3" w:rsidP="00ED25C2">
      <w:r w:rsidRPr="00D94409">
        <w:t xml:space="preserve">Fifteen percent of all health loss is due to cardiovascular disease. The term </w:t>
      </w:r>
      <w:r w:rsidR="00D94409" w:rsidRPr="00D94409">
        <w:t>‘</w:t>
      </w:r>
      <w:r w:rsidRPr="00D94409">
        <w:t>cardiovascular disease</w:t>
      </w:r>
      <w:r w:rsidR="00D94409" w:rsidRPr="00D94409">
        <w:t>’</w:t>
      </w:r>
      <w:r w:rsidRPr="00D94409">
        <w:t xml:space="preserve"> covers a range of diseases related to the circulatory system, including ischaemic heart disease (or coronary heart disease) and cerebrovascular disease (or stroke). Ischaemic heart disease is responsible for 8 percent of total health loss and stroke for 3 percent.</w:t>
      </w:r>
    </w:p>
    <w:p w:rsidR="00A74AC3" w:rsidRPr="00D94409" w:rsidRDefault="00A74AC3" w:rsidP="00ED25C2">
      <w:pPr>
        <w:rPr>
          <w:rFonts w:eastAsia="Century"/>
        </w:rPr>
      </w:pPr>
    </w:p>
    <w:p w:rsidR="00A74AC3" w:rsidRPr="00D94409" w:rsidRDefault="00A74AC3" w:rsidP="00ED25C2">
      <w:r w:rsidRPr="00D94409">
        <w:t>Cardiovascular disease is the leading cause of death in New Zealand, accounting for a third of deaths in 2012. However, the age-standardised death rate has decreased from 183 per 100,000 New Zealanders in 2000 to 118 per 100,000 in 2012.</w:t>
      </w:r>
    </w:p>
    <w:p w:rsidR="00A74AC3" w:rsidRPr="00D94409" w:rsidRDefault="00A74AC3" w:rsidP="00ED25C2">
      <w:pPr>
        <w:rPr>
          <w:rFonts w:eastAsia="Century"/>
        </w:rPr>
      </w:pPr>
    </w:p>
    <w:p w:rsidR="00A74AC3" w:rsidRPr="00D94409" w:rsidRDefault="00A74AC3" w:rsidP="00ED25C2">
      <w:r w:rsidRPr="00D94409">
        <w:t>Mental health disorders (including major depressive disorder, anxiety disorders, substance use disorders and conduct</w:t>
      </w:r>
      <w:r w:rsidR="00ED25C2">
        <w:t xml:space="preserve"> </w:t>
      </w:r>
      <w:r w:rsidRPr="00D94409">
        <w:t>disorder) account for 14 percent of health loss. Mental health disorders are the leading cause of health loss in children aged 5–14 years and in adults aged 15–49 years. Major depressive disorders account for 4 percent of health loss, with substance use disorders responsible for 3 percent and anxiety for</w:t>
      </w:r>
      <w:r w:rsidR="00ED25C2">
        <w:t xml:space="preserve"> </w:t>
      </w:r>
      <w:r w:rsidRPr="00D94409">
        <w:t>2 percent.</w:t>
      </w:r>
    </w:p>
    <w:p w:rsidR="00A74AC3" w:rsidRPr="00D94409" w:rsidRDefault="00743A56" w:rsidP="00ED25C2">
      <w:pPr>
        <w:rPr>
          <w:rFonts w:eastAsia="Century"/>
        </w:rPr>
      </w:pPr>
      <w:r>
        <w:rPr>
          <w:noProof/>
          <w:lang w:eastAsia="en-NZ"/>
        </w:rPr>
        <mc:AlternateContent>
          <mc:Choice Requires="wpg">
            <w:drawing>
              <wp:anchor distT="0" distB="0" distL="114300" distR="114300" simplePos="0" relativeHeight="251808768" behindDoc="0" locked="0" layoutInCell="1" allowOverlap="1" wp14:anchorId="690C9093" wp14:editId="22133F7B">
                <wp:simplePos x="0" y="0"/>
                <wp:positionH relativeFrom="column">
                  <wp:posOffset>3452495</wp:posOffset>
                </wp:positionH>
                <wp:positionV relativeFrom="paragraph">
                  <wp:posOffset>34925</wp:posOffset>
                </wp:positionV>
                <wp:extent cx="2516505" cy="1803400"/>
                <wp:effectExtent l="0" t="0" r="17145" b="25400"/>
                <wp:wrapSquare wrapText="bothSides"/>
                <wp:docPr id="1835" name="Group 1835"/>
                <wp:cNvGraphicFramePr/>
                <a:graphic xmlns:a="http://schemas.openxmlformats.org/drawingml/2006/main">
                  <a:graphicData uri="http://schemas.microsoft.com/office/word/2010/wordprocessingGroup">
                    <wpg:wgp>
                      <wpg:cNvGrpSpPr/>
                      <wpg:grpSpPr>
                        <a:xfrm>
                          <a:off x="0" y="0"/>
                          <a:ext cx="2516505" cy="1803400"/>
                          <a:chOff x="0" y="0"/>
                          <a:chExt cx="2516563" cy="1803862"/>
                        </a:xfrm>
                      </wpg:grpSpPr>
                      <wpg:grpSp>
                        <wpg:cNvPr id="1834" name="Group 1834"/>
                        <wpg:cNvGrpSpPr/>
                        <wpg:grpSpPr>
                          <a:xfrm>
                            <a:off x="8313" y="0"/>
                            <a:ext cx="2508250" cy="1795145"/>
                            <a:chOff x="0" y="0"/>
                            <a:chExt cx="2508839" cy="1795145"/>
                          </a:xfrm>
                        </wpg:grpSpPr>
                        <wps:wsp>
                          <wps:cNvPr id="17" name="Rectangle 17"/>
                          <wps:cNvSpPr/>
                          <wps:spPr>
                            <a:xfrm>
                              <a:off x="0" y="0"/>
                              <a:ext cx="2508839" cy="1795145"/>
                            </a:xfrm>
                            <a:prstGeom prst="rect">
                              <a:avLst/>
                            </a:prstGeom>
                            <a:solidFill>
                              <a:schemeClr val="bg1">
                                <a:lumMod val="8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0380" w:rsidRDefault="00880380" w:rsidP="00ED25C2">
                                <w:pPr>
                                  <w:spacing w:before="120" w:after="120"/>
                                  <w:jc w:val="center"/>
                                  <w:rPr>
                                    <w:color w:val="000000"/>
                                    <w:szCs w:val="22"/>
                                  </w:rPr>
                                </w:pPr>
                                <w:r>
                                  <w:rPr>
                                    <w:color w:val="000000"/>
                                    <w:szCs w:val="22"/>
                                  </w:rPr>
                                  <w:t xml:space="preserve">Explore New Zealand’s data from the </w:t>
                                </w:r>
                                <w:r>
                                  <w:rPr>
                                    <w:i/>
                                    <w:color w:val="000000"/>
                                    <w:szCs w:val="22"/>
                                  </w:rPr>
                                  <w:t xml:space="preserve">Global Burden of Disease Study </w:t>
                                </w:r>
                                <w:r>
                                  <w:rPr>
                                    <w:color w:val="000000"/>
                                    <w:szCs w:val="22"/>
                                  </w:rPr>
                                  <w:t>at http://vizhub.healthdata.org/</w:t>
                                </w:r>
                                <w:r>
                                  <w:rPr>
                                    <w:color w:val="000000"/>
                                    <w:szCs w:val="22"/>
                                  </w:rPr>
                                  <w:br/>
                                </w:r>
                                <w:proofErr w:type="spellStart"/>
                                <w:r>
                                  <w:rPr>
                                    <w:color w:val="000000"/>
                                    <w:szCs w:val="22"/>
                                  </w:rPr>
                                  <w:t>gbd</w:t>
                                </w:r>
                                <w:proofErr w:type="spellEnd"/>
                                <w:r>
                                  <w:rPr>
                                    <w:color w:val="000000"/>
                                    <w:szCs w:val="22"/>
                                  </w:rPr>
                                  <w:t>-compare</w:t>
                                </w:r>
                              </w:p>
                              <w:p w:rsidR="00880380" w:rsidRPr="00ED25C2" w:rsidRDefault="00880380" w:rsidP="00ED25C2">
                                <w:pPr>
                                  <w:spacing w:before="120" w:after="120"/>
                                  <w:jc w:val="center"/>
                                  <w:rPr>
                                    <w:color w:val="000000"/>
                                    <w:szCs w:val="22"/>
                                  </w:rPr>
                                </w:pPr>
                                <w:r>
                                  <w:rPr>
                                    <w:color w:val="000000"/>
                                    <w:szCs w:val="22"/>
                                  </w:rPr>
                                  <w:t xml:space="preserve">Ethnicity data </w:t>
                                </w:r>
                                <w:proofErr w:type="spellStart"/>
                                <w:r>
                                  <w:rPr>
                                    <w:color w:val="000000"/>
                                    <w:szCs w:val="22"/>
                                  </w:rPr>
                                  <w:t>area</w:t>
                                </w:r>
                                <w:proofErr w:type="spellEnd"/>
                                <w:r>
                                  <w:rPr>
                                    <w:color w:val="000000"/>
                                    <w:szCs w:val="22"/>
                                  </w:rPr>
                                  <w:t xml:space="preserve"> available from the </w:t>
                                </w:r>
                                <w:r>
                                  <w:rPr>
                                    <w:i/>
                                    <w:color w:val="000000"/>
                                    <w:szCs w:val="22"/>
                                  </w:rPr>
                                  <w:t>2006 New Zealand Burden of Disease Study</w:t>
                                </w:r>
                                <w:r>
                                  <w:rPr>
                                    <w:color w:val="000000"/>
                                    <w:szCs w:val="22"/>
                                  </w:rPr>
                                  <w:br/>
                                  <w:t>www.health.govt.nz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2" name="Straight Connector 1832"/>
                          <wps:cNvCnPr/>
                          <wps:spPr>
                            <a:xfrm>
                              <a:off x="0" y="16625"/>
                              <a:ext cx="250883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833" name="Straight Connector 1833"/>
                        <wps:cNvCnPr/>
                        <wps:spPr>
                          <a:xfrm>
                            <a:off x="0" y="1803862"/>
                            <a:ext cx="251523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835" o:spid="_x0000_s1046" style="position:absolute;margin-left:271.85pt;margin-top:2.75pt;width:198.15pt;height:142pt;z-index:251808768" coordsize="25165,18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">
                <v:group id="Group 1834" o:spid="_x0000_s1047" style="position:absolute;left:83;width:25082;height:17951" coordsize="25088,17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P87sUAAADdAAAADwAAAGRycy9kb3ducmV2LnhtbERPS2vCQBC+F/wPywi9&#10;1U1MWyR1FQm29BCEqiC9DdkxCWZnQ3abx7/vFoTe5uN7zno7mkb01LnasoJ4EYEgLqyuuVRwPr0/&#10;rUA4j6yxsUwKJnKw3cwe1phqO/AX9UdfihDCLkUFlfdtKqUrKjLoFrYlDtzVdgZ9gF0pdYdDCDeN&#10;XEbRqzRYc2iosKWsouJ2/DEKPgYcdkm87/PbNZu+Ty+HSx6TUo/zcfcGwtPo/8V396cO81fJ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T/O7FAAAA3QAA&#10;AA8AAAAAAAAAAAAAAAAAqgIAAGRycy9kb3ducmV2LnhtbFBLBQYAAAAABAAEAPoAAACcAwAAAAA=&#10;">
                  <v:rect id="Rectangle 17" o:spid="_x0000_s1048" style="position:absolute;width:25088;height:17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Dx9MAA&#10;AADbAAAADwAAAGRycy9kb3ducmV2LnhtbERPzWrCQBC+F/oOyxS8NZt60BBdRQQhhV7UPMCwOybB&#10;7GzY3SaxT98VCr3Nx/c72/1sezGSD51jBR9ZDoJYO9Nxo6C+nt4LECEiG+wdk4IHBdjvXl+2WBo3&#10;8ZnGS2xECuFQooI2xqGUMuiWLIbMDcSJuzlvMSboG2k8Tinc9nKZ5ytpsePU0OJAx5b0/fJtFRzq&#10;x60Yu897xbqafnT91WhfKLV4mw8bEJHm+C/+c1cmzV/D85d0gN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6Dx9MAAAADbAAAADwAAAAAAAAAAAAAAAACYAgAAZHJzL2Rvd25y&#10;ZXYueG1sUEsFBgAAAAAEAAQA9QAAAIUDAAAAAA==&#10;" fillcolor="#d8d8d8 [2732]" stroked="f" strokeweight=".5pt">
                    <v:textbox>
                      <w:txbxContent>
                        <w:p w:rsidR="00880380" w:rsidRDefault="00880380" w:rsidP="00ED25C2">
                          <w:pPr>
                            <w:spacing w:before="120" w:after="120"/>
                            <w:jc w:val="center"/>
                            <w:rPr>
                              <w:color w:val="000000"/>
                              <w:szCs w:val="22"/>
                            </w:rPr>
                          </w:pPr>
                          <w:r>
                            <w:rPr>
                              <w:color w:val="000000"/>
                              <w:szCs w:val="22"/>
                            </w:rPr>
                            <w:t xml:space="preserve">Explore New Zealand’s data from the </w:t>
                          </w:r>
                          <w:r>
                            <w:rPr>
                              <w:i/>
                              <w:color w:val="000000"/>
                              <w:szCs w:val="22"/>
                            </w:rPr>
                            <w:t xml:space="preserve">Global Burden of Disease Study </w:t>
                          </w:r>
                          <w:r>
                            <w:rPr>
                              <w:color w:val="000000"/>
                              <w:szCs w:val="22"/>
                            </w:rPr>
                            <w:t>at http://vizhub.healthdata.org/</w:t>
                          </w:r>
                          <w:r>
                            <w:rPr>
                              <w:color w:val="000000"/>
                              <w:szCs w:val="22"/>
                            </w:rPr>
                            <w:br/>
                            <w:t>gbd-compare</w:t>
                          </w:r>
                        </w:p>
                        <w:p w:rsidR="00880380" w:rsidRPr="00ED25C2" w:rsidRDefault="00880380" w:rsidP="00ED25C2">
                          <w:pPr>
                            <w:spacing w:before="120" w:after="120"/>
                            <w:jc w:val="center"/>
                            <w:rPr>
                              <w:color w:val="000000"/>
                              <w:szCs w:val="22"/>
                            </w:rPr>
                          </w:pPr>
                          <w:r>
                            <w:rPr>
                              <w:color w:val="000000"/>
                              <w:szCs w:val="22"/>
                            </w:rPr>
                            <w:t xml:space="preserve">Ethnicity data area available from the </w:t>
                          </w:r>
                          <w:r>
                            <w:rPr>
                              <w:i/>
                              <w:color w:val="000000"/>
                              <w:szCs w:val="22"/>
                            </w:rPr>
                            <w:t>2006 New Zealand Burden of Disease Study</w:t>
                          </w:r>
                          <w:r>
                            <w:rPr>
                              <w:color w:val="000000"/>
                              <w:szCs w:val="22"/>
                            </w:rPr>
                            <w:br/>
                            <w:t>www.health.govt.nz</w:t>
                          </w:r>
                        </w:p>
                      </w:txbxContent>
                    </v:textbox>
                  </v:rect>
                  <v:line id="Straight Connector 1832" o:spid="_x0000_s1049" style="position:absolute;visibility:visible;mso-wrap-style:square" from="0,166" to="25088,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mUuMIAAADdAAAADwAAAGRycy9kb3ducmV2LnhtbERP3WrCMBS+H/gO4QjezdQKRapRRHCU&#10;MdZZfYBDc2yLzUlJonZvvwwGuzsf3+/Z7EbTiwc531lWsJgnIIhrqztuFFzOx9cVCB+QNfaWScE3&#10;edhtJy8bzLV98okeVWhEDGGfo4I2hCGX0tctGfRzOxBH7mqdwRCha6R2+IzhppdpkmTSYMexocWB&#10;Di3Vt+puFLhP9+bKe1a+N7K46stXlQwfB6Vm03G/BhFoDP/iP3eh4/zVMoXfb+IJ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mUuMIAAADdAAAADwAAAAAAAAAAAAAA&#10;AAChAgAAZHJzL2Rvd25yZXYueG1sUEsFBgAAAAAEAAQA+QAAAJADAAAAAA==&#10;" strokecolor="black [3213]" strokeweight="4.5pt"/>
                </v:group>
                <v:line id="Straight Connector 1833" o:spid="_x0000_s1050" style="position:absolute;visibility:visible;mso-wrap-style:square" from="0,18038" to="25152,18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ddxcEAAADdAAAADwAAAGRycy9kb3ducmV2LnhtbERPTYvCMBC9C/6HMMLeNFVhka5RXEHX&#10;61Y9eBua2aZsMylJarv/fiMI3ubxPme9HWwj7uRD7VjBfJaBIC6drrlScDkfpisQISJrbByTgj8K&#10;sN2MR2vMtev5m+5FrEQK4ZCjAhNjm0sZSkMWw8y1xIn7cd5iTNBXUnvsU7ht5CLL3qXFmlODwZb2&#10;hsrforMKbt1n9F9nueuLYX80i0NTdu6q1Ntk2H2AiDTEl/jpPuk0f7VcwuObdIL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113FwQAAAN0AAAAPAAAAAAAAAAAAAAAA&#10;AKECAABkcnMvZG93bnJldi54bWxQSwUGAAAAAAQABAD5AAAAjwMAAAAA&#10;" strokecolor="black [3213]" strokeweight="1.5pt"/>
                <w10:wrap type="square"/>
              </v:group>
            </w:pict>
          </mc:Fallback>
        </mc:AlternateContent>
      </w:r>
    </w:p>
    <w:p w:rsidR="00A74AC3" w:rsidRPr="00D94409" w:rsidRDefault="00A74AC3" w:rsidP="00ED25C2">
      <w:r w:rsidRPr="00D94409">
        <w:t>Musculoskeletal disorders include low back pain, neck pain and arthritis. Fourteen percent of health loss is due to musculoskeletal disorders, half of which is from low back pain.</w:t>
      </w:r>
    </w:p>
    <w:p w:rsidR="00A74AC3" w:rsidRPr="00D94409" w:rsidRDefault="00A74AC3" w:rsidP="00ED25C2">
      <w:pPr>
        <w:rPr>
          <w:rFonts w:eastAsia="Century"/>
        </w:rPr>
      </w:pPr>
    </w:p>
    <w:p w:rsidR="00A74AC3" w:rsidRPr="00D94409" w:rsidRDefault="00A74AC3" w:rsidP="00ED25C2">
      <w:r w:rsidRPr="00D94409">
        <w:t>Injuries, including violence, account for 10 percent of health loss. Transport injury (3 percent of total health loss), falls (3 percent) and self-harm and violence (2</w:t>
      </w:r>
      <w:r w:rsidR="00ED25C2">
        <w:t> </w:t>
      </w:r>
      <w:r w:rsidRPr="00D94409">
        <w:t>percent) are the leading causes of injury- related health loss.</w:t>
      </w:r>
    </w:p>
    <w:p w:rsidR="00A74AC3" w:rsidRPr="00D94409" w:rsidRDefault="00A74AC3" w:rsidP="00ED25C2">
      <w:pPr>
        <w:rPr>
          <w:rFonts w:eastAsia="Century"/>
        </w:rPr>
      </w:pPr>
    </w:p>
    <w:p w:rsidR="00A74AC3" w:rsidRDefault="00A74AC3" w:rsidP="00743A56">
      <w:pPr>
        <w:pStyle w:val="Figure"/>
      </w:pPr>
      <w:bookmarkStart w:id="16" w:name="_Toc433234113"/>
      <w:r w:rsidRPr="00D94409">
        <w:lastRenderedPageBreak/>
        <w:t>Figure 4: Health loss in New Zealand (% of total Disability Adjusted Life Years) by condition, 2010</w:t>
      </w:r>
      <w:bookmarkEnd w:id="16"/>
    </w:p>
    <w:p w:rsidR="00743A56" w:rsidRPr="00743A56" w:rsidRDefault="00743A56" w:rsidP="00743A56">
      <w:pPr>
        <w:rPr>
          <w:rFonts w:eastAsia="Palatino Linotype"/>
        </w:rPr>
      </w:pPr>
      <w:r>
        <w:rPr>
          <w:noProof/>
          <w:lang w:eastAsia="en-NZ"/>
        </w:rPr>
        <w:drawing>
          <wp:inline distT="0" distB="0" distL="0" distR="0" wp14:anchorId="01D2FBF6" wp14:editId="1618B2BC">
            <wp:extent cx="5478087" cy="8560671"/>
            <wp:effectExtent l="0" t="0" r="8890" b="0"/>
            <wp:docPr id="1836" name="Picture 1836" title="Figure 4: Health loss in New Zealand (% of total Disability Adjusted Life Years) by condition,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grayscl/>
                    </a:blip>
                    <a:srcRect t="2537" r="1311"/>
                    <a:stretch/>
                  </pic:blipFill>
                  <pic:spPr bwMode="auto">
                    <a:xfrm>
                      <a:off x="0" y="0"/>
                      <a:ext cx="5480741" cy="8564818"/>
                    </a:xfrm>
                    <a:prstGeom prst="rect">
                      <a:avLst/>
                    </a:prstGeom>
                    <a:ln>
                      <a:noFill/>
                    </a:ln>
                    <a:extLst>
                      <a:ext uri="{53640926-AAD7-44D8-BBD7-CCE9431645EC}">
                        <a14:shadowObscured xmlns:a14="http://schemas.microsoft.com/office/drawing/2010/main"/>
                      </a:ext>
                    </a:extLst>
                  </pic:spPr>
                </pic:pic>
              </a:graphicData>
            </a:graphic>
          </wp:inline>
        </w:drawing>
      </w:r>
    </w:p>
    <w:p w:rsidR="00A74AC3" w:rsidRPr="00D94409" w:rsidRDefault="00A74AC3" w:rsidP="00743A56">
      <w:pPr>
        <w:pStyle w:val="Note"/>
        <w:ind w:right="567"/>
        <w:rPr>
          <w:rFonts w:eastAsia="Century" w:hAnsi="Century" w:cs="Century"/>
          <w:szCs w:val="18"/>
        </w:rPr>
      </w:pPr>
      <w:r w:rsidRPr="00D94409">
        <w:t>Source: Global Burden of Disease Study 2010 (IHME 2013)</w:t>
      </w:r>
    </w:p>
    <w:p w:rsidR="00A74AC3" w:rsidRPr="00D94409" w:rsidRDefault="00A74AC3" w:rsidP="00743A56">
      <w:pPr>
        <w:rPr>
          <w:rFonts w:eastAsia="Century"/>
        </w:rPr>
      </w:pPr>
    </w:p>
    <w:p w:rsidR="00A74AC3" w:rsidRPr="00D94409" w:rsidRDefault="00A74AC3" w:rsidP="00743A56">
      <w:pPr>
        <w:pStyle w:val="Heading3"/>
        <w:rPr>
          <w:rFonts w:eastAsia="Georgia" w:cs="Georgia"/>
          <w:szCs w:val="28"/>
        </w:rPr>
      </w:pPr>
      <w:bookmarkStart w:id="17" w:name="Looking_after_our_health"/>
      <w:bookmarkEnd w:id="17"/>
      <w:r w:rsidRPr="00D94409">
        <w:lastRenderedPageBreak/>
        <w:t>Health loss has changed considerably over the last two decades</w:t>
      </w:r>
    </w:p>
    <w:p w:rsidR="00A74AC3" w:rsidRPr="00D94409" w:rsidRDefault="00A74AC3" w:rsidP="00743A56">
      <w:r w:rsidRPr="00D94409">
        <w:t>Over the last 20 years, total annual health loss in New Zealand has fallen by almost a quarter</w:t>
      </w:r>
      <w:r w:rsidR="00743A56">
        <w:rPr>
          <w:rStyle w:val="FootnoteReference"/>
        </w:rPr>
        <w:footnoteReference w:id="6"/>
      </w:r>
      <w:r w:rsidR="00743A56">
        <w:t xml:space="preserve"> </w:t>
      </w:r>
      <w:r w:rsidRPr="00D94409">
        <w:t>(Institute for Health Metrics and Evaluation 2013). This decline is due to a 40 percent drop in fatal health loss.</w:t>
      </w:r>
      <w:r w:rsidR="00743A56">
        <w:t xml:space="preserve"> </w:t>
      </w:r>
      <w:r w:rsidRPr="00D94409">
        <w:t>Non-fatal health loss caused by disability has remained stable, and is now responsible for over half of all health loss in New Zealand.</w:t>
      </w:r>
    </w:p>
    <w:p w:rsidR="00A74AC3" w:rsidRPr="00D94409" w:rsidRDefault="00A74AC3" w:rsidP="00743A56">
      <w:pPr>
        <w:rPr>
          <w:rFonts w:eastAsia="Century"/>
        </w:rPr>
      </w:pPr>
    </w:p>
    <w:p w:rsidR="00A74AC3" w:rsidRPr="00D94409" w:rsidRDefault="00A74AC3" w:rsidP="00743A56">
      <w:r w:rsidRPr="00D94409">
        <w:t>Health loss related to cardiovascular disease has fallen steeply over the last 20 years (Figure 5). This reflects a large decline in the cardiovascular disease death rate, achieved through improved treatment and healthier lifestyles. Health loss from cancer and injury has also decreased over this period.</w:t>
      </w:r>
    </w:p>
    <w:p w:rsidR="00A74AC3" w:rsidRPr="00D94409" w:rsidRDefault="00A74AC3" w:rsidP="00743A56">
      <w:pPr>
        <w:rPr>
          <w:rFonts w:eastAsia="Century"/>
        </w:rPr>
      </w:pPr>
    </w:p>
    <w:p w:rsidR="00A74AC3" w:rsidRPr="00D94409" w:rsidRDefault="00A74AC3" w:rsidP="00743A56">
      <w:r w:rsidRPr="00D94409">
        <w:t>In contrast, health loss from mental and musculoskeletal disorders has remained stable over the last 20 years.</w:t>
      </w:r>
    </w:p>
    <w:p w:rsidR="00A74AC3" w:rsidRPr="00D94409" w:rsidRDefault="00A74AC3" w:rsidP="00743A56">
      <w:pPr>
        <w:rPr>
          <w:rFonts w:eastAsia="Century"/>
        </w:rPr>
      </w:pPr>
    </w:p>
    <w:p w:rsidR="00A74AC3" w:rsidRDefault="00A74AC3" w:rsidP="00743A56">
      <w:pPr>
        <w:pStyle w:val="Figure"/>
        <w:rPr>
          <w:rFonts w:eastAsia="Palatino Linotype"/>
        </w:rPr>
      </w:pPr>
      <w:bookmarkStart w:id="18" w:name="_Toc433234114"/>
      <w:r w:rsidRPr="00D94409">
        <w:rPr>
          <w:rFonts w:eastAsia="Palatino Linotype"/>
        </w:rPr>
        <w:t>Figure 5: Trends in age-standardised DALY rate caused by selected health conditions, 1990–2010</w:t>
      </w:r>
      <w:bookmarkEnd w:id="18"/>
    </w:p>
    <w:p w:rsidR="00743A56" w:rsidRPr="00743A56" w:rsidRDefault="00743A56" w:rsidP="00743A56">
      <w:pPr>
        <w:rPr>
          <w:rFonts w:eastAsia="Palatino Linotype"/>
        </w:rPr>
      </w:pPr>
      <w:r>
        <w:rPr>
          <w:noProof/>
          <w:lang w:eastAsia="en-NZ"/>
        </w:rPr>
        <w:drawing>
          <wp:inline distT="0" distB="0" distL="0" distR="0" wp14:anchorId="5BB85EEB" wp14:editId="4E6ABAE8">
            <wp:extent cx="4330931" cy="2395430"/>
            <wp:effectExtent l="0" t="0" r="0" b="5080"/>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grayscl/>
                    </a:blip>
                    <a:stretch>
                      <a:fillRect/>
                    </a:stretch>
                  </pic:blipFill>
                  <pic:spPr>
                    <a:xfrm>
                      <a:off x="0" y="0"/>
                      <a:ext cx="4333717" cy="2396971"/>
                    </a:xfrm>
                    <a:prstGeom prst="rect">
                      <a:avLst/>
                    </a:prstGeom>
                  </pic:spPr>
                </pic:pic>
              </a:graphicData>
            </a:graphic>
          </wp:inline>
        </w:drawing>
      </w:r>
    </w:p>
    <w:p w:rsidR="00A74AC3" w:rsidRPr="00D94409" w:rsidRDefault="00A74AC3" w:rsidP="00743A56">
      <w:pPr>
        <w:pStyle w:val="Source"/>
        <w:rPr>
          <w:rFonts w:eastAsia="Century" w:hAnsi="Century" w:cs="Century"/>
          <w:szCs w:val="18"/>
        </w:rPr>
      </w:pPr>
      <w:r w:rsidRPr="00D94409">
        <w:t>Source: Global Burden of Disease Study 2010 (IHME 2013)</w:t>
      </w:r>
    </w:p>
    <w:p w:rsidR="00A74AC3" w:rsidRPr="00D94409" w:rsidRDefault="00A74AC3" w:rsidP="00743A56">
      <w:pPr>
        <w:rPr>
          <w:rFonts w:eastAsia="Century"/>
        </w:rPr>
      </w:pPr>
    </w:p>
    <w:p w:rsidR="00A74AC3" w:rsidRPr="00D94409" w:rsidRDefault="00A74AC3" w:rsidP="00743A56">
      <w:pPr>
        <w:pStyle w:val="Heading2"/>
        <w:rPr>
          <w:rFonts w:eastAsia="Georgia" w:cs="Georgia"/>
          <w:bCs/>
        </w:rPr>
      </w:pPr>
      <w:bookmarkStart w:id="19" w:name="_Toc433234088"/>
      <w:r w:rsidRPr="00D94409">
        <w:t>Looking after our health</w:t>
      </w:r>
      <w:bookmarkEnd w:id="19"/>
    </w:p>
    <w:p w:rsidR="00A74AC3" w:rsidRPr="00D94409" w:rsidRDefault="00A74AC3" w:rsidP="00743A56">
      <w:r w:rsidRPr="00D94409">
        <w:t>Much of the health loss that New Zealanders experience is due to their behaviours and risk factors that affect health, including smoking, excess alcohol intake, not maintaining a healthy weight, poor nutrition and physical inactivity. While some of this health loss is not preventable, leading a healthy lifestyle can reduce our risk of future ill health.</w:t>
      </w:r>
    </w:p>
    <w:p w:rsidR="00A74AC3" w:rsidRPr="00D94409" w:rsidRDefault="00A74AC3" w:rsidP="00743A56">
      <w:pPr>
        <w:rPr>
          <w:rFonts w:eastAsia="Century"/>
        </w:rPr>
      </w:pPr>
    </w:p>
    <w:p w:rsidR="00A74AC3" w:rsidRPr="00D94409" w:rsidRDefault="00A74AC3" w:rsidP="00743A56">
      <w:pPr>
        <w:pStyle w:val="Heading3"/>
        <w:rPr>
          <w:bCs/>
        </w:rPr>
      </w:pPr>
      <w:r w:rsidRPr="00D94409">
        <w:t>There are large ethnic and socioeconomic disparities in smoking</w:t>
      </w:r>
    </w:p>
    <w:p w:rsidR="00A74AC3" w:rsidRPr="00D94409" w:rsidRDefault="00A74AC3" w:rsidP="00743A56">
      <w:r w:rsidRPr="00D94409">
        <w:t>Smoking harms nearly every organ and system in the body. It is the main cause of lung cancer and chronic obstructive pulmonary disease (COPD), and a major cause of cardiovascular disease and other cancers. Almost 9 percent of total health loss in New Zealand is due to smoking.</w:t>
      </w:r>
    </w:p>
    <w:p w:rsidR="00A74AC3" w:rsidRPr="00D94409" w:rsidRDefault="00A74AC3" w:rsidP="00743A56">
      <w:pPr>
        <w:rPr>
          <w:rFonts w:eastAsia="Century"/>
        </w:rPr>
      </w:pPr>
    </w:p>
    <w:p w:rsidR="00A74AC3" w:rsidRPr="00D94409" w:rsidRDefault="00A74AC3" w:rsidP="00743A56">
      <w:r w:rsidRPr="00D94409">
        <w:t xml:space="preserve">The Government has adopted an ambitious target of achieving a </w:t>
      </w:r>
      <w:proofErr w:type="spellStart"/>
      <w:r w:rsidRPr="00D94409">
        <w:t>smokefree</w:t>
      </w:r>
      <w:proofErr w:type="spellEnd"/>
      <w:r w:rsidRPr="00D94409">
        <w:t xml:space="preserve"> New Zealand by 2025. In 2013/14, 15 percent of adults smoked daily, a fall from 18 percent in 2006/07 (Ministry of Health 2014c).</w:t>
      </w:r>
    </w:p>
    <w:p w:rsidR="00A74AC3" w:rsidRPr="00D94409" w:rsidRDefault="00A74AC3" w:rsidP="00C47FE3">
      <w:pPr>
        <w:rPr>
          <w:rFonts w:eastAsia="Century"/>
        </w:rPr>
      </w:pPr>
    </w:p>
    <w:p w:rsidR="00A74AC3" w:rsidRPr="00D94409" w:rsidRDefault="00C47FE3" w:rsidP="00C47FE3">
      <w:r>
        <w:rPr>
          <w:noProof/>
          <w:lang w:eastAsia="en-NZ"/>
        </w:rPr>
        <w:lastRenderedPageBreak/>
        <mc:AlternateContent>
          <mc:Choice Requires="wps">
            <w:drawing>
              <wp:anchor distT="0" distB="0" distL="0" distR="114300" simplePos="0" relativeHeight="251810816" behindDoc="0" locked="0" layoutInCell="1" allowOverlap="1" wp14:anchorId="020A48BE" wp14:editId="5F954656">
                <wp:simplePos x="0" y="0"/>
                <wp:positionH relativeFrom="column">
                  <wp:posOffset>-3175</wp:posOffset>
                </wp:positionH>
                <wp:positionV relativeFrom="paragraph">
                  <wp:posOffset>33020</wp:posOffset>
                </wp:positionV>
                <wp:extent cx="2508885" cy="3183255"/>
                <wp:effectExtent l="0" t="0" r="5715" b="0"/>
                <wp:wrapSquare wrapText="right"/>
                <wp:docPr id="1838" name="Rectangle 1838"/>
                <wp:cNvGraphicFramePr/>
                <a:graphic xmlns:a="http://schemas.openxmlformats.org/drawingml/2006/main">
                  <a:graphicData uri="http://schemas.microsoft.com/office/word/2010/wordprocessingShape">
                    <wps:wsp>
                      <wps:cNvSpPr/>
                      <wps:spPr>
                        <a:xfrm>
                          <a:off x="0" y="0"/>
                          <a:ext cx="2508885" cy="3183255"/>
                        </a:xfrm>
                        <a:prstGeom prst="rect">
                          <a:avLst/>
                        </a:prstGeom>
                        <a:solidFill>
                          <a:schemeClr val="bg1">
                            <a:lumMod val="8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0380" w:rsidRPr="00C47FE3" w:rsidRDefault="00880380" w:rsidP="00C47FE3">
                            <w:pPr>
                              <w:spacing w:before="120" w:after="120"/>
                              <w:jc w:val="center"/>
                              <w:rPr>
                                <w:color w:val="000000"/>
                                <w:sz w:val="32"/>
                                <w:szCs w:val="32"/>
                              </w:rPr>
                            </w:pPr>
                            <w:r w:rsidRPr="00C47FE3">
                              <w:rPr>
                                <w:color w:val="000000"/>
                                <w:sz w:val="32"/>
                                <w:szCs w:val="32"/>
                              </w:rPr>
                              <w:t>Out of every 100 adults in New </w:t>
                            </w:r>
                            <w:proofErr w:type="gramStart"/>
                            <w:r w:rsidRPr="00C47FE3">
                              <w:rPr>
                                <w:color w:val="000000"/>
                                <w:sz w:val="32"/>
                                <w:szCs w:val="32"/>
                              </w:rPr>
                              <w:t>Zealand ...</w:t>
                            </w:r>
                            <w:proofErr w:type="gramEnd"/>
                          </w:p>
                          <w:p w:rsidR="00880380" w:rsidRDefault="00880380" w:rsidP="00C47FE3">
                            <w:pPr>
                              <w:spacing w:before="120" w:after="120"/>
                              <w:jc w:val="center"/>
                              <w:rPr>
                                <w:color w:val="000000"/>
                                <w:szCs w:val="22"/>
                              </w:rPr>
                            </w:pPr>
                            <w:r w:rsidRPr="00C47FE3">
                              <w:rPr>
                                <w:color w:val="000000"/>
                                <w:sz w:val="32"/>
                                <w:szCs w:val="32"/>
                              </w:rPr>
                              <w:t>15</w:t>
                            </w:r>
                            <w:r>
                              <w:rPr>
                                <w:color w:val="000000"/>
                                <w:szCs w:val="22"/>
                              </w:rPr>
                              <w:t xml:space="preserve"> smoke daily</w:t>
                            </w:r>
                          </w:p>
                          <w:p w:rsidR="00880380" w:rsidRDefault="00880380" w:rsidP="00C47FE3">
                            <w:pPr>
                              <w:spacing w:before="120" w:after="120"/>
                              <w:jc w:val="center"/>
                              <w:rPr>
                                <w:color w:val="000000"/>
                                <w:szCs w:val="22"/>
                              </w:rPr>
                            </w:pPr>
                            <w:r w:rsidRPr="00C47FE3">
                              <w:rPr>
                                <w:color w:val="000000"/>
                                <w:sz w:val="32"/>
                                <w:szCs w:val="32"/>
                              </w:rPr>
                              <w:t>16</w:t>
                            </w:r>
                            <w:r>
                              <w:rPr>
                                <w:color w:val="000000"/>
                                <w:szCs w:val="22"/>
                              </w:rPr>
                              <w:t xml:space="preserve"> are hazardous drinkers</w:t>
                            </w:r>
                          </w:p>
                          <w:p w:rsidR="00880380" w:rsidRDefault="00880380" w:rsidP="00C47FE3">
                            <w:pPr>
                              <w:spacing w:before="120" w:after="120"/>
                              <w:jc w:val="center"/>
                              <w:rPr>
                                <w:color w:val="000000"/>
                                <w:szCs w:val="22"/>
                              </w:rPr>
                            </w:pPr>
                            <w:r w:rsidRPr="00C47FE3">
                              <w:rPr>
                                <w:color w:val="000000"/>
                                <w:sz w:val="32"/>
                                <w:szCs w:val="32"/>
                              </w:rPr>
                              <w:t>59</w:t>
                            </w:r>
                            <w:r>
                              <w:rPr>
                                <w:color w:val="000000"/>
                                <w:szCs w:val="22"/>
                              </w:rPr>
                              <w:t xml:space="preserve"> do not eat the recommended portions of vegetables and fruit</w:t>
                            </w:r>
                          </w:p>
                          <w:p w:rsidR="00880380" w:rsidRDefault="00880380" w:rsidP="00C47FE3">
                            <w:pPr>
                              <w:spacing w:before="120" w:after="120"/>
                              <w:jc w:val="center"/>
                              <w:rPr>
                                <w:color w:val="000000"/>
                                <w:szCs w:val="22"/>
                              </w:rPr>
                            </w:pPr>
                            <w:r w:rsidRPr="00C47FE3">
                              <w:rPr>
                                <w:color w:val="000000"/>
                                <w:sz w:val="32"/>
                                <w:szCs w:val="32"/>
                              </w:rPr>
                              <w:t>14</w:t>
                            </w:r>
                            <w:r>
                              <w:rPr>
                                <w:color w:val="000000"/>
                                <w:szCs w:val="22"/>
                              </w:rPr>
                              <w:t xml:space="preserve"> are physically inactive</w:t>
                            </w:r>
                          </w:p>
                          <w:p w:rsidR="00880380" w:rsidRPr="00ED25C2" w:rsidRDefault="00880380" w:rsidP="00C47FE3">
                            <w:pPr>
                              <w:spacing w:before="120" w:after="120"/>
                              <w:jc w:val="center"/>
                              <w:rPr>
                                <w:color w:val="000000"/>
                                <w:szCs w:val="22"/>
                              </w:rPr>
                            </w:pPr>
                            <w:r w:rsidRPr="00C47FE3">
                              <w:rPr>
                                <w:color w:val="000000"/>
                                <w:sz w:val="32"/>
                                <w:szCs w:val="32"/>
                              </w:rPr>
                              <w:t>30</w:t>
                            </w:r>
                            <w:r>
                              <w:rPr>
                                <w:color w:val="000000"/>
                                <w:szCs w:val="22"/>
                              </w:rPr>
                              <w:t xml:space="preserve"> are obese, including </w:t>
                            </w:r>
                            <w:r w:rsidRPr="00C47FE3">
                              <w:rPr>
                                <w:color w:val="000000"/>
                                <w:sz w:val="32"/>
                                <w:szCs w:val="32"/>
                              </w:rPr>
                              <w:t>5</w:t>
                            </w:r>
                            <w:r>
                              <w:rPr>
                                <w:color w:val="000000"/>
                                <w:szCs w:val="22"/>
                              </w:rPr>
                              <w:t xml:space="preserve"> who are extremely obese</w:t>
                            </w:r>
                          </w:p>
                        </w:txbxContent>
                      </wps:txbx>
                      <wps:bodyPr rot="0" spcFirstLastPara="0" vertOverflow="overflow" horzOverflow="overflow" vert="horz" wrap="square" lIns="91440" tIns="90000" rIns="91440" bIns="9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38" o:spid="_x0000_s1051" style="position:absolute;margin-left:-.25pt;margin-top:2.6pt;width:197.55pt;height:250.65pt;z-index:251810816;visibility:visible;mso-wrap-style:square;mso-width-percent:0;mso-height-percent:0;mso-wrap-distance-left:0;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" fillcolor="#d8d8d8 [2732]" stroked="f" strokeweight=".5pt">
                <v:textbox inset=",2.5mm,,2.5mm">
                  <w:txbxContent>
                    <w:p w:rsidR="00880380" w:rsidRPr="00C47FE3" w:rsidRDefault="00880380" w:rsidP="00C47FE3">
                      <w:pPr>
                        <w:spacing w:before="120" w:after="120"/>
                        <w:jc w:val="center"/>
                        <w:rPr>
                          <w:color w:val="000000"/>
                          <w:sz w:val="32"/>
                          <w:szCs w:val="32"/>
                        </w:rPr>
                      </w:pPr>
                      <w:r w:rsidRPr="00C47FE3">
                        <w:rPr>
                          <w:color w:val="000000"/>
                          <w:sz w:val="32"/>
                          <w:szCs w:val="32"/>
                        </w:rPr>
                        <w:t>Out of every 100 adults in New Zealand ...</w:t>
                      </w:r>
                    </w:p>
                    <w:p w:rsidR="00880380" w:rsidRDefault="00880380" w:rsidP="00C47FE3">
                      <w:pPr>
                        <w:spacing w:before="120" w:after="120"/>
                        <w:jc w:val="center"/>
                        <w:rPr>
                          <w:color w:val="000000"/>
                          <w:szCs w:val="22"/>
                        </w:rPr>
                      </w:pPr>
                      <w:r w:rsidRPr="00C47FE3">
                        <w:rPr>
                          <w:color w:val="000000"/>
                          <w:sz w:val="32"/>
                          <w:szCs w:val="32"/>
                        </w:rPr>
                        <w:t>15</w:t>
                      </w:r>
                      <w:r>
                        <w:rPr>
                          <w:color w:val="000000"/>
                          <w:szCs w:val="22"/>
                        </w:rPr>
                        <w:t xml:space="preserve"> smoke daily</w:t>
                      </w:r>
                    </w:p>
                    <w:p w:rsidR="00880380" w:rsidRDefault="00880380" w:rsidP="00C47FE3">
                      <w:pPr>
                        <w:spacing w:before="120" w:after="120"/>
                        <w:jc w:val="center"/>
                        <w:rPr>
                          <w:color w:val="000000"/>
                          <w:szCs w:val="22"/>
                        </w:rPr>
                      </w:pPr>
                      <w:r w:rsidRPr="00C47FE3">
                        <w:rPr>
                          <w:color w:val="000000"/>
                          <w:sz w:val="32"/>
                          <w:szCs w:val="32"/>
                        </w:rPr>
                        <w:t>16</w:t>
                      </w:r>
                      <w:r>
                        <w:rPr>
                          <w:color w:val="000000"/>
                          <w:szCs w:val="22"/>
                        </w:rPr>
                        <w:t xml:space="preserve"> are hazardous drinkers</w:t>
                      </w:r>
                    </w:p>
                    <w:p w:rsidR="00880380" w:rsidRDefault="00880380" w:rsidP="00C47FE3">
                      <w:pPr>
                        <w:spacing w:before="120" w:after="120"/>
                        <w:jc w:val="center"/>
                        <w:rPr>
                          <w:color w:val="000000"/>
                          <w:szCs w:val="22"/>
                        </w:rPr>
                      </w:pPr>
                      <w:r w:rsidRPr="00C47FE3">
                        <w:rPr>
                          <w:color w:val="000000"/>
                          <w:sz w:val="32"/>
                          <w:szCs w:val="32"/>
                        </w:rPr>
                        <w:t>59</w:t>
                      </w:r>
                      <w:r>
                        <w:rPr>
                          <w:color w:val="000000"/>
                          <w:szCs w:val="22"/>
                        </w:rPr>
                        <w:t xml:space="preserve"> do not eat the recommended portions of vegetables and fruit</w:t>
                      </w:r>
                    </w:p>
                    <w:p w:rsidR="00880380" w:rsidRDefault="00880380" w:rsidP="00C47FE3">
                      <w:pPr>
                        <w:spacing w:before="120" w:after="120"/>
                        <w:jc w:val="center"/>
                        <w:rPr>
                          <w:color w:val="000000"/>
                          <w:szCs w:val="22"/>
                        </w:rPr>
                      </w:pPr>
                      <w:r w:rsidRPr="00C47FE3">
                        <w:rPr>
                          <w:color w:val="000000"/>
                          <w:sz w:val="32"/>
                          <w:szCs w:val="32"/>
                        </w:rPr>
                        <w:t>14</w:t>
                      </w:r>
                      <w:r>
                        <w:rPr>
                          <w:color w:val="000000"/>
                          <w:szCs w:val="22"/>
                        </w:rPr>
                        <w:t xml:space="preserve"> are physically inactive</w:t>
                      </w:r>
                    </w:p>
                    <w:p w:rsidR="00880380" w:rsidRPr="00ED25C2" w:rsidRDefault="00880380" w:rsidP="00C47FE3">
                      <w:pPr>
                        <w:spacing w:before="120" w:after="120"/>
                        <w:jc w:val="center"/>
                        <w:rPr>
                          <w:color w:val="000000"/>
                          <w:szCs w:val="22"/>
                        </w:rPr>
                      </w:pPr>
                      <w:r w:rsidRPr="00C47FE3">
                        <w:rPr>
                          <w:color w:val="000000"/>
                          <w:sz w:val="32"/>
                          <w:szCs w:val="32"/>
                        </w:rPr>
                        <w:t>30</w:t>
                      </w:r>
                      <w:r>
                        <w:rPr>
                          <w:color w:val="000000"/>
                          <w:szCs w:val="22"/>
                        </w:rPr>
                        <w:t xml:space="preserve"> are obese, including </w:t>
                      </w:r>
                      <w:r w:rsidRPr="00C47FE3">
                        <w:rPr>
                          <w:color w:val="000000"/>
                          <w:sz w:val="32"/>
                          <w:szCs w:val="32"/>
                        </w:rPr>
                        <w:t>5</w:t>
                      </w:r>
                      <w:r>
                        <w:rPr>
                          <w:color w:val="000000"/>
                          <w:szCs w:val="22"/>
                        </w:rPr>
                        <w:t xml:space="preserve"> who are extremely obese</w:t>
                      </w:r>
                    </w:p>
                  </w:txbxContent>
                </v:textbox>
                <w10:wrap type="square" side="right"/>
              </v:rect>
            </w:pict>
          </mc:Fallback>
        </mc:AlternateContent>
      </w:r>
      <w:r w:rsidR="00A74AC3" w:rsidRPr="00D94409">
        <w:t>Daily smoking rates are highest in adults aged 25–34 years (22 percent). However, the youth smoking rate has halved since 2006/07.</w:t>
      </w:r>
    </w:p>
    <w:p w:rsidR="00A74AC3" w:rsidRPr="00D94409" w:rsidRDefault="00A74AC3" w:rsidP="00C47FE3">
      <w:pPr>
        <w:rPr>
          <w:rFonts w:eastAsia="Century"/>
        </w:rPr>
      </w:pPr>
    </w:p>
    <w:p w:rsidR="00A74AC3" w:rsidRPr="00D94409" w:rsidRDefault="00A74AC3" w:rsidP="00C47FE3">
      <w:r w:rsidRPr="00D94409">
        <w:t xml:space="preserve">Māori adults are almost three times as likely to smoke daily as </w:t>
      </w:r>
      <w:hyperlink w:anchor="_bookmark0" w:history="1">
        <w:r w:rsidRPr="00D94409">
          <w:t>non-Māori.</w:t>
        </w:r>
        <w:r w:rsidR="00C47FE3">
          <w:rPr>
            <w:rStyle w:val="FootnoteReference"/>
          </w:rPr>
          <w:footnoteReference w:id="7"/>
        </w:r>
        <w:r w:rsidR="00C47FE3">
          <w:t xml:space="preserve"> </w:t>
        </w:r>
      </w:hyperlink>
      <w:r w:rsidR="00C47FE3" w:rsidRPr="00C47FE3">
        <w:t>T</w:t>
      </w:r>
      <w:r w:rsidRPr="00D94409">
        <w:t>hirty-seven percent of Māori adults smoke daily, with little change since 2006/07. Māori are the only ethnic group where more women than men smoke daily (38 percent compared with 36 percent).</w:t>
      </w:r>
    </w:p>
    <w:p w:rsidR="00A74AC3" w:rsidRPr="00D94409" w:rsidRDefault="00A74AC3" w:rsidP="00C47FE3">
      <w:pPr>
        <w:rPr>
          <w:rFonts w:ascii="Century" w:eastAsia="Century" w:hAnsi="Century" w:cs="Century"/>
          <w:sz w:val="18"/>
          <w:szCs w:val="18"/>
        </w:rPr>
      </w:pPr>
    </w:p>
    <w:p w:rsidR="00A74AC3" w:rsidRPr="00C47FE3" w:rsidRDefault="00A74AC3" w:rsidP="00C47FE3">
      <w:r w:rsidRPr="00D94409">
        <w:t xml:space="preserve">There are strong socioeconomic disparities in smoking. Adults living in the most deprived areas are four times more likely to smoke daily than those living in the least deprived </w:t>
      </w:r>
      <w:hyperlink w:anchor="_bookmark1" w:history="1">
        <w:r w:rsidRPr="00D94409">
          <w:t>areas.</w:t>
        </w:r>
        <w:r w:rsidR="00C47FE3">
          <w:rPr>
            <w:rStyle w:val="FootnoteReference"/>
          </w:rPr>
          <w:footnoteReference w:id="8"/>
        </w:r>
      </w:hyperlink>
    </w:p>
    <w:p w:rsidR="00A74AC3" w:rsidRPr="00D94409" w:rsidRDefault="00A74AC3" w:rsidP="00C47FE3">
      <w:pPr>
        <w:rPr>
          <w:rFonts w:eastAsia="Century"/>
        </w:rPr>
      </w:pPr>
    </w:p>
    <w:p w:rsidR="00A74AC3" w:rsidRPr="00D94409" w:rsidRDefault="00A74AC3" w:rsidP="00C47FE3">
      <w:r w:rsidRPr="00D94409">
        <w:t>New Zealand</w:t>
      </w:r>
      <w:r w:rsidR="00D94409" w:rsidRPr="00D94409">
        <w:t>’</w:t>
      </w:r>
      <w:r w:rsidRPr="00D94409">
        <w:t>s smoking rate is considerably lower than the OECD average of 20 percent of adults smoking daily (OECD 2015).</w:t>
      </w:r>
    </w:p>
    <w:p w:rsidR="00A74AC3" w:rsidRPr="00D94409" w:rsidRDefault="00A74AC3" w:rsidP="00C47FE3">
      <w:pPr>
        <w:rPr>
          <w:rFonts w:eastAsia="Century"/>
        </w:rPr>
      </w:pPr>
    </w:p>
    <w:p w:rsidR="00A74AC3" w:rsidRPr="00D94409" w:rsidRDefault="00A74AC3" w:rsidP="00C47FE3">
      <w:pPr>
        <w:pStyle w:val="Heading3"/>
        <w:rPr>
          <w:bCs/>
        </w:rPr>
      </w:pPr>
      <w:r w:rsidRPr="00D94409">
        <w:t>Fewer young adults have a hazardous drinking pattern</w:t>
      </w:r>
    </w:p>
    <w:p w:rsidR="00A74AC3" w:rsidRPr="00C47FE3" w:rsidRDefault="00A74AC3" w:rsidP="00C47FE3">
      <w:r w:rsidRPr="00D94409">
        <w:t>Excessive or harmful use of alcohol contributes to a range of diseases, including stroke, certain cancers, cirrhosis of the liver, mental health conditions and birth defects. Alcohol-related harm also includes injuries (for example, through violence, self-harm and road traffic accidents) and social and economic harm. The net effects of alcohol consumption account for just over 3</w:t>
      </w:r>
      <w:r w:rsidR="00C47FE3">
        <w:t> </w:t>
      </w:r>
      <w:r w:rsidRPr="00D94409">
        <w:t xml:space="preserve">percent of total health </w:t>
      </w:r>
      <w:hyperlink w:anchor="_bookmark2" w:history="1">
        <w:r w:rsidRPr="00D94409">
          <w:t>loss.</w:t>
        </w:r>
        <w:r w:rsidR="00C47FE3">
          <w:rPr>
            <w:rStyle w:val="FootnoteReference"/>
          </w:rPr>
          <w:footnoteReference w:id="9"/>
        </w:r>
      </w:hyperlink>
    </w:p>
    <w:p w:rsidR="00A74AC3" w:rsidRPr="00D94409" w:rsidRDefault="00A74AC3" w:rsidP="00C47FE3">
      <w:pPr>
        <w:rPr>
          <w:rFonts w:eastAsia="Century"/>
        </w:rPr>
      </w:pPr>
    </w:p>
    <w:p w:rsidR="00A74AC3" w:rsidRPr="00D94409" w:rsidRDefault="00C47FE3" w:rsidP="00C47FE3">
      <w:r>
        <w:rPr>
          <w:noProof/>
          <w:lang w:eastAsia="en-NZ"/>
        </w:rPr>
        <mc:AlternateContent>
          <mc:Choice Requires="wpg">
            <w:drawing>
              <wp:anchor distT="0" distB="0" distL="114300" distR="0" simplePos="0" relativeHeight="251812864" behindDoc="0" locked="0" layoutInCell="1" allowOverlap="1" wp14:anchorId="248A83C4" wp14:editId="70EDBDC2">
                <wp:simplePos x="0" y="0"/>
                <wp:positionH relativeFrom="column">
                  <wp:posOffset>3977640</wp:posOffset>
                </wp:positionH>
                <wp:positionV relativeFrom="paragraph">
                  <wp:posOffset>29845</wp:posOffset>
                </wp:positionV>
                <wp:extent cx="1950720" cy="1620520"/>
                <wp:effectExtent l="0" t="0" r="11430" b="17780"/>
                <wp:wrapSquare wrapText="left"/>
                <wp:docPr id="1839" name="Group 1839"/>
                <wp:cNvGraphicFramePr/>
                <a:graphic xmlns:a="http://schemas.openxmlformats.org/drawingml/2006/main">
                  <a:graphicData uri="http://schemas.microsoft.com/office/word/2010/wordprocessingGroup">
                    <wpg:wgp>
                      <wpg:cNvGrpSpPr/>
                      <wpg:grpSpPr>
                        <a:xfrm>
                          <a:off x="0" y="0"/>
                          <a:ext cx="1950720" cy="1620520"/>
                          <a:chOff x="0" y="0"/>
                          <a:chExt cx="1952625" cy="839585"/>
                        </a:xfrm>
                      </wpg:grpSpPr>
                      <wpg:grpSp>
                        <wpg:cNvPr id="1840" name="Group 1840"/>
                        <wpg:cNvGrpSpPr/>
                        <wpg:grpSpPr>
                          <a:xfrm>
                            <a:off x="0" y="0"/>
                            <a:ext cx="1951355" cy="838200"/>
                            <a:chOff x="0" y="0"/>
                            <a:chExt cx="1951355" cy="838200"/>
                          </a:xfrm>
                        </wpg:grpSpPr>
                        <wps:wsp>
                          <wps:cNvPr id="1841" name="Rectangle 1841"/>
                          <wps:cNvSpPr/>
                          <wps:spPr>
                            <a:xfrm>
                              <a:off x="0" y="0"/>
                              <a:ext cx="1951355" cy="838200"/>
                            </a:xfrm>
                            <a:prstGeom prst="rect">
                              <a:avLst/>
                            </a:prstGeom>
                            <a:solidFill>
                              <a:schemeClr val="bg1">
                                <a:lumMod val="8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0380" w:rsidRPr="00611516" w:rsidRDefault="00880380" w:rsidP="00C47FE3">
                                <w:pPr>
                                  <w:spacing w:before="120" w:after="120"/>
                                  <w:jc w:val="center"/>
                                  <w:rPr>
                                    <w:color w:val="000000"/>
                                    <w:szCs w:val="22"/>
                                  </w:rPr>
                                </w:pPr>
                                <w:r>
                                  <w:rPr>
                                    <w:color w:val="000000"/>
                                    <w:szCs w:val="22"/>
                                  </w:rPr>
                                  <w:t xml:space="preserve">Find the latest results from the </w:t>
                                </w:r>
                                <w:r>
                                  <w:rPr>
                                    <w:i/>
                                    <w:color w:val="000000"/>
                                    <w:szCs w:val="22"/>
                                  </w:rPr>
                                  <w:t xml:space="preserve">New Zealand Health </w:t>
                                </w:r>
                                <w:proofErr w:type="gramStart"/>
                                <w:r>
                                  <w:rPr>
                                    <w:i/>
                                    <w:color w:val="000000"/>
                                    <w:szCs w:val="22"/>
                                  </w:rPr>
                                  <w:t>Survey</w:t>
                                </w:r>
                                <w:r>
                                  <w:rPr>
                                    <w:color w:val="000000"/>
                                    <w:szCs w:val="22"/>
                                  </w:rPr>
                                  <w:t xml:space="preserve"> ,</w:t>
                                </w:r>
                                <w:proofErr w:type="gramEnd"/>
                                <w:r>
                                  <w:rPr>
                                    <w:color w:val="000000"/>
                                    <w:szCs w:val="22"/>
                                  </w:rPr>
                                  <w:t xml:space="preserve"> including detailed reports on alcohol, obesity and tobacco use, at www.health.govt.nz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2" name="Straight Connector 1842"/>
                          <wps:cNvCnPr/>
                          <wps:spPr>
                            <a:xfrm>
                              <a:off x="0" y="16625"/>
                              <a:ext cx="195135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843" name="Straight Connector 1843"/>
                        <wps:cNvCnPr/>
                        <wps:spPr>
                          <a:xfrm>
                            <a:off x="0" y="839585"/>
                            <a:ext cx="19526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839" o:spid="_x0000_s1052" style="position:absolute;margin-left:313.2pt;margin-top:2.35pt;width:153.6pt;height:127.6pt;z-index:251812864;mso-wrap-distance-right:0;mso-width-relative:margin;mso-height-relative:margin" coordsize="19526,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">
                <v:group id="Group 1840" o:spid="_x0000_s1053" style="position:absolute;width:19513;height:8382" coordsize="19513,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JkMcAAADdAAAADwAAAGRycy9kb3ducmV2LnhtbESPQWvCQBCF74X+h2UK&#10;3uomtRWJriLSigcpGAvF25Adk2B2NmS3Sfz3nUOhtxnem/e+WW1G16ieulB7NpBOE1DEhbc1lwa+&#10;zh/PC1AhIltsPJOBOwXYrB8fVphZP/CJ+jyWSkI4ZGigirHNtA5FRQ7D1LfEol195zDK2pXadjhI&#10;uGv0S5LMtcOapaHClnYVFbf8xxnYDzhsZ+l7f7xdd/fL+e3z+5iSMZOncbsEFWmM/+a/64MV/MWr&#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JkMcAAADd&#10;AAAADwAAAAAAAAAAAAAAAACqAgAAZHJzL2Rvd25yZXYueG1sUEsFBgAAAAAEAAQA+gAAAJ4DAAAA&#10;AA==&#10;">
                  <v:rect id="Rectangle 1841" o:spid="_x0000_s1054" style="position:absolute;width:19513;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tR8IA&#10;AADdAAAADwAAAGRycy9kb3ducmV2LnhtbERPS2rDMBDdF3IHMYXsGjklFONEDqFQcKCbpj7AIE1s&#10;Y2tkJMV2cvqqUOhuHu87h+NiBzGRD51jBdtNBoJYO9Nxo6D+/njJQYSIbHBwTAruFOBYrp4OWBg3&#10;8xdNl9iIFMKhQAVtjGMhZdAtWQwbNxIn7uq8xZigb6TxOKdwO8jXLHuTFjtODS2O9N6S7i83q+BU&#10;36/51J37inU1P3T92WifK7V+Xk57EJGW+C/+c1cmzc93W/j9Jp0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T+1HwgAAAN0AAAAPAAAAAAAAAAAAAAAAAJgCAABkcnMvZG93&#10;bnJldi54bWxQSwUGAAAAAAQABAD1AAAAhwMAAAAA&#10;" fillcolor="#d8d8d8 [2732]" stroked="f" strokeweight=".5pt">
                    <v:textbox>
                      <w:txbxContent>
                        <w:p w:rsidR="00880380" w:rsidRPr="00611516" w:rsidRDefault="00880380" w:rsidP="00C47FE3">
                          <w:pPr>
                            <w:spacing w:before="120" w:after="120"/>
                            <w:jc w:val="center"/>
                            <w:rPr>
                              <w:color w:val="000000"/>
                              <w:szCs w:val="22"/>
                            </w:rPr>
                          </w:pPr>
                          <w:r>
                            <w:rPr>
                              <w:color w:val="000000"/>
                              <w:szCs w:val="22"/>
                            </w:rPr>
                            <w:t xml:space="preserve">Find the latest results from the </w:t>
                          </w:r>
                          <w:r>
                            <w:rPr>
                              <w:i/>
                              <w:color w:val="000000"/>
                              <w:szCs w:val="22"/>
                            </w:rPr>
                            <w:t>New Zealand Health Survey</w:t>
                          </w:r>
                          <w:r>
                            <w:rPr>
                              <w:color w:val="000000"/>
                              <w:szCs w:val="22"/>
                            </w:rPr>
                            <w:t xml:space="preserve"> , including detailed reports on alcohol, obesity and tobacco use, at www.health.govt.nz</w:t>
                          </w:r>
                        </w:p>
                      </w:txbxContent>
                    </v:textbox>
                  </v:rect>
                  <v:line id="Straight Connector 1842" o:spid="_x0000_s1055" style="position:absolute;visibility:visible;mso-wrap-style:square" from="0,166" to="19513,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nxcIAAADdAAAADwAAAGRycy9kb3ducmV2LnhtbERP3WrCMBS+H/gO4QjezdQiRapRRHCU&#10;MdZZfYBDc2yLzUlJonZvvwwGuzsf3+/Z7EbTiwc531lWsJgnIIhrqztuFFzOx9cVCB+QNfaWScE3&#10;edhtJy8bzLV98okeVWhEDGGfo4I2hCGX0tctGfRzOxBH7mqdwRCha6R2+IzhppdpkmTSYMexocWB&#10;Di3Vt+puFLhP9+bKe1a+N7K46stXlQwfB6Vm03G/BhFoDP/iP3eh4/zVMoXfb+IJ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nxcIAAADdAAAADwAAAAAAAAAAAAAA&#10;AAChAgAAZHJzL2Rvd25yZXYueG1sUEsFBgAAAAAEAAQA+QAAAJADAAAAAA==&#10;" strokecolor="black [3213]" strokeweight="4.5pt"/>
                </v:group>
                <v:line id="Straight Connector 1843" o:spid="_x0000_s1056" style="position:absolute;visibility:visible;mso-wrap-style:square" from="0,8395" to="19526,8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EuuMIAAADdAAAADwAAAGRycy9kb3ducmV2LnhtbERPTWsCMRC9F/wPYQRvNauWIqtRVND2&#10;2lUP3obNuFncTJYk627/fVMo9DaP9znr7WAb8SQfascKZtMMBHHpdM2Vgsv5+LoEESKyxsYxKfim&#10;ANvN6GWNuXY9f9GziJVIIRxyVGBibHMpQ2nIYpi6ljhxd+ctxgR9JbXHPoXbRs6z7F1arDk1GGzp&#10;YKh8FJ1VcOv20X+c5a4vhsPJzI9N2bmrUpPxsFuBiDTEf/Gf+1On+cu3Bfx+k06Q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NEuuMIAAADdAAAADwAAAAAAAAAAAAAA&#10;AAChAgAAZHJzL2Rvd25yZXYueG1sUEsFBgAAAAAEAAQA+QAAAJADAAAAAA==&#10;" strokecolor="black [3213]" strokeweight="1.5pt"/>
                <w10:wrap type="square" side="left"/>
              </v:group>
            </w:pict>
          </mc:Fallback>
        </mc:AlternateContent>
      </w:r>
      <w:r>
        <w:t>‘</w:t>
      </w:r>
      <w:r w:rsidR="00A74AC3" w:rsidRPr="00D94409">
        <w:t>Hazardous drinking</w:t>
      </w:r>
      <w:r w:rsidR="00D94409" w:rsidRPr="00D94409">
        <w:t>’</w:t>
      </w:r>
      <w:r w:rsidR="00A74AC3" w:rsidRPr="00D94409">
        <w:t xml:space="preserve"> refers to an established drinking pattern that carries a risk of harming the drinker</w:t>
      </w:r>
      <w:r w:rsidR="00D94409" w:rsidRPr="00D94409">
        <w:t>’</w:t>
      </w:r>
      <w:r w:rsidR="00A74AC3" w:rsidRPr="00D94409">
        <w:t>s physical or mental health, or having harmful social effects on the drinker or others.</w:t>
      </w:r>
      <w:r>
        <w:rPr>
          <w:rStyle w:val="FootnoteReference"/>
        </w:rPr>
        <w:footnoteReference w:id="10"/>
      </w:r>
      <w:r>
        <w:t xml:space="preserve"> </w:t>
      </w:r>
      <w:r w:rsidR="00A74AC3" w:rsidRPr="00D94409">
        <w:t>Among all adults (including non-drinkers), 16</w:t>
      </w:r>
      <w:r>
        <w:t> </w:t>
      </w:r>
      <w:r w:rsidR="00A74AC3" w:rsidRPr="00D94409">
        <w:t>percent were hazardous drinkers in 2013/14, down from 18</w:t>
      </w:r>
      <w:r>
        <w:t> </w:t>
      </w:r>
      <w:r w:rsidR="00A74AC3" w:rsidRPr="00D94409">
        <w:t>percent</w:t>
      </w:r>
      <w:r>
        <w:t xml:space="preserve"> </w:t>
      </w:r>
      <w:r w:rsidR="00A74AC3" w:rsidRPr="00D94409">
        <w:t xml:space="preserve">in 2006/07. This decline is largely due to a fall in hazardous drinking among young adults. A third (33 percent) of those aged 18–24 years </w:t>
      </w:r>
      <w:proofErr w:type="gramStart"/>
      <w:r w:rsidR="00A74AC3" w:rsidRPr="00D94409">
        <w:t>have</w:t>
      </w:r>
      <w:proofErr w:type="gramEnd"/>
      <w:r w:rsidR="00A74AC3" w:rsidRPr="00D94409">
        <w:t xml:space="preserve"> a hazardous drinking pattern, down from 43</w:t>
      </w:r>
      <w:r>
        <w:t> </w:t>
      </w:r>
      <w:r w:rsidR="00A74AC3" w:rsidRPr="00D94409">
        <w:t>percent in 2006/07. Hazardous drinking rates in adults aged 25 years and over have not changed since 2006/07.</w:t>
      </w:r>
    </w:p>
    <w:p w:rsidR="00A74AC3" w:rsidRPr="00D94409" w:rsidRDefault="00A74AC3" w:rsidP="00C47FE3">
      <w:pPr>
        <w:rPr>
          <w:rFonts w:eastAsia="Century"/>
        </w:rPr>
      </w:pPr>
    </w:p>
    <w:p w:rsidR="00A74AC3" w:rsidRPr="00D94409" w:rsidRDefault="00A74AC3" w:rsidP="00C47FE3">
      <w:pPr>
        <w:pStyle w:val="Heading3"/>
        <w:rPr>
          <w:bCs/>
        </w:rPr>
      </w:pPr>
      <w:r w:rsidRPr="00D94409">
        <w:t>Poor diet accounts for one in every nine years of life lost</w:t>
      </w:r>
    </w:p>
    <w:p w:rsidR="00A74AC3" w:rsidRPr="00D94409" w:rsidRDefault="00A74AC3" w:rsidP="00C47FE3">
      <w:r w:rsidRPr="00D94409">
        <w:t>The foods and drinks we consume play a major role in our health and wellbeing. A healthy diet throughout life can help prevent nutritional deficiencies, protect against infection and help maintain a healthy body weight. A healthy diet also protects against and reduces the risk of avoidable chronic disease such as cardiovascular diseases, type 2 diabetes and some cancers.</w:t>
      </w:r>
    </w:p>
    <w:p w:rsidR="00A74AC3" w:rsidRPr="00D94409" w:rsidRDefault="00A74AC3" w:rsidP="00C47FE3">
      <w:pPr>
        <w:rPr>
          <w:rFonts w:eastAsia="Century"/>
        </w:rPr>
      </w:pPr>
    </w:p>
    <w:p w:rsidR="00A74AC3" w:rsidRPr="00D94409" w:rsidRDefault="00A74AC3" w:rsidP="00C47FE3">
      <w:r w:rsidRPr="00D94409">
        <w:lastRenderedPageBreak/>
        <w:t xml:space="preserve">Dietary risks account for 11 percent of health loss. They include consuming lower than optimal amounts of nuts, seeds, vegetables and fruit, as well as having a higher than optimal intake of energy, sodium (salt), processed meat, and saturated and </w:t>
      </w:r>
      <w:proofErr w:type="gramStart"/>
      <w:r w:rsidRPr="00D94409">
        <w:t>trans</w:t>
      </w:r>
      <w:proofErr w:type="gramEnd"/>
      <w:r w:rsidRPr="00D94409">
        <w:t xml:space="preserve"> fat.</w:t>
      </w:r>
    </w:p>
    <w:p w:rsidR="00A74AC3" w:rsidRPr="00D94409" w:rsidRDefault="00A74AC3" w:rsidP="00C47FE3">
      <w:pPr>
        <w:rPr>
          <w:rFonts w:eastAsia="Century"/>
        </w:rPr>
      </w:pPr>
    </w:p>
    <w:p w:rsidR="00A74AC3" w:rsidRPr="00D94409" w:rsidRDefault="00A74AC3" w:rsidP="00C47FE3">
      <w:r w:rsidRPr="00D94409">
        <w:t>Eating plenty of vegetables and fruit can help protect against major diseases and conditions like heart disease, stroke, high blood pressure and some cancers. The Ministry of Health recommends that adults eat at least three servings of vegetables and at least two servings of fruit per day for good health.</w:t>
      </w:r>
    </w:p>
    <w:p w:rsidR="00A74AC3" w:rsidRPr="00D94409" w:rsidRDefault="00A74AC3" w:rsidP="00C47FE3">
      <w:pPr>
        <w:rPr>
          <w:rFonts w:eastAsia="Century"/>
        </w:rPr>
      </w:pPr>
    </w:p>
    <w:p w:rsidR="00A74AC3" w:rsidRPr="00D94409" w:rsidRDefault="00A74AC3" w:rsidP="00C47FE3">
      <w:r w:rsidRPr="00D94409">
        <w:t>Two out of five adults (41 percent) meet the Ministry of Health</w:t>
      </w:r>
      <w:r w:rsidR="00D94409" w:rsidRPr="00D94409">
        <w:t>’</w:t>
      </w:r>
      <w:r w:rsidRPr="00D94409">
        <w:t>s guidelines for vegetable and fruit intake. This has decreased from 44 percent in 2011/12. Vegetable and fruit consumption increases with age: 32 percent of those aged 15–24 years meet the Ministry guidelines, compared with 53 percent of those aged 65–74 years.</w:t>
      </w:r>
    </w:p>
    <w:p w:rsidR="00A74AC3" w:rsidRPr="00D94409" w:rsidRDefault="00A74AC3" w:rsidP="00C47FE3">
      <w:pPr>
        <w:rPr>
          <w:rFonts w:eastAsia="Century"/>
        </w:rPr>
      </w:pPr>
    </w:p>
    <w:p w:rsidR="00A74AC3" w:rsidRPr="00C47FE3" w:rsidRDefault="00A74AC3" w:rsidP="00C47FE3">
      <w:r w:rsidRPr="00D94409">
        <w:t>Māori (24 percent), Pacific (27 percent) and Asian (32 percent) adults are less likely to eat the recommended portions of vegetables and fruits when compared with non-Māori, non-Pacific and</w:t>
      </w:r>
      <w:r w:rsidR="00C47FE3">
        <w:t xml:space="preserve"> </w:t>
      </w:r>
      <w:r w:rsidRPr="00D94409">
        <w:t>non-Asian adults respectively. Adults living in the most socioeconomically deprived areas are also less likely to meet the Ministry guidelines, compared with those living in the least deprived areas.</w:t>
      </w:r>
      <w:r w:rsidR="00C47FE3">
        <w:rPr>
          <w:rStyle w:val="FootnoteReference"/>
        </w:rPr>
        <w:footnoteReference w:id="11"/>
      </w:r>
    </w:p>
    <w:p w:rsidR="00A74AC3" w:rsidRPr="00D94409" w:rsidRDefault="00A74AC3" w:rsidP="00C47FE3">
      <w:pPr>
        <w:rPr>
          <w:rFonts w:eastAsia="Century"/>
        </w:rPr>
      </w:pPr>
    </w:p>
    <w:p w:rsidR="00A74AC3" w:rsidRPr="00D94409" w:rsidRDefault="00A74AC3" w:rsidP="00C47FE3">
      <w:pPr>
        <w:pStyle w:val="Heading3"/>
        <w:rPr>
          <w:bCs/>
        </w:rPr>
      </w:pPr>
      <w:r w:rsidRPr="00D94409">
        <w:t>One in seven adults is physically inactive</w:t>
      </w:r>
    </w:p>
    <w:p w:rsidR="00A74AC3" w:rsidRPr="00D94409" w:rsidRDefault="00A74AC3" w:rsidP="00C47FE3">
      <w:r w:rsidRPr="00D94409">
        <w:t>Physical activity helps protect against heart disease, stroke, type 2 diabetes, certain cancers, osteoarthritis and depression. It is also important for maintaining a healthy weight and for reducing the risk of and managing obesity. Low physical activity accounts for nearly 5 percent of health loss.</w:t>
      </w:r>
    </w:p>
    <w:p w:rsidR="00A74AC3" w:rsidRPr="00D94409" w:rsidRDefault="00A74AC3" w:rsidP="00C47FE3">
      <w:pPr>
        <w:rPr>
          <w:rFonts w:eastAsia="Century"/>
        </w:rPr>
      </w:pPr>
    </w:p>
    <w:p w:rsidR="00A74AC3" w:rsidRDefault="00A74AC3" w:rsidP="00C47FE3">
      <w:pPr>
        <w:pStyle w:val="Figure"/>
      </w:pPr>
      <w:bookmarkStart w:id="20" w:name="_Toc433234115"/>
      <w:r w:rsidRPr="00D94409">
        <w:t>Figure 6: Proportion of adults who are physically inactive (&lt;30 minutes of physical activity per week) by age group, 2013/14</w:t>
      </w:r>
      <w:bookmarkEnd w:id="20"/>
    </w:p>
    <w:p w:rsidR="00C47FE3" w:rsidRPr="00C47FE3" w:rsidRDefault="00C47FE3" w:rsidP="00C47FE3">
      <w:pPr>
        <w:rPr>
          <w:rFonts w:eastAsia="Palatino Linotype"/>
        </w:rPr>
      </w:pPr>
      <w:r>
        <w:rPr>
          <w:noProof/>
          <w:lang w:eastAsia="en-NZ"/>
        </w:rPr>
        <w:drawing>
          <wp:inline distT="0" distB="0" distL="0" distR="0" wp14:anchorId="2C03A51B" wp14:editId="09B8804F">
            <wp:extent cx="4305993" cy="2508266"/>
            <wp:effectExtent l="0" t="0" r="0" b="6350"/>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grayscl/>
                    </a:blip>
                    <a:srcRect t="1655"/>
                    <a:stretch/>
                  </pic:blipFill>
                  <pic:spPr bwMode="auto">
                    <a:xfrm>
                      <a:off x="0" y="0"/>
                      <a:ext cx="4309720" cy="2510437"/>
                    </a:xfrm>
                    <a:prstGeom prst="rect">
                      <a:avLst/>
                    </a:prstGeom>
                    <a:ln>
                      <a:noFill/>
                    </a:ln>
                    <a:extLst>
                      <a:ext uri="{53640926-AAD7-44D8-BBD7-CCE9431645EC}">
                        <a14:shadowObscured xmlns:a14="http://schemas.microsoft.com/office/drawing/2010/main"/>
                      </a:ext>
                    </a:extLst>
                  </pic:spPr>
                </pic:pic>
              </a:graphicData>
            </a:graphic>
          </wp:inline>
        </w:drawing>
      </w:r>
    </w:p>
    <w:p w:rsidR="00A74AC3" w:rsidRPr="00D94409" w:rsidRDefault="00A74AC3" w:rsidP="00C47FE3">
      <w:pPr>
        <w:pStyle w:val="Source"/>
        <w:rPr>
          <w:rFonts w:eastAsia="Century" w:hAnsi="Century" w:cs="Century"/>
          <w:szCs w:val="17"/>
        </w:rPr>
      </w:pPr>
      <w:r w:rsidRPr="00D94409">
        <w:t>Source: New Zealand Health Survey, Ministry of Health</w:t>
      </w:r>
    </w:p>
    <w:p w:rsidR="00C47FE3" w:rsidRDefault="00C47FE3" w:rsidP="00C47FE3"/>
    <w:p w:rsidR="00A74AC3" w:rsidRPr="00D94409" w:rsidRDefault="00A74AC3" w:rsidP="00C47FE3">
      <w:r w:rsidRPr="00D94409">
        <w:t>Half of adults (51 percent) are physically active.</w:t>
      </w:r>
      <w:r w:rsidR="00C47FE3">
        <w:rPr>
          <w:rStyle w:val="FootnoteReference"/>
        </w:rPr>
        <w:footnoteReference w:id="12"/>
      </w:r>
      <w:r w:rsidR="00C47FE3">
        <w:t xml:space="preserve"> </w:t>
      </w:r>
      <w:r w:rsidRPr="00D94409">
        <w:t>Males (55 percent) are more likely to be physically active than females (49 percent) (Ministry of Health 2014c).</w:t>
      </w:r>
    </w:p>
    <w:p w:rsidR="00A74AC3" w:rsidRPr="00D94409" w:rsidRDefault="00A74AC3" w:rsidP="00F41AAA">
      <w:pPr>
        <w:rPr>
          <w:rFonts w:eastAsia="Century"/>
        </w:rPr>
      </w:pPr>
    </w:p>
    <w:p w:rsidR="00A74AC3" w:rsidRPr="00D94409" w:rsidRDefault="00A74AC3" w:rsidP="00F41AAA">
      <w:r w:rsidRPr="00D94409">
        <w:lastRenderedPageBreak/>
        <w:t>One in seven adults (14 percent) is physically inactive, doing less than 30 minutes of physical activity per week. This is an increase from 10 percent in 2006/07.</w:t>
      </w:r>
    </w:p>
    <w:p w:rsidR="00A74AC3" w:rsidRPr="00D94409" w:rsidRDefault="00A74AC3" w:rsidP="00F41AAA">
      <w:pPr>
        <w:rPr>
          <w:rFonts w:eastAsia="Century"/>
        </w:rPr>
      </w:pPr>
    </w:p>
    <w:p w:rsidR="00A74AC3" w:rsidRPr="00D94409" w:rsidRDefault="00A74AC3" w:rsidP="00F41AAA">
      <w:r w:rsidRPr="00D94409">
        <w:t>Physical inactivity is highest in those aged 75 years and over. However, across all other adult age groups (15–74 years), around 10 percent of males and 14 percent of female are inactive (Figure</w:t>
      </w:r>
      <w:r w:rsidR="00F41AAA">
        <w:t> </w:t>
      </w:r>
      <w:r w:rsidRPr="00D94409">
        <w:t>6).</w:t>
      </w:r>
    </w:p>
    <w:p w:rsidR="00A74AC3" w:rsidRPr="00D94409" w:rsidRDefault="00A74AC3" w:rsidP="00F41AAA">
      <w:pPr>
        <w:rPr>
          <w:rFonts w:eastAsia="Century"/>
        </w:rPr>
      </w:pPr>
    </w:p>
    <w:p w:rsidR="00A74AC3" w:rsidRPr="00F41AAA" w:rsidRDefault="00A74AC3" w:rsidP="00F41AAA">
      <w:r w:rsidRPr="00D94409">
        <w:t>Māori (16 percent), Pacific (21 percent) and Asian (20 percent) adults are more likely to be physically inactive when compared with non-Māori, non-Pacific and non-Asian adults. Adults living in the most socioeconomically deprived areas are more than twice as likely to be physically inactive compared with those living in the least deprived areas.</w:t>
      </w:r>
      <w:r w:rsidR="00F41AAA">
        <w:rPr>
          <w:rStyle w:val="FootnoteReference"/>
        </w:rPr>
        <w:footnoteReference w:id="13"/>
      </w:r>
    </w:p>
    <w:p w:rsidR="00A74AC3" w:rsidRPr="00D94409" w:rsidRDefault="00A74AC3" w:rsidP="00F41AAA">
      <w:pPr>
        <w:rPr>
          <w:rFonts w:eastAsia="Century"/>
        </w:rPr>
      </w:pPr>
    </w:p>
    <w:p w:rsidR="00A74AC3" w:rsidRPr="00D94409" w:rsidRDefault="00A74AC3" w:rsidP="00F41AAA">
      <w:pPr>
        <w:pStyle w:val="Heading3"/>
        <w:rPr>
          <w:bCs/>
        </w:rPr>
      </w:pPr>
      <w:r w:rsidRPr="00D94409">
        <w:t>Obesity has increased across all age, sex and ethnic groups</w:t>
      </w:r>
    </w:p>
    <w:p w:rsidR="00A74AC3" w:rsidRPr="00D94409" w:rsidRDefault="00A74AC3" w:rsidP="00F41AAA">
      <w:r w:rsidRPr="00D94409">
        <w:t>Excess weight is a leading contributor to a number of health conditions, including type 2 diabetes, cardiovascular diseases, some common types of cancer (for example, colorectal), osteoarthritis, gout, sleep apnoea, reproductive disorders, gallstones and mental health conditions (especially depression). Around 9 percent of health loss in New Zealand is due to higher than optimal body mass index (BMI) (including obesity).</w:t>
      </w:r>
    </w:p>
    <w:p w:rsidR="00A74AC3" w:rsidRPr="00D94409" w:rsidRDefault="00A74AC3" w:rsidP="00F41AAA">
      <w:pPr>
        <w:rPr>
          <w:rFonts w:eastAsia="Century"/>
        </w:rPr>
      </w:pPr>
    </w:p>
    <w:p w:rsidR="00A74AC3" w:rsidRPr="00D94409" w:rsidRDefault="00A74AC3" w:rsidP="00F41AAA">
      <w:r w:rsidRPr="00D94409">
        <w:t xml:space="preserve">Over a million adults are obese, which is three out of every ten adults (Ministry of Health 2014c). A further 1.2 million adults are overweight, meaning that two-thirds of the population is overweight or obese. The adult obesity rate has tripled since the late 1970s, increasing across all age, sex and ethnic groups (Ministry of Health 2015m). We are becoming obese at a younger age, which highlights the need for a greater focus on childhood obesity. </w:t>
      </w:r>
      <w:proofErr w:type="gramStart"/>
      <w:r w:rsidRPr="00D94409">
        <w:t>While the obesity prevalence has increased across the world, New Zealand ranks third highest in the OECD for adult obesity</w:t>
      </w:r>
      <w:r w:rsidR="00F41AAA">
        <w:rPr>
          <w:rStyle w:val="FootnoteReference"/>
        </w:rPr>
        <w:footnoteReference w:id="14"/>
      </w:r>
      <w:r w:rsidR="00F41AAA">
        <w:t xml:space="preserve"> </w:t>
      </w:r>
      <w:r w:rsidRPr="00D94409">
        <w:t>(OECD 2015).</w:t>
      </w:r>
      <w:proofErr w:type="gramEnd"/>
    </w:p>
    <w:p w:rsidR="00A74AC3" w:rsidRPr="00D94409" w:rsidRDefault="00A74AC3" w:rsidP="00F41AAA">
      <w:pPr>
        <w:rPr>
          <w:rFonts w:eastAsia="Century"/>
        </w:rPr>
      </w:pPr>
    </w:p>
    <w:p w:rsidR="00A74AC3" w:rsidRPr="00D94409" w:rsidRDefault="00A74AC3" w:rsidP="00F41AAA">
      <w:r w:rsidRPr="00D94409">
        <w:t>Pacific adults are 2.5 times as likely to be obese as non-Pacific adults, while Māori adults are 1.8</w:t>
      </w:r>
      <w:r w:rsidR="00F41AAA">
        <w:t> </w:t>
      </w:r>
      <w:r w:rsidRPr="00D94409">
        <w:t>times as likely to be obese as non-Māori. However, the majority of obese adults in New Zealand, around three-quarters, are of European/other ethnicity.</w:t>
      </w:r>
    </w:p>
    <w:p w:rsidR="00A74AC3" w:rsidRPr="00D94409" w:rsidRDefault="00A74AC3" w:rsidP="00F41AAA">
      <w:pPr>
        <w:rPr>
          <w:rFonts w:eastAsia="Century"/>
        </w:rPr>
      </w:pPr>
    </w:p>
    <w:p w:rsidR="00A74AC3" w:rsidRPr="00D94409" w:rsidRDefault="00A74AC3" w:rsidP="00F41AAA">
      <w:r w:rsidRPr="00D94409">
        <w:t>Extreme obesity – that is, having a BMI of 40 or more – can reduce life expectancy by up to 10</w:t>
      </w:r>
      <w:r w:rsidR="00F41AAA">
        <w:t> </w:t>
      </w:r>
      <w:r w:rsidRPr="00D94409">
        <w:t>years. Five percent of adults, or around 163,000 New Zealanders, are extremely obese. Pacific adults are almost six times as likely to be extremely obese as non-Pacific; Māori adults are almost three times as likely to be extremely obese as non-Māori.</w:t>
      </w:r>
    </w:p>
    <w:p w:rsidR="00A74AC3" w:rsidRPr="00D94409" w:rsidRDefault="00A74AC3" w:rsidP="00F41AAA">
      <w:pPr>
        <w:rPr>
          <w:rFonts w:eastAsia="Century"/>
        </w:rPr>
      </w:pPr>
    </w:p>
    <w:p w:rsidR="00A74AC3" w:rsidRPr="00F41AAA" w:rsidRDefault="00A74AC3" w:rsidP="00F41AAA">
      <w:r w:rsidRPr="00D94409">
        <w:t>There are clear socioeconomic disparities in extreme obesity. Adults living in the most socioeconomically deprived areas are four times as likely to be extremely obese as those living in the least deprived areas.</w:t>
      </w:r>
      <w:r w:rsidR="00F41AAA">
        <w:rPr>
          <w:rStyle w:val="FootnoteReference"/>
        </w:rPr>
        <w:footnoteReference w:id="15"/>
      </w:r>
    </w:p>
    <w:p w:rsidR="00A74AC3" w:rsidRPr="00D94409" w:rsidRDefault="00A74AC3" w:rsidP="00F41AAA">
      <w:pPr>
        <w:rPr>
          <w:rFonts w:eastAsia="Century"/>
        </w:rPr>
      </w:pPr>
    </w:p>
    <w:p w:rsidR="00A74AC3" w:rsidRPr="00D94409" w:rsidRDefault="00A74AC3" w:rsidP="00F41AAA">
      <w:pPr>
        <w:pStyle w:val="Heading3"/>
        <w:rPr>
          <w:bCs/>
        </w:rPr>
      </w:pPr>
      <w:r w:rsidRPr="00D94409">
        <w:t>One in eight adults has an unhealthy lifestyle</w:t>
      </w:r>
    </w:p>
    <w:p w:rsidR="00A74AC3" w:rsidRPr="00D94409" w:rsidRDefault="00A74AC3" w:rsidP="00F41AAA">
      <w:r w:rsidRPr="00D94409">
        <w:t>On its own, each of the above risk behaviours increases our chance of ill health. Further, many people have more than one risk behaviour. Evidence indicates that our risk of death increases as the number of risk behaviours increases. Adults with four risk behaviours have a health status equivalent to being 12 years older than those born in the same year who have no such behaviours (</w:t>
      </w:r>
      <w:proofErr w:type="spellStart"/>
      <w:r w:rsidRPr="00D94409">
        <w:t>Kvaavik</w:t>
      </w:r>
      <w:proofErr w:type="spellEnd"/>
      <w:r w:rsidRPr="00D94409">
        <w:t xml:space="preserve"> et al 2010).</w:t>
      </w:r>
    </w:p>
    <w:p w:rsidR="00A74AC3" w:rsidRPr="00D94409" w:rsidRDefault="00A74AC3" w:rsidP="00F41AAA">
      <w:pPr>
        <w:rPr>
          <w:rFonts w:eastAsia="Century"/>
        </w:rPr>
      </w:pPr>
    </w:p>
    <w:p w:rsidR="00A74AC3" w:rsidRPr="00D94409" w:rsidRDefault="00A74AC3" w:rsidP="00F41AAA">
      <w:pPr>
        <w:pStyle w:val="Figure"/>
        <w:rPr>
          <w:rFonts w:eastAsia="Palatino Linotype" w:hAnsi="Palatino Linotype" w:cs="Palatino Linotype"/>
          <w:szCs w:val="19"/>
        </w:rPr>
      </w:pPr>
      <w:bookmarkStart w:id="21" w:name="_Toc433234116"/>
      <w:r w:rsidRPr="00D94409">
        <w:lastRenderedPageBreak/>
        <w:t>Figure 7: Prevalence of multiple risk factors among adults, 2011/12 to 2013/14</w:t>
      </w:r>
      <w:bookmarkEnd w:id="21"/>
    </w:p>
    <w:p w:rsidR="00A74AC3" w:rsidRPr="00D94409" w:rsidRDefault="004B27CA" w:rsidP="004B27CA">
      <w:pPr>
        <w:rPr>
          <w:rFonts w:eastAsia="Palatino Linotype"/>
        </w:rPr>
      </w:pPr>
      <w:r>
        <w:rPr>
          <w:noProof/>
          <w:lang w:eastAsia="en-NZ"/>
        </w:rPr>
        <w:drawing>
          <wp:inline distT="0" distB="0" distL="0" distR="0" wp14:anchorId="694A599F" wp14:editId="61058AEC">
            <wp:extent cx="5940425" cy="1850671"/>
            <wp:effectExtent l="0" t="0" r="3175" b="0"/>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grayscl/>
                    </a:blip>
                    <a:stretch>
                      <a:fillRect/>
                    </a:stretch>
                  </pic:blipFill>
                  <pic:spPr>
                    <a:xfrm>
                      <a:off x="0" y="0"/>
                      <a:ext cx="5940425" cy="1850671"/>
                    </a:xfrm>
                    <a:prstGeom prst="rect">
                      <a:avLst/>
                    </a:prstGeom>
                  </pic:spPr>
                </pic:pic>
              </a:graphicData>
            </a:graphic>
          </wp:inline>
        </w:drawing>
      </w:r>
    </w:p>
    <w:p w:rsidR="00A74AC3" w:rsidRPr="00D94409" w:rsidRDefault="00A74AC3" w:rsidP="004B27CA">
      <w:pPr>
        <w:pStyle w:val="Source"/>
        <w:ind w:right="0"/>
        <w:rPr>
          <w:rFonts w:eastAsia="Century" w:hAnsi="Century" w:cs="Century"/>
          <w:szCs w:val="17"/>
        </w:rPr>
      </w:pPr>
      <w:r w:rsidRPr="00D94409">
        <w:t>Source: New Zealand Health Survey, Ministry of Health</w:t>
      </w:r>
    </w:p>
    <w:p w:rsidR="00A74AC3" w:rsidRPr="00D94409" w:rsidRDefault="00A74AC3" w:rsidP="004B27CA">
      <w:pPr>
        <w:rPr>
          <w:rFonts w:eastAsia="Century"/>
        </w:rPr>
      </w:pPr>
    </w:p>
    <w:p w:rsidR="00A74AC3" w:rsidRPr="00D94409" w:rsidRDefault="00A74AC3" w:rsidP="004B27CA">
      <w:r w:rsidRPr="00D94409">
        <w:t>The following analysis looks at the proportion of adults who report risk behaviours to the New</w:t>
      </w:r>
      <w:r w:rsidR="004B27CA">
        <w:t> </w:t>
      </w:r>
      <w:r w:rsidRPr="00D94409">
        <w:t>Zealand Health Survey. As it includes only a small number of risk behaviours, it provides a very simplified estimate of the proportion of the population who look after their health.</w:t>
      </w:r>
    </w:p>
    <w:p w:rsidR="00A74AC3" w:rsidRPr="00D94409" w:rsidRDefault="00A74AC3" w:rsidP="004B27CA">
      <w:pPr>
        <w:rPr>
          <w:rFonts w:eastAsia="Century"/>
        </w:rPr>
      </w:pPr>
    </w:p>
    <w:p w:rsidR="00A74AC3" w:rsidRPr="00D94409" w:rsidRDefault="00A74AC3" w:rsidP="004B27CA">
      <w:r w:rsidRPr="00D94409">
        <w:t>A fifth of New Zealand adults did not report any of the four risk behaviours. That is, they don</w:t>
      </w:r>
      <w:r w:rsidR="00D94409" w:rsidRPr="00D94409">
        <w:t>’</w:t>
      </w:r>
      <w:r w:rsidRPr="00D94409">
        <w:t>t smoke, they aren</w:t>
      </w:r>
      <w:r w:rsidR="00D94409" w:rsidRPr="00D94409">
        <w:t>’</w:t>
      </w:r>
      <w:r w:rsidRPr="00D94409">
        <w:t>t hazardous drinkers, they are physically active and they eat the recommended number of servings of vegetables and fruits</w:t>
      </w:r>
      <w:r w:rsidR="004B27CA">
        <w:rPr>
          <w:rStyle w:val="FootnoteReference"/>
        </w:rPr>
        <w:footnoteReference w:id="16"/>
      </w:r>
      <w:r w:rsidRPr="004B27CA">
        <w:t xml:space="preserve"> </w:t>
      </w:r>
      <w:r w:rsidRPr="00D94409">
        <w:t>(Figure 7). A further 37 percent have only one risk behaviour, which is most likely to be either a lack of physical activity (15 percent) or a low intake of vegetables and fruits (18 percent).</w:t>
      </w:r>
    </w:p>
    <w:p w:rsidR="00A74AC3" w:rsidRPr="00D94409" w:rsidRDefault="00A74AC3" w:rsidP="004B27CA">
      <w:pPr>
        <w:rPr>
          <w:rFonts w:eastAsia="Century"/>
        </w:rPr>
      </w:pPr>
    </w:p>
    <w:p w:rsidR="00A74AC3" w:rsidRDefault="00A74AC3" w:rsidP="004B27CA">
      <w:r w:rsidRPr="00D94409">
        <w:t xml:space="preserve">One in eight adults </w:t>
      </w:r>
      <w:proofErr w:type="gramStart"/>
      <w:r w:rsidRPr="00D94409">
        <w:t>report</w:t>
      </w:r>
      <w:proofErr w:type="gramEnd"/>
      <w:r w:rsidRPr="00D94409">
        <w:t xml:space="preserve"> an unhealthy lifestyle, with three or more risk behaviours. This is higher among males (15 percent) than females (10 percent). Younger adults are more likely to have an unhealthy lifestyle, with 17 percent of those aged 15–24 years and 16 percent of those aged 25–44 years having three or more risk behaviours.</w:t>
      </w:r>
    </w:p>
    <w:p w:rsidR="004B27CA" w:rsidRPr="00D94409" w:rsidRDefault="004B27CA" w:rsidP="004B27CA"/>
    <w:p w:rsidR="004B27CA" w:rsidRDefault="004B27CA" w:rsidP="004B27CA">
      <w:bookmarkStart w:id="22" w:name="Preventing_ill_health"/>
      <w:bookmarkStart w:id="23" w:name="Wider_determinants_of_health"/>
      <w:bookmarkEnd w:id="22"/>
      <w:bookmarkEnd w:id="23"/>
      <w:r>
        <w:br w:type="page"/>
      </w:r>
    </w:p>
    <w:p w:rsidR="00A74AC3" w:rsidRPr="00D94409" w:rsidRDefault="00A74AC3" w:rsidP="004B27CA">
      <w:pPr>
        <w:pStyle w:val="Heading1"/>
        <w:rPr>
          <w:bCs/>
        </w:rPr>
      </w:pPr>
      <w:bookmarkStart w:id="24" w:name="_Toc433234089"/>
      <w:r w:rsidRPr="00D94409">
        <w:lastRenderedPageBreak/>
        <w:t>Preventing ill health</w:t>
      </w:r>
      <w:bookmarkEnd w:id="24"/>
    </w:p>
    <w:p w:rsidR="00A74AC3" w:rsidRPr="00D94409" w:rsidRDefault="00A74AC3" w:rsidP="004B27CA">
      <w:pPr>
        <w:pStyle w:val="Heading2"/>
        <w:rPr>
          <w:rFonts w:eastAsia="Georgia" w:cs="Georgia"/>
          <w:bCs/>
        </w:rPr>
      </w:pPr>
      <w:bookmarkStart w:id="25" w:name="_Toc433234090"/>
      <w:r w:rsidRPr="00D94409">
        <w:t>Wider determinants of health</w:t>
      </w:r>
      <w:bookmarkEnd w:id="25"/>
    </w:p>
    <w:p w:rsidR="00A74AC3" w:rsidRPr="00D94409" w:rsidRDefault="00A74AC3" w:rsidP="004B27CA">
      <w:r w:rsidRPr="00D94409">
        <w:t>Our ability to adopt and maintain a healthy lifestyle is heavily influenced by the wider social, economic and physical environment. These wider determinants of health are often beyond the control of the individual, limiting our ability to reach our full health potential.</w:t>
      </w:r>
    </w:p>
    <w:p w:rsidR="00A74AC3" w:rsidRPr="00D94409" w:rsidRDefault="00A74AC3" w:rsidP="004B27CA">
      <w:pPr>
        <w:rPr>
          <w:rFonts w:eastAsia="Century"/>
        </w:rPr>
      </w:pPr>
    </w:p>
    <w:tbl>
      <w:tblPr>
        <w:tblStyle w:val="TableGrid"/>
        <w:tblW w:w="957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5"/>
        <w:gridCol w:w="601"/>
        <w:gridCol w:w="3475"/>
      </w:tblGrid>
      <w:tr w:rsidR="004B27CA" w:rsidTr="004B27CA">
        <w:trPr>
          <w:cantSplit/>
        </w:trPr>
        <w:tc>
          <w:tcPr>
            <w:tcW w:w="5495" w:type="dxa"/>
          </w:tcPr>
          <w:p w:rsidR="004B27CA" w:rsidRPr="00D94409" w:rsidRDefault="004B27CA" w:rsidP="004B27CA">
            <w:pPr>
              <w:ind w:left="-108"/>
            </w:pPr>
            <w:r w:rsidRPr="00D94409">
              <w:t xml:space="preserve">The social environment in which we live includes our family and </w:t>
            </w:r>
            <w:proofErr w:type="spellStart"/>
            <w:r w:rsidRPr="00D94409">
              <w:t>whānau</w:t>
            </w:r>
            <w:proofErr w:type="spellEnd"/>
            <w:r w:rsidRPr="00D94409">
              <w:t xml:space="preserve"> structure, social connectedness, culture, employment (see box), exposure to crime and violence as well as the level of education we achieve. Our social environment influences our health literacy, our social norms, our ability to make healthy decisions, the value we place on health and our ability to cope with life’s adversities.</w:t>
            </w:r>
          </w:p>
          <w:p w:rsidR="004B27CA" w:rsidRPr="00D94409" w:rsidRDefault="004B27CA" w:rsidP="004B27CA">
            <w:pPr>
              <w:ind w:left="-108"/>
              <w:rPr>
                <w:rFonts w:eastAsia="Century"/>
              </w:rPr>
            </w:pPr>
          </w:p>
          <w:p w:rsidR="004B27CA" w:rsidRPr="00D94409" w:rsidRDefault="004B27CA" w:rsidP="004B27CA">
            <w:pPr>
              <w:ind w:left="-108"/>
            </w:pPr>
            <w:r w:rsidRPr="00D94409">
              <w:t xml:space="preserve">The physical </w:t>
            </w:r>
            <w:proofErr w:type="gramStart"/>
            <w:r w:rsidRPr="00D94409">
              <w:t>environment</w:t>
            </w:r>
            <w:proofErr w:type="gramEnd"/>
            <w:r w:rsidRPr="00D94409">
              <w:t xml:space="preserve"> in which we live, learn, work and play also impacts on our risk of ill health.</w:t>
            </w:r>
          </w:p>
          <w:p w:rsidR="004B27CA" w:rsidRPr="00D94409" w:rsidRDefault="004B27CA" w:rsidP="004B27CA">
            <w:pPr>
              <w:ind w:left="-108"/>
              <w:rPr>
                <w:rFonts w:eastAsia="Century"/>
              </w:rPr>
            </w:pPr>
          </w:p>
          <w:p w:rsidR="004B27CA" w:rsidRDefault="004B27CA" w:rsidP="004B27CA">
            <w:pPr>
              <w:ind w:left="-108"/>
            </w:pPr>
            <w:r w:rsidRPr="00D94409">
              <w:t>Each year, around 180,000 claims are made to the Accident Compensation Corporation for work- related injury (Statistics New Zealand 2014b). This is the equivalent of 92 claims for every 1000 full-time employees. Agriculture and fishery workers</w:t>
            </w:r>
            <w:r>
              <w:t xml:space="preserve"> </w:t>
            </w:r>
            <w:r w:rsidRPr="00D94409">
              <w:t>consistently have the highest claim rate.</w:t>
            </w:r>
          </w:p>
          <w:p w:rsidR="004B27CA" w:rsidRDefault="004B27CA" w:rsidP="004B27CA">
            <w:pPr>
              <w:ind w:left="-108"/>
            </w:pPr>
          </w:p>
        </w:tc>
        <w:tc>
          <w:tcPr>
            <w:tcW w:w="4076" w:type="dxa"/>
            <w:gridSpan w:val="2"/>
          </w:tcPr>
          <w:p w:rsidR="004B27CA" w:rsidRDefault="004B27CA" w:rsidP="004B27CA">
            <w:r>
              <w:rPr>
                <w:noProof/>
                <w:lang w:eastAsia="en-NZ"/>
              </w:rPr>
              <w:drawing>
                <wp:inline distT="0" distB="0" distL="0" distR="0" wp14:anchorId="6C29F67D" wp14:editId="20E20370">
                  <wp:extent cx="2464857" cy="2477193"/>
                  <wp:effectExtent l="0" t="0" r="0" b="0"/>
                  <wp:docPr id="184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grayscl/>
                          </a:blip>
                          <a:srcRect l="1658"/>
                          <a:stretch/>
                        </pic:blipFill>
                        <pic:spPr bwMode="auto">
                          <a:xfrm>
                            <a:off x="0" y="0"/>
                            <a:ext cx="2465970" cy="2478312"/>
                          </a:xfrm>
                          <a:prstGeom prst="rect">
                            <a:avLst/>
                          </a:prstGeom>
                          <a:ln>
                            <a:noFill/>
                          </a:ln>
                          <a:extLst>
                            <a:ext uri="{53640926-AAD7-44D8-BBD7-CCE9431645EC}">
                              <a14:shadowObscured xmlns:a14="http://schemas.microsoft.com/office/drawing/2010/main"/>
                            </a:ext>
                          </a:extLst>
                        </pic:spPr>
                      </pic:pic>
                    </a:graphicData>
                  </a:graphic>
                </wp:inline>
              </w:drawing>
            </w:r>
          </w:p>
          <w:p w:rsidR="004B27CA" w:rsidRDefault="004B27CA" w:rsidP="004B27CA">
            <w:pPr>
              <w:pStyle w:val="Source"/>
              <w:ind w:right="0"/>
            </w:pPr>
            <w:r>
              <w:t>Source: Statistics NZ</w:t>
            </w:r>
          </w:p>
        </w:tc>
      </w:tr>
      <w:tr w:rsidR="004B27CA" w:rsidTr="00C320CF">
        <w:trPr>
          <w:cantSplit/>
        </w:trPr>
        <w:tc>
          <w:tcPr>
            <w:tcW w:w="6096" w:type="dxa"/>
            <w:gridSpan w:val="2"/>
            <w:shd w:val="clear" w:color="auto" w:fill="D9D9D9" w:themeFill="background1" w:themeFillShade="D9"/>
          </w:tcPr>
          <w:p w:rsidR="004B27CA" w:rsidRPr="004B27CA" w:rsidRDefault="004B27CA" w:rsidP="004B27CA">
            <w:pPr>
              <w:spacing w:before="240"/>
              <w:rPr>
                <w:rFonts w:eastAsia="Georgia" w:cs="Georgia"/>
                <w:b/>
                <w:szCs w:val="28"/>
              </w:rPr>
            </w:pPr>
            <w:r w:rsidRPr="004B27CA">
              <w:rPr>
                <w:b/>
              </w:rPr>
              <w:t>H</w:t>
            </w:r>
            <w:r w:rsidRPr="004B27CA">
              <w:rPr>
                <w:b/>
                <w:spacing w:val="-1"/>
              </w:rPr>
              <w:t>ealthy</w:t>
            </w:r>
            <w:r w:rsidRPr="004B27CA">
              <w:rPr>
                <w:b/>
                <w:spacing w:val="-10"/>
              </w:rPr>
              <w:t xml:space="preserve"> </w:t>
            </w:r>
            <w:r w:rsidRPr="004B27CA">
              <w:rPr>
                <w:b/>
              </w:rPr>
              <w:t>H</w:t>
            </w:r>
            <w:r w:rsidRPr="004B27CA">
              <w:rPr>
                <w:b/>
                <w:spacing w:val="-1"/>
              </w:rPr>
              <w:t>omes</w:t>
            </w:r>
            <w:r w:rsidRPr="004B27CA">
              <w:rPr>
                <w:b/>
                <w:spacing w:val="-10"/>
              </w:rPr>
              <w:t xml:space="preserve"> </w:t>
            </w:r>
            <w:r w:rsidRPr="004B27CA">
              <w:rPr>
                <w:b/>
              </w:rPr>
              <w:t>Initiativ</w:t>
            </w:r>
            <w:r w:rsidRPr="004B27CA">
              <w:rPr>
                <w:b/>
                <w:spacing w:val="-3"/>
              </w:rPr>
              <w:t>e</w:t>
            </w:r>
          </w:p>
          <w:p w:rsidR="004B27CA" w:rsidRPr="00D94409" w:rsidRDefault="004B27CA" w:rsidP="004B27CA">
            <w:pPr>
              <w:spacing w:before="120"/>
              <w:rPr>
                <w:rFonts w:cs="Century"/>
              </w:rPr>
            </w:pPr>
            <w:r w:rsidRPr="00D94409">
              <w:rPr>
                <w:w w:val="105"/>
              </w:rPr>
              <w:t>The</w:t>
            </w:r>
            <w:r w:rsidRPr="00D94409">
              <w:rPr>
                <w:spacing w:val="-20"/>
                <w:w w:val="105"/>
              </w:rPr>
              <w:t xml:space="preserve"> </w:t>
            </w:r>
            <w:r w:rsidRPr="00D94409">
              <w:rPr>
                <w:w w:val="105"/>
              </w:rPr>
              <w:t>H</w:t>
            </w:r>
            <w:r w:rsidRPr="00D94409">
              <w:rPr>
                <w:spacing w:val="-1"/>
                <w:w w:val="105"/>
              </w:rPr>
              <w:t>e</w:t>
            </w:r>
            <w:r w:rsidRPr="00D94409">
              <w:rPr>
                <w:w w:val="105"/>
              </w:rPr>
              <w:t>alth</w:t>
            </w:r>
            <w:r w:rsidRPr="00D94409">
              <w:rPr>
                <w:spacing w:val="-1"/>
                <w:w w:val="105"/>
              </w:rPr>
              <w:t>y</w:t>
            </w:r>
            <w:r w:rsidRPr="00D94409">
              <w:rPr>
                <w:spacing w:val="-20"/>
                <w:w w:val="105"/>
              </w:rPr>
              <w:t xml:space="preserve"> </w:t>
            </w:r>
            <w:r w:rsidRPr="00D94409">
              <w:rPr>
                <w:w w:val="105"/>
              </w:rPr>
              <w:t>Homes</w:t>
            </w:r>
            <w:r w:rsidRPr="00D94409">
              <w:rPr>
                <w:spacing w:val="-19"/>
                <w:w w:val="105"/>
              </w:rPr>
              <w:t xml:space="preserve"> </w:t>
            </w:r>
            <w:r w:rsidRPr="00D94409">
              <w:rPr>
                <w:w w:val="105"/>
              </w:rPr>
              <w:t>Initiati</w:t>
            </w:r>
            <w:r w:rsidRPr="00D94409">
              <w:rPr>
                <w:spacing w:val="-1"/>
                <w:w w:val="105"/>
              </w:rPr>
              <w:t>ve</w:t>
            </w:r>
            <w:r w:rsidRPr="00D94409">
              <w:rPr>
                <w:spacing w:val="-20"/>
                <w:w w:val="105"/>
              </w:rPr>
              <w:t xml:space="preserve"> </w:t>
            </w:r>
            <w:r w:rsidRPr="00D94409">
              <w:rPr>
                <w:w w:val="105"/>
              </w:rPr>
              <w:t>s</w:t>
            </w:r>
            <w:r w:rsidRPr="00D94409">
              <w:rPr>
                <w:spacing w:val="-1"/>
                <w:w w:val="105"/>
              </w:rPr>
              <w:t>y</w:t>
            </w:r>
            <w:r w:rsidRPr="00D94409">
              <w:rPr>
                <w:w w:val="105"/>
              </w:rPr>
              <w:t>st</w:t>
            </w:r>
            <w:r w:rsidRPr="00D94409">
              <w:rPr>
                <w:spacing w:val="-1"/>
                <w:w w:val="105"/>
              </w:rPr>
              <w:t>ematically</w:t>
            </w:r>
            <w:r w:rsidRPr="00D94409">
              <w:rPr>
                <w:spacing w:val="31"/>
                <w:w w:val="107"/>
              </w:rPr>
              <w:t xml:space="preserve"> </w:t>
            </w:r>
            <w:r w:rsidRPr="00D94409">
              <w:rPr>
                <w:w w:val="105"/>
              </w:rPr>
              <w:t>identifies</w:t>
            </w:r>
            <w:r w:rsidRPr="00D94409">
              <w:rPr>
                <w:spacing w:val="-15"/>
                <w:w w:val="105"/>
              </w:rPr>
              <w:t xml:space="preserve"> </w:t>
            </w:r>
            <w:r w:rsidRPr="00D94409">
              <w:rPr>
                <w:w w:val="105"/>
              </w:rPr>
              <w:t>families</w:t>
            </w:r>
            <w:r w:rsidRPr="00D94409">
              <w:rPr>
                <w:spacing w:val="-15"/>
                <w:w w:val="105"/>
              </w:rPr>
              <w:t xml:space="preserve"> </w:t>
            </w:r>
            <w:r w:rsidRPr="00D94409">
              <w:rPr>
                <w:w w:val="105"/>
              </w:rPr>
              <w:t>with</w:t>
            </w:r>
            <w:r w:rsidRPr="00D94409">
              <w:rPr>
                <w:spacing w:val="-14"/>
                <w:w w:val="105"/>
              </w:rPr>
              <w:t xml:space="preserve"> </w:t>
            </w:r>
            <w:r w:rsidRPr="00D94409">
              <w:rPr>
                <w:spacing w:val="-1"/>
                <w:w w:val="105"/>
              </w:rPr>
              <w:t>children</w:t>
            </w:r>
            <w:r w:rsidRPr="00D94409">
              <w:rPr>
                <w:spacing w:val="-15"/>
                <w:w w:val="105"/>
              </w:rPr>
              <w:t xml:space="preserve"> </w:t>
            </w:r>
            <w:r w:rsidRPr="00D94409">
              <w:rPr>
                <w:w w:val="105"/>
              </w:rPr>
              <w:t>at</w:t>
            </w:r>
            <w:r w:rsidRPr="00D94409">
              <w:rPr>
                <w:spacing w:val="-15"/>
                <w:w w:val="105"/>
              </w:rPr>
              <w:t xml:space="preserve"> </w:t>
            </w:r>
            <w:r w:rsidRPr="00D94409">
              <w:rPr>
                <w:w w:val="105"/>
              </w:rPr>
              <w:t>risk</w:t>
            </w:r>
            <w:r w:rsidRPr="00D94409">
              <w:rPr>
                <w:spacing w:val="-14"/>
                <w:w w:val="105"/>
              </w:rPr>
              <w:t xml:space="preserve"> </w:t>
            </w:r>
            <w:r w:rsidRPr="00D94409">
              <w:rPr>
                <w:w w:val="105"/>
              </w:rPr>
              <w:t>of</w:t>
            </w:r>
            <w:r w:rsidRPr="00D94409">
              <w:rPr>
                <w:spacing w:val="-15"/>
                <w:w w:val="105"/>
              </w:rPr>
              <w:t xml:space="preserve"> </w:t>
            </w:r>
            <w:r w:rsidRPr="00D94409">
              <w:rPr>
                <w:w w:val="105"/>
              </w:rPr>
              <w:t>getting</w:t>
            </w:r>
            <w:r w:rsidRPr="00D94409">
              <w:rPr>
                <w:spacing w:val="29"/>
                <w:w w:val="104"/>
              </w:rPr>
              <w:t xml:space="preserve"> </w:t>
            </w:r>
            <w:r w:rsidRPr="00D94409">
              <w:rPr>
                <w:w w:val="105"/>
              </w:rPr>
              <w:t>rheumatic</w:t>
            </w:r>
            <w:r w:rsidRPr="00D94409">
              <w:rPr>
                <w:spacing w:val="-8"/>
                <w:w w:val="105"/>
              </w:rPr>
              <w:t xml:space="preserve"> </w:t>
            </w:r>
            <w:r w:rsidRPr="00D94409">
              <w:rPr>
                <w:w w:val="105"/>
              </w:rPr>
              <w:t>fev</w:t>
            </w:r>
            <w:r w:rsidRPr="00D94409">
              <w:rPr>
                <w:spacing w:val="-3"/>
                <w:w w:val="105"/>
              </w:rPr>
              <w:t>er</w:t>
            </w:r>
            <w:r w:rsidRPr="00D94409">
              <w:rPr>
                <w:spacing w:val="-9"/>
                <w:w w:val="105"/>
              </w:rPr>
              <w:t xml:space="preserve"> </w:t>
            </w:r>
            <w:r w:rsidRPr="00D94409">
              <w:rPr>
                <w:spacing w:val="-1"/>
                <w:w w:val="105"/>
              </w:rPr>
              <w:t>who</w:t>
            </w:r>
            <w:r w:rsidRPr="00D94409">
              <w:rPr>
                <w:spacing w:val="-8"/>
                <w:w w:val="105"/>
              </w:rPr>
              <w:t xml:space="preserve"> </w:t>
            </w:r>
            <w:r w:rsidRPr="00D94409">
              <w:rPr>
                <w:w w:val="105"/>
              </w:rPr>
              <w:t>ar</w:t>
            </w:r>
            <w:r w:rsidRPr="00D94409">
              <w:rPr>
                <w:spacing w:val="-1"/>
                <w:w w:val="105"/>
              </w:rPr>
              <w:t>e</w:t>
            </w:r>
            <w:r w:rsidRPr="00D94409">
              <w:rPr>
                <w:spacing w:val="-8"/>
                <w:w w:val="105"/>
              </w:rPr>
              <w:t xml:space="preserve"> </w:t>
            </w:r>
            <w:r w:rsidRPr="00D94409">
              <w:rPr>
                <w:spacing w:val="-1"/>
                <w:w w:val="105"/>
              </w:rPr>
              <w:t>living</w:t>
            </w:r>
            <w:r w:rsidRPr="00D94409">
              <w:rPr>
                <w:spacing w:val="-8"/>
                <w:w w:val="105"/>
              </w:rPr>
              <w:t xml:space="preserve"> </w:t>
            </w:r>
            <w:r w:rsidRPr="00D94409">
              <w:rPr>
                <w:w w:val="105"/>
              </w:rPr>
              <w:t>in</w:t>
            </w:r>
            <w:r w:rsidRPr="00D94409">
              <w:rPr>
                <w:spacing w:val="-8"/>
                <w:w w:val="105"/>
              </w:rPr>
              <w:t xml:space="preserve"> </w:t>
            </w:r>
            <w:r w:rsidRPr="00D94409">
              <w:rPr>
                <w:spacing w:val="-1"/>
                <w:w w:val="105"/>
              </w:rPr>
              <w:t>crowded</w:t>
            </w:r>
            <w:r w:rsidRPr="00D94409">
              <w:rPr>
                <w:spacing w:val="23"/>
                <w:w w:val="110"/>
              </w:rPr>
              <w:t xml:space="preserve"> </w:t>
            </w:r>
            <w:r w:rsidRPr="00D94409">
              <w:rPr>
                <w:w w:val="105"/>
              </w:rPr>
              <w:t>households.</w:t>
            </w:r>
            <w:r w:rsidRPr="00D94409">
              <w:rPr>
                <w:spacing w:val="-13"/>
                <w:w w:val="105"/>
              </w:rPr>
              <w:t xml:space="preserve"> </w:t>
            </w:r>
            <w:r w:rsidRPr="00D94409">
              <w:rPr>
                <w:w w:val="105"/>
              </w:rPr>
              <w:t>The</w:t>
            </w:r>
            <w:r w:rsidRPr="00D94409">
              <w:rPr>
                <w:spacing w:val="-13"/>
                <w:w w:val="105"/>
              </w:rPr>
              <w:t xml:space="preserve"> </w:t>
            </w:r>
            <w:r w:rsidRPr="00D94409">
              <w:rPr>
                <w:spacing w:val="-1"/>
                <w:w w:val="105"/>
              </w:rPr>
              <w:t>initiative</w:t>
            </w:r>
            <w:r w:rsidRPr="00D94409">
              <w:rPr>
                <w:spacing w:val="-12"/>
                <w:w w:val="105"/>
              </w:rPr>
              <w:t xml:space="preserve"> </w:t>
            </w:r>
            <w:r w:rsidRPr="00D94409">
              <w:rPr>
                <w:w w:val="105"/>
              </w:rPr>
              <w:t>facilitates</w:t>
            </w:r>
            <w:r w:rsidRPr="00D94409">
              <w:rPr>
                <w:spacing w:val="-13"/>
                <w:w w:val="105"/>
              </w:rPr>
              <w:t xml:space="preserve"> </w:t>
            </w:r>
            <w:r w:rsidRPr="00D94409">
              <w:rPr>
                <w:w w:val="105"/>
              </w:rPr>
              <w:t>access</w:t>
            </w:r>
            <w:r w:rsidRPr="00D94409">
              <w:rPr>
                <w:spacing w:val="-12"/>
                <w:w w:val="105"/>
              </w:rPr>
              <w:t xml:space="preserve"> </w:t>
            </w:r>
            <w:r w:rsidRPr="00D94409">
              <w:rPr>
                <w:w w:val="105"/>
              </w:rPr>
              <w:t>t</w:t>
            </w:r>
            <w:r w:rsidRPr="00D94409">
              <w:rPr>
                <w:spacing w:val="-1"/>
                <w:w w:val="105"/>
              </w:rPr>
              <w:t>o</w:t>
            </w:r>
            <w:r w:rsidRPr="00D94409">
              <w:rPr>
                <w:spacing w:val="-13"/>
                <w:w w:val="105"/>
              </w:rPr>
              <w:t xml:space="preserve"> </w:t>
            </w:r>
            <w:r w:rsidRPr="00D94409">
              <w:rPr>
                <w:w w:val="105"/>
              </w:rPr>
              <w:t>a</w:t>
            </w:r>
            <w:r w:rsidRPr="00D94409">
              <w:rPr>
                <w:spacing w:val="27"/>
                <w:w w:val="99"/>
              </w:rPr>
              <w:t xml:space="preserve"> </w:t>
            </w:r>
            <w:r w:rsidRPr="00D94409">
              <w:rPr>
                <w:w w:val="105"/>
              </w:rPr>
              <w:t>range</w:t>
            </w:r>
            <w:r w:rsidRPr="00D94409">
              <w:rPr>
                <w:spacing w:val="-1"/>
                <w:w w:val="105"/>
              </w:rPr>
              <w:t xml:space="preserve"> </w:t>
            </w:r>
            <w:r w:rsidRPr="00D94409">
              <w:rPr>
                <w:w w:val="105"/>
              </w:rPr>
              <w:t xml:space="preserve">of </w:t>
            </w:r>
            <w:r w:rsidRPr="00D94409">
              <w:rPr>
                <w:spacing w:val="-1"/>
                <w:w w:val="105"/>
              </w:rPr>
              <w:t>int</w:t>
            </w:r>
            <w:r w:rsidRPr="00D94409">
              <w:rPr>
                <w:w w:val="105"/>
              </w:rPr>
              <w:t>er</w:t>
            </w:r>
            <w:r w:rsidRPr="00D94409">
              <w:rPr>
                <w:spacing w:val="-1"/>
                <w:w w:val="105"/>
              </w:rPr>
              <w:t xml:space="preserve">ventions </w:t>
            </w:r>
            <w:r w:rsidRPr="00D94409">
              <w:rPr>
                <w:w w:val="105"/>
              </w:rPr>
              <w:t>t</w:t>
            </w:r>
            <w:r w:rsidRPr="00D94409">
              <w:rPr>
                <w:spacing w:val="-1"/>
                <w:w w:val="105"/>
              </w:rPr>
              <w:t>o</w:t>
            </w:r>
            <w:r w:rsidRPr="00D94409">
              <w:rPr>
                <w:w w:val="105"/>
              </w:rPr>
              <w:t xml:space="preserve"> r</w:t>
            </w:r>
            <w:r w:rsidRPr="00D94409">
              <w:rPr>
                <w:spacing w:val="-1"/>
                <w:w w:val="105"/>
              </w:rPr>
              <w:t xml:space="preserve">educe </w:t>
            </w:r>
            <w:r w:rsidRPr="00D94409">
              <w:rPr>
                <w:w w:val="105"/>
              </w:rPr>
              <w:t>ov</w:t>
            </w:r>
            <w:r w:rsidRPr="00D94409">
              <w:rPr>
                <w:spacing w:val="-3"/>
                <w:w w:val="105"/>
              </w:rPr>
              <w:t>er</w:t>
            </w:r>
            <w:r w:rsidRPr="00D94409">
              <w:rPr>
                <w:w w:val="105"/>
              </w:rPr>
              <w:t>crowding.</w:t>
            </w:r>
          </w:p>
          <w:p w:rsidR="004B27CA" w:rsidRPr="00D94409" w:rsidRDefault="004B27CA" w:rsidP="004B27CA">
            <w:pPr>
              <w:spacing w:before="120"/>
              <w:rPr>
                <w:rFonts w:cs="Century"/>
              </w:rPr>
            </w:pPr>
            <w:r w:rsidRPr="00D94409">
              <w:rPr>
                <w:rFonts w:cs="Century"/>
                <w:w w:val="105"/>
              </w:rPr>
              <w:t>The</w:t>
            </w:r>
            <w:r w:rsidRPr="00D94409">
              <w:rPr>
                <w:rFonts w:cs="Century"/>
                <w:spacing w:val="-19"/>
                <w:w w:val="105"/>
              </w:rPr>
              <w:t xml:space="preserve"> </w:t>
            </w:r>
            <w:r w:rsidRPr="00D94409">
              <w:rPr>
                <w:rFonts w:cs="Century"/>
                <w:w w:val="105"/>
              </w:rPr>
              <w:t>first</w:t>
            </w:r>
            <w:r w:rsidRPr="00D94409">
              <w:rPr>
                <w:rFonts w:cs="Century"/>
                <w:spacing w:val="-18"/>
                <w:w w:val="105"/>
              </w:rPr>
              <w:t xml:space="preserve"> </w:t>
            </w:r>
            <w:r w:rsidRPr="00D94409">
              <w:rPr>
                <w:rFonts w:cs="Century"/>
                <w:w w:val="105"/>
              </w:rPr>
              <w:t>of</w:t>
            </w:r>
            <w:r w:rsidRPr="00D94409">
              <w:rPr>
                <w:rFonts w:cs="Century"/>
                <w:spacing w:val="-19"/>
                <w:w w:val="105"/>
              </w:rPr>
              <w:t xml:space="preserve"> </w:t>
            </w:r>
            <w:r w:rsidRPr="00D94409">
              <w:rPr>
                <w:rFonts w:cs="Century"/>
                <w:w w:val="105"/>
              </w:rPr>
              <w:t>these</w:t>
            </w:r>
            <w:r w:rsidRPr="00D94409">
              <w:rPr>
                <w:rFonts w:cs="Century"/>
                <w:spacing w:val="-18"/>
                <w:w w:val="105"/>
              </w:rPr>
              <w:t xml:space="preserve"> </w:t>
            </w:r>
            <w:r w:rsidRPr="00D94409">
              <w:rPr>
                <w:rFonts w:cs="Century"/>
                <w:spacing w:val="-1"/>
                <w:w w:val="105"/>
              </w:rPr>
              <w:t>initiative</w:t>
            </w:r>
            <w:r w:rsidRPr="00D94409">
              <w:rPr>
                <w:rFonts w:cs="Century"/>
                <w:w w:val="105"/>
              </w:rPr>
              <w:t>s</w:t>
            </w:r>
            <w:r w:rsidRPr="00D94409">
              <w:rPr>
                <w:rFonts w:cs="Century"/>
                <w:spacing w:val="-18"/>
                <w:w w:val="105"/>
              </w:rPr>
              <w:t xml:space="preserve"> </w:t>
            </w:r>
            <w:r w:rsidRPr="00D94409">
              <w:rPr>
                <w:rFonts w:cs="Century"/>
                <w:spacing w:val="-1"/>
                <w:w w:val="105"/>
              </w:rPr>
              <w:t>w</w:t>
            </w:r>
            <w:r w:rsidRPr="00D94409">
              <w:rPr>
                <w:rFonts w:cs="Century"/>
                <w:w w:val="105"/>
              </w:rPr>
              <w:t>as</w:t>
            </w:r>
            <w:r w:rsidRPr="00D94409">
              <w:rPr>
                <w:rFonts w:cs="Century"/>
                <w:spacing w:val="-19"/>
                <w:w w:val="105"/>
              </w:rPr>
              <w:t xml:space="preserve"> </w:t>
            </w:r>
            <w:r w:rsidRPr="00D94409">
              <w:rPr>
                <w:rFonts w:cs="Century"/>
                <w:w w:val="105"/>
              </w:rPr>
              <w:t>set</w:t>
            </w:r>
            <w:r w:rsidRPr="00D94409">
              <w:rPr>
                <w:rFonts w:cs="Century"/>
                <w:spacing w:val="-18"/>
                <w:w w:val="105"/>
              </w:rPr>
              <w:t xml:space="preserve"> </w:t>
            </w:r>
            <w:r w:rsidRPr="00D94409">
              <w:rPr>
                <w:rFonts w:cs="Century"/>
                <w:spacing w:val="-1"/>
                <w:w w:val="105"/>
              </w:rPr>
              <w:t>up</w:t>
            </w:r>
            <w:r w:rsidRPr="00D94409">
              <w:rPr>
                <w:rFonts w:cs="Century"/>
                <w:spacing w:val="-18"/>
                <w:w w:val="105"/>
              </w:rPr>
              <w:t xml:space="preserve"> </w:t>
            </w:r>
            <w:r w:rsidRPr="00D94409">
              <w:rPr>
                <w:rFonts w:cs="Century"/>
                <w:w w:val="105"/>
              </w:rPr>
              <w:t>in</w:t>
            </w:r>
            <w:r w:rsidRPr="00D94409">
              <w:rPr>
                <w:rFonts w:cs="Century"/>
                <w:spacing w:val="-19"/>
                <w:w w:val="105"/>
              </w:rPr>
              <w:t xml:space="preserve"> </w:t>
            </w:r>
            <w:r w:rsidRPr="00D94409">
              <w:rPr>
                <w:rFonts w:cs="Century"/>
                <w:w w:val="105"/>
              </w:rPr>
              <w:t>A</w:t>
            </w:r>
            <w:r w:rsidRPr="00D94409">
              <w:rPr>
                <w:rFonts w:cs="Century"/>
                <w:spacing w:val="-1"/>
                <w:w w:val="105"/>
              </w:rPr>
              <w:t>uckland</w:t>
            </w:r>
            <w:r w:rsidRPr="00D94409">
              <w:rPr>
                <w:rFonts w:cs="Century"/>
                <w:spacing w:val="27"/>
                <w:w w:val="106"/>
              </w:rPr>
              <w:t xml:space="preserve"> </w:t>
            </w:r>
            <w:r w:rsidRPr="00D94409">
              <w:rPr>
                <w:rFonts w:cs="Century"/>
                <w:w w:val="105"/>
              </w:rPr>
              <w:t>in</w:t>
            </w:r>
            <w:r w:rsidRPr="00D94409">
              <w:rPr>
                <w:rFonts w:cs="Century"/>
                <w:spacing w:val="-26"/>
                <w:w w:val="105"/>
              </w:rPr>
              <w:t xml:space="preserve"> </w:t>
            </w:r>
            <w:r w:rsidRPr="00D94409">
              <w:rPr>
                <w:rFonts w:cs="Century"/>
                <w:w w:val="105"/>
              </w:rPr>
              <w:t>December</w:t>
            </w:r>
            <w:r w:rsidRPr="00D94409">
              <w:rPr>
                <w:rFonts w:cs="Century"/>
                <w:spacing w:val="-26"/>
                <w:w w:val="105"/>
              </w:rPr>
              <w:t xml:space="preserve"> </w:t>
            </w:r>
            <w:r w:rsidRPr="00D94409">
              <w:rPr>
                <w:rFonts w:cs="Century"/>
                <w:w w:val="105"/>
              </w:rPr>
              <w:t>2013</w:t>
            </w:r>
            <w:r w:rsidRPr="00D94409">
              <w:rPr>
                <w:rFonts w:cs="Century"/>
                <w:spacing w:val="-1"/>
                <w:w w:val="105"/>
              </w:rPr>
              <w:t>.</w:t>
            </w:r>
            <w:r w:rsidRPr="00D94409">
              <w:rPr>
                <w:rFonts w:cs="Century"/>
                <w:spacing w:val="-26"/>
                <w:w w:val="105"/>
              </w:rPr>
              <w:t xml:space="preserve"> </w:t>
            </w:r>
            <w:r w:rsidRPr="00D94409">
              <w:rPr>
                <w:rFonts w:cs="Century"/>
                <w:w w:val="105"/>
              </w:rPr>
              <w:t>In</w:t>
            </w:r>
            <w:r w:rsidRPr="00D94409">
              <w:rPr>
                <w:rFonts w:cs="Century"/>
                <w:spacing w:val="-26"/>
                <w:w w:val="105"/>
              </w:rPr>
              <w:t xml:space="preserve"> </w:t>
            </w:r>
            <w:r w:rsidRPr="00D94409">
              <w:rPr>
                <w:rFonts w:cs="Century"/>
                <w:w w:val="105"/>
              </w:rPr>
              <w:t>Mar</w:t>
            </w:r>
            <w:r w:rsidRPr="00D94409">
              <w:rPr>
                <w:rFonts w:cs="Century"/>
                <w:spacing w:val="-1"/>
                <w:w w:val="105"/>
              </w:rPr>
              <w:t>ch</w:t>
            </w:r>
            <w:r w:rsidRPr="00D94409">
              <w:rPr>
                <w:rFonts w:cs="Century"/>
                <w:spacing w:val="-25"/>
                <w:w w:val="105"/>
              </w:rPr>
              <w:t xml:space="preserve"> </w:t>
            </w:r>
            <w:r w:rsidRPr="00D94409">
              <w:rPr>
                <w:rFonts w:cs="Century"/>
                <w:w w:val="105"/>
              </w:rPr>
              <w:t>2015</w:t>
            </w:r>
            <w:r w:rsidRPr="00D94409">
              <w:rPr>
                <w:rFonts w:cs="Century"/>
                <w:spacing w:val="-1"/>
                <w:w w:val="105"/>
              </w:rPr>
              <w:t>,</w:t>
            </w:r>
            <w:r w:rsidRPr="00D94409">
              <w:rPr>
                <w:rFonts w:cs="Century"/>
                <w:spacing w:val="-26"/>
                <w:w w:val="105"/>
              </w:rPr>
              <w:t xml:space="preserve"> </w:t>
            </w:r>
            <w:r w:rsidRPr="00D94409">
              <w:rPr>
                <w:rFonts w:cs="Century"/>
                <w:w w:val="105"/>
              </w:rPr>
              <w:t>H</w:t>
            </w:r>
            <w:r w:rsidRPr="00D94409">
              <w:rPr>
                <w:rFonts w:cs="Century"/>
                <w:spacing w:val="-1"/>
                <w:w w:val="105"/>
              </w:rPr>
              <w:t>e</w:t>
            </w:r>
            <w:r w:rsidRPr="00D94409">
              <w:rPr>
                <w:rFonts w:cs="Century"/>
                <w:w w:val="105"/>
              </w:rPr>
              <w:t>alth</w:t>
            </w:r>
            <w:r w:rsidRPr="00D94409">
              <w:rPr>
                <w:rFonts w:cs="Century"/>
                <w:spacing w:val="-1"/>
                <w:w w:val="105"/>
              </w:rPr>
              <w:t>y</w:t>
            </w:r>
            <w:r w:rsidRPr="00D94409">
              <w:rPr>
                <w:rFonts w:cs="Century"/>
                <w:spacing w:val="-26"/>
                <w:w w:val="105"/>
              </w:rPr>
              <w:t xml:space="preserve"> </w:t>
            </w:r>
            <w:r w:rsidRPr="00D94409">
              <w:rPr>
                <w:rFonts w:cs="Century"/>
                <w:w w:val="105"/>
              </w:rPr>
              <w:t>Homes</w:t>
            </w:r>
            <w:r w:rsidRPr="00D94409">
              <w:rPr>
                <w:rFonts w:cs="Century"/>
                <w:spacing w:val="20"/>
                <w:w w:val="101"/>
              </w:rPr>
              <w:t xml:space="preserve"> </w:t>
            </w:r>
            <w:r w:rsidRPr="00D94409">
              <w:rPr>
                <w:rFonts w:cs="Century"/>
                <w:w w:val="105"/>
              </w:rPr>
              <w:t>Initiati</w:t>
            </w:r>
            <w:r w:rsidRPr="00D94409">
              <w:rPr>
                <w:rFonts w:cs="Century"/>
                <w:spacing w:val="-1"/>
                <w:w w:val="105"/>
              </w:rPr>
              <w:t>ve</w:t>
            </w:r>
            <w:r w:rsidRPr="00D94409">
              <w:rPr>
                <w:rFonts w:cs="Century"/>
                <w:w w:val="105"/>
              </w:rPr>
              <w:t>s</w:t>
            </w:r>
            <w:r w:rsidRPr="00D94409">
              <w:rPr>
                <w:rFonts w:cs="Century"/>
                <w:spacing w:val="-10"/>
                <w:w w:val="105"/>
              </w:rPr>
              <w:t xml:space="preserve"> </w:t>
            </w:r>
            <w:r w:rsidRPr="00D94409">
              <w:rPr>
                <w:rFonts w:cs="Century"/>
                <w:w w:val="105"/>
              </w:rPr>
              <w:t>w</w:t>
            </w:r>
            <w:r w:rsidRPr="00D94409">
              <w:rPr>
                <w:rFonts w:cs="Century"/>
                <w:spacing w:val="-3"/>
                <w:w w:val="105"/>
              </w:rPr>
              <w:t>er</w:t>
            </w:r>
            <w:r w:rsidRPr="00D94409">
              <w:rPr>
                <w:rFonts w:cs="Century"/>
                <w:w w:val="105"/>
              </w:rPr>
              <w:t>e</w:t>
            </w:r>
            <w:r w:rsidRPr="00D94409">
              <w:rPr>
                <w:rFonts w:cs="Century"/>
                <w:spacing w:val="-9"/>
                <w:w w:val="105"/>
              </w:rPr>
              <w:t xml:space="preserve"> </w:t>
            </w:r>
            <w:r w:rsidRPr="00D94409">
              <w:rPr>
                <w:rFonts w:cs="Century"/>
                <w:spacing w:val="-1"/>
                <w:w w:val="105"/>
              </w:rPr>
              <w:t>expanded</w:t>
            </w:r>
            <w:r w:rsidRPr="00D94409">
              <w:rPr>
                <w:rFonts w:cs="Century"/>
                <w:spacing w:val="-10"/>
                <w:w w:val="105"/>
              </w:rPr>
              <w:t xml:space="preserve"> </w:t>
            </w:r>
            <w:r w:rsidRPr="00D94409">
              <w:rPr>
                <w:rFonts w:cs="Century"/>
                <w:w w:val="105"/>
              </w:rPr>
              <w:t>t</w:t>
            </w:r>
            <w:r w:rsidRPr="00D94409">
              <w:rPr>
                <w:rFonts w:cs="Century"/>
                <w:spacing w:val="-1"/>
                <w:w w:val="105"/>
              </w:rPr>
              <w:t>o</w:t>
            </w:r>
            <w:r w:rsidRPr="00D94409">
              <w:rPr>
                <w:rFonts w:cs="Century"/>
                <w:spacing w:val="-9"/>
                <w:w w:val="105"/>
              </w:rPr>
              <w:t xml:space="preserve"> </w:t>
            </w:r>
            <w:r w:rsidRPr="00D94409">
              <w:rPr>
                <w:rFonts w:cs="Century"/>
                <w:w w:val="105"/>
              </w:rPr>
              <w:t>the</w:t>
            </w:r>
            <w:r w:rsidRPr="00D94409">
              <w:rPr>
                <w:rFonts w:cs="Century"/>
                <w:spacing w:val="-9"/>
                <w:w w:val="105"/>
              </w:rPr>
              <w:t xml:space="preserve"> </w:t>
            </w:r>
            <w:r w:rsidRPr="00D94409">
              <w:rPr>
                <w:rFonts w:cs="Century"/>
                <w:w w:val="105"/>
              </w:rPr>
              <w:t>r</w:t>
            </w:r>
            <w:r w:rsidRPr="00D94409">
              <w:rPr>
                <w:rFonts w:cs="Century"/>
                <w:spacing w:val="-1"/>
                <w:w w:val="105"/>
              </w:rPr>
              <w:t>egions</w:t>
            </w:r>
            <w:r w:rsidRPr="00D94409">
              <w:rPr>
                <w:rFonts w:cs="Century"/>
                <w:spacing w:val="-10"/>
                <w:w w:val="105"/>
              </w:rPr>
              <w:t xml:space="preserve"> </w:t>
            </w:r>
            <w:r w:rsidRPr="00D94409">
              <w:rPr>
                <w:rFonts w:cs="Century"/>
                <w:w w:val="105"/>
              </w:rPr>
              <w:t>of</w:t>
            </w:r>
            <w:r w:rsidRPr="00D94409">
              <w:rPr>
                <w:rFonts w:cs="Century"/>
                <w:spacing w:val="43"/>
                <w:w w:val="116"/>
              </w:rPr>
              <w:t xml:space="preserve"> </w:t>
            </w:r>
            <w:r w:rsidRPr="00D94409">
              <w:rPr>
                <w:rFonts w:cs="Century"/>
                <w:w w:val="105"/>
              </w:rPr>
              <w:t>N</w:t>
            </w:r>
            <w:r w:rsidRPr="00D94409">
              <w:rPr>
                <w:rFonts w:cs="Century"/>
                <w:spacing w:val="-1"/>
                <w:w w:val="105"/>
              </w:rPr>
              <w:t>orthland,</w:t>
            </w:r>
            <w:r w:rsidRPr="00D94409">
              <w:rPr>
                <w:rFonts w:cs="Century"/>
                <w:spacing w:val="-26"/>
                <w:w w:val="105"/>
              </w:rPr>
              <w:t xml:space="preserve"> </w:t>
            </w:r>
            <w:r w:rsidRPr="00D94409">
              <w:rPr>
                <w:rFonts w:cs="Century"/>
                <w:spacing w:val="-4"/>
                <w:w w:val="105"/>
              </w:rPr>
              <w:t>Waikat</w:t>
            </w:r>
            <w:r w:rsidRPr="00D94409">
              <w:rPr>
                <w:rFonts w:cs="Century"/>
                <w:spacing w:val="-3"/>
                <w:w w:val="105"/>
              </w:rPr>
              <w:t>o,</w:t>
            </w:r>
            <w:r w:rsidRPr="00D94409">
              <w:rPr>
                <w:rFonts w:cs="Century"/>
                <w:spacing w:val="-26"/>
                <w:w w:val="105"/>
              </w:rPr>
              <w:t xml:space="preserve"> </w:t>
            </w:r>
            <w:r w:rsidRPr="00D94409">
              <w:rPr>
                <w:rFonts w:cs="Century"/>
                <w:spacing w:val="-3"/>
                <w:w w:val="105"/>
              </w:rPr>
              <w:t>W</w:t>
            </w:r>
            <w:r w:rsidRPr="00D94409">
              <w:rPr>
                <w:rFonts w:cs="Century"/>
                <w:w w:val="105"/>
              </w:rPr>
              <w:t>ellington,</w:t>
            </w:r>
            <w:r w:rsidRPr="00D94409">
              <w:rPr>
                <w:rFonts w:cs="Century"/>
                <w:spacing w:val="-26"/>
                <w:w w:val="105"/>
              </w:rPr>
              <w:t xml:space="preserve"> </w:t>
            </w:r>
            <w:r w:rsidRPr="00D94409">
              <w:rPr>
                <w:rFonts w:cs="Century"/>
                <w:w w:val="105"/>
              </w:rPr>
              <w:t>Lakes,</w:t>
            </w:r>
            <w:r w:rsidRPr="00D94409">
              <w:rPr>
                <w:rFonts w:cs="Century"/>
                <w:spacing w:val="-25"/>
                <w:w w:val="105"/>
              </w:rPr>
              <w:t xml:space="preserve"> </w:t>
            </w:r>
            <w:r w:rsidRPr="00D94409">
              <w:rPr>
                <w:rFonts w:cs="Century"/>
                <w:spacing w:val="-3"/>
                <w:w w:val="105"/>
              </w:rPr>
              <w:t>Ba</w:t>
            </w:r>
            <w:r w:rsidRPr="00D94409">
              <w:rPr>
                <w:rFonts w:cs="Century"/>
                <w:w w:val="105"/>
              </w:rPr>
              <w:t>y</w:t>
            </w:r>
            <w:r w:rsidRPr="00D94409">
              <w:rPr>
                <w:rFonts w:cs="Century"/>
                <w:spacing w:val="-26"/>
                <w:w w:val="105"/>
              </w:rPr>
              <w:t xml:space="preserve"> </w:t>
            </w:r>
            <w:r w:rsidRPr="00D94409">
              <w:rPr>
                <w:rFonts w:cs="Century"/>
                <w:w w:val="105"/>
              </w:rPr>
              <w:t>of</w:t>
            </w:r>
            <w:r w:rsidRPr="00D94409">
              <w:rPr>
                <w:rFonts w:cs="Century"/>
                <w:spacing w:val="59"/>
                <w:w w:val="116"/>
              </w:rPr>
              <w:t xml:space="preserve"> </w:t>
            </w:r>
            <w:r w:rsidRPr="00D94409">
              <w:rPr>
                <w:rFonts w:cs="Century"/>
                <w:spacing w:val="-4"/>
                <w:w w:val="105"/>
              </w:rPr>
              <w:t>P</w:t>
            </w:r>
            <w:r w:rsidRPr="00D94409">
              <w:rPr>
                <w:rFonts w:cs="Century"/>
                <w:spacing w:val="-3"/>
                <w:w w:val="105"/>
              </w:rPr>
              <w:t>lenty,</w:t>
            </w:r>
            <w:r w:rsidRPr="00D94409">
              <w:rPr>
                <w:rFonts w:cs="Century"/>
                <w:spacing w:val="-27"/>
                <w:w w:val="105"/>
              </w:rPr>
              <w:t xml:space="preserve"> </w:t>
            </w:r>
            <w:r w:rsidRPr="00D94409">
              <w:rPr>
                <w:rFonts w:cs="Century"/>
                <w:spacing w:val="-4"/>
                <w:w w:val="105"/>
              </w:rPr>
              <w:t>Ha</w:t>
            </w:r>
            <w:r w:rsidRPr="00D94409">
              <w:rPr>
                <w:rFonts w:cs="Century"/>
                <w:spacing w:val="-3"/>
                <w:w w:val="105"/>
              </w:rPr>
              <w:t>w</w:t>
            </w:r>
            <w:r w:rsidRPr="00D94409">
              <w:rPr>
                <w:rFonts w:cs="Century"/>
                <w:spacing w:val="-4"/>
                <w:w w:val="105"/>
              </w:rPr>
              <w:t>k</w:t>
            </w:r>
            <w:r w:rsidRPr="00D94409">
              <w:rPr>
                <w:rFonts w:cs="Century"/>
                <w:spacing w:val="-3"/>
                <w:w w:val="105"/>
              </w:rPr>
              <w:t>e’</w:t>
            </w:r>
            <w:r w:rsidRPr="00D94409">
              <w:rPr>
                <w:rFonts w:cs="Century"/>
                <w:spacing w:val="-4"/>
                <w:w w:val="105"/>
              </w:rPr>
              <w:t>s</w:t>
            </w:r>
            <w:r w:rsidRPr="00D94409">
              <w:rPr>
                <w:rFonts w:cs="Century"/>
                <w:spacing w:val="-26"/>
                <w:w w:val="105"/>
              </w:rPr>
              <w:t xml:space="preserve"> </w:t>
            </w:r>
            <w:r w:rsidRPr="00D94409">
              <w:rPr>
                <w:rFonts w:cs="Century"/>
                <w:spacing w:val="-3"/>
                <w:w w:val="105"/>
              </w:rPr>
              <w:t>Ba</w:t>
            </w:r>
            <w:r w:rsidRPr="00D94409">
              <w:rPr>
                <w:rFonts w:cs="Century"/>
                <w:w w:val="105"/>
              </w:rPr>
              <w:t>y</w:t>
            </w:r>
            <w:r w:rsidRPr="00D94409">
              <w:rPr>
                <w:rFonts w:cs="Century"/>
                <w:spacing w:val="-26"/>
                <w:w w:val="105"/>
              </w:rPr>
              <w:t xml:space="preserve"> </w:t>
            </w:r>
            <w:r w:rsidRPr="00D94409">
              <w:rPr>
                <w:rFonts w:cs="Century"/>
                <w:w w:val="105"/>
              </w:rPr>
              <w:t>and</w:t>
            </w:r>
            <w:r w:rsidRPr="00D94409">
              <w:rPr>
                <w:rFonts w:cs="Century"/>
                <w:spacing w:val="-26"/>
                <w:w w:val="105"/>
              </w:rPr>
              <w:t xml:space="preserve"> </w:t>
            </w:r>
            <w:proofErr w:type="spellStart"/>
            <w:r w:rsidRPr="00D94409">
              <w:rPr>
                <w:rFonts w:cs="Century"/>
                <w:spacing w:val="-3"/>
                <w:w w:val="105"/>
              </w:rPr>
              <w:t>Tairā</w:t>
            </w:r>
            <w:r w:rsidRPr="00D94409">
              <w:rPr>
                <w:rFonts w:cs="Century"/>
                <w:w w:val="105"/>
              </w:rPr>
              <w:t>whiti</w:t>
            </w:r>
            <w:proofErr w:type="spellEnd"/>
            <w:r w:rsidRPr="00D94409">
              <w:rPr>
                <w:rFonts w:cs="Century"/>
                <w:spacing w:val="-26"/>
                <w:w w:val="105"/>
              </w:rPr>
              <w:t xml:space="preserve"> </w:t>
            </w:r>
            <w:r w:rsidRPr="00D94409">
              <w:rPr>
                <w:rFonts w:cs="Century"/>
                <w:w w:val="105"/>
              </w:rPr>
              <w:t>district</w:t>
            </w:r>
            <w:r w:rsidRPr="00D94409">
              <w:rPr>
                <w:rFonts w:cs="Century"/>
                <w:spacing w:val="-26"/>
                <w:w w:val="105"/>
              </w:rPr>
              <w:t xml:space="preserve"> </w:t>
            </w:r>
            <w:r w:rsidRPr="00D94409">
              <w:rPr>
                <w:rFonts w:cs="Century"/>
                <w:w w:val="105"/>
              </w:rPr>
              <w:t>health</w:t>
            </w:r>
            <w:r w:rsidRPr="00D94409">
              <w:rPr>
                <w:rFonts w:cs="Century"/>
                <w:spacing w:val="33"/>
                <w:w w:val="102"/>
              </w:rPr>
              <w:t xml:space="preserve"> </w:t>
            </w:r>
            <w:r w:rsidRPr="00D94409">
              <w:rPr>
                <w:rFonts w:cs="Century"/>
                <w:w w:val="105"/>
              </w:rPr>
              <w:t>boards.</w:t>
            </w:r>
            <w:r w:rsidRPr="00D94409">
              <w:rPr>
                <w:rFonts w:cs="Century"/>
                <w:spacing w:val="-6"/>
                <w:w w:val="105"/>
              </w:rPr>
              <w:t xml:space="preserve"> </w:t>
            </w:r>
            <w:r w:rsidRPr="00D94409">
              <w:rPr>
                <w:rFonts w:cs="Century"/>
                <w:w w:val="105"/>
              </w:rPr>
              <w:t>This</w:t>
            </w:r>
            <w:r w:rsidRPr="00D94409">
              <w:rPr>
                <w:rFonts w:cs="Century"/>
                <w:spacing w:val="-5"/>
                <w:w w:val="105"/>
              </w:rPr>
              <w:t xml:space="preserve"> </w:t>
            </w:r>
            <w:r w:rsidRPr="00D94409">
              <w:rPr>
                <w:rFonts w:cs="Century"/>
                <w:spacing w:val="-1"/>
                <w:w w:val="105"/>
              </w:rPr>
              <w:t>e</w:t>
            </w:r>
            <w:r w:rsidRPr="00D94409">
              <w:rPr>
                <w:rFonts w:cs="Century"/>
                <w:w w:val="105"/>
              </w:rPr>
              <w:t>xt</w:t>
            </w:r>
            <w:r w:rsidRPr="00D94409">
              <w:rPr>
                <w:rFonts w:cs="Century"/>
                <w:spacing w:val="-1"/>
                <w:w w:val="105"/>
              </w:rPr>
              <w:t>ension</w:t>
            </w:r>
            <w:r w:rsidRPr="00D94409">
              <w:rPr>
                <w:rFonts w:cs="Century"/>
                <w:spacing w:val="-6"/>
                <w:w w:val="105"/>
              </w:rPr>
              <w:t xml:space="preserve"> </w:t>
            </w:r>
            <w:r w:rsidRPr="00D94409">
              <w:rPr>
                <w:rFonts w:cs="Century"/>
                <w:w w:val="105"/>
              </w:rPr>
              <w:t>doubles</w:t>
            </w:r>
            <w:r w:rsidRPr="00D94409">
              <w:rPr>
                <w:rFonts w:cs="Century"/>
                <w:spacing w:val="-5"/>
                <w:w w:val="105"/>
              </w:rPr>
              <w:t xml:space="preserve"> </w:t>
            </w:r>
            <w:r w:rsidRPr="00D94409">
              <w:rPr>
                <w:rFonts w:cs="Century"/>
                <w:w w:val="105"/>
              </w:rPr>
              <w:t>the</w:t>
            </w:r>
            <w:r w:rsidRPr="00D94409">
              <w:rPr>
                <w:rFonts w:cs="Century"/>
                <w:spacing w:val="-6"/>
                <w:w w:val="105"/>
              </w:rPr>
              <w:t xml:space="preserve"> </w:t>
            </w:r>
            <w:r w:rsidRPr="00D94409">
              <w:rPr>
                <w:rFonts w:cs="Century"/>
                <w:w w:val="105"/>
              </w:rPr>
              <w:t>number</w:t>
            </w:r>
            <w:r w:rsidRPr="00D94409">
              <w:rPr>
                <w:rFonts w:cs="Century"/>
                <w:spacing w:val="-5"/>
                <w:w w:val="105"/>
              </w:rPr>
              <w:t xml:space="preserve"> </w:t>
            </w:r>
            <w:r w:rsidRPr="00D94409">
              <w:rPr>
                <w:rFonts w:cs="Century"/>
                <w:w w:val="105"/>
              </w:rPr>
              <w:t>of</w:t>
            </w:r>
            <w:r w:rsidRPr="00D94409">
              <w:rPr>
                <w:rFonts w:cs="Century"/>
                <w:spacing w:val="29"/>
                <w:w w:val="116"/>
              </w:rPr>
              <w:t xml:space="preserve"> </w:t>
            </w:r>
            <w:r w:rsidRPr="00D94409">
              <w:rPr>
                <w:rFonts w:cs="Century"/>
                <w:w w:val="105"/>
              </w:rPr>
              <w:t>families</w:t>
            </w:r>
            <w:r w:rsidRPr="00D94409">
              <w:rPr>
                <w:rFonts w:cs="Century"/>
                <w:spacing w:val="-12"/>
                <w:w w:val="105"/>
              </w:rPr>
              <w:t xml:space="preserve"> </w:t>
            </w:r>
            <w:r w:rsidRPr="00D94409">
              <w:rPr>
                <w:rFonts w:cs="Century"/>
                <w:spacing w:val="-1"/>
                <w:w w:val="105"/>
              </w:rPr>
              <w:t>who</w:t>
            </w:r>
            <w:r w:rsidRPr="00D94409">
              <w:rPr>
                <w:rFonts w:cs="Century"/>
                <w:spacing w:val="-11"/>
                <w:w w:val="105"/>
              </w:rPr>
              <w:t xml:space="preserve"> </w:t>
            </w:r>
            <w:r w:rsidRPr="00D94409">
              <w:rPr>
                <w:rFonts w:cs="Century"/>
                <w:w w:val="105"/>
              </w:rPr>
              <w:t>can</w:t>
            </w:r>
            <w:r w:rsidRPr="00D94409">
              <w:rPr>
                <w:rFonts w:cs="Century"/>
                <w:spacing w:val="-11"/>
                <w:w w:val="105"/>
              </w:rPr>
              <w:t xml:space="preserve"> </w:t>
            </w:r>
            <w:r w:rsidRPr="00D94409">
              <w:rPr>
                <w:rFonts w:cs="Century"/>
                <w:w w:val="105"/>
              </w:rPr>
              <w:t>be</w:t>
            </w:r>
            <w:r w:rsidRPr="00D94409">
              <w:rPr>
                <w:rFonts w:cs="Century"/>
                <w:spacing w:val="-11"/>
                <w:w w:val="105"/>
              </w:rPr>
              <w:t xml:space="preserve"> </w:t>
            </w:r>
            <w:r w:rsidRPr="00D94409">
              <w:rPr>
                <w:rFonts w:cs="Century"/>
                <w:w w:val="105"/>
              </w:rPr>
              <w:t>r</w:t>
            </w:r>
            <w:r w:rsidRPr="00D94409">
              <w:rPr>
                <w:rFonts w:cs="Century"/>
                <w:spacing w:val="-1"/>
                <w:w w:val="105"/>
              </w:rPr>
              <w:t>ef</w:t>
            </w:r>
            <w:r w:rsidRPr="00D94409">
              <w:rPr>
                <w:rFonts w:cs="Century"/>
                <w:w w:val="105"/>
              </w:rPr>
              <w:t>err</w:t>
            </w:r>
            <w:r w:rsidRPr="00D94409">
              <w:rPr>
                <w:rFonts w:cs="Century"/>
                <w:spacing w:val="-1"/>
                <w:w w:val="105"/>
              </w:rPr>
              <w:t>ed</w:t>
            </w:r>
            <w:r w:rsidRPr="00D94409">
              <w:rPr>
                <w:rFonts w:cs="Century"/>
                <w:spacing w:val="-11"/>
                <w:w w:val="105"/>
              </w:rPr>
              <w:t xml:space="preserve"> </w:t>
            </w:r>
            <w:r w:rsidRPr="00D94409">
              <w:rPr>
                <w:rFonts w:cs="Century"/>
                <w:w w:val="105"/>
              </w:rPr>
              <w:t>and</w:t>
            </w:r>
            <w:r w:rsidRPr="00D94409">
              <w:rPr>
                <w:rFonts w:cs="Century"/>
                <w:spacing w:val="-11"/>
                <w:w w:val="105"/>
              </w:rPr>
              <w:t xml:space="preserve"> </w:t>
            </w:r>
            <w:r w:rsidRPr="00D94409">
              <w:rPr>
                <w:rFonts w:cs="Century"/>
                <w:w w:val="105"/>
              </w:rPr>
              <w:t>assessed</w:t>
            </w:r>
            <w:r w:rsidRPr="00D94409">
              <w:rPr>
                <w:rFonts w:cs="Century"/>
                <w:spacing w:val="-11"/>
                <w:w w:val="105"/>
              </w:rPr>
              <w:t xml:space="preserve"> </w:t>
            </w:r>
            <w:r w:rsidRPr="00D94409">
              <w:rPr>
                <w:rFonts w:cs="Century"/>
                <w:spacing w:val="-1"/>
                <w:w w:val="105"/>
              </w:rPr>
              <w:t>for</w:t>
            </w:r>
            <w:r w:rsidRPr="00D94409">
              <w:rPr>
                <w:rFonts w:cs="Century"/>
                <w:spacing w:val="28"/>
                <w:w w:val="108"/>
              </w:rPr>
              <w:t xml:space="preserve"> </w:t>
            </w:r>
            <w:r w:rsidRPr="00D94409">
              <w:rPr>
                <w:rFonts w:cs="Century"/>
                <w:w w:val="105"/>
              </w:rPr>
              <w:t>housing</w:t>
            </w:r>
            <w:r w:rsidRPr="00D94409">
              <w:rPr>
                <w:rFonts w:cs="Century"/>
                <w:spacing w:val="-7"/>
                <w:w w:val="105"/>
              </w:rPr>
              <w:t xml:space="preserve"> </w:t>
            </w:r>
            <w:r w:rsidRPr="00D94409">
              <w:rPr>
                <w:rFonts w:cs="Century"/>
                <w:spacing w:val="-1"/>
                <w:w w:val="105"/>
              </w:rPr>
              <w:t>int</w:t>
            </w:r>
            <w:r w:rsidRPr="00D94409">
              <w:rPr>
                <w:rFonts w:cs="Century"/>
                <w:w w:val="105"/>
              </w:rPr>
              <w:t>er</w:t>
            </w:r>
            <w:r w:rsidRPr="00D94409">
              <w:rPr>
                <w:rFonts w:cs="Century"/>
                <w:spacing w:val="-1"/>
                <w:w w:val="105"/>
              </w:rPr>
              <w:t>ventions,</w:t>
            </w:r>
            <w:r w:rsidRPr="00D94409">
              <w:rPr>
                <w:rFonts w:cs="Century"/>
                <w:spacing w:val="-6"/>
                <w:w w:val="105"/>
              </w:rPr>
              <w:t xml:space="preserve"> </w:t>
            </w:r>
            <w:r w:rsidRPr="00D94409">
              <w:rPr>
                <w:rFonts w:cs="Century"/>
                <w:w w:val="105"/>
              </w:rPr>
              <w:t>t</w:t>
            </w:r>
            <w:r w:rsidRPr="00D94409">
              <w:rPr>
                <w:rFonts w:cs="Century"/>
                <w:spacing w:val="-1"/>
                <w:w w:val="105"/>
              </w:rPr>
              <w:t>o</w:t>
            </w:r>
            <w:r w:rsidRPr="00D94409">
              <w:rPr>
                <w:rFonts w:cs="Century"/>
                <w:spacing w:val="-6"/>
                <w:w w:val="105"/>
              </w:rPr>
              <w:t xml:space="preserve"> </w:t>
            </w:r>
            <w:r w:rsidRPr="00D94409">
              <w:rPr>
                <w:rFonts w:cs="Century"/>
                <w:spacing w:val="-1"/>
                <w:w w:val="105"/>
              </w:rPr>
              <w:t>more</w:t>
            </w:r>
            <w:r w:rsidRPr="00D94409">
              <w:rPr>
                <w:rFonts w:cs="Century"/>
                <w:spacing w:val="-6"/>
                <w:w w:val="105"/>
              </w:rPr>
              <w:t xml:space="preserve"> </w:t>
            </w:r>
            <w:r w:rsidRPr="00D94409">
              <w:rPr>
                <w:rFonts w:cs="Century"/>
                <w:w w:val="105"/>
              </w:rPr>
              <w:t>than</w:t>
            </w:r>
            <w:r w:rsidRPr="00D94409">
              <w:rPr>
                <w:rFonts w:cs="Century"/>
                <w:spacing w:val="-7"/>
                <w:w w:val="105"/>
              </w:rPr>
              <w:t xml:space="preserve"> </w:t>
            </w:r>
            <w:r w:rsidRPr="00D94409">
              <w:rPr>
                <w:rFonts w:cs="Century"/>
                <w:w w:val="105"/>
              </w:rPr>
              <w:t>3</w:t>
            </w:r>
            <w:r w:rsidRPr="00D94409">
              <w:rPr>
                <w:rFonts w:cs="Century"/>
                <w:spacing w:val="-1"/>
                <w:w w:val="105"/>
              </w:rPr>
              <w:t>000</w:t>
            </w:r>
            <w:r w:rsidRPr="00D94409">
              <w:rPr>
                <w:rFonts w:cs="Century"/>
                <w:spacing w:val="-6"/>
                <w:w w:val="105"/>
              </w:rPr>
              <w:t xml:space="preserve"> </w:t>
            </w:r>
            <w:r w:rsidRPr="00D94409">
              <w:rPr>
                <w:rFonts w:cs="Century"/>
                <w:w w:val="105"/>
              </w:rPr>
              <w:t>per</w:t>
            </w:r>
            <w:r w:rsidRPr="00D94409">
              <w:rPr>
                <w:rFonts w:cs="Century"/>
                <w:spacing w:val="-6"/>
                <w:w w:val="105"/>
              </w:rPr>
              <w:t xml:space="preserve"> </w:t>
            </w:r>
            <w:r w:rsidRPr="00D94409">
              <w:rPr>
                <w:rFonts w:cs="Century"/>
                <w:spacing w:val="-3"/>
                <w:w w:val="105"/>
              </w:rPr>
              <w:t>ye</w:t>
            </w:r>
            <w:r w:rsidRPr="00D94409">
              <w:rPr>
                <w:rFonts w:cs="Century"/>
                <w:spacing w:val="-4"/>
                <w:w w:val="105"/>
              </w:rPr>
              <w:t>ar</w:t>
            </w:r>
            <w:r w:rsidRPr="00D94409">
              <w:rPr>
                <w:rFonts w:cs="Century"/>
                <w:spacing w:val="-3"/>
                <w:w w:val="105"/>
              </w:rPr>
              <w:t>.</w:t>
            </w:r>
          </w:p>
          <w:p w:rsidR="004B27CA" w:rsidRPr="00D94409" w:rsidRDefault="004B27CA" w:rsidP="004B27CA">
            <w:pPr>
              <w:spacing w:before="120" w:after="120"/>
            </w:pPr>
            <w:r w:rsidRPr="00D94409">
              <w:rPr>
                <w:w w:val="105"/>
              </w:rPr>
              <w:t>A</w:t>
            </w:r>
            <w:r w:rsidRPr="00D94409">
              <w:rPr>
                <w:spacing w:val="-1"/>
                <w:w w:val="105"/>
              </w:rPr>
              <w:t>cro</w:t>
            </w:r>
            <w:r w:rsidRPr="00D94409">
              <w:rPr>
                <w:w w:val="105"/>
              </w:rPr>
              <w:t>ss</w:t>
            </w:r>
            <w:r w:rsidRPr="00D94409">
              <w:rPr>
                <w:spacing w:val="-18"/>
                <w:w w:val="105"/>
              </w:rPr>
              <w:t xml:space="preserve"> </w:t>
            </w:r>
            <w:r w:rsidRPr="00D94409">
              <w:rPr>
                <w:w w:val="105"/>
              </w:rPr>
              <w:t>all</w:t>
            </w:r>
            <w:r w:rsidRPr="00D94409">
              <w:rPr>
                <w:spacing w:val="-17"/>
                <w:w w:val="105"/>
              </w:rPr>
              <w:t xml:space="preserve"> </w:t>
            </w:r>
            <w:r w:rsidRPr="00D94409">
              <w:rPr>
                <w:w w:val="105"/>
              </w:rPr>
              <w:t>H</w:t>
            </w:r>
            <w:r w:rsidRPr="00D94409">
              <w:rPr>
                <w:spacing w:val="-1"/>
                <w:w w:val="105"/>
              </w:rPr>
              <w:t>e</w:t>
            </w:r>
            <w:r w:rsidRPr="00D94409">
              <w:rPr>
                <w:w w:val="105"/>
              </w:rPr>
              <w:t>alth</w:t>
            </w:r>
            <w:r w:rsidRPr="00D94409">
              <w:rPr>
                <w:spacing w:val="-1"/>
                <w:w w:val="105"/>
              </w:rPr>
              <w:t>y</w:t>
            </w:r>
            <w:r w:rsidRPr="00D94409">
              <w:rPr>
                <w:spacing w:val="-17"/>
                <w:w w:val="105"/>
              </w:rPr>
              <w:t xml:space="preserve"> </w:t>
            </w:r>
            <w:r w:rsidRPr="00D94409">
              <w:rPr>
                <w:w w:val="105"/>
              </w:rPr>
              <w:t>Homes</w:t>
            </w:r>
            <w:r w:rsidRPr="00D94409">
              <w:rPr>
                <w:spacing w:val="-18"/>
                <w:w w:val="105"/>
              </w:rPr>
              <w:t xml:space="preserve"> </w:t>
            </w:r>
            <w:r w:rsidRPr="00D94409">
              <w:rPr>
                <w:w w:val="105"/>
              </w:rPr>
              <w:t>Initiati</w:t>
            </w:r>
            <w:r w:rsidRPr="00D94409">
              <w:rPr>
                <w:spacing w:val="-1"/>
                <w:w w:val="105"/>
              </w:rPr>
              <w:t>ve</w:t>
            </w:r>
            <w:r w:rsidRPr="00D94409">
              <w:rPr>
                <w:w w:val="105"/>
              </w:rPr>
              <w:t>s</w:t>
            </w:r>
            <w:r w:rsidRPr="00D94409">
              <w:rPr>
                <w:spacing w:val="-17"/>
                <w:w w:val="105"/>
              </w:rPr>
              <w:t xml:space="preserve"> </w:t>
            </w:r>
            <w:r w:rsidRPr="00D94409">
              <w:rPr>
                <w:w w:val="105"/>
              </w:rPr>
              <w:t>t</w:t>
            </w:r>
            <w:r w:rsidRPr="00D94409">
              <w:rPr>
                <w:spacing w:val="-1"/>
                <w:w w:val="105"/>
              </w:rPr>
              <w:t>o</w:t>
            </w:r>
            <w:r w:rsidRPr="00D94409">
              <w:rPr>
                <w:spacing w:val="-17"/>
                <w:w w:val="105"/>
              </w:rPr>
              <w:t xml:space="preserve"> </w:t>
            </w:r>
            <w:r w:rsidRPr="00D94409">
              <w:rPr>
                <w:spacing w:val="-1"/>
                <w:w w:val="105"/>
              </w:rPr>
              <w:t>date,</w:t>
            </w:r>
            <w:r w:rsidRPr="00D94409">
              <w:rPr>
                <w:spacing w:val="33"/>
                <w:w w:val="104"/>
              </w:rPr>
              <w:t xml:space="preserve"> </w:t>
            </w:r>
            <w:r w:rsidRPr="00D94409">
              <w:rPr>
                <w:w w:val="105"/>
              </w:rPr>
              <w:t>2439</w:t>
            </w:r>
            <w:r>
              <w:rPr>
                <w:w w:val="105"/>
              </w:rPr>
              <w:t> </w:t>
            </w:r>
            <w:r w:rsidRPr="00D94409">
              <w:rPr>
                <w:w w:val="105"/>
              </w:rPr>
              <w:t>families</w:t>
            </w:r>
            <w:r w:rsidRPr="00D94409">
              <w:rPr>
                <w:spacing w:val="-14"/>
                <w:w w:val="105"/>
              </w:rPr>
              <w:t xml:space="preserve"> </w:t>
            </w:r>
            <w:r w:rsidRPr="00D94409">
              <w:rPr>
                <w:spacing w:val="-4"/>
                <w:w w:val="105"/>
              </w:rPr>
              <w:t>ha</w:t>
            </w:r>
            <w:r w:rsidRPr="00D94409">
              <w:rPr>
                <w:spacing w:val="-3"/>
                <w:w w:val="105"/>
              </w:rPr>
              <w:t>ve</w:t>
            </w:r>
            <w:r w:rsidRPr="00D94409">
              <w:rPr>
                <w:spacing w:val="-14"/>
                <w:w w:val="105"/>
              </w:rPr>
              <w:t xml:space="preserve"> </w:t>
            </w:r>
            <w:r w:rsidRPr="00D94409">
              <w:rPr>
                <w:w w:val="105"/>
              </w:rPr>
              <w:t>been</w:t>
            </w:r>
            <w:r w:rsidRPr="00D94409">
              <w:rPr>
                <w:spacing w:val="-14"/>
                <w:w w:val="105"/>
              </w:rPr>
              <w:t xml:space="preserve"> </w:t>
            </w:r>
            <w:r w:rsidRPr="00D94409">
              <w:rPr>
                <w:w w:val="105"/>
              </w:rPr>
              <w:t>r</w:t>
            </w:r>
            <w:r w:rsidRPr="00D94409">
              <w:rPr>
                <w:spacing w:val="-1"/>
                <w:w w:val="105"/>
              </w:rPr>
              <w:t>ef</w:t>
            </w:r>
            <w:r w:rsidRPr="00D94409">
              <w:rPr>
                <w:w w:val="105"/>
              </w:rPr>
              <w:t>err</w:t>
            </w:r>
            <w:r w:rsidRPr="00D94409">
              <w:rPr>
                <w:spacing w:val="-1"/>
                <w:w w:val="105"/>
              </w:rPr>
              <w:t>ed</w:t>
            </w:r>
            <w:r w:rsidRPr="00D94409">
              <w:rPr>
                <w:spacing w:val="-14"/>
                <w:w w:val="105"/>
              </w:rPr>
              <w:t xml:space="preserve"> </w:t>
            </w:r>
            <w:r w:rsidRPr="00D94409">
              <w:rPr>
                <w:spacing w:val="-1"/>
                <w:w w:val="105"/>
              </w:rPr>
              <w:t>for</w:t>
            </w:r>
            <w:r w:rsidRPr="00D94409">
              <w:rPr>
                <w:spacing w:val="-13"/>
                <w:w w:val="105"/>
              </w:rPr>
              <w:t xml:space="preserve"> </w:t>
            </w:r>
            <w:r w:rsidRPr="00D94409">
              <w:rPr>
                <w:w w:val="105"/>
              </w:rPr>
              <w:t>services,</w:t>
            </w:r>
            <w:r w:rsidRPr="00D94409">
              <w:rPr>
                <w:spacing w:val="34"/>
                <w:w w:val="102"/>
              </w:rPr>
              <w:t xml:space="preserve"> </w:t>
            </w:r>
            <w:r w:rsidRPr="00D94409">
              <w:rPr>
                <w:w w:val="105"/>
              </w:rPr>
              <w:t>1340</w:t>
            </w:r>
            <w:r>
              <w:rPr>
                <w:w w:val="105"/>
              </w:rPr>
              <w:t> </w:t>
            </w:r>
            <w:r w:rsidRPr="00D94409">
              <w:rPr>
                <w:w w:val="105"/>
              </w:rPr>
              <w:t>households</w:t>
            </w:r>
            <w:r w:rsidRPr="00D94409">
              <w:rPr>
                <w:spacing w:val="-13"/>
                <w:w w:val="105"/>
              </w:rPr>
              <w:t xml:space="preserve"> </w:t>
            </w:r>
            <w:r w:rsidRPr="00D94409">
              <w:rPr>
                <w:spacing w:val="-4"/>
                <w:w w:val="105"/>
              </w:rPr>
              <w:t>ha</w:t>
            </w:r>
            <w:r w:rsidRPr="00D94409">
              <w:rPr>
                <w:spacing w:val="-3"/>
                <w:w w:val="105"/>
              </w:rPr>
              <w:t>ve</w:t>
            </w:r>
            <w:r w:rsidRPr="00D94409">
              <w:rPr>
                <w:spacing w:val="-13"/>
                <w:w w:val="105"/>
              </w:rPr>
              <w:t xml:space="preserve"> </w:t>
            </w:r>
            <w:r w:rsidRPr="00D94409">
              <w:rPr>
                <w:w w:val="105"/>
              </w:rPr>
              <w:t>r</w:t>
            </w:r>
            <w:r w:rsidRPr="00D94409">
              <w:rPr>
                <w:spacing w:val="-1"/>
                <w:w w:val="105"/>
              </w:rPr>
              <w:t>eceived</w:t>
            </w:r>
            <w:r w:rsidRPr="00D94409">
              <w:rPr>
                <w:spacing w:val="-13"/>
                <w:w w:val="105"/>
              </w:rPr>
              <w:t xml:space="preserve"> </w:t>
            </w:r>
            <w:r w:rsidRPr="00D94409">
              <w:rPr>
                <w:w w:val="105"/>
              </w:rPr>
              <w:t>assessments</w:t>
            </w:r>
            <w:r w:rsidRPr="00D94409">
              <w:rPr>
                <w:spacing w:val="-13"/>
                <w:w w:val="105"/>
              </w:rPr>
              <w:t xml:space="preserve"> </w:t>
            </w:r>
            <w:r w:rsidRPr="00D94409">
              <w:rPr>
                <w:w w:val="105"/>
              </w:rPr>
              <w:t>and</w:t>
            </w:r>
            <w:r>
              <w:rPr>
                <w:w w:val="105"/>
              </w:rPr>
              <w:t xml:space="preserve"> </w:t>
            </w:r>
            <w:r w:rsidRPr="00D94409">
              <w:rPr>
                <w:spacing w:val="-1"/>
                <w:w w:val="105"/>
              </w:rPr>
              <w:t>developed</w:t>
            </w:r>
            <w:r w:rsidRPr="00D94409">
              <w:rPr>
                <w:spacing w:val="-12"/>
                <w:w w:val="105"/>
              </w:rPr>
              <w:t xml:space="preserve"> </w:t>
            </w:r>
            <w:r w:rsidRPr="00D94409">
              <w:rPr>
                <w:w w:val="105"/>
              </w:rPr>
              <w:t>plans,</w:t>
            </w:r>
            <w:r w:rsidRPr="00D94409">
              <w:rPr>
                <w:spacing w:val="-11"/>
                <w:w w:val="105"/>
              </w:rPr>
              <w:t xml:space="preserve"> </w:t>
            </w:r>
            <w:r w:rsidRPr="00D94409">
              <w:rPr>
                <w:w w:val="105"/>
              </w:rPr>
              <w:t>and</w:t>
            </w:r>
            <w:r w:rsidRPr="00D94409">
              <w:rPr>
                <w:spacing w:val="-12"/>
                <w:w w:val="105"/>
              </w:rPr>
              <w:t xml:space="preserve"> </w:t>
            </w:r>
            <w:r w:rsidRPr="00D94409">
              <w:rPr>
                <w:w w:val="105"/>
              </w:rPr>
              <w:t>1065</w:t>
            </w:r>
            <w:r w:rsidRPr="00D94409">
              <w:rPr>
                <w:spacing w:val="-11"/>
                <w:w w:val="105"/>
              </w:rPr>
              <w:t xml:space="preserve"> </w:t>
            </w:r>
            <w:r w:rsidRPr="00D94409">
              <w:rPr>
                <w:spacing w:val="-1"/>
                <w:w w:val="105"/>
              </w:rPr>
              <w:t>int</w:t>
            </w:r>
            <w:r w:rsidRPr="00D94409">
              <w:rPr>
                <w:w w:val="105"/>
              </w:rPr>
              <w:t>er</w:t>
            </w:r>
            <w:r w:rsidRPr="00D94409">
              <w:rPr>
                <w:spacing w:val="-1"/>
                <w:w w:val="105"/>
              </w:rPr>
              <w:t>ventions</w:t>
            </w:r>
            <w:r w:rsidRPr="00D94409">
              <w:rPr>
                <w:spacing w:val="-12"/>
                <w:w w:val="105"/>
              </w:rPr>
              <w:t xml:space="preserve"> </w:t>
            </w:r>
            <w:r w:rsidRPr="00D94409">
              <w:rPr>
                <w:spacing w:val="-4"/>
                <w:w w:val="105"/>
              </w:rPr>
              <w:t>ha</w:t>
            </w:r>
            <w:r w:rsidRPr="00D94409">
              <w:rPr>
                <w:spacing w:val="-3"/>
                <w:w w:val="105"/>
              </w:rPr>
              <w:t>ve</w:t>
            </w:r>
            <w:r w:rsidRPr="00D94409">
              <w:rPr>
                <w:spacing w:val="-11"/>
                <w:w w:val="105"/>
              </w:rPr>
              <w:t xml:space="preserve"> </w:t>
            </w:r>
            <w:r w:rsidRPr="00D94409">
              <w:rPr>
                <w:w w:val="105"/>
              </w:rPr>
              <w:t>been</w:t>
            </w:r>
            <w:r w:rsidRPr="00D94409">
              <w:rPr>
                <w:spacing w:val="39"/>
                <w:w w:val="107"/>
              </w:rPr>
              <w:t xml:space="preserve"> </w:t>
            </w:r>
            <w:r w:rsidRPr="00D94409">
              <w:rPr>
                <w:spacing w:val="-1"/>
                <w:w w:val="105"/>
              </w:rPr>
              <w:t>deliv</w:t>
            </w:r>
            <w:r w:rsidRPr="00D94409">
              <w:rPr>
                <w:w w:val="105"/>
              </w:rPr>
              <w:t>er</w:t>
            </w:r>
            <w:r w:rsidRPr="00D94409">
              <w:rPr>
                <w:spacing w:val="-1"/>
                <w:w w:val="105"/>
              </w:rPr>
              <w:t>ed</w:t>
            </w:r>
            <w:r w:rsidRPr="00D94409">
              <w:rPr>
                <w:spacing w:val="8"/>
                <w:w w:val="105"/>
              </w:rPr>
              <w:t xml:space="preserve"> </w:t>
            </w:r>
            <w:r w:rsidRPr="00D94409">
              <w:rPr>
                <w:w w:val="105"/>
              </w:rPr>
              <w:t>and</w:t>
            </w:r>
            <w:r w:rsidRPr="00D94409">
              <w:rPr>
                <w:spacing w:val="9"/>
                <w:w w:val="105"/>
              </w:rPr>
              <w:t xml:space="preserve"> </w:t>
            </w:r>
            <w:r w:rsidRPr="00D94409">
              <w:rPr>
                <w:spacing w:val="-1"/>
                <w:w w:val="105"/>
              </w:rPr>
              <w:t>coordinated</w:t>
            </w:r>
            <w:r>
              <w:rPr>
                <w:spacing w:val="-1"/>
                <w:w w:val="105"/>
              </w:rPr>
              <w:t>.</w:t>
            </w:r>
          </w:p>
        </w:tc>
        <w:tc>
          <w:tcPr>
            <w:tcW w:w="3475" w:type="dxa"/>
          </w:tcPr>
          <w:p w:rsidR="004B27CA" w:rsidRDefault="004B27CA" w:rsidP="00F91433">
            <w:pPr>
              <w:ind w:left="142"/>
              <w:rPr>
                <w:noProof/>
                <w:lang w:eastAsia="en-NZ"/>
              </w:rPr>
            </w:pPr>
            <w:r w:rsidRPr="00D94409">
              <w:t>Living in cold, damp or overcrowded housing can directly harm our physical and mental health. Six percent of the population live in homes with major damp or mould problems (Statistics New Zealand 2015b). A higher proportion of Pacific peoples (15 percent) and Māori (14</w:t>
            </w:r>
            <w:r w:rsidR="00C320CF">
              <w:t> </w:t>
            </w:r>
            <w:r w:rsidRPr="00D94409">
              <w:t>percent) live in homes with major damp or mould problems. People living in rental properties (12</w:t>
            </w:r>
            <w:r w:rsidR="00C320CF">
              <w:t> </w:t>
            </w:r>
            <w:r w:rsidRPr="00D94409">
              <w:t>percent), single parent families (11</w:t>
            </w:r>
            <w:r w:rsidR="00F91433">
              <w:t> </w:t>
            </w:r>
            <w:r w:rsidRPr="00D94409">
              <w:t>percent) and those with a household income of less than</w:t>
            </w:r>
            <w:r>
              <w:t xml:space="preserve"> </w:t>
            </w:r>
            <w:r w:rsidRPr="00D94409">
              <w:t>$30,000 per year (10</w:t>
            </w:r>
            <w:r>
              <w:t> </w:t>
            </w:r>
            <w:r w:rsidRPr="00D94409">
              <w:t>percent) are also more likely to live in homes with major damp or mould problems.</w:t>
            </w:r>
          </w:p>
        </w:tc>
      </w:tr>
      <w:tr w:rsidR="00C320CF" w:rsidTr="00C320CF">
        <w:trPr>
          <w:cantSplit/>
        </w:trPr>
        <w:tc>
          <w:tcPr>
            <w:tcW w:w="6096" w:type="dxa"/>
            <w:gridSpan w:val="2"/>
            <w:shd w:val="clear" w:color="auto" w:fill="auto"/>
          </w:tcPr>
          <w:p w:rsidR="00C320CF" w:rsidRDefault="00C320CF" w:rsidP="00C320CF">
            <w:pPr>
              <w:ind w:left="-108"/>
            </w:pPr>
            <w:r w:rsidRPr="00D94409">
              <w:lastRenderedPageBreak/>
              <w:t>One in ten New Zealanders (10</w:t>
            </w:r>
            <w:r>
              <w:t> </w:t>
            </w:r>
            <w:r w:rsidRPr="00D94409">
              <w:t>percent) live in crowded conditions. Household crowding is linked to a number of health conditions, including rheumatic fever, meningococcal disease, respiratory infections and skin infections (for example, cellulitis), as well as higher</w:t>
            </w:r>
            <w:r>
              <w:t xml:space="preserve"> </w:t>
            </w:r>
            <w:r w:rsidRPr="00D94409">
              <w:t>blood pressure and increased risk of childhood injuries. Children are over-represented in crowded households: over half of crowded households have two or more children living in them.</w:t>
            </w:r>
          </w:p>
          <w:p w:rsidR="00C320CF" w:rsidRDefault="00C320CF" w:rsidP="00C320CF">
            <w:pPr>
              <w:ind w:left="-108"/>
            </w:pPr>
          </w:p>
          <w:p w:rsidR="00C320CF" w:rsidRPr="004B27CA" w:rsidRDefault="00C320CF" w:rsidP="00C320CF">
            <w:pPr>
              <w:ind w:left="-108"/>
              <w:rPr>
                <w:b/>
              </w:rPr>
            </w:pPr>
            <w:r w:rsidRPr="00D94409">
              <w:t xml:space="preserve">A greater proportion of Pacific peoples </w:t>
            </w:r>
            <w:r>
              <w:t>live in crowded</w:t>
            </w:r>
          </w:p>
        </w:tc>
        <w:tc>
          <w:tcPr>
            <w:tcW w:w="3475" w:type="dxa"/>
            <w:shd w:val="clear" w:color="auto" w:fill="auto"/>
          </w:tcPr>
          <w:p w:rsidR="00C320CF" w:rsidRDefault="00C320CF" w:rsidP="00C320CF">
            <w:r>
              <w:rPr>
                <w:noProof/>
                <w:lang w:eastAsia="en-NZ"/>
              </w:rPr>
              <w:drawing>
                <wp:inline distT="0" distB="0" distL="0" distR="0" wp14:anchorId="550C392B" wp14:editId="50FA0B2D">
                  <wp:extent cx="2161301" cy="1379913"/>
                  <wp:effectExtent l="0" t="0" r="0" b="0"/>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grayscl/>
                          </a:blip>
                          <a:srcRect l="1994"/>
                          <a:stretch/>
                        </pic:blipFill>
                        <pic:spPr bwMode="auto">
                          <a:xfrm>
                            <a:off x="0" y="0"/>
                            <a:ext cx="2163713" cy="1381453"/>
                          </a:xfrm>
                          <a:prstGeom prst="rect">
                            <a:avLst/>
                          </a:prstGeom>
                          <a:ln>
                            <a:noFill/>
                          </a:ln>
                          <a:extLst>
                            <a:ext uri="{53640926-AAD7-44D8-BBD7-CCE9431645EC}">
                              <a14:shadowObscured xmlns:a14="http://schemas.microsoft.com/office/drawing/2010/main"/>
                            </a:ext>
                          </a:extLst>
                        </pic:spPr>
                      </pic:pic>
                    </a:graphicData>
                  </a:graphic>
                </wp:inline>
              </w:drawing>
            </w:r>
          </w:p>
          <w:p w:rsidR="00C320CF" w:rsidRPr="00D94409" w:rsidRDefault="00C320CF" w:rsidP="00C320CF">
            <w:pPr>
              <w:pStyle w:val="Source"/>
              <w:spacing w:before="0" w:after="120"/>
              <w:ind w:left="0" w:right="0" w:firstLine="0"/>
            </w:pPr>
            <w:r>
              <w:t>Source: Statistics NZ</w:t>
            </w:r>
          </w:p>
        </w:tc>
      </w:tr>
    </w:tbl>
    <w:p w:rsidR="00A74AC3" w:rsidRDefault="00C320CF" w:rsidP="00C320CF">
      <w:proofErr w:type="gramStart"/>
      <w:r w:rsidRPr="00D94409">
        <w:t>conditions</w:t>
      </w:r>
      <w:proofErr w:type="gramEnd"/>
      <w:r w:rsidRPr="00D94409">
        <w:t xml:space="preserve"> (38 percent), followed by Māori (20</w:t>
      </w:r>
      <w:r>
        <w:t> </w:t>
      </w:r>
      <w:r w:rsidRPr="00D94409">
        <w:t>percent) and Asians (18 percent). Only 4</w:t>
      </w:r>
      <w:r>
        <w:t> </w:t>
      </w:r>
      <w:r w:rsidRPr="00D94409">
        <w:t>percent of European and other ethnic groups live in crowded households.</w:t>
      </w:r>
      <w:r>
        <w:rPr>
          <w:rStyle w:val="FootnoteReference"/>
        </w:rPr>
        <w:footnoteReference w:id="17"/>
      </w:r>
    </w:p>
    <w:p w:rsidR="00C320CF" w:rsidRDefault="00C320CF" w:rsidP="00C320CF"/>
    <w:p w:rsidR="00A74AC3" w:rsidRPr="00D94409" w:rsidRDefault="00A74AC3" w:rsidP="00C320CF">
      <w:r w:rsidRPr="00D94409">
        <w:t>There is a strong relationship between health risk</w:t>
      </w:r>
      <w:r w:rsidR="00C320CF">
        <w:t xml:space="preserve"> </w:t>
      </w:r>
      <w:r w:rsidRPr="00D94409">
        <w:t>factors and socioeconomic deprivation, with higher</w:t>
      </w:r>
      <w:r w:rsidR="00C320CF">
        <w:t xml:space="preserve"> </w:t>
      </w:r>
      <w:r w:rsidRPr="00D94409">
        <w:t>rates of smoking, obesity and alcohol use among those living in the most deprived areas. The New Zealand Index of Deprivation (NZDep2013) estimates the socioeconomic status of particular</w:t>
      </w:r>
      <w:r w:rsidR="00C320CF">
        <w:t xml:space="preserve"> </w:t>
      </w:r>
      <w:r w:rsidRPr="00D94409">
        <w:t>geographical areas, relative to the rest of the country. It allows us to look at the impact of deprivation on health and wider social outcomes. NZDep2013 draws together a number of indicators of deprivation relating to communication, income (see box), employment, education, home ownership, family structure, overcrowding and access to transport.</w:t>
      </w:r>
    </w:p>
    <w:p w:rsidR="00A74AC3" w:rsidRPr="00D94409" w:rsidRDefault="00A74AC3" w:rsidP="00C320CF">
      <w:pPr>
        <w:rPr>
          <w:rFonts w:eastAsia="Century"/>
        </w:rPr>
      </w:pPr>
    </w:p>
    <w:p w:rsidR="00A74AC3" w:rsidRPr="00D94409" w:rsidRDefault="00A74AC3" w:rsidP="00C320CF">
      <w:r w:rsidRPr="00D94409">
        <w:t>A greater proportion of Māori and Pacific peoples live in the most socioeconomically deprived areas (Figure 8). Forty percent of Māori and 54 percent of Pacific people live in the most deprived areas, compared with 11 percent of non-Maori, non-Pacific and non-Asian.</w:t>
      </w:r>
    </w:p>
    <w:p w:rsidR="00A74AC3" w:rsidRPr="00D94409" w:rsidRDefault="00A74AC3" w:rsidP="00C320CF">
      <w:pPr>
        <w:rPr>
          <w:rFonts w:eastAsia="Century"/>
        </w:rPr>
      </w:pPr>
    </w:p>
    <w:p w:rsidR="00A74AC3" w:rsidRPr="00D94409" w:rsidRDefault="00A74AC3" w:rsidP="00C320CF">
      <w:r w:rsidRPr="00D94409">
        <w:t>Young children and young adults are over-represented in the most deprived areas. A quarter of children aged 0–5 years (25 percent) and a quarter of young adults aged 18–24 years (25</w:t>
      </w:r>
      <w:r w:rsidR="00C320CF">
        <w:t> </w:t>
      </w:r>
      <w:r w:rsidRPr="00D94409">
        <w:t>percent) live in the most deprived areas, compared with 18 percent of those aged 25–64 years.</w:t>
      </w:r>
    </w:p>
    <w:p w:rsidR="00A74AC3" w:rsidRPr="00D94409" w:rsidRDefault="00A74AC3" w:rsidP="00C320CF">
      <w:pPr>
        <w:rPr>
          <w:rFonts w:eastAsia="Century"/>
        </w:rPr>
      </w:pPr>
    </w:p>
    <w:p w:rsidR="00A74AC3" w:rsidRPr="00D94409" w:rsidRDefault="00A74AC3" w:rsidP="00C320CF">
      <w:pPr>
        <w:pStyle w:val="Figure"/>
        <w:rPr>
          <w:rFonts w:eastAsia="Palatino Linotype" w:hAnsi="Palatino Linotype" w:cs="Palatino Linotype"/>
          <w:szCs w:val="19"/>
        </w:rPr>
      </w:pPr>
      <w:bookmarkStart w:id="26" w:name="_Toc433234117"/>
      <w:r w:rsidRPr="00D94409">
        <w:t>Figure 8: Proportion of people living in each deprivation quintile by ethnic group</w:t>
      </w:r>
      <w:bookmarkEnd w:id="26"/>
    </w:p>
    <w:p w:rsidR="00A74AC3" w:rsidRPr="00D94409" w:rsidRDefault="00C320CF" w:rsidP="00C320CF">
      <w:pPr>
        <w:rPr>
          <w:rFonts w:eastAsia="Palatino Linotype"/>
        </w:rPr>
      </w:pPr>
      <w:r>
        <w:rPr>
          <w:noProof/>
          <w:lang w:eastAsia="en-NZ"/>
        </w:rPr>
        <w:drawing>
          <wp:inline distT="0" distB="0" distL="0" distR="0" wp14:anchorId="1DFC27CA" wp14:editId="3EBEBEF4">
            <wp:extent cx="5087389" cy="3062215"/>
            <wp:effectExtent l="0" t="0" r="0" b="5080"/>
            <wp:docPr id="1848" name="Picture 1848" title="Figure 8: Proportion of people living in each deprivation quintile by ethnic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grayscl/>
                    </a:blip>
                    <a:stretch>
                      <a:fillRect/>
                    </a:stretch>
                  </pic:blipFill>
                  <pic:spPr>
                    <a:xfrm>
                      <a:off x="0" y="0"/>
                      <a:ext cx="5097485" cy="3068292"/>
                    </a:xfrm>
                    <a:prstGeom prst="rect">
                      <a:avLst/>
                    </a:prstGeom>
                  </pic:spPr>
                </pic:pic>
              </a:graphicData>
            </a:graphic>
          </wp:inline>
        </w:drawing>
      </w:r>
    </w:p>
    <w:p w:rsidR="00A74AC3" w:rsidRPr="00D94409" w:rsidRDefault="00A74AC3" w:rsidP="00C320CF">
      <w:pPr>
        <w:pStyle w:val="Source"/>
        <w:ind w:right="1418"/>
      </w:pPr>
      <w:r w:rsidRPr="00D94409">
        <w:t>Source: NZDep2013</w:t>
      </w:r>
    </w:p>
    <w:p w:rsidR="00A74AC3" w:rsidRPr="00D94409" w:rsidRDefault="00A74AC3" w:rsidP="00C320CF">
      <w:pPr>
        <w:rPr>
          <w:rFonts w:eastAsia="Century"/>
        </w:rPr>
      </w:pPr>
    </w:p>
    <w:p w:rsidR="00A74AC3" w:rsidRPr="00D94409" w:rsidRDefault="00A74AC3" w:rsidP="00C320CF">
      <w:pPr>
        <w:pStyle w:val="Heading2"/>
        <w:rPr>
          <w:rFonts w:eastAsia="Georgia" w:cs="Georgia"/>
          <w:bCs/>
        </w:rPr>
      </w:pPr>
      <w:bookmarkStart w:id="27" w:name="Healthy_start"/>
      <w:bookmarkStart w:id="28" w:name="_Toc433234091"/>
      <w:bookmarkEnd w:id="27"/>
      <w:r w:rsidRPr="00D94409">
        <w:lastRenderedPageBreak/>
        <w:t>Healthy start</w:t>
      </w:r>
      <w:bookmarkEnd w:id="28"/>
    </w:p>
    <w:p w:rsidR="00A74AC3" w:rsidRPr="00D94409" w:rsidRDefault="00A74AC3" w:rsidP="00C320CF">
      <w:pPr>
        <w:pStyle w:val="Heading3"/>
        <w:rPr>
          <w:bCs/>
        </w:rPr>
      </w:pPr>
      <w:r w:rsidRPr="00D94409">
        <w:t>Health behaviours are established early in life</w:t>
      </w:r>
    </w:p>
    <w:p w:rsidR="00A74AC3" w:rsidRPr="00D94409" w:rsidRDefault="00A74AC3" w:rsidP="00C320CF">
      <w:r w:rsidRPr="00D94409">
        <w:t>Providing children with a healthy start to life sets the foundation for their future health and wellbeing.</w:t>
      </w:r>
      <w:r w:rsidR="00C320CF">
        <w:t xml:space="preserve"> </w:t>
      </w:r>
      <w:r w:rsidRPr="00D94409">
        <w:t>Before they are born, and even before they are conceived, their development will be affected by</w:t>
      </w:r>
      <w:r w:rsidR="00D94409" w:rsidRPr="00D94409">
        <w:t xml:space="preserve"> </w:t>
      </w:r>
      <w:r w:rsidRPr="00D94409">
        <w:t>the health of their parents. Although our genetic make-up helps to determine our future health, its</w:t>
      </w:r>
      <w:r w:rsidR="00C320CF">
        <w:t xml:space="preserve"> </w:t>
      </w:r>
      <w:r w:rsidRPr="00D94409">
        <w:t>influence is not fixed. Scientific research is developing our understanding of how our genetics and the environment interact to both increase and decrease our risk of future ill health.</w:t>
      </w:r>
    </w:p>
    <w:p w:rsidR="00A74AC3" w:rsidRPr="00D94409" w:rsidRDefault="00A74AC3" w:rsidP="00F91433">
      <w:pPr>
        <w:spacing w:before="150"/>
      </w:pPr>
      <w:r w:rsidRPr="00D94409">
        <w:t>Figure 9 provides a snapshot of how the impacts of both positive and negative health behaviours accumulate over the life course. These not only impact on our own health as we age, but also on the health of the next generation as we become parents.</w:t>
      </w:r>
    </w:p>
    <w:p w:rsidR="00A74AC3" w:rsidRPr="00D94409" w:rsidRDefault="00A74AC3" w:rsidP="00F91433">
      <w:pPr>
        <w:spacing w:before="150"/>
      </w:pPr>
      <w:r w:rsidRPr="00D94409">
        <w:t>Pregnancy and the first years of life provide an important opportunity to change negative health behaviours and establish healthier ones. Factors such as diet and exposure to alcohol, tobacco and other drugs have potential impacts on both the mother and her unborn baby. While some women will find it easy to change their lifestyle to support a healthy pregnancy, others will need greater support.</w:t>
      </w:r>
    </w:p>
    <w:p w:rsidR="00A74AC3" w:rsidRPr="00D94409" w:rsidRDefault="00A74AC3" w:rsidP="00C320CF">
      <w:pPr>
        <w:rPr>
          <w:rFonts w:eastAsia="Century"/>
        </w:rPr>
      </w:pPr>
    </w:p>
    <w:p w:rsidR="00A74AC3" w:rsidRPr="00D94409" w:rsidRDefault="00A74AC3" w:rsidP="00C320CF">
      <w:pPr>
        <w:pStyle w:val="Heading3"/>
        <w:rPr>
          <w:bCs/>
        </w:rPr>
      </w:pPr>
      <w:r w:rsidRPr="00D94409">
        <w:t>Most pregnant smokers are offered smoking cessation support</w:t>
      </w:r>
    </w:p>
    <w:p w:rsidR="00A74AC3" w:rsidRPr="00D94409" w:rsidRDefault="00A74AC3" w:rsidP="00C320CF">
      <w:r w:rsidRPr="00D94409">
        <w:t xml:space="preserve">At two weeks after giving birth, the majority of mothers (87 percent) are </w:t>
      </w:r>
      <w:proofErr w:type="spellStart"/>
      <w:r w:rsidRPr="00D94409">
        <w:t>smokefree</w:t>
      </w:r>
      <w:proofErr w:type="spellEnd"/>
      <w:r w:rsidRPr="00D94409">
        <w:t xml:space="preserve"> (Ministry of Health 2015). The proportion is lower (65 percent) among Māori mothers, which reflects higher rates of smoking among Māori females. More than a third of Māori females aged 15–34 years are daily smokers (38 percent); however, this proportion has improved since 2006/07 when 46</w:t>
      </w:r>
      <w:r w:rsidR="00C320CF">
        <w:t> </w:t>
      </w:r>
      <w:r w:rsidRPr="00D94409">
        <w:t>percent were daily smokers.</w:t>
      </w:r>
    </w:p>
    <w:p w:rsidR="00A74AC3" w:rsidRPr="00C320CF" w:rsidRDefault="00A74AC3" w:rsidP="00F91433">
      <w:pPr>
        <w:spacing w:before="150"/>
      </w:pPr>
      <w:r w:rsidRPr="00D94409">
        <w:t>The Better help for smokers to quit health target aims to increase the provision of smoking cessation advice and support to pregnant women who smoke. In the 12</w:t>
      </w:r>
      <w:r w:rsidR="00C320CF">
        <w:t>-</w:t>
      </w:r>
      <w:r w:rsidRPr="00D94409">
        <w:t>month period to June 2014, the percentage of pregnant women who smoke, who are offered advice and/or support to quit has increased from 92 to 94 percent.</w:t>
      </w:r>
      <w:r w:rsidR="00C320CF">
        <w:rPr>
          <w:rStyle w:val="FootnoteReference"/>
        </w:rPr>
        <w:footnoteReference w:id="18"/>
      </w:r>
    </w:p>
    <w:p w:rsidR="00A74AC3" w:rsidRPr="00D94409" w:rsidRDefault="00A74AC3" w:rsidP="00C320CF">
      <w:pPr>
        <w:rPr>
          <w:rFonts w:eastAsia="Century"/>
        </w:rPr>
      </w:pPr>
    </w:p>
    <w:p w:rsidR="00A74AC3" w:rsidRPr="00D94409" w:rsidRDefault="00F91433" w:rsidP="00C320CF">
      <w:pPr>
        <w:pStyle w:val="Heading3"/>
        <w:rPr>
          <w:bCs/>
        </w:rPr>
      </w:pPr>
      <w:r>
        <w:rPr>
          <w:noProof/>
          <w:lang w:eastAsia="en-NZ"/>
        </w:rPr>
        <mc:AlternateContent>
          <mc:Choice Requires="wpg">
            <w:drawing>
              <wp:anchor distT="0" distB="0" distL="114300" distR="0" simplePos="0" relativeHeight="251814912" behindDoc="0" locked="0" layoutInCell="1" allowOverlap="1" wp14:anchorId="477A29F6" wp14:editId="34A8AD97">
                <wp:simplePos x="0" y="0"/>
                <wp:positionH relativeFrom="column">
                  <wp:posOffset>4161790</wp:posOffset>
                </wp:positionH>
                <wp:positionV relativeFrom="paragraph">
                  <wp:posOffset>375920</wp:posOffset>
                </wp:positionV>
                <wp:extent cx="1750060" cy="1620520"/>
                <wp:effectExtent l="0" t="0" r="21590" b="17780"/>
                <wp:wrapSquare wrapText="left"/>
                <wp:docPr id="1849" name="Group 1849"/>
                <wp:cNvGraphicFramePr/>
                <a:graphic xmlns:a="http://schemas.openxmlformats.org/drawingml/2006/main">
                  <a:graphicData uri="http://schemas.microsoft.com/office/word/2010/wordprocessingGroup">
                    <wpg:wgp>
                      <wpg:cNvGrpSpPr/>
                      <wpg:grpSpPr>
                        <a:xfrm>
                          <a:off x="0" y="0"/>
                          <a:ext cx="1750060" cy="1620520"/>
                          <a:chOff x="0" y="0"/>
                          <a:chExt cx="1952625" cy="839585"/>
                        </a:xfrm>
                      </wpg:grpSpPr>
                      <wpg:grpSp>
                        <wpg:cNvPr id="1850" name="Group 1850"/>
                        <wpg:cNvGrpSpPr/>
                        <wpg:grpSpPr>
                          <a:xfrm>
                            <a:off x="0" y="0"/>
                            <a:ext cx="1951355" cy="838200"/>
                            <a:chOff x="0" y="0"/>
                            <a:chExt cx="1951355" cy="838200"/>
                          </a:xfrm>
                        </wpg:grpSpPr>
                        <wps:wsp>
                          <wps:cNvPr id="1851" name="Rectangle 1851"/>
                          <wps:cNvSpPr/>
                          <wps:spPr>
                            <a:xfrm>
                              <a:off x="0" y="0"/>
                              <a:ext cx="1951355" cy="838200"/>
                            </a:xfrm>
                            <a:prstGeom prst="rect">
                              <a:avLst/>
                            </a:prstGeom>
                            <a:solidFill>
                              <a:schemeClr val="bg1">
                                <a:lumMod val="8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0380" w:rsidRPr="00611516" w:rsidRDefault="00880380" w:rsidP="00C320CF">
                                <w:pPr>
                                  <w:spacing w:before="120" w:after="120"/>
                                  <w:jc w:val="center"/>
                                  <w:rPr>
                                    <w:color w:val="000000"/>
                                    <w:szCs w:val="22"/>
                                  </w:rPr>
                                </w:pPr>
                                <w:r>
                                  <w:rPr>
                                    <w:color w:val="000000"/>
                                    <w:szCs w:val="22"/>
                                  </w:rPr>
                                  <w:t>Find out more information on what the Ministry of Health is doing to improve child health: www.health.govt.nz/our-work/life-stages/child 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2" name="Straight Connector 1852"/>
                          <wps:cNvCnPr/>
                          <wps:spPr>
                            <a:xfrm>
                              <a:off x="0" y="16625"/>
                              <a:ext cx="195135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853" name="Straight Connector 1853"/>
                        <wps:cNvCnPr/>
                        <wps:spPr>
                          <a:xfrm>
                            <a:off x="0" y="839585"/>
                            <a:ext cx="19526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849" o:spid="_x0000_s1057" style="position:absolute;margin-left:327.7pt;margin-top:29.6pt;width:137.8pt;height:127.6pt;z-index:251814912;mso-wrap-distance-right:0;mso-width-relative:margin;mso-height-relative:margin" coordsize="19526,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">
                <v:group id="Group 1850" o:spid="_x0000_s1058" style="position:absolute;width:19513;height:8382" coordsize="19513,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cfTc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jcfTccAAADd&#10;AAAADwAAAAAAAAAAAAAAAACqAgAAZHJzL2Rvd25yZXYueG1sUEsFBgAAAAAEAAQA+gAAAJ4DAAAA&#10;AA==&#10;">
                  <v:rect id="Rectangle 1851" o:spid="_x0000_s1059" style="position:absolute;width:19513;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Z7msIA&#10;AADdAAAADwAAAGRycy9kb3ducmV2LnhtbERPS2rDMBDdF3IHMYXsGjmFFONEDqFQcKCbpj7AIE1s&#10;Y2tkJMV2cvqqUOhuHu87h+NiBzGRD51jBdtNBoJYO9Nxo6D+/njJQYSIbHBwTAruFOBYrp4OWBg3&#10;8xdNl9iIFMKhQAVtjGMhZdAtWQwbNxIn7uq8xZigb6TxOKdwO8jXLHuTFjtODS2O9N6S7i83q+BU&#10;36/51J37inU1P3T92WifK7V+Xk57EJGW+C/+c1cmzc93W/j9Jp0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lnuawgAAAN0AAAAPAAAAAAAAAAAAAAAAAJgCAABkcnMvZG93&#10;bnJldi54bWxQSwUGAAAAAAQABAD1AAAAhwMAAAAA&#10;" fillcolor="#d8d8d8 [2732]" stroked="f" strokeweight=".5pt">
                    <v:textbox>
                      <w:txbxContent>
                        <w:p w:rsidR="00880380" w:rsidRPr="00611516" w:rsidRDefault="00880380" w:rsidP="00C320CF">
                          <w:pPr>
                            <w:spacing w:before="120" w:after="120"/>
                            <w:jc w:val="center"/>
                            <w:rPr>
                              <w:color w:val="000000"/>
                              <w:szCs w:val="22"/>
                            </w:rPr>
                          </w:pPr>
                          <w:r>
                            <w:rPr>
                              <w:color w:val="000000"/>
                              <w:szCs w:val="22"/>
                            </w:rPr>
                            <w:t>Find out more information on what the Ministry of Health is doing to improve child health: www.health.govt.nz/our-work/life-stages/child health</w:t>
                          </w:r>
                        </w:p>
                      </w:txbxContent>
                    </v:textbox>
                  </v:rect>
                  <v:line id="Straight Connector 1852" o:spid="_x0000_s1060" style="position:absolute;visibility:visible;mso-wrap-style:square" from="0,166" to="19513,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xGMIAAADdAAAADwAAAGRycy9kb3ducmV2LnhtbERP3WrCMBS+H/gO4QjezdSCRapRRHCU&#10;MdZZfYBDc2yLzUlJonZvvwwGuzsf3+/Z7EbTiwc531lWsJgnIIhrqztuFFzOx9cVCB+QNfaWScE3&#10;edhtJy8bzLV98okeVWhEDGGfo4I2hCGX0tctGfRzOxBH7mqdwRCha6R2+IzhppdpkmTSYMexocWB&#10;Di3Vt+puFLhP9+bKe1a+N7K46stXlQwfB6Vm03G/BhFoDP/iP3eh4/zVMoXfb+IJ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xGMIAAADdAAAADwAAAAAAAAAAAAAA&#10;AAChAgAAZHJzL2Rvd25yZXYueG1sUEsFBgAAAAAEAAQA+QAAAJADAAAAAA==&#10;" strokecolor="black [3213]" strokeweight="4.5pt"/>
                </v:group>
                <v:line id="Straight Connector 1853" o:spid="_x0000_s1061" style="position:absolute;visibility:visible;mso-wrap-style:square" from="0,8395" to="19526,8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i4ZcIAAADdAAAADwAAAGRycy9kb3ducmV2LnhtbERPTWsCMRC9F/wPYQRvNavSIqtRVND2&#10;2lUP3obNuFncTJYk627/fVMo9DaP9znr7WAb8SQfascKZtMMBHHpdM2Vgsv5+LoEESKyxsYxKfim&#10;ANvN6GWNuXY9f9GziJVIIRxyVGBibHMpQ2nIYpi6ljhxd+ctxgR9JbXHPoXbRs6z7F1arDk1GGzp&#10;YKh8FJ1VcOv20X+c5a4vhsPJzI9N2bmrUpPxsFuBiDTEf/Gf+1On+cu3Bfx+k06Q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i4ZcIAAADdAAAADwAAAAAAAAAAAAAA&#10;AAChAgAAZHJzL2Rvd25yZXYueG1sUEsFBgAAAAAEAAQA+QAAAJADAAAAAA==&#10;" strokecolor="black [3213]" strokeweight="1.5pt"/>
                <w10:wrap type="square" side="left"/>
              </v:group>
            </w:pict>
          </mc:Fallback>
        </mc:AlternateContent>
      </w:r>
      <w:r w:rsidR="00A74AC3" w:rsidRPr="00D94409">
        <w:t>The majority of women stop drinking alcohol before or when aware of their pregnancy</w:t>
      </w:r>
    </w:p>
    <w:p w:rsidR="00A74AC3" w:rsidRPr="00D94409" w:rsidRDefault="00A74AC3" w:rsidP="00C320CF">
      <w:r w:rsidRPr="00D94409">
        <w:t xml:space="preserve">The Ministry of Health advises women not to drink alcohol leading up to and during pregnancy. Alcohol exposure increases the risk of miscarriage, still birth and </w:t>
      </w:r>
      <w:proofErr w:type="spellStart"/>
      <w:r w:rsidRPr="00D94409">
        <w:t>fetal</w:t>
      </w:r>
      <w:proofErr w:type="spellEnd"/>
      <w:r w:rsidRPr="00D94409">
        <w:t xml:space="preserve"> alcohol spectrum disorder.</w:t>
      </w:r>
    </w:p>
    <w:p w:rsidR="00A74AC3" w:rsidRPr="00D94409" w:rsidRDefault="00A74AC3" w:rsidP="00F91433">
      <w:pPr>
        <w:spacing w:before="150"/>
      </w:pPr>
      <w:r w:rsidRPr="00D94409">
        <w:t>The majority of pregnant women stop drinking alcohol either before they get pregnant (31</w:t>
      </w:r>
      <w:r w:rsidR="00F91433">
        <w:t> </w:t>
      </w:r>
      <w:r w:rsidRPr="00D94409">
        <w:t>percent) or as soon as they find out that they are pregnant (55</w:t>
      </w:r>
      <w:r w:rsidR="00F91433">
        <w:t> </w:t>
      </w:r>
      <w:r w:rsidRPr="00D94409">
        <w:t>percent) (Ministry of Health 2015c). However, it can be months after conception that some women learn of their pregnancy. One in six women continues to drink after finding out she is pregnant.</w:t>
      </w:r>
    </w:p>
    <w:p w:rsidR="00A74AC3" w:rsidRPr="00D94409" w:rsidRDefault="00A74AC3" w:rsidP="00F91433">
      <w:pPr>
        <w:spacing w:before="150"/>
      </w:pPr>
      <w:r w:rsidRPr="00D94409">
        <w:t>The behaviour of drinking at any stage of pregnancy is linked to a range of factors including unplanned pregnancy and a woman</w:t>
      </w:r>
      <w:r w:rsidR="00D94409" w:rsidRPr="00D94409">
        <w:t>’</w:t>
      </w:r>
      <w:r w:rsidRPr="00D94409">
        <w:t>s established drinking patterns. The Growing Up in</w:t>
      </w:r>
      <w:r w:rsidR="00F91433">
        <w:t xml:space="preserve"> </w:t>
      </w:r>
      <w:r w:rsidRPr="00D94409">
        <w:t>New</w:t>
      </w:r>
      <w:r w:rsidR="00F91433">
        <w:t> </w:t>
      </w:r>
      <w:r w:rsidRPr="00D94409">
        <w:t>Zealand study reports that 70 percent of women drank alcohol at some level before pregnancy or before becoming aware of their pregnancy (Cheung et al 2015).</w:t>
      </w:r>
    </w:p>
    <w:p w:rsidR="00A74AC3" w:rsidRDefault="00A74AC3" w:rsidP="00F91433">
      <w:pPr>
        <w:pStyle w:val="Figure"/>
        <w:spacing w:before="360"/>
        <w:rPr>
          <w:rFonts w:eastAsia="Palatino Linotype"/>
        </w:rPr>
      </w:pPr>
      <w:bookmarkStart w:id="29" w:name="_Toc433234118"/>
      <w:r w:rsidRPr="00D94409">
        <w:rPr>
          <w:rFonts w:eastAsia="Palatino Linotype"/>
        </w:rPr>
        <w:lastRenderedPageBreak/>
        <w:t>Figure 9: Early influences on children</w:t>
      </w:r>
      <w:r w:rsidR="00D94409" w:rsidRPr="00D94409">
        <w:rPr>
          <w:rFonts w:eastAsia="Palatino Linotype"/>
        </w:rPr>
        <w:t>’</w:t>
      </w:r>
      <w:r w:rsidRPr="00D94409">
        <w:rPr>
          <w:rFonts w:eastAsia="Palatino Linotype"/>
        </w:rPr>
        <w:t>s health</w:t>
      </w:r>
      <w:bookmarkEnd w:id="29"/>
    </w:p>
    <w:p w:rsidR="00F91433" w:rsidRDefault="0099197A" w:rsidP="00F91433">
      <w:pPr>
        <w:rPr>
          <w:rFonts w:eastAsia="Palatino Linotype"/>
        </w:rPr>
      </w:pPr>
      <w:r>
        <w:rPr>
          <w:noProof/>
          <w:lang w:eastAsia="en-NZ"/>
        </w:rPr>
        <mc:AlternateContent>
          <mc:Choice Requires="wps">
            <w:drawing>
              <wp:anchor distT="0" distB="0" distL="114300" distR="114300" simplePos="0" relativeHeight="251815936" behindDoc="0" locked="0" layoutInCell="1" allowOverlap="1">
                <wp:simplePos x="0" y="0"/>
                <wp:positionH relativeFrom="column">
                  <wp:posOffset>3117</wp:posOffset>
                </wp:positionH>
                <wp:positionV relativeFrom="paragraph">
                  <wp:posOffset>6190730</wp:posOffset>
                </wp:positionV>
                <wp:extent cx="266008" cy="2701637"/>
                <wp:effectExtent l="0" t="0" r="1270" b="3810"/>
                <wp:wrapNone/>
                <wp:docPr id="1952" name="Rectangle 1952"/>
                <wp:cNvGraphicFramePr/>
                <a:graphic xmlns:a="http://schemas.openxmlformats.org/drawingml/2006/main">
                  <a:graphicData uri="http://schemas.microsoft.com/office/word/2010/wordprocessingShape">
                    <wps:wsp>
                      <wps:cNvSpPr/>
                      <wps:spPr>
                        <a:xfrm>
                          <a:off x="0" y="0"/>
                          <a:ext cx="266008" cy="27016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52" o:spid="_x0000_s1026" style="position:absolute;margin-left:.25pt;margin-top:487.45pt;width:20.95pt;height:212.7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" fillcolor="white [3212]" stroked="f" strokeweight="2pt"/>
            </w:pict>
          </mc:Fallback>
        </mc:AlternateContent>
      </w:r>
      <w:r>
        <w:rPr>
          <w:noProof/>
          <w:lang w:eastAsia="en-NZ"/>
        </w:rPr>
        <w:drawing>
          <wp:inline distT="0" distB="0" distL="0" distR="0" wp14:anchorId="7DAD054D" wp14:editId="3ABECDC9">
            <wp:extent cx="5877098" cy="8944814"/>
            <wp:effectExtent l="0" t="0" r="9525" b="8890"/>
            <wp:docPr id="1855" name="Picture 1855" title="Figure 9: Early influences on children’s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grayscl/>
                    </a:blip>
                    <a:stretch>
                      <a:fillRect/>
                    </a:stretch>
                  </pic:blipFill>
                  <pic:spPr>
                    <a:xfrm>
                      <a:off x="0" y="0"/>
                      <a:ext cx="5878255" cy="8946576"/>
                    </a:xfrm>
                    <a:prstGeom prst="rect">
                      <a:avLst/>
                    </a:prstGeom>
                  </pic:spPr>
                </pic:pic>
              </a:graphicData>
            </a:graphic>
          </wp:inline>
        </w:drawing>
      </w:r>
    </w:p>
    <w:p w:rsidR="00F91433" w:rsidRDefault="00F91433" w:rsidP="0099197A">
      <w:pPr>
        <w:rPr>
          <w:rFonts w:eastAsia="Palatino Linotype"/>
        </w:rPr>
      </w:pPr>
    </w:p>
    <w:p w:rsidR="00A74AC3" w:rsidRPr="00D94409" w:rsidRDefault="00A74AC3" w:rsidP="003171F2">
      <w:r w:rsidRPr="00D94409">
        <w:lastRenderedPageBreak/>
        <w:t>The New Zealand Health Survey asked women if they drank alcohol at any time in their most recent pregnancy. One in five women (19 percent) reported drinking alcohol during her most recent pregnancy;</w:t>
      </w:r>
      <w:r w:rsidR="003171F2">
        <w:rPr>
          <w:rStyle w:val="FootnoteReference"/>
        </w:rPr>
        <w:footnoteReference w:id="19"/>
      </w:r>
      <w:r w:rsidR="003171F2">
        <w:t xml:space="preserve"> </w:t>
      </w:r>
      <w:r w:rsidRPr="00D94409">
        <w:t>among women aged 15–24 years, the proportion was higher at 28 percent (Ministry of Health 2015c).</w:t>
      </w:r>
    </w:p>
    <w:p w:rsidR="00A74AC3" w:rsidRPr="00D94409" w:rsidRDefault="00A74AC3" w:rsidP="003171F2">
      <w:pPr>
        <w:rPr>
          <w:rFonts w:eastAsia="Century"/>
        </w:rPr>
      </w:pPr>
    </w:p>
    <w:p w:rsidR="00A74AC3" w:rsidRPr="00D94409" w:rsidRDefault="00A74AC3" w:rsidP="003171F2">
      <w:r w:rsidRPr="00D94409">
        <w:t>After adjusting for age, Māori mothers were twice as likely to drink at some point during pregnancy as non-Māori mothers.</w:t>
      </w:r>
    </w:p>
    <w:p w:rsidR="00A74AC3" w:rsidRPr="00D94409" w:rsidRDefault="00A74AC3" w:rsidP="003171F2">
      <w:pPr>
        <w:rPr>
          <w:rFonts w:eastAsia="Century"/>
        </w:rPr>
      </w:pPr>
    </w:p>
    <w:p w:rsidR="00A74AC3" w:rsidRPr="00D94409" w:rsidRDefault="00A74AC3" w:rsidP="003171F2">
      <w:pPr>
        <w:pStyle w:val="Heading3"/>
        <w:rPr>
          <w:rFonts w:eastAsia="Georgia" w:cs="Georgia"/>
          <w:szCs w:val="28"/>
        </w:rPr>
      </w:pPr>
      <w:r w:rsidRPr="00D94409">
        <w:t>Unhealthy behaviours are evident among our children</w:t>
      </w:r>
    </w:p>
    <w:p w:rsidR="00A74AC3" w:rsidRPr="00D94409" w:rsidRDefault="00A74AC3" w:rsidP="003171F2">
      <w:r w:rsidRPr="00D94409">
        <w:t>Children develop preferences and behaviours early in life, which they often carry on into adulthood. One in six children aged 2–14 years (17 percent) has fizzy drinks three or more times a week. The proportion of young children aged 2–4 years who drink three or more fizzy drinks each week has fallen significantly, from 13 percent in 2006/07 to 8.5 percent in 2013/14.</w:t>
      </w:r>
    </w:p>
    <w:p w:rsidR="00A74AC3" w:rsidRPr="00D94409" w:rsidRDefault="00A74AC3" w:rsidP="003171F2">
      <w:pPr>
        <w:rPr>
          <w:rFonts w:eastAsia="Century"/>
        </w:rPr>
      </w:pPr>
    </w:p>
    <w:p w:rsidR="00A74AC3" w:rsidRPr="00D94409" w:rsidRDefault="00A74AC3" w:rsidP="003171F2">
      <w:r w:rsidRPr="00D94409">
        <w:t>However, this figure is still too high, as highlighted by the 43 percent of five-year-olds who have dental caries (tooth decay) (Ministry of Health 2015h). Given 63 percent of Māori and 64</w:t>
      </w:r>
      <w:r w:rsidR="003171F2">
        <w:t> </w:t>
      </w:r>
      <w:r w:rsidRPr="00D94409">
        <w:t>percent of Pacific five-year-olds having dental caries, this health issue is of particular concern for these ethnic groups.</w:t>
      </w:r>
    </w:p>
    <w:p w:rsidR="00A74AC3" w:rsidRPr="00D94409" w:rsidRDefault="00A74AC3" w:rsidP="003171F2">
      <w:pPr>
        <w:rPr>
          <w:rFonts w:eastAsia="Century"/>
        </w:rPr>
      </w:pPr>
    </w:p>
    <w:p w:rsidR="00A74AC3" w:rsidRPr="00D94409" w:rsidRDefault="00A74AC3" w:rsidP="003171F2">
      <w:r w:rsidRPr="00D94409">
        <w:t>New Zealand</w:t>
      </w:r>
      <w:r w:rsidR="00D94409" w:rsidRPr="00D94409">
        <w:t>’</w:t>
      </w:r>
      <w:r w:rsidRPr="00D94409">
        <w:t>s physical activity guidelines recommend that children and young people aged</w:t>
      </w:r>
      <w:r w:rsidR="003171F2">
        <w:br/>
      </w:r>
      <w:r w:rsidRPr="00D94409">
        <w:t>5–18 years spend no more than two hours per day in front of the television, computer or games console (out of school time), in order to reduce sedentary behaviour. Half of all children currently watch two or more hours of television each day (Ministry of Health 2014c). Screen time is particularly high among children living in the most socioeconomically deprived areas, where 64 percent watch two or more hours of television each day compared with 36 percent of children living in the least deprived areas.</w:t>
      </w:r>
    </w:p>
    <w:p w:rsidR="00A74AC3" w:rsidRPr="00D94409" w:rsidRDefault="00A74AC3" w:rsidP="003171F2">
      <w:pPr>
        <w:rPr>
          <w:rFonts w:eastAsia="Century"/>
        </w:rPr>
      </w:pPr>
    </w:p>
    <w:p w:rsidR="00A74AC3" w:rsidRPr="00D94409" w:rsidRDefault="00A74AC3" w:rsidP="003171F2">
      <w:r w:rsidRPr="00D94409">
        <w:t xml:space="preserve">The Youth </w:t>
      </w:r>
      <w:r w:rsidR="003171F2">
        <w:t>’1</w:t>
      </w:r>
      <w:r w:rsidRPr="00D94409">
        <w:t xml:space="preserve">2 survey provides additional information on computer game use. Notably, </w:t>
      </w:r>
      <w:proofErr w:type="gramStart"/>
      <w:r w:rsidRPr="00D94409">
        <w:t>one in five secondary school students plays</w:t>
      </w:r>
      <w:proofErr w:type="gramEnd"/>
      <w:r w:rsidRPr="00D94409">
        <w:t xml:space="preserve"> three or more hours of computer games per day (Clark et al 2013).</w:t>
      </w:r>
    </w:p>
    <w:p w:rsidR="00A74AC3" w:rsidRPr="00D94409" w:rsidRDefault="00A74AC3" w:rsidP="003171F2">
      <w:pPr>
        <w:rPr>
          <w:rFonts w:eastAsia="Century"/>
        </w:rPr>
      </w:pPr>
    </w:p>
    <w:p w:rsidR="00A74AC3" w:rsidRPr="00D94409" w:rsidRDefault="00A74AC3" w:rsidP="003171F2">
      <w:pPr>
        <w:pStyle w:val="Heading3"/>
        <w:rPr>
          <w:bCs/>
        </w:rPr>
      </w:pPr>
      <w:r w:rsidRPr="00D94409">
        <w:t>Obese children are at higher risk of early signs of CVD, including high blood pressure</w:t>
      </w:r>
    </w:p>
    <w:p w:rsidR="00A74AC3" w:rsidRPr="00D94409" w:rsidRDefault="00A74AC3" w:rsidP="003171F2">
      <w:r w:rsidRPr="00D94409">
        <w:t>Poor diet and a lack of physical activity increase a person</w:t>
      </w:r>
      <w:r w:rsidR="00D94409" w:rsidRPr="00D94409">
        <w:t>’</w:t>
      </w:r>
      <w:r w:rsidRPr="00D94409">
        <w:t>s risk of being overweight or obese. One in ten children aged 2–14 years (10 percent) is obese, including 4 percent who are morbidly obese. This is the equivalent of 79,000 obese children, of whom 33,000 are morbidly obese (Ministry of Health 2014c).</w:t>
      </w:r>
    </w:p>
    <w:p w:rsidR="00A74AC3" w:rsidRPr="00D94409" w:rsidRDefault="00A74AC3" w:rsidP="003171F2">
      <w:pPr>
        <w:rPr>
          <w:rFonts w:eastAsia="Century"/>
        </w:rPr>
      </w:pPr>
    </w:p>
    <w:p w:rsidR="00A74AC3" w:rsidRPr="00D94409" w:rsidRDefault="00A74AC3" w:rsidP="003171F2">
      <w:r w:rsidRPr="00D94409">
        <w:t>Rates of childhood obesity are highest among Pacific children: 25 percent are obese and 12</w:t>
      </w:r>
      <w:r w:rsidR="003171F2">
        <w:t> </w:t>
      </w:r>
      <w:r w:rsidRPr="00D94409">
        <w:t>percent morbidly obese. Pacific children are 3.2 times as likely to be obese and 3.7 times as likely to be morbidly obese as non-Pacific children.</w:t>
      </w:r>
    </w:p>
    <w:p w:rsidR="00A74AC3" w:rsidRPr="00D94409" w:rsidRDefault="00A74AC3" w:rsidP="003171F2">
      <w:pPr>
        <w:rPr>
          <w:rFonts w:eastAsia="Century"/>
        </w:rPr>
      </w:pPr>
    </w:p>
    <w:p w:rsidR="00A74AC3" w:rsidRPr="00D94409" w:rsidRDefault="00A74AC3" w:rsidP="003171F2">
      <w:r w:rsidRPr="00D94409">
        <w:t>Among Māori children, 16 percent are obese and 6 percent are morbidly obese. Māori children are almost twice as likely to be either obese or morbidly obese compared with non-Māori children.</w:t>
      </w:r>
    </w:p>
    <w:p w:rsidR="00A74AC3" w:rsidRPr="00D94409" w:rsidRDefault="00A74AC3" w:rsidP="003171F2">
      <w:pPr>
        <w:rPr>
          <w:rFonts w:eastAsia="Century"/>
        </w:rPr>
      </w:pPr>
    </w:p>
    <w:p w:rsidR="00A74AC3" w:rsidRPr="00D94409" w:rsidRDefault="00A74AC3" w:rsidP="003171F2">
      <w:pPr>
        <w:keepLines/>
      </w:pPr>
      <w:r w:rsidRPr="00D94409">
        <w:lastRenderedPageBreak/>
        <w:t>The childhood obesity rate is much higher in children living in the most socioeconomically deprived areas. Children living in the most deprived areas are 2.5 times as likely to be obese and 4.2</w:t>
      </w:r>
      <w:r w:rsidR="003171F2">
        <w:t> </w:t>
      </w:r>
      <w:r w:rsidRPr="00D94409">
        <w:t>times as likely to be morbidly obese compared with children living in the least deprived areas.</w:t>
      </w:r>
    </w:p>
    <w:p w:rsidR="00A74AC3" w:rsidRPr="00D94409" w:rsidRDefault="00A74AC3" w:rsidP="003171F2">
      <w:pPr>
        <w:rPr>
          <w:rFonts w:eastAsia="Century"/>
        </w:rPr>
      </w:pPr>
    </w:p>
    <w:p w:rsidR="00A74AC3" w:rsidRPr="00D94409" w:rsidRDefault="00A74AC3" w:rsidP="003171F2">
      <w:r w:rsidRPr="00D94409">
        <w:t xml:space="preserve">Obese children and young people are at a higher risk of developing diabetes and early signs of cardiovascular disease (Grant et al 2008). Previously a disease of adulthood, type </w:t>
      </w:r>
      <w:proofErr w:type="gramStart"/>
      <w:r w:rsidRPr="00D94409">
        <w:t>2 diabetes</w:t>
      </w:r>
      <w:proofErr w:type="gramEnd"/>
      <w:r w:rsidRPr="00D94409">
        <w:t xml:space="preserve"> now accounts for a growing proportion of newly diagnosed diabetes in adolescents (</w:t>
      </w:r>
      <w:proofErr w:type="spellStart"/>
      <w:r w:rsidRPr="00D94409">
        <w:t>Hotu</w:t>
      </w:r>
      <w:proofErr w:type="spellEnd"/>
      <w:r w:rsidRPr="00D94409">
        <w:t xml:space="preserve"> et al 2004). In the 2008/09 New Zealand Adult Nutrition Survey, an estimated one in twelve of those aged 15–24 years had pre-diabetes</w:t>
      </w:r>
      <w:r w:rsidR="003171F2">
        <w:rPr>
          <w:rStyle w:val="FootnoteReference"/>
        </w:rPr>
        <w:footnoteReference w:id="20"/>
      </w:r>
      <w:r w:rsidR="003171F2">
        <w:t xml:space="preserve"> </w:t>
      </w:r>
      <w:r w:rsidRPr="00D94409">
        <w:t>(Coppell et al 2013).</w:t>
      </w:r>
    </w:p>
    <w:p w:rsidR="00A74AC3" w:rsidRPr="00D94409" w:rsidRDefault="00A74AC3" w:rsidP="003171F2">
      <w:pPr>
        <w:rPr>
          <w:rFonts w:eastAsia="Century"/>
        </w:rPr>
      </w:pPr>
    </w:p>
    <w:p w:rsidR="00A74AC3" w:rsidRDefault="00A74AC3" w:rsidP="003171F2">
      <w:pPr>
        <w:pStyle w:val="Heading3"/>
      </w:pPr>
      <w:r w:rsidRPr="00D94409">
        <w:t>More families are accessing maternity and Well Child /</w:t>
      </w:r>
      <w:proofErr w:type="spellStart"/>
      <w:r w:rsidRPr="00D94409">
        <w:t>Tamariki</w:t>
      </w:r>
      <w:proofErr w:type="spellEnd"/>
      <w:r w:rsidRPr="00D94409">
        <w:t xml:space="preserve"> </w:t>
      </w:r>
      <w:proofErr w:type="spellStart"/>
      <w:r w:rsidRPr="00D94409">
        <w:t>Ora</w:t>
      </w:r>
      <w:proofErr w:type="spellEnd"/>
      <w:r w:rsidRPr="00D94409">
        <w:t xml:space="preserve"> services</w:t>
      </w:r>
    </w:p>
    <w:tbl>
      <w:tblPr>
        <w:tblStyle w:val="TableGrid"/>
        <w:tblW w:w="957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5743"/>
      </w:tblGrid>
      <w:tr w:rsidR="008B2328" w:rsidTr="008B2328">
        <w:trPr>
          <w:cantSplit/>
        </w:trPr>
        <w:tc>
          <w:tcPr>
            <w:tcW w:w="3828" w:type="dxa"/>
            <w:shd w:val="clear" w:color="auto" w:fill="auto"/>
          </w:tcPr>
          <w:p w:rsidR="008B2328" w:rsidRPr="00D94409" w:rsidRDefault="008B2328" w:rsidP="008B2328">
            <w:pPr>
              <w:ind w:left="-108" w:right="170"/>
            </w:pPr>
            <w:r w:rsidRPr="00D94409">
              <w:t xml:space="preserve">Ensuring good access to maternity and Well Child / </w:t>
            </w:r>
            <w:proofErr w:type="spellStart"/>
            <w:r w:rsidRPr="00D94409">
              <w:t>Tamariki</w:t>
            </w:r>
            <w:proofErr w:type="spellEnd"/>
            <w:r w:rsidRPr="00D94409">
              <w:t xml:space="preserve"> </w:t>
            </w:r>
            <w:proofErr w:type="spellStart"/>
            <w:r w:rsidRPr="00D94409">
              <w:t>Ora</w:t>
            </w:r>
            <w:proofErr w:type="spellEnd"/>
            <w:r w:rsidRPr="00D94409">
              <w:t xml:space="preserve"> (WCTO) services helps support families to give their children the best start in life.</w:t>
            </w:r>
            <w:r>
              <w:t xml:space="preserve"> </w:t>
            </w:r>
            <w:r w:rsidRPr="00D94409">
              <w:t>Among those women who gave birth in 2014 and registered with a Lead Maternity Carer (LMC), two-thirds (67</w:t>
            </w:r>
            <w:r>
              <w:t> </w:t>
            </w:r>
            <w:r w:rsidRPr="00D94409">
              <w:t>percent) did so within their first 12</w:t>
            </w:r>
            <w:r>
              <w:t> </w:t>
            </w:r>
            <w:r w:rsidRPr="00D94409">
              <w:t>weeks of pregnancy. This figure</w:t>
            </w:r>
            <w:r>
              <w:t xml:space="preserve"> </w:t>
            </w:r>
            <w:r w:rsidRPr="00D94409">
              <w:t>is up from 50 percent registered by 12</w:t>
            </w:r>
            <w:r>
              <w:t> </w:t>
            </w:r>
            <w:r w:rsidRPr="00D94409">
              <w:t>weeks in 2008 (provisional data, National Collections), indicating that early access to an LMC has improved steadily over recent years. All ethnic groups have seen an increase in</w:t>
            </w:r>
            <w:r>
              <w:t xml:space="preserve"> </w:t>
            </w:r>
            <w:r w:rsidRPr="00D94409">
              <w:t>early access to an LMC since 2008. However, only 40</w:t>
            </w:r>
            <w:r>
              <w:t> </w:t>
            </w:r>
            <w:r w:rsidRPr="00D94409">
              <w:t>percent of Pacific and 53</w:t>
            </w:r>
            <w:r>
              <w:t> </w:t>
            </w:r>
            <w:r w:rsidRPr="00D94409">
              <w:t>percent of Māori women who registered with a LMC did so by 12</w:t>
            </w:r>
            <w:r>
              <w:t> </w:t>
            </w:r>
            <w:r w:rsidRPr="00D94409">
              <w:t>weeks in 2014.</w:t>
            </w:r>
          </w:p>
        </w:tc>
        <w:tc>
          <w:tcPr>
            <w:tcW w:w="5743" w:type="dxa"/>
            <w:shd w:val="clear" w:color="auto" w:fill="D9D9D9" w:themeFill="background1" w:themeFillShade="D9"/>
          </w:tcPr>
          <w:p w:rsidR="00F07BA1" w:rsidRPr="00F07BA1" w:rsidRDefault="00F07BA1" w:rsidP="00F07BA1">
            <w:pPr>
              <w:spacing w:before="240"/>
              <w:rPr>
                <w:rFonts w:eastAsia="Georgia" w:cs="Georgia"/>
                <w:b/>
              </w:rPr>
            </w:pPr>
            <w:r w:rsidRPr="00F07BA1">
              <w:rPr>
                <w:b/>
              </w:rPr>
              <w:t>H</w:t>
            </w:r>
            <w:r w:rsidRPr="00F07BA1">
              <w:rPr>
                <w:b/>
                <w:spacing w:val="-1"/>
              </w:rPr>
              <w:t>ealthy</w:t>
            </w:r>
            <w:r w:rsidRPr="00F07BA1">
              <w:rPr>
                <w:b/>
                <w:spacing w:val="-30"/>
              </w:rPr>
              <w:t xml:space="preserve"> </w:t>
            </w:r>
            <w:r w:rsidRPr="00F07BA1">
              <w:rPr>
                <w:b/>
                <w:spacing w:val="-3"/>
              </w:rPr>
              <w:t>F</w:t>
            </w:r>
            <w:r w:rsidRPr="00F07BA1">
              <w:rPr>
                <w:b/>
              </w:rPr>
              <w:t>amilies</w:t>
            </w:r>
            <w:r w:rsidRPr="00F07BA1">
              <w:rPr>
                <w:b/>
                <w:spacing w:val="-29"/>
              </w:rPr>
              <w:t xml:space="preserve"> </w:t>
            </w:r>
            <w:r w:rsidRPr="00F07BA1">
              <w:rPr>
                <w:b/>
              </w:rPr>
              <w:t>NZ</w:t>
            </w:r>
          </w:p>
          <w:p w:rsidR="00F07BA1" w:rsidRPr="00D94409" w:rsidRDefault="00F07BA1" w:rsidP="00F07BA1">
            <w:pPr>
              <w:spacing w:before="120"/>
              <w:rPr>
                <w:rFonts w:cs="Century"/>
              </w:rPr>
            </w:pPr>
            <w:r w:rsidRPr="00D94409">
              <w:rPr>
                <w:rFonts w:cs="Century"/>
                <w:w w:val="105"/>
              </w:rPr>
              <w:t>H</w:t>
            </w:r>
            <w:r w:rsidRPr="00D94409">
              <w:rPr>
                <w:rFonts w:cs="Century"/>
                <w:spacing w:val="-1"/>
                <w:w w:val="105"/>
              </w:rPr>
              <w:t>e</w:t>
            </w:r>
            <w:r w:rsidRPr="00D94409">
              <w:rPr>
                <w:rFonts w:cs="Century"/>
                <w:w w:val="105"/>
              </w:rPr>
              <w:t>alth</w:t>
            </w:r>
            <w:r w:rsidRPr="00D94409">
              <w:rPr>
                <w:rFonts w:cs="Century"/>
                <w:spacing w:val="-1"/>
                <w:w w:val="105"/>
              </w:rPr>
              <w:t>y</w:t>
            </w:r>
            <w:r w:rsidRPr="00D94409">
              <w:rPr>
                <w:rFonts w:cs="Century"/>
                <w:spacing w:val="-28"/>
                <w:w w:val="105"/>
              </w:rPr>
              <w:t xml:space="preserve"> </w:t>
            </w:r>
            <w:r w:rsidRPr="00D94409">
              <w:rPr>
                <w:rFonts w:cs="Century"/>
                <w:w w:val="105"/>
              </w:rPr>
              <w:t>F</w:t>
            </w:r>
            <w:r w:rsidRPr="00D94409">
              <w:rPr>
                <w:rFonts w:cs="Century"/>
                <w:spacing w:val="-1"/>
                <w:w w:val="105"/>
              </w:rPr>
              <w:t>amilie</w:t>
            </w:r>
            <w:r w:rsidRPr="00D94409">
              <w:rPr>
                <w:rFonts w:cs="Century"/>
                <w:w w:val="105"/>
              </w:rPr>
              <w:t>s</w:t>
            </w:r>
            <w:r w:rsidRPr="00D94409">
              <w:rPr>
                <w:rFonts w:cs="Century"/>
                <w:spacing w:val="-28"/>
                <w:w w:val="105"/>
              </w:rPr>
              <w:t xml:space="preserve"> </w:t>
            </w:r>
            <w:r w:rsidRPr="00D94409">
              <w:rPr>
                <w:rFonts w:cs="Century"/>
                <w:w w:val="105"/>
              </w:rPr>
              <w:t>NZ</w:t>
            </w:r>
            <w:r w:rsidRPr="00D94409">
              <w:rPr>
                <w:rFonts w:cs="Century"/>
                <w:spacing w:val="-27"/>
                <w:w w:val="105"/>
              </w:rPr>
              <w:t xml:space="preserve"> </w:t>
            </w:r>
            <w:r w:rsidRPr="00D94409">
              <w:rPr>
                <w:rFonts w:cs="Century"/>
                <w:w w:val="105"/>
              </w:rPr>
              <w:t>is</w:t>
            </w:r>
            <w:r w:rsidRPr="00D94409">
              <w:rPr>
                <w:rFonts w:cs="Century"/>
                <w:spacing w:val="-28"/>
                <w:w w:val="105"/>
              </w:rPr>
              <w:t xml:space="preserve"> </w:t>
            </w:r>
            <w:r w:rsidRPr="00D94409">
              <w:rPr>
                <w:rFonts w:cs="Century"/>
                <w:w w:val="105"/>
              </w:rPr>
              <w:t>a</w:t>
            </w:r>
            <w:r w:rsidRPr="00D94409">
              <w:rPr>
                <w:rFonts w:cs="Century"/>
                <w:spacing w:val="-28"/>
                <w:w w:val="105"/>
              </w:rPr>
              <w:t xml:space="preserve"> </w:t>
            </w:r>
            <w:r w:rsidRPr="00D94409">
              <w:rPr>
                <w:rFonts w:cs="Century"/>
                <w:w w:val="105"/>
              </w:rPr>
              <w:t>large-scale</w:t>
            </w:r>
            <w:r w:rsidRPr="00D94409">
              <w:rPr>
                <w:rFonts w:cs="Century"/>
                <w:spacing w:val="-27"/>
                <w:w w:val="105"/>
              </w:rPr>
              <w:t xml:space="preserve"> </w:t>
            </w:r>
            <w:r w:rsidRPr="00D94409">
              <w:rPr>
                <w:rFonts w:cs="Century"/>
                <w:spacing w:val="-1"/>
                <w:w w:val="105"/>
              </w:rPr>
              <w:t>initiative</w:t>
            </w:r>
            <w:r w:rsidRPr="00D94409">
              <w:rPr>
                <w:rFonts w:cs="Century"/>
                <w:spacing w:val="-28"/>
                <w:w w:val="105"/>
              </w:rPr>
              <w:t xml:space="preserve"> </w:t>
            </w:r>
            <w:r w:rsidRPr="00D94409">
              <w:rPr>
                <w:rFonts w:cs="Century"/>
                <w:w w:val="105"/>
              </w:rPr>
              <w:t>that</w:t>
            </w:r>
            <w:r w:rsidRPr="00D94409">
              <w:rPr>
                <w:rFonts w:cs="Century"/>
                <w:spacing w:val="-27"/>
                <w:w w:val="105"/>
              </w:rPr>
              <w:t xml:space="preserve"> </w:t>
            </w:r>
            <w:r w:rsidRPr="00D94409">
              <w:rPr>
                <w:rFonts w:cs="Century"/>
                <w:w w:val="105"/>
              </w:rPr>
              <w:t>brings</w:t>
            </w:r>
            <w:r w:rsidRPr="00D94409">
              <w:rPr>
                <w:rFonts w:cs="Century"/>
                <w:spacing w:val="35"/>
                <w:w w:val="101"/>
              </w:rPr>
              <w:t xml:space="preserve"> </w:t>
            </w:r>
            <w:r w:rsidRPr="00D94409">
              <w:rPr>
                <w:rFonts w:cs="Century"/>
                <w:w w:val="105"/>
              </w:rPr>
              <w:t>community</w:t>
            </w:r>
            <w:r w:rsidRPr="00D94409">
              <w:rPr>
                <w:rFonts w:cs="Century"/>
                <w:spacing w:val="-8"/>
                <w:w w:val="105"/>
              </w:rPr>
              <w:t xml:space="preserve"> </w:t>
            </w:r>
            <w:r w:rsidRPr="00D94409">
              <w:rPr>
                <w:rFonts w:cs="Century"/>
                <w:spacing w:val="-1"/>
                <w:w w:val="105"/>
              </w:rPr>
              <w:t>leadership</w:t>
            </w:r>
            <w:r w:rsidRPr="00D94409">
              <w:rPr>
                <w:rFonts w:cs="Century"/>
                <w:spacing w:val="-7"/>
                <w:w w:val="105"/>
              </w:rPr>
              <w:t xml:space="preserve"> </w:t>
            </w:r>
            <w:r w:rsidRPr="00D94409">
              <w:rPr>
                <w:rFonts w:cs="Century"/>
                <w:w w:val="105"/>
              </w:rPr>
              <w:t>t</w:t>
            </w:r>
            <w:r w:rsidRPr="00D94409">
              <w:rPr>
                <w:rFonts w:cs="Century"/>
                <w:spacing w:val="-1"/>
                <w:w w:val="105"/>
              </w:rPr>
              <w:t>ogether</w:t>
            </w:r>
            <w:r w:rsidRPr="00D94409">
              <w:rPr>
                <w:rFonts w:cs="Century"/>
                <w:spacing w:val="-8"/>
                <w:w w:val="105"/>
              </w:rPr>
              <w:t xml:space="preserve"> </w:t>
            </w:r>
            <w:r w:rsidRPr="00D94409">
              <w:rPr>
                <w:rFonts w:cs="Century"/>
                <w:w w:val="105"/>
              </w:rPr>
              <w:t>in</w:t>
            </w:r>
            <w:r w:rsidRPr="00D94409">
              <w:rPr>
                <w:rFonts w:cs="Century"/>
                <w:spacing w:val="-7"/>
                <w:w w:val="105"/>
              </w:rPr>
              <w:t xml:space="preserve"> </w:t>
            </w:r>
            <w:r w:rsidRPr="00D94409">
              <w:rPr>
                <w:rFonts w:cs="Century"/>
                <w:w w:val="105"/>
              </w:rPr>
              <w:t>a</w:t>
            </w:r>
            <w:r w:rsidRPr="00D94409">
              <w:rPr>
                <w:rFonts w:cs="Century"/>
                <w:spacing w:val="-7"/>
                <w:w w:val="105"/>
              </w:rPr>
              <w:t xml:space="preserve"> </w:t>
            </w:r>
            <w:r w:rsidRPr="00D94409">
              <w:rPr>
                <w:rFonts w:cs="Century"/>
                <w:spacing w:val="-1"/>
                <w:w w:val="105"/>
              </w:rPr>
              <w:t>united</w:t>
            </w:r>
            <w:r w:rsidRPr="00D94409">
              <w:rPr>
                <w:rFonts w:cs="Century"/>
                <w:spacing w:val="-8"/>
                <w:w w:val="105"/>
              </w:rPr>
              <w:t xml:space="preserve"> </w:t>
            </w:r>
            <w:r w:rsidRPr="00D94409">
              <w:rPr>
                <w:rFonts w:cs="Century"/>
                <w:w w:val="105"/>
              </w:rPr>
              <w:t>effort</w:t>
            </w:r>
            <w:r w:rsidRPr="00D94409">
              <w:rPr>
                <w:rFonts w:cs="Century"/>
                <w:spacing w:val="-7"/>
                <w:w w:val="105"/>
              </w:rPr>
              <w:t xml:space="preserve"> </w:t>
            </w:r>
            <w:r w:rsidRPr="00D94409">
              <w:rPr>
                <w:rFonts w:cs="Century"/>
                <w:w w:val="105"/>
              </w:rPr>
              <w:t>t</w:t>
            </w:r>
            <w:r w:rsidRPr="00D94409">
              <w:rPr>
                <w:rFonts w:cs="Century"/>
                <w:spacing w:val="-1"/>
                <w:w w:val="105"/>
              </w:rPr>
              <w:t>o</w:t>
            </w:r>
            <w:r w:rsidRPr="00D94409">
              <w:rPr>
                <w:rFonts w:cs="Century"/>
                <w:spacing w:val="47"/>
                <w:w w:val="118"/>
              </w:rPr>
              <w:t xml:space="preserve"> </w:t>
            </w:r>
            <w:r w:rsidRPr="00D94409">
              <w:rPr>
                <w:rFonts w:cs="Century"/>
                <w:spacing w:val="-1"/>
                <w:w w:val="105"/>
              </w:rPr>
              <w:t>improve</w:t>
            </w:r>
            <w:r w:rsidRPr="00D94409">
              <w:rPr>
                <w:rFonts w:cs="Century"/>
                <w:spacing w:val="-9"/>
                <w:w w:val="105"/>
              </w:rPr>
              <w:t xml:space="preserve"> </w:t>
            </w:r>
            <w:r w:rsidRPr="00D94409">
              <w:rPr>
                <w:rFonts w:cs="Century"/>
                <w:w w:val="105"/>
              </w:rPr>
              <w:t>health.</w:t>
            </w:r>
            <w:r w:rsidRPr="00D94409">
              <w:rPr>
                <w:rFonts w:cs="Century"/>
                <w:spacing w:val="-9"/>
                <w:w w:val="105"/>
              </w:rPr>
              <w:t xml:space="preserve"> </w:t>
            </w:r>
            <w:r w:rsidRPr="00D94409">
              <w:rPr>
                <w:rFonts w:cs="Century"/>
                <w:w w:val="105"/>
              </w:rPr>
              <w:t>It</w:t>
            </w:r>
            <w:r w:rsidRPr="00D94409">
              <w:rPr>
                <w:rFonts w:cs="Century"/>
                <w:spacing w:val="-9"/>
                <w:w w:val="105"/>
              </w:rPr>
              <w:t xml:space="preserve"> </w:t>
            </w:r>
            <w:r w:rsidRPr="00D94409">
              <w:rPr>
                <w:rFonts w:cs="Century"/>
                <w:w w:val="105"/>
              </w:rPr>
              <w:t>aims</w:t>
            </w:r>
            <w:r w:rsidRPr="00D94409">
              <w:rPr>
                <w:rFonts w:cs="Century"/>
                <w:spacing w:val="-9"/>
                <w:w w:val="105"/>
              </w:rPr>
              <w:t xml:space="preserve"> </w:t>
            </w:r>
            <w:r w:rsidRPr="00D94409">
              <w:rPr>
                <w:rFonts w:cs="Century"/>
                <w:w w:val="105"/>
              </w:rPr>
              <w:t>t</w:t>
            </w:r>
            <w:r w:rsidRPr="00D94409">
              <w:rPr>
                <w:rFonts w:cs="Century"/>
                <w:spacing w:val="-1"/>
                <w:w w:val="105"/>
              </w:rPr>
              <w:t>o</w:t>
            </w:r>
            <w:r w:rsidRPr="00D94409">
              <w:rPr>
                <w:rFonts w:cs="Century"/>
                <w:spacing w:val="-9"/>
                <w:w w:val="105"/>
              </w:rPr>
              <w:t xml:space="preserve"> </w:t>
            </w:r>
            <w:r w:rsidRPr="00D94409">
              <w:rPr>
                <w:rFonts w:cs="Century"/>
                <w:spacing w:val="-1"/>
                <w:w w:val="105"/>
              </w:rPr>
              <w:t>improve</w:t>
            </w:r>
            <w:r w:rsidRPr="00D94409">
              <w:rPr>
                <w:rFonts w:cs="Century"/>
                <w:spacing w:val="-9"/>
                <w:w w:val="105"/>
              </w:rPr>
              <w:t xml:space="preserve"> </w:t>
            </w:r>
            <w:r w:rsidRPr="00D94409">
              <w:rPr>
                <w:rFonts w:cs="Century"/>
                <w:w w:val="105"/>
              </w:rPr>
              <w:t>people’</w:t>
            </w:r>
            <w:r w:rsidRPr="00D94409">
              <w:rPr>
                <w:rFonts w:cs="Century"/>
                <w:spacing w:val="-3"/>
                <w:w w:val="105"/>
              </w:rPr>
              <w:t>s</w:t>
            </w:r>
            <w:r w:rsidRPr="00D94409">
              <w:rPr>
                <w:rFonts w:cs="Century"/>
                <w:spacing w:val="-9"/>
                <w:w w:val="105"/>
              </w:rPr>
              <w:t xml:space="preserve"> </w:t>
            </w:r>
            <w:r w:rsidRPr="00D94409">
              <w:rPr>
                <w:rFonts w:cs="Century"/>
                <w:w w:val="105"/>
              </w:rPr>
              <w:t>health</w:t>
            </w:r>
            <w:r w:rsidRPr="00D94409">
              <w:rPr>
                <w:rFonts w:cs="Century"/>
                <w:spacing w:val="-9"/>
                <w:w w:val="105"/>
              </w:rPr>
              <w:t xml:space="preserve"> </w:t>
            </w:r>
            <w:r w:rsidRPr="00D94409">
              <w:rPr>
                <w:rFonts w:cs="Century"/>
                <w:spacing w:val="-1"/>
                <w:w w:val="105"/>
              </w:rPr>
              <w:t>by</w:t>
            </w:r>
            <w:r w:rsidRPr="00D94409">
              <w:rPr>
                <w:rFonts w:cs="Century"/>
                <w:spacing w:val="27"/>
                <w:w w:val="107"/>
              </w:rPr>
              <w:t xml:space="preserve"> </w:t>
            </w:r>
            <w:r w:rsidRPr="00D94409">
              <w:rPr>
                <w:rFonts w:cs="Century"/>
                <w:spacing w:val="-1"/>
                <w:w w:val="105"/>
              </w:rPr>
              <w:t>working</w:t>
            </w:r>
            <w:r w:rsidRPr="00D94409">
              <w:rPr>
                <w:rFonts w:cs="Century"/>
                <w:spacing w:val="-15"/>
                <w:w w:val="105"/>
              </w:rPr>
              <w:t xml:space="preserve"> </w:t>
            </w:r>
            <w:r w:rsidRPr="00D94409">
              <w:rPr>
                <w:rFonts w:cs="Century"/>
                <w:w w:val="105"/>
              </w:rPr>
              <w:t>in</w:t>
            </w:r>
            <w:r w:rsidRPr="00D94409">
              <w:rPr>
                <w:rFonts w:cs="Century"/>
                <w:spacing w:val="-14"/>
                <w:w w:val="105"/>
              </w:rPr>
              <w:t xml:space="preserve"> </w:t>
            </w:r>
            <w:r w:rsidRPr="00D94409">
              <w:rPr>
                <w:rFonts w:cs="Century"/>
                <w:w w:val="105"/>
              </w:rPr>
              <w:t>places</w:t>
            </w:r>
            <w:r w:rsidRPr="00D94409">
              <w:rPr>
                <w:rFonts w:cs="Century"/>
                <w:spacing w:val="-15"/>
                <w:w w:val="105"/>
              </w:rPr>
              <w:t xml:space="preserve"> </w:t>
            </w:r>
            <w:r w:rsidRPr="00D94409">
              <w:rPr>
                <w:rFonts w:cs="Century"/>
                <w:spacing w:val="-1"/>
                <w:w w:val="105"/>
              </w:rPr>
              <w:t>where</w:t>
            </w:r>
            <w:r w:rsidRPr="00D94409">
              <w:rPr>
                <w:rFonts w:cs="Century"/>
                <w:spacing w:val="-14"/>
                <w:w w:val="105"/>
              </w:rPr>
              <w:t xml:space="preserve"> </w:t>
            </w:r>
            <w:r w:rsidRPr="00D94409">
              <w:rPr>
                <w:rFonts w:cs="Century"/>
                <w:spacing w:val="-1"/>
                <w:w w:val="105"/>
              </w:rPr>
              <w:t>they</w:t>
            </w:r>
            <w:r w:rsidRPr="00D94409">
              <w:rPr>
                <w:rFonts w:cs="Century"/>
                <w:spacing w:val="-15"/>
                <w:w w:val="105"/>
              </w:rPr>
              <w:t xml:space="preserve"> </w:t>
            </w:r>
            <w:r w:rsidRPr="00D94409">
              <w:rPr>
                <w:rFonts w:cs="Century"/>
                <w:w w:val="105"/>
              </w:rPr>
              <w:t>live,</w:t>
            </w:r>
            <w:r w:rsidRPr="00D94409">
              <w:rPr>
                <w:rFonts w:cs="Century"/>
                <w:spacing w:val="-14"/>
                <w:w w:val="105"/>
              </w:rPr>
              <w:t xml:space="preserve"> </w:t>
            </w:r>
            <w:r w:rsidRPr="00D94409">
              <w:rPr>
                <w:rFonts w:cs="Century"/>
                <w:w w:val="105"/>
              </w:rPr>
              <w:t>learn,</w:t>
            </w:r>
            <w:r w:rsidRPr="00D94409">
              <w:rPr>
                <w:rFonts w:cs="Century"/>
                <w:spacing w:val="-14"/>
                <w:w w:val="105"/>
              </w:rPr>
              <w:t xml:space="preserve"> </w:t>
            </w:r>
            <w:r w:rsidRPr="00D94409">
              <w:rPr>
                <w:rFonts w:cs="Century"/>
                <w:spacing w:val="-1"/>
                <w:w w:val="105"/>
              </w:rPr>
              <w:t>work</w:t>
            </w:r>
            <w:r w:rsidRPr="00D94409">
              <w:rPr>
                <w:rFonts w:cs="Century"/>
                <w:spacing w:val="-15"/>
                <w:w w:val="105"/>
              </w:rPr>
              <w:t xml:space="preserve"> </w:t>
            </w:r>
            <w:r w:rsidRPr="00D94409">
              <w:rPr>
                <w:rFonts w:cs="Century"/>
                <w:w w:val="105"/>
              </w:rPr>
              <w:t>and</w:t>
            </w:r>
            <w:r w:rsidRPr="00D94409">
              <w:rPr>
                <w:rFonts w:cs="Century"/>
                <w:spacing w:val="-14"/>
                <w:w w:val="105"/>
              </w:rPr>
              <w:t xml:space="preserve"> </w:t>
            </w:r>
            <w:r w:rsidRPr="00D94409">
              <w:rPr>
                <w:rFonts w:cs="Century"/>
                <w:spacing w:val="-6"/>
                <w:w w:val="105"/>
              </w:rPr>
              <w:t>pla</w:t>
            </w:r>
            <w:r w:rsidRPr="00D94409">
              <w:rPr>
                <w:rFonts w:cs="Century"/>
                <w:spacing w:val="-5"/>
                <w:w w:val="105"/>
              </w:rPr>
              <w:t>y</w:t>
            </w:r>
            <w:r w:rsidRPr="00D94409">
              <w:rPr>
                <w:rFonts w:cs="Century"/>
                <w:spacing w:val="-6"/>
                <w:w w:val="105"/>
              </w:rPr>
              <w:t>,</w:t>
            </w:r>
            <w:r w:rsidRPr="00D94409">
              <w:rPr>
                <w:rFonts w:cs="Century"/>
                <w:spacing w:val="29"/>
                <w:w w:val="104"/>
              </w:rPr>
              <w:t xml:space="preserve"> </w:t>
            </w:r>
            <w:r w:rsidRPr="00D94409">
              <w:rPr>
                <w:rFonts w:cs="Century"/>
                <w:w w:val="105"/>
              </w:rPr>
              <w:t>in</w:t>
            </w:r>
            <w:r w:rsidRPr="00D94409">
              <w:rPr>
                <w:rFonts w:cs="Century"/>
                <w:spacing w:val="-7"/>
                <w:w w:val="105"/>
              </w:rPr>
              <w:t xml:space="preserve"> </w:t>
            </w:r>
            <w:r w:rsidRPr="00D94409">
              <w:rPr>
                <w:rFonts w:cs="Century"/>
                <w:spacing w:val="-1"/>
                <w:w w:val="105"/>
              </w:rPr>
              <w:t>order</w:t>
            </w:r>
            <w:r w:rsidRPr="00D94409">
              <w:rPr>
                <w:rFonts w:cs="Century"/>
                <w:spacing w:val="-7"/>
                <w:w w:val="105"/>
              </w:rPr>
              <w:t xml:space="preserve"> </w:t>
            </w:r>
            <w:r w:rsidRPr="00D94409">
              <w:rPr>
                <w:rFonts w:cs="Century"/>
                <w:w w:val="105"/>
              </w:rPr>
              <w:t>t</w:t>
            </w:r>
            <w:r w:rsidRPr="00D94409">
              <w:rPr>
                <w:rFonts w:cs="Century"/>
                <w:spacing w:val="-1"/>
                <w:w w:val="105"/>
              </w:rPr>
              <w:t>o</w:t>
            </w:r>
            <w:r w:rsidRPr="00D94409">
              <w:rPr>
                <w:rFonts w:cs="Century"/>
                <w:spacing w:val="-7"/>
                <w:w w:val="105"/>
              </w:rPr>
              <w:t xml:space="preserve"> </w:t>
            </w:r>
            <w:r w:rsidRPr="00D94409">
              <w:rPr>
                <w:rFonts w:cs="Century"/>
                <w:spacing w:val="-1"/>
                <w:w w:val="105"/>
              </w:rPr>
              <w:t>prevent</w:t>
            </w:r>
            <w:r w:rsidRPr="00D94409">
              <w:rPr>
                <w:rFonts w:cs="Century"/>
                <w:spacing w:val="-7"/>
                <w:w w:val="105"/>
              </w:rPr>
              <w:t xml:space="preserve"> </w:t>
            </w:r>
            <w:r w:rsidRPr="00D94409">
              <w:rPr>
                <w:rFonts w:cs="Century"/>
                <w:spacing w:val="-1"/>
                <w:w w:val="105"/>
              </w:rPr>
              <w:t>chronic</w:t>
            </w:r>
            <w:r w:rsidRPr="00D94409">
              <w:rPr>
                <w:rFonts w:cs="Century"/>
                <w:spacing w:val="-7"/>
                <w:w w:val="105"/>
              </w:rPr>
              <w:t xml:space="preserve"> </w:t>
            </w:r>
            <w:r w:rsidRPr="00D94409">
              <w:rPr>
                <w:rFonts w:cs="Century"/>
                <w:w w:val="105"/>
              </w:rPr>
              <w:t>disease.</w:t>
            </w:r>
          </w:p>
          <w:p w:rsidR="00F07BA1" w:rsidRPr="00D94409" w:rsidRDefault="00F07BA1" w:rsidP="00F07BA1">
            <w:pPr>
              <w:spacing w:before="120"/>
              <w:rPr>
                <w:rFonts w:cs="Century"/>
              </w:rPr>
            </w:pPr>
            <w:r w:rsidRPr="00D94409">
              <w:rPr>
                <w:w w:val="105"/>
              </w:rPr>
              <w:t>H</w:t>
            </w:r>
            <w:r w:rsidRPr="00D94409">
              <w:rPr>
                <w:spacing w:val="-1"/>
                <w:w w:val="105"/>
              </w:rPr>
              <w:t>e</w:t>
            </w:r>
            <w:r w:rsidRPr="00D94409">
              <w:rPr>
                <w:w w:val="105"/>
              </w:rPr>
              <w:t>alth</w:t>
            </w:r>
            <w:r w:rsidRPr="00D94409">
              <w:rPr>
                <w:spacing w:val="-1"/>
                <w:w w:val="105"/>
              </w:rPr>
              <w:t>y</w:t>
            </w:r>
            <w:r w:rsidRPr="00D94409">
              <w:rPr>
                <w:spacing w:val="-14"/>
                <w:w w:val="105"/>
              </w:rPr>
              <w:t xml:space="preserve"> </w:t>
            </w:r>
            <w:r w:rsidRPr="00D94409">
              <w:rPr>
                <w:w w:val="105"/>
              </w:rPr>
              <w:t>F</w:t>
            </w:r>
            <w:r w:rsidRPr="00D94409">
              <w:rPr>
                <w:spacing w:val="-1"/>
                <w:w w:val="105"/>
              </w:rPr>
              <w:t>amilie</w:t>
            </w:r>
            <w:r w:rsidRPr="00D94409">
              <w:rPr>
                <w:w w:val="105"/>
              </w:rPr>
              <w:t>s</w:t>
            </w:r>
            <w:r w:rsidRPr="00D94409">
              <w:rPr>
                <w:spacing w:val="-13"/>
                <w:w w:val="105"/>
              </w:rPr>
              <w:t xml:space="preserve"> </w:t>
            </w:r>
            <w:r w:rsidRPr="00D94409">
              <w:rPr>
                <w:w w:val="105"/>
              </w:rPr>
              <w:t>NZ</w:t>
            </w:r>
            <w:r w:rsidRPr="00D94409">
              <w:rPr>
                <w:spacing w:val="-14"/>
                <w:w w:val="105"/>
              </w:rPr>
              <w:t xml:space="preserve"> </w:t>
            </w:r>
            <w:r w:rsidRPr="00D94409">
              <w:rPr>
                <w:w w:val="105"/>
              </w:rPr>
              <w:t>is</w:t>
            </w:r>
            <w:r w:rsidRPr="00D94409">
              <w:rPr>
                <w:spacing w:val="-13"/>
                <w:w w:val="105"/>
              </w:rPr>
              <w:t xml:space="preserve"> </w:t>
            </w:r>
            <w:r w:rsidRPr="00D94409">
              <w:rPr>
                <w:w w:val="105"/>
              </w:rPr>
              <w:t>challenging</w:t>
            </w:r>
            <w:r w:rsidRPr="00D94409">
              <w:rPr>
                <w:spacing w:val="-14"/>
                <w:w w:val="105"/>
              </w:rPr>
              <w:t xml:space="preserve"> </w:t>
            </w:r>
            <w:r w:rsidRPr="00D94409">
              <w:rPr>
                <w:w w:val="105"/>
              </w:rPr>
              <w:t>communities</w:t>
            </w:r>
            <w:r w:rsidRPr="00D94409">
              <w:rPr>
                <w:spacing w:val="-13"/>
                <w:w w:val="105"/>
              </w:rPr>
              <w:t xml:space="preserve"> </w:t>
            </w:r>
            <w:r w:rsidRPr="00D94409">
              <w:rPr>
                <w:w w:val="105"/>
              </w:rPr>
              <w:t>t</w:t>
            </w:r>
            <w:r w:rsidRPr="00D94409">
              <w:rPr>
                <w:spacing w:val="-1"/>
                <w:w w:val="105"/>
              </w:rPr>
              <w:t>o</w:t>
            </w:r>
            <w:r w:rsidRPr="00D94409">
              <w:rPr>
                <w:spacing w:val="28"/>
                <w:w w:val="118"/>
              </w:rPr>
              <w:t xml:space="preserve"> </w:t>
            </w:r>
            <w:r w:rsidRPr="00D94409">
              <w:rPr>
                <w:w w:val="105"/>
              </w:rPr>
              <w:t>think</w:t>
            </w:r>
            <w:r w:rsidRPr="00D94409">
              <w:rPr>
                <w:spacing w:val="-8"/>
                <w:w w:val="105"/>
              </w:rPr>
              <w:t xml:space="preserve"> </w:t>
            </w:r>
            <w:r w:rsidRPr="00D94409">
              <w:rPr>
                <w:spacing w:val="-1"/>
                <w:w w:val="105"/>
              </w:rPr>
              <w:t>diff</w:t>
            </w:r>
            <w:r w:rsidRPr="00D94409">
              <w:rPr>
                <w:w w:val="105"/>
              </w:rPr>
              <w:t>er</w:t>
            </w:r>
            <w:r w:rsidRPr="00D94409">
              <w:rPr>
                <w:spacing w:val="-1"/>
                <w:w w:val="105"/>
              </w:rPr>
              <w:t>ently</w:t>
            </w:r>
            <w:r w:rsidRPr="00D94409">
              <w:rPr>
                <w:spacing w:val="-8"/>
                <w:w w:val="105"/>
              </w:rPr>
              <w:t xml:space="preserve"> </w:t>
            </w:r>
            <w:r w:rsidRPr="00D94409">
              <w:rPr>
                <w:w w:val="105"/>
              </w:rPr>
              <w:t>about</w:t>
            </w:r>
            <w:r w:rsidRPr="00D94409">
              <w:rPr>
                <w:spacing w:val="-8"/>
                <w:w w:val="105"/>
              </w:rPr>
              <w:t xml:space="preserve"> </w:t>
            </w:r>
            <w:r w:rsidRPr="00D94409">
              <w:rPr>
                <w:w w:val="105"/>
              </w:rPr>
              <w:t>the</w:t>
            </w:r>
            <w:r w:rsidRPr="00D94409">
              <w:rPr>
                <w:spacing w:val="-7"/>
                <w:w w:val="105"/>
              </w:rPr>
              <w:t xml:space="preserve"> </w:t>
            </w:r>
            <w:r w:rsidRPr="00D94409">
              <w:rPr>
                <w:spacing w:val="-1"/>
                <w:w w:val="105"/>
              </w:rPr>
              <w:t>underlying</w:t>
            </w:r>
            <w:r w:rsidRPr="00D94409">
              <w:rPr>
                <w:spacing w:val="-8"/>
                <w:w w:val="105"/>
              </w:rPr>
              <w:t xml:space="preserve"> </w:t>
            </w:r>
            <w:r w:rsidRPr="00D94409">
              <w:rPr>
                <w:w w:val="105"/>
              </w:rPr>
              <w:t>causes</w:t>
            </w:r>
            <w:r w:rsidRPr="00D94409">
              <w:rPr>
                <w:spacing w:val="-8"/>
                <w:w w:val="105"/>
              </w:rPr>
              <w:t xml:space="preserve"> </w:t>
            </w:r>
            <w:r w:rsidRPr="00D94409">
              <w:rPr>
                <w:w w:val="105"/>
              </w:rPr>
              <w:t>of</w:t>
            </w:r>
            <w:r w:rsidRPr="00D94409">
              <w:rPr>
                <w:spacing w:val="-7"/>
                <w:w w:val="105"/>
              </w:rPr>
              <w:t xml:space="preserve"> </w:t>
            </w:r>
            <w:r w:rsidRPr="00D94409">
              <w:rPr>
                <w:w w:val="105"/>
              </w:rPr>
              <w:t>poor</w:t>
            </w:r>
            <w:r w:rsidRPr="00D94409">
              <w:rPr>
                <w:spacing w:val="40"/>
                <w:w w:val="108"/>
              </w:rPr>
              <w:t xml:space="preserve"> </w:t>
            </w:r>
            <w:r w:rsidRPr="00D94409">
              <w:rPr>
                <w:w w:val="105"/>
              </w:rPr>
              <w:t>health.</w:t>
            </w:r>
            <w:r w:rsidRPr="00D94409">
              <w:rPr>
                <w:spacing w:val="-12"/>
                <w:w w:val="105"/>
              </w:rPr>
              <w:t xml:space="preserve"> </w:t>
            </w:r>
            <w:r w:rsidRPr="00D94409">
              <w:rPr>
                <w:w w:val="105"/>
              </w:rPr>
              <w:t>It</w:t>
            </w:r>
            <w:r w:rsidRPr="00D94409">
              <w:rPr>
                <w:spacing w:val="-11"/>
                <w:w w:val="105"/>
              </w:rPr>
              <w:t xml:space="preserve"> </w:t>
            </w:r>
            <w:r w:rsidRPr="00D94409">
              <w:rPr>
                <w:w w:val="105"/>
              </w:rPr>
              <w:t>will</w:t>
            </w:r>
            <w:r w:rsidRPr="00D94409">
              <w:rPr>
                <w:spacing w:val="-11"/>
                <w:w w:val="105"/>
              </w:rPr>
              <w:t xml:space="preserve"> </w:t>
            </w:r>
            <w:r w:rsidRPr="00D94409">
              <w:rPr>
                <w:w w:val="105"/>
              </w:rPr>
              <w:t>support</w:t>
            </w:r>
            <w:r w:rsidRPr="00D94409">
              <w:rPr>
                <w:spacing w:val="-11"/>
                <w:w w:val="105"/>
              </w:rPr>
              <w:t xml:space="preserve"> </w:t>
            </w:r>
            <w:r w:rsidRPr="00D94409">
              <w:rPr>
                <w:w w:val="105"/>
              </w:rPr>
              <w:t>schools,</w:t>
            </w:r>
            <w:r w:rsidRPr="00D94409">
              <w:rPr>
                <w:spacing w:val="-12"/>
                <w:w w:val="105"/>
              </w:rPr>
              <w:t xml:space="preserve"> </w:t>
            </w:r>
            <w:r w:rsidRPr="00D94409">
              <w:rPr>
                <w:spacing w:val="-1"/>
                <w:w w:val="105"/>
              </w:rPr>
              <w:t>workplace</w:t>
            </w:r>
            <w:r w:rsidRPr="00D94409">
              <w:rPr>
                <w:w w:val="105"/>
              </w:rPr>
              <w:t>s,</w:t>
            </w:r>
            <w:r w:rsidRPr="00D94409">
              <w:rPr>
                <w:spacing w:val="-11"/>
                <w:w w:val="105"/>
              </w:rPr>
              <w:t xml:space="preserve"> </w:t>
            </w:r>
            <w:r w:rsidRPr="00D94409">
              <w:rPr>
                <w:w w:val="105"/>
              </w:rPr>
              <w:t>sports</w:t>
            </w:r>
            <w:r w:rsidRPr="00D94409">
              <w:rPr>
                <w:spacing w:val="-11"/>
                <w:w w:val="105"/>
              </w:rPr>
              <w:t xml:space="preserve"> </w:t>
            </w:r>
            <w:r w:rsidRPr="00D94409">
              <w:rPr>
                <w:w w:val="105"/>
              </w:rPr>
              <w:t>clubs,</w:t>
            </w:r>
            <w:r w:rsidRPr="00D94409">
              <w:rPr>
                <w:spacing w:val="28"/>
                <w:w w:val="102"/>
              </w:rPr>
              <w:t xml:space="preserve"> </w:t>
            </w:r>
            <w:proofErr w:type="spellStart"/>
            <w:r w:rsidRPr="00D94409">
              <w:rPr>
                <w:w w:val="105"/>
              </w:rPr>
              <w:t>marae</w:t>
            </w:r>
            <w:proofErr w:type="spellEnd"/>
            <w:r w:rsidRPr="00D94409">
              <w:rPr>
                <w:spacing w:val="-11"/>
                <w:w w:val="105"/>
              </w:rPr>
              <w:t xml:space="preserve"> </w:t>
            </w:r>
            <w:r w:rsidRPr="00D94409">
              <w:rPr>
                <w:w w:val="105"/>
              </w:rPr>
              <w:t>and</w:t>
            </w:r>
            <w:r w:rsidRPr="00D94409">
              <w:rPr>
                <w:spacing w:val="-10"/>
                <w:w w:val="105"/>
              </w:rPr>
              <w:t xml:space="preserve"> </w:t>
            </w:r>
            <w:r w:rsidRPr="00D94409">
              <w:rPr>
                <w:w w:val="105"/>
              </w:rPr>
              <w:t>other</w:t>
            </w:r>
            <w:r w:rsidRPr="00D94409">
              <w:rPr>
                <w:spacing w:val="-11"/>
                <w:w w:val="105"/>
              </w:rPr>
              <w:t xml:space="preserve"> </w:t>
            </w:r>
            <w:r w:rsidRPr="00D94409">
              <w:rPr>
                <w:w w:val="105"/>
              </w:rPr>
              <w:t>k</w:t>
            </w:r>
            <w:r w:rsidRPr="00D94409">
              <w:rPr>
                <w:spacing w:val="-1"/>
                <w:w w:val="105"/>
              </w:rPr>
              <w:t>ey</w:t>
            </w:r>
            <w:r w:rsidRPr="00D94409">
              <w:rPr>
                <w:spacing w:val="-10"/>
                <w:w w:val="105"/>
              </w:rPr>
              <w:t xml:space="preserve"> </w:t>
            </w:r>
            <w:r w:rsidRPr="00D94409">
              <w:rPr>
                <w:w w:val="105"/>
              </w:rPr>
              <w:t>community</w:t>
            </w:r>
            <w:r w:rsidRPr="00D94409">
              <w:rPr>
                <w:spacing w:val="-10"/>
                <w:w w:val="105"/>
              </w:rPr>
              <w:t xml:space="preserve"> </w:t>
            </w:r>
            <w:r w:rsidRPr="00D94409">
              <w:rPr>
                <w:w w:val="105"/>
              </w:rPr>
              <w:t>settings</w:t>
            </w:r>
            <w:r w:rsidRPr="00D94409">
              <w:rPr>
                <w:spacing w:val="-11"/>
                <w:w w:val="105"/>
              </w:rPr>
              <w:t xml:space="preserve"> </w:t>
            </w:r>
            <w:r w:rsidRPr="00D94409">
              <w:rPr>
                <w:w w:val="105"/>
              </w:rPr>
              <w:t>t</w:t>
            </w:r>
            <w:r w:rsidRPr="00D94409">
              <w:rPr>
                <w:spacing w:val="-1"/>
                <w:w w:val="105"/>
              </w:rPr>
              <w:t>o</w:t>
            </w:r>
            <w:r w:rsidRPr="00D94409">
              <w:rPr>
                <w:spacing w:val="-10"/>
                <w:w w:val="105"/>
              </w:rPr>
              <w:t xml:space="preserve"> </w:t>
            </w:r>
            <w:r w:rsidRPr="00D94409">
              <w:rPr>
                <w:w w:val="105"/>
              </w:rPr>
              <w:t>change</w:t>
            </w:r>
            <w:r w:rsidRPr="00D94409">
              <w:rPr>
                <w:spacing w:val="-10"/>
                <w:w w:val="105"/>
              </w:rPr>
              <w:t xml:space="preserve"> </w:t>
            </w:r>
            <w:r w:rsidRPr="00D94409">
              <w:rPr>
                <w:w w:val="105"/>
              </w:rPr>
              <w:t>in</w:t>
            </w:r>
            <w:r w:rsidRPr="00D94409">
              <w:rPr>
                <w:spacing w:val="23"/>
                <w:w w:val="107"/>
              </w:rPr>
              <w:t xml:space="preserve"> </w:t>
            </w:r>
            <w:r w:rsidRPr="00D94409">
              <w:rPr>
                <w:spacing w:val="-3"/>
                <w:w w:val="105"/>
              </w:rPr>
              <w:t>w</w:t>
            </w:r>
            <w:r w:rsidRPr="00D94409">
              <w:rPr>
                <w:spacing w:val="-4"/>
                <w:w w:val="105"/>
              </w:rPr>
              <w:t>a</w:t>
            </w:r>
            <w:r w:rsidRPr="00D94409">
              <w:rPr>
                <w:spacing w:val="-3"/>
                <w:w w:val="105"/>
              </w:rPr>
              <w:t>y</w:t>
            </w:r>
            <w:r w:rsidRPr="00D94409">
              <w:rPr>
                <w:spacing w:val="-4"/>
                <w:w w:val="105"/>
              </w:rPr>
              <w:t>s</w:t>
            </w:r>
            <w:r w:rsidRPr="00D94409">
              <w:rPr>
                <w:spacing w:val="-13"/>
                <w:w w:val="105"/>
              </w:rPr>
              <w:t xml:space="preserve"> </w:t>
            </w:r>
            <w:r w:rsidRPr="00D94409">
              <w:rPr>
                <w:w w:val="105"/>
              </w:rPr>
              <w:t>that</w:t>
            </w:r>
            <w:r w:rsidRPr="00D94409">
              <w:rPr>
                <w:spacing w:val="-12"/>
                <w:w w:val="105"/>
              </w:rPr>
              <w:t xml:space="preserve"> </w:t>
            </w:r>
            <w:r w:rsidRPr="00D94409">
              <w:rPr>
                <w:w w:val="105"/>
              </w:rPr>
              <w:t>will</w:t>
            </w:r>
            <w:r w:rsidRPr="00D94409">
              <w:rPr>
                <w:spacing w:val="-13"/>
                <w:w w:val="105"/>
              </w:rPr>
              <w:t xml:space="preserve"> </w:t>
            </w:r>
            <w:r w:rsidRPr="00D94409">
              <w:rPr>
                <w:w w:val="105"/>
              </w:rPr>
              <w:t>help</w:t>
            </w:r>
            <w:r w:rsidRPr="00D94409">
              <w:rPr>
                <w:spacing w:val="-12"/>
                <w:w w:val="105"/>
              </w:rPr>
              <w:t xml:space="preserve"> </w:t>
            </w:r>
            <w:r w:rsidRPr="00D94409">
              <w:rPr>
                <w:w w:val="105"/>
              </w:rPr>
              <w:t>people</w:t>
            </w:r>
            <w:r w:rsidRPr="00D94409">
              <w:rPr>
                <w:spacing w:val="-13"/>
                <w:w w:val="105"/>
              </w:rPr>
              <w:t xml:space="preserve"> </w:t>
            </w:r>
            <w:r w:rsidRPr="00D94409">
              <w:rPr>
                <w:spacing w:val="-1"/>
                <w:w w:val="105"/>
              </w:rPr>
              <w:t>make</w:t>
            </w:r>
            <w:r w:rsidRPr="00D94409">
              <w:rPr>
                <w:spacing w:val="-12"/>
                <w:w w:val="105"/>
              </w:rPr>
              <w:t xml:space="preserve"> </w:t>
            </w:r>
            <w:r w:rsidRPr="00D94409">
              <w:rPr>
                <w:w w:val="105"/>
              </w:rPr>
              <w:t>healthier</w:t>
            </w:r>
            <w:r w:rsidRPr="00D94409">
              <w:rPr>
                <w:spacing w:val="-13"/>
                <w:w w:val="105"/>
              </w:rPr>
              <w:t xml:space="preserve"> </w:t>
            </w:r>
            <w:r w:rsidRPr="00D94409">
              <w:rPr>
                <w:w w:val="105"/>
              </w:rPr>
              <w:t>choices.</w:t>
            </w:r>
          </w:p>
          <w:p w:rsidR="00F07BA1" w:rsidRPr="00D94409" w:rsidRDefault="00F07BA1" w:rsidP="00F07BA1">
            <w:pPr>
              <w:spacing w:before="120"/>
              <w:rPr>
                <w:rFonts w:cs="Century"/>
              </w:rPr>
            </w:pPr>
            <w:r w:rsidRPr="00D94409">
              <w:rPr>
                <w:spacing w:val="1"/>
                <w:w w:val="105"/>
              </w:rPr>
              <w:t>Le</w:t>
            </w:r>
            <w:r w:rsidRPr="00D94409">
              <w:rPr>
                <w:w w:val="105"/>
              </w:rPr>
              <w:t>d</w:t>
            </w:r>
            <w:r w:rsidRPr="00D94409">
              <w:rPr>
                <w:spacing w:val="-16"/>
                <w:w w:val="105"/>
              </w:rPr>
              <w:t xml:space="preserve"> </w:t>
            </w:r>
            <w:r w:rsidRPr="00D94409">
              <w:rPr>
                <w:spacing w:val="-1"/>
                <w:w w:val="105"/>
              </w:rPr>
              <w:t>by</w:t>
            </w:r>
            <w:r w:rsidRPr="00D94409">
              <w:rPr>
                <w:spacing w:val="-16"/>
                <w:w w:val="105"/>
              </w:rPr>
              <w:t xml:space="preserve"> </w:t>
            </w:r>
            <w:r w:rsidRPr="00D94409">
              <w:rPr>
                <w:w w:val="105"/>
              </w:rPr>
              <w:t>the</w:t>
            </w:r>
            <w:r w:rsidRPr="00D94409">
              <w:rPr>
                <w:spacing w:val="-16"/>
                <w:w w:val="105"/>
              </w:rPr>
              <w:t xml:space="preserve"> </w:t>
            </w:r>
            <w:r w:rsidRPr="00D94409">
              <w:rPr>
                <w:w w:val="105"/>
              </w:rPr>
              <w:t>Ministry</w:t>
            </w:r>
            <w:r w:rsidRPr="00D94409">
              <w:rPr>
                <w:spacing w:val="-16"/>
                <w:w w:val="105"/>
              </w:rPr>
              <w:t xml:space="preserve"> </w:t>
            </w:r>
            <w:r w:rsidRPr="00D94409">
              <w:rPr>
                <w:w w:val="105"/>
              </w:rPr>
              <w:t>of</w:t>
            </w:r>
            <w:r w:rsidRPr="00D94409">
              <w:rPr>
                <w:spacing w:val="-16"/>
                <w:w w:val="105"/>
              </w:rPr>
              <w:t xml:space="preserve"> </w:t>
            </w:r>
            <w:r w:rsidRPr="00D94409">
              <w:rPr>
                <w:w w:val="105"/>
              </w:rPr>
              <w:t>H</w:t>
            </w:r>
            <w:r w:rsidRPr="00D94409">
              <w:rPr>
                <w:spacing w:val="-1"/>
                <w:w w:val="105"/>
              </w:rPr>
              <w:t>e</w:t>
            </w:r>
            <w:r w:rsidRPr="00D94409">
              <w:rPr>
                <w:w w:val="105"/>
              </w:rPr>
              <w:t>alth,</w:t>
            </w:r>
            <w:r w:rsidRPr="00D94409">
              <w:rPr>
                <w:spacing w:val="-16"/>
                <w:w w:val="105"/>
              </w:rPr>
              <w:t xml:space="preserve"> </w:t>
            </w:r>
            <w:r w:rsidRPr="00D94409">
              <w:rPr>
                <w:w w:val="105"/>
              </w:rPr>
              <w:t>the</w:t>
            </w:r>
            <w:r w:rsidRPr="00D94409">
              <w:rPr>
                <w:spacing w:val="-15"/>
                <w:w w:val="105"/>
              </w:rPr>
              <w:t xml:space="preserve"> </w:t>
            </w:r>
            <w:r w:rsidRPr="00D94409">
              <w:rPr>
                <w:spacing w:val="-1"/>
                <w:w w:val="105"/>
              </w:rPr>
              <w:t>initiative</w:t>
            </w:r>
            <w:r w:rsidRPr="00D94409">
              <w:rPr>
                <w:spacing w:val="-16"/>
                <w:w w:val="105"/>
              </w:rPr>
              <w:t xml:space="preserve"> </w:t>
            </w:r>
            <w:r w:rsidRPr="00D94409">
              <w:rPr>
                <w:w w:val="105"/>
              </w:rPr>
              <w:t>will</w:t>
            </w:r>
            <w:r w:rsidRPr="00D94409">
              <w:rPr>
                <w:spacing w:val="-16"/>
                <w:w w:val="105"/>
              </w:rPr>
              <w:t xml:space="preserve"> </w:t>
            </w:r>
            <w:r w:rsidRPr="00D94409">
              <w:rPr>
                <w:w w:val="105"/>
              </w:rPr>
              <w:t>focus</w:t>
            </w:r>
            <w:r w:rsidRPr="00D94409">
              <w:rPr>
                <w:spacing w:val="25"/>
                <w:w w:val="107"/>
              </w:rPr>
              <w:t xml:space="preserve"> </w:t>
            </w:r>
            <w:r w:rsidRPr="00D94409">
              <w:rPr>
                <w:w w:val="105"/>
              </w:rPr>
              <w:t>first</w:t>
            </w:r>
            <w:r w:rsidRPr="00D94409">
              <w:rPr>
                <w:spacing w:val="-21"/>
                <w:w w:val="105"/>
              </w:rPr>
              <w:t xml:space="preserve"> </w:t>
            </w:r>
            <w:r w:rsidRPr="00D94409">
              <w:rPr>
                <w:w w:val="105"/>
              </w:rPr>
              <w:t>on</w:t>
            </w:r>
            <w:r w:rsidRPr="00D94409">
              <w:rPr>
                <w:spacing w:val="-20"/>
                <w:w w:val="105"/>
              </w:rPr>
              <w:t xml:space="preserve"> </w:t>
            </w:r>
            <w:r w:rsidRPr="00D94409">
              <w:rPr>
                <w:w w:val="105"/>
              </w:rPr>
              <w:t>10</w:t>
            </w:r>
            <w:r w:rsidRPr="00D94409">
              <w:rPr>
                <w:spacing w:val="-21"/>
                <w:w w:val="105"/>
              </w:rPr>
              <w:t xml:space="preserve"> </w:t>
            </w:r>
            <w:r w:rsidRPr="00D94409">
              <w:rPr>
                <w:w w:val="105"/>
              </w:rPr>
              <w:t>locations</w:t>
            </w:r>
            <w:r w:rsidRPr="00D94409">
              <w:rPr>
                <w:spacing w:val="-21"/>
                <w:w w:val="105"/>
              </w:rPr>
              <w:t xml:space="preserve"> </w:t>
            </w:r>
            <w:r w:rsidRPr="00D94409">
              <w:rPr>
                <w:w w:val="105"/>
              </w:rPr>
              <w:t>in</w:t>
            </w:r>
            <w:r w:rsidRPr="00D94409">
              <w:rPr>
                <w:spacing w:val="-20"/>
                <w:w w:val="105"/>
              </w:rPr>
              <w:t xml:space="preserve"> </w:t>
            </w:r>
            <w:r w:rsidRPr="00D94409">
              <w:rPr>
                <w:spacing w:val="-3"/>
                <w:w w:val="105"/>
              </w:rPr>
              <w:t>N</w:t>
            </w:r>
            <w:r w:rsidRPr="00D94409">
              <w:rPr>
                <w:w w:val="105"/>
              </w:rPr>
              <w:t>ew</w:t>
            </w:r>
            <w:r w:rsidRPr="00D94409">
              <w:rPr>
                <w:spacing w:val="-21"/>
                <w:w w:val="105"/>
              </w:rPr>
              <w:t xml:space="preserve"> </w:t>
            </w:r>
            <w:r w:rsidRPr="00D94409">
              <w:rPr>
                <w:w w:val="105"/>
              </w:rPr>
              <w:t>Zealand.</w:t>
            </w:r>
            <w:r w:rsidRPr="00D94409">
              <w:rPr>
                <w:spacing w:val="-20"/>
                <w:w w:val="105"/>
              </w:rPr>
              <w:t xml:space="preserve"> </w:t>
            </w:r>
            <w:r w:rsidRPr="00D94409">
              <w:rPr>
                <w:w w:val="105"/>
              </w:rPr>
              <w:t>H</w:t>
            </w:r>
            <w:r w:rsidRPr="00D94409">
              <w:rPr>
                <w:spacing w:val="-1"/>
                <w:w w:val="105"/>
              </w:rPr>
              <w:t>e</w:t>
            </w:r>
            <w:r w:rsidRPr="00D94409">
              <w:rPr>
                <w:w w:val="105"/>
              </w:rPr>
              <w:t>alth</w:t>
            </w:r>
            <w:r w:rsidRPr="00D94409">
              <w:rPr>
                <w:spacing w:val="-1"/>
                <w:w w:val="105"/>
              </w:rPr>
              <w:t>y</w:t>
            </w:r>
            <w:r w:rsidRPr="00D94409">
              <w:rPr>
                <w:spacing w:val="-21"/>
                <w:w w:val="105"/>
              </w:rPr>
              <w:t xml:space="preserve"> </w:t>
            </w:r>
            <w:r w:rsidRPr="00D94409">
              <w:rPr>
                <w:w w:val="105"/>
              </w:rPr>
              <w:t>F</w:t>
            </w:r>
            <w:r w:rsidRPr="00D94409">
              <w:rPr>
                <w:spacing w:val="-1"/>
                <w:w w:val="105"/>
              </w:rPr>
              <w:t>amilie</w:t>
            </w:r>
            <w:r w:rsidRPr="00D94409">
              <w:rPr>
                <w:w w:val="105"/>
              </w:rPr>
              <w:t>s</w:t>
            </w:r>
            <w:r w:rsidRPr="00D94409">
              <w:rPr>
                <w:spacing w:val="23"/>
                <w:w w:val="101"/>
              </w:rPr>
              <w:t xml:space="preserve"> </w:t>
            </w:r>
            <w:r w:rsidRPr="00D94409">
              <w:rPr>
                <w:w w:val="105"/>
              </w:rPr>
              <w:t>NZ</w:t>
            </w:r>
            <w:r w:rsidRPr="00D94409">
              <w:rPr>
                <w:spacing w:val="-13"/>
                <w:w w:val="105"/>
              </w:rPr>
              <w:t xml:space="preserve"> </w:t>
            </w:r>
            <w:r w:rsidRPr="00D94409">
              <w:rPr>
                <w:w w:val="105"/>
              </w:rPr>
              <w:t>has</w:t>
            </w:r>
            <w:r w:rsidRPr="00D94409">
              <w:rPr>
                <w:spacing w:val="-13"/>
                <w:w w:val="105"/>
              </w:rPr>
              <w:t xml:space="preserve"> </w:t>
            </w:r>
            <w:r w:rsidRPr="00D94409">
              <w:rPr>
                <w:w w:val="105"/>
              </w:rPr>
              <w:t>the</w:t>
            </w:r>
            <w:r w:rsidRPr="00D94409">
              <w:rPr>
                <w:spacing w:val="-12"/>
                <w:w w:val="105"/>
              </w:rPr>
              <w:t xml:space="preserve"> </w:t>
            </w:r>
            <w:r w:rsidRPr="00D94409">
              <w:rPr>
                <w:w w:val="105"/>
              </w:rPr>
              <w:t>potential</w:t>
            </w:r>
            <w:r w:rsidRPr="00D94409">
              <w:rPr>
                <w:spacing w:val="-13"/>
                <w:w w:val="105"/>
              </w:rPr>
              <w:t xml:space="preserve"> </w:t>
            </w:r>
            <w:r w:rsidRPr="00D94409">
              <w:rPr>
                <w:w w:val="105"/>
              </w:rPr>
              <w:t>t</w:t>
            </w:r>
            <w:r w:rsidRPr="00D94409">
              <w:rPr>
                <w:spacing w:val="-1"/>
                <w:w w:val="105"/>
              </w:rPr>
              <w:t>o</w:t>
            </w:r>
            <w:r w:rsidRPr="00D94409">
              <w:rPr>
                <w:spacing w:val="-12"/>
                <w:w w:val="105"/>
              </w:rPr>
              <w:t xml:space="preserve"> </w:t>
            </w:r>
            <w:r w:rsidRPr="00D94409">
              <w:rPr>
                <w:w w:val="105"/>
              </w:rPr>
              <w:t>impact</w:t>
            </w:r>
            <w:r w:rsidRPr="00D94409">
              <w:rPr>
                <w:spacing w:val="-13"/>
                <w:w w:val="105"/>
              </w:rPr>
              <w:t xml:space="preserve"> </w:t>
            </w:r>
            <w:r w:rsidRPr="00D94409">
              <w:rPr>
                <w:w w:val="105"/>
              </w:rPr>
              <w:t>on</w:t>
            </w:r>
            <w:r w:rsidRPr="00D94409">
              <w:rPr>
                <w:spacing w:val="-12"/>
                <w:w w:val="105"/>
              </w:rPr>
              <w:t xml:space="preserve"> </w:t>
            </w:r>
            <w:r w:rsidRPr="00D94409">
              <w:rPr>
                <w:w w:val="105"/>
              </w:rPr>
              <w:t>the</w:t>
            </w:r>
            <w:r w:rsidRPr="00D94409">
              <w:rPr>
                <w:spacing w:val="-13"/>
                <w:w w:val="105"/>
              </w:rPr>
              <w:t xml:space="preserve"> </w:t>
            </w:r>
            <w:r w:rsidRPr="00D94409">
              <w:rPr>
                <w:w w:val="105"/>
              </w:rPr>
              <w:t>live</w:t>
            </w:r>
            <w:r w:rsidRPr="00D94409">
              <w:rPr>
                <w:spacing w:val="-3"/>
                <w:w w:val="105"/>
              </w:rPr>
              <w:t>s</w:t>
            </w:r>
            <w:r w:rsidRPr="00D94409">
              <w:rPr>
                <w:spacing w:val="-12"/>
                <w:w w:val="105"/>
              </w:rPr>
              <w:t xml:space="preserve"> </w:t>
            </w:r>
            <w:r w:rsidRPr="00D94409">
              <w:rPr>
                <w:w w:val="105"/>
              </w:rPr>
              <w:t>of</w:t>
            </w:r>
            <w:r w:rsidRPr="00D94409">
              <w:rPr>
                <w:spacing w:val="-13"/>
                <w:w w:val="105"/>
              </w:rPr>
              <w:t xml:space="preserve"> </w:t>
            </w:r>
            <w:r w:rsidRPr="00D94409">
              <w:rPr>
                <w:w w:val="105"/>
              </w:rPr>
              <w:t>ov</w:t>
            </w:r>
            <w:r w:rsidRPr="00D94409">
              <w:rPr>
                <w:spacing w:val="-3"/>
                <w:w w:val="105"/>
              </w:rPr>
              <w:t>er</w:t>
            </w:r>
            <w:r w:rsidRPr="00D94409">
              <w:rPr>
                <w:spacing w:val="-12"/>
                <w:w w:val="105"/>
              </w:rPr>
              <w:t xml:space="preserve"> </w:t>
            </w:r>
            <w:r w:rsidRPr="00D94409">
              <w:rPr>
                <w:w w:val="105"/>
              </w:rPr>
              <w:t>a</w:t>
            </w:r>
            <w:r w:rsidRPr="00D94409">
              <w:rPr>
                <w:spacing w:val="29"/>
                <w:w w:val="99"/>
              </w:rPr>
              <w:t xml:space="preserve"> </w:t>
            </w:r>
            <w:r w:rsidRPr="00D94409">
              <w:rPr>
                <w:w w:val="105"/>
              </w:rPr>
              <w:t>million</w:t>
            </w:r>
            <w:r w:rsidRPr="00D94409">
              <w:rPr>
                <w:spacing w:val="-22"/>
                <w:w w:val="105"/>
              </w:rPr>
              <w:t xml:space="preserve"> </w:t>
            </w:r>
            <w:r w:rsidRPr="00D94409">
              <w:rPr>
                <w:spacing w:val="-3"/>
                <w:w w:val="105"/>
              </w:rPr>
              <w:t>N</w:t>
            </w:r>
            <w:r w:rsidRPr="00D94409">
              <w:rPr>
                <w:w w:val="105"/>
              </w:rPr>
              <w:t>ew</w:t>
            </w:r>
            <w:r w:rsidRPr="00D94409">
              <w:rPr>
                <w:spacing w:val="-21"/>
                <w:w w:val="105"/>
              </w:rPr>
              <w:t xml:space="preserve"> </w:t>
            </w:r>
            <w:r w:rsidRPr="00D94409">
              <w:rPr>
                <w:w w:val="105"/>
              </w:rPr>
              <w:t>Zealanders.</w:t>
            </w:r>
          </w:p>
          <w:p w:rsidR="00F07BA1" w:rsidRDefault="00F07BA1" w:rsidP="008B2328">
            <w:pPr>
              <w:spacing w:before="120" w:after="120"/>
              <w:rPr>
                <w:noProof/>
                <w:lang w:eastAsia="en-NZ"/>
              </w:rPr>
            </w:pPr>
            <w:r w:rsidRPr="00D94409">
              <w:rPr>
                <w:spacing w:val="-5"/>
                <w:w w:val="105"/>
              </w:rPr>
              <w:t>T</w:t>
            </w:r>
            <w:r w:rsidRPr="00D94409">
              <w:rPr>
                <w:spacing w:val="-4"/>
                <w:w w:val="105"/>
              </w:rPr>
              <w:t>o</w:t>
            </w:r>
            <w:r w:rsidRPr="00D94409">
              <w:rPr>
                <w:spacing w:val="-16"/>
                <w:w w:val="105"/>
              </w:rPr>
              <w:t xml:space="preserve"> </w:t>
            </w:r>
            <w:r w:rsidRPr="00D94409">
              <w:rPr>
                <w:w w:val="105"/>
              </w:rPr>
              <w:t>find</w:t>
            </w:r>
            <w:r w:rsidRPr="00D94409">
              <w:rPr>
                <w:spacing w:val="-15"/>
                <w:w w:val="105"/>
              </w:rPr>
              <w:t xml:space="preserve"> </w:t>
            </w:r>
            <w:r w:rsidRPr="00D94409">
              <w:rPr>
                <w:w w:val="105"/>
              </w:rPr>
              <w:t>out</w:t>
            </w:r>
            <w:r w:rsidRPr="00D94409">
              <w:rPr>
                <w:spacing w:val="-16"/>
                <w:w w:val="105"/>
              </w:rPr>
              <w:t xml:space="preserve"> </w:t>
            </w:r>
            <w:r w:rsidRPr="00D94409">
              <w:rPr>
                <w:spacing w:val="-1"/>
                <w:w w:val="105"/>
              </w:rPr>
              <w:t>more</w:t>
            </w:r>
            <w:r w:rsidRPr="00D94409">
              <w:rPr>
                <w:spacing w:val="-15"/>
                <w:w w:val="105"/>
              </w:rPr>
              <w:t xml:space="preserve"> </w:t>
            </w:r>
            <w:r w:rsidRPr="00D94409">
              <w:rPr>
                <w:w w:val="105"/>
              </w:rPr>
              <w:t>about</w:t>
            </w:r>
            <w:r w:rsidRPr="00D94409">
              <w:rPr>
                <w:spacing w:val="-15"/>
                <w:w w:val="105"/>
              </w:rPr>
              <w:t xml:space="preserve"> </w:t>
            </w:r>
            <w:r w:rsidRPr="00D94409">
              <w:rPr>
                <w:w w:val="105"/>
              </w:rPr>
              <w:t>H</w:t>
            </w:r>
            <w:r w:rsidRPr="00D94409">
              <w:rPr>
                <w:spacing w:val="-1"/>
                <w:w w:val="105"/>
              </w:rPr>
              <w:t>e</w:t>
            </w:r>
            <w:r w:rsidRPr="00D94409">
              <w:rPr>
                <w:w w:val="105"/>
              </w:rPr>
              <w:t>alth</w:t>
            </w:r>
            <w:r w:rsidRPr="00D94409">
              <w:rPr>
                <w:spacing w:val="-1"/>
                <w:w w:val="105"/>
              </w:rPr>
              <w:t>y</w:t>
            </w:r>
            <w:r w:rsidRPr="00D94409">
              <w:rPr>
                <w:spacing w:val="-16"/>
                <w:w w:val="105"/>
              </w:rPr>
              <w:t xml:space="preserve"> </w:t>
            </w:r>
            <w:r w:rsidRPr="00D94409">
              <w:rPr>
                <w:w w:val="105"/>
              </w:rPr>
              <w:t>F</w:t>
            </w:r>
            <w:r w:rsidRPr="00D94409">
              <w:rPr>
                <w:spacing w:val="-1"/>
                <w:w w:val="105"/>
              </w:rPr>
              <w:t>amilie</w:t>
            </w:r>
            <w:r w:rsidRPr="00D94409">
              <w:rPr>
                <w:w w:val="105"/>
              </w:rPr>
              <w:t>s</w:t>
            </w:r>
            <w:r w:rsidRPr="00D94409">
              <w:rPr>
                <w:spacing w:val="-15"/>
                <w:w w:val="105"/>
              </w:rPr>
              <w:t xml:space="preserve"> </w:t>
            </w:r>
            <w:r w:rsidRPr="00D94409">
              <w:rPr>
                <w:spacing w:val="1"/>
                <w:w w:val="105"/>
              </w:rPr>
              <w:t>NZ,</w:t>
            </w:r>
            <w:r w:rsidRPr="00D94409">
              <w:rPr>
                <w:spacing w:val="-15"/>
                <w:w w:val="105"/>
              </w:rPr>
              <w:t xml:space="preserve"> </w:t>
            </w:r>
            <w:r w:rsidRPr="00D94409">
              <w:rPr>
                <w:w w:val="105"/>
              </w:rPr>
              <w:t>visit:</w:t>
            </w:r>
            <w:r w:rsidRPr="00D94409">
              <w:rPr>
                <w:spacing w:val="-16"/>
                <w:w w:val="105"/>
              </w:rPr>
              <w:t xml:space="preserve"> </w:t>
            </w:r>
            <w:hyperlink r:id="rId31">
              <w:r w:rsidRPr="00D94409">
                <w:rPr>
                  <w:spacing w:val="-4"/>
                  <w:w w:val="105"/>
                </w:rPr>
                <w:t>www</w:t>
              </w:r>
              <w:r w:rsidRPr="00D94409">
                <w:rPr>
                  <w:spacing w:val="-5"/>
                  <w:w w:val="105"/>
                </w:rPr>
                <w:t>.</w:t>
              </w:r>
            </w:hyperlink>
            <w:r w:rsidRPr="00D94409">
              <w:rPr>
                <w:spacing w:val="29"/>
                <w:w w:val="104"/>
              </w:rPr>
              <w:t xml:space="preserve"> </w:t>
            </w:r>
            <w:hyperlink r:id="rId32">
              <w:r w:rsidRPr="00D94409">
                <w:rPr>
                  <w:spacing w:val="-1"/>
                  <w:w w:val="105"/>
                </w:rPr>
                <w:t>health.govt.nz/our-work/preventative-health-wellne</w:t>
              </w:r>
              <w:r w:rsidRPr="00D94409">
                <w:rPr>
                  <w:w w:val="105"/>
                </w:rPr>
                <w:t>ss</w:t>
              </w:r>
              <w:r w:rsidRPr="00D94409">
                <w:rPr>
                  <w:spacing w:val="-1"/>
                  <w:w w:val="105"/>
                </w:rPr>
                <w:t>/</w:t>
              </w:r>
            </w:hyperlink>
            <w:r w:rsidRPr="00D94409">
              <w:rPr>
                <w:spacing w:val="23"/>
                <w:w w:val="147"/>
              </w:rPr>
              <w:t xml:space="preserve"> </w:t>
            </w:r>
            <w:hyperlink r:id="rId33">
              <w:r w:rsidRPr="00D94409">
                <w:rPr>
                  <w:spacing w:val="-1"/>
                  <w:w w:val="105"/>
                </w:rPr>
                <w:t>he</w:t>
              </w:r>
              <w:r w:rsidRPr="00D94409">
                <w:rPr>
                  <w:w w:val="105"/>
                </w:rPr>
                <w:t>alth</w:t>
              </w:r>
              <w:r w:rsidRPr="00D94409">
                <w:rPr>
                  <w:spacing w:val="-1"/>
                  <w:w w:val="105"/>
                </w:rPr>
                <w:t>y-familie</w:t>
              </w:r>
              <w:r w:rsidRPr="00D94409">
                <w:rPr>
                  <w:w w:val="105"/>
                </w:rPr>
                <w:t>s</w:t>
              </w:r>
              <w:r w:rsidRPr="00D94409">
                <w:rPr>
                  <w:spacing w:val="-1"/>
                  <w:w w:val="105"/>
                </w:rPr>
                <w:t>-</w:t>
              </w:r>
              <w:proofErr w:type="spellStart"/>
              <w:r w:rsidRPr="00D94409">
                <w:rPr>
                  <w:spacing w:val="-1"/>
                  <w:w w:val="105"/>
                </w:rPr>
                <w:t>nz</w:t>
              </w:r>
              <w:proofErr w:type="spellEnd"/>
            </w:hyperlink>
          </w:p>
        </w:tc>
      </w:tr>
    </w:tbl>
    <w:p w:rsidR="008B2328" w:rsidRDefault="008B2328" w:rsidP="008B2328"/>
    <w:p w:rsidR="008B2328" w:rsidRPr="00F07BA1" w:rsidRDefault="008B2328" w:rsidP="008B2328">
      <w:r w:rsidRPr="00D94409">
        <w:t>The WCTO service provides support to families until a child turns five.</w:t>
      </w:r>
      <w:r>
        <w:t xml:space="preserve"> </w:t>
      </w:r>
      <w:r w:rsidRPr="00D94409">
        <w:t>This includes at least five core visits in the first year and the B4 School Check at the age of four years. As at March 2015, 76 percent of infants have received all five of the core visits available in their first year and 93</w:t>
      </w:r>
      <w:r>
        <w:t> </w:t>
      </w:r>
      <w:r w:rsidRPr="00D94409">
        <w:t>percent have had their B4 School Check.</w:t>
      </w:r>
      <w:r>
        <w:t xml:space="preserve"> A lower proportion of </w:t>
      </w:r>
      <w:r w:rsidRPr="00D94409">
        <w:t>Māori and Pacific children receives all five core visits (67 percent and 63 percent respectively) and has their B4 School Check (85 percent and 83 percent respectively) (Ministry of Health 2015h).</w:t>
      </w:r>
    </w:p>
    <w:p w:rsidR="00A74AC3" w:rsidRPr="00D94409" w:rsidRDefault="00A74AC3" w:rsidP="008B2328"/>
    <w:p w:rsidR="00A74AC3" w:rsidRPr="00D94409" w:rsidRDefault="00A74AC3" w:rsidP="008B2328">
      <w:r w:rsidRPr="00D94409">
        <w:t>Children and adolescents have access to free basic oral health services. This approach is supported by evidence that oral health status at five years of age is a good predictor of oral health in young adulthood. At September 2014, 73 percent of children were enrolled with child oral health services.</w:t>
      </w:r>
      <w:r w:rsidR="008B2328">
        <w:t xml:space="preserve"> </w:t>
      </w:r>
      <w:r w:rsidRPr="00D94409">
        <w:t>Registration was lower in Māori (59 percent) and Pacifi</w:t>
      </w:r>
      <w:r w:rsidR="009B2B80">
        <w:t>c</w:t>
      </w:r>
      <w:r w:rsidR="00D94409" w:rsidRPr="00D94409">
        <w:t xml:space="preserve"> </w:t>
      </w:r>
      <w:r w:rsidRPr="00D94409">
        <w:t>(68 percent) children (Ministry of Health 2015h).</w:t>
      </w:r>
    </w:p>
    <w:p w:rsidR="00A74AC3" w:rsidRPr="00D94409" w:rsidRDefault="00A74AC3" w:rsidP="008B2328">
      <w:pPr>
        <w:rPr>
          <w:rFonts w:eastAsia="Century"/>
        </w:rPr>
      </w:pPr>
    </w:p>
    <w:p w:rsidR="00A74AC3" w:rsidRPr="00D94409" w:rsidRDefault="00A74AC3" w:rsidP="008B2328">
      <w:pPr>
        <w:pStyle w:val="Heading3"/>
        <w:rPr>
          <w:bCs/>
        </w:rPr>
      </w:pPr>
      <w:r w:rsidRPr="00D94409">
        <w:lastRenderedPageBreak/>
        <w:t>Children are better protected against serious infectious diseases</w:t>
      </w:r>
    </w:p>
    <w:p w:rsidR="00A74AC3" w:rsidRPr="00D94409" w:rsidRDefault="00A74AC3" w:rsidP="008B2328">
      <w:r w:rsidRPr="00D94409">
        <w:t>Immunisation is one of the most effective and cost-effective interventions to protect people, especially children, from harmful infections. As well as protecting individuals, high rates of immunisation in</w:t>
      </w:r>
      <w:r w:rsidR="008B2328">
        <w:t xml:space="preserve"> </w:t>
      </w:r>
      <w:r w:rsidRPr="00D94409">
        <w:t>the population can provide protection to vulnerable people who are not immunised by decreasing the incidence of infectious disease.</w:t>
      </w:r>
    </w:p>
    <w:p w:rsidR="00A74AC3" w:rsidRPr="00D94409" w:rsidRDefault="00A74AC3" w:rsidP="008B2328">
      <w:pPr>
        <w:rPr>
          <w:rFonts w:eastAsia="Century"/>
        </w:rPr>
      </w:pPr>
    </w:p>
    <w:p w:rsidR="00A74AC3" w:rsidRPr="00D94409" w:rsidRDefault="00A74AC3" w:rsidP="008B2328">
      <w:r w:rsidRPr="00D94409">
        <w:t>The Government</w:t>
      </w:r>
      <w:r w:rsidR="00D94409" w:rsidRPr="00D94409">
        <w:t>’</w:t>
      </w:r>
      <w:r w:rsidRPr="00D94409">
        <w:t>s Better public services health target to increase immunisation in children has resulted in a marked increase in immunisation rates among both two-year-olds and eight</w:t>
      </w:r>
      <w:r w:rsidR="008B2328">
        <w:noBreakHyphen/>
      </w:r>
      <w:r w:rsidRPr="00D94409">
        <w:t>month-olds. By July 2015, 93 percent of eight-month-olds and 93 percent of two-year-olds were fully immunised (Ministry of Health 2015i). This increase has been seen across all ethnic groups, with 90 percent of Māori and 95 percent of Pacific children fully immunised at eight months old.</w:t>
      </w:r>
    </w:p>
    <w:p w:rsidR="00A74AC3" w:rsidRPr="00D94409" w:rsidRDefault="00A74AC3" w:rsidP="008B2328">
      <w:pPr>
        <w:rPr>
          <w:rFonts w:eastAsia="Century"/>
        </w:rPr>
      </w:pPr>
    </w:p>
    <w:p w:rsidR="00A74AC3" w:rsidRPr="00D94409" w:rsidRDefault="00A74AC3" w:rsidP="008B2328">
      <w:pPr>
        <w:pStyle w:val="Heading2"/>
        <w:rPr>
          <w:rFonts w:eastAsia="Georgia" w:cs="Georgia"/>
          <w:szCs w:val="40"/>
        </w:rPr>
      </w:pPr>
      <w:bookmarkStart w:id="30" w:name="Mental_health_and_wellbeing"/>
      <w:bookmarkStart w:id="31" w:name="_Toc433234092"/>
      <w:bookmarkEnd w:id="30"/>
      <w:r w:rsidRPr="00D94409">
        <w:t>Mental health and wellbeing</w:t>
      </w:r>
      <w:bookmarkEnd w:id="31"/>
    </w:p>
    <w:p w:rsidR="00A74AC3" w:rsidRPr="00D94409" w:rsidRDefault="00A74AC3" w:rsidP="008B2328">
      <w:r w:rsidRPr="00D94409">
        <w:t>Mental health is defined as a state of wellbeing in which every individual realises their own potential, can cope with the normal stresses of life, can work productively and fruitfully, and is able to make a contribution to their community (WHO 2014). Throughout our life course we are exposed to risk and protective factors that impact on our mental health and affect our probability of developing a mental disorder. Collectively, multiple risk factors and a lack of protective factors make individuals vulnerable to moving from a mentally healthy state through varying degrees of mental illness and finally to a full-blown disorder.</w:t>
      </w:r>
    </w:p>
    <w:p w:rsidR="00A74AC3" w:rsidRPr="00D94409" w:rsidRDefault="00A74AC3" w:rsidP="008B2328">
      <w:pPr>
        <w:rPr>
          <w:rFonts w:eastAsia="Century"/>
        </w:rPr>
      </w:pPr>
    </w:p>
    <w:p w:rsidR="00A74AC3" w:rsidRPr="00D94409" w:rsidRDefault="00A74AC3" w:rsidP="008B2328">
      <w:r w:rsidRPr="00D94409">
        <w:t>Our mental health is influenced by a wide range of individual, community and social factors. These are too numerous to detail in this report. Figure 10 illustrates how these risk and protective factors accumulate over our life course and highlights their impact on mental illness.</w:t>
      </w:r>
    </w:p>
    <w:p w:rsidR="00A74AC3" w:rsidRPr="00D94409" w:rsidRDefault="00A74AC3" w:rsidP="008B2328">
      <w:pPr>
        <w:rPr>
          <w:rFonts w:eastAsia="Century"/>
        </w:rPr>
      </w:pPr>
    </w:p>
    <w:p w:rsidR="00A74AC3" w:rsidRPr="00D94409" w:rsidRDefault="00A74AC3" w:rsidP="008B2328">
      <w:pPr>
        <w:pStyle w:val="Heading3"/>
        <w:rPr>
          <w:bCs/>
        </w:rPr>
      </w:pPr>
      <w:r w:rsidRPr="00D94409">
        <w:t>Good mental health starts early in life</w:t>
      </w:r>
    </w:p>
    <w:p w:rsidR="00A74AC3" w:rsidRPr="00D94409" w:rsidRDefault="00A74AC3" w:rsidP="008B2328">
      <w:r w:rsidRPr="00D94409">
        <w:t>Positive early childhood experience and good parental attachment are strong protective factors for mental health. A mother</w:t>
      </w:r>
      <w:r w:rsidR="00D94409" w:rsidRPr="00D94409">
        <w:t>’</w:t>
      </w:r>
      <w:r w:rsidRPr="00D94409">
        <w:t xml:space="preserve">s depression during pregnancy and after birth is associated with decreased ability to bond with her </w:t>
      </w:r>
      <w:proofErr w:type="spellStart"/>
      <w:r w:rsidRPr="00D94409">
        <w:t>newborn</w:t>
      </w:r>
      <w:proofErr w:type="spellEnd"/>
      <w:r w:rsidRPr="00D94409">
        <w:t xml:space="preserve"> child (</w:t>
      </w:r>
      <w:proofErr w:type="spellStart"/>
      <w:r w:rsidRPr="00D94409">
        <w:t>Moehler</w:t>
      </w:r>
      <w:proofErr w:type="spellEnd"/>
      <w:r w:rsidRPr="00D94409">
        <w:t xml:space="preserve"> et al 2006). One in six mothers reports depression during pregnancy; this proportion decreases to one in nine by the time the child is nine months old (Morton et al 2014).</w:t>
      </w:r>
    </w:p>
    <w:p w:rsidR="00A74AC3" w:rsidRPr="00D94409" w:rsidRDefault="00A74AC3" w:rsidP="008B2328">
      <w:pPr>
        <w:rPr>
          <w:rFonts w:eastAsia="Century"/>
        </w:rPr>
      </w:pPr>
    </w:p>
    <w:p w:rsidR="00A74AC3" w:rsidRPr="00D94409" w:rsidRDefault="00A74AC3" w:rsidP="008B2328">
      <w:r w:rsidRPr="00D94409">
        <w:t>If behavioural and emotional problems in children are identified early and managed effectively, it may help reduce the risk of mental health problems in the future (</w:t>
      </w:r>
      <w:proofErr w:type="spellStart"/>
      <w:r w:rsidRPr="00D94409">
        <w:t>Danese</w:t>
      </w:r>
      <w:proofErr w:type="spellEnd"/>
      <w:r w:rsidRPr="00D94409">
        <w:t xml:space="preserve"> et al 2009). The B4</w:t>
      </w:r>
      <w:r w:rsidR="008B2328">
        <w:t> </w:t>
      </w:r>
      <w:r w:rsidRPr="00D94409">
        <w:t>School</w:t>
      </w:r>
      <w:r w:rsidR="008B2328">
        <w:t xml:space="preserve"> </w:t>
      </w:r>
      <w:r w:rsidRPr="00D94409">
        <w:t>Check uses the Strengths and Difficulties Questionnaire (SDQ) to screen for behavioural and emotional problems in four-year-olds. The vast majority of children (96</w:t>
      </w:r>
      <w:r w:rsidR="008B2328">
        <w:t> </w:t>
      </w:r>
      <w:r w:rsidRPr="00D94409">
        <w:t>percent) have a normal SDQ score.</w:t>
      </w:r>
    </w:p>
    <w:p w:rsidR="00A74AC3" w:rsidRPr="00D94409" w:rsidRDefault="00A74AC3" w:rsidP="008B2328">
      <w:pPr>
        <w:rPr>
          <w:rFonts w:eastAsia="Century"/>
        </w:rPr>
      </w:pPr>
    </w:p>
    <w:p w:rsidR="00A74AC3" w:rsidRPr="00D94409" w:rsidRDefault="00A74AC3" w:rsidP="008B2328">
      <w:r w:rsidRPr="00D94409">
        <w:t>For around 31,000 children aged 2–14 years (3.9 percent), a doctor has diagnosed emotional and/or behavioural problems (Ministry of Health 2014c). These problems include depression, anxiety disorder, attention deficit disorder and/or attention deficit and hyperactivity disorder. Parents of Pacific</w:t>
      </w:r>
      <w:r w:rsidR="00D94409" w:rsidRPr="00D94409">
        <w:t xml:space="preserve"> </w:t>
      </w:r>
      <w:r w:rsidRPr="00D94409">
        <w:t>children are significantly less likely to report that their child has been diagnosed with emotional and/ or behavioural problems (1.4 percent) compared with non-Pacific children.</w:t>
      </w:r>
    </w:p>
    <w:p w:rsidR="00A74AC3" w:rsidRPr="00D94409" w:rsidRDefault="00A74AC3" w:rsidP="008B2328">
      <w:pPr>
        <w:rPr>
          <w:rFonts w:eastAsia="Century"/>
        </w:rPr>
      </w:pPr>
    </w:p>
    <w:p w:rsidR="008B2328" w:rsidRDefault="008B2328" w:rsidP="008B2328">
      <w:r>
        <w:br w:type="page"/>
      </w:r>
    </w:p>
    <w:p w:rsidR="00A74AC3" w:rsidRPr="00D94409" w:rsidRDefault="00A74AC3" w:rsidP="008B2328">
      <w:pPr>
        <w:pStyle w:val="Heading3"/>
        <w:spacing w:before="0"/>
        <w:rPr>
          <w:bCs/>
        </w:rPr>
      </w:pPr>
      <w:r w:rsidRPr="00D94409">
        <w:lastRenderedPageBreak/>
        <w:t>Many adult mental health disorders begin in adolescence</w:t>
      </w:r>
    </w:p>
    <w:p w:rsidR="00A74AC3" w:rsidRPr="00D94409" w:rsidRDefault="008B2328" w:rsidP="008B2328">
      <w:r>
        <w:rPr>
          <w:noProof/>
          <w:lang w:eastAsia="en-NZ"/>
        </w:rPr>
        <mc:AlternateContent>
          <mc:Choice Requires="wpg">
            <w:drawing>
              <wp:anchor distT="0" distB="0" distL="114300" distR="0" simplePos="0" relativeHeight="251817984" behindDoc="0" locked="0" layoutInCell="1" allowOverlap="1" wp14:anchorId="046BC008" wp14:editId="34B2AA47">
                <wp:simplePos x="0" y="0"/>
                <wp:positionH relativeFrom="column">
                  <wp:posOffset>4366895</wp:posOffset>
                </wp:positionH>
                <wp:positionV relativeFrom="paragraph">
                  <wp:posOffset>17145</wp:posOffset>
                </wp:positionV>
                <wp:extent cx="1750060" cy="1337945"/>
                <wp:effectExtent l="0" t="0" r="21590" b="14605"/>
                <wp:wrapSquare wrapText="left"/>
                <wp:docPr id="1953" name="Group 1953"/>
                <wp:cNvGraphicFramePr/>
                <a:graphic xmlns:a="http://schemas.openxmlformats.org/drawingml/2006/main">
                  <a:graphicData uri="http://schemas.microsoft.com/office/word/2010/wordprocessingGroup">
                    <wpg:wgp>
                      <wpg:cNvGrpSpPr/>
                      <wpg:grpSpPr>
                        <a:xfrm>
                          <a:off x="0" y="0"/>
                          <a:ext cx="1750060" cy="1337945"/>
                          <a:chOff x="0" y="0"/>
                          <a:chExt cx="1952625" cy="839585"/>
                        </a:xfrm>
                      </wpg:grpSpPr>
                      <wpg:grpSp>
                        <wpg:cNvPr id="1954" name="Group 1954"/>
                        <wpg:cNvGrpSpPr/>
                        <wpg:grpSpPr>
                          <a:xfrm>
                            <a:off x="0" y="0"/>
                            <a:ext cx="1951355" cy="838200"/>
                            <a:chOff x="0" y="0"/>
                            <a:chExt cx="1951355" cy="838200"/>
                          </a:xfrm>
                        </wpg:grpSpPr>
                        <wps:wsp>
                          <wps:cNvPr id="1955" name="Rectangle 1955"/>
                          <wps:cNvSpPr/>
                          <wps:spPr>
                            <a:xfrm>
                              <a:off x="0" y="0"/>
                              <a:ext cx="1951355" cy="838200"/>
                            </a:xfrm>
                            <a:prstGeom prst="rect">
                              <a:avLst/>
                            </a:prstGeom>
                            <a:solidFill>
                              <a:schemeClr val="bg1">
                                <a:lumMod val="8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0380" w:rsidRPr="00611516" w:rsidRDefault="00880380" w:rsidP="008B2328">
                                <w:pPr>
                                  <w:spacing w:before="120" w:after="120"/>
                                  <w:jc w:val="center"/>
                                  <w:rPr>
                                    <w:color w:val="000000"/>
                                    <w:szCs w:val="22"/>
                                  </w:rPr>
                                </w:pPr>
                                <w:r w:rsidRPr="008B2328">
                                  <w:rPr>
                                    <w:b/>
                                    <w:color w:val="000000"/>
                                    <w:szCs w:val="22"/>
                                  </w:rPr>
                                  <w:t>Find out more</w:t>
                                </w:r>
                                <w:r>
                                  <w:rPr>
                                    <w:color w:val="000000"/>
                                    <w:szCs w:val="22"/>
                                  </w:rPr>
                                  <w:t xml:space="preserve"> at: www.health.govt.nz/our-work/mental-health-and-addictions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6" name="Straight Connector 1956"/>
                          <wps:cNvCnPr/>
                          <wps:spPr>
                            <a:xfrm>
                              <a:off x="0" y="16625"/>
                              <a:ext cx="195135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957" name="Straight Connector 1957"/>
                        <wps:cNvCnPr/>
                        <wps:spPr>
                          <a:xfrm>
                            <a:off x="0" y="839585"/>
                            <a:ext cx="19526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953" o:spid="_x0000_s1062" style="position:absolute;margin-left:343.85pt;margin-top:1.35pt;width:137.8pt;height:105.35pt;z-index:251817984;mso-wrap-distance-right:0;mso-width-relative:margin;mso-height-relative:margin" coordsize="19526,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">
                <v:group id="Group 1954" o:spid="_x0000_s1063" style="position:absolute;width:19513;height:8382" coordsize="19513,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W08QAAADdAAAADwAAAGRycy9kb3ducmV2LnhtbERPTWvCQBC9C/0PyxR6&#10;003aWmrqKiJVPIhgFMTbkB2TYHY2ZLdJ/PddQfA2j/c503lvKtFS40rLCuJRBII4s7rkXMHxsBp+&#10;g3AeWWNlmRTcyMF89jKYYqJtx3tqU5+LEMIuQQWF93UipcsKMuhGtiYO3MU2Bn2ATS51g10IN5V8&#10;j6IvabDk0FBgTcuCsmv6ZxSsO+wWH/Fvu71elrfzYbw7bWNS6u21X/yA8NT7p/jh3ugwfzL+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0W08QAAADdAAAA&#10;DwAAAAAAAAAAAAAAAACqAgAAZHJzL2Rvd25yZXYueG1sUEsFBgAAAAAEAAQA+gAAAJsDAAAAAA==&#10;">
                  <v:rect id="Rectangle 1955" o:spid="_x0000_s1064" style="position:absolute;width:19513;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yBMIA&#10;AADdAAAADwAAAGRycy9kb3ducmV2LnhtbERP3WrCMBS+H+wdwhF2N1MFpVajyGDQwW7UPsAhObbF&#10;5qQkWVt9+mUw8O58fL9nd5hsJwbyoXWsYDHPQBBrZ1quFVSXz/ccRIjIBjvHpOBOAQ7715cdFsaN&#10;fKLhHGuRQjgUqKCJsS+kDLohi2HueuLEXZ23GBP0tTQexxRuO7nMsrW02HJqaLCnj4b07fxjFRyr&#10;+zUf2q9bybocH7r6rrXPlXqbTcctiEhTfIr/3aVJ8zerFfx9k06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HIEwgAAAN0AAAAPAAAAAAAAAAAAAAAAAJgCAABkcnMvZG93&#10;bnJldi54bWxQSwUGAAAAAAQABAD1AAAAhwMAAAAA&#10;" fillcolor="#d8d8d8 [2732]" stroked="f" strokeweight=".5pt">
                    <v:textbox>
                      <w:txbxContent>
                        <w:p w:rsidR="00880380" w:rsidRPr="00611516" w:rsidRDefault="00880380" w:rsidP="008B2328">
                          <w:pPr>
                            <w:spacing w:before="120" w:after="120"/>
                            <w:jc w:val="center"/>
                            <w:rPr>
                              <w:color w:val="000000"/>
                              <w:szCs w:val="22"/>
                            </w:rPr>
                          </w:pPr>
                          <w:r w:rsidRPr="008B2328">
                            <w:rPr>
                              <w:b/>
                              <w:color w:val="000000"/>
                              <w:szCs w:val="22"/>
                            </w:rPr>
                            <w:t>Find out more</w:t>
                          </w:r>
                          <w:r>
                            <w:rPr>
                              <w:color w:val="000000"/>
                              <w:szCs w:val="22"/>
                            </w:rPr>
                            <w:t xml:space="preserve"> at: www.health.govt.nz/our-work/mental-health-and-addictions</w:t>
                          </w:r>
                        </w:p>
                      </w:txbxContent>
                    </v:textbox>
                  </v:rect>
                  <v:line id="Straight Connector 1956" o:spid="_x0000_s1065" style="position:absolute;visibility:visible;mso-wrap-style:square" from="0,166" to="19513,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x4hsEAAADdAAAADwAAAGRycy9kb3ducmV2LnhtbERP24rCMBB9F/yHMIJvmipY1moUERSR&#10;RXerHzA0Y1tsJiWJ2v37zYKwb3M411muO9OIJzlfW1YwGScgiAuray4VXC+70QcIH5A1NpZJwQ95&#10;WK/6vSVm2r74m555KEUMYZ+hgiqENpPSFxUZ9GPbEkfuZp3BEKErpXb4iuGmkdMkSaXBmmNDhS1t&#10;Kyru+cMocCe3d+dHej6W8nDT1688aT+3Sg0H3WYBIlAX/sVv90HH+fNZCn/fxBP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PHiGwQAAAN0AAAAPAAAAAAAAAAAAAAAA&#10;AKECAABkcnMvZG93bnJldi54bWxQSwUGAAAAAAQABAD5AAAAjwMAAAAA&#10;" strokecolor="black [3213]" strokeweight="4.5pt"/>
                </v:group>
                <v:line id="Straight Connector 1957" o:spid="_x0000_s1066" style="position:absolute;visibility:visible;mso-wrap-style:square" from="0,8395" to="19526,8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Kx+8MAAADdAAAADwAAAGRycy9kb3ducmV2LnhtbERPTWvCQBC9C/0PyxR6000FW42uooJt&#10;r03ag7chO2ZDs7Nhd2Piv3cLhd7m8T5nsxttK67kQ+NYwfMsA0FcOd1wreCrPE2XIEJE1tg6JgU3&#10;CrDbPkw2mGs38Cddi1iLFMIhRwUmxi6XMlSGLIaZ64gTd3HeYkzQ11J7HFK4beU8y16kxYZTg8GO&#10;joaqn6K3Cs79Ifr3Uu6HYjy+mfmprXr3rdTT47hfg4g0xn/xn/tDp/mrxSv8fpNOkN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SsfvDAAAA3QAAAA8AAAAAAAAAAAAA&#10;AAAAoQIAAGRycy9kb3ducmV2LnhtbFBLBQYAAAAABAAEAPkAAACRAwAAAAA=&#10;" strokecolor="black [3213]" strokeweight="1.5pt"/>
                <w10:wrap type="square" side="left"/>
              </v:group>
            </w:pict>
          </mc:Fallback>
        </mc:AlternateContent>
      </w:r>
      <w:r w:rsidR="00A74AC3" w:rsidRPr="00D94409">
        <w:t>In adults with a mental disorder, half had diagnosed mental illness before the age of 15 years (Jones 2013). Additionally, three out of four people who develop a substance use disorder do so by the age of 24</w:t>
      </w:r>
      <w:r>
        <w:t> </w:t>
      </w:r>
      <w:r w:rsidR="00A74AC3" w:rsidRPr="00D94409">
        <w:t>years (Wells et al 2007).</w:t>
      </w:r>
    </w:p>
    <w:p w:rsidR="00A74AC3" w:rsidRPr="00D94409" w:rsidRDefault="00A74AC3" w:rsidP="008B2328">
      <w:pPr>
        <w:rPr>
          <w:rFonts w:eastAsia="Century"/>
        </w:rPr>
      </w:pPr>
    </w:p>
    <w:p w:rsidR="00A74AC3" w:rsidRPr="00D94409" w:rsidRDefault="00A74AC3" w:rsidP="008B2328">
      <w:r w:rsidRPr="00D94409">
        <w:t>In New Zealand, one in six teenage girls (16 percent) and one in eleven teenage boys (9 percent) report clinically significant symptoms of depression (Clark et al 2013).</w:t>
      </w:r>
    </w:p>
    <w:p w:rsidR="00A74AC3" w:rsidRPr="00D94409" w:rsidRDefault="00A74AC3" w:rsidP="008B2328">
      <w:pPr>
        <w:rPr>
          <w:rFonts w:eastAsia="Century"/>
        </w:rPr>
      </w:pPr>
    </w:p>
    <w:p w:rsidR="00A74AC3" w:rsidRPr="00D94409" w:rsidRDefault="00A74AC3" w:rsidP="008B2328">
      <w:r w:rsidRPr="00D94409">
        <w:t>Almost three in every ten teenage girls (29 percent) and one in five teenage boys (18 percent) have deliberately</w:t>
      </w:r>
      <w:r w:rsidR="008B2328">
        <w:t xml:space="preserve"> </w:t>
      </w:r>
      <w:r w:rsidRPr="00D94409">
        <w:t>self-harmed in the last year (Ministry of Health 2015l). The suicide rate is highest among young adults aged 15–24 years (23 per 100,000), with suicide accounting for over a third of all deaths in this age- group.</w:t>
      </w:r>
    </w:p>
    <w:p w:rsidR="00A74AC3" w:rsidRPr="00D94409" w:rsidRDefault="00A74AC3" w:rsidP="008B2328">
      <w:pPr>
        <w:rPr>
          <w:rFonts w:eastAsia="Century"/>
        </w:rPr>
      </w:pPr>
    </w:p>
    <w:p w:rsidR="00A74AC3" w:rsidRPr="00D94409" w:rsidRDefault="00A74AC3" w:rsidP="008B2328">
      <w:r w:rsidRPr="00D94409">
        <w:t>New Zealand</w:t>
      </w:r>
      <w:r w:rsidR="00D94409" w:rsidRPr="00D94409">
        <w:t>’</w:t>
      </w:r>
      <w:r w:rsidRPr="00D94409">
        <w:t>s youth suicide rate is the highest in the OECD and double that of Australia (OECD 2009). Māori youths are particularly vulnerable to suicide – their rates are 2.8 times higher than those of non- Māori youths.</w:t>
      </w:r>
    </w:p>
    <w:p w:rsidR="00A74AC3" w:rsidRPr="00D94409" w:rsidRDefault="00A74AC3" w:rsidP="008B2328"/>
    <w:p w:rsidR="00A74AC3" w:rsidRDefault="00A74AC3" w:rsidP="008B2328">
      <w:pPr>
        <w:pStyle w:val="Figure"/>
      </w:pPr>
      <w:bookmarkStart w:id="32" w:name="_Toc433234119"/>
      <w:r w:rsidRPr="00D94409">
        <w:lastRenderedPageBreak/>
        <w:t>Figure 10: Impact of protective and risk factors on mental health</w:t>
      </w:r>
      <w:bookmarkEnd w:id="32"/>
    </w:p>
    <w:p w:rsidR="008B2328" w:rsidRDefault="008B2328" w:rsidP="008B2328">
      <w:pPr>
        <w:rPr>
          <w:rFonts w:eastAsia="Palatino Linotype"/>
        </w:rPr>
      </w:pPr>
      <w:r>
        <w:rPr>
          <w:noProof/>
          <w:lang w:eastAsia="en-NZ"/>
        </w:rPr>
        <mc:AlternateContent>
          <mc:Choice Requires="wps">
            <w:drawing>
              <wp:anchor distT="0" distB="0" distL="114300" distR="114300" simplePos="0" relativeHeight="251820032" behindDoc="0" locked="0" layoutInCell="1" allowOverlap="1" wp14:anchorId="28CAD9B0" wp14:editId="090E0C15">
                <wp:simplePos x="0" y="0"/>
                <wp:positionH relativeFrom="column">
                  <wp:posOffset>-27940</wp:posOffset>
                </wp:positionH>
                <wp:positionV relativeFrom="paragraph">
                  <wp:posOffset>5176520</wp:posOffset>
                </wp:positionV>
                <wp:extent cx="265430" cy="3864610"/>
                <wp:effectExtent l="0" t="0" r="1270" b="2540"/>
                <wp:wrapNone/>
                <wp:docPr id="1959" name="Rectangle 1959"/>
                <wp:cNvGraphicFramePr/>
                <a:graphic xmlns:a="http://schemas.openxmlformats.org/drawingml/2006/main">
                  <a:graphicData uri="http://schemas.microsoft.com/office/word/2010/wordprocessingShape">
                    <wps:wsp>
                      <wps:cNvSpPr/>
                      <wps:spPr>
                        <a:xfrm>
                          <a:off x="0" y="0"/>
                          <a:ext cx="265430" cy="38646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59" o:spid="_x0000_s1026" style="position:absolute;margin-left:-2.2pt;margin-top:407.6pt;width:20.9pt;height:304.3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" fillcolor="white [3212]" stroked="f" strokeweight="2pt"/>
            </w:pict>
          </mc:Fallback>
        </mc:AlternateContent>
      </w:r>
      <w:r>
        <w:rPr>
          <w:noProof/>
          <w:lang w:eastAsia="en-NZ"/>
        </w:rPr>
        <w:drawing>
          <wp:inline distT="0" distB="0" distL="0" distR="0" wp14:anchorId="39CAC90C" wp14:editId="2B1D4463">
            <wp:extent cx="5835534" cy="8843982"/>
            <wp:effectExtent l="0" t="0" r="0" b="0"/>
            <wp:docPr id="1958" name="Picture 1958" title="Figure 10: Impact of protective and risk factors on m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grayscl/>
                    </a:blip>
                    <a:stretch>
                      <a:fillRect/>
                    </a:stretch>
                  </pic:blipFill>
                  <pic:spPr>
                    <a:xfrm>
                      <a:off x="0" y="0"/>
                      <a:ext cx="5836219" cy="8845019"/>
                    </a:xfrm>
                    <a:prstGeom prst="rect">
                      <a:avLst/>
                    </a:prstGeom>
                  </pic:spPr>
                </pic:pic>
              </a:graphicData>
            </a:graphic>
          </wp:inline>
        </w:drawing>
      </w:r>
    </w:p>
    <w:p w:rsidR="00F72992" w:rsidRDefault="00F72992" w:rsidP="00F72992">
      <w:pPr>
        <w:rPr>
          <w:rFonts w:eastAsia="Palatino Linotype"/>
        </w:rPr>
      </w:pPr>
    </w:p>
    <w:p w:rsidR="008B2328" w:rsidRPr="008B2328" w:rsidRDefault="008B2328" w:rsidP="008B2328">
      <w:pPr>
        <w:rPr>
          <w:rFonts w:eastAsia="Palatino Linotype"/>
        </w:rPr>
      </w:pPr>
    </w:p>
    <w:p w:rsidR="00A74AC3" w:rsidRPr="00D94409" w:rsidRDefault="00A74AC3" w:rsidP="00A74AC3">
      <w:pPr>
        <w:rPr>
          <w:sz w:val="2"/>
          <w:szCs w:val="2"/>
        </w:rPr>
      </w:pPr>
    </w:p>
    <w:p w:rsidR="00A74AC3" w:rsidRPr="00D94409" w:rsidRDefault="00A74AC3" w:rsidP="00A74AC3">
      <w:pPr>
        <w:rPr>
          <w:sz w:val="2"/>
          <w:szCs w:val="2"/>
        </w:rPr>
      </w:pPr>
    </w:p>
    <w:p w:rsidR="00A74AC3" w:rsidRPr="00D94409" w:rsidRDefault="00A74AC3" w:rsidP="00F72992">
      <w:pPr>
        <w:pStyle w:val="Heading3"/>
        <w:rPr>
          <w:rFonts w:eastAsia="Georgia" w:cs="Georgia"/>
          <w:szCs w:val="28"/>
        </w:rPr>
      </w:pPr>
      <w:r w:rsidRPr="00D94409">
        <w:t>More adults are being diagnosed with mental disorders</w:t>
      </w:r>
    </w:p>
    <w:p w:rsidR="00A74AC3" w:rsidRPr="00D94409" w:rsidRDefault="00A74AC3" w:rsidP="00F72992">
      <w:r w:rsidRPr="00D94409">
        <w:t>Almost one in five adults (18 percent) report that they have been diagnosed with a mood or anxiety disorder at some time in their life, which is over a third more than in 2006/07 (Ministry of Health 2014c). This increase may have occurred because there is less social stigma around mental health disorders, with the result that more people seek help and so more mental disorders are diagnosed. Women are almost twice as likely as men to have been diagnosed with a mood and/or anxiety disorder at some time in their life.</w:t>
      </w:r>
    </w:p>
    <w:p w:rsidR="00A74AC3" w:rsidRPr="00D94409" w:rsidRDefault="00A74AC3" w:rsidP="00F72992">
      <w:pPr>
        <w:rPr>
          <w:rFonts w:eastAsia="Century"/>
        </w:rPr>
      </w:pPr>
    </w:p>
    <w:p w:rsidR="00A74AC3" w:rsidRPr="00D94409" w:rsidRDefault="00A74AC3" w:rsidP="00F72992">
      <w:r w:rsidRPr="00D94409">
        <w:t>Pacific (9 percent) and Asian (7 percent) adults are about half as likely as non-Pacific and non</w:t>
      </w:r>
      <w:r w:rsidR="00F72992">
        <w:noBreakHyphen/>
      </w:r>
      <w:r w:rsidRPr="00D94409">
        <w:t>Asian adults to have been diagnosed with a mood and/or anxiety disorder at some time in their life. The Māori rate is no different to that in non-Māori adults.</w:t>
      </w:r>
    </w:p>
    <w:p w:rsidR="00A74AC3" w:rsidRPr="00D94409" w:rsidRDefault="00A74AC3" w:rsidP="00F72992">
      <w:pPr>
        <w:rPr>
          <w:rFonts w:eastAsia="Century"/>
        </w:rPr>
      </w:pPr>
    </w:p>
    <w:p w:rsidR="00A74AC3" w:rsidRPr="00D94409" w:rsidRDefault="00A74AC3" w:rsidP="00F72992">
      <w:r w:rsidRPr="00D94409">
        <w:t>The 2006 Mental Health Survey identified that 12 percent of those aged 16 years and over had experienced a substance use disorder at some stage in their lives. In the previous 12 months, 3.5</w:t>
      </w:r>
      <w:r w:rsidR="00F72992">
        <w:t> </w:t>
      </w:r>
      <w:r w:rsidRPr="00D94409">
        <w:t>percent had experienced a disorder (Wells et al 2007).</w:t>
      </w:r>
    </w:p>
    <w:p w:rsidR="00A74AC3" w:rsidRPr="00D94409" w:rsidRDefault="00A74AC3" w:rsidP="00F72992">
      <w:pPr>
        <w:rPr>
          <w:rFonts w:eastAsia="Century"/>
        </w:rPr>
      </w:pPr>
    </w:p>
    <w:p w:rsidR="00A74AC3" w:rsidRPr="00D94409" w:rsidRDefault="00A74AC3" w:rsidP="00F72992">
      <w:r w:rsidRPr="00D94409">
        <w:t>Males (5 percent), young people aged 16–24 years (9.6 percent) and those living in the most socioeconomically deprived areas</w:t>
      </w:r>
      <w:r w:rsidR="00F72992">
        <w:rPr>
          <w:rStyle w:val="FootnoteReference"/>
        </w:rPr>
        <w:footnoteReference w:id="21"/>
      </w:r>
      <w:r w:rsidR="00F72992">
        <w:t xml:space="preserve"> </w:t>
      </w:r>
      <w:r w:rsidRPr="00D94409">
        <w:t>(5.6 percent) were more likely to report a substance use disorder in the previous 12 months. Seven percent of Māori and four percent of Pacific adults</w:t>
      </w:r>
      <w:r w:rsidR="00F72992">
        <w:rPr>
          <w:rStyle w:val="FootnoteReference"/>
        </w:rPr>
        <w:footnoteReference w:id="22"/>
      </w:r>
      <w:r w:rsidR="00F72992">
        <w:t xml:space="preserve"> </w:t>
      </w:r>
      <w:r w:rsidRPr="00D94409">
        <w:t>experienced</w:t>
      </w:r>
      <w:r w:rsidR="00D94409" w:rsidRPr="00D94409">
        <w:t xml:space="preserve"> </w:t>
      </w:r>
      <w:r w:rsidRPr="00D94409">
        <w:t>a substance use disorder in the last 12 months, compared with 3 percent of non-Māori, non-Pacific adults.</w:t>
      </w:r>
    </w:p>
    <w:p w:rsidR="00A74AC3" w:rsidRPr="00D94409" w:rsidRDefault="00A74AC3" w:rsidP="00F72992">
      <w:pPr>
        <w:rPr>
          <w:rFonts w:eastAsia="Century"/>
        </w:rPr>
      </w:pPr>
    </w:p>
    <w:p w:rsidR="00A74AC3" w:rsidRPr="00D94409" w:rsidRDefault="00A74AC3" w:rsidP="00F72992">
      <w:r w:rsidRPr="00D94409">
        <w:t>Forty percent of individuals with a substance use disorder have also experienced an anxiety disorder, while 29 percent have experienced a mood disorder, such as depression, at some time in their life (Wells et al 2007).</w:t>
      </w:r>
    </w:p>
    <w:p w:rsidR="00A74AC3" w:rsidRPr="00D94409" w:rsidRDefault="00A74AC3" w:rsidP="00F72992">
      <w:pPr>
        <w:rPr>
          <w:rFonts w:eastAsia="Century"/>
        </w:rPr>
      </w:pPr>
    </w:p>
    <w:p w:rsidR="00A74AC3" w:rsidRPr="00D94409" w:rsidRDefault="00A74AC3" w:rsidP="00F72992">
      <w:r w:rsidRPr="00D94409">
        <w:t>A total of 549 people died by suicide in New Zealand in 2012 (12 per 100,000), three-quarters of whom were male (Ministry of Health 2015l). The suicide rate has decreased by a fifth from its peak in 1998, but has remained stable over the last five years.</w:t>
      </w:r>
    </w:p>
    <w:p w:rsidR="00A74AC3" w:rsidRPr="00D94409" w:rsidRDefault="00A74AC3" w:rsidP="00F72992">
      <w:pPr>
        <w:rPr>
          <w:rFonts w:eastAsia="Century"/>
        </w:rPr>
      </w:pPr>
    </w:p>
    <w:p w:rsidR="00F72992" w:rsidRDefault="00F72992" w:rsidP="00F72992">
      <w:bookmarkStart w:id="33" w:name="Protecting_our_health"/>
      <w:bookmarkStart w:id="34" w:name="Early_detection_and_treatment"/>
      <w:bookmarkStart w:id="35" w:name="Cancer_screening"/>
      <w:bookmarkEnd w:id="33"/>
      <w:bookmarkEnd w:id="34"/>
      <w:bookmarkEnd w:id="35"/>
      <w:r>
        <w:br w:type="page"/>
      </w:r>
    </w:p>
    <w:p w:rsidR="00A74AC3" w:rsidRPr="00D94409" w:rsidRDefault="00A74AC3" w:rsidP="00F72992">
      <w:pPr>
        <w:pStyle w:val="Heading1"/>
        <w:rPr>
          <w:bCs/>
        </w:rPr>
      </w:pPr>
      <w:bookmarkStart w:id="36" w:name="_Toc433234093"/>
      <w:r w:rsidRPr="00D94409">
        <w:lastRenderedPageBreak/>
        <w:t>Protecting our health</w:t>
      </w:r>
      <w:bookmarkEnd w:id="36"/>
    </w:p>
    <w:p w:rsidR="00A74AC3" w:rsidRPr="00D94409" w:rsidRDefault="00A74AC3" w:rsidP="00884FEB">
      <w:pPr>
        <w:pStyle w:val="Heading2"/>
        <w:rPr>
          <w:rFonts w:eastAsia="Georgia" w:cs="Georgia"/>
          <w:bCs/>
        </w:rPr>
      </w:pPr>
      <w:bookmarkStart w:id="37" w:name="_Toc433234094"/>
      <w:r w:rsidRPr="00D94409">
        <w:t>Early detection and treatment</w:t>
      </w:r>
      <w:bookmarkEnd w:id="37"/>
    </w:p>
    <w:p w:rsidR="00A74AC3" w:rsidRPr="00D94409" w:rsidRDefault="00A74AC3" w:rsidP="00884FEB">
      <w:r w:rsidRPr="00D94409">
        <w:t>The earlier a disease or precursors for disease are diagnosed, the earlier treatment can start. With timely treatment and effective management, it is more likely that the progression of the disease can be delayed or even prevented. This section looks at cancer screening and cardiovascular risk assessment as examples of national programmes to increase early detection and treatment.</w:t>
      </w:r>
    </w:p>
    <w:p w:rsidR="00A74AC3" w:rsidRPr="00D94409" w:rsidRDefault="00A74AC3" w:rsidP="00884FEB">
      <w:pPr>
        <w:rPr>
          <w:rFonts w:eastAsia="Century"/>
        </w:rPr>
      </w:pPr>
    </w:p>
    <w:p w:rsidR="00A74AC3" w:rsidRPr="00D94409" w:rsidRDefault="00A74AC3" w:rsidP="00884FEB">
      <w:pPr>
        <w:pStyle w:val="Heading3"/>
        <w:rPr>
          <w:bCs/>
        </w:rPr>
      </w:pPr>
      <w:r w:rsidRPr="00D94409">
        <w:t>Cancer screening</w:t>
      </w:r>
    </w:p>
    <w:p w:rsidR="00A74AC3" w:rsidRPr="00D94409" w:rsidRDefault="00A74AC3" w:rsidP="00884FEB">
      <w:r w:rsidRPr="00D94409">
        <w:t xml:space="preserve">Screening is </w:t>
      </w:r>
      <w:r w:rsidR="00D94409" w:rsidRPr="00D94409">
        <w:t>‘</w:t>
      </w:r>
      <w:r w:rsidRPr="00D94409">
        <w:t>the testing of people who do not suspect they have a problem to reduce the future risk of ill health</w:t>
      </w:r>
      <w:r w:rsidR="00D94409" w:rsidRPr="00D94409">
        <w:t>’</w:t>
      </w:r>
      <w:r w:rsidRPr="00D94409">
        <w:t xml:space="preserve"> (Raffle et al 2013). A coordinated screening programme helps ensure better coverage and supports ongoing quality improvement. The National Screening Unit (NSU), which is part of the</w:t>
      </w:r>
      <w:r w:rsidR="00884FEB">
        <w:t xml:space="preserve"> </w:t>
      </w:r>
      <w:r w:rsidRPr="00D94409">
        <w:t>Ministry of Health, is responsible for coordinating national population-based screening programmes in New Zealand (NSU 2015a).</w:t>
      </w:r>
    </w:p>
    <w:p w:rsidR="00A74AC3" w:rsidRPr="00D94409" w:rsidRDefault="00A74AC3" w:rsidP="00884FEB">
      <w:pPr>
        <w:rPr>
          <w:rFonts w:eastAsia="Century"/>
        </w:rPr>
      </w:pPr>
    </w:p>
    <w:p w:rsidR="00A74AC3" w:rsidRPr="00D94409" w:rsidRDefault="00A74AC3" w:rsidP="00884FEB">
      <w:pPr>
        <w:pStyle w:val="Heading4"/>
        <w:rPr>
          <w:bCs/>
        </w:rPr>
      </w:pPr>
      <w:r w:rsidRPr="00D94409">
        <w:t>Māori women are less likely to access breast and cervical cancer screening</w:t>
      </w:r>
    </w:p>
    <w:p w:rsidR="00A74AC3" w:rsidRPr="00D94409" w:rsidRDefault="00A74AC3" w:rsidP="00884FEB">
      <w:r w:rsidRPr="00D94409">
        <w:t xml:space="preserve">The target of </w:t>
      </w:r>
      <w:proofErr w:type="spellStart"/>
      <w:r w:rsidRPr="00D94409">
        <w:t>BreastScreen</w:t>
      </w:r>
      <w:proofErr w:type="spellEnd"/>
      <w:r w:rsidRPr="00D94409">
        <w:t xml:space="preserve"> </w:t>
      </w:r>
      <w:proofErr w:type="spellStart"/>
      <w:r w:rsidRPr="00D94409">
        <w:t>Aotearoa</w:t>
      </w:r>
      <w:proofErr w:type="spellEnd"/>
      <w:r w:rsidRPr="00D94409">
        <w:t xml:space="preserve"> (BSA) is that 70 percent of eligible women aged 50–69 years have a mammogram to screen for breast cancer every two years. This target was exceeded for Pacific (73 percent) and non-Māori, non-Pacific (73 percent) women, as at 30 June 2015. Improving uptake for Māori women, which is currently at 64 percent, is a key priority of BSA (Ministry of Health 2015d).</w:t>
      </w:r>
    </w:p>
    <w:p w:rsidR="00A74AC3" w:rsidRPr="00D94409" w:rsidRDefault="00A74AC3" w:rsidP="00884FEB">
      <w:pPr>
        <w:rPr>
          <w:rFonts w:eastAsia="Century"/>
        </w:rPr>
      </w:pPr>
    </w:p>
    <w:p w:rsidR="00A74AC3" w:rsidRPr="00D94409" w:rsidRDefault="00884FEB" w:rsidP="00884FEB">
      <w:r>
        <w:rPr>
          <w:noProof/>
          <w:lang w:eastAsia="en-NZ"/>
        </w:rPr>
        <mc:AlternateContent>
          <mc:Choice Requires="wpg">
            <w:drawing>
              <wp:anchor distT="0" distB="0" distL="114300" distR="0" simplePos="0" relativeHeight="251822080" behindDoc="0" locked="0" layoutInCell="1" allowOverlap="1" wp14:anchorId="10C57DED" wp14:editId="037CB542">
                <wp:simplePos x="0" y="0"/>
                <wp:positionH relativeFrom="column">
                  <wp:posOffset>3446780</wp:posOffset>
                </wp:positionH>
                <wp:positionV relativeFrom="paragraph">
                  <wp:posOffset>14605</wp:posOffset>
                </wp:positionV>
                <wp:extent cx="2498090" cy="1828800"/>
                <wp:effectExtent l="0" t="0" r="16510" b="19050"/>
                <wp:wrapSquare wrapText="left"/>
                <wp:docPr id="1960" name="Group 1960"/>
                <wp:cNvGraphicFramePr/>
                <a:graphic xmlns:a="http://schemas.openxmlformats.org/drawingml/2006/main">
                  <a:graphicData uri="http://schemas.microsoft.com/office/word/2010/wordprocessingGroup">
                    <wpg:wgp>
                      <wpg:cNvGrpSpPr/>
                      <wpg:grpSpPr>
                        <a:xfrm>
                          <a:off x="0" y="0"/>
                          <a:ext cx="2498090" cy="1828800"/>
                          <a:chOff x="0" y="0"/>
                          <a:chExt cx="1952625" cy="839585"/>
                        </a:xfrm>
                      </wpg:grpSpPr>
                      <wpg:grpSp>
                        <wpg:cNvPr id="1961" name="Group 1961"/>
                        <wpg:cNvGrpSpPr/>
                        <wpg:grpSpPr>
                          <a:xfrm>
                            <a:off x="0" y="0"/>
                            <a:ext cx="1951355" cy="838200"/>
                            <a:chOff x="0" y="0"/>
                            <a:chExt cx="1951355" cy="838200"/>
                          </a:xfrm>
                        </wpg:grpSpPr>
                        <wps:wsp>
                          <wps:cNvPr id="1962" name="Rectangle 1962"/>
                          <wps:cNvSpPr/>
                          <wps:spPr>
                            <a:xfrm>
                              <a:off x="0" y="0"/>
                              <a:ext cx="1951355" cy="838200"/>
                            </a:xfrm>
                            <a:prstGeom prst="rect">
                              <a:avLst/>
                            </a:prstGeom>
                            <a:solidFill>
                              <a:schemeClr val="bg1">
                                <a:lumMod val="8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0380" w:rsidRPr="00611516" w:rsidRDefault="00880380" w:rsidP="00884FEB">
                                <w:pPr>
                                  <w:spacing w:before="120" w:after="120"/>
                                  <w:jc w:val="center"/>
                                  <w:rPr>
                                    <w:color w:val="000000"/>
                                    <w:szCs w:val="22"/>
                                  </w:rPr>
                                </w:pPr>
                                <w:r w:rsidRPr="008B2328">
                                  <w:rPr>
                                    <w:b/>
                                    <w:color w:val="000000"/>
                                    <w:szCs w:val="22"/>
                                  </w:rPr>
                                  <w:t>Find more</w:t>
                                </w:r>
                                <w:r>
                                  <w:rPr>
                                    <w:b/>
                                    <w:color w:val="000000"/>
                                    <w:szCs w:val="22"/>
                                  </w:rPr>
                                  <w:t xml:space="preserve"> information</w:t>
                                </w:r>
                                <w:proofErr w:type="gramStart"/>
                                <w:r>
                                  <w:rPr>
                                    <w:b/>
                                    <w:color w:val="000000"/>
                                    <w:szCs w:val="22"/>
                                  </w:rPr>
                                  <w:t>:</w:t>
                                </w:r>
                                <w:proofErr w:type="gramEnd"/>
                                <w:r>
                                  <w:rPr>
                                    <w:color w:val="000000"/>
                                    <w:szCs w:val="22"/>
                                  </w:rPr>
                                  <w:br/>
                                  <w:t>visit the National Screening Unit website at www.nsu.govt.nz</w:t>
                                </w:r>
                                <w:r>
                                  <w:rPr>
                                    <w:color w:val="000000"/>
                                    <w:szCs w:val="22"/>
                                  </w:rPr>
                                  <w:br/>
                                  <w:t>or visit:</w:t>
                                </w:r>
                                <w:r>
                                  <w:rPr>
                                    <w:color w:val="000000"/>
                                    <w:szCs w:val="22"/>
                                  </w:rPr>
                                  <w:br/>
                                  <w:t>www.health.govt.nz/our-work/diseases-and-conditions/cancer-programme/bowel-cancer-programme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3" name="Straight Connector 1963"/>
                          <wps:cNvCnPr/>
                          <wps:spPr>
                            <a:xfrm>
                              <a:off x="0" y="10063"/>
                              <a:ext cx="195135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964" name="Straight Connector 1964"/>
                        <wps:cNvCnPr/>
                        <wps:spPr>
                          <a:xfrm>
                            <a:off x="0" y="839585"/>
                            <a:ext cx="19526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960" o:spid="_x0000_s1067" style="position:absolute;margin-left:271.4pt;margin-top:1.15pt;width:196.7pt;height:2in;z-index:251822080;mso-wrap-distance-right:0;mso-width-relative:margin;mso-height-relative:margin" coordsize="19526,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">
                <v:group id="Group 1961" o:spid="_x0000_s1068" style="position:absolute;width:19513;height:8382" coordsize="19513,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Z/9sMAAADdAAAADwAAAGRycy9kb3ducmV2LnhtbERPS4vCMBC+C/6HMIK3&#10;Na2y4naNIqLiQRZ8wLK3oRnbYjMpTWzrv98Igrf5+J4zX3amFA3VrrCsIB5FIIhTqwvOFFzO248Z&#10;COeRNZaWScGDHCwX/d4cE21bPlJz8pkIIewSVJB7XyVSujQng25kK+LAXW1t0AdYZ1LX2IZwU8px&#10;FE2lwYJDQ44VrXNKb6e7UbBrsV1N4k1zuF3Xj7/z58/vISalhoNu9Q3CU+ff4pd7r8P8r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n/2wwAAAN0AAAAP&#10;AAAAAAAAAAAAAAAAAKoCAABkcnMvZG93bnJldi54bWxQSwUGAAAAAAQABAD6AAAAmgMAAAAA&#10;">
                  <v:rect id="Rectangle 1962" o:spid="_x0000_s1069" style="position:absolute;width:19513;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kgzcEA&#10;AADdAAAADwAAAGRycy9kb3ducmV2LnhtbERPzYrCMBC+L/gOYYS9rakepFajiLDQhb2s9gGGZGyL&#10;zaQksa0+vVlY2Nt8fL+zO0y2EwP50DpWsFxkIIi1My3XCqrL50cOIkRkg51jUvCgAIf97G2HhXEj&#10;/9BwjrVIIRwKVNDE2BdSBt2QxbBwPXHirs5bjAn6WhqPYwq3nVxl2VpabDk1NNjTqSF9O9+tgmP1&#10;uOZD+3UrWZfjU1fftfa5Uu/z6bgFEWmK/+I/d2nS/M16Bb/fpB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JIM3BAAAA3QAAAA8AAAAAAAAAAAAAAAAAmAIAAGRycy9kb3du&#10;cmV2LnhtbFBLBQYAAAAABAAEAPUAAACGAwAAAAA=&#10;" fillcolor="#d8d8d8 [2732]" stroked="f" strokeweight=".5pt">
                    <v:textbox>
                      <w:txbxContent>
                        <w:p w:rsidR="00880380" w:rsidRPr="00611516" w:rsidRDefault="00880380" w:rsidP="00884FEB">
                          <w:pPr>
                            <w:spacing w:before="120" w:after="120"/>
                            <w:jc w:val="center"/>
                            <w:rPr>
                              <w:color w:val="000000"/>
                              <w:szCs w:val="22"/>
                            </w:rPr>
                          </w:pPr>
                          <w:r w:rsidRPr="008B2328">
                            <w:rPr>
                              <w:b/>
                              <w:color w:val="000000"/>
                              <w:szCs w:val="22"/>
                            </w:rPr>
                            <w:t>Find more</w:t>
                          </w:r>
                          <w:r>
                            <w:rPr>
                              <w:b/>
                              <w:color w:val="000000"/>
                              <w:szCs w:val="22"/>
                            </w:rPr>
                            <w:t xml:space="preserve"> information:</w:t>
                          </w:r>
                          <w:r>
                            <w:rPr>
                              <w:color w:val="000000"/>
                              <w:szCs w:val="22"/>
                            </w:rPr>
                            <w:br/>
                            <w:t>visit the National Screening Unit website at www.nsu.govt.nz</w:t>
                          </w:r>
                          <w:r>
                            <w:rPr>
                              <w:color w:val="000000"/>
                              <w:szCs w:val="22"/>
                            </w:rPr>
                            <w:br/>
                            <w:t>or visit:</w:t>
                          </w:r>
                          <w:r>
                            <w:rPr>
                              <w:color w:val="000000"/>
                              <w:szCs w:val="22"/>
                            </w:rPr>
                            <w:br/>
                            <w:t>www.health.govt.nz/our-work/diseases-and-conditions/cancer-programme/bowel-cancer-programme</w:t>
                          </w:r>
                        </w:p>
                      </w:txbxContent>
                    </v:textbox>
                  </v:rect>
                  <v:line id="Straight Connector 1963" o:spid="_x0000_s1070" style="position:absolute;visibility:visible;mso-wrap-style:square" from="0,100" to="19513,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cRo8EAAADdAAAADwAAAGRycy9kb3ducmV2LnhtbERP24rCMBB9F/yHMIJvmqpQ1moUERSR&#10;RXerHzA0Y1tsJiWJ2v37zYKwb3M411muO9OIJzlfW1YwGScgiAuray4VXC+70QcIH5A1NpZJwQ95&#10;WK/6vSVm2r74m555KEUMYZ+hgiqENpPSFxUZ9GPbEkfuZp3BEKErpXb4iuGmkdMkSaXBmmNDhS1t&#10;Kyru+cMocCe3d+dHej6W8nDT1688aT+3Sg0H3WYBIlAX/sVv90HH+fN0Bn/fxBP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JxGjwQAAAN0AAAAPAAAAAAAAAAAAAAAA&#10;AKECAABkcnMvZG93bnJldi54bWxQSwUGAAAAAAQABAD5AAAAjwMAAAAA&#10;" strokecolor="black [3213]" strokeweight="4.5pt"/>
                </v:group>
                <v:line id="Straight Connector 1964" o:spid="_x0000_s1071" style="position:absolute;visibility:visible;mso-wrap-style:square" from="0,8395" to="19526,8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zlMcIAAADdAAAADwAAAGRycy9kb3ducmV2LnhtbERPTWsCMRC9C/6HMII3zSpF6tYoKth6&#10;7aqH3obNdLN0M1mSrLv++0Yo9DaP9zmb3WAbcScfascKFvMMBHHpdM2VguvlNHsFESKyxsYxKXhQ&#10;gN12PNpgrl3Pn3QvYiVSCIccFZgY21zKUBqyGOauJU7ct/MWY4K+ktpjn8JtI5dZtpIWa04NBls6&#10;Gip/is4q+OoO0X9c5L4vhuO7WZ6asnM3paaTYf8GItIQ/8V/7rNO89erF3h+k06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mzlMcIAAADdAAAADwAAAAAAAAAAAAAA&#10;AAChAgAAZHJzL2Rvd25yZXYueG1sUEsFBgAAAAAEAAQA+QAAAJADAAAAAA==&#10;" strokecolor="black [3213]" strokeweight="1.5pt"/>
                <w10:wrap type="square" side="left"/>
              </v:group>
            </w:pict>
          </mc:Fallback>
        </mc:AlternateContent>
      </w:r>
      <w:r w:rsidR="00A74AC3" w:rsidRPr="00D94409">
        <w:t>The National Cervical Screening Programme (NCSP) had a scheduled Independent Parliamentary Review in 2015 (Parliamentary Review Committee 2015).</w:t>
      </w:r>
    </w:p>
    <w:p w:rsidR="00A74AC3" w:rsidRPr="00D94409" w:rsidRDefault="00A74AC3" w:rsidP="00884FEB">
      <w:r w:rsidRPr="00D94409">
        <w:t>This review reported that between 1996 and 2012 the cervical cancer incidence reduced from 10.5 to 6.2 per 100,000 women, which makes New Zealand one of the more successful countries at reducing cervical cancer. The 2010 mortality rate from cervical cancer of 1.7 women per 100,000 women is lower than the rates in the United States of America and the United Kingdom.</w:t>
      </w:r>
    </w:p>
    <w:p w:rsidR="00A74AC3" w:rsidRPr="00D94409" w:rsidRDefault="00A74AC3" w:rsidP="00884FEB">
      <w:pPr>
        <w:rPr>
          <w:rFonts w:eastAsia="Century"/>
        </w:rPr>
      </w:pPr>
    </w:p>
    <w:p w:rsidR="00A74AC3" w:rsidRPr="00D94409" w:rsidRDefault="00A74AC3" w:rsidP="00884FEB">
      <w:r w:rsidRPr="00D94409">
        <w:t>The review recommended addressing participation barriers for Māori women. Overall 76</w:t>
      </w:r>
      <w:r w:rsidR="00884FEB">
        <w:t> </w:t>
      </w:r>
      <w:r w:rsidRPr="00D94409">
        <w:t>percent of eligible women aged 25–69 years received screening in the</w:t>
      </w:r>
      <w:r w:rsidR="00884FEB">
        <w:t xml:space="preserve"> </w:t>
      </w:r>
      <w:r w:rsidRPr="00D94409">
        <w:t>three years before June 2015. However, the rate was 63 percent for both Māori and Asian women and 73 percent for Pacific women. The NCSP coverage target of 80 percent was achieved for non-Māori, non-Pacific, non-Asian women, whose coverage was 82 percent (NSU 2015b).</w:t>
      </w:r>
    </w:p>
    <w:p w:rsidR="00A74AC3" w:rsidRPr="00D94409" w:rsidRDefault="00A74AC3" w:rsidP="00884FEB">
      <w:pPr>
        <w:rPr>
          <w:rFonts w:eastAsia="Century"/>
        </w:rPr>
      </w:pPr>
    </w:p>
    <w:p w:rsidR="00A74AC3" w:rsidRPr="00D94409" w:rsidRDefault="00A74AC3" w:rsidP="00884FEB">
      <w:pPr>
        <w:pStyle w:val="Heading4"/>
        <w:rPr>
          <w:bCs/>
        </w:rPr>
      </w:pPr>
      <w:r w:rsidRPr="00D94409">
        <w:lastRenderedPageBreak/>
        <w:t>The bowel screening pilot is helping inform a decision on a national bowel screening programme</w:t>
      </w:r>
    </w:p>
    <w:p w:rsidR="00A74AC3" w:rsidRPr="00D94409" w:rsidRDefault="00A74AC3" w:rsidP="00884FEB">
      <w:pPr>
        <w:keepLines/>
      </w:pPr>
      <w:r w:rsidRPr="00D94409">
        <w:t xml:space="preserve">The Ministry of Health is funding a four-year bowel screening pilot at </w:t>
      </w:r>
      <w:proofErr w:type="spellStart"/>
      <w:r w:rsidRPr="00D94409">
        <w:t>Waitemata</w:t>
      </w:r>
      <w:proofErr w:type="spellEnd"/>
      <w:r w:rsidRPr="00D94409">
        <w:t xml:space="preserve"> District Health Board (WDHB), which began in 2012 and was extended for two years until 2017 as part of Budget 2015. Bowel cancer causes the second-largest health loss from cancer in New Zealand (Institute for Health Metrics and Evaluation 2013). As it has identified barriers to a potential national roll-out, WDHB has made</w:t>
      </w:r>
      <w:r w:rsidR="00884FEB">
        <w:t xml:space="preserve"> </w:t>
      </w:r>
      <w:bookmarkStart w:id="38" w:name="Cardiovascular_risk_assessment"/>
      <w:bookmarkEnd w:id="38"/>
      <w:r w:rsidR="00884FEB">
        <w:t>i</w:t>
      </w:r>
      <w:r w:rsidRPr="00D94409">
        <w:t>mprovements to the pilot. These include ensuring equity of access for all eligible population groups, robust data management processes and ensuring an adequate number of health professionals are able to perform colonoscopies (Litmus et al 2015).</w:t>
      </w:r>
    </w:p>
    <w:p w:rsidR="00A74AC3" w:rsidRPr="00D94409" w:rsidRDefault="00A74AC3" w:rsidP="00884FEB">
      <w:pPr>
        <w:rPr>
          <w:rFonts w:eastAsia="Century"/>
        </w:rPr>
      </w:pPr>
    </w:p>
    <w:p w:rsidR="00A74AC3" w:rsidRPr="00D94409" w:rsidRDefault="00A74AC3" w:rsidP="00884FEB">
      <w:pPr>
        <w:pStyle w:val="Heading3"/>
        <w:rPr>
          <w:bCs/>
        </w:rPr>
      </w:pPr>
      <w:r w:rsidRPr="00D94409">
        <w:t>Cardiovascular risk assessment</w:t>
      </w:r>
    </w:p>
    <w:p w:rsidR="00A74AC3" w:rsidRPr="00D94409" w:rsidRDefault="00A74AC3" w:rsidP="00884FEB">
      <w:r w:rsidRPr="00D94409">
        <w:t>Identifying individuals at risk of cardiovascular disease and diabetes can enable those individuals to take actions, including taking medication, to reduce their risk. The More heart and diabetes checks target aims to increase the use of cardiovascular risk assessment in primary care. By July 2015, 89 percent of the eligible population, or over 1.1 million people, had had their cardiovascular risk assessed during the previous five years (Ministry of Health 2015g). Uptake of the heart and diabetes checks is high among Pacific peoples (89 percent), but is lower among Māori (85 percent).</w:t>
      </w:r>
    </w:p>
    <w:p w:rsidR="00A74AC3" w:rsidRPr="00D94409" w:rsidRDefault="00A74AC3" w:rsidP="00884FEB">
      <w:pPr>
        <w:rPr>
          <w:rFonts w:eastAsia="Century"/>
        </w:rPr>
      </w:pPr>
    </w:p>
    <w:p w:rsidR="00A74AC3" w:rsidRPr="00D94409" w:rsidRDefault="00A74AC3" w:rsidP="00884FEB">
      <w:r w:rsidRPr="00D94409">
        <w:t>Lifestyle advice and medication to treat high blood pressure and cholesterol can substantially reduce the occurrence of heart disease and stroke in individuals identified as at high risk of cardiovascular disease. Cardiovascular death rates are five times higher among diabetics, but if people with diabetes achieve good glycaemic control it helps lower their risk of cardiovascular disease (</w:t>
      </w:r>
      <w:proofErr w:type="spellStart"/>
      <w:r w:rsidRPr="00D94409">
        <w:t>Mannucci</w:t>
      </w:r>
      <w:proofErr w:type="spellEnd"/>
      <w:r w:rsidRPr="00D94409">
        <w:t xml:space="preserve"> et al 2013).</w:t>
      </w:r>
    </w:p>
    <w:p w:rsidR="00A74AC3" w:rsidRPr="00D94409" w:rsidRDefault="00A74AC3" w:rsidP="00884FEB">
      <w:pPr>
        <w:rPr>
          <w:rFonts w:eastAsia="Century"/>
        </w:rPr>
      </w:pPr>
    </w:p>
    <w:p w:rsidR="00A74AC3" w:rsidRPr="00D94409" w:rsidRDefault="00A74AC3" w:rsidP="00884FEB">
      <w:pPr>
        <w:pStyle w:val="Heading4"/>
        <w:rPr>
          <w:bCs/>
        </w:rPr>
      </w:pPr>
      <w:r w:rsidRPr="00D94409">
        <w:t>Lifestyle factors account for the majority of cardiovascular-related health loss</w:t>
      </w:r>
    </w:p>
    <w:p w:rsidR="00A74AC3" w:rsidRPr="00884FEB" w:rsidRDefault="00884FEB" w:rsidP="00884FEB">
      <w:r>
        <w:rPr>
          <w:noProof/>
          <w:lang w:eastAsia="en-NZ"/>
        </w:rPr>
        <mc:AlternateContent>
          <mc:Choice Requires="wpg">
            <w:drawing>
              <wp:anchor distT="0" distB="0" distL="114300" distR="0" simplePos="0" relativeHeight="251824128" behindDoc="0" locked="0" layoutInCell="1" allowOverlap="1" wp14:anchorId="73AF5596" wp14:editId="28735853">
                <wp:simplePos x="0" y="0"/>
                <wp:positionH relativeFrom="column">
                  <wp:posOffset>3430270</wp:posOffset>
                </wp:positionH>
                <wp:positionV relativeFrom="paragraph">
                  <wp:posOffset>35560</wp:posOffset>
                </wp:positionV>
                <wp:extent cx="2498090" cy="2002790"/>
                <wp:effectExtent l="0" t="0" r="16510" b="16510"/>
                <wp:wrapSquare wrapText="left"/>
                <wp:docPr id="1965" name="Group 1965"/>
                <wp:cNvGraphicFramePr/>
                <a:graphic xmlns:a="http://schemas.openxmlformats.org/drawingml/2006/main">
                  <a:graphicData uri="http://schemas.microsoft.com/office/word/2010/wordprocessingGroup">
                    <wpg:wgp>
                      <wpg:cNvGrpSpPr/>
                      <wpg:grpSpPr>
                        <a:xfrm>
                          <a:off x="0" y="0"/>
                          <a:ext cx="2498090" cy="2002790"/>
                          <a:chOff x="0" y="0"/>
                          <a:chExt cx="1952625" cy="839585"/>
                        </a:xfrm>
                      </wpg:grpSpPr>
                      <wpg:grpSp>
                        <wpg:cNvPr id="1966" name="Group 1966"/>
                        <wpg:cNvGrpSpPr/>
                        <wpg:grpSpPr>
                          <a:xfrm>
                            <a:off x="0" y="0"/>
                            <a:ext cx="1951355" cy="838200"/>
                            <a:chOff x="0" y="0"/>
                            <a:chExt cx="1951355" cy="838200"/>
                          </a:xfrm>
                        </wpg:grpSpPr>
                        <wps:wsp>
                          <wps:cNvPr id="1967" name="Rectangle 1967"/>
                          <wps:cNvSpPr/>
                          <wps:spPr>
                            <a:xfrm>
                              <a:off x="0" y="0"/>
                              <a:ext cx="1951355" cy="838200"/>
                            </a:xfrm>
                            <a:prstGeom prst="rect">
                              <a:avLst/>
                            </a:prstGeom>
                            <a:solidFill>
                              <a:schemeClr val="bg1">
                                <a:lumMod val="8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0380" w:rsidRDefault="00880380" w:rsidP="00884FEB">
                                <w:pPr>
                                  <w:spacing w:before="120" w:after="120"/>
                                  <w:jc w:val="center"/>
                                  <w:rPr>
                                    <w:b/>
                                    <w:color w:val="000000"/>
                                    <w:szCs w:val="22"/>
                                  </w:rPr>
                                </w:pPr>
                                <w:r>
                                  <w:rPr>
                                    <w:b/>
                                    <w:color w:val="000000"/>
                                    <w:szCs w:val="22"/>
                                  </w:rPr>
                                  <w:t>Visit the Ministry of Health website for information on:</w:t>
                                </w:r>
                              </w:p>
                              <w:p w:rsidR="00880380" w:rsidRPr="00884FEB" w:rsidRDefault="00880380" w:rsidP="00884FEB">
                                <w:pPr>
                                  <w:pStyle w:val="ListParagraph"/>
                                  <w:numPr>
                                    <w:ilvl w:val="0"/>
                                    <w:numId w:val="28"/>
                                  </w:numPr>
                                  <w:spacing w:before="120" w:after="120"/>
                                  <w:ind w:left="284" w:hanging="284"/>
                                  <w:contextualSpacing w:val="0"/>
                                  <w:rPr>
                                    <w:rFonts w:ascii="Georgia" w:hAnsi="Georgia"/>
                                    <w:color w:val="000000"/>
                                    <w:sz w:val="22"/>
                                  </w:rPr>
                                </w:pPr>
                                <w:r w:rsidRPr="00884FEB">
                                  <w:rPr>
                                    <w:rFonts w:ascii="Georgia" w:hAnsi="Georgia"/>
                                    <w:color w:val="000000"/>
                                    <w:sz w:val="22"/>
                                  </w:rPr>
                                  <w:t>preventative health initiatives: www.health.govt.nz/our-work/preventative-health-wellness</w:t>
                                </w:r>
                              </w:p>
                              <w:p w:rsidR="00880380" w:rsidRPr="00884FEB" w:rsidRDefault="00880380" w:rsidP="00884FEB">
                                <w:pPr>
                                  <w:pStyle w:val="ListParagraph"/>
                                  <w:numPr>
                                    <w:ilvl w:val="0"/>
                                    <w:numId w:val="28"/>
                                  </w:numPr>
                                  <w:spacing w:before="120" w:after="120"/>
                                  <w:ind w:left="284" w:hanging="284"/>
                                  <w:contextualSpacing w:val="0"/>
                                  <w:rPr>
                                    <w:rFonts w:ascii="Georgia" w:hAnsi="Georgia"/>
                                    <w:color w:val="000000"/>
                                    <w:sz w:val="22"/>
                                  </w:rPr>
                                </w:pPr>
                                <w:r w:rsidRPr="00884FEB">
                                  <w:rPr>
                                    <w:rFonts w:ascii="Georgia" w:hAnsi="Georgia"/>
                                    <w:color w:val="000000"/>
                                    <w:sz w:val="22"/>
                                  </w:rPr>
                                  <w:t>the Government’s health targets: www.health.govt.nz/new-zealand-health-system/health-targets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8" name="Straight Connector 1968"/>
                          <wps:cNvCnPr/>
                          <wps:spPr>
                            <a:xfrm>
                              <a:off x="0" y="10063"/>
                              <a:ext cx="195135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969" name="Straight Connector 1969"/>
                        <wps:cNvCnPr/>
                        <wps:spPr>
                          <a:xfrm>
                            <a:off x="0" y="839585"/>
                            <a:ext cx="19526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965" o:spid="_x0000_s1072" style="position:absolute;margin-left:270.1pt;margin-top:2.8pt;width:196.7pt;height:157.7pt;z-index:251824128;mso-wrap-distance-right:0;mso-width-relative:margin;mso-height-relative:margin" coordsize="19526,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">
                <v:group id="Group 1966" o:spid="_x0000_s1073" style="position:absolute;width:19513;height:8382" coordsize="19513,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ngsQAAADdAAAADwAAAGRycy9kb3ducmV2LnhtbERPS2vCQBC+F/wPywi9&#10;1U0sDRpdRUTFgxR8gHgbsmMSzM6G7JrEf98tFHqbj+8582VvKtFS40rLCuJRBII4s7rkXMHlvP2Y&#10;gHAeWWNlmRS8yMFyMXibY6ptx0dqTz4XIYRdigoK7+tUSpcVZNCNbE0cuLttDPoAm1zqBrsQbio5&#10;jqJEGiw5NBRY07qg7HF6GgW7DrvVZ7xpD4/7+nU7f31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ngsQAAADdAAAA&#10;DwAAAAAAAAAAAAAAAACqAgAAZHJzL2Rvd25yZXYueG1sUEsFBgAAAAAEAAQA+gAAAJsDAAAAAA==&#10;">
                  <v:rect id="Rectangle 1967" o:spid="_x0000_s1074" style="position:absolute;width:19513;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6DVcIA&#10;AADdAAAADwAAAGRycy9kb3ducmV2LnhtbERPzWrCQBC+F/oOywi91Y0eNEZXkUIhhV7UPMCwOybB&#10;7GzY3SbRp+8WCt7m4/ud3WGynRjIh9axgsU8A0GsnWm5VlBdPt9zECEiG+wck4I7BTjsX192WBg3&#10;8omGc6xFCuFQoIImxr6QMuiGLIa564kTd3XeYkzQ19J4HFO47eQyy1bSYsupocGePhrSt/OPVXCs&#10;7td8aL9uJetyfOjqu9Y+V+ptNh23ICJN8Sn+d5cmzd+s1vD3TTpB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oNVwgAAAN0AAAAPAAAAAAAAAAAAAAAAAJgCAABkcnMvZG93&#10;bnJldi54bWxQSwUGAAAAAAQABAD1AAAAhwMAAAAA&#10;" fillcolor="#d8d8d8 [2732]" stroked="f" strokeweight=".5pt">
                    <v:textbox>
                      <w:txbxContent>
                        <w:p w:rsidR="00880380" w:rsidRDefault="00880380" w:rsidP="00884FEB">
                          <w:pPr>
                            <w:spacing w:before="120" w:after="120"/>
                            <w:jc w:val="center"/>
                            <w:rPr>
                              <w:b/>
                              <w:color w:val="000000"/>
                              <w:szCs w:val="22"/>
                            </w:rPr>
                          </w:pPr>
                          <w:r>
                            <w:rPr>
                              <w:b/>
                              <w:color w:val="000000"/>
                              <w:szCs w:val="22"/>
                            </w:rPr>
                            <w:t>Visit the Ministry of Health website for information on:</w:t>
                          </w:r>
                        </w:p>
                        <w:p w:rsidR="00880380" w:rsidRPr="00884FEB" w:rsidRDefault="00880380" w:rsidP="00884FEB">
                          <w:pPr>
                            <w:pStyle w:val="ListParagraph"/>
                            <w:numPr>
                              <w:ilvl w:val="0"/>
                              <w:numId w:val="28"/>
                            </w:numPr>
                            <w:spacing w:before="120" w:after="120"/>
                            <w:ind w:left="284" w:hanging="284"/>
                            <w:contextualSpacing w:val="0"/>
                            <w:rPr>
                              <w:rFonts w:ascii="Georgia" w:hAnsi="Georgia"/>
                              <w:color w:val="000000"/>
                              <w:sz w:val="22"/>
                            </w:rPr>
                          </w:pPr>
                          <w:r w:rsidRPr="00884FEB">
                            <w:rPr>
                              <w:rFonts w:ascii="Georgia" w:hAnsi="Georgia"/>
                              <w:color w:val="000000"/>
                              <w:sz w:val="22"/>
                            </w:rPr>
                            <w:t>preventative health initiatives: www.health.govt.nz/our-work/preventative-health-wellness</w:t>
                          </w:r>
                        </w:p>
                        <w:p w:rsidR="00880380" w:rsidRPr="00884FEB" w:rsidRDefault="00880380" w:rsidP="00884FEB">
                          <w:pPr>
                            <w:pStyle w:val="ListParagraph"/>
                            <w:numPr>
                              <w:ilvl w:val="0"/>
                              <w:numId w:val="28"/>
                            </w:numPr>
                            <w:spacing w:before="120" w:after="120"/>
                            <w:ind w:left="284" w:hanging="284"/>
                            <w:contextualSpacing w:val="0"/>
                            <w:rPr>
                              <w:rFonts w:ascii="Georgia" w:hAnsi="Georgia"/>
                              <w:color w:val="000000"/>
                              <w:sz w:val="22"/>
                            </w:rPr>
                          </w:pPr>
                          <w:r w:rsidRPr="00884FEB">
                            <w:rPr>
                              <w:rFonts w:ascii="Georgia" w:hAnsi="Georgia"/>
                              <w:color w:val="000000"/>
                              <w:sz w:val="22"/>
                            </w:rPr>
                            <w:t>the Government’s health targets: www.health.govt.nz/new-zealand-health-system/health-targets</w:t>
                          </w:r>
                        </w:p>
                      </w:txbxContent>
                    </v:textbox>
                  </v:rect>
                  <v:line id="Straight Connector 1968" o:spid="_x0000_s1075" style="position:absolute;visibility:visible;mso-wrap-style:square" from="0,100" to="19513,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OD0sYAAADdAAAADwAAAGRycy9kb3ducmV2LnhtbESPQWvDMAyF74X+B6PCbq2zHcKW1Qmj&#10;0FJGWbesP0DEahIWy8F22+zfV4fBbhLv6b1P62pyg7pSiL1nA4+rDBRx423PrYHT93b5DComZIuD&#10;ZzLwSxGqcj5bY2H9jb/oWqdWSQjHAg10KY2F1rHpyGFc+ZFYtLMPDpOsodU24E3C3aCfsizXDnuW&#10;hg5H2nTU/NQXZyB8hF04XvLje6v3Z3v6rLPxsDHmYTG9vYJKNKV/89/13gr+Sy648o2Mo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Dg9LGAAAA3QAAAA8AAAAAAAAA&#10;AAAAAAAAoQIAAGRycy9kb3ducmV2LnhtbFBLBQYAAAAABAAEAPkAAACUAwAAAAA=&#10;" strokecolor="black [3213]" strokeweight="4.5pt"/>
                </v:group>
                <v:line id="Straight Connector 1969" o:spid="_x0000_s1076" style="position:absolute;visibility:visible;mso-wrap-style:square" from="0,8395" to="19526,8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1Kr8EAAADdAAAADwAAAGRycy9kb3ducmV2LnhtbERPPW/CMBDdkfgP1iF1AwcGVFIMokhQ&#10;1gYY2E7xNY4anyPbIem/r5GQ2O7pfd56O9hG3MmH2rGC+SwDQVw6XXOl4HI+TN9BhIissXFMCv4o&#10;wHYzHq0x167nb7oXsRIphEOOCkyMbS5lKA1ZDDPXEifux3mLMUFfSe2xT+G2kYssW0qLNacGgy3t&#10;DZW/RWcV3LrP6L/OctcXw/5oFoem7NxVqbfJsPsAEWmIL/HTfdJp/mq5gsc36QS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bUqvwQAAAN0AAAAPAAAAAAAAAAAAAAAA&#10;AKECAABkcnMvZG93bnJldi54bWxQSwUGAAAAAAQABAD5AAAAjwMAAAAA&#10;" strokecolor="black [3213]" strokeweight="1.5pt"/>
                <w10:wrap type="square" side="left"/>
              </v:group>
            </w:pict>
          </mc:Fallback>
        </mc:AlternateContent>
      </w:r>
      <w:r w:rsidR="00A74AC3" w:rsidRPr="00D94409">
        <w:t>Lifestyle factors, including dietary risks, high body mass index, physical inactivity and tobacco smoking, account for three in every five years (60 percent) of life lost to cardiovascular and circulatory disease (Institute for Health Metrics and Evaluation 2013).</w:t>
      </w:r>
      <w:r>
        <w:rPr>
          <w:rStyle w:val="FootnoteReference"/>
        </w:rPr>
        <w:footnoteReference w:id="23"/>
      </w:r>
    </w:p>
    <w:p w:rsidR="00A74AC3" w:rsidRPr="00D94409" w:rsidRDefault="00A74AC3" w:rsidP="00884FEB">
      <w:pPr>
        <w:rPr>
          <w:rFonts w:eastAsia="Century"/>
        </w:rPr>
      </w:pPr>
    </w:p>
    <w:p w:rsidR="00A74AC3" w:rsidRPr="00D94409" w:rsidRDefault="00A74AC3" w:rsidP="00884FEB">
      <w:r w:rsidRPr="00D94409">
        <w:t>Dietary risks are the leading cause of health loss.</w:t>
      </w:r>
    </w:p>
    <w:p w:rsidR="00A74AC3" w:rsidRPr="00D94409" w:rsidRDefault="00A74AC3" w:rsidP="00884FEB">
      <w:r w:rsidRPr="00D94409">
        <w:t xml:space="preserve">They account for 28 percent of health loss related to cardiovascular and circulatory disease in particular. Dietary risks include low intake of fruits, vegetables, whole grains, seafood, omega-3 fats, nuts and seeds; and high intake of sodium, saturated fat, </w:t>
      </w:r>
      <w:proofErr w:type="gramStart"/>
      <w:r w:rsidRPr="00D94409">
        <w:t>trans</w:t>
      </w:r>
      <w:proofErr w:type="gramEnd"/>
      <w:r w:rsidRPr="00D94409">
        <w:t xml:space="preserve"> fat, sugar-sweetened drinks, red meat and processed meat.</w:t>
      </w:r>
    </w:p>
    <w:p w:rsidR="00A74AC3" w:rsidRPr="00D94409" w:rsidRDefault="00A74AC3" w:rsidP="00884FEB">
      <w:pPr>
        <w:rPr>
          <w:rFonts w:eastAsia="Century"/>
        </w:rPr>
      </w:pPr>
    </w:p>
    <w:p w:rsidR="00A74AC3" w:rsidRPr="00D94409" w:rsidRDefault="00A74AC3" w:rsidP="00884FEB">
      <w:r w:rsidRPr="00D94409">
        <w:t>High body mass index accounts for 14 percent of health loss from cardiovascular and circulatory disease. Physical inactivity and tobacco account for a further 10 percent and 9 percent of this loss respectively (Figure 11).</w:t>
      </w:r>
    </w:p>
    <w:p w:rsidR="00A74AC3" w:rsidRPr="00D94409" w:rsidRDefault="00A74AC3" w:rsidP="00884FEB">
      <w:pPr>
        <w:rPr>
          <w:rFonts w:eastAsia="Century"/>
        </w:rPr>
      </w:pPr>
    </w:p>
    <w:p w:rsidR="00A74AC3" w:rsidRPr="00D94409" w:rsidRDefault="00A74AC3" w:rsidP="00884FEB">
      <w:pPr>
        <w:keepLines/>
      </w:pPr>
      <w:r w:rsidRPr="00D94409">
        <w:lastRenderedPageBreak/>
        <w:t>Community-based initiatives such as smoking cessation services and the Green Prescription scheme are available to help people adopt a healthy lifestyle. The Green Prescription initiative refers people at risk of preventable chronic diseases to advice on nutrition and physical activity. In 2014/15, almost 48,000 individual Green Prescriptions were issued and over 1000 families were referred to the Green Prescription</w:t>
      </w:r>
      <w:r w:rsidR="00D94409" w:rsidRPr="00D94409">
        <w:t>’</w:t>
      </w:r>
      <w:r w:rsidRPr="00D94409">
        <w:t>s Active Families programme.</w:t>
      </w:r>
    </w:p>
    <w:p w:rsidR="00A74AC3" w:rsidRPr="00D94409" w:rsidRDefault="00A74AC3" w:rsidP="00884FEB">
      <w:pPr>
        <w:rPr>
          <w:rFonts w:eastAsia="Century"/>
        </w:rPr>
      </w:pPr>
    </w:p>
    <w:p w:rsidR="00A74AC3" w:rsidRPr="00D94409" w:rsidRDefault="00A74AC3" w:rsidP="00884FEB">
      <w:r w:rsidRPr="00D94409">
        <w:t>It is now the norm for health professionals to routinely offer smokers brief advice and quit support, backed by the Better help for smokers to quit health target. Almost all smokers who are seen by a health practitioner in hospital (96 percent) are offered brief advice and quit support, as at June 2015 (Ministry of Health 2015g). Likewise in primary care, the vast majority of smokers (90 percent) have been offered brief advice and quit support in the last year, and the proportion has increased markedly from 57 percent in June 2013.</w:t>
      </w:r>
    </w:p>
    <w:p w:rsidR="00A74AC3" w:rsidRPr="00D94409" w:rsidRDefault="00A74AC3" w:rsidP="00884FEB">
      <w:pPr>
        <w:rPr>
          <w:rFonts w:eastAsia="Century"/>
        </w:rPr>
      </w:pPr>
    </w:p>
    <w:p w:rsidR="00A74AC3" w:rsidRDefault="00A74AC3" w:rsidP="00884FEB">
      <w:pPr>
        <w:pStyle w:val="Figure"/>
      </w:pPr>
      <w:bookmarkStart w:id="39" w:name="_Toc433234120"/>
      <w:r w:rsidRPr="00D94409">
        <w:t>Figure 11: Health loss from cardiovascular and circulatory disease that is due to lifestyle and metabolic risk factors</w:t>
      </w:r>
      <w:bookmarkEnd w:id="39"/>
    </w:p>
    <w:p w:rsidR="00884FEB" w:rsidRPr="00884FEB" w:rsidRDefault="00884FEB" w:rsidP="00884FEB">
      <w:pPr>
        <w:rPr>
          <w:rFonts w:eastAsia="Palatino Linotype"/>
        </w:rPr>
      </w:pPr>
      <w:r>
        <w:rPr>
          <w:noProof/>
          <w:lang w:eastAsia="en-NZ"/>
        </w:rPr>
        <w:drawing>
          <wp:inline distT="0" distB="0" distL="0" distR="0" wp14:anchorId="5605EC02" wp14:editId="62A5ECDE">
            <wp:extent cx="4591050" cy="3267075"/>
            <wp:effectExtent l="0" t="0" r="0" b="9525"/>
            <wp:docPr id="1970" name="Picture 1970" title="Figure 11: Health loss from cardiovascular and circulatory disease that is due to lifestyle and metabolic risk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grayscl/>
                    </a:blip>
                    <a:stretch>
                      <a:fillRect/>
                    </a:stretch>
                  </pic:blipFill>
                  <pic:spPr>
                    <a:xfrm>
                      <a:off x="0" y="0"/>
                      <a:ext cx="4591050" cy="3267075"/>
                    </a:xfrm>
                    <a:prstGeom prst="rect">
                      <a:avLst/>
                    </a:prstGeom>
                  </pic:spPr>
                </pic:pic>
              </a:graphicData>
            </a:graphic>
          </wp:inline>
        </w:drawing>
      </w:r>
    </w:p>
    <w:p w:rsidR="00A74AC3" w:rsidRPr="00D94409" w:rsidRDefault="00A74AC3" w:rsidP="00A641DA">
      <w:pPr>
        <w:pStyle w:val="Note"/>
        <w:ind w:left="0" w:right="2126" w:firstLine="0"/>
        <w:rPr>
          <w:rFonts w:eastAsia="Century" w:hAnsi="Century" w:cs="Century"/>
          <w:szCs w:val="18"/>
        </w:rPr>
      </w:pPr>
      <w:r w:rsidRPr="00D94409">
        <w:t>Note: Low to moderate alcohol use has a protective effect on cardiovascular disease; however, the net impact of alcohol use on the population is an estimated 4% of health loss from all causes.</w:t>
      </w:r>
    </w:p>
    <w:p w:rsidR="00A74AC3" w:rsidRPr="00D94409" w:rsidRDefault="00A74AC3" w:rsidP="00A641DA">
      <w:pPr>
        <w:pStyle w:val="Source"/>
        <w:ind w:left="0" w:right="2126" w:firstLine="0"/>
        <w:rPr>
          <w:rFonts w:eastAsia="Century" w:hAnsi="Century" w:cs="Century"/>
          <w:szCs w:val="18"/>
        </w:rPr>
      </w:pPr>
      <w:r w:rsidRPr="00D94409">
        <w:t>Source: Global Burden of Disease Study 2010 (IHME 2013)</w:t>
      </w:r>
    </w:p>
    <w:p w:rsidR="00A74AC3" w:rsidRPr="00D94409" w:rsidRDefault="00A74AC3" w:rsidP="00A641DA">
      <w:pPr>
        <w:rPr>
          <w:rFonts w:eastAsia="Century"/>
        </w:rPr>
      </w:pPr>
    </w:p>
    <w:p w:rsidR="00A74AC3" w:rsidRPr="00D94409" w:rsidRDefault="00A74AC3" w:rsidP="00A641DA">
      <w:r w:rsidRPr="00D94409">
        <w:t>In 2014/15, over 14,600 smokers were referred to community-based, face-to-face smoking cessation services. Of those referred, two-thirds went on to enrol in a smoking cessation programme.</w:t>
      </w:r>
      <w:r w:rsidR="00A641DA">
        <w:rPr>
          <w:rStyle w:val="FootnoteReference"/>
        </w:rPr>
        <w:footnoteReference w:id="24"/>
      </w:r>
      <w:r w:rsidR="00A641DA">
        <w:t xml:space="preserve"> </w:t>
      </w:r>
      <w:r w:rsidRPr="00D94409">
        <w:t xml:space="preserve">Based on available information, a third of individuals who completed a smoking cessation programme were still </w:t>
      </w:r>
      <w:proofErr w:type="spellStart"/>
      <w:r w:rsidRPr="00D94409">
        <w:t>smokefree</w:t>
      </w:r>
      <w:proofErr w:type="spellEnd"/>
      <w:r w:rsidRPr="00D94409">
        <w:t xml:space="preserve"> after three months (Ministry of Health 2015a).</w:t>
      </w:r>
    </w:p>
    <w:p w:rsidR="00A74AC3" w:rsidRPr="00D94409" w:rsidRDefault="00A74AC3" w:rsidP="00A641DA">
      <w:pPr>
        <w:rPr>
          <w:rFonts w:eastAsia="Century"/>
        </w:rPr>
      </w:pPr>
    </w:p>
    <w:p w:rsidR="00A74AC3" w:rsidRPr="00D94409" w:rsidRDefault="00A74AC3" w:rsidP="00A641DA">
      <w:pPr>
        <w:pStyle w:val="Heading4"/>
        <w:rPr>
          <w:bCs/>
        </w:rPr>
      </w:pPr>
      <w:r w:rsidRPr="00D94409">
        <w:t>Up to a third of adults have high blood pressure</w:t>
      </w:r>
    </w:p>
    <w:p w:rsidR="00A74AC3" w:rsidRPr="00D94409" w:rsidRDefault="00A74AC3" w:rsidP="00A641DA">
      <w:pPr>
        <w:keepNext/>
      </w:pPr>
      <w:r w:rsidRPr="00D94409">
        <w:t>High blood pressure accounts for over a fifth of health loss from cardiovascular and circulatory</w:t>
      </w:r>
      <w:r w:rsidR="00D94409" w:rsidRPr="00D94409">
        <w:t xml:space="preserve"> </w:t>
      </w:r>
      <w:r w:rsidRPr="00D94409">
        <w:t xml:space="preserve">diseases (21 percent) (Institute for Health Metrics and Evaluation 2013). Part of the New </w:t>
      </w:r>
      <w:r w:rsidRPr="00D94409">
        <w:lastRenderedPageBreak/>
        <w:t>Zealand Health Survey involves measuring blood pressure</w:t>
      </w:r>
      <w:r w:rsidR="00812DF8">
        <w:rPr>
          <w:rStyle w:val="FootnoteReference"/>
        </w:rPr>
        <w:footnoteReference w:id="25"/>
      </w:r>
      <w:r w:rsidR="00A4043D">
        <w:t xml:space="preserve"> </w:t>
      </w:r>
      <w:r w:rsidRPr="00D94409">
        <w:t>and collecting information on medicated high blood pressure.</w:t>
      </w:r>
    </w:p>
    <w:p w:rsidR="00A74AC3" w:rsidRPr="00D94409" w:rsidRDefault="00A74AC3" w:rsidP="00A641DA">
      <w:pPr>
        <w:rPr>
          <w:rFonts w:eastAsia="Century"/>
        </w:rPr>
      </w:pPr>
    </w:p>
    <w:p w:rsidR="00A74AC3" w:rsidRPr="00D94409" w:rsidRDefault="00A74AC3" w:rsidP="00A641DA">
      <w:r w:rsidRPr="00D94409">
        <w:t>One in six adults (16 percent) has been diagnosed with and is currently taking treatment for high blood pressure (Ministry of Health 2014c). However, measurements taken on the day of the survey indicate that up to one in three adults (31 percent) may have high blood pressure</w:t>
      </w:r>
      <w:r w:rsidR="00A641DA">
        <w:rPr>
          <w:rStyle w:val="FootnoteReference"/>
        </w:rPr>
        <w:footnoteReference w:id="26"/>
      </w:r>
      <w:r w:rsidR="00812DF8">
        <w:t xml:space="preserve"> </w:t>
      </w:r>
      <w:r w:rsidRPr="00D94409">
        <w:t>(Ministry of Health 2014b).</w:t>
      </w:r>
    </w:p>
    <w:p w:rsidR="00A74AC3" w:rsidRPr="00D94409" w:rsidRDefault="00A74AC3" w:rsidP="00A4043D">
      <w:pPr>
        <w:rPr>
          <w:rFonts w:eastAsia="Century"/>
        </w:rPr>
      </w:pPr>
    </w:p>
    <w:p w:rsidR="00A74AC3" w:rsidRPr="00D94409" w:rsidRDefault="00A74AC3" w:rsidP="00A4043D">
      <w:r w:rsidRPr="00D94409">
        <w:t>Both Māori and Pacific adults are 1.4 times more likely than non-Māori and non-Pacific adults to have medicated high blood pressure, after adjusting for age and sex differences (Ministry of Health 2014c).</w:t>
      </w:r>
    </w:p>
    <w:p w:rsidR="00A74AC3" w:rsidRPr="00D94409" w:rsidRDefault="00A74AC3" w:rsidP="00A4043D">
      <w:pPr>
        <w:rPr>
          <w:rFonts w:eastAsia="Century"/>
        </w:rPr>
      </w:pPr>
    </w:p>
    <w:p w:rsidR="00A74AC3" w:rsidRPr="00D94409" w:rsidRDefault="00A74AC3" w:rsidP="00A4043D">
      <w:pPr>
        <w:pStyle w:val="Heading3"/>
        <w:rPr>
          <w:bCs/>
        </w:rPr>
      </w:pPr>
      <w:r w:rsidRPr="00D94409">
        <w:t>One in nine adults is currently taking medication for high cholesterol</w:t>
      </w:r>
    </w:p>
    <w:p w:rsidR="00A74AC3" w:rsidRPr="00D94409" w:rsidRDefault="00A4043D" w:rsidP="00A4043D">
      <w:r>
        <w:rPr>
          <w:noProof/>
          <w:lang w:eastAsia="en-NZ"/>
        </w:rPr>
        <mc:AlternateContent>
          <mc:Choice Requires="wps">
            <w:drawing>
              <wp:anchor distT="0" distB="0" distL="114935" distR="0" simplePos="0" relativeHeight="251826176" behindDoc="0" locked="0" layoutInCell="1" allowOverlap="1" wp14:anchorId="384ED985" wp14:editId="43FB9F1B">
                <wp:simplePos x="0" y="0"/>
                <wp:positionH relativeFrom="column">
                  <wp:posOffset>3810000</wp:posOffset>
                </wp:positionH>
                <wp:positionV relativeFrom="paragraph">
                  <wp:posOffset>17145</wp:posOffset>
                </wp:positionV>
                <wp:extent cx="2325370" cy="2526665"/>
                <wp:effectExtent l="0" t="0" r="0" b="6985"/>
                <wp:wrapSquare wrapText="left"/>
                <wp:docPr id="1971" name="Rectangle 1971"/>
                <wp:cNvGraphicFramePr/>
                <a:graphic xmlns:a="http://schemas.openxmlformats.org/drawingml/2006/main">
                  <a:graphicData uri="http://schemas.microsoft.com/office/word/2010/wordprocessingShape">
                    <wps:wsp>
                      <wps:cNvSpPr/>
                      <wps:spPr>
                        <a:xfrm>
                          <a:off x="0" y="0"/>
                          <a:ext cx="2325370" cy="2526665"/>
                        </a:xfrm>
                        <a:prstGeom prst="rect">
                          <a:avLst/>
                        </a:prstGeom>
                        <a:solidFill>
                          <a:schemeClr val="bg1">
                            <a:lumMod val="8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0380" w:rsidRPr="00C47FE3" w:rsidRDefault="00880380" w:rsidP="00A4043D">
                            <w:pPr>
                              <w:spacing w:before="120" w:after="120"/>
                              <w:jc w:val="center"/>
                              <w:rPr>
                                <w:color w:val="000000"/>
                                <w:sz w:val="32"/>
                                <w:szCs w:val="32"/>
                              </w:rPr>
                            </w:pPr>
                            <w:r w:rsidRPr="00C47FE3">
                              <w:rPr>
                                <w:color w:val="000000"/>
                                <w:sz w:val="32"/>
                                <w:szCs w:val="32"/>
                              </w:rPr>
                              <w:t>Out of every 100 adults in New </w:t>
                            </w:r>
                            <w:proofErr w:type="gramStart"/>
                            <w:r w:rsidRPr="00C47FE3">
                              <w:rPr>
                                <w:color w:val="000000"/>
                                <w:sz w:val="32"/>
                                <w:szCs w:val="32"/>
                              </w:rPr>
                              <w:t>Zealand ...</w:t>
                            </w:r>
                            <w:proofErr w:type="gramEnd"/>
                          </w:p>
                          <w:p w:rsidR="00880380" w:rsidRDefault="00880380" w:rsidP="00A4043D">
                            <w:pPr>
                              <w:spacing w:before="120" w:after="120"/>
                              <w:jc w:val="center"/>
                              <w:rPr>
                                <w:color w:val="000000"/>
                                <w:szCs w:val="22"/>
                              </w:rPr>
                            </w:pPr>
                            <w:r w:rsidRPr="00C47FE3">
                              <w:rPr>
                                <w:color w:val="000000"/>
                                <w:sz w:val="32"/>
                                <w:szCs w:val="32"/>
                              </w:rPr>
                              <w:t>1</w:t>
                            </w:r>
                            <w:r>
                              <w:rPr>
                                <w:color w:val="000000"/>
                                <w:sz w:val="32"/>
                                <w:szCs w:val="32"/>
                              </w:rPr>
                              <w:t>6</w:t>
                            </w:r>
                            <w:r>
                              <w:rPr>
                                <w:color w:val="000000"/>
                                <w:szCs w:val="22"/>
                              </w:rPr>
                              <w:t xml:space="preserve"> are taking medication for high blood pressure</w:t>
                            </w:r>
                          </w:p>
                          <w:p w:rsidR="00880380" w:rsidRDefault="00880380" w:rsidP="00A4043D">
                            <w:pPr>
                              <w:spacing w:before="120" w:after="120"/>
                              <w:jc w:val="center"/>
                              <w:rPr>
                                <w:color w:val="000000"/>
                                <w:szCs w:val="22"/>
                              </w:rPr>
                            </w:pPr>
                            <w:r w:rsidRPr="00C47FE3">
                              <w:rPr>
                                <w:color w:val="000000"/>
                                <w:sz w:val="32"/>
                                <w:szCs w:val="32"/>
                              </w:rPr>
                              <w:t>1</w:t>
                            </w:r>
                            <w:r>
                              <w:rPr>
                                <w:color w:val="000000"/>
                                <w:sz w:val="32"/>
                                <w:szCs w:val="32"/>
                              </w:rPr>
                              <w:t>1</w:t>
                            </w:r>
                            <w:r>
                              <w:rPr>
                                <w:color w:val="000000"/>
                                <w:szCs w:val="22"/>
                              </w:rPr>
                              <w:t xml:space="preserve"> are taking medication for high cholesterol</w:t>
                            </w:r>
                          </w:p>
                          <w:p w:rsidR="00880380" w:rsidRDefault="00880380" w:rsidP="00A4043D">
                            <w:pPr>
                              <w:spacing w:before="120" w:after="120"/>
                              <w:jc w:val="center"/>
                              <w:rPr>
                                <w:color w:val="000000"/>
                                <w:szCs w:val="22"/>
                              </w:rPr>
                            </w:pPr>
                            <w:r>
                              <w:rPr>
                                <w:color w:val="000000"/>
                                <w:sz w:val="32"/>
                                <w:szCs w:val="32"/>
                              </w:rPr>
                              <w:t>6</w:t>
                            </w:r>
                            <w:r>
                              <w:rPr>
                                <w:color w:val="000000"/>
                                <w:szCs w:val="22"/>
                              </w:rPr>
                              <w:t xml:space="preserve"> have diagnosed diabetes</w:t>
                            </w:r>
                          </w:p>
                          <w:p w:rsidR="00880380" w:rsidRDefault="00880380" w:rsidP="00A4043D">
                            <w:pPr>
                              <w:spacing w:before="120" w:after="120"/>
                              <w:jc w:val="center"/>
                              <w:rPr>
                                <w:color w:val="000000"/>
                                <w:szCs w:val="22"/>
                              </w:rPr>
                            </w:pPr>
                            <w:r>
                              <w:rPr>
                                <w:color w:val="000000"/>
                                <w:sz w:val="32"/>
                                <w:szCs w:val="32"/>
                              </w:rPr>
                              <w:t>2</w:t>
                            </w:r>
                            <w:r>
                              <w:rPr>
                                <w:color w:val="000000"/>
                                <w:szCs w:val="22"/>
                              </w:rPr>
                              <w:t xml:space="preserve"> have undiagnosed diabetes</w:t>
                            </w:r>
                          </w:p>
                        </w:txbxContent>
                      </wps:txbx>
                      <wps:bodyPr rot="0" spcFirstLastPara="0" vertOverflow="overflow" horzOverflow="overflow" vert="horz" wrap="square" lIns="91440" tIns="90000" rIns="91440" bIns="9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71" o:spid="_x0000_s1077" style="position:absolute;margin-left:300pt;margin-top:1.35pt;width:183.1pt;height:198.95pt;z-index:251826176;visibility:visible;mso-wrap-style:square;mso-width-percent:0;mso-height-percent:0;mso-wrap-distance-left:9.05pt;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" fillcolor="#d8d8d8 [2732]" stroked="f" strokeweight=".5pt">
                <v:textbox inset=",2.5mm,,2.5mm">
                  <w:txbxContent>
                    <w:p w:rsidR="00880380" w:rsidRPr="00C47FE3" w:rsidRDefault="00880380" w:rsidP="00A4043D">
                      <w:pPr>
                        <w:spacing w:before="120" w:after="120"/>
                        <w:jc w:val="center"/>
                        <w:rPr>
                          <w:color w:val="000000"/>
                          <w:sz w:val="32"/>
                          <w:szCs w:val="32"/>
                        </w:rPr>
                      </w:pPr>
                      <w:r w:rsidRPr="00C47FE3">
                        <w:rPr>
                          <w:color w:val="000000"/>
                          <w:sz w:val="32"/>
                          <w:szCs w:val="32"/>
                        </w:rPr>
                        <w:t>Out of every 100 adults in New Zealand ...</w:t>
                      </w:r>
                    </w:p>
                    <w:p w:rsidR="00880380" w:rsidRDefault="00880380" w:rsidP="00A4043D">
                      <w:pPr>
                        <w:spacing w:before="120" w:after="120"/>
                        <w:jc w:val="center"/>
                        <w:rPr>
                          <w:color w:val="000000"/>
                          <w:szCs w:val="22"/>
                        </w:rPr>
                      </w:pPr>
                      <w:r w:rsidRPr="00C47FE3">
                        <w:rPr>
                          <w:color w:val="000000"/>
                          <w:sz w:val="32"/>
                          <w:szCs w:val="32"/>
                        </w:rPr>
                        <w:t>1</w:t>
                      </w:r>
                      <w:r>
                        <w:rPr>
                          <w:color w:val="000000"/>
                          <w:sz w:val="32"/>
                          <w:szCs w:val="32"/>
                        </w:rPr>
                        <w:t>6</w:t>
                      </w:r>
                      <w:r>
                        <w:rPr>
                          <w:color w:val="000000"/>
                          <w:szCs w:val="22"/>
                        </w:rPr>
                        <w:t xml:space="preserve"> are taking medication for high blood pressure</w:t>
                      </w:r>
                    </w:p>
                    <w:p w:rsidR="00880380" w:rsidRDefault="00880380" w:rsidP="00A4043D">
                      <w:pPr>
                        <w:spacing w:before="120" w:after="120"/>
                        <w:jc w:val="center"/>
                        <w:rPr>
                          <w:color w:val="000000"/>
                          <w:szCs w:val="22"/>
                        </w:rPr>
                      </w:pPr>
                      <w:r w:rsidRPr="00C47FE3">
                        <w:rPr>
                          <w:color w:val="000000"/>
                          <w:sz w:val="32"/>
                          <w:szCs w:val="32"/>
                        </w:rPr>
                        <w:t>1</w:t>
                      </w:r>
                      <w:r>
                        <w:rPr>
                          <w:color w:val="000000"/>
                          <w:sz w:val="32"/>
                          <w:szCs w:val="32"/>
                        </w:rPr>
                        <w:t>1</w:t>
                      </w:r>
                      <w:r>
                        <w:rPr>
                          <w:color w:val="000000"/>
                          <w:szCs w:val="22"/>
                        </w:rPr>
                        <w:t xml:space="preserve"> are taking medication for high cholesterol</w:t>
                      </w:r>
                    </w:p>
                    <w:p w:rsidR="00880380" w:rsidRDefault="00880380" w:rsidP="00A4043D">
                      <w:pPr>
                        <w:spacing w:before="120" w:after="120"/>
                        <w:jc w:val="center"/>
                        <w:rPr>
                          <w:color w:val="000000"/>
                          <w:szCs w:val="22"/>
                        </w:rPr>
                      </w:pPr>
                      <w:r>
                        <w:rPr>
                          <w:color w:val="000000"/>
                          <w:sz w:val="32"/>
                          <w:szCs w:val="32"/>
                        </w:rPr>
                        <w:t>6</w:t>
                      </w:r>
                      <w:r>
                        <w:rPr>
                          <w:color w:val="000000"/>
                          <w:szCs w:val="22"/>
                        </w:rPr>
                        <w:t xml:space="preserve"> have diagnosed diabetes</w:t>
                      </w:r>
                    </w:p>
                    <w:p w:rsidR="00880380" w:rsidRDefault="00880380" w:rsidP="00A4043D">
                      <w:pPr>
                        <w:spacing w:before="120" w:after="120"/>
                        <w:jc w:val="center"/>
                        <w:rPr>
                          <w:color w:val="000000"/>
                          <w:szCs w:val="22"/>
                        </w:rPr>
                      </w:pPr>
                      <w:r>
                        <w:rPr>
                          <w:color w:val="000000"/>
                          <w:sz w:val="32"/>
                          <w:szCs w:val="32"/>
                        </w:rPr>
                        <w:t>2</w:t>
                      </w:r>
                      <w:r>
                        <w:rPr>
                          <w:color w:val="000000"/>
                          <w:szCs w:val="22"/>
                        </w:rPr>
                        <w:t xml:space="preserve"> have undiagnosed diabetes</w:t>
                      </w:r>
                    </w:p>
                  </w:txbxContent>
                </v:textbox>
                <w10:wrap type="square" side="left"/>
              </v:rect>
            </w:pict>
          </mc:Fallback>
        </mc:AlternateContent>
      </w:r>
      <w:r w:rsidR="00A74AC3" w:rsidRPr="00D94409">
        <w:t>High blood cholesterol increases a person</w:t>
      </w:r>
      <w:r w:rsidR="00D94409" w:rsidRPr="00D94409">
        <w:t>’</w:t>
      </w:r>
      <w:r w:rsidR="00A74AC3" w:rsidRPr="00D94409">
        <w:t xml:space="preserve">s risk of developing cardiovascular disease, particularly ischaemic heart disease. </w:t>
      </w:r>
      <w:proofErr w:type="gramStart"/>
      <w:r w:rsidR="00A74AC3" w:rsidRPr="00D94409">
        <w:t>Higher than optimal blood cholesterol levels account for 10</w:t>
      </w:r>
      <w:r>
        <w:t> </w:t>
      </w:r>
      <w:r w:rsidR="00A74AC3" w:rsidRPr="00D94409">
        <w:t>percent of health loss from cardiovascular and circulatory diseases (Institute for Health Metrics and Evaluation 2013).</w:t>
      </w:r>
      <w:proofErr w:type="gramEnd"/>
    </w:p>
    <w:p w:rsidR="00A74AC3" w:rsidRPr="00D94409" w:rsidRDefault="00A74AC3" w:rsidP="00A4043D">
      <w:pPr>
        <w:rPr>
          <w:rFonts w:eastAsia="Century"/>
        </w:rPr>
      </w:pPr>
    </w:p>
    <w:p w:rsidR="00A74AC3" w:rsidRPr="00D94409" w:rsidRDefault="00A74AC3" w:rsidP="00A4043D">
      <w:r w:rsidRPr="00D94409">
        <w:t>One in nine adults (11 percent) has been diagnosed with high cholesterol and is currently taking medication for this condition, up from 8 percent in 2006/07 (Ministry of Health 2014c).</w:t>
      </w:r>
    </w:p>
    <w:p w:rsidR="00A74AC3" w:rsidRPr="00D94409" w:rsidRDefault="00A74AC3" w:rsidP="00A4043D">
      <w:pPr>
        <w:rPr>
          <w:rFonts w:eastAsia="Century"/>
        </w:rPr>
      </w:pPr>
    </w:p>
    <w:p w:rsidR="00A74AC3" w:rsidRPr="00D94409" w:rsidRDefault="00A74AC3" w:rsidP="00A4043D">
      <w:r w:rsidRPr="00D94409">
        <w:t xml:space="preserve">Older adults are more likely to have medicated high </w:t>
      </w:r>
      <w:proofErr w:type="gramStart"/>
      <w:r w:rsidRPr="00D94409">
        <w:t>cholesterol,</w:t>
      </w:r>
      <w:proofErr w:type="gramEnd"/>
      <w:r w:rsidRPr="00D94409">
        <w:t xml:space="preserve"> peaking at one in three adults aged 65–74 years. Similar rates of high cholesterol are seen across all ethnic groups after adjusting for age and sex.</w:t>
      </w:r>
    </w:p>
    <w:p w:rsidR="00A4043D" w:rsidRPr="00D94409" w:rsidRDefault="00A4043D" w:rsidP="00A4043D">
      <w:pPr>
        <w:rPr>
          <w:rFonts w:eastAsia="Century"/>
        </w:rPr>
      </w:pPr>
    </w:p>
    <w:p w:rsidR="00A74AC3" w:rsidRPr="00D94409" w:rsidRDefault="00A74AC3" w:rsidP="00A4043D">
      <w:pPr>
        <w:pStyle w:val="Heading3"/>
        <w:rPr>
          <w:bCs/>
        </w:rPr>
      </w:pPr>
      <w:r w:rsidRPr="00D94409">
        <w:t>A quarter of people with diabetes are undiagnosed</w:t>
      </w:r>
    </w:p>
    <w:p w:rsidR="00A74AC3" w:rsidRPr="00D94409" w:rsidRDefault="00A74AC3" w:rsidP="00A4043D">
      <w:r w:rsidRPr="00D94409">
        <w:t>Diabetes directly accounts for 2 percent of total health loss. However, it also contributes to other conditions that lead to health loss (Institute for Health Metrics and Evaluation 2013).</w:t>
      </w:r>
    </w:p>
    <w:p w:rsidR="00A74AC3" w:rsidRPr="00D94409" w:rsidRDefault="00A74AC3" w:rsidP="00A4043D">
      <w:pPr>
        <w:rPr>
          <w:rFonts w:eastAsia="Century"/>
        </w:rPr>
      </w:pPr>
    </w:p>
    <w:p w:rsidR="00A74AC3" w:rsidRPr="00D94409" w:rsidRDefault="00A74AC3" w:rsidP="00A4043D">
      <w:r w:rsidRPr="00D94409">
        <w:t>Good glycaemic control is vital to help reduce the risk of diabetes-related complications including blindness and nerve damage, cardiovascular disease and kidney disease. It is important that individuals are diagnosed early and that those with pre-diabetes are supported to minimise their risk of developing diabetes.</w:t>
      </w:r>
    </w:p>
    <w:p w:rsidR="00A74AC3" w:rsidRPr="00D94409" w:rsidRDefault="00A74AC3" w:rsidP="00A4043D">
      <w:pPr>
        <w:rPr>
          <w:rFonts w:eastAsia="Century"/>
        </w:rPr>
      </w:pPr>
    </w:p>
    <w:p w:rsidR="00A74AC3" w:rsidRPr="00D94409" w:rsidRDefault="00A74AC3" w:rsidP="00A4043D">
      <w:r w:rsidRPr="00D94409">
        <w:t>Over a quarter of a million New Zealanders have diagnosed diabetes, which is 6 percent of the population (Ministry of Health 2015b). This diabetes rate increases with age: almost a fifth (18</w:t>
      </w:r>
      <w:r w:rsidR="00A4043D">
        <w:t> </w:t>
      </w:r>
      <w:r w:rsidRPr="00D94409">
        <w:t xml:space="preserve">percent) of adults aged 65 and over </w:t>
      </w:r>
      <w:proofErr w:type="gramStart"/>
      <w:r w:rsidRPr="00D94409">
        <w:t>have</w:t>
      </w:r>
      <w:proofErr w:type="gramEnd"/>
      <w:r w:rsidRPr="00D94409">
        <w:t xml:space="preserve"> diabetes.</w:t>
      </w:r>
    </w:p>
    <w:p w:rsidR="00A74AC3" w:rsidRPr="00D94409" w:rsidRDefault="00A74AC3" w:rsidP="00A4043D">
      <w:pPr>
        <w:rPr>
          <w:rFonts w:eastAsia="Century"/>
        </w:rPr>
      </w:pPr>
    </w:p>
    <w:p w:rsidR="00A74AC3" w:rsidRPr="00D94409" w:rsidRDefault="00A74AC3" w:rsidP="00A4043D">
      <w:r w:rsidRPr="00D94409">
        <w:lastRenderedPageBreak/>
        <w:t>The diabetes rate is highest in Pacific peoples (12 percent), followed by Indians (11 percent), Māori (8 percent) and Europeans/other (3 percent).</w:t>
      </w:r>
      <w:r w:rsidR="00A4043D">
        <w:rPr>
          <w:rStyle w:val="FootnoteReference"/>
        </w:rPr>
        <w:footnoteReference w:id="27"/>
      </w:r>
      <w:r w:rsidR="00A4043D">
        <w:t xml:space="preserve"> </w:t>
      </w:r>
      <w:r w:rsidRPr="00D94409">
        <w:t>However, as the European/other population is both</w:t>
      </w:r>
      <w:r w:rsidR="00A4043D">
        <w:t xml:space="preserve"> </w:t>
      </w:r>
      <w:r w:rsidRPr="00D94409">
        <w:t>numerous and older, over two-thirds of diabetics in New Zealand (68</w:t>
      </w:r>
      <w:r w:rsidR="00A4043D">
        <w:t> </w:t>
      </w:r>
      <w:r w:rsidRPr="00D94409">
        <w:t>percent) are of European/other ethnicity.</w:t>
      </w:r>
    </w:p>
    <w:p w:rsidR="00A74AC3" w:rsidRPr="00D94409" w:rsidRDefault="00A74AC3" w:rsidP="00A4043D">
      <w:pPr>
        <w:rPr>
          <w:rFonts w:eastAsia="Century"/>
        </w:rPr>
      </w:pPr>
    </w:p>
    <w:p w:rsidR="00A74AC3" w:rsidRPr="00D94409" w:rsidRDefault="00A74AC3" w:rsidP="00A4043D">
      <w:r w:rsidRPr="00D94409">
        <w:t xml:space="preserve">The 2008/09 New Zealand Adult Nutrition Survey found that about 2 percent of adults </w:t>
      </w:r>
      <w:proofErr w:type="gramStart"/>
      <w:r w:rsidRPr="00D94409">
        <w:t>have</w:t>
      </w:r>
      <w:proofErr w:type="gramEnd"/>
      <w:r w:rsidRPr="00D94409">
        <w:t xml:space="preserve"> undiagnosed diabetes (Coppell et al 2013). This means that about one-quarter of all people with diabetes are undiagnosed.</w:t>
      </w:r>
    </w:p>
    <w:p w:rsidR="00A74AC3" w:rsidRPr="00D94409" w:rsidRDefault="00A74AC3" w:rsidP="00A4043D">
      <w:pPr>
        <w:rPr>
          <w:rFonts w:eastAsia="Century"/>
        </w:rPr>
      </w:pPr>
    </w:p>
    <w:p w:rsidR="00A74AC3" w:rsidRPr="00D94409" w:rsidRDefault="00A74AC3" w:rsidP="00A4043D">
      <w:r w:rsidRPr="00D94409">
        <w:t>Furthermore, an additional one in four adults (26 percent) may have pre-diabetes, meaning their blood sugar levels are above normal but below that defined for diabetes</w:t>
      </w:r>
      <w:r w:rsidR="00A4043D">
        <w:rPr>
          <w:rStyle w:val="FootnoteReference"/>
        </w:rPr>
        <w:footnoteReference w:id="28"/>
      </w:r>
      <w:r w:rsidR="00A4043D">
        <w:t xml:space="preserve"> </w:t>
      </w:r>
      <w:r w:rsidRPr="00D94409">
        <w:t>(Coppell et al 2013). Obese adults are more likely to have pre-diabetes than adults of a healthy weight (32</w:t>
      </w:r>
      <w:r w:rsidR="00A4043D">
        <w:t> </w:t>
      </w:r>
      <w:r w:rsidRPr="00D94409">
        <w:t>percent and 20 percent respectively). The progression from pre-diabetes to type 2 diabetes can be slowed with lifestyle interventions involving weight loss, improved diet and increased physical activity (</w:t>
      </w:r>
      <w:proofErr w:type="spellStart"/>
      <w:r w:rsidRPr="00D94409">
        <w:t>Yudkin</w:t>
      </w:r>
      <w:proofErr w:type="spellEnd"/>
      <w:r w:rsidRPr="00D94409">
        <w:t xml:space="preserve"> and </w:t>
      </w:r>
      <w:proofErr w:type="spellStart"/>
      <w:r w:rsidRPr="00D94409">
        <w:t>Montori</w:t>
      </w:r>
      <w:proofErr w:type="spellEnd"/>
      <w:r w:rsidRPr="00D94409">
        <w:t xml:space="preserve"> 2014).</w:t>
      </w:r>
    </w:p>
    <w:p w:rsidR="00A74AC3" w:rsidRPr="00D94409" w:rsidRDefault="00A74AC3" w:rsidP="00A4043D">
      <w:pPr>
        <w:rPr>
          <w:rFonts w:eastAsia="Century"/>
        </w:rPr>
      </w:pPr>
    </w:p>
    <w:p w:rsidR="00A74AC3" w:rsidRPr="00D94409" w:rsidRDefault="00A74AC3" w:rsidP="00A4043D">
      <w:r w:rsidRPr="00D94409">
        <w:t>The rate of hospitalisations for diabetes-related complications is increasing, which will in part reflect the increasing prevalence of diabetes. In 2013/14 there were 13,301 hospitalisations for diabetes-related complications (210 per 100,000 New Zealanders). Diabetes admissions include hospitalisations for short-term and long-term complications as well as for uncontrolled diabetes.</w:t>
      </w:r>
    </w:p>
    <w:p w:rsidR="00A74AC3" w:rsidRPr="00D94409" w:rsidRDefault="00A74AC3" w:rsidP="00A4043D">
      <w:pPr>
        <w:rPr>
          <w:rFonts w:eastAsia="Century"/>
        </w:rPr>
      </w:pPr>
    </w:p>
    <w:p w:rsidR="00A74AC3" w:rsidRPr="00D94409" w:rsidRDefault="00A74AC3" w:rsidP="00A4043D">
      <w:pPr>
        <w:pStyle w:val="Heading2"/>
        <w:rPr>
          <w:bCs/>
        </w:rPr>
      </w:pPr>
      <w:bookmarkStart w:id="40" w:name="Integrated_management_of_long-term_condi"/>
      <w:bookmarkStart w:id="41" w:name="Communicable_disease_control"/>
      <w:bookmarkStart w:id="42" w:name="_Toc433234095"/>
      <w:bookmarkEnd w:id="40"/>
      <w:bookmarkEnd w:id="41"/>
      <w:r w:rsidRPr="00D94409">
        <w:t>Integrated management of long-term conditions</w:t>
      </w:r>
      <w:bookmarkEnd w:id="42"/>
    </w:p>
    <w:p w:rsidR="00A74AC3" w:rsidRPr="00D94409" w:rsidRDefault="00A74AC3" w:rsidP="00A4043D">
      <w:pPr>
        <w:rPr>
          <w:rFonts w:cs="Century"/>
        </w:rPr>
      </w:pPr>
      <w:r w:rsidRPr="00D94409">
        <w:t>Long-term conditions account for over two-thirds of health loss in New Zealand (Institute for Health Metrics and Evaluation 2013). This includes health loss from mental disorders, cardiovascular disease and diabetes, respiratory disorders, musculoskeletal disorders and cancer. Many long-term conditions are more common in older people and so, as life expectancy increases, the number of people with each of these conditions is also increasing.</w:t>
      </w:r>
    </w:p>
    <w:p w:rsidR="00A74AC3" w:rsidRPr="00D94409" w:rsidRDefault="00A74AC3" w:rsidP="00A4043D">
      <w:pPr>
        <w:rPr>
          <w:rFonts w:eastAsia="Century"/>
        </w:rPr>
      </w:pPr>
    </w:p>
    <w:p w:rsidR="00A74AC3" w:rsidRPr="00D94409" w:rsidRDefault="00A74AC3" w:rsidP="00A4043D">
      <w:pPr>
        <w:rPr>
          <w:rFonts w:cs="Century"/>
        </w:rPr>
      </w:pPr>
      <w:r w:rsidRPr="00D94409">
        <w:t>In addition, as people live longer, the number of people living with more than one long-term condition (multi-morbidity, sometimes called comorbidity) is likely to increase. A person with multi-morbidity has more complex care needs, creating a need for person-centred, coordinated and integrated care.</w:t>
      </w:r>
    </w:p>
    <w:p w:rsidR="00A74AC3" w:rsidRPr="00D94409" w:rsidRDefault="00A74AC3" w:rsidP="00A4043D">
      <w:pPr>
        <w:rPr>
          <w:rFonts w:eastAsia="Century"/>
        </w:rPr>
      </w:pPr>
    </w:p>
    <w:p w:rsidR="00A74AC3" w:rsidRPr="00D94409" w:rsidRDefault="00A74AC3" w:rsidP="00A4043D">
      <w:r w:rsidRPr="00D94409">
        <w:t xml:space="preserve">Understanding </w:t>
      </w:r>
      <w:r w:rsidRPr="00D94409">
        <w:rPr>
          <w:rFonts w:eastAsia="Georgia" w:cs="Georgia"/>
          <w:b/>
          <w:bCs/>
        </w:rPr>
        <w:t>disease patterns</w:t>
      </w:r>
      <w:r w:rsidRPr="00D94409">
        <w:t>, rather than focusing narrowly on single diseases in isolation, is becoming increasingly critical to delivering cost-eff</w:t>
      </w:r>
      <w:r w:rsidR="009B2B80">
        <w:t>e</w:t>
      </w:r>
      <w:r w:rsidRPr="00D94409">
        <w:t>ctive health and disability care that meets people</w:t>
      </w:r>
      <w:r w:rsidR="00D94409" w:rsidRPr="00D94409">
        <w:t>’</w:t>
      </w:r>
      <w:r w:rsidRPr="00D94409">
        <w:t>s needs.</w:t>
      </w:r>
    </w:p>
    <w:p w:rsidR="00A74AC3" w:rsidRPr="00D94409" w:rsidRDefault="00A74AC3" w:rsidP="00A4043D">
      <w:pPr>
        <w:rPr>
          <w:rFonts w:eastAsia="Century"/>
        </w:rPr>
      </w:pPr>
    </w:p>
    <w:p w:rsidR="00A74AC3" w:rsidRPr="00A4043D" w:rsidRDefault="00A74AC3" w:rsidP="00A4043D">
      <w:r w:rsidRPr="00D94409">
        <w:t xml:space="preserve">Information from the New Zealand Health Survey is used to estimate the prevalence of long-term </w:t>
      </w:r>
      <w:r w:rsidRPr="00A4043D">
        <w:t>c</w:t>
      </w:r>
      <w:r w:rsidRPr="00D94409">
        <w:t>onditions and multi-morbidity in adults aged 65 and over. The New Zealand Health Survey asks respondents whether a doctor has ever diagnosed them with: ischaemic heart disease (heart attack or angina), stroke, diabetes, asthma, arthritis or a mental health condition (depression, bipolar disorder or anxiety disorder</w:t>
      </w:r>
      <w:r w:rsidR="00A4043D">
        <w:rPr>
          <w:rStyle w:val="FootnoteReference"/>
        </w:rPr>
        <w:footnoteReference w:id="29"/>
      </w:r>
      <w:r w:rsidRPr="00D94409">
        <w:t xml:space="preserve">). This report also includes information on </w:t>
      </w:r>
      <w:r w:rsidRPr="00D94409">
        <w:lastRenderedPageBreak/>
        <w:t>experience of chronic pain</w:t>
      </w:r>
      <w:r w:rsidR="00A4043D">
        <w:rPr>
          <w:rStyle w:val="FootnoteReference"/>
        </w:rPr>
        <w:footnoteReference w:id="30"/>
      </w:r>
      <w:r w:rsidR="00A4043D">
        <w:t xml:space="preserve"> </w:t>
      </w:r>
      <w:r w:rsidRPr="00D94409">
        <w:t>as the majority of people reporting chronic pain have low back or neck pain.</w:t>
      </w:r>
      <w:r w:rsidR="00A4043D">
        <w:rPr>
          <w:rStyle w:val="FootnoteReference"/>
        </w:rPr>
        <w:footnoteReference w:id="31"/>
      </w:r>
    </w:p>
    <w:p w:rsidR="00A74AC3" w:rsidRPr="00D94409" w:rsidRDefault="00A74AC3" w:rsidP="00A4043D">
      <w:pPr>
        <w:rPr>
          <w:rFonts w:eastAsia="Century"/>
        </w:rPr>
      </w:pPr>
    </w:p>
    <w:p w:rsidR="00A74AC3" w:rsidRPr="00D94409" w:rsidRDefault="00A74AC3" w:rsidP="00A4043D">
      <w:pPr>
        <w:pStyle w:val="Heading3"/>
        <w:rPr>
          <w:rFonts w:eastAsia="Arial Black" w:hAnsi="Arial Black" w:cs="Arial Black"/>
          <w:bCs/>
        </w:rPr>
      </w:pPr>
      <w:r w:rsidRPr="00D94409">
        <w:t>The majority of older people have at least one long-term condition</w:t>
      </w:r>
    </w:p>
    <w:p w:rsidR="00A74AC3" w:rsidRPr="00D94409" w:rsidRDefault="00A74AC3" w:rsidP="00A4043D">
      <w:pPr>
        <w:rPr>
          <w:rFonts w:cs="Century"/>
        </w:rPr>
      </w:pPr>
      <w:r w:rsidRPr="00D94409">
        <w:t>Seven out of ten adults aged 65 years and older have at least one of the selected long-term conditions (72 percent), with arthritis and chronic pain the most common. Forty-two percent of older New Zealanders have two or more of the selected long-term conditions, and 18 percent have three or more.</w:t>
      </w:r>
    </w:p>
    <w:p w:rsidR="00A74AC3" w:rsidRPr="00D94409" w:rsidRDefault="00A74AC3" w:rsidP="00A4043D">
      <w:pPr>
        <w:rPr>
          <w:rFonts w:eastAsia="Century"/>
        </w:rPr>
      </w:pPr>
    </w:p>
    <w:p w:rsidR="00A74AC3" w:rsidRPr="00D94409" w:rsidRDefault="00A74AC3" w:rsidP="00A4043D">
      <w:pPr>
        <w:rPr>
          <w:rFonts w:cs="Century"/>
        </w:rPr>
      </w:pPr>
      <w:r w:rsidRPr="00D94409">
        <w:t>The most common disease patterns are arthritis, chronic pain and anxiety/depressive disorder (2.2</w:t>
      </w:r>
      <w:r w:rsidR="00A4043D">
        <w:t> </w:t>
      </w:r>
      <w:r w:rsidRPr="00D94409">
        <w:t>percent adults aged 65 years and over), and arthritis, chronic pain and coronary heart disease (2 percent).</w:t>
      </w:r>
    </w:p>
    <w:p w:rsidR="00A74AC3" w:rsidRPr="00D94409" w:rsidRDefault="00A74AC3" w:rsidP="00A4043D">
      <w:pPr>
        <w:rPr>
          <w:rFonts w:eastAsia="Century"/>
        </w:rPr>
      </w:pPr>
    </w:p>
    <w:p w:rsidR="00A74AC3" w:rsidRPr="00D94409" w:rsidRDefault="00A74AC3" w:rsidP="00A4043D">
      <w:pPr>
        <w:pStyle w:val="Heading2"/>
        <w:rPr>
          <w:bCs/>
        </w:rPr>
      </w:pPr>
      <w:bookmarkStart w:id="43" w:name="_Toc433234096"/>
      <w:r w:rsidRPr="00D94409">
        <w:t>Communicable disease control</w:t>
      </w:r>
      <w:bookmarkEnd w:id="43"/>
    </w:p>
    <w:p w:rsidR="00A74AC3" w:rsidRPr="00D94409" w:rsidRDefault="00A74AC3" w:rsidP="00A4043D">
      <w:pPr>
        <w:rPr>
          <w:rFonts w:cs="Century"/>
        </w:rPr>
      </w:pPr>
      <w:r w:rsidRPr="00D94409">
        <w:t>Improvements in the prevention and control of communicable diseases have significantly reduced their impact on the health of New Zealanders. However, control of communicable diseases remains a high priority both nationally and internationally, given emerging and re</w:t>
      </w:r>
      <w:r w:rsidR="00A4043D">
        <w:noBreakHyphen/>
      </w:r>
      <w:r w:rsidRPr="00D94409">
        <w:t>emerging disease threats and the development of antimicrobial resistance. This section highlights some of the work underway to improve the prevention, early identification and management of communicable disease.</w:t>
      </w:r>
    </w:p>
    <w:p w:rsidR="00A74AC3" w:rsidRPr="00D94409" w:rsidRDefault="00A74AC3" w:rsidP="00A4043D">
      <w:pPr>
        <w:rPr>
          <w:rFonts w:eastAsia="Century"/>
        </w:rPr>
      </w:pPr>
    </w:p>
    <w:p w:rsidR="00A74AC3" w:rsidRPr="00D94409" w:rsidRDefault="00A74AC3" w:rsidP="00A4043D">
      <w:pPr>
        <w:pStyle w:val="Heading3"/>
        <w:rPr>
          <w:rFonts w:eastAsia="Arial Black" w:hAnsi="Arial Black" w:cs="Arial Black"/>
          <w:bCs/>
        </w:rPr>
      </w:pPr>
      <w:r w:rsidRPr="00D94409">
        <w:t>The rheumatic fever rate has declined since targeted intervention work began</w:t>
      </w:r>
    </w:p>
    <w:p w:rsidR="00A74AC3" w:rsidRPr="00D94409" w:rsidRDefault="00A74AC3" w:rsidP="00A4043D">
      <w:pPr>
        <w:rPr>
          <w:rFonts w:cs="Century"/>
        </w:rPr>
      </w:pPr>
      <w:r w:rsidRPr="00D94409">
        <w:t xml:space="preserve">Rheumatic fever is an autoimmune reaction to a group </w:t>
      </w:r>
      <w:proofErr w:type="gramStart"/>
      <w:r w:rsidRPr="00D94409">
        <w:t>A</w:t>
      </w:r>
      <w:proofErr w:type="gramEnd"/>
      <w:r w:rsidRPr="00D94409">
        <w:t xml:space="preserve"> streptococcal (GAS) throat infection that occurs mainly in children and young adults. Lifelong heart disease can develop from the first or recurrent attacks. In 2012, the Government committed to reducing rheumatic fever incidence by two- thirds by June 2017.</w:t>
      </w:r>
    </w:p>
    <w:p w:rsidR="00A74AC3" w:rsidRPr="00D94409" w:rsidRDefault="00A74AC3" w:rsidP="00A4043D">
      <w:pPr>
        <w:rPr>
          <w:rFonts w:eastAsia="Century"/>
        </w:rPr>
      </w:pPr>
    </w:p>
    <w:p w:rsidR="00A74AC3" w:rsidRPr="00D94409" w:rsidRDefault="00A74AC3" w:rsidP="00A4043D">
      <w:r w:rsidRPr="00D94409">
        <w:t>In 2014/15 there were 135 people hospitalised</w:t>
      </w:r>
      <w:r w:rsidR="00A4043D">
        <w:rPr>
          <w:rStyle w:val="FootnoteReference"/>
        </w:rPr>
        <w:footnoteReference w:id="32"/>
      </w:r>
      <w:r w:rsidR="00A4043D">
        <w:t xml:space="preserve"> </w:t>
      </w:r>
      <w:r w:rsidRPr="00D94409">
        <w:t>with rheumatic fever (3.0 per 100,000) (Ministry of Health 2015k). The latest figure represents a 24 percent drop from the baseline rate (three-year average rate for 2009/10–2011/12).</w:t>
      </w:r>
    </w:p>
    <w:p w:rsidR="00A74AC3" w:rsidRPr="00D94409" w:rsidRDefault="00A74AC3" w:rsidP="00A4043D">
      <w:pPr>
        <w:rPr>
          <w:rFonts w:eastAsia="Century"/>
        </w:rPr>
      </w:pPr>
    </w:p>
    <w:p w:rsidR="00A74AC3" w:rsidRPr="00D94409" w:rsidRDefault="00A74AC3" w:rsidP="00A4043D">
      <w:pPr>
        <w:rPr>
          <w:rFonts w:cs="Century"/>
        </w:rPr>
      </w:pPr>
      <w:r w:rsidRPr="00D94409">
        <w:t>The rheumatic fever hospitalisation</w:t>
      </w:r>
      <w:r w:rsidR="00A4043D">
        <w:rPr>
          <w:rStyle w:val="FootnoteReference"/>
        </w:rPr>
        <w:footnoteReference w:id="33"/>
      </w:r>
      <w:r w:rsidR="00A4043D">
        <w:t xml:space="preserve"> </w:t>
      </w:r>
      <w:r w:rsidRPr="00D94409">
        <w:t>rate is much higher for Pacific peoples (22.5 per 100,000) and Māori (8.8 per 100,000). While the Māori rate has decreased by 36 percent from the baseline, there has been no decrease for Pacific peoples.</w:t>
      </w:r>
    </w:p>
    <w:p w:rsidR="00A74AC3" w:rsidRPr="00D94409" w:rsidRDefault="00A74AC3" w:rsidP="00A4043D">
      <w:pPr>
        <w:rPr>
          <w:rFonts w:eastAsia="Century"/>
        </w:rPr>
      </w:pPr>
    </w:p>
    <w:p w:rsidR="00A74AC3" w:rsidRPr="00D94409" w:rsidRDefault="00A74AC3" w:rsidP="00A4043D">
      <w:pPr>
        <w:keepNext/>
        <w:rPr>
          <w:rFonts w:cs="Century"/>
        </w:rPr>
      </w:pPr>
      <w:r w:rsidRPr="00D94409">
        <w:lastRenderedPageBreak/>
        <w:t>A multipronged approach is being used to reduce rheumatic fever, which involves:</w:t>
      </w:r>
    </w:p>
    <w:p w:rsidR="00A74AC3" w:rsidRPr="00D94409" w:rsidRDefault="00A74AC3" w:rsidP="00A4043D">
      <w:pPr>
        <w:pStyle w:val="Bullet"/>
        <w:keepNext/>
        <w:rPr>
          <w:rFonts w:cs="Century"/>
        </w:rPr>
      </w:pPr>
      <w:r w:rsidRPr="00D94409">
        <w:t>increasing awareness of rheumatic fever, what causes it and how to prevent it (for example, through awareness campaigns and use of a Pacific engagement service in Auckland and Wellington)</w:t>
      </w:r>
    </w:p>
    <w:p w:rsidR="00A74AC3" w:rsidRPr="00D94409" w:rsidRDefault="00A74AC3" w:rsidP="00A4043D">
      <w:pPr>
        <w:pStyle w:val="Bullet"/>
        <w:rPr>
          <w:rFonts w:cs="Century"/>
        </w:rPr>
      </w:pPr>
      <w:r w:rsidRPr="00D94409">
        <w:t>improving access to timely and effective treatment for GAS throat infections in primary care and community settings (for example, through free drop-in clinics and school sore throat management services)</w:t>
      </w:r>
    </w:p>
    <w:p w:rsidR="00A74AC3" w:rsidRPr="00A4043D" w:rsidRDefault="00A74AC3" w:rsidP="00A4043D">
      <w:pPr>
        <w:pStyle w:val="Bullet"/>
        <w:rPr>
          <w:rFonts w:cs="Century"/>
        </w:rPr>
      </w:pPr>
      <w:proofErr w:type="gramStart"/>
      <w:r w:rsidRPr="00D94409">
        <w:t>reducing</w:t>
      </w:r>
      <w:proofErr w:type="gramEnd"/>
      <w:r w:rsidRPr="00D94409">
        <w:t xml:space="preserve"> the transmission of GAS through reducing household crowding (for example, through healthy housing initiatives).</w:t>
      </w:r>
    </w:p>
    <w:p w:rsidR="00A4043D" w:rsidRPr="00D94409" w:rsidRDefault="00A4043D" w:rsidP="00A4043D"/>
    <w:p w:rsidR="00A74AC3" w:rsidRPr="00D94409" w:rsidRDefault="00A74AC3" w:rsidP="00A4043D">
      <w:pPr>
        <w:pStyle w:val="Heading3"/>
        <w:rPr>
          <w:rFonts w:eastAsia="Arial Black" w:hAnsi="Arial Black" w:cs="Arial Black"/>
          <w:bCs/>
        </w:rPr>
      </w:pPr>
      <w:r w:rsidRPr="00D94409">
        <w:t>Influenza surveillance systems are used to monitor disease trends</w:t>
      </w:r>
    </w:p>
    <w:p w:rsidR="00A74AC3" w:rsidRPr="00D94409" w:rsidRDefault="00A74AC3" w:rsidP="00A4043D">
      <w:pPr>
        <w:rPr>
          <w:rFonts w:cs="Century"/>
        </w:rPr>
      </w:pPr>
      <w:r w:rsidRPr="00D94409">
        <w:t>Surveillance data are used to monitor disease trends, identify outbreaks and inform public health interventions such as immunisation programmes and public information messaging. The Ministry of Health has in place a comprehensive national surveillance programme for influenza.</w:t>
      </w:r>
    </w:p>
    <w:p w:rsidR="00A74AC3" w:rsidRPr="00D94409" w:rsidRDefault="00A74AC3" w:rsidP="00A4043D">
      <w:pPr>
        <w:rPr>
          <w:rFonts w:eastAsia="Century"/>
        </w:rPr>
      </w:pPr>
    </w:p>
    <w:p w:rsidR="00A74AC3" w:rsidRPr="00D94409" w:rsidRDefault="00A74AC3" w:rsidP="00A4043D">
      <w:pPr>
        <w:pStyle w:val="Figure"/>
        <w:rPr>
          <w:rFonts w:eastAsia="Georgia"/>
        </w:rPr>
      </w:pPr>
      <w:bookmarkStart w:id="44" w:name="_Toc433234121"/>
      <w:r w:rsidRPr="00D94409">
        <w:rPr>
          <w:rFonts w:eastAsia="Georgia"/>
        </w:rPr>
        <w:t>Figure 12: Weekly consultation rate for influenza-like illness in New Zealand, April 2012–August 2015</w:t>
      </w:r>
      <w:bookmarkEnd w:id="44"/>
    </w:p>
    <w:p w:rsidR="00A74AC3" w:rsidRPr="00D94409" w:rsidRDefault="00A4043D" w:rsidP="00A4043D">
      <w:pPr>
        <w:rPr>
          <w:rFonts w:eastAsia="Georgia"/>
        </w:rPr>
      </w:pPr>
      <w:r>
        <w:rPr>
          <w:noProof/>
          <w:lang w:eastAsia="en-NZ"/>
        </w:rPr>
        <w:drawing>
          <wp:inline distT="0" distB="0" distL="0" distR="0" wp14:anchorId="55F20784" wp14:editId="41173F99">
            <wp:extent cx="3956858" cy="3315205"/>
            <wp:effectExtent l="0" t="0" r="5715" b="0"/>
            <wp:docPr id="1972" name="Picture 1972" title="Figure 12: Weekly consultation rate for influenza-like illness in New Zealand, April 2012–August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grayscl/>
                    </a:blip>
                    <a:stretch>
                      <a:fillRect/>
                    </a:stretch>
                  </pic:blipFill>
                  <pic:spPr>
                    <a:xfrm>
                      <a:off x="0" y="0"/>
                      <a:ext cx="3959179" cy="3317150"/>
                    </a:xfrm>
                    <a:prstGeom prst="rect">
                      <a:avLst/>
                    </a:prstGeom>
                  </pic:spPr>
                </pic:pic>
              </a:graphicData>
            </a:graphic>
          </wp:inline>
        </w:drawing>
      </w:r>
    </w:p>
    <w:p w:rsidR="00A74AC3" w:rsidRPr="00D94409" w:rsidRDefault="00A74AC3" w:rsidP="00A4043D">
      <w:pPr>
        <w:rPr>
          <w:rFonts w:eastAsia="Georgia"/>
        </w:rPr>
      </w:pPr>
    </w:p>
    <w:p w:rsidR="00A74AC3" w:rsidRPr="00D94409" w:rsidRDefault="00A74AC3" w:rsidP="00A4043D">
      <w:pPr>
        <w:pStyle w:val="Source"/>
        <w:ind w:right="3686"/>
        <w:rPr>
          <w:rFonts w:eastAsia="Century" w:hAnsi="Century" w:cs="Century"/>
          <w:szCs w:val="17"/>
        </w:rPr>
      </w:pPr>
      <w:r w:rsidRPr="00D94409">
        <w:t>Source: ESR</w:t>
      </w:r>
    </w:p>
    <w:p w:rsidR="000521CF" w:rsidRDefault="000521CF" w:rsidP="000521CF"/>
    <w:p w:rsidR="00A74AC3" w:rsidRDefault="00A74AC3" w:rsidP="000521CF">
      <w:r w:rsidRPr="00D94409">
        <w:t>Influenza activity during the 2015 New Zealand winter was within the normal range of seasonal activity. The 2015 influenza activity was moderate-high, peaking at 148.5 consultations for influenza- like illness per 100,000 people in New Zealand (ESR 2015a). This is similar to the 2012 influenza seasons (Figure 12).</w:t>
      </w:r>
    </w:p>
    <w:p w:rsidR="000521CF" w:rsidRPr="00D94409" w:rsidRDefault="000521CF" w:rsidP="000521CF"/>
    <w:p w:rsidR="00AF6FB7" w:rsidRDefault="00AF6FB7" w:rsidP="00AF6FB7">
      <w:pPr>
        <w:rPr>
          <w:rFonts w:eastAsia="Arial Black"/>
        </w:rPr>
      </w:pPr>
      <w:r>
        <w:rPr>
          <w:rFonts w:eastAsia="Arial Black"/>
        </w:rPr>
        <w:br w:type="page"/>
      </w:r>
    </w:p>
    <w:p w:rsidR="00A74AC3" w:rsidRPr="00D94409" w:rsidRDefault="00A74AC3" w:rsidP="00AF6FB7">
      <w:pPr>
        <w:pStyle w:val="Heading3"/>
        <w:spacing w:before="0"/>
        <w:rPr>
          <w:rFonts w:eastAsia="Arial Black"/>
        </w:rPr>
      </w:pPr>
      <w:r w:rsidRPr="00D94409">
        <w:rPr>
          <w:rFonts w:eastAsia="Arial Black"/>
        </w:rPr>
        <w:lastRenderedPageBreak/>
        <w:t>Recent measles outbreaks highlight the importance of reaching the Government</w:t>
      </w:r>
      <w:r w:rsidR="00D94409" w:rsidRPr="00D94409">
        <w:rPr>
          <w:rFonts w:eastAsia="Arial Black"/>
        </w:rPr>
        <w:t>’</w:t>
      </w:r>
      <w:r w:rsidRPr="00D94409">
        <w:rPr>
          <w:rFonts w:eastAsia="Arial Black"/>
        </w:rPr>
        <w:t>s immunisation target</w:t>
      </w:r>
    </w:p>
    <w:p w:rsidR="00A74AC3" w:rsidRPr="00D94409" w:rsidRDefault="00AF6FB7" w:rsidP="000521CF">
      <w:pPr>
        <w:rPr>
          <w:rFonts w:cs="Century"/>
        </w:rPr>
      </w:pPr>
      <w:r>
        <w:rPr>
          <w:noProof/>
          <w:lang w:eastAsia="en-NZ"/>
        </w:rPr>
        <mc:AlternateContent>
          <mc:Choice Requires="wpg">
            <w:drawing>
              <wp:anchor distT="0" distB="0" distL="114300" distR="0" simplePos="0" relativeHeight="251828224" behindDoc="0" locked="0" layoutInCell="1" allowOverlap="1" wp14:anchorId="2D6B3DDC" wp14:editId="0630F97E">
                <wp:simplePos x="0" y="0"/>
                <wp:positionH relativeFrom="column">
                  <wp:posOffset>3388360</wp:posOffset>
                </wp:positionH>
                <wp:positionV relativeFrom="paragraph">
                  <wp:posOffset>22860</wp:posOffset>
                </wp:positionV>
                <wp:extent cx="2498090" cy="1762125"/>
                <wp:effectExtent l="0" t="0" r="16510" b="28575"/>
                <wp:wrapSquare wrapText="left"/>
                <wp:docPr id="1978" name="Group 1978"/>
                <wp:cNvGraphicFramePr/>
                <a:graphic xmlns:a="http://schemas.openxmlformats.org/drawingml/2006/main">
                  <a:graphicData uri="http://schemas.microsoft.com/office/word/2010/wordprocessingGroup">
                    <wpg:wgp>
                      <wpg:cNvGrpSpPr/>
                      <wpg:grpSpPr>
                        <a:xfrm>
                          <a:off x="0" y="0"/>
                          <a:ext cx="2498090" cy="1762125"/>
                          <a:chOff x="0" y="0"/>
                          <a:chExt cx="1952625" cy="839585"/>
                        </a:xfrm>
                      </wpg:grpSpPr>
                      <wpg:grpSp>
                        <wpg:cNvPr id="1983" name="Group 1983"/>
                        <wpg:cNvGrpSpPr/>
                        <wpg:grpSpPr>
                          <a:xfrm>
                            <a:off x="0" y="0"/>
                            <a:ext cx="1951355" cy="838200"/>
                            <a:chOff x="0" y="0"/>
                            <a:chExt cx="1951355" cy="838200"/>
                          </a:xfrm>
                        </wpg:grpSpPr>
                        <wps:wsp>
                          <wps:cNvPr id="1992" name="Rectangle 1992"/>
                          <wps:cNvSpPr/>
                          <wps:spPr>
                            <a:xfrm>
                              <a:off x="0" y="0"/>
                              <a:ext cx="1951355" cy="838200"/>
                            </a:xfrm>
                            <a:prstGeom prst="rect">
                              <a:avLst/>
                            </a:prstGeom>
                            <a:solidFill>
                              <a:schemeClr val="bg1">
                                <a:lumMod val="8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0380" w:rsidRDefault="00880380" w:rsidP="00AF6FB7">
                                <w:pPr>
                                  <w:spacing w:before="120" w:after="120"/>
                                  <w:jc w:val="center"/>
                                  <w:rPr>
                                    <w:b/>
                                    <w:color w:val="000000"/>
                                    <w:szCs w:val="22"/>
                                  </w:rPr>
                                </w:pPr>
                                <w:r>
                                  <w:rPr>
                                    <w:b/>
                                    <w:color w:val="000000"/>
                                    <w:szCs w:val="22"/>
                                  </w:rPr>
                                  <w:t>For more information on:</w:t>
                                </w:r>
                              </w:p>
                              <w:p w:rsidR="00880380" w:rsidRPr="00884FEB" w:rsidRDefault="00880380" w:rsidP="00AF6FB7">
                                <w:pPr>
                                  <w:pStyle w:val="ListParagraph"/>
                                  <w:numPr>
                                    <w:ilvl w:val="0"/>
                                    <w:numId w:val="28"/>
                                  </w:numPr>
                                  <w:spacing w:before="120" w:after="120"/>
                                  <w:ind w:left="284" w:hanging="284"/>
                                  <w:contextualSpacing w:val="0"/>
                                  <w:rPr>
                                    <w:rFonts w:ascii="Georgia" w:hAnsi="Georgia"/>
                                    <w:color w:val="000000"/>
                                    <w:sz w:val="22"/>
                                  </w:rPr>
                                </w:pPr>
                                <w:r>
                                  <w:rPr>
                                    <w:rFonts w:ascii="Georgia" w:hAnsi="Georgia"/>
                                    <w:color w:val="000000"/>
                                    <w:sz w:val="22"/>
                                  </w:rPr>
                                  <w:t>rheumatic fever and antibiotic resistance, visit</w:t>
                                </w:r>
                                <w:r w:rsidRPr="00884FEB">
                                  <w:rPr>
                                    <w:rFonts w:ascii="Georgia" w:hAnsi="Georgia"/>
                                    <w:color w:val="000000"/>
                                    <w:sz w:val="22"/>
                                  </w:rPr>
                                  <w:t>: www.health.govt.nz/our-work/</w:t>
                                </w:r>
                                <w:r>
                                  <w:rPr>
                                    <w:rFonts w:ascii="Georgia" w:hAnsi="Georgia"/>
                                    <w:color w:val="000000"/>
                                    <w:sz w:val="22"/>
                                  </w:rPr>
                                  <w:t>diseases-and-conditions</w:t>
                                </w:r>
                              </w:p>
                              <w:p w:rsidR="00880380" w:rsidRPr="00884FEB" w:rsidRDefault="00880380" w:rsidP="00AF6FB7">
                                <w:pPr>
                                  <w:pStyle w:val="ListParagraph"/>
                                  <w:numPr>
                                    <w:ilvl w:val="0"/>
                                    <w:numId w:val="28"/>
                                  </w:numPr>
                                  <w:spacing w:before="120" w:after="120"/>
                                  <w:ind w:left="284" w:hanging="284"/>
                                  <w:contextualSpacing w:val="0"/>
                                  <w:rPr>
                                    <w:rFonts w:ascii="Georgia" w:hAnsi="Georgia"/>
                                    <w:color w:val="000000"/>
                                    <w:sz w:val="22"/>
                                  </w:rPr>
                                </w:pPr>
                                <w:r>
                                  <w:rPr>
                                    <w:rFonts w:ascii="Georgia" w:hAnsi="Georgia"/>
                                    <w:color w:val="000000"/>
                                    <w:sz w:val="22"/>
                                  </w:rPr>
                                  <w:t>outbreak surveillance visit: https://surv.esr.cri.nz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4" name="Straight Connector 1994"/>
                          <wps:cNvCnPr/>
                          <wps:spPr>
                            <a:xfrm>
                              <a:off x="0" y="10063"/>
                              <a:ext cx="195135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995" name="Straight Connector 1995"/>
                        <wps:cNvCnPr/>
                        <wps:spPr>
                          <a:xfrm>
                            <a:off x="0" y="839585"/>
                            <a:ext cx="19526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978" o:spid="_x0000_s1078" style="position:absolute;margin-left:266.8pt;margin-top:1.8pt;width:196.7pt;height:138.75pt;z-index:251828224;mso-wrap-distance-right:0;mso-width-relative:margin;mso-height-relative:margin" coordsize="19526,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">
                <v:group id="Group 1983" o:spid="_x0000_s1079" style="position:absolute;width:19513;height:8382" coordsize="19513,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i4MUAAADdAAAADwAAAGRycy9kb3ducmV2LnhtbERPTWvCQBC9F/wPyxS8&#10;NZsoLTHNKiJVPIRCVSi9DdkxCWZnQ3abxH/fLRR6m8f7nHwzmVYM1LvGsoIkikEQl1Y3XCm4nPdP&#10;KQjnkTW2lknBnRxs1rOHHDNtR/6g4eQrEULYZaig9r7LpHRlTQZdZDviwF1tb9AH2FdS9ziGcNPK&#10;RRy/SIMNh4YaO9rVVN5O30bBYcRxu0zehuJ23d2/zs/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kouDFAAAA3QAA&#10;AA8AAAAAAAAAAAAAAAAAqgIAAGRycy9kb3ducmV2LnhtbFBLBQYAAAAABAAEAPoAAACcAwAAAAA=&#10;">
                  <v:rect id="Rectangle 1992" o:spid="_x0000_s1080" style="position:absolute;width:19513;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Q6sEA&#10;AADdAAAADwAAAGRycy9kb3ducmV2LnhtbERPzYrCMBC+C75DGGFvmuphqV2jyMJCF/ai2wcYkrEt&#10;NpOSxLb69GZB2Nt8fL+zO0y2EwP50DpWsF5lIIi1My3XCqrfr2UOIkRkg51jUnCnAIf9fLbDwriR&#10;TzScYy1SCIcCFTQx9oWUQTdkMaxcT5y4i/MWY4K+lsbjmMJtJzdZ9i4ttpwaGuzpsyF9Pd+sgmN1&#10;v+RD+30tWZfjQ1c/tfa5Um+L6fgBItIU/8Uvd2nS/O12A3/fpB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cUOrBAAAA3QAAAA8AAAAAAAAAAAAAAAAAmAIAAGRycy9kb3du&#10;cmV2LnhtbFBLBQYAAAAABAAEAPUAAACGAwAAAAA=&#10;" fillcolor="#d8d8d8 [2732]" stroked="f" strokeweight=".5pt">
                    <v:textbox>
                      <w:txbxContent>
                        <w:p w:rsidR="00880380" w:rsidRDefault="00880380" w:rsidP="00AF6FB7">
                          <w:pPr>
                            <w:spacing w:before="120" w:after="120"/>
                            <w:jc w:val="center"/>
                            <w:rPr>
                              <w:b/>
                              <w:color w:val="000000"/>
                              <w:szCs w:val="22"/>
                            </w:rPr>
                          </w:pPr>
                          <w:r>
                            <w:rPr>
                              <w:b/>
                              <w:color w:val="000000"/>
                              <w:szCs w:val="22"/>
                            </w:rPr>
                            <w:t>For more information on:</w:t>
                          </w:r>
                        </w:p>
                        <w:p w:rsidR="00880380" w:rsidRPr="00884FEB" w:rsidRDefault="00880380" w:rsidP="00AF6FB7">
                          <w:pPr>
                            <w:pStyle w:val="ListParagraph"/>
                            <w:numPr>
                              <w:ilvl w:val="0"/>
                              <w:numId w:val="28"/>
                            </w:numPr>
                            <w:spacing w:before="120" w:after="120"/>
                            <w:ind w:left="284" w:hanging="284"/>
                            <w:contextualSpacing w:val="0"/>
                            <w:rPr>
                              <w:rFonts w:ascii="Georgia" w:hAnsi="Georgia"/>
                              <w:color w:val="000000"/>
                              <w:sz w:val="22"/>
                            </w:rPr>
                          </w:pPr>
                          <w:r>
                            <w:rPr>
                              <w:rFonts w:ascii="Georgia" w:hAnsi="Georgia"/>
                              <w:color w:val="000000"/>
                              <w:sz w:val="22"/>
                            </w:rPr>
                            <w:t>rheumatic fever and antibiotic resistance, visit</w:t>
                          </w:r>
                          <w:r w:rsidRPr="00884FEB">
                            <w:rPr>
                              <w:rFonts w:ascii="Georgia" w:hAnsi="Georgia"/>
                              <w:color w:val="000000"/>
                              <w:sz w:val="22"/>
                            </w:rPr>
                            <w:t>: www.health.govt.nz/our-work/</w:t>
                          </w:r>
                          <w:r>
                            <w:rPr>
                              <w:rFonts w:ascii="Georgia" w:hAnsi="Georgia"/>
                              <w:color w:val="000000"/>
                              <w:sz w:val="22"/>
                            </w:rPr>
                            <w:t>diseases-and-conditions</w:t>
                          </w:r>
                        </w:p>
                        <w:p w:rsidR="00880380" w:rsidRPr="00884FEB" w:rsidRDefault="00880380" w:rsidP="00AF6FB7">
                          <w:pPr>
                            <w:pStyle w:val="ListParagraph"/>
                            <w:numPr>
                              <w:ilvl w:val="0"/>
                              <w:numId w:val="28"/>
                            </w:numPr>
                            <w:spacing w:before="120" w:after="120"/>
                            <w:ind w:left="284" w:hanging="284"/>
                            <w:contextualSpacing w:val="0"/>
                            <w:rPr>
                              <w:rFonts w:ascii="Georgia" w:hAnsi="Georgia"/>
                              <w:color w:val="000000"/>
                              <w:sz w:val="22"/>
                            </w:rPr>
                          </w:pPr>
                          <w:r>
                            <w:rPr>
                              <w:rFonts w:ascii="Georgia" w:hAnsi="Georgia"/>
                              <w:color w:val="000000"/>
                              <w:sz w:val="22"/>
                            </w:rPr>
                            <w:t>outbreak surveillance visit: https://surv.esr.cri.nz</w:t>
                          </w:r>
                        </w:p>
                      </w:txbxContent>
                    </v:textbox>
                  </v:rect>
                  <v:line id="Straight Connector 1994" o:spid="_x0000_s1081" style="position:absolute;visibility:visible;mso-wrap-style:square" from="0,100" to="19513,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58MMAAADdAAAADwAAAGRycy9kb3ducmV2LnhtbERP3WrCMBS+H+wdwhnsbqaOUdbOKFLY&#10;kCHqOh/g0BzbsuakJKmtb28EYXfn4/s9i9VkOnEm51vLCuazBARxZXXLtYLj7+fLOwgfkDV2lknB&#10;hTyslo8PC8y1HfmHzmWoRQxhn6OCJoQ+l9JXDRn0M9sTR+5kncEQoauldjjGcNPJ1yRJpcGWY0OD&#10;PRUNVX/lYBS4nfty+yHdf9dyc9LHQ5n020Kp56dp/QEi0BT+xXf3Rsf5WfYGt2/iC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b+fDDAAAA3QAAAA8AAAAAAAAAAAAA&#10;AAAAoQIAAGRycy9kb3ducmV2LnhtbFBLBQYAAAAABAAEAPkAAACRAwAAAAA=&#10;" strokecolor="black [3213]" strokeweight="4.5pt"/>
                </v:group>
                <v:line id="Straight Connector 1995" o:spid="_x0000_s1082" style="position:absolute;visibility:visible;mso-wrap-style:square" from="0,8395" to="19526,8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UwjcIAAADdAAAADwAAAGRycy9kb3ducmV2LnhtbERPTWsCMRC9F/wPYQRvNatgqatRVND2&#10;2lUP3obNuFncTJYk627/fVMo9DaP9znr7WAb8SQfascKZtMMBHHpdM2Vgsv5+PoOIkRkjY1jUvBN&#10;Abab0csac+16/qJnESuRQjjkqMDE2OZShtKQxTB1LXHi7s5bjAn6SmqPfQq3jZxn2Zu0WHNqMNjS&#10;wVD5KDqr4Nbto/84y11fDIeTmR+bsnNXpSbjYbcCEWmI/+I/96dO85fLBfx+k06Q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PUwjcIAAADdAAAADwAAAAAAAAAAAAAA&#10;AAChAgAAZHJzL2Rvd25yZXYueG1sUEsFBgAAAAAEAAQA+QAAAJADAAAAAA==&#10;" strokecolor="black [3213]" strokeweight="1.5pt"/>
                <w10:wrap type="square" side="left"/>
              </v:group>
            </w:pict>
          </mc:Fallback>
        </mc:AlternateContent>
      </w:r>
      <w:r w:rsidR="00A74AC3" w:rsidRPr="00D94409">
        <w:t>Measles remains the most common vaccine</w:t>
      </w:r>
      <w:r>
        <w:noBreakHyphen/>
        <w:t>p</w:t>
      </w:r>
      <w:r w:rsidR="00A74AC3" w:rsidRPr="00D94409">
        <w:t>reventable cause of death among children throughout the world. It is highly infectious in non</w:t>
      </w:r>
      <w:r>
        <w:noBreakHyphen/>
      </w:r>
      <w:r w:rsidR="00A74AC3" w:rsidRPr="00D94409">
        <w:t>immune communities. In New Zealand we continue to have periodic outbreaks of measles, which routinely start from people who have been infected overseas.</w:t>
      </w:r>
    </w:p>
    <w:p w:rsidR="00A74AC3" w:rsidRPr="00D94409" w:rsidRDefault="00A74AC3" w:rsidP="00AF6FB7">
      <w:pPr>
        <w:rPr>
          <w:rFonts w:eastAsia="Century"/>
        </w:rPr>
      </w:pPr>
    </w:p>
    <w:p w:rsidR="00A74AC3" w:rsidRPr="00D94409" w:rsidRDefault="00A74AC3" w:rsidP="00AF6FB7">
      <w:pPr>
        <w:rPr>
          <w:rFonts w:cs="Century"/>
        </w:rPr>
      </w:pPr>
      <w:r w:rsidRPr="00D94409">
        <w:t>During 2014, 280 confirmed cases of measles were notified, compared with only 8 cases in 2013 (ESR 2015b). The majority of cases occurred in Waikato (125) and Auckland (112).</w:t>
      </w:r>
    </w:p>
    <w:p w:rsidR="00A74AC3" w:rsidRPr="00D94409" w:rsidRDefault="00A74AC3" w:rsidP="00AF6FB7">
      <w:pPr>
        <w:rPr>
          <w:rFonts w:eastAsia="Century"/>
        </w:rPr>
      </w:pPr>
    </w:p>
    <w:p w:rsidR="00A74AC3" w:rsidRPr="00D94409" w:rsidRDefault="00A74AC3" w:rsidP="00AF6FB7">
      <w:pPr>
        <w:rPr>
          <w:rFonts w:cs="Century"/>
        </w:rPr>
      </w:pPr>
      <w:r w:rsidRPr="00D94409">
        <w:t>New Zealand is working towards eliminating measles by interrupting the transmission of the measles virus within the country. To eliminate measles, it is necessary to achieve and maintain 95 percent population immunity. Also essential are having sensitive surveillance systems in place to detect</w:t>
      </w:r>
    </w:p>
    <w:p w:rsidR="00A74AC3" w:rsidRPr="00D94409" w:rsidRDefault="00A74AC3" w:rsidP="00AF6FB7">
      <w:pPr>
        <w:rPr>
          <w:rFonts w:cs="Century"/>
        </w:rPr>
      </w:pPr>
      <w:proofErr w:type="gramStart"/>
      <w:r w:rsidRPr="00D94409">
        <w:t>and</w:t>
      </w:r>
      <w:proofErr w:type="gramEnd"/>
      <w:r w:rsidRPr="00D94409">
        <w:t xml:space="preserve"> follow up potential measles cases, and access to laboratory services for confirmation and virus identification.</w:t>
      </w:r>
    </w:p>
    <w:p w:rsidR="00A74AC3" w:rsidRPr="00D94409" w:rsidRDefault="00A74AC3" w:rsidP="00AF6FB7">
      <w:pPr>
        <w:rPr>
          <w:rFonts w:eastAsia="Century"/>
        </w:rPr>
      </w:pPr>
    </w:p>
    <w:p w:rsidR="00A74AC3" w:rsidRPr="00D94409" w:rsidRDefault="00A74AC3" w:rsidP="00AF6FB7">
      <w:r w:rsidRPr="00D94409">
        <w:t xml:space="preserve">See the </w:t>
      </w:r>
      <w:r w:rsidR="00D94409" w:rsidRPr="00D94409">
        <w:t>‘</w:t>
      </w:r>
      <w:r w:rsidRPr="00D94409">
        <w:t>Healthy start</w:t>
      </w:r>
      <w:r w:rsidR="00D94409" w:rsidRPr="00D94409">
        <w:t>’</w:t>
      </w:r>
      <w:r w:rsidRPr="00D94409">
        <w:t xml:space="preserve"> section for more information on the Government</w:t>
      </w:r>
      <w:r w:rsidR="00D94409" w:rsidRPr="00D94409">
        <w:t>’</w:t>
      </w:r>
      <w:r w:rsidRPr="00D94409">
        <w:t>s better public services health target to increase immunisation rates in children.</w:t>
      </w:r>
    </w:p>
    <w:p w:rsidR="00A74AC3" w:rsidRPr="00D94409" w:rsidRDefault="00A74AC3" w:rsidP="00AF6FB7">
      <w:pPr>
        <w:rPr>
          <w:rFonts w:eastAsia="Century"/>
        </w:rPr>
      </w:pPr>
    </w:p>
    <w:p w:rsidR="00A74AC3" w:rsidRPr="00D94409" w:rsidRDefault="00A74AC3" w:rsidP="00AF6FB7">
      <w:pPr>
        <w:pStyle w:val="Heading3"/>
        <w:rPr>
          <w:rFonts w:eastAsia="Arial Black" w:hAnsi="Arial Black" w:cs="Arial Black"/>
          <w:bCs/>
        </w:rPr>
      </w:pPr>
      <w:r w:rsidRPr="00D94409">
        <w:t>Collaborative working is an important part of outbreak management</w:t>
      </w:r>
    </w:p>
    <w:p w:rsidR="00A74AC3" w:rsidRPr="00D94409" w:rsidRDefault="00A74AC3" w:rsidP="00AF6FB7">
      <w:pPr>
        <w:rPr>
          <w:rFonts w:cs="Century"/>
        </w:rPr>
      </w:pPr>
      <w:r w:rsidRPr="00D94409">
        <w:t xml:space="preserve">Between 1 September and 28 October 2014, New Zealand experienced the largest reported outbreak of Yersinia </w:t>
      </w:r>
      <w:proofErr w:type="spellStart"/>
      <w:r w:rsidRPr="00D94409">
        <w:t>pseudotuberculosis</w:t>
      </w:r>
      <w:proofErr w:type="spellEnd"/>
      <w:r w:rsidRPr="00D94409">
        <w:t xml:space="preserve">, when 225 confirmed cases were notified. Of these confirmed cases, 70 required hospital </w:t>
      </w:r>
      <w:proofErr w:type="gramStart"/>
      <w:r w:rsidRPr="00D94409">
        <w:t>assessment</w:t>
      </w:r>
      <w:proofErr w:type="gramEnd"/>
      <w:r w:rsidRPr="00D94409">
        <w:t xml:space="preserve"> or treatment, and some had unnecessary surgery, as symptoms mimic those of appendicitis.</w:t>
      </w:r>
    </w:p>
    <w:p w:rsidR="00A74AC3" w:rsidRPr="00D94409" w:rsidRDefault="00A74AC3" w:rsidP="00AF6FB7">
      <w:pPr>
        <w:rPr>
          <w:rFonts w:eastAsia="Century"/>
        </w:rPr>
      </w:pPr>
    </w:p>
    <w:p w:rsidR="00A74AC3" w:rsidRPr="00D94409" w:rsidRDefault="00A74AC3" w:rsidP="00AF6FB7">
      <w:pPr>
        <w:rPr>
          <w:rFonts w:cs="Century"/>
        </w:rPr>
      </w:pPr>
      <w:r w:rsidRPr="00D94409">
        <w:t>Given a food source is likely to have been responsible for this outbreak, the Ministry for Primary Industries (MPI) led the outbreak response while the Ministry of Health supported the response at national and local levels. Following on from this particular experience, the Ministry of Health and MPI have developed a joint protocol for responding to foodborne illness outbreaks.</w:t>
      </w:r>
    </w:p>
    <w:p w:rsidR="00A74AC3" w:rsidRPr="00D94409" w:rsidRDefault="00A74AC3" w:rsidP="00AF6FB7">
      <w:pPr>
        <w:rPr>
          <w:rFonts w:eastAsia="Century"/>
        </w:rPr>
      </w:pPr>
    </w:p>
    <w:p w:rsidR="00A74AC3" w:rsidRPr="00D94409" w:rsidRDefault="00A74AC3" w:rsidP="00AF6FB7">
      <w:pPr>
        <w:pStyle w:val="Heading3"/>
        <w:rPr>
          <w:rFonts w:eastAsia="Arial Black" w:hAnsi="Arial Black" w:cs="Arial Black"/>
          <w:bCs/>
        </w:rPr>
      </w:pPr>
      <w:r w:rsidRPr="00D94409">
        <w:t>Antimicrobial resistance threatens effective prevention and treatment of infection</w:t>
      </w:r>
    </w:p>
    <w:p w:rsidR="00A74AC3" w:rsidRPr="00D94409" w:rsidRDefault="00A74AC3" w:rsidP="00AF6FB7">
      <w:pPr>
        <w:rPr>
          <w:rFonts w:cs="Century"/>
        </w:rPr>
      </w:pPr>
      <w:r w:rsidRPr="00D94409">
        <w:t>Modern medical practice relies on the availability of eff</w:t>
      </w:r>
      <w:r w:rsidR="009B2B80">
        <w:t>e</w:t>
      </w:r>
      <w:r w:rsidRPr="00D94409">
        <w:t>ctive antimicrobials to prevent and treat infections. However, many types of bacteria are becoming resistant to the drugs most often used for treatment.</w:t>
      </w:r>
    </w:p>
    <w:p w:rsidR="00A74AC3" w:rsidRPr="00D94409" w:rsidRDefault="00A74AC3" w:rsidP="00AF6FB7">
      <w:pPr>
        <w:rPr>
          <w:rFonts w:eastAsia="Century"/>
        </w:rPr>
      </w:pPr>
    </w:p>
    <w:p w:rsidR="00A74AC3" w:rsidRPr="00D94409" w:rsidRDefault="00A74AC3" w:rsidP="00AF6FB7">
      <w:pPr>
        <w:rPr>
          <w:rFonts w:cs="Century"/>
        </w:rPr>
      </w:pPr>
      <w:r w:rsidRPr="00D94409">
        <w:t>Antimicrobial resistance (AMR) threatens the ability to effectively prevent and treat a range of conditions, including some common infections. Infections caused by resistant micro-organisms are more likely to fail to respond to the antibiotics usually used. This can result in prolonged illness, higher health care expenditures and a greater risk of death.</w:t>
      </w:r>
    </w:p>
    <w:p w:rsidR="00A74AC3" w:rsidRPr="00D94409" w:rsidRDefault="00A74AC3" w:rsidP="00AF6FB7">
      <w:pPr>
        <w:rPr>
          <w:rFonts w:eastAsia="Century"/>
        </w:rPr>
      </w:pPr>
    </w:p>
    <w:p w:rsidR="00A74AC3" w:rsidRPr="00D94409" w:rsidRDefault="00A74AC3" w:rsidP="00AF6FB7">
      <w:pPr>
        <w:keepLines/>
        <w:rPr>
          <w:rFonts w:cs="Century"/>
        </w:rPr>
      </w:pPr>
      <w:r w:rsidRPr="00D94409">
        <w:lastRenderedPageBreak/>
        <w:t>The prevalence of methicillin/</w:t>
      </w:r>
      <w:proofErr w:type="spellStart"/>
      <w:r w:rsidRPr="00D94409">
        <w:t>oxacillin</w:t>
      </w:r>
      <w:proofErr w:type="spellEnd"/>
      <w:r w:rsidRPr="00D94409">
        <w:t xml:space="preserve">-resistant </w:t>
      </w:r>
      <w:r w:rsidRPr="00D94409">
        <w:rPr>
          <w:i/>
        </w:rPr>
        <w:t xml:space="preserve">Staphylococcus aureus </w:t>
      </w:r>
      <w:r w:rsidRPr="00D94409">
        <w:t xml:space="preserve">(MRSA) nearly doubled between 2003 and 2014, from 12.8 to 23.8 per 100,000 people in New Zealand (Heffernan et al 2015). MRSA rates differ considerably between regions: in </w:t>
      </w:r>
      <w:proofErr w:type="spellStart"/>
      <w:r w:rsidRPr="00D94409">
        <w:t>Tairāwhiti</w:t>
      </w:r>
      <w:proofErr w:type="spellEnd"/>
      <w:r w:rsidRPr="00D94409">
        <w:t xml:space="preserve">, Counties </w:t>
      </w:r>
      <w:proofErr w:type="spellStart"/>
      <w:r w:rsidRPr="00D94409">
        <w:t>Manukau</w:t>
      </w:r>
      <w:proofErr w:type="spellEnd"/>
      <w:r w:rsidRPr="00D94409">
        <w:t xml:space="preserve"> and Northland, the rate is more than twice the national average.</w:t>
      </w:r>
    </w:p>
    <w:p w:rsidR="00A74AC3" w:rsidRPr="00D94409" w:rsidRDefault="00A74AC3" w:rsidP="00AF6FB7">
      <w:pPr>
        <w:rPr>
          <w:rFonts w:eastAsia="Century"/>
        </w:rPr>
      </w:pPr>
    </w:p>
    <w:p w:rsidR="00A74AC3" w:rsidRPr="00D94409" w:rsidRDefault="00A74AC3" w:rsidP="00AF6FB7">
      <w:pPr>
        <w:rPr>
          <w:rFonts w:cs="Century"/>
        </w:rPr>
      </w:pPr>
      <w:r w:rsidRPr="00D94409">
        <w:t>Of the 216 cases of culture-positive tuberculosis in 2013, three (1.4 percent) were multidrug-resistant tuberculosis and none was extended drug resistant (ESR 2015c).</w:t>
      </w:r>
    </w:p>
    <w:p w:rsidR="00A74AC3" w:rsidRPr="00D94409" w:rsidRDefault="00A74AC3" w:rsidP="00AF6FB7">
      <w:pPr>
        <w:rPr>
          <w:rFonts w:eastAsia="Century"/>
        </w:rPr>
      </w:pPr>
    </w:p>
    <w:p w:rsidR="00AF6FB7" w:rsidRDefault="00AF6FB7" w:rsidP="00AF6FB7">
      <w:bookmarkStart w:id="45" w:name="Meeting_health_system_challenges"/>
      <w:bookmarkStart w:id="46" w:name="Improving_equity_for_groups_with_poorer_"/>
      <w:bookmarkEnd w:id="45"/>
      <w:bookmarkEnd w:id="46"/>
      <w:r>
        <w:br w:type="page"/>
      </w:r>
    </w:p>
    <w:p w:rsidR="00A74AC3" w:rsidRPr="00D94409" w:rsidRDefault="00A74AC3" w:rsidP="00AF6FB7">
      <w:pPr>
        <w:pStyle w:val="Heading1"/>
        <w:rPr>
          <w:rFonts w:eastAsia="Palatino Linotype" w:hAnsi="Palatino Linotype" w:cs="Palatino Linotype"/>
          <w:bCs/>
        </w:rPr>
      </w:pPr>
      <w:bookmarkStart w:id="47" w:name="_Toc433234097"/>
      <w:r w:rsidRPr="00D94409">
        <w:lastRenderedPageBreak/>
        <w:t>Meeting health system challenges</w:t>
      </w:r>
      <w:bookmarkEnd w:id="47"/>
    </w:p>
    <w:p w:rsidR="00A74AC3" w:rsidRPr="00D94409" w:rsidRDefault="00A74AC3" w:rsidP="0090352A">
      <w:r w:rsidRPr="00D94409">
        <w:t>The health and disability system faces a number of challenges now and in the future. Not all New Zealanders enjoy as good a level of health as they could, and access to health care doesn</w:t>
      </w:r>
      <w:r w:rsidR="00D94409" w:rsidRPr="00D94409">
        <w:t>’</w:t>
      </w:r>
      <w:r w:rsidRPr="00D94409">
        <w:t>t always reflect need. We must ensure all New Zealanders have the opportunities to maximise their health by providing accessible, timely and culturally appropriate health and disability services.</w:t>
      </w:r>
    </w:p>
    <w:p w:rsidR="00A74AC3" w:rsidRPr="00D94409" w:rsidRDefault="00A74AC3" w:rsidP="0090352A">
      <w:pPr>
        <w:rPr>
          <w:rFonts w:eastAsia="Century"/>
        </w:rPr>
      </w:pPr>
    </w:p>
    <w:p w:rsidR="00A74AC3" w:rsidRPr="00D94409" w:rsidRDefault="00A74AC3" w:rsidP="0090352A">
      <w:pPr>
        <w:rPr>
          <w:rFonts w:cs="Century"/>
        </w:rPr>
      </w:pPr>
      <w:r w:rsidRPr="00D94409">
        <w:t>There is growing recognition of the need for the health and disability system to work closely with the wider social sector, in order to protect vulnerable populations from harm. Social sector agencies are identifying new ways of working, with greater collaboration and sharing of data.</w:t>
      </w:r>
    </w:p>
    <w:p w:rsidR="00A74AC3" w:rsidRPr="00D94409" w:rsidRDefault="00A74AC3" w:rsidP="0090352A">
      <w:pPr>
        <w:rPr>
          <w:rFonts w:eastAsia="Century"/>
        </w:rPr>
      </w:pPr>
    </w:p>
    <w:p w:rsidR="00A74AC3" w:rsidRPr="00D94409" w:rsidRDefault="00A74AC3" w:rsidP="0090352A">
      <w:pPr>
        <w:rPr>
          <w:rFonts w:cs="Century"/>
        </w:rPr>
      </w:pPr>
      <w:r w:rsidRPr="00D94409">
        <w:t>The health and disability system must find ways of reducing costs while maintaining high-quality services. Reducing the time patients spend in hospital and increasing capacity in primary and community services will support longer-term sustainability as well as improving patient experience.</w:t>
      </w:r>
    </w:p>
    <w:p w:rsidR="00A74AC3" w:rsidRPr="00D94409" w:rsidRDefault="00A74AC3" w:rsidP="0090352A">
      <w:pPr>
        <w:rPr>
          <w:rFonts w:eastAsia="Century"/>
        </w:rPr>
      </w:pPr>
    </w:p>
    <w:p w:rsidR="00A74AC3" w:rsidRPr="00D94409" w:rsidRDefault="00A74AC3" w:rsidP="0090352A">
      <w:pPr>
        <w:pStyle w:val="Heading2"/>
        <w:rPr>
          <w:bCs/>
        </w:rPr>
      </w:pPr>
      <w:bookmarkStart w:id="48" w:name="_Toc433234098"/>
      <w:r w:rsidRPr="00D94409">
        <w:t>Improving equity for groups with poorer health outcomes</w:t>
      </w:r>
      <w:bookmarkEnd w:id="48"/>
    </w:p>
    <w:p w:rsidR="00A74AC3" w:rsidRPr="00D94409" w:rsidRDefault="00A74AC3" w:rsidP="0090352A">
      <w:pPr>
        <w:rPr>
          <w:rFonts w:cs="Century"/>
        </w:rPr>
      </w:pPr>
      <w:r w:rsidRPr="00D94409">
        <w:t>Although the national picture of health is positive, health outcomes vary substantially across different population groups. Previous sections have already highlighted a number of areas where access to services and health outcomes are worse among Māori and Pacific peoples, and for people living in more socioeconomically deprived areas.</w:t>
      </w:r>
    </w:p>
    <w:p w:rsidR="00A74AC3" w:rsidRPr="00D94409" w:rsidRDefault="00A74AC3" w:rsidP="0090352A">
      <w:pPr>
        <w:rPr>
          <w:rFonts w:eastAsia="Century"/>
        </w:rPr>
      </w:pPr>
    </w:p>
    <w:p w:rsidR="00A74AC3" w:rsidRPr="00D94409" w:rsidRDefault="00880380" w:rsidP="0090352A">
      <w:pPr>
        <w:rPr>
          <w:rFonts w:cs="Century"/>
        </w:rPr>
      </w:pPr>
      <w:r>
        <w:rPr>
          <w:noProof/>
          <w:lang w:eastAsia="en-NZ"/>
        </w:rPr>
        <mc:AlternateContent>
          <mc:Choice Requires="wpg">
            <w:drawing>
              <wp:anchor distT="0" distB="0" distL="114300" distR="0" simplePos="0" relativeHeight="251830272" behindDoc="0" locked="0" layoutInCell="1" allowOverlap="1" wp14:anchorId="0856D493" wp14:editId="0625B96A">
                <wp:simplePos x="0" y="0"/>
                <wp:positionH relativeFrom="column">
                  <wp:posOffset>2141855</wp:posOffset>
                </wp:positionH>
                <wp:positionV relativeFrom="paragraph">
                  <wp:posOffset>20320</wp:posOffset>
                </wp:positionV>
                <wp:extent cx="3803015" cy="2684780"/>
                <wp:effectExtent l="0" t="0" r="26035" b="20320"/>
                <wp:wrapSquare wrapText="left"/>
                <wp:docPr id="1996" name="Group 1996"/>
                <wp:cNvGraphicFramePr/>
                <a:graphic xmlns:a="http://schemas.openxmlformats.org/drawingml/2006/main">
                  <a:graphicData uri="http://schemas.microsoft.com/office/word/2010/wordprocessingGroup">
                    <wpg:wgp>
                      <wpg:cNvGrpSpPr/>
                      <wpg:grpSpPr>
                        <a:xfrm>
                          <a:off x="0" y="0"/>
                          <a:ext cx="3803015" cy="2684780"/>
                          <a:chOff x="0" y="0"/>
                          <a:chExt cx="1952625" cy="839585"/>
                        </a:xfrm>
                      </wpg:grpSpPr>
                      <wpg:grpSp>
                        <wpg:cNvPr id="1997" name="Group 1997"/>
                        <wpg:cNvGrpSpPr/>
                        <wpg:grpSpPr>
                          <a:xfrm>
                            <a:off x="0" y="0"/>
                            <a:ext cx="1951355" cy="838200"/>
                            <a:chOff x="0" y="0"/>
                            <a:chExt cx="1951355" cy="838200"/>
                          </a:xfrm>
                        </wpg:grpSpPr>
                        <wps:wsp>
                          <wps:cNvPr id="1998" name="Rectangle 1998"/>
                          <wps:cNvSpPr/>
                          <wps:spPr>
                            <a:xfrm>
                              <a:off x="0" y="0"/>
                              <a:ext cx="1951355" cy="838200"/>
                            </a:xfrm>
                            <a:prstGeom prst="rect">
                              <a:avLst/>
                            </a:prstGeom>
                            <a:solidFill>
                              <a:schemeClr val="bg1">
                                <a:lumMod val="8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0380" w:rsidRDefault="00880380" w:rsidP="00880380">
                                <w:pPr>
                                  <w:spacing w:before="120" w:after="120"/>
                                  <w:jc w:val="center"/>
                                  <w:rPr>
                                    <w:b/>
                                    <w:color w:val="000000"/>
                                    <w:szCs w:val="22"/>
                                  </w:rPr>
                                </w:pPr>
                                <w:r>
                                  <w:rPr>
                                    <w:b/>
                                    <w:color w:val="000000"/>
                                    <w:szCs w:val="22"/>
                                  </w:rPr>
                                  <w:t>For more information download:</w:t>
                                </w:r>
                              </w:p>
                              <w:p w:rsidR="00880380" w:rsidRPr="00884FEB" w:rsidRDefault="00880380" w:rsidP="00880380">
                                <w:pPr>
                                  <w:pStyle w:val="ListParagraph"/>
                                  <w:numPr>
                                    <w:ilvl w:val="0"/>
                                    <w:numId w:val="28"/>
                                  </w:numPr>
                                  <w:spacing w:before="120" w:after="120"/>
                                  <w:ind w:left="284" w:hanging="284"/>
                                  <w:contextualSpacing w:val="0"/>
                                  <w:rPr>
                                    <w:rFonts w:ascii="Georgia" w:hAnsi="Georgia"/>
                                    <w:color w:val="000000"/>
                                    <w:sz w:val="22"/>
                                  </w:rPr>
                                </w:pPr>
                                <w:proofErr w:type="spellStart"/>
                                <w:r w:rsidRPr="00880380">
                                  <w:rPr>
                                    <w:rFonts w:ascii="Georgia" w:hAnsi="Georgia"/>
                                    <w:i/>
                                    <w:color w:val="000000"/>
                                    <w:sz w:val="22"/>
                                  </w:rPr>
                                  <w:t>Tatau</w:t>
                                </w:r>
                                <w:proofErr w:type="spellEnd"/>
                                <w:r w:rsidRPr="00880380">
                                  <w:rPr>
                                    <w:rFonts w:ascii="Georgia" w:hAnsi="Georgia"/>
                                    <w:i/>
                                    <w:color w:val="000000"/>
                                    <w:sz w:val="22"/>
                                  </w:rPr>
                                  <w:t xml:space="preserve"> </w:t>
                                </w:r>
                                <w:proofErr w:type="spellStart"/>
                                <w:r w:rsidRPr="00880380">
                                  <w:rPr>
                                    <w:rFonts w:ascii="Georgia" w:hAnsi="Georgia"/>
                                    <w:i/>
                                    <w:color w:val="000000"/>
                                    <w:sz w:val="22"/>
                                  </w:rPr>
                                  <w:t>Kahukura</w:t>
                                </w:r>
                                <w:proofErr w:type="spellEnd"/>
                                <w:r w:rsidRPr="00880380">
                                  <w:rPr>
                                    <w:rFonts w:ascii="Georgia" w:hAnsi="Georgia"/>
                                    <w:i/>
                                    <w:color w:val="000000"/>
                                    <w:sz w:val="22"/>
                                  </w:rPr>
                                  <w:t xml:space="preserve">: Māori Health </w:t>
                                </w:r>
                                <w:proofErr w:type="spellStart"/>
                                <w:r w:rsidRPr="00880380">
                                  <w:rPr>
                                    <w:rFonts w:ascii="Georgia" w:hAnsi="Georgia"/>
                                    <w:i/>
                                    <w:color w:val="000000"/>
                                    <w:sz w:val="22"/>
                                  </w:rPr>
                                  <w:t>Chartbook</w:t>
                                </w:r>
                                <w:proofErr w:type="spellEnd"/>
                                <w:r w:rsidRPr="00880380">
                                  <w:rPr>
                                    <w:rFonts w:ascii="Georgia" w:hAnsi="Georgia"/>
                                    <w:i/>
                                    <w:color w:val="000000"/>
                                    <w:sz w:val="22"/>
                                  </w:rPr>
                                  <w:t xml:space="preserve"> 3rd edition</w:t>
                                </w:r>
                                <w:r>
                                  <w:rPr>
                                    <w:rFonts w:ascii="Georgia" w:hAnsi="Georgia"/>
                                    <w:color w:val="000000"/>
                                    <w:sz w:val="22"/>
                                  </w:rPr>
                                  <w:t xml:space="preserve"> www.health.govt.nz</w:t>
                                </w:r>
                              </w:p>
                              <w:p w:rsidR="00880380" w:rsidRDefault="00880380" w:rsidP="00880380">
                                <w:pPr>
                                  <w:pStyle w:val="ListParagraph"/>
                                  <w:numPr>
                                    <w:ilvl w:val="0"/>
                                    <w:numId w:val="28"/>
                                  </w:numPr>
                                  <w:spacing w:before="120" w:after="120"/>
                                  <w:ind w:left="284" w:hanging="284"/>
                                  <w:contextualSpacing w:val="0"/>
                                  <w:rPr>
                                    <w:rFonts w:ascii="Georgia" w:hAnsi="Georgia"/>
                                    <w:color w:val="000000"/>
                                    <w:sz w:val="22"/>
                                  </w:rPr>
                                </w:pPr>
                                <w:r w:rsidRPr="00880380">
                                  <w:rPr>
                                    <w:rFonts w:ascii="Georgia" w:hAnsi="Georgia"/>
                                    <w:i/>
                                    <w:color w:val="000000"/>
                                    <w:sz w:val="22"/>
                                  </w:rPr>
                                  <w:t>Equity of Health Care for Māori: A framework</w:t>
                                </w:r>
                                <w:r>
                                  <w:rPr>
                                    <w:rFonts w:ascii="Georgia" w:hAnsi="Georgia"/>
                                    <w:color w:val="000000"/>
                                    <w:sz w:val="22"/>
                                  </w:rPr>
                                  <w:t xml:space="preserve"> www.health.govt.nz/publication/equity-health-care-maori-framework</w:t>
                                </w:r>
                              </w:p>
                              <w:p w:rsidR="00880380" w:rsidRDefault="00880380" w:rsidP="00880380">
                                <w:pPr>
                                  <w:pStyle w:val="ListParagraph"/>
                                  <w:numPr>
                                    <w:ilvl w:val="0"/>
                                    <w:numId w:val="28"/>
                                  </w:numPr>
                                  <w:spacing w:before="120" w:after="120"/>
                                  <w:ind w:left="284" w:hanging="284"/>
                                  <w:contextualSpacing w:val="0"/>
                                  <w:rPr>
                                    <w:rFonts w:ascii="Georgia" w:hAnsi="Georgia"/>
                                    <w:color w:val="000000"/>
                                    <w:sz w:val="22"/>
                                  </w:rPr>
                                </w:pPr>
                                <w:r w:rsidRPr="00880380">
                                  <w:rPr>
                                    <w:rFonts w:ascii="Georgia" w:hAnsi="Georgia"/>
                                    <w:i/>
                                    <w:color w:val="000000"/>
                                    <w:sz w:val="22"/>
                                  </w:rPr>
                                  <w:t>’</w:t>
                                </w:r>
                                <w:proofErr w:type="spellStart"/>
                                <w:r w:rsidRPr="00880380">
                                  <w:rPr>
                                    <w:rFonts w:ascii="Georgia" w:hAnsi="Georgia"/>
                                    <w:i/>
                                    <w:color w:val="000000"/>
                                    <w:sz w:val="22"/>
                                  </w:rPr>
                                  <w:t>Ala</w:t>
                                </w:r>
                                <w:proofErr w:type="spellEnd"/>
                                <w:r w:rsidRPr="00880380">
                                  <w:rPr>
                                    <w:rFonts w:ascii="Georgia" w:hAnsi="Georgia"/>
                                    <w:i/>
                                    <w:color w:val="000000"/>
                                    <w:sz w:val="22"/>
                                  </w:rPr>
                                  <w:t xml:space="preserve"> </w:t>
                                </w:r>
                                <w:proofErr w:type="spellStart"/>
                                <w:r w:rsidRPr="00880380">
                                  <w:rPr>
                                    <w:rFonts w:ascii="Georgia" w:hAnsi="Georgia"/>
                                    <w:i/>
                                    <w:color w:val="000000"/>
                                    <w:sz w:val="22"/>
                                  </w:rPr>
                                  <w:t>Mo’ui</w:t>
                                </w:r>
                                <w:proofErr w:type="spellEnd"/>
                                <w:r w:rsidRPr="00880380">
                                  <w:rPr>
                                    <w:rFonts w:ascii="Georgia" w:hAnsi="Georgia"/>
                                    <w:i/>
                                    <w:color w:val="000000"/>
                                    <w:sz w:val="22"/>
                                  </w:rPr>
                                  <w:t>: Pathways to Pacific He</w:t>
                                </w:r>
                                <w:r>
                                  <w:rPr>
                                    <w:rFonts w:ascii="Georgia" w:hAnsi="Georgia"/>
                                    <w:i/>
                                    <w:color w:val="000000"/>
                                    <w:sz w:val="22"/>
                                  </w:rPr>
                                  <w:t>a</w:t>
                                </w:r>
                                <w:r w:rsidRPr="00880380">
                                  <w:rPr>
                                    <w:rFonts w:ascii="Georgia" w:hAnsi="Georgia"/>
                                    <w:i/>
                                    <w:color w:val="000000"/>
                                    <w:sz w:val="22"/>
                                  </w:rPr>
                                  <w:t xml:space="preserve">lth and </w:t>
                                </w:r>
                                <w:r w:rsidR="009B2B80" w:rsidRPr="00880380">
                                  <w:rPr>
                                    <w:rFonts w:ascii="Georgia" w:hAnsi="Georgia"/>
                                    <w:i/>
                                    <w:color w:val="000000"/>
                                    <w:sz w:val="22"/>
                                  </w:rPr>
                                  <w:t>Wellbeing</w:t>
                                </w:r>
                                <w:r>
                                  <w:rPr>
                                    <w:rFonts w:ascii="Georgia" w:hAnsi="Georgia"/>
                                    <w:color w:val="000000"/>
                                    <w:sz w:val="22"/>
                                  </w:rPr>
                                  <w:t xml:space="preserve"> 2014–18 www.health.govt.nz/publication/ala-mou-pathways-pacific-health-and-wellbeing-2014-2018</w:t>
                                </w:r>
                              </w:p>
                              <w:p w:rsidR="00880380" w:rsidRPr="00884FEB" w:rsidRDefault="00880380" w:rsidP="00880380">
                                <w:pPr>
                                  <w:pStyle w:val="ListParagraph"/>
                                  <w:numPr>
                                    <w:ilvl w:val="0"/>
                                    <w:numId w:val="28"/>
                                  </w:numPr>
                                  <w:spacing w:before="120" w:after="120"/>
                                  <w:ind w:left="284" w:hanging="284"/>
                                  <w:contextualSpacing w:val="0"/>
                                  <w:rPr>
                                    <w:rFonts w:ascii="Georgia" w:hAnsi="Georgia"/>
                                    <w:color w:val="000000"/>
                                    <w:sz w:val="22"/>
                                  </w:rPr>
                                </w:pPr>
                                <w:r w:rsidRPr="00880380">
                                  <w:rPr>
                                    <w:rFonts w:ascii="Georgia" w:hAnsi="Georgia"/>
                                    <w:i/>
                                    <w:color w:val="000000"/>
                                    <w:sz w:val="22"/>
                                  </w:rPr>
                                  <w:t>A Framework for Health Literacy</w:t>
                                </w:r>
                                <w:r>
                                  <w:rPr>
                                    <w:rFonts w:ascii="Georgia" w:hAnsi="Georgia"/>
                                    <w:color w:val="000000"/>
                                    <w:sz w:val="22"/>
                                  </w:rPr>
                                  <w:t xml:space="preserve"> www.health.govt.nz/publication/framework-health-literacy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9" name="Straight Connector 1999"/>
                          <wps:cNvCnPr/>
                          <wps:spPr>
                            <a:xfrm>
                              <a:off x="0" y="10063"/>
                              <a:ext cx="195135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000" name="Straight Connector 2000"/>
                        <wps:cNvCnPr/>
                        <wps:spPr>
                          <a:xfrm>
                            <a:off x="0" y="839585"/>
                            <a:ext cx="19526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996" o:spid="_x0000_s1083" style="position:absolute;margin-left:168.65pt;margin-top:1.6pt;width:299.45pt;height:211.4pt;z-index:251830272;mso-wrap-distance-right:0;mso-width-relative:margin;mso-height-relative:margin" coordsize="19526,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">
                <v:group id="Group 1997" o:spid="_x0000_s1084" style="position:absolute;width:19513;height:8382" coordsize="19513,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YyPsQAAADdAAAADwAAAGRycy9kb3ducmV2LnhtbERPTWvCQBC9F/oflil4&#10;000qtTW6ikhbPIhgFMTbkB2TYHY2ZLdJ/PeuIPQ2j/c582VvKtFS40rLCuJRBII4s7rkXMHx8DP8&#10;AuE8ssbKMim4kYPl4vVljom2He+pTX0uQgi7BBUU3teJlC4ryKAb2Zo4cBfbGPQBNrnUDXYh3FTy&#10;PYom0mDJoaHAmtYFZdf0zyj47bBbjePvdnu9rG/nw8futI1JqcFbv5qB8NT7f/HTvdFh/nT6C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YyPsQAAADdAAAA&#10;DwAAAAAAAAAAAAAAAACqAgAAZHJzL2Rvd25yZXYueG1sUEsFBgAAAAAEAAQA+gAAAJsDAAAAAA==&#10;">
                  <v:rect id="Rectangle 1998" o:spid="_x0000_s1085" style="position:absolute;width:19513;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AMQA&#10;AADdAAAADwAAAGRycy9kb3ducmV2LnhtbESPQWvDMAyF74P9B6PBbquzHUaa1S1lMEihl3X5AcJW&#10;k9BYDraXpP311WGwm8R7eu/TZrf4QU0UUx/YwOuqAEVsg+u5NdD8fL2UoFJGdjgEJgNXSrDbPj5s&#10;sHJh5m+aTrlVEsKpQgNdzmOldbIdeUyrMBKLdg7RY5Y1ttpFnCXcD/qtKN61x56locORPjuyl9Ov&#10;N7Bvrudy6g+Xmm0932xzbG0sjXl+WvYfoDIt+d/8d107wV+vBVe+kRH0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0ZwDEAAAA3QAAAA8AAAAAAAAAAAAAAAAAmAIAAGRycy9k&#10;b3ducmV2LnhtbFBLBQYAAAAABAAEAPUAAACJAwAAAAA=&#10;" fillcolor="#d8d8d8 [2732]" stroked="f" strokeweight=".5pt">
                    <v:textbox>
                      <w:txbxContent>
                        <w:p w:rsidR="00880380" w:rsidRDefault="00880380" w:rsidP="00880380">
                          <w:pPr>
                            <w:spacing w:before="120" w:after="120"/>
                            <w:jc w:val="center"/>
                            <w:rPr>
                              <w:b/>
                              <w:color w:val="000000"/>
                              <w:szCs w:val="22"/>
                            </w:rPr>
                          </w:pPr>
                          <w:r>
                            <w:rPr>
                              <w:b/>
                              <w:color w:val="000000"/>
                              <w:szCs w:val="22"/>
                            </w:rPr>
                            <w:t>For more information download:</w:t>
                          </w:r>
                        </w:p>
                        <w:p w:rsidR="00880380" w:rsidRPr="00884FEB" w:rsidRDefault="00880380" w:rsidP="00880380">
                          <w:pPr>
                            <w:pStyle w:val="ListParagraph"/>
                            <w:numPr>
                              <w:ilvl w:val="0"/>
                              <w:numId w:val="28"/>
                            </w:numPr>
                            <w:spacing w:before="120" w:after="120"/>
                            <w:ind w:left="284" w:hanging="284"/>
                            <w:contextualSpacing w:val="0"/>
                            <w:rPr>
                              <w:rFonts w:ascii="Georgia" w:hAnsi="Georgia"/>
                              <w:color w:val="000000"/>
                              <w:sz w:val="22"/>
                            </w:rPr>
                          </w:pPr>
                          <w:r w:rsidRPr="00880380">
                            <w:rPr>
                              <w:rFonts w:ascii="Georgia" w:hAnsi="Georgia"/>
                              <w:i/>
                              <w:color w:val="000000"/>
                              <w:sz w:val="22"/>
                            </w:rPr>
                            <w:t>Tatau Kahukura: Māori Health Chartbook 3rd edition</w:t>
                          </w:r>
                          <w:r>
                            <w:rPr>
                              <w:rFonts w:ascii="Georgia" w:hAnsi="Georgia"/>
                              <w:color w:val="000000"/>
                              <w:sz w:val="22"/>
                            </w:rPr>
                            <w:t xml:space="preserve"> www.health.govt.nz</w:t>
                          </w:r>
                        </w:p>
                        <w:p w:rsidR="00880380" w:rsidRDefault="00880380" w:rsidP="00880380">
                          <w:pPr>
                            <w:pStyle w:val="ListParagraph"/>
                            <w:numPr>
                              <w:ilvl w:val="0"/>
                              <w:numId w:val="28"/>
                            </w:numPr>
                            <w:spacing w:before="120" w:after="120"/>
                            <w:ind w:left="284" w:hanging="284"/>
                            <w:contextualSpacing w:val="0"/>
                            <w:rPr>
                              <w:rFonts w:ascii="Georgia" w:hAnsi="Georgia"/>
                              <w:color w:val="000000"/>
                              <w:sz w:val="22"/>
                            </w:rPr>
                          </w:pPr>
                          <w:r w:rsidRPr="00880380">
                            <w:rPr>
                              <w:rFonts w:ascii="Georgia" w:hAnsi="Georgia"/>
                              <w:i/>
                              <w:color w:val="000000"/>
                              <w:sz w:val="22"/>
                            </w:rPr>
                            <w:t>Equity of Health Care for Māori: A framework</w:t>
                          </w:r>
                          <w:r>
                            <w:rPr>
                              <w:rFonts w:ascii="Georgia" w:hAnsi="Georgia"/>
                              <w:color w:val="000000"/>
                              <w:sz w:val="22"/>
                            </w:rPr>
                            <w:t xml:space="preserve"> www.health.govt.nz/publication/equity-health-care-maori-framework</w:t>
                          </w:r>
                        </w:p>
                        <w:p w:rsidR="00880380" w:rsidRDefault="00880380" w:rsidP="00880380">
                          <w:pPr>
                            <w:pStyle w:val="ListParagraph"/>
                            <w:numPr>
                              <w:ilvl w:val="0"/>
                              <w:numId w:val="28"/>
                            </w:numPr>
                            <w:spacing w:before="120" w:after="120"/>
                            <w:ind w:left="284" w:hanging="284"/>
                            <w:contextualSpacing w:val="0"/>
                            <w:rPr>
                              <w:rFonts w:ascii="Georgia" w:hAnsi="Georgia"/>
                              <w:color w:val="000000"/>
                              <w:sz w:val="22"/>
                            </w:rPr>
                          </w:pPr>
                          <w:r w:rsidRPr="00880380">
                            <w:rPr>
                              <w:rFonts w:ascii="Georgia" w:hAnsi="Georgia"/>
                              <w:i/>
                              <w:color w:val="000000"/>
                              <w:sz w:val="22"/>
                            </w:rPr>
                            <w:t>’Ala Mo’ui: Pathways to Pacific He</w:t>
                          </w:r>
                          <w:r>
                            <w:rPr>
                              <w:rFonts w:ascii="Georgia" w:hAnsi="Georgia"/>
                              <w:i/>
                              <w:color w:val="000000"/>
                              <w:sz w:val="22"/>
                            </w:rPr>
                            <w:t>a</w:t>
                          </w:r>
                          <w:r w:rsidRPr="00880380">
                            <w:rPr>
                              <w:rFonts w:ascii="Georgia" w:hAnsi="Georgia"/>
                              <w:i/>
                              <w:color w:val="000000"/>
                              <w:sz w:val="22"/>
                            </w:rPr>
                            <w:t xml:space="preserve">lth and </w:t>
                          </w:r>
                          <w:r w:rsidR="009B2B80" w:rsidRPr="00880380">
                            <w:rPr>
                              <w:rFonts w:ascii="Georgia" w:hAnsi="Georgia"/>
                              <w:i/>
                              <w:color w:val="000000"/>
                              <w:sz w:val="22"/>
                            </w:rPr>
                            <w:t>Wellbeing</w:t>
                          </w:r>
                          <w:r>
                            <w:rPr>
                              <w:rFonts w:ascii="Georgia" w:hAnsi="Georgia"/>
                              <w:color w:val="000000"/>
                              <w:sz w:val="22"/>
                            </w:rPr>
                            <w:t xml:space="preserve"> 2014–18 www.health.govt.nz/publication/ala-mou-pathways-pacific-health-and-wellbeing-2014-2018</w:t>
                          </w:r>
                        </w:p>
                        <w:p w:rsidR="00880380" w:rsidRPr="00884FEB" w:rsidRDefault="00880380" w:rsidP="00880380">
                          <w:pPr>
                            <w:pStyle w:val="ListParagraph"/>
                            <w:numPr>
                              <w:ilvl w:val="0"/>
                              <w:numId w:val="28"/>
                            </w:numPr>
                            <w:spacing w:before="120" w:after="120"/>
                            <w:ind w:left="284" w:hanging="284"/>
                            <w:contextualSpacing w:val="0"/>
                            <w:rPr>
                              <w:rFonts w:ascii="Georgia" w:hAnsi="Georgia"/>
                              <w:color w:val="000000"/>
                              <w:sz w:val="22"/>
                            </w:rPr>
                          </w:pPr>
                          <w:r w:rsidRPr="00880380">
                            <w:rPr>
                              <w:rFonts w:ascii="Georgia" w:hAnsi="Georgia"/>
                              <w:i/>
                              <w:color w:val="000000"/>
                              <w:sz w:val="22"/>
                            </w:rPr>
                            <w:t>A Framework for Health Literacy</w:t>
                          </w:r>
                          <w:r>
                            <w:rPr>
                              <w:rFonts w:ascii="Georgia" w:hAnsi="Georgia"/>
                              <w:color w:val="000000"/>
                              <w:sz w:val="22"/>
                            </w:rPr>
                            <w:t xml:space="preserve"> www.health.govt.nz/publication/framework-health-literacy</w:t>
                          </w:r>
                        </w:p>
                      </w:txbxContent>
                    </v:textbox>
                  </v:rect>
                  <v:line id="Straight Connector 1999" o:spid="_x0000_s1086" style="position:absolute;visibility:visible;mso-wrap-style:square" from="0,100" to="19513,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pWbsIAAADdAAAADwAAAGRycy9kb3ducmV2LnhtbERP24rCMBB9F/Yfwiz4ZlP3QWzXKCLs&#10;Iot4qX7A0Ixt2WZSkqj1740g+DaHc53ZojetuJLzjWUF4yQFQVxa3XCl4HT8GU1B+ICssbVMCu7k&#10;YTH/GMww1/bGB7oWoRIxhH2OCuoQulxKX9Zk0Ce2I47c2TqDIUJXSe3wFsNNK7/SdCINNhwbauxo&#10;VVP5X1yMArd1v253mez+Krk+69O+SLvNSqnhZ7/8BhGoD2/xy73WcX6WZfD8Jp4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pWbsIAAADdAAAADwAAAAAAAAAAAAAA&#10;AAChAgAAZHJzL2Rvd25yZXYueG1sUEsFBgAAAAAEAAQA+QAAAJADAAAAAA==&#10;" strokecolor="black [3213]" strokeweight="4.5pt"/>
                </v:group>
                <v:line id="Straight Connector 2000" o:spid="_x0000_s1087" style="position:absolute;visibility:visible;mso-wrap-style:square" from="0,8395" to="19526,8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0tLcMAAADdAAAADwAAAGRycy9kb3ducmV2LnhtbESPwW7CMAyG70h7h8iTdoMUDhPqCAiQ&#10;2HZdgcNuVmOaisapkpR2bz8fJu1o/f4/+9vsJt+pB8XUBjawXBSgiOtgW24MXM6n+RpUysgWu8Bk&#10;4IcS7LZPsw2WNoz8RY8qN0ognEo04HLuS61T7chjWoSeWLJbiB6zjLHRNuIocN/pVVG8ao8tywWH&#10;PR0d1fdq8Aa+h0OOH2e9H6vp+O5Wp64ewtWYl+dp/wYq05T/l//an9aAEOV/sRET0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dLS3DAAAA3QAAAA8AAAAAAAAAAAAA&#10;AAAAoQIAAGRycy9kb3ducmV2LnhtbFBLBQYAAAAABAAEAPkAAACRAwAAAAA=&#10;" strokecolor="black [3213]" strokeweight="1.5pt"/>
                <w10:wrap type="square" side="left"/>
              </v:group>
            </w:pict>
          </mc:Fallback>
        </mc:AlternateContent>
      </w:r>
      <w:r w:rsidR="00A74AC3" w:rsidRPr="00D94409">
        <w:t>In addition, other groups such as disabled people and those with mental illness experience poorer health outcomes than the population as a whole.</w:t>
      </w:r>
    </w:p>
    <w:p w:rsidR="00A74AC3" w:rsidRPr="00D94409" w:rsidRDefault="00A74AC3" w:rsidP="0090352A">
      <w:pPr>
        <w:rPr>
          <w:rFonts w:eastAsia="Century"/>
        </w:rPr>
      </w:pPr>
    </w:p>
    <w:p w:rsidR="00A74AC3" w:rsidRPr="00D94409" w:rsidRDefault="00A74AC3" w:rsidP="0090352A">
      <w:pPr>
        <w:rPr>
          <w:rFonts w:cs="Century"/>
        </w:rPr>
      </w:pPr>
      <w:r w:rsidRPr="00D94409">
        <w:t xml:space="preserve">To improve health services for these populations, it is necessary to both deliver core services </w:t>
      </w:r>
      <w:proofErr w:type="gramStart"/>
      <w:r w:rsidRPr="00D94409">
        <w:t>effectively,</w:t>
      </w:r>
      <w:proofErr w:type="gramEnd"/>
      <w:r w:rsidRPr="00D94409">
        <w:t xml:space="preserve"> and to provide additional support and tailored services to those in need of them.</w:t>
      </w:r>
    </w:p>
    <w:p w:rsidR="00A74AC3" w:rsidRPr="00D94409" w:rsidRDefault="00A74AC3" w:rsidP="0090352A">
      <w:pPr>
        <w:rPr>
          <w:rFonts w:eastAsia="Century"/>
        </w:rPr>
      </w:pPr>
    </w:p>
    <w:p w:rsidR="00A74AC3" w:rsidRPr="00D94409" w:rsidRDefault="00A74AC3" w:rsidP="0090352A">
      <w:pPr>
        <w:pStyle w:val="Heading3"/>
        <w:rPr>
          <w:rFonts w:eastAsia="Arial Black" w:hAnsi="Arial Black" w:cs="Arial Black"/>
          <w:szCs w:val="28"/>
        </w:rPr>
      </w:pPr>
      <w:r w:rsidRPr="00D94409">
        <w:lastRenderedPageBreak/>
        <w:t>The population is becoming increasingly diverse, with one in four born overseas</w:t>
      </w:r>
    </w:p>
    <w:p w:rsidR="00A74AC3" w:rsidRPr="00D94409" w:rsidRDefault="00A74AC3" w:rsidP="00880380">
      <w:pPr>
        <w:keepLines/>
        <w:rPr>
          <w:rFonts w:cs="Century"/>
        </w:rPr>
      </w:pPr>
      <w:r w:rsidRPr="00D94409">
        <w:t>New Zealand is becoming more ethnically diverse, as home to more than 143 different ethnic groups (Statistics New Zealand 2014a). Māori make up</w:t>
      </w:r>
      <w:r w:rsidR="00880380">
        <w:t xml:space="preserve"> </w:t>
      </w:r>
      <w:r w:rsidRPr="00D94409">
        <w:t>15 percent of the New Zealand population, while 12 percent are Asian, 7 percent Pacific peoples and 1 percent Middle-Eastern, Latin American or African (MELAA). The ethnic groups growing most rapidly are MELAA with a 35</w:t>
      </w:r>
      <w:r w:rsidR="00880380">
        <w:t> </w:t>
      </w:r>
      <w:r w:rsidRPr="00D94409">
        <w:t>percent increase and Asian with a</w:t>
      </w:r>
      <w:r w:rsidR="00880380">
        <w:t xml:space="preserve"> </w:t>
      </w:r>
      <w:r w:rsidRPr="00D94409">
        <w:t>33 percent increase between the 2006 and the 2013 censuses. A quarter of the population, over 1 million people, were born overseas.</w:t>
      </w:r>
    </w:p>
    <w:p w:rsidR="00A74AC3" w:rsidRPr="00D94409" w:rsidRDefault="00A74AC3" w:rsidP="0090352A">
      <w:pPr>
        <w:rPr>
          <w:rFonts w:eastAsia="Century"/>
        </w:rPr>
      </w:pPr>
    </w:p>
    <w:p w:rsidR="00A74AC3" w:rsidRPr="00D94409" w:rsidRDefault="00A74AC3" w:rsidP="0090352A">
      <w:pPr>
        <w:rPr>
          <w:rFonts w:cs="Century"/>
        </w:rPr>
      </w:pPr>
      <w:r w:rsidRPr="00D94409">
        <w:t>Around 87,000 people living in New Zealand, or 2 percent of the population, do not speak English. The most common languages spoken by non-English speakers are Chinese languages (38 percent of non- English speakers), Samoan (11 percent) and Māori (10 percent).</w:t>
      </w:r>
    </w:p>
    <w:p w:rsidR="00A74AC3" w:rsidRPr="00D94409" w:rsidRDefault="00A74AC3" w:rsidP="0090352A">
      <w:pPr>
        <w:rPr>
          <w:rFonts w:eastAsia="Century"/>
        </w:rPr>
      </w:pPr>
    </w:p>
    <w:p w:rsidR="00A74AC3" w:rsidRPr="00D94409" w:rsidRDefault="00A74AC3" w:rsidP="0090352A">
      <w:pPr>
        <w:rPr>
          <w:rFonts w:cs="Century"/>
        </w:rPr>
      </w:pPr>
      <w:r w:rsidRPr="00D94409">
        <w:t>Wher</w:t>
      </w:r>
      <w:r w:rsidRPr="0090352A">
        <w:t>e</w:t>
      </w:r>
      <w:r w:rsidRPr="00D94409">
        <w:t xml:space="preserve"> health professionals are themselves ethnically and linguistically diverse, these disadvantaged communities tend to have better access to and quality of care (Ministry of Health 2014a). Currently the medical and nursing workforce includes a lower proportion of Māori and Pacific peoples than the proportion of these ethnic groups in the population as a whole (Table</w:t>
      </w:r>
      <w:r w:rsidR="0090352A">
        <w:t> </w:t>
      </w:r>
      <w:r w:rsidRPr="00D94409">
        <w:t>2)</w:t>
      </w:r>
      <w:r w:rsidR="0090352A">
        <w:t xml:space="preserve"> </w:t>
      </w:r>
      <w:r w:rsidRPr="00D94409">
        <w:t>(Ministry of Health 2015f).</w:t>
      </w:r>
    </w:p>
    <w:p w:rsidR="00A74AC3" w:rsidRPr="00D94409" w:rsidRDefault="00A74AC3" w:rsidP="0090352A">
      <w:pPr>
        <w:rPr>
          <w:rFonts w:eastAsia="Century"/>
        </w:rPr>
      </w:pPr>
    </w:p>
    <w:p w:rsidR="00A74AC3" w:rsidRPr="00D94409" w:rsidRDefault="00A74AC3" w:rsidP="0090352A">
      <w:pPr>
        <w:pStyle w:val="Table"/>
        <w:rPr>
          <w:rFonts w:eastAsia="Georgia" w:cs="Georgia"/>
          <w:szCs w:val="19"/>
        </w:rPr>
      </w:pPr>
      <w:bookmarkStart w:id="49" w:name="_Toc433234105"/>
      <w:r w:rsidRPr="00D94409">
        <w:t>Table 2: Ethnic breakdown of the medical and nursing workforce and the New Zealand population</w:t>
      </w:r>
      <w:bookmarkEnd w:id="49"/>
    </w:p>
    <w:tbl>
      <w:tblPr>
        <w:tblW w:w="0" w:type="auto"/>
        <w:tblInd w:w="108" w:type="dxa"/>
        <w:tblLayout w:type="fixed"/>
        <w:tblLook w:val="01E0" w:firstRow="1" w:lastRow="1" w:firstColumn="1" w:lastColumn="1" w:noHBand="0" w:noVBand="0"/>
      </w:tblPr>
      <w:tblGrid>
        <w:gridCol w:w="1219"/>
        <w:gridCol w:w="2467"/>
        <w:gridCol w:w="2410"/>
        <w:gridCol w:w="2268"/>
      </w:tblGrid>
      <w:tr w:rsidR="00A74AC3" w:rsidRPr="00D94409" w:rsidTr="00880380">
        <w:trPr>
          <w:cantSplit/>
        </w:trPr>
        <w:tc>
          <w:tcPr>
            <w:tcW w:w="1219" w:type="dxa"/>
            <w:tcBorders>
              <w:top w:val="single" w:sz="4" w:space="0" w:color="000000"/>
              <w:left w:val="nil"/>
              <w:bottom w:val="single" w:sz="4" w:space="0" w:color="000000"/>
              <w:right w:val="single" w:sz="4" w:space="0" w:color="A7A9AC"/>
            </w:tcBorders>
          </w:tcPr>
          <w:p w:rsidR="00A74AC3" w:rsidRPr="00880380" w:rsidRDefault="00A74AC3" w:rsidP="00880380">
            <w:pPr>
              <w:pStyle w:val="TableText"/>
              <w:rPr>
                <w:rFonts w:ascii="Georgia" w:hAnsi="Georgia"/>
                <w:sz w:val="20"/>
              </w:rPr>
            </w:pPr>
          </w:p>
        </w:tc>
        <w:tc>
          <w:tcPr>
            <w:tcW w:w="2467" w:type="dxa"/>
            <w:tcBorders>
              <w:top w:val="single" w:sz="4" w:space="0" w:color="000000"/>
              <w:left w:val="single" w:sz="4" w:space="0" w:color="A7A9AC"/>
              <w:bottom w:val="single" w:sz="4" w:space="0" w:color="000000"/>
              <w:right w:val="single" w:sz="4" w:space="0" w:color="A7A9AC"/>
            </w:tcBorders>
          </w:tcPr>
          <w:p w:rsidR="00A74AC3" w:rsidRPr="00880380" w:rsidRDefault="00A74AC3" w:rsidP="00880380">
            <w:pPr>
              <w:pStyle w:val="TableText"/>
              <w:jc w:val="center"/>
              <w:rPr>
                <w:rFonts w:ascii="Georgia" w:eastAsia="Arial" w:hAnsi="Georgia" w:cs="Arial"/>
                <w:sz w:val="20"/>
              </w:rPr>
            </w:pPr>
            <w:r w:rsidRPr="00880380">
              <w:rPr>
                <w:rFonts w:ascii="Georgia" w:hAnsi="Georgia"/>
                <w:b/>
                <w:sz w:val="20"/>
              </w:rPr>
              <w:t>Medical workforce</w:t>
            </w:r>
            <w:r w:rsidRPr="00880380">
              <w:rPr>
                <w:rFonts w:ascii="Georgia" w:hAnsi="Georgia"/>
                <w:sz w:val="20"/>
                <w:vertAlign w:val="superscript"/>
              </w:rPr>
              <w:t>1</w:t>
            </w:r>
          </w:p>
        </w:tc>
        <w:tc>
          <w:tcPr>
            <w:tcW w:w="2410" w:type="dxa"/>
            <w:tcBorders>
              <w:top w:val="single" w:sz="4" w:space="0" w:color="000000"/>
              <w:left w:val="single" w:sz="4" w:space="0" w:color="A7A9AC"/>
              <w:bottom w:val="single" w:sz="4" w:space="0" w:color="000000"/>
              <w:right w:val="single" w:sz="4" w:space="0" w:color="A7A9AC"/>
            </w:tcBorders>
          </w:tcPr>
          <w:p w:rsidR="00A74AC3" w:rsidRPr="00880380" w:rsidRDefault="00A74AC3" w:rsidP="00880380">
            <w:pPr>
              <w:pStyle w:val="TableText"/>
              <w:jc w:val="center"/>
              <w:rPr>
                <w:rFonts w:ascii="Georgia" w:eastAsia="Arial" w:hAnsi="Georgia" w:cs="Arial"/>
                <w:sz w:val="20"/>
              </w:rPr>
            </w:pPr>
            <w:r w:rsidRPr="00880380">
              <w:rPr>
                <w:rFonts w:ascii="Georgia" w:hAnsi="Georgia"/>
                <w:b/>
                <w:sz w:val="20"/>
              </w:rPr>
              <w:t>Nursing workforce</w:t>
            </w:r>
            <w:r w:rsidRPr="00880380">
              <w:rPr>
                <w:rFonts w:ascii="Georgia" w:hAnsi="Georgia"/>
                <w:sz w:val="20"/>
                <w:vertAlign w:val="superscript"/>
              </w:rPr>
              <w:t>2</w:t>
            </w:r>
          </w:p>
        </w:tc>
        <w:tc>
          <w:tcPr>
            <w:tcW w:w="2268" w:type="dxa"/>
            <w:tcBorders>
              <w:top w:val="single" w:sz="4" w:space="0" w:color="000000"/>
              <w:left w:val="single" w:sz="4" w:space="0" w:color="A7A9AC"/>
              <w:bottom w:val="single" w:sz="4" w:space="0" w:color="000000"/>
              <w:right w:val="nil"/>
            </w:tcBorders>
          </w:tcPr>
          <w:p w:rsidR="00A74AC3" w:rsidRPr="00880380" w:rsidRDefault="00A74AC3" w:rsidP="00880380">
            <w:pPr>
              <w:pStyle w:val="TableText"/>
              <w:jc w:val="center"/>
              <w:rPr>
                <w:rFonts w:ascii="Georgia" w:eastAsia="Arial" w:hAnsi="Georgia" w:cs="Arial"/>
                <w:sz w:val="20"/>
              </w:rPr>
            </w:pPr>
            <w:r w:rsidRPr="00880380">
              <w:rPr>
                <w:rFonts w:ascii="Georgia" w:hAnsi="Georgia"/>
                <w:b/>
                <w:sz w:val="20"/>
              </w:rPr>
              <w:t>% of population*</w:t>
            </w:r>
          </w:p>
        </w:tc>
      </w:tr>
      <w:tr w:rsidR="00A74AC3" w:rsidRPr="00D94409" w:rsidTr="00880380">
        <w:trPr>
          <w:cantSplit/>
        </w:trPr>
        <w:tc>
          <w:tcPr>
            <w:tcW w:w="1219" w:type="dxa"/>
            <w:tcBorders>
              <w:top w:val="single" w:sz="4" w:space="0" w:color="000000"/>
              <w:left w:val="nil"/>
              <w:bottom w:val="single" w:sz="4" w:space="0" w:color="A7A9AC"/>
              <w:right w:val="single" w:sz="4" w:space="0" w:color="A7A9AC"/>
            </w:tcBorders>
          </w:tcPr>
          <w:p w:rsidR="00A74AC3" w:rsidRPr="00880380" w:rsidRDefault="00A74AC3" w:rsidP="00880380">
            <w:pPr>
              <w:pStyle w:val="TableText"/>
              <w:rPr>
                <w:rFonts w:ascii="Georgia" w:eastAsia="Arial" w:hAnsi="Georgia" w:cs="Arial"/>
                <w:sz w:val="20"/>
              </w:rPr>
            </w:pPr>
            <w:r w:rsidRPr="00880380">
              <w:rPr>
                <w:rFonts w:ascii="Georgia" w:hAnsi="Georgia"/>
                <w:sz w:val="20"/>
              </w:rPr>
              <w:t>European</w:t>
            </w:r>
          </w:p>
        </w:tc>
        <w:tc>
          <w:tcPr>
            <w:tcW w:w="2467" w:type="dxa"/>
            <w:tcBorders>
              <w:top w:val="single" w:sz="4" w:space="0" w:color="000000"/>
              <w:left w:val="single" w:sz="4" w:space="0" w:color="A7A9AC"/>
              <w:bottom w:val="single" w:sz="4" w:space="0" w:color="A7A9AC"/>
              <w:right w:val="single" w:sz="4" w:space="0" w:color="A7A9AC"/>
            </w:tcBorders>
          </w:tcPr>
          <w:p w:rsidR="00A74AC3" w:rsidRPr="00880380" w:rsidRDefault="00A74AC3" w:rsidP="00880380">
            <w:pPr>
              <w:pStyle w:val="TableText"/>
              <w:tabs>
                <w:tab w:val="decimal" w:pos="1225"/>
              </w:tabs>
              <w:rPr>
                <w:rFonts w:ascii="Georgia" w:eastAsia="Arial" w:hAnsi="Georgia" w:cs="Arial"/>
                <w:sz w:val="20"/>
              </w:rPr>
            </w:pPr>
            <w:r w:rsidRPr="00880380">
              <w:rPr>
                <w:rFonts w:ascii="Georgia" w:hAnsi="Georgia"/>
                <w:sz w:val="20"/>
              </w:rPr>
              <w:t>68%</w:t>
            </w:r>
          </w:p>
        </w:tc>
        <w:tc>
          <w:tcPr>
            <w:tcW w:w="2410" w:type="dxa"/>
            <w:tcBorders>
              <w:top w:val="single" w:sz="4" w:space="0" w:color="000000"/>
              <w:left w:val="single" w:sz="4" w:space="0" w:color="A7A9AC"/>
              <w:bottom w:val="single" w:sz="4" w:space="0" w:color="A7A9AC"/>
              <w:right w:val="single" w:sz="4" w:space="0" w:color="A7A9AC"/>
            </w:tcBorders>
          </w:tcPr>
          <w:p w:rsidR="00A74AC3" w:rsidRPr="00880380" w:rsidRDefault="00A74AC3" w:rsidP="00880380">
            <w:pPr>
              <w:pStyle w:val="TableText"/>
              <w:tabs>
                <w:tab w:val="decimal" w:pos="1225"/>
              </w:tabs>
              <w:rPr>
                <w:rFonts w:ascii="Georgia" w:eastAsia="Arial" w:hAnsi="Georgia" w:cs="Arial"/>
                <w:sz w:val="20"/>
              </w:rPr>
            </w:pPr>
            <w:r w:rsidRPr="00880380">
              <w:rPr>
                <w:rFonts w:ascii="Georgia" w:hAnsi="Georgia"/>
                <w:sz w:val="20"/>
              </w:rPr>
              <w:t>91%</w:t>
            </w:r>
          </w:p>
        </w:tc>
        <w:tc>
          <w:tcPr>
            <w:tcW w:w="2268" w:type="dxa"/>
            <w:tcBorders>
              <w:top w:val="single" w:sz="4" w:space="0" w:color="000000"/>
              <w:left w:val="single" w:sz="4" w:space="0" w:color="A7A9AC"/>
              <w:bottom w:val="single" w:sz="4" w:space="0" w:color="A7A9AC"/>
              <w:right w:val="nil"/>
            </w:tcBorders>
          </w:tcPr>
          <w:p w:rsidR="00A74AC3" w:rsidRPr="00880380" w:rsidRDefault="00A74AC3" w:rsidP="00880380">
            <w:pPr>
              <w:pStyle w:val="TableText"/>
              <w:tabs>
                <w:tab w:val="decimal" w:pos="1225"/>
              </w:tabs>
              <w:rPr>
                <w:rFonts w:ascii="Georgia" w:eastAsia="Arial" w:hAnsi="Georgia" w:cs="Arial"/>
                <w:sz w:val="20"/>
              </w:rPr>
            </w:pPr>
            <w:r w:rsidRPr="00880380">
              <w:rPr>
                <w:rFonts w:ascii="Georgia" w:hAnsi="Georgia"/>
                <w:sz w:val="20"/>
              </w:rPr>
              <w:t>74%</w:t>
            </w:r>
          </w:p>
        </w:tc>
      </w:tr>
      <w:tr w:rsidR="00A74AC3" w:rsidRPr="00D94409" w:rsidTr="00880380">
        <w:trPr>
          <w:cantSplit/>
        </w:trPr>
        <w:tc>
          <w:tcPr>
            <w:tcW w:w="1219" w:type="dxa"/>
            <w:tcBorders>
              <w:top w:val="single" w:sz="4" w:space="0" w:color="A7A9AC"/>
              <w:left w:val="nil"/>
              <w:bottom w:val="single" w:sz="4" w:space="0" w:color="A7A9AC"/>
              <w:right w:val="single" w:sz="4" w:space="0" w:color="A7A9AC"/>
            </w:tcBorders>
          </w:tcPr>
          <w:p w:rsidR="00A74AC3" w:rsidRPr="00880380" w:rsidRDefault="00A74AC3" w:rsidP="00880380">
            <w:pPr>
              <w:pStyle w:val="TableText"/>
              <w:rPr>
                <w:rFonts w:ascii="Georgia" w:eastAsia="Arial" w:hAnsi="Georgia" w:cs="Arial"/>
                <w:sz w:val="20"/>
              </w:rPr>
            </w:pPr>
            <w:r w:rsidRPr="00880380">
              <w:rPr>
                <w:rFonts w:ascii="Georgia" w:hAnsi="Georgia"/>
                <w:sz w:val="20"/>
              </w:rPr>
              <w:t>Māori</w:t>
            </w:r>
          </w:p>
        </w:tc>
        <w:tc>
          <w:tcPr>
            <w:tcW w:w="2467" w:type="dxa"/>
            <w:tcBorders>
              <w:top w:val="single" w:sz="4" w:space="0" w:color="A7A9AC"/>
              <w:left w:val="single" w:sz="4" w:space="0" w:color="A7A9AC"/>
              <w:bottom w:val="single" w:sz="4" w:space="0" w:color="A7A9AC"/>
              <w:right w:val="single" w:sz="4" w:space="0" w:color="A7A9AC"/>
            </w:tcBorders>
          </w:tcPr>
          <w:p w:rsidR="00A74AC3" w:rsidRPr="00880380" w:rsidRDefault="00A74AC3" w:rsidP="00880380">
            <w:pPr>
              <w:pStyle w:val="TableText"/>
              <w:tabs>
                <w:tab w:val="decimal" w:pos="1225"/>
              </w:tabs>
              <w:rPr>
                <w:rFonts w:ascii="Georgia" w:eastAsia="Arial" w:hAnsi="Georgia" w:cs="Arial"/>
                <w:sz w:val="20"/>
              </w:rPr>
            </w:pPr>
            <w:r w:rsidRPr="00880380">
              <w:rPr>
                <w:rFonts w:ascii="Georgia" w:hAnsi="Georgia"/>
                <w:sz w:val="20"/>
              </w:rPr>
              <w:t>10%</w:t>
            </w:r>
          </w:p>
        </w:tc>
        <w:tc>
          <w:tcPr>
            <w:tcW w:w="2410" w:type="dxa"/>
            <w:tcBorders>
              <w:top w:val="single" w:sz="4" w:space="0" w:color="A7A9AC"/>
              <w:left w:val="single" w:sz="4" w:space="0" w:color="A7A9AC"/>
              <w:bottom w:val="single" w:sz="4" w:space="0" w:color="A7A9AC"/>
              <w:right w:val="single" w:sz="4" w:space="0" w:color="A7A9AC"/>
            </w:tcBorders>
          </w:tcPr>
          <w:p w:rsidR="00A74AC3" w:rsidRPr="00880380" w:rsidRDefault="00A74AC3" w:rsidP="00880380">
            <w:pPr>
              <w:pStyle w:val="TableText"/>
              <w:tabs>
                <w:tab w:val="decimal" w:pos="1225"/>
              </w:tabs>
              <w:rPr>
                <w:rFonts w:ascii="Georgia" w:eastAsia="Arial" w:hAnsi="Georgia" w:cs="Arial"/>
                <w:sz w:val="20"/>
              </w:rPr>
            </w:pPr>
            <w:r w:rsidRPr="00880380">
              <w:rPr>
                <w:rFonts w:ascii="Georgia" w:hAnsi="Georgia"/>
                <w:sz w:val="20"/>
              </w:rPr>
              <w:t>7%</w:t>
            </w:r>
          </w:p>
        </w:tc>
        <w:tc>
          <w:tcPr>
            <w:tcW w:w="2268" w:type="dxa"/>
            <w:tcBorders>
              <w:top w:val="single" w:sz="4" w:space="0" w:color="A7A9AC"/>
              <w:left w:val="single" w:sz="4" w:space="0" w:color="A7A9AC"/>
              <w:bottom w:val="single" w:sz="4" w:space="0" w:color="A7A9AC"/>
              <w:right w:val="nil"/>
            </w:tcBorders>
          </w:tcPr>
          <w:p w:rsidR="00A74AC3" w:rsidRPr="00880380" w:rsidRDefault="00A74AC3" w:rsidP="00880380">
            <w:pPr>
              <w:pStyle w:val="TableText"/>
              <w:tabs>
                <w:tab w:val="decimal" w:pos="1225"/>
              </w:tabs>
              <w:rPr>
                <w:rFonts w:ascii="Georgia" w:eastAsia="Arial" w:hAnsi="Georgia" w:cs="Arial"/>
                <w:sz w:val="20"/>
              </w:rPr>
            </w:pPr>
            <w:r w:rsidRPr="00880380">
              <w:rPr>
                <w:rFonts w:ascii="Georgia" w:hAnsi="Georgia"/>
                <w:sz w:val="20"/>
              </w:rPr>
              <w:t>15%</w:t>
            </w:r>
          </w:p>
        </w:tc>
      </w:tr>
      <w:tr w:rsidR="00A74AC3" w:rsidRPr="00D94409" w:rsidTr="00880380">
        <w:trPr>
          <w:cantSplit/>
        </w:trPr>
        <w:tc>
          <w:tcPr>
            <w:tcW w:w="1219" w:type="dxa"/>
            <w:tcBorders>
              <w:top w:val="single" w:sz="4" w:space="0" w:color="A7A9AC"/>
              <w:left w:val="nil"/>
              <w:bottom w:val="single" w:sz="4" w:space="0" w:color="A7A9AC"/>
              <w:right w:val="single" w:sz="4" w:space="0" w:color="A7A9AC"/>
            </w:tcBorders>
          </w:tcPr>
          <w:p w:rsidR="00A74AC3" w:rsidRPr="00880380" w:rsidRDefault="00A74AC3" w:rsidP="00880380">
            <w:pPr>
              <w:pStyle w:val="TableText"/>
              <w:rPr>
                <w:rFonts w:ascii="Georgia" w:eastAsia="Arial" w:hAnsi="Georgia" w:cs="Arial"/>
                <w:sz w:val="20"/>
              </w:rPr>
            </w:pPr>
            <w:r w:rsidRPr="00880380">
              <w:rPr>
                <w:rFonts w:ascii="Georgia" w:hAnsi="Georgia"/>
                <w:sz w:val="20"/>
              </w:rPr>
              <w:t>Pacific</w:t>
            </w:r>
          </w:p>
        </w:tc>
        <w:tc>
          <w:tcPr>
            <w:tcW w:w="2467" w:type="dxa"/>
            <w:tcBorders>
              <w:top w:val="single" w:sz="4" w:space="0" w:color="A7A9AC"/>
              <w:left w:val="single" w:sz="4" w:space="0" w:color="A7A9AC"/>
              <w:bottom w:val="single" w:sz="4" w:space="0" w:color="A7A9AC"/>
              <w:right w:val="single" w:sz="4" w:space="0" w:color="A7A9AC"/>
            </w:tcBorders>
          </w:tcPr>
          <w:p w:rsidR="00A74AC3" w:rsidRPr="00880380" w:rsidRDefault="00A74AC3" w:rsidP="00880380">
            <w:pPr>
              <w:pStyle w:val="TableText"/>
              <w:tabs>
                <w:tab w:val="decimal" w:pos="1225"/>
              </w:tabs>
              <w:rPr>
                <w:rFonts w:ascii="Georgia" w:eastAsia="Arial" w:hAnsi="Georgia" w:cs="Arial"/>
                <w:sz w:val="20"/>
              </w:rPr>
            </w:pPr>
            <w:r w:rsidRPr="00880380">
              <w:rPr>
                <w:rFonts w:ascii="Georgia" w:hAnsi="Georgia"/>
                <w:sz w:val="20"/>
              </w:rPr>
              <w:t>3%</w:t>
            </w:r>
          </w:p>
        </w:tc>
        <w:tc>
          <w:tcPr>
            <w:tcW w:w="2410" w:type="dxa"/>
            <w:tcBorders>
              <w:top w:val="single" w:sz="4" w:space="0" w:color="A7A9AC"/>
              <w:left w:val="single" w:sz="4" w:space="0" w:color="A7A9AC"/>
              <w:bottom w:val="single" w:sz="4" w:space="0" w:color="A7A9AC"/>
              <w:right w:val="single" w:sz="4" w:space="0" w:color="A7A9AC"/>
            </w:tcBorders>
          </w:tcPr>
          <w:p w:rsidR="00A74AC3" w:rsidRPr="00880380" w:rsidRDefault="00A74AC3" w:rsidP="00880380">
            <w:pPr>
              <w:pStyle w:val="TableText"/>
              <w:tabs>
                <w:tab w:val="decimal" w:pos="1225"/>
              </w:tabs>
              <w:rPr>
                <w:rFonts w:ascii="Georgia" w:eastAsia="Arial" w:hAnsi="Georgia" w:cs="Arial"/>
                <w:sz w:val="20"/>
              </w:rPr>
            </w:pPr>
            <w:r w:rsidRPr="00880380">
              <w:rPr>
                <w:rFonts w:ascii="Georgia" w:hAnsi="Georgia"/>
                <w:sz w:val="20"/>
              </w:rPr>
              <w:t>3%</w:t>
            </w:r>
          </w:p>
        </w:tc>
        <w:tc>
          <w:tcPr>
            <w:tcW w:w="2268" w:type="dxa"/>
            <w:tcBorders>
              <w:top w:val="single" w:sz="4" w:space="0" w:color="A7A9AC"/>
              <w:left w:val="single" w:sz="4" w:space="0" w:color="A7A9AC"/>
              <w:bottom w:val="single" w:sz="4" w:space="0" w:color="A7A9AC"/>
              <w:right w:val="nil"/>
            </w:tcBorders>
          </w:tcPr>
          <w:p w:rsidR="00A74AC3" w:rsidRPr="00880380" w:rsidRDefault="00A74AC3" w:rsidP="00880380">
            <w:pPr>
              <w:pStyle w:val="TableText"/>
              <w:tabs>
                <w:tab w:val="decimal" w:pos="1225"/>
              </w:tabs>
              <w:rPr>
                <w:rFonts w:ascii="Georgia" w:eastAsia="Arial" w:hAnsi="Georgia" w:cs="Arial"/>
                <w:sz w:val="20"/>
              </w:rPr>
            </w:pPr>
            <w:r w:rsidRPr="00880380">
              <w:rPr>
                <w:rFonts w:ascii="Georgia" w:hAnsi="Georgia"/>
                <w:sz w:val="20"/>
              </w:rPr>
              <w:t>7%</w:t>
            </w:r>
          </w:p>
        </w:tc>
      </w:tr>
      <w:tr w:rsidR="00A74AC3" w:rsidRPr="00D94409" w:rsidTr="00880380">
        <w:trPr>
          <w:cantSplit/>
        </w:trPr>
        <w:tc>
          <w:tcPr>
            <w:tcW w:w="1219" w:type="dxa"/>
            <w:tcBorders>
              <w:top w:val="single" w:sz="4" w:space="0" w:color="A7A9AC"/>
              <w:left w:val="nil"/>
              <w:bottom w:val="single" w:sz="4" w:space="0" w:color="A7A9AC"/>
              <w:right w:val="single" w:sz="4" w:space="0" w:color="A7A9AC"/>
            </w:tcBorders>
          </w:tcPr>
          <w:p w:rsidR="00A74AC3" w:rsidRPr="00880380" w:rsidRDefault="00A74AC3" w:rsidP="00880380">
            <w:pPr>
              <w:pStyle w:val="TableText"/>
              <w:rPr>
                <w:rFonts w:ascii="Georgia" w:eastAsia="Arial" w:hAnsi="Georgia" w:cs="Arial"/>
                <w:sz w:val="20"/>
              </w:rPr>
            </w:pPr>
            <w:r w:rsidRPr="00880380">
              <w:rPr>
                <w:rFonts w:ascii="Georgia" w:hAnsi="Georgia"/>
                <w:sz w:val="20"/>
              </w:rPr>
              <w:t>Chinese</w:t>
            </w:r>
          </w:p>
        </w:tc>
        <w:tc>
          <w:tcPr>
            <w:tcW w:w="2467" w:type="dxa"/>
            <w:tcBorders>
              <w:top w:val="single" w:sz="4" w:space="0" w:color="A7A9AC"/>
              <w:left w:val="single" w:sz="4" w:space="0" w:color="A7A9AC"/>
              <w:bottom w:val="single" w:sz="4" w:space="0" w:color="A7A9AC"/>
              <w:right w:val="single" w:sz="4" w:space="0" w:color="A7A9AC"/>
            </w:tcBorders>
          </w:tcPr>
          <w:p w:rsidR="00A74AC3" w:rsidRPr="00880380" w:rsidRDefault="00A74AC3" w:rsidP="00880380">
            <w:pPr>
              <w:pStyle w:val="TableText"/>
              <w:tabs>
                <w:tab w:val="decimal" w:pos="1225"/>
              </w:tabs>
              <w:rPr>
                <w:rFonts w:ascii="Georgia" w:eastAsia="Arial" w:hAnsi="Georgia" w:cs="Arial"/>
                <w:sz w:val="20"/>
              </w:rPr>
            </w:pPr>
            <w:r w:rsidRPr="00880380">
              <w:rPr>
                <w:rFonts w:ascii="Georgia" w:hAnsi="Georgia"/>
                <w:sz w:val="20"/>
              </w:rPr>
              <w:t>5%</w:t>
            </w:r>
          </w:p>
        </w:tc>
        <w:tc>
          <w:tcPr>
            <w:tcW w:w="2410" w:type="dxa"/>
            <w:tcBorders>
              <w:top w:val="single" w:sz="4" w:space="0" w:color="A7A9AC"/>
              <w:left w:val="single" w:sz="4" w:space="0" w:color="A7A9AC"/>
              <w:bottom w:val="single" w:sz="4" w:space="0" w:color="A7A9AC"/>
              <w:right w:val="single" w:sz="4" w:space="0" w:color="A7A9AC"/>
            </w:tcBorders>
          </w:tcPr>
          <w:p w:rsidR="00A74AC3" w:rsidRPr="00880380" w:rsidRDefault="00A74AC3" w:rsidP="00880380">
            <w:pPr>
              <w:pStyle w:val="TableText"/>
              <w:tabs>
                <w:tab w:val="decimal" w:pos="1225"/>
              </w:tabs>
              <w:rPr>
                <w:rFonts w:ascii="Georgia" w:hAnsi="Georgia"/>
                <w:sz w:val="20"/>
              </w:rPr>
            </w:pPr>
          </w:p>
        </w:tc>
        <w:tc>
          <w:tcPr>
            <w:tcW w:w="2268" w:type="dxa"/>
            <w:tcBorders>
              <w:top w:val="single" w:sz="4" w:space="0" w:color="A7A9AC"/>
              <w:left w:val="single" w:sz="4" w:space="0" w:color="A7A9AC"/>
              <w:bottom w:val="single" w:sz="4" w:space="0" w:color="A7A9AC"/>
              <w:right w:val="nil"/>
            </w:tcBorders>
          </w:tcPr>
          <w:p w:rsidR="00A74AC3" w:rsidRPr="00880380" w:rsidRDefault="00A74AC3" w:rsidP="00880380">
            <w:pPr>
              <w:pStyle w:val="TableText"/>
              <w:tabs>
                <w:tab w:val="decimal" w:pos="1225"/>
              </w:tabs>
              <w:rPr>
                <w:rFonts w:ascii="Georgia" w:eastAsia="Arial" w:hAnsi="Georgia" w:cs="Arial"/>
                <w:sz w:val="20"/>
              </w:rPr>
            </w:pPr>
            <w:r w:rsidRPr="00880380">
              <w:rPr>
                <w:rFonts w:ascii="Georgia" w:hAnsi="Georgia"/>
                <w:sz w:val="20"/>
              </w:rPr>
              <w:t>4%</w:t>
            </w:r>
          </w:p>
        </w:tc>
      </w:tr>
      <w:tr w:rsidR="00A74AC3" w:rsidRPr="00D94409" w:rsidTr="00880380">
        <w:trPr>
          <w:cantSplit/>
        </w:trPr>
        <w:tc>
          <w:tcPr>
            <w:tcW w:w="1219" w:type="dxa"/>
            <w:tcBorders>
              <w:top w:val="single" w:sz="4" w:space="0" w:color="A7A9AC"/>
              <w:left w:val="nil"/>
              <w:bottom w:val="single" w:sz="4" w:space="0" w:color="000000"/>
              <w:right w:val="single" w:sz="4" w:space="0" w:color="A7A9AC"/>
            </w:tcBorders>
          </w:tcPr>
          <w:p w:rsidR="00A74AC3" w:rsidRPr="00880380" w:rsidRDefault="00A74AC3" w:rsidP="00880380">
            <w:pPr>
              <w:pStyle w:val="TableText"/>
              <w:rPr>
                <w:rFonts w:ascii="Georgia" w:eastAsia="Arial" w:hAnsi="Georgia" w:cs="Arial"/>
                <w:sz w:val="20"/>
              </w:rPr>
            </w:pPr>
            <w:r w:rsidRPr="00880380">
              <w:rPr>
                <w:rFonts w:ascii="Georgia" w:hAnsi="Georgia"/>
                <w:sz w:val="20"/>
              </w:rPr>
              <w:t>Indian</w:t>
            </w:r>
          </w:p>
        </w:tc>
        <w:tc>
          <w:tcPr>
            <w:tcW w:w="2467" w:type="dxa"/>
            <w:tcBorders>
              <w:top w:val="single" w:sz="4" w:space="0" w:color="A7A9AC"/>
              <w:left w:val="single" w:sz="4" w:space="0" w:color="A7A9AC"/>
              <w:bottom w:val="single" w:sz="4" w:space="0" w:color="000000"/>
              <w:right w:val="single" w:sz="4" w:space="0" w:color="A7A9AC"/>
            </w:tcBorders>
          </w:tcPr>
          <w:p w:rsidR="00A74AC3" w:rsidRPr="00880380" w:rsidRDefault="00A74AC3" w:rsidP="00880380">
            <w:pPr>
              <w:pStyle w:val="TableText"/>
              <w:tabs>
                <w:tab w:val="decimal" w:pos="1225"/>
              </w:tabs>
              <w:rPr>
                <w:rFonts w:ascii="Georgia" w:eastAsia="Arial" w:hAnsi="Georgia" w:cs="Arial"/>
                <w:sz w:val="20"/>
              </w:rPr>
            </w:pPr>
            <w:r w:rsidRPr="00880380">
              <w:rPr>
                <w:rFonts w:ascii="Georgia" w:hAnsi="Georgia"/>
                <w:sz w:val="20"/>
              </w:rPr>
              <w:t>5%</w:t>
            </w:r>
          </w:p>
        </w:tc>
        <w:tc>
          <w:tcPr>
            <w:tcW w:w="2410" w:type="dxa"/>
            <w:tcBorders>
              <w:top w:val="single" w:sz="4" w:space="0" w:color="A7A9AC"/>
              <w:left w:val="single" w:sz="4" w:space="0" w:color="A7A9AC"/>
              <w:bottom w:val="single" w:sz="4" w:space="0" w:color="000000"/>
              <w:right w:val="single" w:sz="4" w:space="0" w:color="A7A9AC"/>
            </w:tcBorders>
          </w:tcPr>
          <w:p w:rsidR="00A74AC3" w:rsidRPr="00880380" w:rsidRDefault="00A74AC3" w:rsidP="00880380">
            <w:pPr>
              <w:pStyle w:val="TableText"/>
              <w:tabs>
                <w:tab w:val="decimal" w:pos="1225"/>
              </w:tabs>
              <w:rPr>
                <w:rFonts w:ascii="Georgia" w:hAnsi="Georgia"/>
                <w:sz w:val="20"/>
              </w:rPr>
            </w:pPr>
          </w:p>
        </w:tc>
        <w:tc>
          <w:tcPr>
            <w:tcW w:w="2268" w:type="dxa"/>
            <w:tcBorders>
              <w:top w:val="single" w:sz="4" w:space="0" w:color="A7A9AC"/>
              <w:left w:val="single" w:sz="4" w:space="0" w:color="A7A9AC"/>
              <w:bottom w:val="single" w:sz="4" w:space="0" w:color="000000"/>
              <w:right w:val="nil"/>
            </w:tcBorders>
          </w:tcPr>
          <w:p w:rsidR="00A74AC3" w:rsidRPr="00880380" w:rsidRDefault="00A74AC3" w:rsidP="00880380">
            <w:pPr>
              <w:pStyle w:val="TableText"/>
              <w:tabs>
                <w:tab w:val="decimal" w:pos="1225"/>
              </w:tabs>
              <w:rPr>
                <w:rFonts w:ascii="Georgia" w:eastAsia="Arial" w:hAnsi="Georgia" w:cs="Arial"/>
                <w:sz w:val="20"/>
              </w:rPr>
            </w:pPr>
            <w:r w:rsidRPr="00880380">
              <w:rPr>
                <w:rFonts w:ascii="Georgia" w:hAnsi="Georgia"/>
                <w:sz w:val="20"/>
              </w:rPr>
              <w:t>4%</w:t>
            </w:r>
          </w:p>
        </w:tc>
      </w:tr>
    </w:tbl>
    <w:p w:rsidR="00880380" w:rsidRDefault="00A74AC3" w:rsidP="00880380">
      <w:pPr>
        <w:pStyle w:val="Note"/>
        <w:ind w:right="992"/>
      </w:pPr>
      <w:r w:rsidRPr="00D94409">
        <w:t>*</w:t>
      </w:r>
      <w:r w:rsidR="0090352A">
        <w:tab/>
        <w:t>T</w:t>
      </w:r>
      <w:r w:rsidRPr="00D94409">
        <w:t>otal response ethnicity (hence numbers do not add to 100)</w:t>
      </w:r>
      <w:r w:rsidR="00880380">
        <w:t>.</w:t>
      </w:r>
    </w:p>
    <w:p w:rsidR="00A74AC3" w:rsidRPr="00D94409" w:rsidRDefault="00A74AC3" w:rsidP="00880380">
      <w:pPr>
        <w:pStyle w:val="Note"/>
        <w:ind w:right="992"/>
        <w:rPr>
          <w:rFonts w:eastAsia="Century" w:hAnsi="Century" w:cs="Century"/>
          <w:szCs w:val="17"/>
        </w:rPr>
      </w:pPr>
      <w:r w:rsidRPr="00D94409">
        <w:t>1</w:t>
      </w:r>
      <w:r w:rsidR="00880380">
        <w:tab/>
      </w:r>
      <w:r w:rsidRPr="00D94409">
        <w:t>Medical Council New Zealand 2013 workforce survey.</w:t>
      </w:r>
    </w:p>
    <w:p w:rsidR="0090352A" w:rsidRDefault="00A74AC3" w:rsidP="00880380">
      <w:pPr>
        <w:pStyle w:val="Note"/>
        <w:ind w:right="992"/>
      </w:pPr>
      <w:r w:rsidRPr="00D94409">
        <w:t>2</w:t>
      </w:r>
      <w:r w:rsidR="0090352A">
        <w:tab/>
      </w:r>
      <w:r w:rsidRPr="00D94409">
        <w:t>Nursing Council of New Zealand End of Year Statistics as at 31 March 2015</w:t>
      </w:r>
      <w:r w:rsidR="00880380">
        <w:t>.</w:t>
      </w:r>
    </w:p>
    <w:p w:rsidR="00A74AC3" w:rsidRPr="00D94409" w:rsidRDefault="00A74AC3" w:rsidP="00880380">
      <w:pPr>
        <w:pStyle w:val="Source"/>
        <w:ind w:right="992"/>
        <w:rPr>
          <w:rFonts w:eastAsia="Century" w:hAnsi="Century" w:cs="Century"/>
          <w:szCs w:val="17"/>
        </w:rPr>
      </w:pPr>
      <w:r w:rsidRPr="00D94409">
        <w:t>Source: Unpublished data from Ministry of Health (2015f)</w:t>
      </w:r>
    </w:p>
    <w:p w:rsidR="00A74AC3" w:rsidRPr="00D94409" w:rsidRDefault="00A74AC3" w:rsidP="0090352A">
      <w:pPr>
        <w:rPr>
          <w:rFonts w:eastAsia="Century"/>
        </w:rPr>
      </w:pPr>
    </w:p>
    <w:p w:rsidR="00A74AC3" w:rsidRPr="00D94409" w:rsidRDefault="00A74AC3" w:rsidP="0090352A">
      <w:pPr>
        <w:pStyle w:val="Heading3"/>
        <w:rPr>
          <w:rFonts w:eastAsia="Arial Black" w:hAnsi="Arial Black" w:cs="Arial Black"/>
          <w:szCs w:val="28"/>
        </w:rPr>
      </w:pPr>
      <w:r w:rsidRPr="00D94409">
        <w:t>More than half of New Zealanders have poor health literacy skills</w:t>
      </w:r>
    </w:p>
    <w:p w:rsidR="00A74AC3" w:rsidRPr="00D94409" w:rsidRDefault="00A74AC3" w:rsidP="0090352A">
      <w:pPr>
        <w:rPr>
          <w:rFonts w:cs="Century"/>
        </w:rPr>
      </w:pPr>
      <w:r w:rsidRPr="00D94409">
        <w:t>Health literacy is the capacity to find, interpret and use health information and health services to make effective decisions for health and wellbeing. Research has shown that a person</w:t>
      </w:r>
      <w:r w:rsidR="00D94409" w:rsidRPr="00D94409">
        <w:t>’</w:t>
      </w:r>
      <w:r w:rsidRPr="00D94409">
        <w:t>s level of health literacy is strongly related to their health status. The majority of New Zealanders have poor health literacy skills. Māori adults fare the worst: four out of five Māori males and three out of four Māori females</w:t>
      </w:r>
      <w:r w:rsidR="00880380">
        <w:t xml:space="preserve"> </w:t>
      </w:r>
      <w:r w:rsidRPr="00D94409">
        <w:t>have poor health literacy skills; in comparison just over half of non-Māori males and females have poor health literacy skills (Ministry of Health 2010).</w:t>
      </w:r>
    </w:p>
    <w:p w:rsidR="00A74AC3" w:rsidRPr="00D94409" w:rsidRDefault="00A74AC3" w:rsidP="0090352A">
      <w:pPr>
        <w:rPr>
          <w:rFonts w:eastAsia="Century"/>
        </w:rPr>
      </w:pPr>
    </w:p>
    <w:p w:rsidR="00A74AC3" w:rsidRPr="00D94409" w:rsidRDefault="00A74AC3" w:rsidP="0090352A">
      <w:r w:rsidRPr="00D94409">
        <w:t xml:space="preserve">The Ministry of Health has developed </w:t>
      </w:r>
      <w:r w:rsidRPr="00D94409">
        <w:rPr>
          <w:rFonts w:eastAsia="Georgia" w:cs="Georgia"/>
          <w:i/>
        </w:rPr>
        <w:t xml:space="preserve">A Framework for Health Literacy </w:t>
      </w:r>
      <w:r w:rsidRPr="00D94409">
        <w:t>to support each level of the health and disability system to build people</w:t>
      </w:r>
      <w:r w:rsidR="00D94409" w:rsidRPr="00D94409">
        <w:t>’</w:t>
      </w:r>
      <w:r w:rsidRPr="00D94409">
        <w:t>s health literacy skills as well as to change the approach of the system itself so that there is less need for patients to have a high degree of health literacy (Ministry of Health 2015e).</w:t>
      </w:r>
    </w:p>
    <w:p w:rsidR="00A74AC3" w:rsidRPr="00D94409" w:rsidRDefault="00A74AC3" w:rsidP="0090352A">
      <w:pPr>
        <w:rPr>
          <w:rFonts w:eastAsia="Century"/>
        </w:rPr>
      </w:pPr>
    </w:p>
    <w:p w:rsidR="00A74AC3" w:rsidRPr="00D94409" w:rsidRDefault="00A74AC3" w:rsidP="00880380">
      <w:pPr>
        <w:pStyle w:val="Heading3"/>
        <w:rPr>
          <w:rFonts w:eastAsia="Arial Black" w:cs="Arial Black"/>
          <w:bCs/>
        </w:rPr>
      </w:pPr>
      <w:r w:rsidRPr="00D94409">
        <w:lastRenderedPageBreak/>
        <w:t>Fewer Māori are finding cost a barrier to accessing primary care</w:t>
      </w:r>
    </w:p>
    <w:p w:rsidR="00A74AC3" w:rsidRPr="00D94409" w:rsidRDefault="00A74AC3" w:rsidP="0090352A">
      <w:pPr>
        <w:rPr>
          <w:rFonts w:cs="Century"/>
        </w:rPr>
      </w:pPr>
      <w:r w:rsidRPr="00D94409">
        <w:t>Most New Zealanders are able to access primary health care when they need to. However, 28</w:t>
      </w:r>
      <w:r w:rsidR="00880380">
        <w:t> </w:t>
      </w:r>
      <w:r w:rsidRPr="00D94409">
        <w:t>percent of adults and 22 percent of children had unmet need for primary care in the last year (Ministry of Health 2014c). The most common reason for this unmet need was that people were unable to get an appointment at their usual medical centre within 24 hours (16 percent of adults and 15 percent of children).</w:t>
      </w:r>
    </w:p>
    <w:p w:rsidR="00A74AC3" w:rsidRDefault="00A74AC3" w:rsidP="0090352A">
      <w:pPr>
        <w:rPr>
          <w:rFonts w:eastAsia="Century"/>
        </w:rPr>
      </w:pPr>
    </w:p>
    <w:tbl>
      <w:tblPr>
        <w:tblStyle w:val="TableGrid"/>
        <w:tblW w:w="957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5743"/>
      </w:tblGrid>
      <w:tr w:rsidR="00880380" w:rsidTr="00880380">
        <w:trPr>
          <w:cantSplit/>
        </w:trPr>
        <w:tc>
          <w:tcPr>
            <w:tcW w:w="3828" w:type="dxa"/>
            <w:shd w:val="clear" w:color="auto" w:fill="auto"/>
          </w:tcPr>
          <w:p w:rsidR="00880380" w:rsidRDefault="00880380" w:rsidP="00880380">
            <w:pPr>
              <w:ind w:left="-108" w:right="170"/>
            </w:pPr>
            <w:r w:rsidRPr="00D94409">
              <w:t xml:space="preserve">Cost was more of a barrier to adults than </w:t>
            </w:r>
            <w:proofErr w:type="gramStart"/>
            <w:r w:rsidRPr="00D94409">
              <w:t>children,</w:t>
            </w:r>
            <w:proofErr w:type="gramEnd"/>
            <w:r w:rsidRPr="00D94409">
              <w:t xml:space="preserve"> given GP visits have a higher subsidy for young children. One in seven adults (17 percent) did not visit a GP due to cost, at some point in the last year, compared with one in twenty children (5</w:t>
            </w:r>
            <w:r>
              <w:t> </w:t>
            </w:r>
            <w:r w:rsidRPr="00D94409">
              <w:t>percent).</w:t>
            </w:r>
          </w:p>
          <w:p w:rsidR="00880380" w:rsidRDefault="00880380" w:rsidP="00880380">
            <w:pPr>
              <w:ind w:left="-108" w:right="170"/>
            </w:pPr>
          </w:p>
          <w:p w:rsidR="00880380" w:rsidRPr="00D94409" w:rsidRDefault="00880380" w:rsidP="00880380">
            <w:pPr>
              <w:ind w:left="-108" w:right="170"/>
            </w:pPr>
            <w:r w:rsidRPr="00D94409">
              <w:t>The number of Māori adults and children finding cost a barrier to accessing primary care has fallen. In 2012/13 25 percent of Mā</w:t>
            </w:r>
            <w:r w:rsidRPr="00D94409">
              <w:rPr>
                <w:rFonts w:ascii="Book Antiqua" w:hAnsi="Book Antiqua"/>
              </w:rPr>
              <w:t xml:space="preserve">ori adults </w:t>
            </w:r>
            <w:r w:rsidRPr="00D94409">
              <w:t>did not visit a GP due to cost at some point in the last year.</w:t>
            </w:r>
            <w:r>
              <w:t xml:space="preserve"> </w:t>
            </w:r>
            <w:r w:rsidRPr="00D94409">
              <w:t>This fell to 22 percent in 2013/14. Among Māori children, the proportion fell from 9 percent to</w:t>
            </w:r>
            <w:r>
              <w:t xml:space="preserve"> </w:t>
            </w:r>
            <w:r w:rsidRPr="00D94409">
              <w:t>7 percent over the same period.</w:t>
            </w:r>
          </w:p>
        </w:tc>
        <w:tc>
          <w:tcPr>
            <w:tcW w:w="5743" w:type="dxa"/>
            <w:shd w:val="clear" w:color="auto" w:fill="D9D9D9" w:themeFill="background1" w:themeFillShade="D9"/>
          </w:tcPr>
          <w:p w:rsidR="00880380" w:rsidRPr="00880380" w:rsidRDefault="00880380" w:rsidP="00880380">
            <w:pPr>
              <w:spacing w:before="240"/>
              <w:rPr>
                <w:rFonts w:eastAsia="Arial Black"/>
                <w:b/>
              </w:rPr>
            </w:pPr>
            <w:proofErr w:type="spellStart"/>
            <w:r w:rsidRPr="00880380">
              <w:rPr>
                <w:rFonts w:eastAsia="Arial Black"/>
                <w:b/>
              </w:rPr>
              <w:t>Tapuaki</w:t>
            </w:r>
            <w:proofErr w:type="spellEnd"/>
            <w:r w:rsidRPr="00880380">
              <w:rPr>
                <w:rFonts w:eastAsia="Arial Black"/>
                <w:b/>
              </w:rPr>
              <w:t xml:space="preserve"> – Pacific pregnancy and parenting</w:t>
            </w:r>
            <w:r w:rsidRPr="00880380">
              <w:rPr>
                <w:rFonts w:eastAsia="Arial Black"/>
                <w:b/>
                <w:spacing w:val="39"/>
                <w:w w:val="97"/>
              </w:rPr>
              <w:t xml:space="preserve"> </w:t>
            </w:r>
            <w:r w:rsidRPr="00880380">
              <w:rPr>
                <w:rFonts w:eastAsia="Arial Black"/>
                <w:b/>
              </w:rPr>
              <w:t>education</w:t>
            </w:r>
          </w:p>
          <w:p w:rsidR="00880380" w:rsidRPr="00D94409" w:rsidRDefault="00880380" w:rsidP="00880380">
            <w:pPr>
              <w:spacing w:before="120"/>
              <w:rPr>
                <w:rFonts w:cs="Century"/>
              </w:rPr>
            </w:pPr>
            <w:proofErr w:type="spellStart"/>
            <w:r w:rsidRPr="00D94409">
              <w:rPr>
                <w:spacing w:val="-2"/>
                <w:w w:val="105"/>
              </w:rPr>
              <w:t>Ta</w:t>
            </w:r>
            <w:r w:rsidRPr="00D94409">
              <w:rPr>
                <w:w w:val="105"/>
              </w:rPr>
              <w:t>puaki</w:t>
            </w:r>
            <w:proofErr w:type="spellEnd"/>
            <w:r w:rsidRPr="00D94409">
              <w:rPr>
                <w:spacing w:val="-17"/>
                <w:w w:val="105"/>
              </w:rPr>
              <w:t xml:space="preserve"> </w:t>
            </w:r>
            <w:r w:rsidRPr="00D94409">
              <w:rPr>
                <w:w w:val="105"/>
              </w:rPr>
              <w:t>is</w:t>
            </w:r>
            <w:r w:rsidRPr="00D94409">
              <w:rPr>
                <w:spacing w:val="-16"/>
                <w:w w:val="105"/>
              </w:rPr>
              <w:t xml:space="preserve"> </w:t>
            </w:r>
            <w:r w:rsidRPr="00D94409">
              <w:rPr>
                <w:w w:val="105"/>
              </w:rPr>
              <w:t>an</w:t>
            </w:r>
            <w:r w:rsidRPr="00D94409">
              <w:rPr>
                <w:spacing w:val="-17"/>
                <w:w w:val="105"/>
              </w:rPr>
              <w:t xml:space="preserve"> </w:t>
            </w:r>
            <w:r w:rsidRPr="00D94409">
              <w:rPr>
                <w:w w:val="105"/>
              </w:rPr>
              <w:t>information</w:t>
            </w:r>
            <w:r w:rsidRPr="00D94409">
              <w:rPr>
                <w:spacing w:val="-16"/>
                <w:w w:val="105"/>
              </w:rPr>
              <w:t xml:space="preserve"> </w:t>
            </w:r>
            <w:r w:rsidRPr="00D94409">
              <w:rPr>
                <w:w w:val="105"/>
              </w:rPr>
              <w:t>service</w:t>
            </w:r>
            <w:r w:rsidRPr="00D94409">
              <w:rPr>
                <w:spacing w:val="-17"/>
                <w:w w:val="105"/>
              </w:rPr>
              <w:t xml:space="preserve"> </w:t>
            </w:r>
            <w:r w:rsidRPr="00D94409">
              <w:rPr>
                <w:w w:val="105"/>
              </w:rPr>
              <w:t>aimed</w:t>
            </w:r>
            <w:r w:rsidRPr="00D94409">
              <w:rPr>
                <w:spacing w:val="-16"/>
                <w:w w:val="105"/>
              </w:rPr>
              <w:t xml:space="preserve"> </w:t>
            </w:r>
            <w:r w:rsidRPr="00D94409">
              <w:rPr>
                <w:w w:val="105"/>
              </w:rPr>
              <w:t>at</w:t>
            </w:r>
            <w:r w:rsidRPr="00D94409">
              <w:rPr>
                <w:spacing w:val="-16"/>
                <w:w w:val="105"/>
              </w:rPr>
              <w:t xml:space="preserve"> </w:t>
            </w:r>
            <w:r w:rsidRPr="00D94409">
              <w:rPr>
                <w:w w:val="105"/>
              </w:rPr>
              <w:t>increasing</w:t>
            </w:r>
            <w:r w:rsidRPr="00D94409">
              <w:rPr>
                <w:spacing w:val="-17"/>
                <w:w w:val="105"/>
              </w:rPr>
              <w:t xml:space="preserve"> </w:t>
            </w:r>
            <w:r w:rsidRPr="00D94409">
              <w:rPr>
                <w:w w:val="105"/>
              </w:rPr>
              <w:t>health</w:t>
            </w:r>
            <w:r w:rsidRPr="00D94409">
              <w:rPr>
                <w:spacing w:val="48"/>
                <w:w w:val="102"/>
              </w:rPr>
              <w:t xml:space="preserve"> </w:t>
            </w:r>
            <w:r w:rsidRPr="00D94409">
              <w:rPr>
                <w:spacing w:val="-2"/>
                <w:w w:val="105"/>
              </w:rPr>
              <w:t>lit</w:t>
            </w:r>
            <w:r w:rsidRPr="00D94409">
              <w:rPr>
                <w:w w:val="105"/>
              </w:rPr>
              <w:t>eracy</w:t>
            </w:r>
            <w:r w:rsidRPr="00D94409">
              <w:rPr>
                <w:spacing w:val="-16"/>
                <w:w w:val="105"/>
              </w:rPr>
              <w:t xml:space="preserve"> </w:t>
            </w:r>
            <w:r w:rsidRPr="00D94409">
              <w:rPr>
                <w:w w:val="105"/>
              </w:rPr>
              <w:t>among</w:t>
            </w:r>
            <w:r w:rsidRPr="00D94409">
              <w:rPr>
                <w:spacing w:val="-15"/>
                <w:w w:val="105"/>
              </w:rPr>
              <w:t xml:space="preserve"> </w:t>
            </w:r>
            <w:r w:rsidRPr="00D94409">
              <w:rPr>
                <w:w w:val="105"/>
              </w:rPr>
              <w:t>pregnant</w:t>
            </w:r>
            <w:r w:rsidRPr="00D94409">
              <w:rPr>
                <w:spacing w:val="-15"/>
                <w:w w:val="105"/>
              </w:rPr>
              <w:t xml:space="preserve"> </w:t>
            </w:r>
            <w:r w:rsidRPr="00D94409">
              <w:rPr>
                <w:spacing w:val="-2"/>
                <w:w w:val="105"/>
              </w:rPr>
              <w:t>P</w:t>
            </w:r>
            <w:r w:rsidRPr="00D94409">
              <w:rPr>
                <w:w w:val="105"/>
              </w:rPr>
              <w:t>acific</w:t>
            </w:r>
            <w:r w:rsidRPr="00D94409">
              <w:rPr>
                <w:spacing w:val="-15"/>
                <w:w w:val="105"/>
              </w:rPr>
              <w:t xml:space="preserve"> </w:t>
            </w:r>
            <w:r w:rsidRPr="00D94409">
              <w:rPr>
                <w:w w:val="105"/>
              </w:rPr>
              <w:t>mothers</w:t>
            </w:r>
            <w:r w:rsidRPr="00D94409">
              <w:rPr>
                <w:spacing w:val="-15"/>
                <w:w w:val="105"/>
              </w:rPr>
              <w:t xml:space="preserve"> </w:t>
            </w:r>
            <w:r w:rsidRPr="00D94409">
              <w:rPr>
                <w:w w:val="105"/>
              </w:rPr>
              <w:t>and</w:t>
            </w:r>
            <w:r w:rsidRPr="00D94409">
              <w:rPr>
                <w:spacing w:val="-15"/>
                <w:w w:val="105"/>
              </w:rPr>
              <w:t xml:space="preserve"> </w:t>
            </w:r>
            <w:r w:rsidRPr="00D94409">
              <w:rPr>
                <w:w w:val="105"/>
              </w:rPr>
              <w:t>their</w:t>
            </w:r>
            <w:r w:rsidRPr="00D94409">
              <w:rPr>
                <w:spacing w:val="-15"/>
                <w:w w:val="105"/>
              </w:rPr>
              <w:t xml:space="preserve"> </w:t>
            </w:r>
            <w:r w:rsidRPr="00D94409">
              <w:rPr>
                <w:w w:val="105"/>
              </w:rPr>
              <w:t>families.</w:t>
            </w:r>
            <w:r w:rsidRPr="00D94409">
              <w:rPr>
                <w:spacing w:val="-15"/>
                <w:w w:val="105"/>
              </w:rPr>
              <w:t xml:space="preserve"> </w:t>
            </w:r>
            <w:r w:rsidRPr="00D94409">
              <w:rPr>
                <w:w w:val="105"/>
              </w:rPr>
              <w:t>The</w:t>
            </w:r>
            <w:r w:rsidRPr="00D94409">
              <w:rPr>
                <w:spacing w:val="42"/>
                <w:w w:val="104"/>
              </w:rPr>
              <w:t xml:space="preserve"> </w:t>
            </w:r>
            <w:proofErr w:type="spellStart"/>
            <w:r w:rsidRPr="00D94409">
              <w:rPr>
                <w:spacing w:val="-2"/>
                <w:w w:val="105"/>
              </w:rPr>
              <w:t>Ta</w:t>
            </w:r>
            <w:r w:rsidRPr="00D94409">
              <w:rPr>
                <w:w w:val="105"/>
              </w:rPr>
              <w:t>puaki</w:t>
            </w:r>
            <w:proofErr w:type="spellEnd"/>
            <w:r w:rsidRPr="00D94409">
              <w:rPr>
                <w:spacing w:val="-12"/>
                <w:w w:val="105"/>
              </w:rPr>
              <w:t xml:space="preserve"> </w:t>
            </w:r>
            <w:r w:rsidRPr="00D94409">
              <w:rPr>
                <w:w w:val="105"/>
              </w:rPr>
              <w:t>web</w:t>
            </w:r>
            <w:r w:rsidRPr="00D94409">
              <w:rPr>
                <w:spacing w:val="-2"/>
                <w:w w:val="105"/>
              </w:rPr>
              <w:t>sit</w:t>
            </w:r>
            <w:r w:rsidRPr="00D94409">
              <w:rPr>
                <w:w w:val="105"/>
              </w:rPr>
              <w:t>e</w:t>
            </w:r>
            <w:r w:rsidRPr="00D94409">
              <w:rPr>
                <w:spacing w:val="-12"/>
                <w:w w:val="105"/>
              </w:rPr>
              <w:t xml:space="preserve"> </w:t>
            </w:r>
            <w:r w:rsidRPr="00D94409">
              <w:rPr>
                <w:w w:val="105"/>
              </w:rPr>
              <w:t>and</w:t>
            </w:r>
            <w:r w:rsidRPr="00D94409">
              <w:rPr>
                <w:spacing w:val="-11"/>
                <w:w w:val="105"/>
              </w:rPr>
              <w:t xml:space="preserve"> </w:t>
            </w:r>
            <w:r w:rsidRPr="00D94409">
              <w:rPr>
                <w:spacing w:val="-2"/>
                <w:w w:val="105"/>
              </w:rPr>
              <w:t>a</w:t>
            </w:r>
            <w:r w:rsidRPr="00D94409">
              <w:rPr>
                <w:w w:val="105"/>
              </w:rPr>
              <w:t>pp</w:t>
            </w:r>
            <w:r w:rsidRPr="00D94409">
              <w:rPr>
                <w:spacing w:val="-12"/>
                <w:w w:val="105"/>
              </w:rPr>
              <w:t xml:space="preserve"> </w:t>
            </w:r>
            <w:r w:rsidRPr="00D94409">
              <w:rPr>
                <w:w w:val="105"/>
              </w:rPr>
              <w:t>provide</w:t>
            </w:r>
            <w:r w:rsidRPr="00D94409">
              <w:rPr>
                <w:spacing w:val="-12"/>
                <w:w w:val="105"/>
              </w:rPr>
              <w:t xml:space="preserve"> </w:t>
            </w:r>
            <w:r w:rsidRPr="00D94409">
              <w:rPr>
                <w:w w:val="105"/>
              </w:rPr>
              <w:t>culturally</w:t>
            </w:r>
            <w:r w:rsidRPr="00D94409">
              <w:rPr>
                <w:spacing w:val="-11"/>
                <w:w w:val="105"/>
              </w:rPr>
              <w:t xml:space="preserve"> </w:t>
            </w:r>
            <w:r w:rsidRPr="00D94409">
              <w:rPr>
                <w:spacing w:val="-2"/>
                <w:w w:val="105"/>
              </w:rPr>
              <w:t>a</w:t>
            </w:r>
            <w:r w:rsidRPr="00D94409">
              <w:rPr>
                <w:w w:val="105"/>
              </w:rPr>
              <w:t>ppropriate</w:t>
            </w:r>
            <w:r w:rsidRPr="00D94409">
              <w:rPr>
                <w:spacing w:val="-12"/>
                <w:w w:val="105"/>
              </w:rPr>
              <w:t xml:space="preserve"> </w:t>
            </w:r>
            <w:r w:rsidRPr="00D94409">
              <w:rPr>
                <w:w w:val="105"/>
              </w:rPr>
              <w:t>information</w:t>
            </w:r>
            <w:r w:rsidRPr="00D94409">
              <w:rPr>
                <w:spacing w:val="73"/>
                <w:w w:val="107"/>
              </w:rPr>
              <w:t xml:space="preserve"> </w:t>
            </w:r>
            <w:r w:rsidRPr="00D94409">
              <w:rPr>
                <w:w w:val="105"/>
              </w:rPr>
              <w:t>on</w:t>
            </w:r>
            <w:r w:rsidRPr="00D94409">
              <w:rPr>
                <w:spacing w:val="-9"/>
                <w:w w:val="105"/>
              </w:rPr>
              <w:t xml:space="preserve"> </w:t>
            </w:r>
            <w:r w:rsidRPr="00D94409">
              <w:rPr>
                <w:w w:val="105"/>
              </w:rPr>
              <w:t>pregnancy</w:t>
            </w:r>
            <w:r w:rsidRPr="00D94409">
              <w:rPr>
                <w:spacing w:val="-9"/>
                <w:w w:val="105"/>
              </w:rPr>
              <w:t xml:space="preserve"> </w:t>
            </w:r>
            <w:r w:rsidRPr="00D94409">
              <w:rPr>
                <w:w w:val="105"/>
              </w:rPr>
              <w:t>and</w:t>
            </w:r>
            <w:r w:rsidRPr="00D94409">
              <w:rPr>
                <w:spacing w:val="-9"/>
                <w:w w:val="105"/>
              </w:rPr>
              <w:t xml:space="preserve"> </w:t>
            </w:r>
            <w:r w:rsidRPr="00D94409">
              <w:rPr>
                <w:w w:val="105"/>
              </w:rPr>
              <w:t>parenting,</w:t>
            </w:r>
            <w:r w:rsidRPr="00D94409">
              <w:rPr>
                <w:spacing w:val="-9"/>
                <w:w w:val="105"/>
              </w:rPr>
              <w:t xml:space="preserve"> </w:t>
            </w:r>
            <w:r w:rsidRPr="00D94409">
              <w:rPr>
                <w:w w:val="105"/>
              </w:rPr>
              <w:t>while</w:t>
            </w:r>
            <w:r w:rsidRPr="00D94409">
              <w:rPr>
                <w:spacing w:val="-9"/>
                <w:w w:val="105"/>
              </w:rPr>
              <w:t xml:space="preserve"> </w:t>
            </w:r>
            <w:r w:rsidRPr="00D94409">
              <w:rPr>
                <w:w w:val="105"/>
              </w:rPr>
              <w:t>also</w:t>
            </w:r>
            <w:r w:rsidRPr="00D94409">
              <w:rPr>
                <w:spacing w:val="-9"/>
                <w:w w:val="105"/>
              </w:rPr>
              <w:t xml:space="preserve"> </w:t>
            </w:r>
            <w:r w:rsidRPr="00D94409">
              <w:rPr>
                <w:w w:val="105"/>
              </w:rPr>
              <w:t>linking</w:t>
            </w:r>
            <w:r w:rsidRPr="00D94409">
              <w:rPr>
                <w:spacing w:val="-9"/>
                <w:w w:val="105"/>
              </w:rPr>
              <w:t xml:space="preserve"> </w:t>
            </w:r>
            <w:r w:rsidRPr="00D94409">
              <w:rPr>
                <w:w w:val="105"/>
              </w:rPr>
              <w:t>pregnant</w:t>
            </w:r>
            <w:r w:rsidRPr="00D94409">
              <w:rPr>
                <w:spacing w:val="-9"/>
                <w:w w:val="105"/>
              </w:rPr>
              <w:t xml:space="preserve"> </w:t>
            </w:r>
            <w:r w:rsidRPr="00D94409">
              <w:rPr>
                <w:w w:val="105"/>
              </w:rPr>
              <w:t>women</w:t>
            </w:r>
            <w:r w:rsidRPr="00D94409">
              <w:rPr>
                <w:spacing w:val="47"/>
                <w:w w:val="110"/>
              </w:rPr>
              <w:t xml:space="preserve"> </w:t>
            </w:r>
            <w:r w:rsidRPr="00D94409">
              <w:rPr>
                <w:w w:val="105"/>
              </w:rPr>
              <w:t>into</w:t>
            </w:r>
            <w:r w:rsidRPr="00D94409">
              <w:rPr>
                <w:spacing w:val="-21"/>
                <w:w w:val="105"/>
              </w:rPr>
              <w:t xml:space="preserve"> </w:t>
            </w:r>
            <w:r w:rsidRPr="00D94409">
              <w:rPr>
                <w:w w:val="105"/>
              </w:rPr>
              <w:t>maternity</w:t>
            </w:r>
            <w:r w:rsidRPr="00D94409">
              <w:rPr>
                <w:spacing w:val="-20"/>
                <w:w w:val="105"/>
              </w:rPr>
              <w:t xml:space="preserve"> </w:t>
            </w:r>
            <w:r w:rsidRPr="00D94409">
              <w:rPr>
                <w:w w:val="105"/>
              </w:rPr>
              <w:t>and</w:t>
            </w:r>
            <w:r w:rsidRPr="00D94409">
              <w:rPr>
                <w:spacing w:val="-20"/>
                <w:w w:val="105"/>
              </w:rPr>
              <w:t xml:space="preserve"> </w:t>
            </w:r>
            <w:r w:rsidRPr="00D94409">
              <w:rPr>
                <w:spacing w:val="-4"/>
                <w:w w:val="105"/>
              </w:rPr>
              <w:t>W</w:t>
            </w:r>
            <w:r w:rsidRPr="00D94409">
              <w:rPr>
                <w:spacing w:val="-3"/>
                <w:w w:val="105"/>
              </w:rPr>
              <w:t>ell</w:t>
            </w:r>
            <w:r w:rsidRPr="00D94409">
              <w:rPr>
                <w:spacing w:val="-20"/>
                <w:w w:val="105"/>
              </w:rPr>
              <w:t xml:space="preserve"> </w:t>
            </w:r>
            <w:r w:rsidRPr="00D94409">
              <w:rPr>
                <w:w w:val="105"/>
              </w:rPr>
              <w:t>Child</w:t>
            </w:r>
            <w:r w:rsidRPr="00D94409">
              <w:rPr>
                <w:spacing w:val="-21"/>
                <w:w w:val="105"/>
              </w:rPr>
              <w:t xml:space="preserve"> </w:t>
            </w:r>
            <w:r w:rsidRPr="00D94409">
              <w:rPr>
                <w:w w:val="120"/>
              </w:rPr>
              <w:t>/</w:t>
            </w:r>
            <w:r w:rsidRPr="00D94409">
              <w:rPr>
                <w:spacing w:val="-28"/>
                <w:w w:val="120"/>
              </w:rPr>
              <w:t xml:space="preserve"> </w:t>
            </w:r>
            <w:proofErr w:type="spellStart"/>
            <w:r w:rsidRPr="00D94409">
              <w:rPr>
                <w:spacing w:val="-2"/>
                <w:w w:val="105"/>
              </w:rPr>
              <w:t>T</w:t>
            </w:r>
            <w:r w:rsidRPr="00D94409">
              <w:rPr>
                <w:w w:val="105"/>
              </w:rPr>
              <w:t>amariki</w:t>
            </w:r>
            <w:proofErr w:type="spellEnd"/>
            <w:r w:rsidRPr="00D94409">
              <w:rPr>
                <w:spacing w:val="-20"/>
                <w:w w:val="105"/>
              </w:rPr>
              <w:t xml:space="preserve"> </w:t>
            </w:r>
            <w:proofErr w:type="spellStart"/>
            <w:r w:rsidRPr="00D94409">
              <w:rPr>
                <w:w w:val="105"/>
              </w:rPr>
              <w:t>Ora</w:t>
            </w:r>
            <w:proofErr w:type="spellEnd"/>
            <w:r w:rsidRPr="00D94409">
              <w:rPr>
                <w:spacing w:val="-21"/>
                <w:w w:val="105"/>
              </w:rPr>
              <w:t xml:space="preserve"> </w:t>
            </w:r>
            <w:r w:rsidRPr="00D94409">
              <w:rPr>
                <w:w w:val="105"/>
              </w:rPr>
              <w:t>services.</w:t>
            </w:r>
            <w:r w:rsidRPr="00D94409">
              <w:rPr>
                <w:spacing w:val="-20"/>
                <w:w w:val="105"/>
              </w:rPr>
              <w:t xml:space="preserve"> </w:t>
            </w:r>
            <w:r w:rsidRPr="00D94409">
              <w:rPr>
                <w:w w:val="105"/>
              </w:rPr>
              <w:t>The</w:t>
            </w:r>
            <w:r w:rsidRPr="00D94409">
              <w:rPr>
                <w:spacing w:val="-20"/>
                <w:w w:val="105"/>
              </w:rPr>
              <w:t xml:space="preserve"> </w:t>
            </w:r>
            <w:r w:rsidRPr="00D94409">
              <w:rPr>
                <w:w w:val="105"/>
              </w:rPr>
              <w:t>service</w:t>
            </w:r>
            <w:r w:rsidRPr="00D94409">
              <w:rPr>
                <w:spacing w:val="48"/>
                <w:w w:val="109"/>
              </w:rPr>
              <w:t xml:space="preserve"> </w:t>
            </w:r>
            <w:r w:rsidRPr="00D94409">
              <w:rPr>
                <w:w w:val="105"/>
              </w:rPr>
              <w:t>w</w:t>
            </w:r>
            <w:r w:rsidRPr="00D94409">
              <w:rPr>
                <w:spacing w:val="-2"/>
                <w:w w:val="105"/>
              </w:rPr>
              <w:t>as</w:t>
            </w:r>
            <w:r w:rsidRPr="00D94409">
              <w:rPr>
                <w:spacing w:val="-6"/>
                <w:w w:val="105"/>
              </w:rPr>
              <w:t xml:space="preserve"> </w:t>
            </w:r>
            <w:r w:rsidRPr="00D94409">
              <w:rPr>
                <w:w w:val="105"/>
              </w:rPr>
              <w:t>developed</w:t>
            </w:r>
            <w:r w:rsidRPr="00D94409">
              <w:rPr>
                <w:spacing w:val="-5"/>
                <w:w w:val="105"/>
              </w:rPr>
              <w:t xml:space="preserve"> </w:t>
            </w:r>
            <w:r w:rsidRPr="00D94409">
              <w:rPr>
                <w:spacing w:val="-2"/>
                <w:w w:val="105"/>
              </w:rPr>
              <w:t>t</w:t>
            </w:r>
            <w:r w:rsidRPr="00D94409">
              <w:rPr>
                <w:w w:val="105"/>
              </w:rPr>
              <w:t>o</w:t>
            </w:r>
            <w:r w:rsidRPr="00D94409">
              <w:rPr>
                <w:spacing w:val="-5"/>
                <w:w w:val="105"/>
              </w:rPr>
              <w:t xml:space="preserve"> </w:t>
            </w:r>
            <w:r w:rsidRPr="00D94409">
              <w:rPr>
                <w:w w:val="105"/>
              </w:rPr>
              <w:t>address</w:t>
            </w:r>
            <w:r w:rsidRPr="00D94409">
              <w:rPr>
                <w:spacing w:val="-6"/>
                <w:w w:val="105"/>
              </w:rPr>
              <w:t xml:space="preserve"> </w:t>
            </w:r>
            <w:r w:rsidRPr="00D94409">
              <w:rPr>
                <w:w w:val="105"/>
              </w:rPr>
              <w:t>the</w:t>
            </w:r>
            <w:r w:rsidRPr="00D94409">
              <w:rPr>
                <w:spacing w:val="-5"/>
                <w:w w:val="105"/>
              </w:rPr>
              <w:t xml:space="preserve"> </w:t>
            </w:r>
            <w:r w:rsidRPr="00D94409">
              <w:rPr>
                <w:w w:val="105"/>
              </w:rPr>
              <w:t>low</w:t>
            </w:r>
            <w:r w:rsidRPr="00D94409">
              <w:rPr>
                <w:spacing w:val="-5"/>
                <w:w w:val="105"/>
              </w:rPr>
              <w:t xml:space="preserve"> </w:t>
            </w:r>
            <w:r w:rsidRPr="00D94409">
              <w:rPr>
                <w:w w:val="105"/>
              </w:rPr>
              <w:t>proportion</w:t>
            </w:r>
            <w:r w:rsidRPr="00D94409">
              <w:rPr>
                <w:spacing w:val="-5"/>
                <w:w w:val="105"/>
              </w:rPr>
              <w:t xml:space="preserve"> </w:t>
            </w:r>
            <w:r w:rsidRPr="00D94409">
              <w:rPr>
                <w:w w:val="105"/>
              </w:rPr>
              <w:t>of</w:t>
            </w:r>
            <w:r w:rsidRPr="00D94409">
              <w:rPr>
                <w:spacing w:val="-6"/>
                <w:w w:val="105"/>
              </w:rPr>
              <w:t xml:space="preserve"> </w:t>
            </w:r>
            <w:r w:rsidRPr="00D94409">
              <w:rPr>
                <w:spacing w:val="-2"/>
                <w:w w:val="105"/>
              </w:rPr>
              <w:t>P</w:t>
            </w:r>
            <w:r w:rsidRPr="00D94409">
              <w:rPr>
                <w:w w:val="105"/>
              </w:rPr>
              <w:t>acific</w:t>
            </w:r>
            <w:r w:rsidRPr="00D94409">
              <w:rPr>
                <w:spacing w:val="-5"/>
                <w:w w:val="105"/>
              </w:rPr>
              <w:t xml:space="preserve"> </w:t>
            </w:r>
            <w:r w:rsidRPr="00D94409">
              <w:rPr>
                <w:w w:val="105"/>
              </w:rPr>
              <w:t>mothers</w:t>
            </w:r>
            <w:r w:rsidRPr="00D94409">
              <w:rPr>
                <w:spacing w:val="31"/>
                <w:w w:val="101"/>
              </w:rPr>
              <w:t xml:space="preserve"> </w:t>
            </w:r>
            <w:r w:rsidRPr="00D94409">
              <w:rPr>
                <w:w w:val="105"/>
              </w:rPr>
              <w:t>engaging</w:t>
            </w:r>
            <w:r w:rsidRPr="00D94409">
              <w:rPr>
                <w:spacing w:val="-25"/>
                <w:w w:val="105"/>
              </w:rPr>
              <w:t xml:space="preserve"> </w:t>
            </w:r>
            <w:r w:rsidRPr="00D94409">
              <w:rPr>
                <w:w w:val="105"/>
              </w:rPr>
              <w:t>e</w:t>
            </w:r>
            <w:r w:rsidRPr="00D94409">
              <w:rPr>
                <w:spacing w:val="-2"/>
                <w:w w:val="105"/>
              </w:rPr>
              <w:t>arl</w:t>
            </w:r>
            <w:r w:rsidRPr="00D94409">
              <w:rPr>
                <w:w w:val="105"/>
              </w:rPr>
              <w:t>y</w:t>
            </w:r>
            <w:r w:rsidRPr="00D94409">
              <w:rPr>
                <w:spacing w:val="-24"/>
                <w:w w:val="105"/>
              </w:rPr>
              <w:t xml:space="preserve"> </w:t>
            </w:r>
            <w:r w:rsidRPr="00D94409">
              <w:rPr>
                <w:w w:val="105"/>
              </w:rPr>
              <w:t>with</w:t>
            </w:r>
            <w:r w:rsidRPr="00D94409">
              <w:rPr>
                <w:spacing w:val="-24"/>
                <w:w w:val="105"/>
              </w:rPr>
              <w:t xml:space="preserve"> </w:t>
            </w:r>
            <w:r w:rsidRPr="00D94409">
              <w:rPr>
                <w:w w:val="105"/>
              </w:rPr>
              <w:t>a</w:t>
            </w:r>
            <w:r w:rsidRPr="00D94409">
              <w:rPr>
                <w:spacing w:val="-24"/>
                <w:w w:val="105"/>
              </w:rPr>
              <w:t xml:space="preserve"> </w:t>
            </w:r>
            <w:r w:rsidRPr="00D94409">
              <w:rPr>
                <w:w w:val="105"/>
              </w:rPr>
              <w:t>Lead</w:t>
            </w:r>
            <w:r w:rsidRPr="00D94409">
              <w:rPr>
                <w:spacing w:val="-25"/>
                <w:w w:val="105"/>
              </w:rPr>
              <w:t xml:space="preserve"> </w:t>
            </w:r>
            <w:r w:rsidRPr="00D94409">
              <w:rPr>
                <w:spacing w:val="-2"/>
                <w:w w:val="105"/>
              </w:rPr>
              <w:t>Mat</w:t>
            </w:r>
            <w:r w:rsidRPr="00D94409">
              <w:rPr>
                <w:w w:val="105"/>
              </w:rPr>
              <w:t>ernity</w:t>
            </w:r>
            <w:r w:rsidRPr="00D94409">
              <w:rPr>
                <w:spacing w:val="-24"/>
                <w:w w:val="105"/>
              </w:rPr>
              <w:t xml:space="preserve"> </w:t>
            </w:r>
            <w:r w:rsidRPr="00D94409">
              <w:rPr>
                <w:spacing w:val="-2"/>
                <w:w w:val="105"/>
              </w:rPr>
              <w:t>Carer</w:t>
            </w:r>
            <w:r w:rsidRPr="00D94409">
              <w:rPr>
                <w:spacing w:val="-24"/>
                <w:w w:val="105"/>
              </w:rPr>
              <w:t xml:space="preserve"> </w:t>
            </w:r>
            <w:r w:rsidRPr="00D94409">
              <w:rPr>
                <w:w w:val="105"/>
              </w:rPr>
              <w:t>and</w:t>
            </w:r>
            <w:r w:rsidRPr="00D94409">
              <w:rPr>
                <w:spacing w:val="-24"/>
                <w:w w:val="105"/>
              </w:rPr>
              <w:t xml:space="preserve"> </w:t>
            </w:r>
            <w:r w:rsidRPr="00D94409">
              <w:rPr>
                <w:w w:val="105"/>
              </w:rPr>
              <w:t>their</w:t>
            </w:r>
            <w:r w:rsidRPr="00D94409">
              <w:rPr>
                <w:spacing w:val="-24"/>
                <w:w w:val="105"/>
              </w:rPr>
              <w:t xml:space="preserve"> </w:t>
            </w:r>
            <w:r w:rsidRPr="00D94409">
              <w:rPr>
                <w:w w:val="105"/>
              </w:rPr>
              <w:t>low</w:t>
            </w:r>
            <w:r w:rsidRPr="00D94409">
              <w:rPr>
                <w:spacing w:val="-25"/>
                <w:w w:val="105"/>
              </w:rPr>
              <w:t xml:space="preserve"> </w:t>
            </w:r>
            <w:r w:rsidRPr="00D94409">
              <w:rPr>
                <w:spacing w:val="-2"/>
                <w:w w:val="105"/>
              </w:rPr>
              <w:t>att</w:t>
            </w:r>
            <w:r w:rsidRPr="00D94409">
              <w:rPr>
                <w:w w:val="105"/>
              </w:rPr>
              <w:t>endance</w:t>
            </w:r>
            <w:r w:rsidRPr="00D94409">
              <w:rPr>
                <w:spacing w:val="57"/>
                <w:w w:val="107"/>
              </w:rPr>
              <w:t xml:space="preserve"> </w:t>
            </w:r>
            <w:r w:rsidRPr="00D94409">
              <w:rPr>
                <w:w w:val="105"/>
              </w:rPr>
              <w:t>at</w:t>
            </w:r>
            <w:r w:rsidRPr="00D94409">
              <w:rPr>
                <w:spacing w:val="-16"/>
                <w:w w:val="105"/>
              </w:rPr>
              <w:t xml:space="preserve"> </w:t>
            </w:r>
            <w:r w:rsidRPr="00D94409">
              <w:rPr>
                <w:w w:val="105"/>
              </w:rPr>
              <w:t>childbirth</w:t>
            </w:r>
            <w:r w:rsidRPr="00D94409">
              <w:rPr>
                <w:spacing w:val="-16"/>
                <w:w w:val="105"/>
              </w:rPr>
              <w:t xml:space="preserve"> </w:t>
            </w:r>
            <w:r w:rsidRPr="00D94409">
              <w:rPr>
                <w:w w:val="105"/>
              </w:rPr>
              <w:t>education</w:t>
            </w:r>
            <w:r w:rsidRPr="00D94409">
              <w:rPr>
                <w:spacing w:val="-16"/>
                <w:w w:val="105"/>
              </w:rPr>
              <w:t xml:space="preserve"> </w:t>
            </w:r>
            <w:r w:rsidRPr="00D94409">
              <w:rPr>
                <w:w w:val="105"/>
              </w:rPr>
              <w:t>sessions.</w:t>
            </w:r>
            <w:r w:rsidRPr="00D94409">
              <w:rPr>
                <w:spacing w:val="-16"/>
                <w:w w:val="105"/>
              </w:rPr>
              <w:t xml:space="preserve"> </w:t>
            </w:r>
            <w:r w:rsidRPr="00D94409">
              <w:rPr>
                <w:w w:val="105"/>
              </w:rPr>
              <w:t>As</w:t>
            </w:r>
            <w:r w:rsidRPr="00D94409">
              <w:rPr>
                <w:spacing w:val="-15"/>
                <w:w w:val="105"/>
              </w:rPr>
              <w:t xml:space="preserve"> </w:t>
            </w:r>
            <w:r w:rsidRPr="00D94409">
              <w:rPr>
                <w:w w:val="105"/>
              </w:rPr>
              <w:t>well</w:t>
            </w:r>
            <w:r w:rsidRPr="00D94409">
              <w:rPr>
                <w:spacing w:val="-16"/>
                <w:w w:val="105"/>
              </w:rPr>
              <w:t xml:space="preserve"> </w:t>
            </w:r>
            <w:r w:rsidRPr="00D94409">
              <w:rPr>
                <w:w w:val="105"/>
              </w:rPr>
              <w:t>as</w:t>
            </w:r>
            <w:r w:rsidRPr="00D94409">
              <w:rPr>
                <w:spacing w:val="-16"/>
                <w:w w:val="105"/>
              </w:rPr>
              <w:t xml:space="preserve"> </w:t>
            </w:r>
            <w:r w:rsidRPr="00D94409">
              <w:rPr>
                <w:w w:val="105"/>
              </w:rPr>
              <w:t>a</w:t>
            </w:r>
            <w:r w:rsidRPr="00D94409">
              <w:rPr>
                <w:spacing w:val="-16"/>
                <w:w w:val="105"/>
              </w:rPr>
              <w:t xml:space="preserve"> </w:t>
            </w:r>
            <w:r w:rsidRPr="00D94409">
              <w:rPr>
                <w:w w:val="105"/>
              </w:rPr>
              <w:t>web</w:t>
            </w:r>
            <w:r w:rsidRPr="00D94409">
              <w:rPr>
                <w:spacing w:val="-2"/>
                <w:w w:val="105"/>
              </w:rPr>
              <w:t>sit</w:t>
            </w:r>
            <w:r w:rsidRPr="00D94409">
              <w:rPr>
                <w:w w:val="105"/>
              </w:rPr>
              <w:t>e,</w:t>
            </w:r>
            <w:r w:rsidRPr="00D94409">
              <w:rPr>
                <w:spacing w:val="-15"/>
                <w:w w:val="105"/>
              </w:rPr>
              <w:t xml:space="preserve"> </w:t>
            </w:r>
            <w:r w:rsidRPr="00D94409">
              <w:rPr>
                <w:spacing w:val="-3"/>
                <w:w w:val="105"/>
              </w:rPr>
              <w:t>a</w:t>
            </w:r>
            <w:r w:rsidRPr="00D94409">
              <w:rPr>
                <w:spacing w:val="-2"/>
                <w:w w:val="105"/>
              </w:rPr>
              <w:t>vailable</w:t>
            </w:r>
            <w:r w:rsidRPr="00D94409">
              <w:rPr>
                <w:spacing w:val="-16"/>
                <w:w w:val="105"/>
              </w:rPr>
              <w:t xml:space="preserve"> </w:t>
            </w:r>
            <w:r w:rsidRPr="00D94409">
              <w:rPr>
                <w:w w:val="105"/>
              </w:rPr>
              <w:t>in</w:t>
            </w:r>
            <w:r w:rsidRPr="00D94409">
              <w:rPr>
                <w:spacing w:val="31"/>
                <w:w w:val="107"/>
              </w:rPr>
              <w:t xml:space="preserve"> </w:t>
            </w:r>
            <w:r w:rsidRPr="00D94409">
              <w:rPr>
                <w:w w:val="105"/>
              </w:rPr>
              <w:t>eight</w:t>
            </w:r>
            <w:r w:rsidRPr="00D94409">
              <w:rPr>
                <w:spacing w:val="-18"/>
                <w:w w:val="105"/>
              </w:rPr>
              <w:t xml:space="preserve"> </w:t>
            </w:r>
            <w:r w:rsidRPr="00D94409">
              <w:rPr>
                <w:spacing w:val="-2"/>
                <w:w w:val="105"/>
              </w:rPr>
              <w:t>P</w:t>
            </w:r>
            <w:r w:rsidRPr="00D94409">
              <w:rPr>
                <w:w w:val="105"/>
              </w:rPr>
              <w:t>acific</w:t>
            </w:r>
            <w:r w:rsidRPr="00D94409">
              <w:rPr>
                <w:spacing w:val="-18"/>
                <w:w w:val="105"/>
              </w:rPr>
              <w:t xml:space="preserve"> </w:t>
            </w:r>
            <w:r w:rsidRPr="00D94409">
              <w:rPr>
                <w:w w:val="105"/>
              </w:rPr>
              <w:t>languages,</w:t>
            </w:r>
            <w:r w:rsidRPr="00D94409">
              <w:rPr>
                <w:spacing w:val="-18"/>
                <w:w w:val="105"/>
              </w:rPr>
              <w:t xml:space="preserve"> </w:t>
            </w:r>
            <w:r w:rsidRPr="00D94409">
              <w:rPr>
                <w:w w:val="105"/>
              </w:rPr>
              <w:t>the</w:t>
            </w:r>
            <w:r w:rsidRPr="00D94409">
              <w:rPr>
                <w:spacing w:val="-18"/>
                <w:w w:val="105"/>
              </w:rPr>
              <w:t xml:space="preserve"> </w:t>
            </w:r>
            <w:r w:rsidRPr="00D94409">
              <w:rPr>
                <w:w w:val="105"/>
              </w:rPr>
              <w:t>service</w:t>
            </w:r>
            <w:r w:rsidRPr="00D94409">
              <w:rPr>
                <w:spacing w:val="-18"/>
                <w:w w:val="105"/>
              </w:rPr>
              <w:t xml:space="preserve"> </w:t>
            </w:r>
            <w:r w:rsidRPr="00D94409">
              <w:rPr>
                <w:w w:val="105"/>
              </w:rPr>
              <w:t>runs</w:t>
            </w:r>
            <w:r w:rsidRPr="00D94409">
              <w:rPr>
                <w:spacing w:val="-18"/>
                <w:w w:val="105"/>
              </w:rPr>
              <w:t xml:space="preserve"> </w:t>
            </w:r>
            <w:r w:rsidRPr="00D94409">
              <w:rPr>
                <w:w w:val="105"/>
              </w:rPr>
              <w:t>pregnancy</w:t>
            </w:r>
            <w:r w:rsidRPr="00D94409">
              <w:rPr>
                <w:spacing w:val="-18"/>
                <w:w w:val="105"/>
              </w:rPr>
              <w:t xml:space="preserve"> </w:t>
            </w:r>
            <w:r w:rsidRPr="00D94409">
              <w:rPr>
                <w:w w:val="105"/>
              </w:rPr>
              <w:t>and</w:t>
            </w:r>
            <w:r w:rsidRPr="00D94409">
              <w:rPr>
                <w:spacing w:val="-18"/>
                <w:w w:val="105"/>
              </w:rPr>
              <w:t xml:space="preserve"> </w:t>
            </w:r>
            <w:r w:rsidRPr="00D94409">
              <w:rPr>
                <w:spacing w:val="-2"/>
                <w:w w:val="105"/>
              </w:rPr>
              <w:t>par</w:t>
            </w:r>
            <w:r w:rsidRPr="00D94409">
              <w:rPr>
                <w:w w:val="105"/>
              </w:rPr>
              <w:t>enting</w:t>
            </w:r>
            <w:r w:rsidRPr="00D94409">
              <w:rPr>
                <w:spacing w:val="54"/>
                <w:w w:val="106"/>
              </w:rPr>
              <w:t xml:space="preserve"> </w:t>
            </w:r>
            <w:r w:rsidRPr="00D94409">
              <w:rPr>
                <w:w w:val="105"/>
              </w:rPr>
              <w:t>education</w:t>
            </w:r>
            <w:r w:rsidRPr="00D94409">
              <w:rPr>
                <w:spacing w:val="-10"/>
                <w:w w:val="105"/>
              </w:rPr>
              <w:t xml:space="preserve"> </w:t>
            </w:r>
            <w:r w:rsidRPr="00D94409">
              <w:rPr>
                <w:w w:val="105"/>
              </w:rPr>
              <w:t>classes</w:t>
            </w:r>
            <w:r w:rsidRPr="00D94409">
              <w:rPr>
                <w:spacing w:val="-9"/>
                <w:w w:val="105"/>
              </w:rPr>
              <w:t xml:space="preserve"> </w:t>
            </w:r>
            <w:r w:rsidRPr="00D94409">
              <w:rPr>
                <w:w w:val="105"/>
              </w:rPr>
              <w:t>tailored</w:t>
            </w:r>
            <w:r w:rsidRPr="00D94409">
              <w:rPr>
                <w:spacing w:val="-9"/>
                <w:w w:val="105"/>
              </w:rPr>
              <w:t xml:space="preserve"> </w:t>
            </w:r>
            <w:r w:rsidRPr="00D94409">
              <w:rPr>
                <w:w w:val="105"/>
              </w:rPr>
              <w:t>for</w:t>
            </w:r>
            <w:r w:rsidRPr="00D94409">
              <w:rPr>
                <w:spacing w:val="-10"/>
                <w:w w:val="105"/>
              </w:rPr>
              <w:t xml:space="preserve"> </w:t>
            </w:r>
            <w:r w:rsidRPr="00D94409">
              <w:rPr>
                <w:spacing w:val="-2"/>
                <w:w w:val="105"/>
              </w:rPr>
              <w:t>P</w:t>
            </w:r>
            <w:r w:rsidRPr="00D94409">
              <w:rPr>
                <w:w w:val="105"/>
              </w:rPr>
              <w:t>acific</w:t>
            </w:r>
            <w:r w:rsidRPr="00D94409">
              <w:rPr>
                <w:spacing w:val="-9"/>
                <w:w w:val="105"/>
              </w:rPr>
              <w:t xml:space="preserve"> </w:t>
            </w:r>
            <w:r w:rsidRPr="00D94409">
              <w:rPr>
                <w:w w:val="105"/>
              </w:rPr>
              <w:t>mothers.</w:t>
            </w:r>
          </w:p>
          <w:p w:rsidR="00880380" w:rsidRDefault="00880380" w:rsidP="00880380">
            <w:pPr>
              <w:spacing w:before="120" w:after="120"/>
              <w:rPr>
                <w:noProof/>
                <w:lang w:eastAsia="en-NZ"/>
              </w:rPr>
            </w:pPr>
            <w:r w:rsidRPr="00D94409">
              <w:rPr>
                <w:spacing w:val="-7"/>
                <w:w w:val="105"/>
              </w:rPr>
              <w:t>Y</w:t>
            </w:r>
            <w:r w:rsidRPr="00D94409">
              <w:rPr>
                <w:spacing w:val="-6"/>
                <w:w w:val="105"/>
              </w:rPr>
              <w:t>ou</w:t>
            </w:r>
            <w:r w:rsidRPr="00D94409">
              <w:rPr>
                <w:spacing w:val="-18"/>
                <w:w w:val="105"/>
              </w:rPr>
              <w:t xml:space="preserve"> </w:t>
            </w:r>
            <w:r w:rsidRPr="00D94409">
              <w:rPr>
                <w:spacing w:val="-2"/>
                <w:w w:val="105"/>
              </w:rPr>
              <w:t>can</w:t>
            </w:r>
            <w:r w:rsidRPr="00D94409">
              <w:rPr>
                <w:spacing w:val="-17"/>
                <w:w w:val="105"/>
              </w:rPr>
              <w:t xml:space="preserve"> </w:t>
            </w:r>
            <w:r w:rsidRPr="00D94409">
              <w:rPr>
                <w:w w:val="105"/>
              </w:rPr>
              <w:t>fi</w:t>
            </w:r>
            <w:r>
              <w:rPr>
                <w:w w:val="105"/>
              </w:rPr>
              <w:t xml:space="preserve">nd </w:t>
            </w:r>
            <w:r w:rsidRPr="00D94409">
              <w:rPr>
                <w:spacing w:val="-2"/>
                <w:w w:val="105"/>
              </w:rPr>
              <w:t>out</w:t>
            </w:r>
            <w:r w:rsidRPr="00D94409">
              <w:rPr>
                <w:spacing w:val="-14"/>
                <w:w w:val="105"/>
              </w:rPr>
              <w:t xml:space="preserve"> </w:t>
            </w:r>
            <w:r w:rsidRPr="00D94409">
              <w:rPr>
                <w:spacing w:val="-2"/>
                <w:w w:val="105"/>
              </w:rPr>
              <w:t>more</w:t>
            </w:r>
            <w:r w:rsidRPr="00D94409">
              <w:rPr>
                <w:spacing w:val="-15"/>
                <w:w w:val="105"/>
              </w:rPr>
              <w:t xml:space="preserve"> </w:t>
            </w:r>
            <w:r w:rsidRPr="00D94409">
              <w:rPr>
                <w:spacing w:val="-2"/>
                <w:w w:val="105"/>
              </w:rPr>
              <w:t>about</w:t>
            </w:r>
            <w:r w:rsidRPr="00D94409">
              <w:rPr>
                <w:spacing w:val="-15"/>
                <w:w w:val="105"/>
              </w:rPr>
              <w:t xml:space="preserve"> </w:t>
            </w:r>
            <w:proofErr w:type="spellStart"/>
            <w:r w:rsidRPr="00D94409">
              <w:rPr>
                <w:spacing w:val="-4"/>
                <w:w w:val="105"/>
              </w:rPr>
              <w:t>Ta</w:t>
            </w:r>
            <w:r w:rsidRPr="00D94409">
              <w:rPr>
                <w:spacing w:val="-3"/>
                <w:w w:val="105"/>
              </w:rPr>
              <w:t>puaki</w:t>
            </w:r>
            <w:proofErr w:type="spellEnd"/>
            <w:r w:rsidRPr="00D94409">
              <w:rPr>
                <w:spacing w:val="-15"/>
                <w:w w:val="105"/>
              </w:rPr>
              <w:t xml:space="preserve"> </w:t>
            </w:r>
            <w:r w:rsidRPr="00D94409">
              <w:rPr>
                <w:spacing w:val="-2"/>
                <w:w w:val="105"/>
              </w:rPr>
              <w:t>by</w:t>
            </w:r>
            <w:r w:rsidRPr="00D94409">
              <w:rPr>
                <w:spacing w:val="-15"/>
                <w:w w:val="105"/>
              </w:rPr>
              <w:t xml:space="preserve"> </w:t>
            </w:r>
            <w:r w:rsidRPr="00D94409">
              <w:rPr>
                <w:spacing w:val="-2"/>
                <w:w w:val="105"/>
              </w:rPr>
              <w:t>visiting</w:t>
            </w:r>
            <w:r w:rsidRPr="00D94409">
              <w:rPr>
                <w:spacing w:val="-14"/>
                <w:w w:val="105"/>
              </w:rPr>
              <w:t xml:space="preserve"> </w:t>
            </w:r>
            <w:hyperlink r:id="rId37">
              <w:r w:rsidRPr="00D94409">
                <w:rPr>
                  <w:spacing w:val="-4"/>
                  <w:w w:val="105"/>
                </w:rPr>
                <w:t>www</w:t>
              </w:r>
              <w:r w:rsidRPr="00D94409">
                <w:rPr>
                  <w:spacing w:val="-5"/>
                  <w:w w:val="105"/>
                </w:rPr>
                <w:t>.tapuaki.</w:t>
              </w:r>
              <w:r w:rsidRPr="00D94409">
                <w:rPr>
                  <w:spacing w:val="-4"/>
                  <w:w w:val="105"/>
                </w:rPr>
                <w:t>org.nz</w:t>
              </w:r>
            </w:hyperlink>
          </w:p>
        </w:tc>
      </w:tr>
    </w:tbl>
    <w:p w:rsidR="00880380" w:rsidRPr="00D94409" w:rsidRDefault="00880380" w:rsidP="00B16F16">
      <w:pPr>
        <w:rPr>
          <w:rFonts w:eastAsia="Century"/>
        </w:rPr>
      </w:pPr>
    </w:p>
    <w:p w:rsidR="00A74AC3" w:rsidRPr="00D94409" w:rsidRDefault="00A74AC3" w:rsidP="00516F3A">
      <w:pPr>
        <w:pStyle w:val="Heading2"/>
        <w:rPr>
          <w:bCs/>
        </w:rPr>
      </w:pPr>
      <w:bookmarkStart w:id="50" w:name="_Toc433234099"/>
      <w:r w:rsidRPr="00D94409">
        <w:t>Protecting vulnerable groups</w:t>
      </w:r>
      <w:bookmarkEnd w:id="50"/>
    </w:p>
    <w:p w:rsidR="00A74AC3" w:rsidRPr="00D94409" w:rsidRDefault="00A74AC3" w:rsidP="00516F3A">
      <w:pPr>
        <w:pStyle w:val="Heading3"/>
        <w:rPr>
          <w:rFonts w:eastAsia="Arial Black" w:hAnsi="Arial Black" w:cs="Arial Black"/>
          <w:bCs/>
        </w:rPr>
      </w:pPr>
      <w:r w:rsidRPr="00D94409">
        <w:t>Children at risk</w:t>
      </w:r>
    </w:p>
    <w:p w:rsidR="00A74AC3" w:rsidRPr="00D94409" w:rsidRDefault="00A74AC3" w:rsidP="00516F3A">
      <w:r w:rsidRPr="00D94409">
        <w:t>The health and social sectors play a vital role in identifying, supporting and protecting vulnerable children. The Government has set a target for the public sector to halt the 10-year rise in the number of children experiencing physical abuse, and to reduce the 2011 levels by 5</w:t>
      </w:r>
      <w:r w:rsidR="00516F3A">
        <w:t> </w:t>
      </w:r>
      <w:r w:rsidRPr="00D94409">
        <w:t>per cent by 2017. The Children</w:t>
      </w:r>
      <w:r w:rsidR="00D94409" w:rsidRPr="00D94409">
        <w:t>’</w:t>
      </w:r>
      <w:r w:rsidRPr="00D94409">
        <w:t>s Action Plan contributes to this target as a cross-agency framework aimed at strengthening New Zealand</w:t>
      </w:r>
      <w:r w:rsidR="00D94409" w:rsidRPr="00D94409">
        <w:t>’</w:t>
      </w:r>
      <w:r w:rsidRPr="00D94409">
        <w:t>s approach to protecting vulnerable children.</w:t>
      </w:r>
    </w:p>
    <w:p w:rsidR="00A74AC3" w:rsidRPr="00D94409" w:rsidRDefault="00A74AC3" w:rsidP="0090352A">
      <w:pPr>
        <w:rPr>
          <w:rFonts w:eastAsia="Century"/>
        </w:rPr>
      </w:pPr>
    </w:p>
    <w:p w:rsidR="00A74AC3" w:rsidRPr="00D94409" w:rsidRDefault="00A74AC3" w:rsidP="00516F3A">
      <w:pPr>
        <w:pStyle w:val="Heading4"/>
        <w:rPr>
          <w:rFonts w:eastAsia="Arial Black" w:hAnsi="Arial Black" w:cs="Arial Black"/>
          <w:bCs/>
        </w:rPr>
      </w:pPr>
      <w:r w:rsidRPr="00D94409">
        <w:t>The majority of child abuse deaths and hospitalisations are in infants</w:t>
      </w:r>
    </w:p>
    <w:p w:rsidR="00A74AC3" w:rsidRPr="00D94409" w:rsidRDefault="00A74AC3" w:rsidP="00516F3A">
      <w:r w:rsidRPr="00D94409">
        <w:t>On average, eight children aged 0–14 years die each year in New Zealand as a result of injuries from assault, neglect or maltreatment</w:t>
      </w:r>
      <w:r w:rsidR="00516F3A">
        <w:rPr>
          <w:rStyle w:val="FootnoteReference"/>
        </w:rPr>
        <w:footnoteReference w:id="34"/>
      </w:r>
      <w:r w:rsidR="00516F3A">
        <w:t xml:space="preserve"> </w:t>
      </w:r>
      <w:r w:rsidRPr="00D94409">
        <w:t>(Figure 13) (Simpson et al 2014). The majority of these are children under four years old.</w:t>
      </w:r>
    </w:p>
    <w:p w:rsidR="00A74AC3" w:rsidRPr="00D94409" w:rsidRDefault="00A74AC3" w:rsidP="0090352A">
      <w:pPr>
        <w:rPr>
          <w:rFonts w:eastAsia="Century"/>
        </w:rPr>
      </w:pPr>
    </w:p>
    <w:p w:rsidR="00A74AC3" w:rsidRPr="00D94409" w:rsidRDefault="00A74AC3" w:rsidP="0090352A">
      <w:r w:rsidRPr="00D94409">
        <w:t>An ad</w:t>
      </w:r>
      <w:r w:rsidRPr="0090352A">
        <w:t>ditional 167 children aged 0–14 years are hospitalised each year due to assault, neglect or maltreatment</w:t>
      </w:r>
      <w:r w:rsidR="00516F3A">
        <w:rPr>
          <w:rStyle w:val="FootnoteReference"/>
        </w:rPr>
        <w:footnoteReference w:id="35"/>
      </w:r>
      <w:r w:rsidR="00516F3A">
        <w:t xml:space="preserve"> </w:t>
      </w:r>
      <w:r w:rsidRPr="00D94409">
        <w:t>(Ministry of Health 2015j). Hospitalisations for these injuries are highest in children aged less than one year and in those over 11 years of age.</w:t>
      </w:r>
    </w:p>
    <w:p w:rsidR="00A74AC3" w:rsidRPr="00D94409" w:rsidRDefault="00A74AC3" w:rsidP="00516F3A">
      <w:pPr>
        <w:rPr>
          <w:rFonts w:eastAsia="Century"/>
        </w:rPr>
      </w:pPr>
    </w:p>
    <w:p w:rsidR="00A74AC3" w:rsidRPr="00D94409" w:rsidRDefault="00A74AC3" w:rsidP="00516F3A">
      <w:pPr>
        <w:pStyle w:val="Figure"/>
        <w:rPr>
          <w:rFonts w:eastAsia="Georgia" w:cs="Georgia"/>
          <w:szCs w:val="19"/>
        </w:rPr>
      </w:pPr>
      <w:bookmarkStart w:id="51" w:name="_Toc433234122"/>
      <w:r w:rsidRPr="00D94409">
        <w:lastRenderedPageBreak/>
        <w:t>Figure 13: The impact of child abuse and neglect on New Zealand children</w:t>
      </w:r>
      <w:bookmarkEnd w:id="51"/>
    </w:p>
    <w:p w:rsidR="00A74AC3" w:rsidRPr="00D94409" w:rsidRDefault="00516F3A" w:rsidP="00516F3A">
      <w:pPr>
        <w:rPr>
          <w:rFonts w:eastAsia="Georgia"/>
        </w:rPr>
      </w:pPr>
      <w:r>
        <w:rPr>
          <w:noProof/>
          <w:lang w:eastAsia="en-NZ"/>
        </w:rPr>
        <w:drawing>
          <wp:inline distT="0" distB="0" distL="0" distR="0" wp14:anchorId="47C2C9EE" wp14:editId="4CA240C6">
            <wp:extent cx="3715789" cy="3190230"/>
            <wp:effectExtent l="0" t="0" r="0" b="0"/>
            <wp:docPr id="2001" name="Picture 2001" title="Figure 13: The impact of child abuse and neglect on New Zealand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grayscl/>
                    </a:blip>
                    <a:srcRect l="3247" t="1539" b="-1"/>
                    <a:stretch/>
                  </pic:blipFill>
                  <pic:spPr bwMode="auto">
                    <a:xfrm>
                      <a:off x="0" y="0"/>
                      <a:ext cx="3713947" cy="3188649"/>
                    </a:xfrm>
                    <a:prstGeom prst="rect">
                      <a:avLst/>
                    </a:prstGeom>
                    <a:ln>
                      <a:noFill/>
                    </a:ln>
                    <a:extLst>
                      <a:ext uri="{53640926-AAD7-44D8-BBD7-CCE9431645EC}">
                        <a14:shadowObscured xmlns:a14="http://schemas.microsoft.com/office/drawing/2010/main"/>
                      </a:ext>
                    </a:extLst>
                  </pic:spPr>
                </pic:pic>
              </a:graphicData>
            </a:graphic>
          </wp:inline>
        </w:drawing>
      </w:r>
    </w:p>
    <w:p w:rsidR="00A74AC3" w:rsidRPr="00D94409" w:rsidRDefault="00A74AC3" w:rsidP="00516F3A">
      <w:pPr>
        <w:pStyle w:val="Source"/>
        <w:ind w:left="0" w:right="3686" w:firstLine="0"/>
        <w:rPr>
          <w:rFonts w:eastAsia="Century" w:hAnsi="Century" w:cs="Century"/>
          <w:szCs w:val="17"/>
        </w:rPr>
      </w:pPr>
      <w:r w:rsidRPr="00D94409">
        <w:t>Source: National Minimum Dataset and the Mortality Collection, Mini</w:t>
      </w:r>
      <w:r w:rsidR="00516F3A">
        <w:t>s</w:t>
      </w:r>
      <w:r w:rsidRPr="00D94409">
        <w:t>try of Health, Child Youth and Family</w:t>
      </w:r>
    </w:p>
    <w:p w:rsidR="0090352A" w:rsidRDefault="0090352A" w:rsidP="00516F3A"/>
    <w:p w:rsidR="00A74AC3" w:rsidRPr="00D94409" w:rsidRDefault="00A74AC3" w:rsidP="00516F3A">
      <w:r w:rsidRPr="00D94409">
        <w:t>Hospitalisations and deaths are the tip of the iceberg. Child, Youth and Family (CYF) reports that 63,250 children aged 0–16 years were notified to them in 2014 (care and protection reports of concern). Three-quarters of these notifications required further action, with substantiated abuse findings in 16,289 children (CYF 2015).</w:t>
      </w:r>
    </w:p>
    <w:p w:rsidR="00A74AC3" w:rsidRPr="00D94409" w:rsidRDefault="00A74AC3" w:rsidP="00516F3A">
      <w:pPr>
        <w:rPr>
          <w:rFonts w:eastAsia="Century"/>
        </w:rPr>
      </w:pPr>
    </w:p>
    <w:p w:rsidR="00A74AC3" w:rsidRPr="00D94409" w:rsidRDefault="00A74AC3" w:rsidP="00516F3A">
      <w:pPr>
        <w:rPr>
          <w:rFonts w:cs="Century"/>
        </w:rPr>
      </w:pPr>
      <w:r w:rsidRPr="00D94409">
        <w:t xml:space="preserve">The health sector plays a vital role in reducing assaults on children through early identification and intervention. When a high proportion of people enrol with a primary health organisation (95 percent at 1 July 2015), as well as with maternity and Well Child / </w:t>
      </w:r>
      <w:proofErr w:type="spellStart"/>
      <w:r w:rsidRPr="00D94409">
        <w:t>Tamariki</w:t>
      </w:r>
      <w:proofErr w:type="spellEnd"/>
      <w:r w:rsidRPr="00D94409">
        <w:t xml:space="preserve"> </w:t>
      </w:r>
      <w:proofErr w:type="spellStart"/>
      <w:r w:rsidRPr="00D94409">
        <w:t>Ora</w:t>
      </w:r>
      <w:proofErr w:type="spellEnd"/>
      <w:r w:rsidRPr="00D94409">
        <w:t xml:space="preserve"> services (see page 18), health professionals can develop ongoing relationships with families. Midwives and WCTO nurses can identify parenting problems early, providing advice and support to parents before they reach crisis point.</w:t>
      </w:r>
    </w:p>
    <w:p w:rsidR="00A74AC3" w:rsidRPr="00D94409" w:rsidRDefault="00A74AC3" w:rsidP="00516F3A">
      <w:pPr>
        <w:rPr>
          <w:rFonts w:eastAsia="Century"/>
        </w:rPr>
      </w:pPr>
    </w:p>
    <w:p w:rsidR="00A74AC3" w:rsidRPr="00D94409" w:rsidRDefault="00A74AC3" w:rsidP="00516F3A">
      <w:pPr>
        <w:pStyle w:val="Heading4"/>
        <w:rPr>
          <w:rFonts w:eastAsia="Arial Black" w:hAnsi="Arial Black" w:cs="Arial Black"/>
          <w:bCs/>
        </w:rPr>
      </w:pPr>
      <w:r w:rsidRPr="00D94409">
        <w:t>Early life experiences are linked with health and behavioural outcomes</w:t>
      </w:r>
    </w:p>
    <w:p w:rsidR="00A74AC3" w:rsidRPr="00D94409" w:rsidRDefault="00A74AC3" w:rsidP="00516F3A">
      <w:r w:rsidRPr="00D94409">
        <w:t>The Growing Up in New Zealand Study has identified a set of 12 risk factors that are linked with a child</w:t>
      </w:r>
      <w:r w:rsidR="00D94409" w:rsidRPr="00D94409">
        <w:t>’</w:t>
      </w:r>
      <w:r w:rsidRPr="00D94409">
        <w:t>s vulnerability to poor health, social, educational and developmental outcomes. The study found that when a child is exposed to several of these risk factors at any one time, as well as over time, they are more likely to have poor health and behavioural outcomes during the first 1000 days (three years) of development. Figure 14 summarises the proportion of children in the study who were exposed to each of these risk factors before birth (Morton et al 2014).</w:t>
      </w:r>
    </w:p>
    <w:p w:rsidR="00A74AC3" w:rsidRPr="00D94409" w:rsidRDefault="00A74AC3" w:rsidP="0090352A">
      <w:pPr>
        <w:rPr>
          <w:rFonts w:eastAsia="Century"/>
        </w:rPr>
      </w:pPr>
    </w:p>
    <w:p w:rsidR="00A74AC3" w:rsidRPr="00D94409" w:rsidRDefault="00A74AC3" w:rsidP="0090352A">
      <w:pPr>
        <w:rPr>
          <w:rFonts w:cs="Century"/>
        </w:rPr>
      </w:pPr>
      <w:r w:rsidRPr="00D94409">
        <w:t>Over half of children in the study were exposed to at least one risk factor before birth. One in eight was exposed to four or more risk factors.</w:t>
      </w:r>
    </w:p>
    <w:p w:rsidR="00A74AC3" w:rsidRPr="00D94409" w:rsidRDefault="00A74AC3" w:rsidP="0090352A">
      <w:pPr>
        <w:rPr>
          <w:rFonts w:eastAsia="Century"/>
        </w:rPr>
      </w:pPr>
    </w:p>
    <w:p w:rsidR="00A74AC3" w:rsidRPr="00D94409" w:rsidRDefault="00A74AC3" w:rsidP="0090352A">
      <w:pPr>
        <w:rPr>
          <w:rFonts w:cs="Century"/>
        </w:rPr>
      </w:pPr>
      <w:r w:rsidRPr="00D94409">
        <w:t>A greater proportion of children born to Māori and Pacific mothers were exposed to these risk factors before birth, compared with children born to New Zealand European mothers.</w:t>
      </w:r>
    </w:p>
    <w:p w:rsidR="00A74AC3" w:rsidRPr="00D94409" w:rsidRDefault="00A74AC3" w:rsidP="0090352A">
      <w:pPr>
        <w:rPr>
          <w:rFonts w:eastAsia="Century"/>
        </w:rPr>
      </w:pPr>
    </w:p>
    <w:p w:rsidR="00A74AC3" w:rsidRPr="00D94409" w:rsidRDefault="00A74AC3" w:rsidP="00516F3A">
      <w:pPr>
        <w:keepLines/>
      </w:pPr>
      <w:proofErr w:type="gramStart"/>
      <w:r w:rsidRPr="00D94409">
        <w:lastRenderedPageBreak/>
        <w:t>Children</w:t>
      </w:r>
      <w:proofErr w:type="gramEnd"/>
      <w:r w:rsidRPr="00D94409">
        <w:t xml:space="preserve"> who were exposed to four or more risk factors, from before birth up until the age of two years, were more likely to experience chest infections and to have incomplete immunisations. If they were exposed to vulnerability risk factors, children were also more likely to have emotional and behavioural issues. Children who were exposed to four or more risk factors were seven times as likely to have</w:t>
      </w:r>
      <w:r w:rsidR="0090352A">
        <w:t xml:space="preserve"> </w:t>
      </w:r>
      <w:r w:rsidRPr="00D94409">
        <w:t xml:space="preserve">an </w:t>
      </w:r>
      <w:r w:rsidR="00D94409" w:rsidRPr="00D94409">
        <w:t>‘</w:t>
      </w:r>
      <w:r w:rsidRPr="00D94409">
        <w:t>abnormal</w:t>
      </w:r>
      <w:r w:rsidR="00D94409" w:rsidRPr="00D94409">
        <w:t>’</w:t>
      </w:r>
      <w:r w:rsidRPr="00D94409">
        <w:t xml:space="preserve"> score on the Strengths and Difficulties Questionnaire (SDQ) at the age of two years, compared with children who were exposed to no risk factors (Morton et al 2015).</w:t>
      </w:r>
    </w:p>
    <w:p w:rsidR="00A74AC3" w:rsidRPr="00D94409" w:rsidRDefault="00A74AC3" w:rsidP="00516F3A">
      <w:pPr>
        <w:rPr>
          <w:rFonts w:eastAsia="Century"/>
        </w:rPr>
      </w:pPr>
    </w:p>
    <w:p w:rsidR="00A74AC3" w:rsidRDefault="00A74AC3" w:rsidP="0090352A">
      <w:pPr>
        <w:pStyle w:val="Figure"/>
      </w:pPr>
      <w:bookmarkStart w:id="52" w:name="_Toc433234123"/>
      <w:r w:rsidRPr="00D94409">
        <w:t>Figure 14: Proportion of children in the Growing up in New Zealand study exposed to individual risk factors during the ante-natal period</w:t>
      </w:r>
      <w:bookmarkEnd w:id="52"/>
    </w:p>
    <w:p w:rsidR="00516F3A" w:rsidRPr="00516F3A" w:rsidRDefault="00516F3A" w:rsidP="00516F3A">
      <w:pPr>
        <w:rPr>
          <w:rFonts w:eastAsia="Georgia"/>
        </w:rPr>
      </w:pPr>
      <w:r>
        <w:rPr>
          <w:noProof/>
          <w:lang w:eastAsia="en-NZ"/>
        </w:rPr>
        <w:drawing>
          <wp:inline distT="0" distB="0" distL="0" distR="0" wp14:anchorId="12818001" wp14:editId="0D1851FA">
            <wp:extent cx="4430684" cy="4431832"/>
            <wp:effectExtent l="0" t="0" r="8255" b="6985"/>
            <wp:docPr id="2002" name="Picture 2002" title="Figure 14: Proportion of children in the Growing up in New Zealand study exposed to individual risk factors during the ante-natal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grayscl/>
                    </a:blip>
                    <a:srcRect l="1226" t="1398" r="-1"/>
                    <a:stretch/>
                  </pic:blipFill>
                  <pic:spPr bwMode="auto">
                    <a:xfrm>
                      <a:off x="0" y="0"/>
                      <a:ext cx="4430059" cy="4431207"/>
                    </a:xfrm>
                    <a:prstGeom prst="rect">
                      <a:avLst/>
                    </a:prstGeom>
                    <a:ln>
                      <a:noFill/>
                    </a:ln>
                    <a:extLst>
                      <a:ext uri="{53640926-AAD7-44D8-BBD7-CCE9431645EC}">
                        <a14:shadowObscured xmlns:a14="http://schemas.microsoft.com/office/drawing/2010/main"/>
                      </a:ext>
                    </a:extLst>
                  </pic:spPr>
                </pic:pic>
              </a:graphicData>
            </a:graphic>
          </wp:inline>
        </w:drawing>
      </w:r>
    </w:p>
    <w:p w:rsidR="00A74AC3" w:rsidRPr="00D94409" w:rsidRDefault="00A74AC3" w:rsidP="00A35CAB">
      <w:pPr>
        <w:pStyle w:val="Source"/>
        <w:rPr>
          <w:rFonts w:eastAsia="Century" w:hAnsi="Century" w:cs="Century"/>
          <w:szCs w:val="17"/>
        </w:rPr>
      </w:pPr>
      <w:r w:rsidRPr="00D94409">
        <w:t>Source: Morton et al (2014)</w:t>
      </w:r>
    </w:p>
    <w:p w:rsidR="00A74AC3" w:rsidRPr="00D94409" w:rsidRDefault="00A74AC3" w:rsidP="0090352A">
      <w:pPr>
        <w:rPr>
          <w:rFonts w:eastAsia="Century"/>
        </w:rPr>
      </w:pPr>
    </w:p>
    <w:p w:rsidR="00A74AC3" w:rsidRPr="00D94409" w:rsidRDefault="00A35CAB" w:rsidP="0090352A">
      <w:pPr>
        <w:rPr>
          <w:rFonts w:cs="Century"/>
        </w:rPr>
      </w:pPr>
      <w:r>
        <w:rPr>
          <w:noProof/>
          <w:lang w:eastAsia="en-NZ"/>
        </w:rPr>
        <mc:AlternateContent>
          <mc:Choice Requires="wpg">
            <w:drawing>
              <wp:anchor distT="0" distB="0" distL="114300" distR="0" simplePos="0" relativeHeight="251832320" behindDoc="0" locked="0" layoutInCell="1" allowOverlap="1" wp14:anchorId="1FA9983E" wp14:editId="484256BE">
                <wp:simplePos x="0" y="0"/>
                <wp:positionH relativeFrom="column">
                  <wp:posOffset>3452495</wp:posOffset>
                </wp:positionH>
                <wp:positionV relativeFrom="paragraph">
                  <wp:posOffset>12700</wp:posOffset>
                </wp:positionV>
                <wp:extent cx="2498090" cy="1545590"/>
                <wp:effectExtent l="0" t="0" r="16510" b="16510"/>
                <wp:wrapSquare wrapText="left"/>
                <wp:docPr id="2003" name="Group 2003"/>
                <wp:cNvGraphicFramePr/>
                <a:graphic xmlns:a="http://schemas.openxmlformats.org/drawingml/2006/main">
                  <a:graphicData uri="http://schemas.microsoft.com/office/word/2010/wordprocessingGroup">
                    <wpg:wgp>
                      <wpg:cNvGrpSpPr/>
                      <wpg:grpSpPr>
                        <a:xfrm>
                          <a:off x="0" y="0"/>
                          <a:ext cx="2498090" cy="1545590"/>
                          <a:chOff x="0" y="0"/>
                          <a:chExt cx="1952625" cy="839585"/>
                        </a:xfrm>
                      </wpg:grpSpPr>
                      <wpg:grpSp>
                        <wpg:cNvPr id="2004" name="Group 2004"/>
                        <wpg:cNvGrpSpPr/>
                        <wpg:grpSpPr>
                          <a:xfrm>
                            <a:off x="0" y="0"/>
                            <a:ext cx="1951355" cy="838200"/>
                            <a:chOff x="0" y="0"/>
                            <a:chExt cx="1951355" cy="838200"/>
                          </a:xfrm>
                        </wpg:grpSpPr>
                        <wps:wsp>
                          <wps:cNvPr id="2005" name="Rectangle 2005"/>
                          <wps:cNvSpPr/>
                          <wps:spPr>
                            <a:xfrm>
                              <a:off x="0" y="0"/>
                              <a:ext cx="1951355" cy="838200"/>
                            </a:xfrm>
                            <a:prstGeom prst="rect">
                              <a:avLst/>
                            </a:prstGeom>
                            <a:solidFill>
                              <a:schemeClr val="bg1">
                                <a:lumMod val="8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35CAB" w:rsidRDefault="00A35CAB" w:rsidP="00A35CAB">
                                <w:pPr>
                                  <w:spacing w:before="120" w:after="120"/>
                                  <w:jc w:val="center"/>
                                  <w:rPr>
                                    <w:b/>
                                    <w:color w:val="000000"/>
                                    <w:szCs w:val="22"/>
                                  </w:rPr>
                                </w:pPr>
                                <w:r>
                                  <w:rPr>
                                    <w:b/>
                                    <w:color w:val="000000"/>
                                    <w:szCs w:val="22"/>
                                  </w:rPr>
                                  <w:t>Download the:</w:t>
                                </w:r>
                              </w:p>
                              <w:p w:rsidR="00A35CAB" w:rsidRPr="00884FEB" w:rsidRDefault="00A35CAB" w:rsidP="00A35CAB">
                                <w:pPr>
                                  <w:pStyle w:val="ListParagraph"/>
                                  <w:numPr>
                                    <w:ilvl w:val="0"/>
                                    <w:numId w:val="28"/>
                                  </w:numPr>
                                  <w:spacing w:before="120" w:after="120"/>
                                  <w:ind w:left="284" w:hanging="284"/>
                                  <w:contextualSpacing w:val="0"/>
                                  <w:rPr>
                                    <w:rFonts w:ascii="Georgia" w:hAnsi="Georgia"/>
                                    <w:color w:val="000000"/>
                                    <w:sz w:val="22"/>
                                  </w:rPr>
                                </w:pPr>
                                <w:r>
                                  <w:rPr>
                                    <w:rFonts w:ascii="Georgia" w:hAnsi="Georgia"/>
                                    <w:color w:val="000000"/>
                                    <w:sz w:val="22"/>
                                  </w:rPr>
                                  <w:t>Child Poverty Monitor Technical Report at www.nzchildren.co.nz</w:t>
                                </w:r>
                              </w:p>
                              <w:p w:rsidR="00A35CAB" w:rsidRPr="00884FEB" w:rsidRDefault="00A35CAB" w:rsidP="00A35CAB">
                                <w:pPr>
                                  <w:pStyle w:val="ListParagraph"/>
                                  <w:numPr>
                                    <w:ilvl w:val="0"/>
                                    <w:numId w:val="28"/>
                                  </w:numPr>
                                  <w:spacing w:before="120" w:after="120"/>
                                  <w:ind w:left="284" w:hanging="284"/>
                                  <w:contextualSpacing w:val="0"/>
                                  <w:rPr>
                                    <w:rFonts w:ascii="Georgia" w:hAnsi="Georgia"/>
                                    <w:color w:val="000000"/>
                                    <w:sz w:val="22"/>
                                  </w:rPr>
                                </w:pPr>
                                <w:r>
                                  <w:rPr>
                                    <w:rFonts w:ascii="Georgia" w:hAnsi="Georgia"/>
                                    <w:color w:val="000000"/>
                                    <w:sz w:val="22"/>
                                  </w:rPr>
                                  <w:t>The Growing Up in New Zealand study’s two reports on vulnerability at www.growingup.co.nz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6" name="Straight Connector 2006"/>
                          <wps:cNvCnPr/>
                          <wps:spPr>
                            <a:xfrm>
                              <a:off x="0" y="10063"/>
                              <a:ext cx="195135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007" name="Straight Connector 2007"/>
                        <wps:cNvCnPr/>
                        <wps:spPr>
                          <a:xfrm>
                            <a:off x="0" y="839585"/>
                            <a:ext cx="19526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003" o:spid="_x0000_s1088" style="position:absolute;margin-left:271.85pt;margin-top:1pt;width:196.7pt;height:121.7pt;z-index:251832320;mso-wrap-distance-right:0;mso-width-relative:margin;mso-height-relative:margin" coordsize="19526,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">
                <v:group id="Group 2004" o:spid="_x0000_s1089" style="position:absolute;width:19513;height:8382" coordsize="19513,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sSccQAAADdAAAADwAAAGRycy9kb3ducmV2LnhtbESPQYvCMBSE78L+h/AW&#10;vGnaXZWlaxQRVzyIoC6It0fzbIvNS2liW/+9EQSPw8x8w0znnSlFQ7UrLCuIhxEI4tTqgjMF/8e/&#10;wQ8I55E1lpZJwZ0czGcfvSkm2ra8p+bgMxEg7BJUkHtfJVK6NCeDbmgr4uBdbG3QB1lnUtfYBrgp&#10;5VcUTaTBgsNCjhUtc0qvh5tRsG6xXXzHq2Z7vSzv5+N4d9rGpFT/s1v8gvDU+Xf41d5oBYE4gu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sSccQAAADdAAAA&#10;DwAAAAAAAAAAAAAAAACqAgAAZHJzL2Rvd25yZXYueG1sUEsFBgAAAAAEAAQA+gAAAJsDAAAAAA==&#10;">
                  <v:rect id="Rectangle 2005" o:spid="_x0000_s1090" style="position:absolute;width:19513;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2psMA&#10;AADdAAAADwAAAGRycy9kb3ducmV2LnhtbESPwWrDMBBE74X+g9hCbrXcQIJxooQQCLjQSxJ/wCJt&#10;bBNrZSTVdvr1VaDQ4zAzb5jtfra9GMmHzrGCjywHQayd6bhRUF9P7wWIEJEN9o5JwYMC7HevL1ss&#10;jZv4TOMlNiJBOJSooI1xKKUMuiWLIXMDcfJuzluMSfpGGo9TgtteLvN8LS12nBZaHOjYkr5fvq2C&#10;Q/24FWP3ea9YV9OPrr8a7QulFm/zYQMi0hz/w3/tyihIxBU836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p2psMAAADdAAAADwAAAAAAAAAAAAAAAACYAgAAZHJzL2Rv&#10;d25yZXYueG1sUEsFBgAAAAAEAAQA9QAAAIgDAAAAAA==&#10;" fillcolor="#d8d8d8 [2732]" stroked="f" strokeweight=".5pt">
                    <v:textbox>
                      <w:txbxContent>
                        <w:p w:rsidR="00A35CAB" w:rsidRDefault="00A35CAB" w:rsidP="00A35CAB">
                          <w:pPr>
                            <w:spacing w:before="120" w:after="120"/>
                            <w:jc w:val="center"/>
                            <w:rPr>
                              <w:b/>
                              <w:color w:val="000000"/>
                              <w:szCs w:val="22"/>
                            </w:rPr>
                          </w:pPr>
                          <w:r>
                            <w:rPr>
                              <w:b/>
                              <w:color w:val="000000"/>
                              <w:szCs w:val="22"/>
                            </w:rPr>
                            <w:t>Download the</w:t>
                          </w:r>
                          <w:r>
                            <w:rPr>
                              <w:b/>
                              <w:color w:val="000000"/>
                              <w:szCs w:val="22"/>
                            </w:rPr>
                            <w:t>:</w:t>
                          </w:r>
                        </w:p>
                        <w:p w:rsidR="00A35CAB" w:rsidRPr="00884FEB" w:rsidRDefault="00A35CAB" w:rsidP="00A35CAB">
                          <w:pPr>
                            <w:pStyle w:val="ListParagraph"/>
                            <w:numPr>
                              <w:ilvl w:val="0"/>
                              <w:numId w:val="28"/>
                            </w:numPr>
                            <w:spacing w:before="120" w:after="120"/>
                            <w:ind w:left="284" w:hanging="284"/>
                            <w:contextualSpacing w:val="0"/>
                            <w:rPr>
                              <w:rFonts w:ascii="Georgia" w:hAnsi="Georgia"/>
                              <w:color w:val="000000"/>
                              <w:sz w:val="22"/>
                            </w:rPr>
                          </w:pPr>
                          <w:r>
                            <w:rPr>
                              <w:rFonts w:ascii="Georgia" w:hAnsi="Georgia"/>
                              <w:color w:val="000000"/>
                              <w:sz w:val="22"/>
                            </w:rPr>
                            <w:t>Child Poverty Monitor Technical Report at www.nzchildren.co.nz</w:t>
                          </w:r>
                        </w:p>
                        <w:p w:rsidR="00A35CAB" w:rsidRPr="00884FEB" w:rsidRDefault="00A35CAB" w:rsidP="00A35CAB">
                          <w:pPr>
                            <w:pStyle w:val="ListParagraph"/>
                            <w:numPr>
                              <w:ilvl w:val="0"/>
                              <w:numId w:val="28"/>
                            </w:numPr>
                            <w:spacing w:before="120" w:after="120"/>
                            <w:ind w:left="284" w:hanging="284"/>
                            <w:contextualSpacing w:val="0"/>
                            <w:rPr>
                              <w:rFonts w:ascii="Georgia" w:hAnsi="Georgia"/>
                              <w:color w:val="000000"/>
                              <w:sz w:val="22"/>
                            </w:rPr>
                          </w:pPr>
                          <w:r>
                            <w:rPr>
                              <w:rFonts w:ascii="Georgia" w:hAnsi="Georgia"/>
                              <w:color w:val="000000"/>
                              <w:sz w:val="22"/>
                            </w:rPr>
                            <w:t>The Growing Up in New Zealand study’s two reports on vulnerability at www.growingup.co.nz</w:t>
                          </w:r>
                        </w:p>
                      </w:txbxContent>
                    </v:textbox>
                  </v:rect>
                  <v:line id="Straight Connector 2006" o:spid="_x0000_s1091" style="position:absolute;visibility:visible;mso-wrap-style:square" from="0,100" to="19513,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p8JMIAAADdAAAADwAAAGRycy9kb3ducmV2LnhtbESP3YrCMBSE7wXfIZyFvbPpeiFSjbII&#10;K0UWf6oPcGiObbE5KUmq3bffCIKXw8x8wyzXg2nFnZxvLCv4SlIQxKXVDVcKLuefyRyED8gaW8uk&#10;4I88rFfj0RIzbR98onsRKhEh7DNUUIfQZVL6siaDPrEdcfSu1hkMUbpKaoePCDetnKbpTBpsOC7U&#10;2NGmpvJW9EaB27utO/Szw66S+VVfjkXa/W6U+vwYvhcgAg3hHX61c63gSYTnm/g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p8JMIAAADdAAAADwAAAAAAAAAAAAAA&#10;AAChAgAAZHJzL2Rvd25yZXYueG1sUEsFBgAAAAAEAAQA+QAAAJADAAAAAA==&#10;" strokecolor="black [3213]" strokeweight="4.5pt"/>
                </v:group>
                <v:line id="Straight Connector 2007" o:spid="_x0000_s1092" style="position:absolute;visibility:visible;mso-wrap-style:square" from="0,8395" to="19526,8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S1WcIAAADdAAAADwAAAGRycy9kb3ducmV2LnhtbESPQYvCMBSE7wv+h/AEb2uqh92lGkUF&#10;Xa9b9eDt0TybYvNSktTWf28WFvY4zMw3zHI92EY8yIfasYLZNANBXDpdc6XgfNq/f4EIEVlj45gU&#10;PCnAejV6W2KuXc8/9ChiJRKEQ44KTIxtLmUoDVkMU9cSJ+/mvMWYpK+k9tgnuG3kPMs+pMWa04LB&#10;lnaGynvRWQXXbhv990lu+mLYHcx835Sduyg1GQ+bBYhIQ/wP/7WPWkEifsLvm/Q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S1WcIAAADdAAAADwAAAAAAAAAAAAAA&#10;AAChAgAAZHJzL2Rvd25yZXYueG1sUEsFBgAAAAAEAAQA+QAAAJADAAAAAA==&#10;" strokecolor="black [3213]" strokeweight="1.5pt"/>
                <w10:wrap type="square" side="left"/>
              </v:group>
            </w:pict>
          </mc:Fallback>
        </mc:AlternateContent>
      </w:r>
      <w:r w:rsidR="00A74AC3" w:rsidRPr="00D94409">
        <w:t>It is important to note, however, that not all children identified as vulnerable will go on to experience poor health and behavioural outcomes. It is also not clear whether children exposed to these risk factors are at increased risk of physical or psychological abuse.</w:t>
      </w:r>
    </w:p>
    <w:p w:rsidR="00A74AC3" w:rsidRPr="00D94409" w:rsidRDefault="00A74AC3" w:rsidP="00A35CAB">
      <w:pPr>
        <w:rPr>
          <w:rFonts w:eastAsia="Century"/>
        </w:rPr>
      </w:pPr>
    </w:p>
    <w:p w:rsidR="00A74AC3" w:rsidRPr="00D94409" w:rsidRDefault="00A74AC3" w:rsidP="0090352A">
      <w:pPr>
        <w:pStyle w:val="Heading3"/>
        <w:rPr>
          <w:rFonts w:eastAsia="Arial Black" w:hAnsi="Arial Black" w:cs="Arial Black"/>
          <w:bCs/>
        </w:rPr>
      </w:pPr>
      <w:bookmarkStart w:id="53" w:name="Older_people"/>
      <w:bookmarkEnd w:id="53"/>
      <w:r w:rsidRPr="00D94409">
        <w:lastRenderedPageBreak/>
        <w:t>Older people</w:t>
      </w:r>
    </w:p>
    <w:p w:rsidR="00A74AC3" w:rsidRPr="00D94409" w:rsidRDefault="00A74AC3" w:rsidP="00A35CAB">
      <w:pPr>
        <w:keepNext/>
        <w:rPr>
          <w:rFonts w:cs="Century"/>
        </w:rPr>
      </w:pPr>
      <w:r w:rsidRPr="00D94409">
        <w:t>Around 14 percent of the population (650,400 people) are aged 65 years and older, and 2 percent (78,000 people) are aged 85 years and older (Statistics New Zealand 2015a). The vast majority of New Zealand residents aged 65 years and older live independently in their own homes and communities, and largely maintain physical, mental and social health well into old age. However, some older people are vulnerable to ill health and require additional support to maintain their independence.</w:t>
      </w:r>
    </w:p>
    <w:p w:rsidR="00A74AC3" w:rsidRPr="00D94409" w:rsidRDefault="00A74AC3" w:rsidP="00A35CAB">
      <w:pPr>
        <w:keepNext/>
        <w:rPr>
          <w:rFonts w:eastAsia="Century"/>
        </w:rPr>
      </w:pPr>
    </w:p>
    <w:p w:rsidR="00A74AC3" w:rsidRPr="00D94409" w:rsidRDefault="00A35CAB" w:rsidP="00A35CAB">
      <w:r>
        <w:rPr>
          <w:noProof/>
          <w:lang w:eastAsia="en-NZ"/>
        </w:rPr>
        <mc:AlternateContent>
          <mc:Choice Requires="wpg">
            <w:drawing>
              <wp:anchor distT="0" distB="0" distL="114300" distR="0" simplePos="0" relativeHeight="251834368" behindDoc="0" locked="0" layoutInCell="1" allowOverlap="1" wp14:anchorId="2F43100D" wp14:editId="3ACB87BB">
                <wp:simplePos x="0" y="0"/>
                <wp:positionH relativeFrom="column">
                  <wp:posOffset>3424555</wp:posOffset>
                </wp:positionH>
                <wp:positionV relativeFrom="paragraph">
                  <wp:posOffset>15240</wp:posOffset>
                </wp:positionV>
                <wp:extent cx="2498090" cy="1545590"/>
                <wp:effectExtent l="0" t="0" r="16510" b="16510"/>
                <wp:wrapSquare wrapText="left"/>
                <wp:docPr id="2008" name="Group 2008"/>
                <wp:cNvGraphicFramePr/>
                <a:graphic xmlns:a="http://schemas.openxmlformats.org/drawingml/2006/main">
                  <a:graphicData uri="http://schemas.microsoft.com/office/word/2010/wordprocessingGroup">
                    <wpg:wgp>
                      <wpg:cNvGrpSpPr/>
                      <wpg:grpSpPr>
                        <a:xfrm>
                          <a:off x="0" y="0"/>
                          <a:ext cx="2498090" cy="1545590"/>
                          <a:chOff x="0" y="0"/>
                          <a:chExt cx="1952625" cy="839585"/>
                        </a:xfrm>
                      </wpg:grpSpPr>
                      <wpg:grpSp>
                        <wpg:cNvPr id="2009" name="Group 2009"/>
                        <wpg:cNvGrpSpPr/>
                        <wpg:grpSpPr>
                          <a:xfrm>
                            <a:off x="0" y="0"/>
                            <a:ext cx="1951355" cy="838200"/>
                            <a:chOff x="0" y="0"/>
                            <a:chExt cx="1951355" cy="838200"/>
                          </a:xfrm>
                        </wpg:grpSpPr>
                        <wps:wsp>
                          <wps:cNvPr id="2010" name="Rectangle 2010"/>
                          <wps:cNvSpPr/>
                          <wps:spPr>
                            <a:xfrm>
                              <a:off x="0" y="0"/>
                              <a:ext cx="1951355" cy="838200"/>
                            </a:xfrm>
                            <a:prstGeom prst="rect">
                              <a:avLst/>
                            </a:prstGeom>
                            <a:solidFill>
                              <a:schemeClr val="bg1">
                                <a:lumMod val="8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A35CAB" w:rsidRDefault="00853115" w:rsidP="00A35CAB">
                                <w:pPr>
                                  <w:spacing w:before="120" w:after="120"/>
                                  <w:jc w:val="center"/>
                                  <w:rPr>
                                    <w:b/>
                                    <w:color w:val="000000"/>
                                    <w:szCs w:val="22"/>
                                  </w:rPr>
                                </w:pPr>
                                <w:r>
                                  <w:rPr>
                                    <w:b/>
                                    <w:color w:val="000000"/>
                                    <w:szCs w:val="22"/>
                                  </w:rPr>
                                  <w:t>T</w:t>
                                </w:r>
                                <w:r w:rsidR="00A35CAB">
                                  <w:rPr>
                                    <w:b/>
                                    <w:color w:val="000000"/>
                                    <w:szCs w:val="22"/>
                                  </w:rPr>
                                  <w:t>o find out more on:</w:t>
                                </w:r>
                              </w:p>
                              <w:p w:rsidR="00A35CAB" w:rsidRPr="00884FEB" w:rsidRDefault="00A35CAB" w:rsidP="00A35CAB">
                                <w:pPr>
                                  <w:pStyle w:val="ListParagraph"/>
                                  <w:numPr>
                                    <w:ilvl w:val="0"/>
                                    <w:numId w:val="28"/>
                                  </w:numPr>
                                  <w:spacing w:before="120" w:after="120"/>
                                  <w:ind w:left="284" w:hanging="284"/>
                                  <w:contextualSpacing w:val="0"/>
                                  <w:rPr>
                                    <w:rFonts w:ascii="Georgia" w:hAnsi="Georgia"/>
                                    <w:color w:val="000000"/>
                                    <w:sz w:val="22"/>
                                  </w:rPr>
                                </w:pPr>
                                <w:r>
                                  <w:rPr>
                                    <w:rFonts w:ascii="Georgia" w:hAnsi="Georgia"/>
                                    <w:color w:val="000000"/>
                                    <w:sz w:val="22"/>
                                  </w:rPr>
                                  <w:t>the Atlas of Healthcare Variation, visit: www.hqsc.govt.nz</w:t>
                                </w:r>
                              </w:p>
                              <w:p w:rsidR="00A35CAB" w:rsidRPr="00884FEB" w:rsidRDefault="00A35CAB" w:rsidP="00A35CAB">
                                <w:pPr>
                                  <w:pStyle w:val="ListParagraph"/>
                                  <w:numPr>
                                    <w:ilvl w:val="0"/>
                                    <w:numId w:val="28"/>
                                  </w:numPr>
                                  <w:spacing w:before="120" w:after="120"/>
                                  <w:ind w:left="284" w:hanging="284"/>
                                  <w:contextualSpacing w:val="0"/>
                                  <w:rPr>
                                    <w:rFonts w:ascii="Georgia" w:hAnsi="Georgia"/>
                                    <w:color w:val="000000"/>
                                    <w:sz w:val="22"/>
                                  </w:rPr>
                                </w:pPr>
                                <w:r>
                                  <w:rPr>
                                    <w:rFonts w:ascii="Georgia" w:hAnsi="Georgia"/>
                                    <w:color w:val="000000"/>
                                    <w:sz w:val="22"/>
                                  </w:rPr>
                                  <w:t>the health of older people, visit: www.health.govt.nz/our-work/life-stages/health-older-people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1" name="Straight Connector 2011"/>
                          <wps:cNvCnPr/>
                          <wps:spPr>
                            <a:xfrm>
                              <a:off x="0" y="10063"/>
                              <a:ext cx="195135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012" name="Straight Connector 2012"/>
                        <wps:cNvCnPr/>
                        <wps:spPr>
                          <a:xfrm>
                            <a:off x="0" y="839585"/>
                            <a:ext cx="19526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008" o:spid="_x0000_s1093" style="position:absolute;margin-left:269.65pt;margin-top:1.2pt;width:196.7pt;height:121.7pt;z-index:251834368;mso-wrap-distance-right:0;mso-width-relative:margin;mso-height-relative:margin" coordsize="19526,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">
                <v:group id="Group 2009" o:spid="_x0000_s1094" style="position:absolute;width:19513;height:8382" coordsize="19513,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8q978QAAADdAAAADwAAAGRycy9kb3ducmV2LnhtbESPQYvCMBSE78L+h/AW&#10;vGnaXRS3axQRVzyIoC6It0fzbIvNS2liW/+9EQSPw8x8w0znnSlFQ7UrLCuIhxEI4tTqgjMF/8e/&#10;wQSE88gaS8uk4E4O5rOP3hQTbVveU3PwmQgQdgkqyL2vEildmpNBN7QVcfAutjbog6wzqWtsA9yU&#10;8iuKxtJgwWEhx4qWOaXXw80oWLfYLr7jVbO9Xpb383G0O21jUqr/2S1+QXjq/Dv8am+0gkD8ge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8q978QAAADdAAAA&#10;DwAAAAAAAAAAAAAAAACqAgAAZHJzL2Rvd25yZXYueG1sUEsFBgAAAAAEAAQA+gAAAJsDAAAAAA==&#10;">
                  <v:rect id="Rectangle 2010" o:spid="_x0000_s1095" style="position:absolute;width:19513;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D48AA&#10;AADdAAAADwAAAGRycy9kb3ducmV2LnhtbERPzYrCMBC+C/sOYRa82VQPS+kaRRYWKnhZ7QMMydgW&#10;m0lJsm316c1B8Pjx/W/3s+3FSD50jhWssxwEsXam40ZBffldFSBCRDbYOyYFdwqw330stlgaN/Ef&#10;jefYiBTCoUQFbYxDKWXQLVkMmRuIE3d13mJM0DfSeJxSuO3lJs+/pMWOU0OLA/20pG/nf6vgUN+v&#10;xdgdbxXranro+tRoXyi1/JwP3yAizfEtfrkro2CTr9P+9CY9Ab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cRD48AAAADdAAAADwAAAAAAAAAAAAAAAACYAgAAZHJzL2Rvd25y&#10;ZXYueG1sUEsFBgAAAAAEAAQA9QAAAIUDAAAAAA==&#10;" fillcolor="#d8d8d8 [2732]" stroked="f" strokeweight=".5pt">
                    <v:textbox>
                      <w:txbxContent>
                        <w:p w:rsidR="00A35CAB" w:rsidRDefault="00853115" w:rsidP="00A35CAB">
                          <w:pPr>
                            <w:spacing w:before="120" w:after="120"/>
                            <w:jc w:val="center"/>
                            <w:rPr>
                              <w:b/>
                              <w:color w:val="000000"/>
                              <w:szCs w:val="22"/>
                            </w:rPr>
                          </w:pPr>
                          <w:r>
                            <w:rPr>
                              <w:b/>
                              <w:color w:val="000000"/>
                              <w:szCs w:val="22"/>
                            </w:rPr>
                            <w:t>T</w:t>
                          </w:r>
                          <w:r w:rsidR="00A35CAB">
                            <w:rPr>
                              <w:b/>
                              <w:color w:val="000000"/>
                              <w:szCs w:val="22"/>
                            </w:rPr>
                            <w:t>o find out more on</w:t>
                          </w:r>
                          <w:r w:rsidR="00A35CAB">
                            <w:rPr>
                              <w:b/>
                              <w:color w:val="000000"/>
                              <w:szCs w:val="22"/>
                            </w:rPr>
                            <w:t>:</w:t>
                          </w:r>
                        </w:p>
                        <w:p w:rsidR="00A35CAB" w:rsidRPr="00884FEB" w:rsidRDefault="00A35CAB" w:rsidP="00A35CAB">
                          <w:pPr>
                            <w:pStyle w:val="ListParagraph"/>
                            <w:numPr>
                              <w:ilvl w:val="0"/>
                              <w:numId w:val="28"/>
                            </w:numPr>
                            <w:spacing w:before="120" w:after="120"/>
                            <w:ind w:left="284" w:hanging="284"/>
                            <w:contextualSpacing w:val="0"/>
                            <w:rPr>
                              <w:rFonts w:ascii="Georgia" w:hAnsi="Georgia"/>
                              <w:color w:val="000000"/>
                              <w:sz w:val="22"/>
                            </w:rPr>
                          </w:pPr>
                          <w:r>
                            <w:rPr>
                              <w:rFonts w:ascii="Georgia" w:hAnsi="Georgia"/>
                              <w:color w:val="000000"/>
                              <w:sz w:val="22"/>
                            </w:rPr>
                            <w:t>the Atlas of Healthcare Variation, visit: www.hqsc.govt</w:t>
                          </w:r>
                          <w:r>
                            <w:rPr>
                              <w:rFonts w:ascii="Georgia" w:hAnsi="Georgia"/>
                              <w:color w:val="000000"/>
                              <w:sz w:val="22"/>
                            </w:rPr>
                            <w:t>.nz</w:t>
                          </w:r>
                        </w:p>
                        <w:p w:rsidR="00A35CAB" w:rsidRPr="00884FEB" w:rsidRDefault="00A35CAB" w:rsidP="00A35CAB">
                          <w:pPr>
                            <w:pStyle w:val="ListParagraph"/>
                            <w:numPr>
                              <w:ilvl w:val="0"/>
                              <w:numId w:val="28"/>
                            </w:numPr>
                            <w:spacing w:before="120" w:after="120"/>
                            <w:ind w:left="284" w:hanging="284"/>
                            <w:contextualSpacing w:val="0"/>
                            <w:rPr>
                              <w:rFonts w:ascii="Georgia" w:hAnsi="Georgia"/>
                              <w:color w:val="000000"/>
                              <w:sz w:val="22"/>
                            </w:rPr>
                          </w:pPr>
                          <w:r>
                            <w:rPr>
                              <w:rFonts w:ascii="Georgia" w:hAnsi="Georgia"/>
                              <w:color w:val="000000"/>
                              <w:sz w:val="22"/>
                            </w:rPr>
                            <w:t>the health of older people, visit: www.health.govt.nz/our-work/life-stages/health-older-people</w:t>
                          </w:r>
                        </w:p>
                      </w:txbxContent>
                    </v:textbox>
                  </v:rect>
                  <v:line id="Straight Connector 2011" o:spid="_x0000_s1096" style="position:absolute;visibility:visible;mso-wrap-style:square" from="0,100" to="19513,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pyjcQAAADdAAAADwAAAGRycy9kb3ducmV2LnhtbESP3YrCMBSE7xd8h3AE79akXoh0jSKC&#10;IsviT9cHODTHtticlCRqfXsjLOzlMDPfMPNlb1txJx8axxqysQJBXDrTcKXh/Lv5nIEIEdlg65g0&#10;PCnAcjH4mGNu3INPdC9iJRKEQ44a6hi7XMpQ1mQxjF1HnLyL8xZjkr6SxuMjwW0rJ0pNpcWG00KN&#10;Ha1rKq/FzWrwe7/1h9v08F3J3cWcj4XqftZaj4b96gtEpD7+h//aO6NhorIM3m/SE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nKNxAAAAN0AAAAPAAAAAAAAAAAA&#10;AAAAAKECAABkcnMvZG93bnJldi54bWxQSwUGAAAAAAQABAD5AAAAkgMAAAAA&#10;" strokecolor="black [3213]" strokeweight="4.5pt"/>
                </v:group>
                <v:line id="Straight Connector 2012" o:spid="_x0000_s1097" style="position:absolute;visibility:visible;mso-wrap-style:square" from="0,8395" to="19526,8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qAHMMAAADdAAAADwAAAGRycy9kb3ducmV2LnhtbESPQYvCMBSE7wv+h/AWvK2pPchSjeIK&#10;ul6tevD2aN42ZZuXkqS2+++NsOBxmJlvmNVmtK24kw+NYwXzWQaCuHK64VrB5bz/+AQRIrLG1jEp&#10;+KMAm/XkbYWFdgOf6F7GWiQIhwIVmBi7QspQGbIYZq4jTt6P8xZjkr6W2uOQ4LaVeZYtpMWG04LB&#10;jnaGqt+ytwpu/Vf032e5HcpxdzD5vq16d1Vq+j5ulyAijfEV/m8ftYI8m+fwfJOe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agBzDAAAA3QAAAA8AAAAAAAAAAAAA&#10;AAAAoQIAAGRycy9kb3ducmV2LnhtbFBLBQYAAAAABAAEAPkAAACRAwAAAAA=&#10;" strokecolor="black [3213]" strokeweight="1.5pt"/>
                <w10:wrap type="square" side="left"/>
              </v:group>
            </w:pict>
          </mc:Fallback>
        </mc:AlternateContent>
      </w:r>
      <w:r w:rsidR="00D94409" w:rsidRPr="00D94409">
        <w:t>‘</w:t>
      </w:r>
      <w:r w:rsidR="00A74AC3" w:rsidRPr="00D94409">
        <w:t>Frailty</w:t>
      </w:r>
      <w:r w:rsidR="00D94409" w:rsidRPr="00D94409">
        <w:t>’</w:t>
      </w:r>
      <w:r w:rsidR="00A74AC3" w:rsidRPr="00D94409">
        <w:t xml:space="preserve"> is a term used for the subset of older people who are most vulnerable to ill health and dependency. Frail older people lack the physical and mental reserves to cope with minor adversities, often leading to a dramatic decline in wellbeing after a relatively minor event such as an infection. There is no one measure of frailty and so it is difficult to quantify accurately the number of frail individuals in the population. While not a measure of frailty, comprehensive assessments are used to help identify the health and social care needs of older adults.</w:t>
      </w:r>
    </w:p>
    <w:p w:rsidR="00A74AC3" w:rsidRPr="00D94409" w:rsidRDefault="00A74AC3" w:rsidP="00A35CAB">
      <w:pPr>
        <w:rPr>
          <w:rFonts w:eastAsia="Century"/>
        </w:rPr>
      </w:pPr>
    </w:p>
    <w:p w:rsidR="00A74AC3" w:rsidRPr="00D94409" w:rsidRDefault="00A74AC3" w:rsidP="00A35CAB">
      <w:pPr>
        <w:pStyle w:val="Heading4"/>
        <w:rPr>
          <w:rFonts w:eastAsia="Arial Black" w:hAnsi="Arial Black" w:cs="Arial Black"/>
          <w:bCs/>
        </w:rPr>
      </w:pPr>
      <w:r w:rsidRPr="00D94409">
        <w:t>Over 82,000 comprehensive assessments of older people were undertaken last year</w:t>
      </w:r>
    </w:p>
    <w:p w:rsidR="00A74AC3" w:rsidRPr="00D94409" w:rsidRDefault="00A74AC3" w:rsidP="0090352A">
      <w:pPr>
        <w:rPr>
          <w:rFonts w:cs="Century"/>
        </w:rPr>
      </w:pPr>
      <w:r w:rsidRPr="00D94409">
        <w:t>Comprehensive assessments are completed for people over 65 years old who are seeking public-funded supports in both community and residential settings.</w:t>
      </w:r>
      <w:r w:rsidR="00853115">
        <w:rPr>
          <w:rStyle w:val="FootnoteReference"/>
        </w:rPr>
        <w:footnoteReference w:id="36"/>
      </w:r>
      <w:r w:rsidRPr="00D94409">
        <w:rPr>
          <w:sz w:val="11"/>
        </w:rPr>
        <w:t xml:space="preserve">36 </w:t>
      </w:r>
      <w:r w:rsidRPr="00D94409">
        <w:t>In 2014/15, over 82,000 assessments (19,000 contact, 36,500 home care and 26,500 long-term care facility assessments) were undertaken (Table 3) (</w:t>
      </w:r>
      <w:proofErr w:type="spellStart"/>
      <w:r w:rsidRPr="00D94409">
        <w:t>InterRAI</w:t>
      </w:r>
      <w:proofErr w:type="spellEnd"/>
      <w:r w:rsidRPr="00D94409">
        <w:t xml:space="preserve"> 2015).</w:t>
      </w:r>
    </w:p>
    <w:p w:rsidR="00A74AC3" w:rsidRPr="00D94409" w:rsidRDefault="00A74AC3" w:rsidP="00A35CAB">
      <w:pPr>
        <w:rPr>
          <w:rFonts w:eastAsia="Century"/>
        </w:rPr>
      </w:pPr>
    </w:p>
    <w:p w:rsidR="00A74AC3" w:rsidRPr="00D94409" w:rsidRDefault="00A74AC3" w:rsidP="00A35CAB">
      <w:pPr>
        <w:pStyle w:val="Table"/>
        <w:rPr>
          <w:rFonts w:eastAsia="Georgia" w:cs="Georgia"/>
          <w:szCs w:val="19"/>
        </w:rPr>
      </w:pPr>
      <w:bookmarkStart w:id="54" w:name="_Toc433234106"/>
      <w:r w:rsidRPr="00D94409">
        <w:t>Table 3: Outcomes of home and long-term care facility assessments undertaken in 2014/15</w:t>
      </w:r>
      <w:bookmarkEnd w:id="54"/>
    </w:p>
    <w:tbl>
      <w:tblPr>
        <w:tblW w:w="0" w:type="auto"/>
        <w:tblInd w:w="108" w:type="dxa"/>
        <w:tblLayout w:type="fixed"/>
        <w:tblLook w:val="01E0" w:firstRow="1" w:lastRow="1" w:firstColumn="1" w:lastColumn="1" w:noHBand="0" w:noVBand="0"/>
      </w:tblPr>
      <w:tblGrid>
        <w:gridCol w:w="4395"/>
        <w:gridCol w:w="2480"/>
        <w:gridCol w:w="2481"/>
      </w:tblGrid>
      <w:tr w:rsidR="00A74AC3" w:rsidRPr="00D94409" w:rsidTr="00A35CAB">
        <w:trPr>
          <w:cantSplit/>
        </w:trPr>
        <w:tc>
          <w:tcPr>
            <w:tcW w:w="4395" w:type="dxa"/>
            <w:tcBorders>
              <w:top w:val="single" w:sz="4" w:space="0" w:color="000000"/>
              <w:left w:val="nil"/>
              <w:bottom w:val="single" w:sz="4" w:space="0" w:color="000000"/>
              <w:right w:val="single" w:sz="4" w:space="0" w:color="A7A9AC"/>
            </w:tcBorders>
          </w:tcPr>
          <w:p w:rsidR="00A74AC3" w:rsidRPr="00A35CAB" w:rsidRDefault="00A74AC3" w:rsidP="00A35CAB">
            <w:pPr>
              <w:pStyle w:val="TableText"/>
              <w:rPr>
                <w:rFonts w:ascii="Georgia" w:hAnsi="Georgia"/>
                <w:sz w:val="20"/>
              </w:rPr>
            </w:pPr>
          </w:p>
        </w:tc>
        <w:tc>
          <w:tcPr>
            <w:tcW w:w="2480" w:type="dxa"/>
            <w:tcBorders>
              <w:top w:val="single" w:sz="4" w:space="0" w:color="000000"/>
              <w:left w:val="single" w:sz="4" w:space="0" w:color="A7A9AC"/>
              <w:bottom w:val="single" w:sz="4" w:space="0" w:color="000000"/>
              <w:right w:val="single" w:sz="4" w:space="0" w:color="A7A9AC"/>
            </w:tcBorders>
          </w:tcPr>
          <w:p w:rsidR="00A74AC3" w:rsidRPr="00A35CAB" w:rsidRDefault="00A74AC3" w:rsidP="00A35CAB">
            <w:pPr>
              <w:pStyle w:val="TableText"/>
              <w:jc w:val="center"/>
              <w:rPr>
                <w:rFonts w:ascii="Georgia" w:eastAsia="Arial" w:hAnsi="Georgia" w:cs="Arial"/>
                <w:sz w:val="20"/>
              </w:rPr>
            </w:pPr>
            <w:r w:rsidRPr="00A35CAB">
              <w:rPr>
                <w:rFonts w:ascii="Georgia" w:hAnsi="Georgia"/>
                <w:b/>
                <w:sz w:val="20"/>
              </w:rPr>
              <w:t>Home care assessment</w:t>
            </w:r>
          </w:p>
        </w:tc>
        <w:tc>
          <w:tcPr>
            <w:tcW w:w="2481" w:type="dxa"/>
            <w:tcBorders>
              <w:top w:val="single" w:sz="4" w:space="0" w:color="000000"/>
              <w:left w:val="single" w:sz="4" w:space="0" w:color="A7A9AC"/>
              <w:bottom w:val="single" w:sz="4" w:space="0" w:color="000000"/>
              <w:right w:val="nil"/>
            </w:tcBorders>
          </w:tcPr>
          <w:p w:rsidR="00A74AC3" w:rsidRPr="00A35CAB" w:rsidRDefault="00A74AC3" w:rsidP="00A35CAB">
            <w:pPr>
              <w:pStyle w:val="TableText"/>
              <w:jc w:val="center"/>
              <w:rPr>
                <w:rFonts w:ascii="Georgia" w:eastAsia="Arial" w:hAnsi="Georgia" w:cs="Arial"/>
                <w:sz w:val="20"/>
              </w:rPr>
            </w:pPr>
            <w:r w:rsidRPr="00A35CAB">
              <w:rPr>
                <w:rFonts w:ascii="Georgia" w:hAnsi="Georgia"/>
                <w:b/>
                <w:sz w:val="20"/>
              </w:rPr>
              <w:t>Long-term care facility assessment</w:t>
            </w:r>
          </w:p>
        </w:tc>
      </w:tr>
      <w:tr w:rsidR="00A74AC3" w:rsidRPr="00D94409" w:rsidTr="00A35CAB">
        <w:trPr>
          <w:cantSplit/>
        </w:trPr>
        <w:tc>
          <w:tcPr>
            <w:tcW w:w="4395" w:type="dxa"/>
            <w:tcBorders>
              <w:top w:val="single" w:sz="4" w:space="0" w:color="000000"/>
              <w:left w:val="nil"/>
              <w:bottom w:val="single" w:sz="4" w:space="0" w:color="A7A9AC"/>
              <w:right w:val="single" w:sz="4" w:space="0" w:color="A7A9AC"/>
            </w:tcBorders>
          </w:tcPr>
          <w:p w:rsidR="00A74AC3" w:rsidRPr="00A35CAB" w:rsidRDefault="00A74AC3" w:rsidP="00A35CAB">
            <w:pPr>
              <w:pStyle w:val="TableText"/>
              <w:rPr>
                <w:rFonts w:ascii="Georgia" w:eastAsia="Arial" w:hAnsi="Georgia" w:cs="Arial"/>
                <w:sz w:val="20"/>
              </w:rPr>
            </w:pPr>
            <w:r w:rsidRPr="00A35CAB">
              <w:rPr>
                <w:rFonts w:ascii="Georgia" w:hAnsi="Georgia"/>
                <w:sz w:val="20"/>
              </w:rPr>
              <w:t>Total number of assessments</w:t>
            </w:r>
          </w:p>
        </w:tc>
        <w:tc>
          <w:tcPr>
            <w:tcW w:w="2480" w:type="dxa"/>
            <w:tcBorders>
              <w:top w:val="single" w:sz="4" w:space="0" w:color="000000"/>
              <w:left w:val="single" w:sz="4" w:space="0" w:color="A7A9AC"/>
              <w:bottom w:val="single" w:sz="4" w:space="0" w:color="A7A9AC"/>
              <w:right w:val="single" w:sz="4" w:space="0" w:color="A7A9AC"/>
            </w:tcBorders>
          </w:tcPr>
          <w:p w:rsidR="00A74AC3" w:rsidRPr="00A35CAB" w:rsidRDefault="00A74AC3" w:rsidP="00A35CAB">
            <w:pPr>
              <w:pStyle w:val="TableText"/>
              <w:jc w:val="center"/>
              <w:rPr>
                <w:rFonts w:ascii="Georgia" w:eastAsia="Arial" w:hAnsi="Georgia" w:cs="Arial"/>
                <w:sz w:val="20"/>
              </w:rPr>
            </w:pPr>
            <w:r w:rsidRPr="00A35CAB">
              <w:rPr>
                <w:rFonts w:ascii="Georgia" w:hAnsi="Georgia"/>
                <w:sz w:val="20"/>
              </w:rPr>
              <w:t>36,500</w:t>
            </w:r>
          </w:p>
        </w:tc>
        <w:tc>
          <w:tcPr>
            <w:tcW w:w="2481" w:type="dxa"/>
            <w:tcBorders>
              <w:top w:val="single" w:sz="4" w:space="0" w:color="000000"/>
              <w:left w:val="single" w:sz="4" w:space="0" w:color="A7A9AC"/>
              <w:bottom w:val="single" w:sz="4" w:space="0" w:color="A7A9AC"/>
              <w:right w:val="nil"/>
            </w:tcBorders>
          </w:tcPr>
          <w:p w:rsidR="00A74AC3" w:rsidRPr="00A35CAB" w:rsidRDefault="00A74AC3" w:rsidP="00A35CAB">
            <w:pPr>
              <w:pStyle w:val="TableText"/>
              <w:jc w:val="center"/>
              <w:rPr>
                <w:rFonts w:ascii="Georgia" w:eastAsia="Arial" w:hAnsi="Georgia" w:cs="Arial"/>
                <w:sz w:val="20"/>
              </w:rPr>
            </w:pPr>
            <w:r w:rsidRPr="00A35CAB">
              <w:rPr>
                <w:rFonts w:ascii="Georgia" w:hAnsi="Georgia"/>
                <w:sz w:val="20"/>
              </w:rPr>
              <w:t>26,500</w:t>
            </w:r>
          </w:p>
        </w:tc>
      </w:tr>
      <w:tr w:rsidR="00A74AC3" w:rsidRPr="00D94409" w:rsidTr="00A35CAB">
        <w:trPr>
          <w:cantSplit/>
        </w:trPr>
        <w:tc>
          <w:tcPr>
            <w:tcW w:w="4395" w:type="dxa"/>
            <w:tcBorders>
              <w:top w:val="single" w:sz="4" w:space="0" w:color="A7A9AC"/>
              <w:left w:val="nil"/>
              <w:bottom w:val="single" w:sz="4" w:space="0" w:color="A7A9AC"/>
              <w:right w:val="single" w:sz="4" w:space="0" w:color="A7A9AC"/>
            </w:tcBorders>
          </w:tcPr>
          <w:p w:rsidR="00A74AC3" w:rsidRPr="00A35CAB" w:rsidRDefault="00A74AC3" w:rsidP="00A35CAB">
            <w:pPr>
              <w:pStyle w:val="TableText"/>
              <w:rPr>
                <w:rFonts w:ascii="Georgia" w:eastAsia="Arial" w:hAnsi="Georgia" w:cs="Arial"/>
                <w:sz w:val="20"/>
              </w:rPr>
            </w:pPr>
            <w:r w:rsidRPr="00A35CAB">
              <w:rPr>
                <w:rFonts w:ascii="Georgia" w:hAnsi="Georgia"/>
                <w:sz w:val="20"/>
              </w:rPr>
              <w:t>High or very high health instability</w:t>
            </w:r>
          </w:p>
        </w:tc>
        <w:tc>
          <w:tcPr>
            <w:tcW w:w="2480" w:type="dxa"/>
            <w:tcBorders>
              <w:top w:val="single" w:sz="4" w:space="0" w:color="A7A9AC"/>
              <w:left w:val="single" w:sz="4" w:space="0" w:color="A7A9AC"/>
              <w:bottom w:val="single" w:sz="4" w:space="0" w:color="A7A9AC"/>
              <w:right w:val="single" w:sz="4" w:space="0" w:color="A7A9AC"/>
            </w:tcBorders>
          </w:tcPr>
          <w:p w:rsidR="00A74AC3" w:rsidRPr="00A35CAB" w:rsidRDefault="00A74AC3" w:rsidP="00A35CAB">
            <w:pPr>
              <w:pStyle w:val="TableText"/>
              <w:tabs>
                <w:tab w:val="decimal" w:pos="1167"/>
              </w:tabs>
              <w:rPr>
                <w:rFonts w:ascii="Georgia" w:eastAsia="Arial" w:hAnsi="Georgia" w:cs="Arial"/>
                <w:sz w:val="20"/>
              </w:rPr>
            </w:pPr>
            <w:r w:rsidRPr="00A35CAB">
              <w:rPr>
                <w:rFonts w:ascii="Georgia" w:hAnsi="Georgia"/>
                <w:sz w:val="20"/>
              </w:rPr>
              <w:t>10%</w:t>
            </w:r>
          </w:p>
        </w:tc>
        <w:tc>
          <w:tcPr>
            <w:tcW w:w="2481" w:type="dxa"/>
            <w:tcBorders>
              <w:top w:val="single" w:sz="4" w:space="0" w:color="A7A9AC"/>
              <w:left w:val="single" w:sz="4" w:space="0" w:color="A7A9AC"/>
              <w:bottom w:val="single" w:sz="4" w:space="0" w:color="A7A9AC"/>
              <w:right w:val="nil"/>
            </w:tcBorders>
          </w:tcPr>
          <w:p w:rsidR="00A74AC3" w:rsidRPr="00A35CAB" w:rsidRDefault="00A74AC3" w:rsidP="00A35CAB">
            <w:pPr>
              <w:pStyle w:val="TableText"/>
              <w:tabs>
                <w:tab w:val="decimal" w:pos="1167"/>
              </w:tabs>
              <w:rPr>
                <w:rFonts w:ascii="Georgia" w:eastAsia="Arial" w:hAnsi="Georgia" w:cs="Arial"/>
                <w:sz w:val="20"/>
              </w:rPr>
            </w:pPr>
            <w:r w:rsidRPr="00A35CAB">
              <w:rPr>
                <w:rFonts w:ascii="Georgia" w:hAnsi="Georgia"/>
                <w:sz w:val="20"/>
              </w:rPr>
              <w:t>6%</w:t>
            </w:r>
          </w:p>
        </w:tc>
      </w:tr>
      <w:tr w:rsidR="00A74AC3" w:rsidRPr="00D94409" w:rsidTr="00A35CAB">
        <w:trPr>
          <w:cantSplit/>
        </w:trPr>
        <w:tc>
          <w:tcPr>
            <w:tcW w:w="4395" w:type="dxa"/>
            <w:tcBorders>
              <w:top w:val="single" w:sz="4" w:space="0" w:color="A7A9AC"/>
              <w:left w:val="nil"/>
              <w:bottom w:val="single" w:sz="4" w:space="0" w:color="000000"/>
              <w:right w:val="single" w:sz="4" w:space="0" w:color="A7A9AC"/>
            </w:tcBorders>
          </w:tcPr>
          <w:p w:rsidR="00A74AC3" w:rsidRPr="00A35CAB" w:rsidRDefault="00A74AC3" w:rsidP="00A35CAB">
            <w:pPr>
              <w:pStyle w:val="TableText"/>
              <w:rPr>
                <w:rFonts w:ascii="Georgia" w:eastAsia="Arial" w:hAnsi="Georgia" w:cs="Arial"/>
                <w:sz w:val="20"/>
              </w:rPr>
            </w:pPr>
            <w:r w:rsidRPr="00A35CAB">
              <w:rPr>
                <w:rFonts w:ascii="Georgia" w:hAnsi="Georgia"/>
                <w:sz w:val="20"/>
              </w:rPr>
              <w:t>Severe or very severe cognitive impairment</w:t>
            </w:r>
          </w:p>
        </w:tc>
        <w:tc>
          <w:tcPr>
            <w:tcW w:w="2480" w:type="dxa"/>
            <w:tcBorders>
              <w:top w:val="single" w:sz="4" w:space="0" w:color="A7A9AC"/>
              <w:left w:val="single" w:sz="4" w:space="0" w:color="A7A9AC"/>
              <w:bottom w:val="single" w:sz="4" w:space="0" w:color="000000"/>
              <w:right w:val="single" w:sz="4" w:space="0" w:color="A7A9AC"/>
            </w:tcBorders>
          </w:tcPr>
          <w:p w:rsidR="00A74AC3" w:rsidRPr="00A35CAB" w:rsidRDefault="00A74AC3" w:rsidP="00A35CAB">
            <w:pPr>
              <w:pStyle w:val="TableText"/>
              <w:tabs>
                <w:tab w:val="decimal" w:pos="1167"/>
              </w:tabs>
              <w:rPr>
                <w:rFonts w:ascii="Georgia" w:eastAsia="Arial" w:hAnsi="Georgia" w:cs="Arial"/>
                <w:sz w:val="20"/>
              </w:rPr>
            </w:pPr>
            <w:r w:rsidRPr="00A35CAB">
              <w:rPr>
                <w:rFonts w:ascii="Georgia" w:hAnsi="Georgia"/>
                <w:sz w:val="20"/>
              </w:rPr>
              <w:t>6%</w:t>
            </w:r>
          </w:p>
        </w:tc>
        <w:tc>
          <w:tcPr>
            <w:tcW w:w="2481" w:type="dxa"/>
            <w:tcBorders>
              <w:top w:val="single" w:sz="4" w:space="0" w:color="A7A9AC"/>
              <w:left w:val="single" w:sz="4" w:space="0" w:color="A7A9AC"/>
              <w:bottom w:val="single" w:sz="4" w:space="0" w:color="000000"/>
              <w:right w:val="nil"/>
            </w:tcBorders>
          </w:tcPr>
          <w:p w:rsidR="00A74AC3" w:rsidRPr="00A35CAB" w:rsidRDefault="00A74AC3" w:rsidP="00A35CAB">
            <w:pPr>
              <w:pStyle w:val="TableText"/>
              <w:tabs>
                <w:tab w:val="decimal" w:pos="1167"/>
              </w:tabs>
              <w:rPr>
                <w:rFonts w:ascii="Georgia" w:eastAsia="Arial" w:hAnsi="Georgia" w:cs="Arial"/>
                <w:sz w:val="20"/>
              </w:rPr>
            </w:pPr>
            <w:r w:rsidRPr="00A35CAB">
              <w:rPr>
                <w:rFonts w:ascii="Georgia" w:hAnsi="Georgia"/>
                <w:sz w:val="20"/>
              </w:rPr>
              <w:t>22%</w:t>
            </w:r>
          </w:p>
        </w:tc>
      </w:tr>
    </w:tbl>
    <w:p w:rsidR="00A74AC3" w:rsidRPr="00D94409" w:rsidRDefault="00A74AC3" w:rsidP="00A35CAB">
      <w:pPr>
        <w:pStyle w:val="Source"/>
        <w:ind w:right="0"/>
        <w:rPr>
          <w:rFonts w:eastAsia="Century" w:hAnsi="Century" w:cs="Century"/>
          <w:szCs w:val="17"/>
        </w:rPr>
      </w:pPr>
      <w:r w:rsidRPr="00D94409">
        <w:t xml:space="preserve">Source: </w:t>
      </w:r>
      <w:proofErr w:type="spellStart"/>
      <w:r w:rsidRPr="00D94409">
        <w:t>InterRAI</w:t>
      </w:r>
      <w:proofErr w:type="spellEnd"/>
    </w:p>
    <w:p w:rsidR="00A35CAB" w:rsidRDefault="00A35CAB" w:rsidP="00A35CAB"/>
    <w:p w:rsidR="00A74AC3" w:rsidRPr="00D94409" w:rsidRDefault="00A74AC3" w:rsidP="00A35CAB">
      <w:pPr>
        <w:rPr>
          <w:rFonts w:cs="Century"/>
        </w:rPr>
      </w:pPr>
      <w:r w:rsidRPr="00D94409">
        <w:t>Ten percent of those having a home care assessment and 6 percent of those having a long-term care facility assessment were identified as having high or very high health instability. Severe or very severe cognitive impairment was identified in 6 percent of those having a home care assessment and</w:t>
      </w:r>
      <w:r w:rsidR="0090352A">
        <w:t xml:space="preserve"> </w:t>
      </w:r>
      <w:r w:rsidRPr="00D94409">
        <w:t>22 percent of those having a long-term care facility assessment.</w:t>
      </w:r>
    </w:p>
    <w:p w:rsidR="00A74AC3" w:rsidRPr="00D94409" w:rsidRDefault="00A74AC3" w:rsidP="0090352A">
      <w:pPr>
        <w:rPr>
          <w:rFonts w:eastAsia="Century"/>
        </w:rPr>
      </w:pPr>
    </w:p>
    <w:p w:rsidR="00A74AC3" w:rsidRPr="00D94409" w:rsidRDefault="00A74AC3" w:rsidP="000D44CE">
      <w:pPr>
        <w:pStyle w:val="Heading4"/>
        <w:rPr>
          <w:rFonts w:eastAsia="Arial Black" w:hAnsi="Arial Black" w:cs="Arial Black"/>
          <w:bCs/>
        </w:rPr>
      </w:pPr>
      <w:r w:rsidRPr="00D94409">
        <w:t>Half of adults aged 85 and over are taking five or more long-term medications</w:t>
      </w:r>
    </w:p>
    <w:p w:rsidR="00A74AC3" w:rsidRPr="00D94409" w:rsidRDefault="00D94409" w:rsidP="0090352A">
      <w:r w:rsidRPr="00D94409">
        <w:t>‘</w:t>
      </w:r>
      <w:r w:rsidR="00A74AC3" w:rsidRPr="00D94409">
        <w:t>Poly-pharmacy</w:t>
      </w:r>
      <w:r w:rsidRPr="00D94409">
        <w:t>’</w:t>
      </w:r>
      <w:r w:rsidR="00A74AC3" w:rsidRPr="00D94409">
        <w:t xml:space="preserve"> refers to the prescribing of multiple medications to one person, and is associated with a higher risk of adverse drug events. Approximately one in four people aged</w:t>
      </w:r>
      <w:r w:rsidR="00853115">
        <w:br/>
      </w:r>
      <w:r w:rsidR="00A74AC3" w:rsidRPr="00D94409">
        <w:t>65–74 years received five or more long-term medicines in 2014, increasing to one in two adults aged 85 and over (HQSC 2015b).</w:t>
      </w:r>
    </w:p>
    <w:p w:rsidR="00A74AC3" w:rsidRPr="00D94409" w:rsidRDefault="00A74AC3" w:rsidP="0090352A">
      <w:pPr>
        <w:rPr>
          <w:rFonts w:eastAsia="Century"/>
        </w:rPr>
      </w:pPr>
    </w:p>
    <w:p w:rsidR="00A74AC3" w:rsidRPr="00D94409" w:rsidRDefault="00A74AC3" w:rsidP="00853115">
      <w:pPr>
        <w:keepLines/>
        <w:rPr>
          <w:rFonts w:cs="Century"/>
        </w:rPr>
      </w:pPr>
      <w:r w:rsidRPr="00D94409">
        <w:lastRenderedPageBreak/>
        <w:t>It is important that individuals taking multiple medications have their prescriptions reviewed regularly. Of those adults aged 65 years and over who were taking four or more medications, 23</w:t>
      </w:r>
      <w:r w:rsidR="00853115">
        <w:t> </w:t>
      </w:r>
      <w:r w:rsidRPr="00D94409">
        <w:t xml:space="preserve">percent reported that their prescriptions were not reviewed in the last year (The </w:t>
      </w:r>
      <w:r w:rsidR="009B2B80" w:rsidRPr="00D94409">
        <w:t>Commonwealth</w:t>
      </w:r>
      <w:r w:rsidRPr="00D94409">
        <w:t xml:space="preserve"> Fund 2014).</w:t>
      </w:r>
    </w:p>
    <w:p w:rsidR="00A74AC3" w:rsidRPr="00D94409" w:rsidRDefault="00A74AC3" w:rsidP="00853115">
      <w:pPr>
        <w:rPr>
          <w:rFonts w:eastAsia="Century"/>
        </w:rPr>
      </w:pPr>
    </w:p>
    <w:p w:rsidR="00A74AC3" w:rsidRPr="00D94409" w:rsidRDefault="00A74AC3" w:rsidP="00853115">
      <w:pPr>
        <w:pStyle w:val="Heading4"/>
        <w:rPr>
          <w:rFonts w:eastAsia="Arial Black" w:hAnsi="Arial Black" w:cs="Arial Black"/>
          <w:bCs/>
        </w:rPr>
      </w:pPr>
      <w:bookmarkStart w:id="55" w:name="Delivering_high-quality,_sustainable_and"/>
      <w:bookmarkEnd w:id="55"/>
      <w:r w:rsidRPr="00D94409">
        <w:t>One in eleven adults aged 85+ is hospitalised due to a fall, each year</w:t>
      </w:r>
    </w:p>
    <w:p w:rsidR="00A74AC3" w:rsidRPr="00D94409" w:rsidRDefault="00A74AC3" w:rsidP="00853115">
      <w:pPr>
        <w:rPr>
          <w:rFonts w:cs="Century"/>
        </w:rPr>
      </w:pPr>
      <w:r w:rsidRPr="00D94409">
        <w:t>Older people are at increased risk of having a fall due to a range of factors associated with ageing, including muscle weakness, poor balance, poly-pharmacy and visual impairment. Falls can result in serious injury and loss of independence. In 2013, almost 19,000 adults aged 65 and over were admitted to hospital after having a fall. Hospital admissions due to a fall are most common in adults aged 85 years and over (93 per 1000 in 2013, Figure 15) (HQSC 2015b).</w:t>
      </w:r>
    </w:p>
    <w:p w:rsidR="00A74AC3" w:rsidRPr="00D94409" w:rsidRDefault="00A74AC3" w:rsidP="00853115">
      <w:pPr>
        <w:rPr>
          <w:rFonts w:eastAsia="Century"/>
        </w:rPr>
      </w:pPr>
    </w:p>
    <w:p w:rsidR="00A74AC3" w:rsidRPr="00D94409" w:rsidRDefault="00A74AC3" w:rsidP="00853115">
      <w:pPr>
        <w:pStyle w:val="Figure"/>
        <w:rPr>
          <w:rFonts w:eastAsia="Georgia" w:cs="Georgia"/>
          <w:szCs w:val="19"/>
        </w:rPr>
      </w:pPr>
      <w:bookmarkStart w:id="56" w:name="_Toc433234124"/>
      <w:r w:rsidRPr="00D94409">
        <w:t>Figure 15: Hospital admissions and hip fracture rates, by age group, 2013</w:t>
      </w:r>
      <w:bookmarkEnd w:id="56"/>
    </w:p>
    <w:p w:rsidR="00A74AC3" w:rsidRPr="00D94409" w:rsidRDefault="00853115" w:rsidP="00853115">
      <w:pPr>
        <w:rPr>
          <w:rFonts w:eastAsia="Georgia"/>
        </w:rPr>
      </w:pPr>
      <w:r>
        <w:rPr>
          <w:noProof/>
          <w:lang w:eastAsia="en-NZ"/>
        </w:rPr>
        <w:drawing>
          <wp:inline distT="0" distB="0" distL="0" distR="0" wp14:anchorId="069A8930" wp14:editId="718DB467">
            <wp:extent cx="4381745" cy="2776451"/>
            <wp:effectExtent l="0" t="0" r="0" b="5080"/>
            <wp:docPr id="2013" name="Picture 2013" title="Figure 15: Hospital admissions and hip fracture rates, by age group,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grayscl/>
                    </a:blip>
                    <a:stretch>
                      <a:fillRect/>
                    </a:stretch>
                  </pic:blipFill>
                  <pic:spPr>
                    <a:xfrm>
                      <a:off x="0" y="0"/>
                      <a:ext cx="4384316" cy="2778080"/>
                    </a:xfrm>
                    <a:prstGeom prst="rect">
                      <a:avLst/>
                    </a:prstGeom>
                  </pic:spPr>
                </pic:pic>
              </a:graphicData>
            </a:graphic>
          </wp:inline>
        </w:drawing>
      </w:r>
    </w:p>
    <w:p w:rsidR="00A74AC3" w:rsidRPr="00D94409" w:rsidRDefault="00A74AC3" w:rsidP="00853115">
      <w:pPr>
        <w:pStyle w:val="Source"/>
        <w:rPr>
          <w:rFonts w:eastAsia="Century" w:hAnsi="Century" w:cs="Century"/>
          <w:szCs w:val="18"/>
        </w:rPr>
      </w:pPr>
      <w:r w:rsidRPr="00D94409">
        <w:t>Source: HQSC (2015b)</w:t>
      </w:r>
    </w:p>
    <w:p w:rsidR="00A74AC3" w:rsidRPr="00D94409" w:rsidRDefault="00A74AC3" w:rsidP="00853115">
      <w:pPr>
        <w:rPr>
          <w:rFonts w:eastAsia="Century"/>
        </w:rPr>
      </w:pPr>
    </w:p>
    <w:p w:rsidR="00A74AC3" w:rsidRPr="00D94409" w:rsidRDefault="00A74AC3" w:rsidP="00853115">
      <w:pPr>
        <w:rPr>
          <w:rFonts w:cs="Century"/>
        </w:rPr>
      </w:pPr>
      <w:r w:rsidRPr="00D94409">
        <w:t>Over 3000 adults aged 65 years and over were admitted to hospital with a hip fracture in 2013. More than half of these were in adults aged 85 years and over (21 per 1000).</w:t>
      </w:r>
    </w:p>
    <w:p w:rsidR="00A74AC3" w:rsidRPr="00D94409" w:rsidRDefault="00A74AC3" w:rsidP="00853115">
      <w:pPr>
        <w:rPr>
          <w:rFonts w:eastAsia="Century"/>
        </w:rPr>
      </w:pPr>
    </w:p>
    <w:p w:rsidR="00853115" w:rsidRDefault="00853115" w:rsidP="00853115">
      <w:r>
        <w:br w:type="page"/>
      </w:r>
    </w:p>
    <w:p w:rsidR="00A74AC3" w:rsidRPr="00D94409" w:rsidRDefault="00A74AC3" w:rsidP="00853115">
      <w:pPr>
        <w:pStyle w:val="Heading2"/>
        <w:spacing w:before="0"/>
        <w:rPr>
          <w:bCs/>
        </w:rPr>
      </w:pPr>
      <w:bookmarkStart w:id="57" w:name="_Toc433234100"/>
      <w:r w:rsidRPr="00D94409">
        <w:lastRenderedPageBreak/>
        <w:t>Delivering high-quality, sustainable and safe health care services</w:t>
      </w:r>
      <w:bookmarkEnd w:id="57"/>
    </w:p>
    <w:p w:rsidR="00A74AC3" w:rsidRPr="00D94409" w:rsidRDefault="00853115" w:rsidP="00853115">
      <w:pPr>
        <w:rPr>
          <w:rFonts w:cs="Century"/>
        </w:rPr>
      </w:pPr>
      <w:r>
        <w:rPr>
          <w:noProof/>
          <w:lang w:eastAsia="en-NZ"/>
        </w:rPr>
        <mc:AlternateContent>
          <mc:Choice Requires="wps">
            <w:drawing>
              <wp:anchor distT="0" distB="0" distL="114935" distR="0" simplePos="0" relativeHeight="251836416" behindDoc="0" locked="0" layoutInCell="1" allowOverlap="1" wp14:anchorId="2497F5C2" wp14:editId="74BBE106">
                <wp:simplePos x="0" y="0"/>
                <wp:positionH relativeFrom="column">
                  <wp:posOffset>2637790</wp:posOffset>
                </wp:positionH>
                <wp:positionV relativeFrom="paragraph">
                  <wp:posOffset>17145</wp:posOffset>
                </wp:positionV>
                <wp:extent cx="3338195" cy="2834640"/>
                <wp:effectExtent l="0" t="0" r="0" b="3810"/>
                <wp:wrapSquare wrapText="left"/>
                <wp:docPr id="2014" name="Rectangle 2014"/>
                <wp:cNvGraphicFramePr/>
                <a:graphic xmlns:a="http://schemas.openxmlformats.org/drawingml/2006/main">
                  <a:graphicData uri="http://schemas.microsoft.com/office/word/2010/wordprocessingShape">
                    <wps:wsp>
                      <wps:cNvSpPr/>
                      <wps:spPr>
                        <a:xfrm>
                          <a:off x="0" y="0"/>
                          <a:ext cx="3338195" cy="2834640"/>
                        </a:xfrm>
                        <a:prstGeom prst="rect">
                          <a:avLst/>
                        </a:prstGeom>
                        <a:solidFill>
                          <a:schemeClr val="bg1">
                            <a:lumMod val="8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3115" w:rsidRPr="00C47FE3" w:rsidRDefault="00853115" w:rsidP="00853115">
                            <w:pPr>
                              <w:spacing w:before="120" w:after="120"/>
                              <w:jc w:val="center"/>
                              <w:rPr>
                                <w:color w:val="000000"/>
                                <w:sz w:val="32"/>
                                <w:szCs w:val="32"/>
                              </w:rPr>
                            </w:pPr>
                            <w:r>
                              <w:rPr>
                                <w:color w:val="000000"/>
                                <w:sz w:val="32"/>
                                <w:szCs w:val="32"/>
                              </w:rPr>
                              <w:t>Last year in New Zealand</w:t>
                            </w:r>
                          </w:p>
                          <w:p w:rsidR="00853115" w:rsidRDefault="00853115" w:rsidP="00853115">
                            <w:pPr>
                              <w:spacing w:before="120" w:after="120"/>
                              <w:jc w:val="center"/>
                              <w:rPr>
                                <w:color w:val="000000"/>
                                <w:szCs w:val="22"/>
                              </w:rPr>
                            </w:pPr>
                            <w:r>
                              <w:rPr>
                                <w:color w:val="000000"/>
                                <w:sz w:val="32"/>
                                <w:szCs w:val="32"/>
                              </w:rPr>
                              <w:t>65</w:t>
                            </w:r>
                            <w:r>
                              <w:rPr>
                                <w:color w:val="000000"/>
                                <w:szCs w:val="22"/>
                              </w:rPr>
                              <w:t xml:space="preserve"> million prescriptions were dispensed</w:t>
                            </w:r>
                          </w:p>
                          <w:p w:rsidR="00853115" w:rsidRDefault="00853115" w:rsidP="00853115">
                            <w:pPr>
                              <w:spacing w:before="120" w:after="120"/>
                              <w:jc w:val="center"/>
                              <w:rPr>
                                <w:color w:val="000000"/>
                                <w:szCs w:val="22"/>
                              </w:rPr>
                            </w:pPr>
                            <w:r>
                              <w:rPr>
                                <w:color w:val="000000"/>
                                <w:sz w:val="32"/>
                                <w:szCs w:val="32"/>
                              </w:rPr>
                              <w:t>25</w:t>
                            </w:r>
                            <w:r>
                              <w:rPr>
                                <w:color w:val="000000"/>
                                <w:szCs w:val="22"/>
                              </w:rPr>
                              <w:t xml:space="preserve"> million laboratory tests were performed</w:t>
                            </w:r>
                          </w:p>
                          <w:p w:rsidR="00853115" w:rsidRDefault="00853115" w:rsidP="00853115">
                            <w:pPr>
                              <w:spacing w:before="120" w:after="120"/>
                              <w:jc w:val="center"/>
                              <w:rPr>
                                <w:color w:val="000000"/>
                                <w:szCs w:val="22"/>
                              </w:rPr>
                            </w:pPr>
                            <w:r>
                              <w:rPr>
                                <w:color w:val="000000"/>
                                <w:sz w:val="32"/>
                                <w:szCs w:val="32"/>
                              </w:rPr>
                              <w:t>12.6</w:t>
                            </w:r>
                            <w:r>
                              <w:rPr>
                                <w:color w:val="000000"/>
                                <w:szCs w:val="22"/>
                              </w:rPr>
                              <w:t xml:space="preserve"> million GP visits took place</w:t>
                            </w:r>
                          </w:p>
                          <w:p w:rsidR="00853115" w:rsidRDefault="00853115" w:rsidP="00853115">
                            <w:pPr>
                              <w:spacing w:before="120" w:after="120"/>
                              <w:jc w:val="center"/>
                              <w:rPr>
                                <w:color w:val="000000"/>
                                <w:szCs w:val="22"/>
                              </w:rPr>
                            </w:pPr>
                            <w:r>
                              <w:rPr>
                                <w:color w:val="000000"/>
                                <w:sz w:val="32"/>
                                <w:szCs w:val="32"/>
                              </w:rPr>
                              <w:t>2.8</w:t>
                            </w:r>
                            <w:r>
                              <w:rPr>
                                <w:color w:val="000000"/>
                                <w:szCs w:val="22"/>
                              </w:rPr>
                              <w:t xml:space="preserve"> million </w:t>
                            </w:r>
                            <w:proofErr w:type="gramStart"/>
                            <w:r>
                              <w:rPr>
                                <w:color w:val="000000"/>
                                <w:szCs w:val="22"/>
                              </w:rPr>
                              <w:t>nurse</w:t>
                            </w:r>
                            <w:proofErr w:type="gramEnd"/>
                            <w:r>
                              <w:rPr>
                                <w:color w:val="000000"/>
                                <w:szCs w:val="22"/>
                              </w:rPr>
                              <w:t xml:space="preserve"> visits occurred</w:t>
                            </w:r>
                          </w:p>
                          <w:p w:rsidR="00853115" w:rsidRDefault="00853115" w:rsidP="00853115">
                            <w:pPr>
                              <w:spacing w:before="120" w:after="120"/>
                              <w:jc w:val="center"/>
                              <w:rPr>
                                <w:color w:val="000000"/>
                                <w:szCs w:val="22"/>
                              </w:rPr>
                            </w:pPr>
                            <w:r w:rsidRPr="00853115">
                              <w:rPr>
                                <w:color w:val="000000"/>
                                <w:sz w:val="32"/>
                                <w:szCs w:val="32"/>
                              </w:rPr>
                              <w:t>1.1</w:t>
                            </w:r>
                            <w:r>
                              <w:rPr>
                                <w:color w:val="000000"/>
                                <w:szCs w:val="22"/>
                              </w:rPr>
                              <w:t xml:space="preserve"> million </w:t>
                            </w:r>
                            <w:proofErr w:type="gramStart"/>
                            <w:r>
                              <w:rPr>
                                <w:color w:val="000000"/>
                                <w:szCs w:val="22"/>
                              </w:rPr>
                              <w:t>people</w:t>
                            </w:r>
                            <w:proofErr w:type="gramEnd"/>
                            <w:r>
                              <w:rPr>
                                <w:color w:val="000000"/>
                                <w:szCs w:val="22"/>
                              </w:rPr>
                              <w:t xml:space="preserve"> were discharged from hospital</w:t>
                            </w:r>
                          </w:p>
                          <w:p w:rsidR="00853115" w:rsidRDefault="00853115" w:rsidP="00853115">
                            <w:pPr>
                              <w:spacing w:before="120" w:after="120"/>
                              <w:jc w:val="center"/>
                              <w:rPr>
                                <w:color w:val="000000"/>
                                <w:szCs w:val="22"/>
                              </w:rPr>
                            </w:pPr>
                            <w:r w:rsidRPr="00853115">
                              <w:rPr>
                                <w:color w:val="000000"/>
                                <w:sz w:val="32"/>
                                <w:szCs w:val="32"/>
                              </w:rPr>
                              <w:t>1</w:t>
                            </w:r>
                            <w:r>
                              <w:rPr>
                                <w:color w:val="000000"/>
                                <w:szCs w:val="22"/>
                              </w:rPr>
                              <w:t xml:space="preserve"> million emergency department visits occurred</w:t>
                            </w:r>
                          </w:p>
                          <w:p w:rsidR="00853115" w:rsidRDefault="00853115" w:rsidP="00853115">
                            <w:pPr>
                              <w:spacing w:before="120" w:after="120"/>
                              <w:jc w:val="center"/>
                              <w:rPr>
                                <w:color w:val="000000"/>
                                <w:szCs w:val="22"/>
                              </w:rPr>
                            </w:pPr>
                            <w:r w:rsidRPr="00853115">
                              <w:rPr>
                                <w:color w:val="000000"/>
                                <w:sz w:val="32"/>
                                <w:szCs w:val="32"/>
                              </w:rPr>
                              <w:t>167,000</w:t>
                            </w:r>
                            <w:r>
                              <w:rPr>
                                <w:color w:val="000000"/>
                                <w:szCs w:val="22"/>
                              </w:rPr>
                              <w:t xml:space="preserve"> elective surgeries were performed</w:t>
                            </w:r>
                          </w:p>
                        </w:txbxContent>
                      </wps:txbx>
                      <wps:bodyPr rot="0" spcFirstLastPara="0" vertOverflow="overflow" horzOverflow="overflow" vert="horz" wrap="square" lIns="91440" tIns="90000" rIns="91440" bIns="9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14" o:spid="_x0000_s1098" style="position:absolute;margin-left:207.7pt;margin-top:1.35pt;width:262.85pt;height:223.2pt;z-index:251836416;visibility:visible;mso-wrap-style:square;mso-width-percent:0;mso-height-percent:0;mso-wrap-distance-left:9.05pt;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" fillcolor="#d8d8d8 [2732]" stroked="f" strokeweight=".5pt">
                <v:textbox inset=",2.5mm,,2.5mm">
                  <w:txbxContent>
                    <w:p w:rsidR="00853115" w:rsidRPr="00C47FE3" w:rsidRDefault="00853115" w:rsidP="00853115">
                      <w:pPr>
                        <w:spacing w:before="120" w:after="120"/>
                        <w:jc w:val="center"/>
                        <w:rPr>
                          <w:color w:val="000000"/>
                          <w:sz w:val="32"/>
                          <w:szCs w:val="32"/>
                        </w:rPr>
                      </w:pPr>
                      <w:r>
                        <w:rPr>
                          <w:color w:val="000000"/>
                          <w:sz w:val="32"/>
                          <w:szCs w:val="32"/>
                        </w:rPr>
                        <w:t>Last year in New Zealand</w:t>
                      </w:r>
                    </w:p>
                    <w:p w:rsidR="00853115" w:rsidRDefault="00853115" w:rsidP="00853115">
                      <w:pPr>
                        <w:spacing w:before="120" w:after="120"/>
                        <w:jc w:val="center"/>
                        <w:rPr>
                          <w:color w:val="000000"/>
                          <w:szCs w:val="22"/>
                        </w:rPr>
                      </w:pPr>
                      <w:r>
                        <w:rPr>
                          <w:color w:val="000000"/>
                          <w:sz w:val="32"/>
                          <w:szCs w:val="32"/>
                        </w:rPr>
                        <w:t>65</w:t>
                      </w:r>
                      <w:r>
                        <w:rPr>
                          <w:color w:val="000000"/>
                          <w:szCs w:val="22"/>
                        </w:rPr>
                        <w:t xml:space="preserve"> million prescriptions were dispensed</w:t>
                      </w:r>
                    </w:p>
                    <w:p w:rsidR="00853115" w:rsidRDefault="00853115" w:rsidP="00853115">
                      <w:pPr>
                        <w:spacing w:before="120" w:after="120"/>
                        <w:jc w:val="center"/>
                        <w:rPr>
                          <w:color w:val="000000"/>
                          <w:szCs w:val="22"/>
                        </w:rPr>
                      </w:pPr>
                      <w:r>
                        <w:rPr>
                          <w:color w:val="000000"/>
                          <w:sz w:val="32"/>
                          <w:szCs w:val="32"/>
                        </w:rPr>
                        <w:t>25</w:t>
                      </w:r>
                      <w:r>
                        <w:rPr>
                          <w:color w:val="000000"/>
                          <w:szCs w:val="22"/>
                        </w:rPr>
                        <w:t xml:space="preserve"> </w:t>
                      </w:r>
                      <w:r>
                        <w:rPr>
                          <w:color w:val="000000"/>
                          <w:szCs w:val="22"/>
                        </w:rPr>
                        <w:t>million laboratory tests were performed</w:t>
                      </w:r>
                    </w:p>
                    <w:p w:rsidR="00853115" w:rsidRDefault="00853115" w:rsidP="00853115">
                      <w:pPr>
                        <w:spacing w:before="120" w:after="120"/>
                        <w:jc w:val="center"/>
                        <w:rPr>
                          <w:color w:val="000000"/>
                          <w:szCs w:val="22"/>
                        </w:rPr>
                      </w:pPr>
                      <w:r>
                        <w:rPr>
                          <w:color w:val="000000"/>
                          <w:sz w:val="32"/>
                          <w:szCs w:val="32"/>
                        </w:rPr>
                        <w:t>12.</w:t>
                      </w:r>
                      <w:r>
                        <w:rPr>
                          <w:color w:val="000000"/>
                          <w:sz w:val="32"/>
                          <w:szCs w:val="32"/>
                        </w:rPr>
                        <w:t>6</w:t>
                      </w:r>
                      <w:r>
                        <w:rPr>
                          <w:color w:val="000000"/>
                          <w:szCs w:val="22"/>
                        </w:rPr>
                        <w:t xml:space="preserve"> </w:t>
                      </w:r>
                      <w:r>
                        <w:rPr>
                          <w:color w:val="000000"/>
                          <w:szCs w:val="22"/>
                        </w:rPr>
                        <w:t>million GP visits took place</w:t>
                      </w:r>
                    </w:p>
                    <w:p w:rsidR="00853115" w:rsidRDefault="00853115" w:rsidP="00853115">
                      <w:pPr>
                        <w:spacing w:before="120" w:after="120"/>
                        <w:jc w:val="center"/>
                        <w:rPr>
                          <w:color w:val="000000"/>
                          <w:szCs w:val="22"/>
                        </w:rPr>
                      </w:pPr>
                      <w:r>
                        <w:rPr>
                          <w:color w:val="000000"/>
                          <w:sz w:val="32"/>
                          <w:szCs w:val="32"/>
                        </w:rPr>
                        <w:t>2</w:t>
                      </w:r>
                      <w:r>
                        <w:rPr>
                          <w:color w:val="000000"/>
                          <w:sz w:val="32"/>
                          <w:szCs w:val="32"/>
                        </w:rPr>
                        <w:t>.8</w:t>
                      </w:r>
                      <w:r>
                        <w:rPr>
                          <w:color w:val="000000"/>
                          <w:szCs w:val="22"/>
                        </w:rPr>
                        <w:t xml:space="preserve"> </w:t>
                      </w:r>
                      <w:r>
                        <w:rPr>
                          <w:color w:val="000000"/>
                          <w:szCs w:val="22"/>
                        </w:rPr>
                        <w:t>million nurse visits occurred</w:t>
                      </w:r>
                    </w:p>
                    <w:p w:rsidR="00853115" w:rsidRDefault="00853115" w:rsidP="00853115">
                      <w:pPr>
                        <w:spacing w:before="120" w:after="120"/>
                        <w:jc w:val="center"/>
                        <w:rPr>
                          <w:color w:val="000000"/>
                          <w:szCs w:val="22"/>
                        </w:rPr>
                      </w:pPr>
                      <w:r w:rsidRPr="00853115">
                        <w:rPr>
                          <w:color w:val="000000"/>
                          <w:sz w:val="32"/>
                          <w:szCs w:val="32"/>
                        </w:rPr>
                        <w:t>1.1</w:t>
                      </w:r>
                      <w:r>
                        <w:rPr>
                          <w:color w:val="000000"/>
                          <w:szCs w:val="22"/>
                        </w:rPr>
                        <w:t xml:space="preserve"> million people were discharged from hospital</w:t>
                      </w:r>
                    </w:p>
                    <w:p w:rsidR="00853115" w:rsidRDefault="00853115" w:rsidP="00853115">
                      <w:pPr>
                        <w:spacing w:before="120" w:after="120"/>
                        <w:jc w:val="center"/>
                        <w:rPr>
                          <w:color w:val="000000"/>
                          <w:szCs w:val="22"/>
                        </w:rPr>
                      </w:pPr>
                      <w:r w:rsidRPr="00853115">
                        <w:rPr>
                          <w:color w:val="000000"/>
                          <w:sz w:val="32"/>
                          <w:szCs w:val="32"/>
                        </w:rPr>
                        <w:t>1</w:t>
                      </w:r>
                      <w:r>
                        <w:rPr>
                          <w:color w:val="000000"/>
                          <w:szCs w:val="22"/>
                        </w:rPr>
                        <w:t xml:space="preserve"> million emergency department visits occurred</w:t>
                      </w:r>
                    </w:p>
                    <w:p w:rsidR="00853115" w:rsidRDefault="00853115" w:rsidP="00853115">
                      <w:pPr>
                        <w:spacing w:before="120" w:after="120"/>
                        <w:jc w:val="center"/>
                        <w:rPr>
                          <w:color w:val="000000"/>
                          <w:szCs w:val="22"/>
                        </w:rPr>
                      </w:pPr>
                      <w:r w:rsidRPr="00853115">
                        <w:rPr>
                          <w:color w:val="000000"/>
                          <w:sz w:val="32"/>
                          <w:szCs w:val="32"/>
                        </w:rPr>
                        <w:t>167,000</w:t>
                      </w:r>
                      <w:r>
                        <w:rPr>
                          <w:color w:val="000000"/>
                          <w:szCs w:val="22"/>
                        </w:rPr>
                        <w:t xml:space="preserve"> elective surgeries were performed</w:t>
                      </w:r>
                    </w:p>
                  </w:txbxContent>
                </v:textbox>
                <w10:wrap type="square" side="left"/>
              </v:rect>
            </w:pict>
          </mc:Fallback>
        </mc:AlternateContent>
      </w:r>
      <w:r w:rsidR="00A74AC3" w:rsidRPr="00D94409">
        <w:t>The health and disability system must continue to raise the quality and effectiveness of health and disability services within available resources. Every dollar spent on health must gain the maximum possible health benefit for that investment.</w:t>
      </w:r>
    </w:p>
    <w:p w:rsidR="00A74AC3" w:rsidRPr="00D94409" w:rsidRDefault="00A74AC3" w:rsidP="0090352A">
      <w:pPr>
        <w:rPr>
          <w:rFonts w:eastAsia="Century"/>
        </w:rPr>
      </w:pPr>
    </w:p>
    <w:p w:rsidR="00A74AC3" w:rsidRPr="00D94409" w:rsidRDefault="00A74AC3" w:rsidP="00853115">
      <w:pPr>
        <w:rPr>
          <w:rFonts w:cs="Century"/>
        </w:rPr>
      </w:pPr>
      <w:r w:rsidRPr="00D94409">
        <w:t>At the same time, it is important that people have a good experience of accessing the health and disability system. People want</w:t>
      </w:r>
      <w:r w:rsidR="00853115">
        <w:t xml:space="preserve"> </w:t>
      </w:r>
      <w:r w:rsidRPr="00D94409">
        <w:t>to be treated with dignity and respect. How they are treated and the support they receive can impact on their recovery and future engagement with the health system.</w:t>
      </w:r>
    </w:p>
    <w:p w:rsidR="00A74AC3" w:rsidRPr="00D94409" w:rsidRDefault="00A74AC3" w:rsidP="0090352A">
      <w:pPr>
        <w:rPr>
          <w:rFonts w:eastAsia="Century"/>
        </w:rPr>
      </w:pPr>
    </w:p>
    <w:p w:rsidR="00A74AC3" w:rsidRPr="00853115" w:rsidRDefault="00A74AC3" w:rsidP="00853115">
      <w:pPr>
        <w:jc w:val="right"/>
        <w:rPr>
          <w:rFonts w:eastAsia="Century" w:hAnsi="Century" w:cs="Century"/>
          <w:sz w:val="20"/>
          <w:szCs w:val="18"/>
        </w:rPr>
      </w:pPr>
      <w:r w:rsidRPr="00853115">
        <w:rPr>
          <w:sz w:val="20"/>
        </w:rPr>
        <w:t>Source: Ministry of Health</w:t>
      </w:r>
    </w:p>
    <w:p w:rsidR="00A74AC3" w:rsidRPr="00D94409" w:rsidRDefault="00A74AC3" w:rsidP="00853115">
      <w:pPr>
        <w:rPr>
          <w:rFonts w:eastAsia="Century"/>
        </w:rPr>
      </w:pPr>
    </w:p>
    <w:p w:rsidR="00A74AC3" w:rsidRPr="00D94409" w:rsidRDefault="00A74AC3" w:rsidP="00853115">
      <w:pPr>
        <w:pStyle w:val="Heading3"/>
        <w:rPr>
          <w:rFonts w:eastAsia="Arial Black" w:hAnsi="Arial Black" w:cs="Arial Black"/>
          <w:bCs/>
        </w:rPr>
      </w:pPr>
      <w:r w:rsidRPr="00D94409">
        <w:t>Patients are spending less time in hospital</w:t>
      </w:r>
    </w:p>
    <w:p w:rsidR="00A74AC3" w:rsidRPr="00D94409" w:rsidRDefault="00A74AC3" w:rsidP="00853115">
      <w:r w:rsidRPr="00D94409">
        <w:t>The average length of hospital stays can be reduced by measures such as advances in treatment technologies, more effective drugs, improved community and follow-up care, and more effective hospital administration. Shorter hospital stays are not only cost-effective; they can be better for patients</w:t>
      </w:r>
      <w:r w:rsidR="00D94409" w:rsidRPr="00D94409">
        <w:t>’</w:t>
      </w:r>
      <w:r w:rsidRPr="00D94409">
        <w:t xml:space="preserve"> wellbeing as well as helping reduce the risk of hospital-acquired infections.</w:t>
      </w:r>
    </w:p>
    <w:p w:rsidR="00A74AC3" w:rsidRPr="00D94409" w:rsidRDefault="00A74AC3" w:rsidP="0090352A">
      <w:pPr>
        <w:rPr>
          <w:rFonts w:eastAsia="Century"/>
        </w:rPr>
      </w:pPr>
    </w:p>
    <w:p w:rsidR="00A74AC3" w:rsidRPr="00D94409" w:rsidRDefault="00A74AC3" w:rsidP="0090352A">
      <w:r w:rsidRPr="00D94409">
        <w:t>The average length of stay for both medical and surgical procedures has fallen over the last 10 years. For medical procedures, it is 3.3 days, down from 3.7 days in 2005. For surgical procedures, the average length of stay is 4.8 days, down from 5.6 days in 2005. New Zealand</w:t>
      </w:r>
      <w:r w:rsidR="00D94409" w:rsidRPr="00D94409">
        <w:t>’</w:t>
      </w:r>
      <w:r w:rsidRPr="00D94409">
        <w:t>s average length of stay is similar to the OECD average, but slightly longer than in the United Kingdom, United States and Australia (OECD 2013).</w:t>
      </w:r>
    </w:p>
    <w:p w:rsidR="00A74AC3" w:rsidRPr="00D94409" w:rsidRDefault="00A74AC3" w:rsidP="0090352A">
      <w:pPr>
        <w:rPr>
          <w:rFonts w:eastAsia="Century"/>
        </w:rPr>
      </w:pPr>
    </w:p>
    <w:p w:rsidR="00A74AC3" w:rsidRPr="00D94409" w:rsidRDefault="00A74AC3" w:rsidP="0090352A">
      <w:pPr>
        <w:rPr>
          <w:rFonts w:cs="Century"/>
        </w:rPr>
      </w:pPr>
      <w:r w:rsidRPr="00D94409">
        <w:t>The proportion of surgical procedures that are carried out as day cases has increased. Same-day surgical procedures are appropriate for less complex surgery in low-risk patients. In 2014, 58</w:t>
      </w:r>
      <w:r w:rsidR="00853115">
        <w:t> </w:t>
      </w:r>
      <w:r w:rsidRPr="00D94409">
        <w:t>percent of surgeries were undertaken as day cases, an increase from 52 percent in 2005.</w:t>
      </w:r>
    </w:p>
    <w:p w:rsidR="00A74AC3" w:rsidRPr="00D94409" w:rsidRDefault="00A74AC3" w:rsidP="0090352A">
      <w:pPr>
        <w:rPr>
          <w:rFonts w:eastAsia="Century"/>
        </w:rPr>
      </w:pPr>
    </w:p>
    <w:p w:rsidR="00A74AC3" w:rsidRPr="00D94409" w:rsidRDefault="00A74AC3" w:rsidP="0090352A">
      <w:pPr>
        <w:rPr>
          <w:rFonts w:cs="Century"/>
        </w:rPr>
      </w:pPr>
      <w:r w:rsidRPr="00D94409">
        <w:t>Hospital readmission rates are often compared alongside length of stay data, to check whether the reduced length of stay is impacting on quality of care. However, there is no simple, direct link between higher readmission rates and shorter lengths of stay (HQSC 2012).</w:t>
      </w:r>
    </w:p>
    <w:p w:rsidR="00A74AC3" w:rsidRPr="00D94409" w:rsidRDefault="00A74AC3" w:rsidP="0090352A">
      <w:pPr>
        <w:rPr>
          <w:rFonts w:eastAsia="Century"/>
        </w:rPr>
      </w:pPr>
    </w:p>
    <w:p w:rsidR="00A74AC3" w:rsidRPr="00D94409" w:rsidRDefault="00A74AC3" w:rsidP="0090352A">
      <w:pPr>
        <w:rPr>
          <w:rFonts w:cs="Century"/>
        </w:rPr>
      </w:pPr>
      <w:r w:rsidRPr="00D94409">
        <w:t>A number of factors beyond the health system impact on the risk of readmission, including age, case complexity, comorbidity and the socioeconomic environment (</w:t>
      </w:r>
      <w:proofErr w:type="spellStart"/>
      <w:r w:rsidRPr="00D94409">
        <w:t>Rumball</w:t>
      </w:r>
      <w:proofErr w:type="spellEnd"/>
      <w:r w:rsidRPr="00D94409">
        <w:t xml:space="preserve">-Smith and </w:t>
      </w:r>
      <w:proofErr w:type="spellStart"/>
      <w:r w:rsidRPr="00D94409">
        <w:t>Sarfati</w:t>
      </w:r>
      <w:proofErr w:type="spellEnd"/>
      <w:r w:rsidRPr="00D94409">
        <w:t xml:space="preserve"> 2012). Work is underway to improve the measurement of hospital readmission rates in New</w:t>
      </w:r>
      <w:r w:rsidR="00853115">
        <w:t> </w:t>
      </w:r>
      <w:r w:rsidRPr="00D94409">
        <w:t>Zealand.</w:t>
      </w:r>
    </w:p>
    <w:p w:rsidR="00A74AC3" w:rsidRPr="00D94409" w:rsidRDefault="00A74AC3" w:rsidP="0090352A">
      <w:pPr>
        <w:rPr>
          <w:rFonts w:eastAsia="Century"/>
        </w:rPr>
      </w:pPr>
    </w:p>
    <w:p w:rsidR="00A74AC3" w:rsidRPr="00D94409" w:rsidRDefault="00A74AC3" w:rsidP="0090352A">
      <w:pPr>
        <w:pStyle w:val="Heading3"/>
        <w:rPr>
          <w:rFonts w:eastAsia="Arial Black" w:hAnsi="Arial Black" w:cs="Arial Black"/>
          <w:bCs/>
        </w:rPr>
      </w:pPr>
      <w:r w:rsidRPr="00D94409">
        <w:lastRenderedPageBreak/>
        <w:t>Fewer people are dying from causes preventable by health care</w:t>
      </w:r>
    </w:p>
    <w:p w:rsidR="00A74AC3" w:rsidRPr="00D94409" w:rsidRDefault="00A74AC3" w:rsidP="00853115">
      <w:pPr>
        <w:keepLines/>
        <w:rPr>
          <w:rFonts w:cs="Century"/>
        </w:rPr>
      </w:pPr>
      <w:r w:rsidRPr="00D94409">
        <w:t>This report has already highlighted the importance of prevention, early identification and effective patient management. Amenable mortality refers to deaths that might have been prevented if the condition had been prevented, if health services had been delivered more effectively or if patients had accessed services earlier.</w:t>
      </w:r>
    </w:p>
    <w:p w:rsidR="00A74AC3" w:rsidRPr="00D94409" w:rsidRDefault="00A74AC3" w:rsidP="0090352A">
      <w:pPr>
        <w:rPr>
          <w:rFonts w:eastAsia="Century"/>
        </w:rPr>
      </w:pPr>
    </w:p>
    <w:p w:rsidR="00A74AC3" w:rsidRPr="00D94409" w:rsidRDefault="00A74AC3" w:rsidP="0090352A">
      <w:pPr>
        <w:rPr>
          <w:rFonts w:cs="Century"/>
        </w:rPr>
      </w:pPr>
      <w:r w:rsidRPr="00D94409">
        <w:t>The amenable mortality rate has decreased by 28 percent over the last 10 years, meaning that fewer people are dying from causes that could have been prevented (Figure 16). The largest decline has been seen in Māori, with the amenable mortality rate falling by a third (33 percent). However, the amenable mortality rate is still 2.6 times higher in Māori, and 2.4 times higher in Pacific peoples, compared with non-Māori, non-Pacific peoples.</w:t>
      </w:r>
    </w:p>
    <w:p w:rsidR="00A74AC3" w:rsidRPr="00D94409" w:rsidRDefault="00A74AC3" w:rsidP="0090352A">
      <w:pPr>
        <w:rPr>
          <w:rFonts w:eastAsia="Century"/>
        </w:rPr>
      </w:pPr>
    </w:p>
    <w:p w:rsidR="00A74AC3" w:rsidRPr="00D94409" w:rsidRDefault="00A74AC3" w:rsidP="0090352A">
      <w:pPr>
        <w:pStyle w:val="Figure"/>
        <w:rPr>
          <w:rFonts w:eastAsia="Georgia"/>
        </w:rPr>
      </w:pPr>
      <w:bookmarkStart w:id="58" w:name="_Toc433234125"/>
      <w:r w:rsidRPr="00D94409">
        <w:rPr>
          <w:rFonts w:eastAsia="Georgia"/>
        </w:rPr>
        <w:t>Figure 16: Amenable mortality rate per 100,000 people aged 0–74 years, by ethnic group, 2000–2012</w:t>
      </w:r>
      <w:bookmarkEnd w:id="58"/>
    </w:p>
    <w:p w:rsidR="00A74AC3" w:rsidRPr="00853115" w:rsidRDefault="00853115" w:rsidP="00853115">
      <w:pPr>
        <w:rPr>
          <w:rFonts w:eastAsia="Georgia"/>
        </w:rPr>
      </w:pPr>
      <w:r>
        <w:rPr>
          <w:noProof/>
          <w:lang w:eastAsia="en-NZ"/>
        </w:rPr>
        <w:drawing>
          <wp:inline distT="0" distB="0" distL="0" distR="0" wp14:anchorId="181E9DC0" wp14:editId="4F05F19F">
            <wp:extent cx="4927131" cy="2518757"/>
            <wp:effectExtent l="0" t="0" r="6985" b="0"/>
            <wp:docPr id="2015" name="Picture 2015" title="Figure 16: Amenable mortality rate per 100,000 people aged 0–74 years, by ethnic group, 2000–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grayscl/>
                    </a:blip>
                    <a:stretch>
                      <a:fillRect/>
                    </a:stretch>
                  </pic:blipFill>
                  <pic:spPr>
                    <a:xfrm>
                      <a:off x="0" y="0"/>
                      <a:ext cx="4923666" cy="2516986"/>
                    </a:xfrm>
                    <a:prstGeom prst="rect">
                      <a:avLst/>
                    </a:prstGeom>
                  </pic:spPr>
                </pic:pic>
              </a:graphicData>
            </a:graphic>
          </wp:inline>
        </w:drawing>
      </w:r>
    </w:p>
    <w:p w:rsidR="00A74AC3" w:rsidRPr="00D94409" w:rsidRDefault="00A74AC3" w:rsidP="00853115">
      <w:pPr>
        <w:pStyle w:val="Source"/>
        <w:rPr>
          <w:rFonts w:eastAsia="Century" w:hAnsi="Century" w:cs="Century"/>
          <w:szCs w:val="17"/>
        </w:rPr>
      </w:pPr>
      <w:r w:rsidRPr="00D94409">
        <w:t>Source: National Minimum Dataset, Ministry of Health</w:t>
      </w:r>
    </w:p>
    <w:p w:rsidR="00A74AC3" w:rsidRPr="00D94409" w:rsidRDefault="00A74AC3" w:rsidP="00853115">
      <w:pPr>
        <w:rPr>
          <w:rFonts w:eastAsia="Century"/>
        </w:rPr>
      </w:pPr>
    </w:p>
    <w:p w:rsidR="00A74AC3" w:rsidRPr="00D94409" w:rsidRDefault="00A74AC3" w:rsidP="00853115">
      <w:pPr>
        <w:pStyle w:val="Heading3"/>
        <w:rPr>
          <w:rFonts w:eastAsia="Arial Black" w:hAnsi="Arial Black" w:cs="Arial Black"/>
          <w:bCs/>
        </w:rPr>
      </w:pPr>
      <w:r w:rsidRPr="00D94409">
        <w:t>More needs to be done to keep people out of hospital</w:t>
      </w:r>
    </w:p>
    <w:p w:rsidR="00A74AC3" w:rsidRPr="00D94409" w:rsidRDefault="00A74AC3" w:rsidP="00853115">
      <w:pPr>
        <w:rPr>
          <w:rFonts w:cs="Century"/>
        </w:rPr>
      </w:pPr>
      <w:r w:rsidRPr="00D94409">
        <w:t>To keep New Zealanders healthy and out of hospital, our health and disability services must support a person</w:t>
      </w:r>
      <w:r w:rsidR="00D94409" w:rsidRPr="00D94409">
        <w:t>’</w:t>
      </w:r>
      <w:r w:rsidRPr="00D94409">
        <w:t>s health needs before that person has to be treated in hospital. Services must take effective prevention measures, as well as delivering earlier, more convenient health care closer to home.</w:t>
      </w:r>
      <w:r w:rsidR="00853115">
        <w:t xml:space="preserve"> </w:t>
      </w:r>
      <w:r w:rsidRPr="00D94409">
        <w:t>This includes ensuring those discharged from hospital receive the right care and support to prevent readmission.</w:t>
      </w:r>
    </w:p>
    <w:p w:rsidR="00A74AC3" w:rsidRPr="00D94409" w:rsidRDefault="00A74AC3" w:rsidP="0090352A">
      <w:pPr>
        <w:rPr>
          <w:rFonts w:eastAsia="Century"/>
        </w:rPr>
      </w:pPr>
    </w:p>
    <w:p w:rsidR="00A74AC3" w:rsidRPr="00D94409" w:rsidRDefault="00A74AC3" w:rsidP="0090352A">
      <w:pPr>
        <w:rPr>
          <w:rFonts w:cs="Century"/>
        </w:rPr>
      </w:pPr>
      <w:r w:rsidRPr="00D94409">
        <w:t>Ambulatory sensitive hospitalisations (ASH) measure the number of people who appear in hospital with conditions that could have been prevented or treated in out-of-hospital settings such as primary care.</w:t>
      </w:r>
    </w:p>
    <w:p w:rsidR="00A74AC3" w:rsidRPr="00D94409" w:rsidRDefault="00A74AC3" w:rsidP="0090352A">
      <w:pPr>
        <w:rPr>
          <w:rFonts w:eastAsia="Century"/>
        </w:rPr>
      </w:pPr>
    </w:p>
    <w:p w:rsidR="00A74AC3" w:rsidRPr="00D94409" w:rsidRDefault="00A74AC3" w:rsidP="0090352A">
      <w:pPr>
        <w:rPr>
          <w:rFonts w:cs="Century"/>
        </w:rPr>
      </w:pPr>
      <w:r w:rsidRPr="00D94409">
        <w:t>The ASH rate did not change between 2010 and 2014, except for an 11 percent decline among Māori. However, ASH rates in Māori and Pacific peoples remain over double the rate for non-Māori/non-Pacific.</w:t>
      </w:r>
    </w:p>
    <w:p w:rsidR="00A74AC3" w:rsidRPr="00D94409" w:rsidRDefault="00A74AC3" w:rsidP="0090352A">
      <w:pPr>
        <w:rPr>
          <w:rFonts w:eastAsia="Century"/>
        </w:rPr>
      </w:pPr>
    </w:p>
    <w:p w:rsidR="00A74AC3" w:rsidRPr="00D94409" w:rsidRDefault="00A74AC3" w:rsidP="0090352A">
      <w:pPr>
        <w:rPr>
          <w:rFonts w:cs="Century"/>
        </w:rPr>
      </w:pPr>
      <w:r w:rsidRPr="00D94409">
        <w:t>The most common conditions contributing to the ASH rates are cellulitis, gastroenteritis and dental conditions. This varies by age and ethnicity as detailed in the 2014 Health and Independence Report (Ministry of Health 2014b).</w:t>
      </w:r>
    </w:p>
    <w:p w:rsidR="00A74AC3" w:rsidRPr="00D94409" w:rsidRDefault="00A74AC3" w:rsidP="0090352A">
      <w:pPr>
        <w:rPr>
          <w:rFonts w:eastAsia="Century"/>
        </w:rPr>
      </w:pPr>
    </w:p>
    <w:p w:rsidR="00A74AC3" w:rsidRPr="00D94409" w:rsidRDefault="00A74AC3" w:rsidP="0090352A">
      <w:pPr>
        <w:pStyle w:val="Heading3"/>
        <w:rPr>
          <w:rFonts w:eastAsia="Arial Black" w:hAnsi="Arial Black" w:cs="Arial Black"/>
          <w:bCs/>
        </w:rPr>
      </w:pPr>
      <w:r w:rsidRPr="00D94409">
        <w:lastRenderedPageBreak/>
        <w:t>The majority of patients are satisfied with the care they receive in hospital</w:t>
      </w:r>
    </w:p>
    <w:p w:rsidR="00A74AC3" w:rsidRPr="00D94409" w:rsidRDefault="00A74AC3" w:rsidP="0090352A">
      <w:pPr>
        <w:rPr>
          <w:rFonts w:cs="Century"/>
        </w:rPr>
      </w:pPr>
      <w:r w:rsidRPr="00D94409">
        <w:t>The adult inpatient experience survey was introduced across New Zealand last year, with early results showing high levels of patient satisfaction. The average in-patient rating was more than 8</w:t>
      </w:r>
      <w:r w:rsidR="00853115">
        <w:t> </w:t>
      </w:r>
      <w:r w:rsidRPr="00D94409">
        <w:t>out of 10 across all four domains of experience, which cover communication, partnership, coordination of care, and physical and emotional needs (HQSC 2015a).</w:t>
      </w:r>
    </w:p>
    <w:p w:rsidR="00A74AC3" w:rsidRPr="00D94409" w:rsidRDefault="00A74AC3" w:rsidP="00A74AC3">
      <w:pPr>
        <w:spacing w:before="10"/>
        <w:rPr>
          <w:rFonts w:ascii="Century" w:eastAsia="Century" w:hAnsi="Century" w:cs="Century"/>
          <w:sz w:val="18"/>
          <w:szCs w:val="18"/>
        </w:rPr>
      </w:pPr>
    </w:p>
    <w:p w:rsidR="00A74AC3" w:rsidRPr="00D94409" w:rsidRDefault="00853115" w:rsidP="0090352A">
      <w:pPr>
        <w:rPr>
          <w:rFonts w:cs="Century"/>
        </w:rPr>
      </w:pPr>
      <w:r>
        <w:rPr>
          <w:noProof/>
          <w:lang w:eastAsia="en-NZ"/>
        </w:rPr>
        <mc:AlternateContent>
          <mc:Choice Requires="wpg">
            <w:drawing>
              <wp:anchor distT="0" distB="0" distL="114300" distR="0" simplePos="0" relativeHeight="251838464" behindDoc="0" locked="0" layoutInCell="1" allowOverlap="1" wp14:anchorId="6E62D9F2" wp14:editId="615003FC">
                <wp:simplePos x="0" y="0"/>
                <wp:positionH relativeFrom="column">
                  <wp:posOffset>2765425</wp:posOffset>
                </wp:positionH>
                <wp:positionV relativeFrom="paragraph">
                  <wp:posOffset>2540</wp:posOffset>
                </wp:positionV>
                <wp:extent cx="3170555" cy="2660015"/>
                <wp:effectExtent l="0" t="0" r="10795" b="26035"/>
                <wp:wrapSquare wrapText="left"/>
                <wp:docPr id="2016" name="Group 2016"/>
                <wp:cNvGraphicFramePr/>
                <a:graphic xmlns:a="http://schemas.openxmlformats.org/drawingml/2006/main">
                  <a:graphicData uri="http://schemas.microsoft.com/office/word/2010/wordprocessingGroup">
                    <wpg:wgp>
                      <wpg:cNvGrpSpPr/>
                      <wpg:grpSpPr>
                        <a:xfrm>
                          <a:off x="0" y="0"/>
                          <a:ext cx="3170555" cy="2660015"/>
                          <a:chOff x="0" y="0"/>
                          <a:chExt cx="1952625" cy="839585"/>
                        </a:xfrm>
                      </wpg:grpSpPr>
                      <wpg:grpSp>
                        <wpg:cNvPr id="2017" name="Group 2017"/>
                        <wpg:cNvGrpSpPr/>
                        <wpg:grpSpPr>
                          <a:xfrm>
                            <a:off x="0" y="0"/>
                            <a:ext cx="1951355" cy="838200"/>
                            <a:chOff x="0" y="0"/>
                            <a:chExt cx="1951355" cy="838200"/>
                          </a:xfrm>
                        </wpg:grpSpPr>
                        <wps:wsp>
                          <wps:cNvPr id="2018" name="Rectangle 2018"/>
                          <wps:cNvSpPr/>
                          <wps:spPr>
                            <a:xfrm>
                              <a:off x="0" y="0"/>
                              <a:ext cx="1951355" cy="838200"/>
                            </a:xfrm>
                            <a:prstGeom prst="rect">
                              <a:avLst/>
                            </a:prstGeom>
                            <a:solidFill>
                              <a:schemeClr val="bg1">
                                <a:lumMod val="8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3115" w:rsidRDefault="00853115" w:rsidP="00853115">
                                <w:pPr>
                                  <w:spacing w:before="120" w:after="120"/>
                                  <w:jc w:val="center"/>
                                  <w:rPr>
                                    <w:b/>
                                    <w:color w:val="000000"/>
                                    <w:szCs w:val="22"/>
                                  </w:rPr>
                                </w:pPr>
                                <w:r>
                                  <w:rPr>
                                    <w:b/>
                                    <w:color w:val="000000"/>
                                    <w:szCs w:val="22"/>
                                  </w:rPr>
                                  <w:t>To find out more on:</w:t>
                                </w:r>
                              </w:p>
                              <w:p w:rsidR="00853115" w:rsidRPr="00884FEB" w:rsidRDefault="00853115" w:rsidP="00853115">
                                <w:pPr>
                                  <w:pStyle w:val="ListParagraph"/>
                                  <w:numPr>
                                    <w:ilvl w:val="0"/>
                                    <w:numId w:val="28"/>
                                  </w:numPr>
                                  <w:spacing w:before="120" w:after="120"/>
                                  <w:ind w:left="284" w:hanging="284"/>
                                  <w:contextualSpacing w:val="0"/>
                                  <w:rPr>
                                    <w:rFonts w:ascii="Georgia" w:hAnsi="Georgia"/>
                                    <w:color w:val="000000"/>
                                    <w:sz w:val="22"/>
                                  </w:rPr>
                                </w:pPr>
                                <w:r>
                                  <w:rPr>
                                    <w:rFonts w:ascii="Georgia" w:hAnsi="Georgia"/>
                                    <w:color w:val="000000"/>
                                    <w:sz w:val="22"/>
                                  </w:rPr>
                                  <w:t>international measures of health care quality, visit: www.oecd.org/els/health-systems/health-data.htm</w:t>
                                </w:r>
                              </w:p>
                              <w:p w:rsidR="00853115" w:rsidRDefault="00853115" w:rsidP="00853115">
                                <w:pPr>
                                  <w:pStyle w:val="ListParagraph"/>
                                  <w:numPr>
                                    <w:ilvl w:val="0"/>
                                    <w:numId w:val="28"/>
                                  </w:numPr>
                                  <w:spacing w:before="240" w:after="120"/>
                                  <w:ind w:left="284" w:hanging="284"/>
                                  <w:contextualSpacing w:val="0"/>
                                  <w:rPr>
                                    <w:rFonts w:ascii="Georgia" w:hAnsi="Georgia"/>
                                    <w:color w:val="000000"/>
                                    <w:sz w:val="22"/>
                                  </w:rPr>
                                </w:pPr>
                                <w:r>
                                  <w:rPr>
                                    <w:rFonts w:ascii="Georgia" w:hAnsi="Georgia"/>
                                    <w:color w:val="000000"/>
                                    <w:sz w:val="22"/>
                                  </w:rPr>
                                  <w:t>patient experience, visit: www.hqsc.govt.nz/our-programmes/health-quality-evaluation</w:t>
                                </w:r>
                              </w:p>
                              <w:p w:rsidR="00853115" w:rsidRPr="00884FEB" w:rsidRDefault="00853115" w:rsidP="00853115">
                                <w:pPr>
                                  <w:pStyle w:val="ListParagraph"/>
                                  <w:numPr>
                                    <w:ilvl w:val="0"/>
                                    <w:numId w:val="28"/>
                                  </w:numPr>
                                  <w:spacing w:before="240" w:after="120"/>
                                  <w:ind w:left="284" w:hanging="284"/>
                                  <w:contextualSpacing w:val="0"/>
                                  <w:rPr>
                                    <w:rFonts w:ascii="Georgia" w:hAnsi="Georgia"/>
                                    <w:color w:val="000000"/>
                                    <w:sz w:val="22"/>
                                  </w:rPr>
                                </w:pPr>
                                <w:r>
                                  <w:rPr>
                                    <w:rFonts w:ascii="Georgia" w:hAnsi="Georgia"/>
                                    <w:color w:val="000000"/>
                                    <w:sz w:val="22"/>
                                  </w:rPr>
                                  <w:t>the maternity consumer survey 2014, visit: www.health.govt.nz/publication/maternity-consumer-survey-2014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9" name="Straight Connector 2019"/>
                          <wps:cNvCnPr/>
                          <wps:spPr>
                            <a:xfrm>
                              <a:off x="0" y="10063"/>
                              <a:ext cx="195135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020" name="Straight Connector 2020"/>
                        <wps:cNvCnPr/>
                        <wps:spPr>
                          <a:xfrm>
                            <a:off x="0" y="839585"/>
                            <a:ext cx="19526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016" o:spid="_x0000_s1099" style="position:absolute;margin-left:217.75pt;margin-top:.2pt;width:249.65pt;height:209.45pt;z-index:251838464;mso-wrap-distance-right:0;mso-width-relative:margin;mso-height-relative:margin" coordsize="19526,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">
                <v:group id="Group 2017" o:spid="_x0000_s1100" style="position:absolute;width:19513;height:8382" coordsize="19513,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Aa28UAAADdAAAADwAAAGRycy9kb3ducmV2LnhtbESPQYvCMBSE78L+h/AW&#10;vGlaF12pRhHZFQ8iqAvi7dE822LzUppsW/+9EQSPw8x8w8yXnSlFQ7UrLCuIhxEI4tTqgjMFf6ff&#10;wRSE88gaS8uk4E4OlouP3hwTbVs+UHP0mQgQdgkqyL2vEildmpNBN7QVcfCutjbog6wzqWtsA9yU&#10;chRFE2mw4LCQY0XrnNLb8d8o2LTYrr7in2Z3u67vl9N4f97FpFT/s1vNQHjq/Dv8am+1glEUf8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AGtvFAAAA3QAA&#10;AA8AAAAAAAAAAAAAAAAAqgIAAGRycy9kb3ducmV2LnhtbFBLBQYAAAAABAAEAPoAAACcAwAAAAA=&#10;">
                  <v:rect id="Rectangle 2018" o:spid="_x0000_s1101" style="position:absolute;width:19513;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JP5cAA&#10;AADdAAAADwAAAGRycy9kb3ducmV2LnhtbERPzYrCMBC+C/sOYRa82VQPS+kaRRYWKnhZ7QMMydgW&#10;m0lJsm316c1B8Pjx/W/3s+3FSD50jhWssxwEsXam40ZBffldFSBCRDbYOyYFdwqw330stlgaN/Ef&#10;jefYiBTCoUQFbYxDKWXQLVkMmRuIE3d13mJM0DfSeJxSuO3lJs+/pMWOU0OLA/20pG/nf6vgUN+v&#10;xdgdbxXranro+tRoXyi1/JwP3yAizfEtfrkro2CTr9Pc9CY9Ab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7JP5cAAAADdAAAADwAAAAAAAAAAAAAAAACYAgAAZHJzL2Rvd25y&#10;ZXYueG1sUEsFBgAAAAAEAAQA9QAAAIUDAAAAAA==&#10;" fillcolor="#d8d8d8 [2732]" stroked="f" strokeweight=".5pt">
                    <v:textbox>
                      <w:txbxContent>
                        <w:p w:rsidR="00853115" w:rsidRDefault="00853115" w:rsidP="00853115">
                          <w:pPr>
                            <w:spacing w:before="120" w:after="120"/>
                            <w:jc w:val="center"/>
                            <w:rPr>
                              <w:b/>
                              <w:color w:val="000000"/>
                              <w:szCs w:val="22"/>
                            </w:rPr>
                          </w:pPr>
                          <w:r>
                            <w:rPr>
                              <w:b/>
                              <w:color w:val="000000"/>
                              <w:szCs w:val="22"/>
                            </w:rPr>
                            <w:t>T</w:t>
                          </w:r>
                          <w:r>
                            <w:rPr>
                              <w:b/>
                              <w:color w:val="000000"/>
                              <w:szCs w:val="22"/>
                            </w:rPr>
                            <w:t>o find out more on:</w:t>
                          </w:r>
                        </w:p>
                        <w:p w:rsidR="00853115" w:rsidRPr="00884FEB" w:rsidRDefault="00853115" w:rsidP="00853115">
                          <w:pPr>
                            <w:pStyle w:val="ListParagraph"/>
                            <w:numPr>
                              <w:ilvl w:val="0"/>
                              <w:numId w:val="28"/>
                            </w:numPr>
                            <w:spacing w:before="120" w:after="120"/>
                            <w:ind w:left="284" w:hanging="284"/>
                            <w:contextualSpacing w:val="0"/>
                            <w:rPr>
                              <w:rFonts w:ascii="Georgia" w:hAnsi="Georgia"/>
                              <w:color w:val="000000"/>
                              <w:sz w:val="22"/>
                            </w:rPr>
                          </w:pPr>
                          <w:r>
                            <w:rPr>
                              <w:rFonts w:ascii="Georgia" w:hAnsi="Georgia"/>
                              <w:color w:val="000000"/>
                              <w:sz w:val="22"/>
                            </w:rPr>
                            <w:t>international measures of health care quality, visit: www.oecd.org/els/health-systems/health-data.htm</w:t>
                          </w:r>
                        </w:p>
                        <w:p w:rsidR="00853115" w:rsidRDefault="00853115" w:rsidP="00853115">
                          <w:pPr>
                            <w:pStyle w:val="ListParagraph"/>
                            <w:numPr>
                              <w:ilvl w:val="0"/>
                              <w:numId w:val="28"/>
                            </w:numPr>
                            <w:spacing w:before="240" w:after="120"/>
                            <w:ind w:left="284" w:hanging="284"/>
                            <w:contextualSpacing w:val="0"/>
                            <w:rPr>
                              <w:rFonts w:ascii="Georgia" w:hAnsi="Georgia"/>
                              <w:color w:val="000000"/>
                              <w:sz w:val="22"/>
                            </w:rPr>
                          </w:pPr>
                          <w:r>
                            <w:rPr>
                              <w:rFonts w:ascii="Georgia" w:hAnsi="Georgia"/>
                              <w:color w:val="000000"/>
                              <w:sz w:val="22"/>
                            </w:rPr>
                            <w:t>patient experience, visit: www.hqsc.govt.nz/our-programmes/health-quality-evaluation</w:t>
                          </w:r>
                        </w:p>
                        <w:p w:rsidR="00853115" w:rsidRPr="00884FEB" w:rsidRDefault="00853115" w:rsidP="00853115">
                          <w:pPr>
                            <w:pStyle w:val="ListParagraph"/>
                            <w:numPr>
                              <w:ilvl w:val="0"/>
                              <w:numId w:val="28"/>
                            </w:numPr>
                            <w:spacing w:before="240" w:after="120"/>
                            <w:ind w:left="284" w:hanging="284"/>
                            <w:contextualSpacing w:val="0"/>
                            <w:rPr>
                              <w:rFonts w:ascii="Georgia" w:hAnsi="Georgia"/>
                              <w:color w:val="000000"/>
                              <w:sz w:val="22"/>
                            </w:rPr>
                          </w:pPr>
                          <w:r>
                            <w:rPr>
                              <w:rFonts w:ascii="Georgia" w:hAnsi="Georgia"/>
                              <w:color w:val="000000"/>
                              <w:sz w:val="22"/>
                            </w:rPr>
                            <w:t>the maternity consumer survey 2014, visit: www.health.govt.nz/publication/maternity-consumer-survey-2014</w:t>
                          </w:r>
                        </w:p>
                      </w:txbxContent>
                    </v:textbox>
                  </v:rect>
                  <v:line id="Straight Connector 2019" o:spid="_x0000_s1102" style="position:absolute;visibility:visible;mso-wrap-style:square" from="0,100" to="19513,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x+i8QAAADdAAAADwAAAGRycy9kb3ducmV2LnhtbESP3YrCMBSE7wXfIRzBO030QtauUUTY&#10;RWTxp+sDHJpjW2xOShK1+/ZmQfBymJlvmMWqs424kw+1Yw2TsQJBXDhTc6nh/Ps1+gARIrLBxjFp&#10;+KMAq2W/t8DMuAef6J7HUiQIhww1VDG2mZShqMhiGLuWOHkX5y3GJH0pjcdHgttGTpWaSYs1p4UK&#10;W9pUVFzzm9Xg9/7bH26zw66U24s5H3PV/my0Hg669SeISF18h1/trdEwVZM5/L9JT0A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XH6LxAAAAN0AAAAPAAAAAAAAAAAA&#10;AAAAAKECAABkcnMvZG93bnJldi54bWxQSwUGAAAAAAQABAD5AAAAkgMAAAAA&#10;" strokecolor="black [3213]" strokeweight="4.5pt"/>
                </v:group>
                <v:line id="Straight Connector 2020" o:spid="_x0000_s1103" style="position:absolute;visibility:visible;mso-wrap-style:square" from="0,8395" to="19526,8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hxTcAAAADdAAAADwAAAGRycy9kb3ducmV2LnhtbERPPW/CMBDdK/EfrENiKw4ZUBUwCJCA&#10;roQysJ3iI46Iz5HtkPTf46FSx6f3vd6OthUv8qFxrGAxz0AQV043XCv4uR4/v0CEiKyxdUwKfinA&#10;djP5WGOh3cAXepWxFimEQ4EKTIxdIWWoDFkMc9cRJ+7hvMWYoK+l9jikcNvKPMuW0mLDqcFgRwdD&#10;1bPsrYJ7v4/+fJW7oRwPJ5Mf26p3N6Vm03G3AhFpjP/iP/e3VpBnedqf3qQnID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6ocU3AAAAA3QAAAA8AAAAAAAAAAAAAAAAA&#10;oQIAAGRycy9kb3ducmV2LnhtbFBLBQYAAAAABAAEAPkAAACOAwAAAAA=&#10;" strokecolor="black [3213]" strokeweight="1.5pt"/>
                <w10:wrap type="square" side="left"/>
              </v:group>
            </w:pict>
          </mc:Fallback>
        </mc:AlternateContent>
      </w:r>
      <w:r w:rsidR="00A74AC3" w:rsidRPr="00D94409">
        <w:t>The 2014 Maternity Consumer Survey reports high levels of satisfaction with the care received during pregnancy and birth and in the postnatal period. Over three-quarters (77 percent) of women were very satisfied or satisfied with the overall care received, and 80 percent were very satisfied or satisfied with the care received from their Lead Maternity Carer (Research New Zealand 2015).</w:t>
      </w:r>
    </w:p>
    <w:p w:rsidR="00A74AC3" w:rsidRPr="00D94409" w:rsidRDefault="00A74AC3" w:rsidP="0090352A">
      <w:pPr>
        <w:rPr>
          <w:rFonts w:eastAsia="Century"/>
        </w:rPr>
      </w:pPr>
    </w:p>
    <w:p w:rsidR="00A74AC3" w:rsidRPr="00D94409" w:rsidRDefault="00A74AC3" w:rsidP="0090352A">
      <w:r w:rsidRPr="00D94409">
        <w:t>The Ministry of Health and the Health Quality and Safety Commission (HQSC) are developing a patient experience survey to be used in primary care. The survey is being piloted and, once rolled out, will provide detailed information on patients</w:t>
      </w:r>
      <w:r w:rsidR="00D94409" w:rsidRPr="00D94409">
        <w:t>’</w:t>
      </w:r>
      <w:r w:rsidRPr="00D94409">
        <w:t xml:space="preserve"> experience of care.</w:t>
      </w:r>
    </w:p>
    <w:p w:rsidR="00A74AC3" w:rsidRPr="00D94409" w:rsidRDefault="00A74AC3" w:rsidP="0090352A">
      <w:pPr>
        <w:rPr>
          <w:rFonts w:eastAsia="Century"/>
        </w:rPr>
      </w:pPr>
    </w:p>
    <w:p w:rsidR="00A74AC3" w:rsidRPr="00D94409" w:rsidRDefault="00A74AC3" w:rsidP="0090352A">
      <w:pPr>
        <w:rPr>
          <w:rFonts w:cs="Century"/>
        </w:rPr>
      </w:pPr>
      <w:r w:rsidRPr="00D94409">
        <w:t>Information from the 2013/14 New Zealand Health</w:t>
      </w:r>
    </w:p>
    <w:p w:rsidR="00A74AC3" w:rsidRPr="00D94409" w:rsidRDefault="00A74AC3" w:rsidP="0090352A">
      <w:pPr>
        <w:rPr>
          <w:rFonts w:cs="Century"/>
        </w:rPr>
      </w:pPr>
      <w:r w:rsidRPr="00D94409">
        <w:t>Survey indicates that the majority of adults (80 percent) and parents of children (78 percent) who had visited their general practitioner (GP) in the previous three months reported high levels of confidence and trust in their GP (Ministry of Health 2014c). However, among parents, reported confidence and trust in their GP has fallen from 82 percent in 2012/13.</w:t>
      </w:r>
    </w:p>
    <w:p w:rsidR="00A74AC3" w:rsidRPr="00D94409" w:rsidRDefault="00A74AC3" w:rsidP="0090352A">
      <w:pPr>
        <w:rPr>
          <w:rFonts w:eastAsia="Century"/>
        </w:rPr>
      </w:pPr>
    </w:p>
    <w:p w:rsidR="00A74AC3" w:rsidRPr="00D94409" w:rsidRDefault="00A74AC3" w:rsidP="0090352A">
      <w:pPr>
        <w:pStyle w:val="Heading3"/>
        <w:rPr>
          <w:rFonts w:eastAsia="Arial Black" w:hAnsi="Arial Black" w:cs="Arial Black"/>
          <w:bCs/>
        </w:rPr>
      </w:pPr>
      <w:r w:rsidRPr="00D94409">
        <w:t>A focus on quality and safety is leading to improvements in infection control</w:t>
      </w:r>
    </w:p>
    <w:p w:rsidR="00A74AC3" w:rsidRPr="00D94409" w:rsidRDefault="00A74AC3" w:rsidP="0090352A">
      <w:r w:rsidRPr="00D94409">
        <w:t xml:space="preserve">HQSC has focused on a number of quality and safety markers through the </w:t>
      </w:r>
      <w:r w:rsidR="00D94409" w:rsidRPr="00D94409">
        <w:t>‘</w:t>
      </w:r>
      <w:r w:rsidRPr="00D94409">
        <w:t>Open for better care</w:t>
      </w:r>
      <w:r w:rsidR="00D94409" w:rsidRPr="00D94409">
        <w:t>’</w:t>
      </w:r>
      <w:r w:rsidRPr="00D94409">
        <w:t xml:space="preserve"> patient safety campaign. These markers concentrate on four areas of harm: falls, health care associated infections, </w:t>
      </w:r>
      <w:proofErr w:type="gramStart"/>
      <w:r w:rsidRPr="00D94409">
        <w:t>perioperative</w:t>
      </w:r>
      <w:proofErr w:type="gramEnd"/>
      <w:r w:rsidRPr="00D94409">
        <w:t xml:space="preserve"> harm and medication safety.</w:t>
      </w:r>
    </w:p>
    <w:p w:rsidR="00A74AC3" w:rsidRPr="00D94409" w:rsidRDefault="00A74AC3" w:rsidP="0090352A">
      <w:pPr>
        <w:rPr>
          <w:rFonts w:eastAsia="Century"/>
        </w:rPr>
      </w:pPr>
    </w:p>
    <w:p w:rsidR="00A74AC3" w:rsidRPr="00D94409" w:rsidRDefault="00A74AC3" w:rsidP="0090352A">
      <w:r w:rsidRPr="00D94409">
        <w:t xml:space="preserve">The percentage of older people who are assessed for risk of falling has risen: 90 percent were assessed by the end of March 2015, compared with 76 percent at the same time in 2013 (HQSC 2015b). Those who are identified as </w:t>
      </w:r>
      <w:r w:rsidR="00D94409" w:rsidRPr="00D94409">
        <w:t>‘</w:t>
      </w:r>
      <w:r w:rsidRPr="00D94409">
        <w:t>at risk of falling</w:t>
      </w:r>
      <w:r w:rsidR="00D94409" w:rsidRPr="00D94409">
        <w:t>’</w:t>
      </w:r>
      <w:r w:rsidRPr="00D94409">
        <w:t xml:space="preserve"> are also more likely to receive an individualised care plan to address those risks (91 percent at the end of March 2015).</w:t>
      </w:r>
    </w:p>
    <w:p w:rsidR="00A74AC3" w:rsidRPr="00D94409" w:rsidRDefault="00A74AC3" w:rsidP="0090352A">
      <w:pPr>
        <w:rPr>
          <w:rFonts w:eastAsia="Century"/>
        </w:rPr>
      </w:pPr>
    </w:p>
    <w:p w:rsidR="00A74AC3" w:rsidRPr="00D94409" w:rsidRDefault="00A74AC3" w:rsidP="0090352A">
      <w:pPr>
        <w:rPr>
          <w:rFonts w:cs="Century"/>
        </w:rPr>
      </w:pPr>
      <w:r w:rsidRPr="00D94409">
        <w:t>The recorded use of the World Health Organization (WHO) surgical safety checklist reached 93</w:t>
      </w:r>
      <w:r w:rsidR="0093666C">
        <w:t> </w:t>
      </w:r>
      <w:r w:rsidRPr="00D94409">
        <w:t>percent by the end of March 2015, compared with 71 percent at the same time in 2013. A</w:t>
      </w:r>
      <w:r w:rsidR="0093666C">
        <w:t> </w:t>
      </w:r>
      <w:r w:rsidRPr="00D94409">
        <w:t>number of process measures aimed at reducing surgical site infections have also shown improvements.</w:t>
      </w:r>
    </w:p>
    <w:p w:rsidR="00A74AC3" w:rsidRPr="00D94409" w:rsidRDefault="00A74AC3" w:rsidP="0090352A">
      <w:pPr>
        <w:rPr>
          <w:rFonts w:eastAsia="Century"/>
        </w:rPr>
      </w:pPr>
    </w:p>
    <w:p w:rsidR="00A74AC3" w:rsidRPr="00D94409" w:rsidRDefault="00A74AC3" w:rsidP="0090352A">
      <w:pPr>
        <w:rPr>
          <w:rFonts w:cs="Century"/>
        </w:rPr>
      </w:pPr>
      <w:r w:rsidRPr="00D94409">
        <w:lastRenderedPageBreak/>
        <w:t>National compliance with the five moments for hand hygiene</w:t>
      </w:r>
      <w:r w:rsidR="0093666C">
        <w:rPr>
          <w:rStyle w:val="FootnoteReference"/>
        </w:rPr>
        <w:footnoteReference w:id="37"/>
      </w:r>
      <w:r w:rsidRPr="00D94409">
        <w:t xml:space="preserve"> continues to improve, reaching 77</w:t>
      </w:r>
      <w:r w:rsidR="0090352A">
        <w:t> </w:t>
      </w:r>
      <w:r w:rsidRPr="00D94409">
        <w:t>percent by March 2015.</w:t>
      </w:r>
    </w:p>
    <w:p w:rsidR="00A74AC3" w:rsidRPr="00D94409" w:rsidRDefault="00A74AC3" w:rsidP="0090352A">
      <w:pPr>
        <w:rPr>
          <w:rFonts w:eastAsia="Century"/>
        </w:rPr>
      </w:pPr>
    </w:p>
    <w:p w:rsidR="00A74AC3" w:rsidRDefault="00A74AC3" w:rsidP="0090352A">
      <w:r w:rsidRPr="00D94409">
        <w:t>Central line associated bacteraemia (CLAB) are blood stream infections caused by central line catheters, which are inserted into the blood vessels near the heart. CLAB can lead to longer hospital stays and associated costs. Since targeted work began, CLAB in intensive care units has fallen dramatically and is now very rare.</w:t>
      </w:r>
    </w:p>
    <w:p w:rsidR="0093666C" w:rsidRPr="00D94409" w:rsidRDefault="0093666C" w:rsidP="0093666C"/>
    <w:p w:rsidR="0090352A" w:rsidRDefault="0090352A" w:rsidP="0090352A">
      <w:bookmarkStart w:id="59" w:name="Summary"/>
      <w:bookmarkEnd w:id="59"/>
      <w:r>
        <w:br w:type="page"/>
      </w:r>
    </w:p>
    <w:p w:rsidR="00A74AC3" w:rsidRPr="00D94409" w:rsidRDefault="00A74AC3" w:rsidP="0090352A">
      <w:pPr>
        <w:pStyle w:val="Heading1"/>
        <w:rPr>
          <w:rFonts w:eastAsia="Palatino Linotype" w:hAnsi="Palatino Linotype" w:cs="Palatino Linotype"/>
          <w:bCs/>
        </w:rPr>
      </w:pPr>
      <w:bookmarkStart w:id="60" w:name="_Toc433234101"/>
      <w:r w:rsidRPr="00D94409">
        <w:lastRenderedPageBreak/>
        <w:t>Summary</w:t>
      </w:r>
      <w:bookmarkEnd w:id="60"/>
    </w:p>
    <w:p w:rsidR="00A74AC3" w:rsidRPr="00D94409" w:rsidRDefault="00A74AC3" w:rsidP="0090352A">
      <w:pPr>
        <w:rPr>
          <w:rFonts w:cs="Century"/>
        </w:rPr>
      </w:pPr>
      <w:r w:rsidRPr="00D94409">
        <w:t>Many factors contribute to population health and wellbeing. Individual factors, as well as the social, economic and physical environment we live, learn</w:t>
      </w:r>
      <w:proofErr w:type="gramStart"/>
      <w:r w:rsidRPr="00D94409">
        <w:t>,</w:t>
      </w:r>
      <w:proofErr w:type="gramEnd"/>
      <w:r w:rsidRPr="00D94409">
        <w:t xml:space="preserve"> work and play in, all play a part.</w:t>
      </w:r>
    </w:p>
    <w:p w:rsidR="00A74AC3" w:rsidRPr="00D94409" w:rsidRDefault="00A74AC3" w:rsidP="0090352A">
      <w:pPr>
        <w:rPr>
          <w:rFonts w:eastAsia="Century"/>
        </w:rPr>
      </w:pPr>
    </w:p>
    <w:p w:rsidR="00A74AC3" w:rsidRPr="00D94409" w:rsidRDefault="00A74AC3" w:rsidP="0090352A">
      <w:pPr>
        <w:rPr>
          <w:rFonts w:cs="Century"/>
        </w:rPr>
      </w:pPr>
      <w:r w:rsidRPr="00D94409">
        <w:t>Good health starts early in life. Our early years impact not only on how long we live, but also on</w:t>
      </w:r>
      <w:r w:rsidR="00D94409" w:rsidRPr="00D94409">
        <w:t xml:space="preserve"> </w:t>
      </w:r>
      <w:r w:rsidRPr="00D94409">
        <w:t>how many years we live in good health. Improving health behaviours and minimising risk factors in children and young people will help reduce the burden of long-term conditions in the future.</w:t>
      </w:r>
    </w:p>
    <w:p w:rsidR="00A74AC3" w:rsidRPr="00D94409" w:rsidRDefault="00A74AC3" w:rsidP="0090352A">
      <w:pPr>
        <w:rPr>
          <w:rFonts w:eastAsia="Century"/>
        </w:rPr>
      </w:pPr>
    </w:p>
    <w:p w:rsidR="00A74AC3" w:rsidRPr="00D94409" w:rsidRDefault="00A74AC3" w:rsidP="0090352A">
      <w:r w:rsidRPr="00D94409">
        <w:t>Early engagement with the health system can help ensure New Zealanders have access to the right support at the right time. Improving people</w:t>
      </w:r>
      <w:r w:rsidR="00D94409" w:rsidRPr="00D94409">
        <w:t>’</w:t>
      </w:r>
      <w:r w:rsidRPr="00D94409">
        <w:t>s ability to navigate the health system, to become more engaged in and make informed decisions about their own health, will foster that development.</w:t>
      </w:r>
    </w:p>
    <w:p w:rsidR="00A74AC3" w:rsidRPr="00D94409" w:rsidRDefault="00A74AC3" w:rsidP="0090352A">
      <w:pPr>
        <w:rPr>
          <w:rFonts w:eastAsia="Century"/>
        </w:rPr>
      </w:pPr>
    </w:p>
    <w:p w:rsidR="00A74AC3" w:rsidRPr="00D94409" w:rsidRDefault="00A74AC3" w:rsidP="0090352A">
      <w:pPr>
        <w:rPr>
          <w:rFonts w:cs="Century"/>
        </w:rPr>
      </w:pPr>
      <w:r w:rsidRPr="00D94409">
        <w:t>Currently too few New Zealanders are following healthy lifestyles. Improving our diets and levels of exercise and reducing a range of risky behaviours are vital. Moving a greater proportion of New Zealanders toward less risky lifestyles will reduce health loss and improve the general health of the population.</w:t>
      </w:r>
    </w:p>
    <w:p w:rsidR="00A74AC3" w:rsidRPr="00D94409" w:rsidRDefault="00A74AC3" w:rsidP="0090352A">
      <w:pPr>
        <w:rPr>
          <w:rFonts w:eastAsia="Century"/>
        </w:rPr>
      </w:pPr>
    </w:p>
    <w:p w:rsidR="00A74AC3" w:rsidRPr="00D94409" w:rsidRDefault="00A74AC3" w:rsidP="0090352A">
      <w:pPr>
        <w:rPr>
          <w:rFonts w:cs="Century"/>
        </w:rPr>
      </w:pPr>
      <w:r w:rsidRPr="00D94409">
        <w:t>Mental wellbeing must also be seen as a fundamental aspect of a healthy lifestyle. Developing</w:t>
      </w:r>
      <w:r w:rsidR="00D94409" w:rsidRPr="00D94409">
        <w:t xml:space="preserve"> </w:t>
      </w:r>
      <w:r w:rsidRPr="00D94409">
        <w:t>good mental health and resilience among children as well as throughout life is essential if we are to minimise the individual and social impact of poor mental health.</w:t>
      </w:r>
    </w:p>
    <w:p w:rsidR="00A74AC3" w:rsidRPr="00D94409" w:rsidRDefault="00A74AC3" w:rsidP="0090352A">
      <w:pPr>
        <w:rPr>
          <w:rFonts w:eastAsia="Century"/>
        </w:rPr>
      </w:pPr>
    </w:p>
    <w:p w:rsidR="00A74AC3" w:rsidRPr="00D94409" w:rsidRDefault="00A74AC3" w:rsidP="0090352A">
      <w:pPr>
        <w:rPr>
          <w:rFonts w:cs="Century"/>
        </w:rPr>
      </w:pPr>
      <w:r w:rsidRPr="00D94409">
        <w:t>Early diagnosis, timely treatment and effective management are important for both mental and physical health. The health and disability system must ensure all New Zealanders have good access to effective screening and primary health care services.</w:t>
      </w:r>
    </w:p>
    <w:p w:rsidR="00A74AC3" w:rsidRPr="00D94409" w:rsidRDefault="00A74AC3" w:rsidP="0090352A">
      <w:pPr>
        <w:rPr>
          <w:rFonts w:eastAsia="Century"/>
        </w:rPr>
      </w:pPr>
    </w:p>
    <w:p w:rsidR="00A74AC3" w:rsidRPr="00D94409" w:rsidRDefault="00A74AC3" w:rsidP="0090352A">
      <w:pPr>
        <w:rPr>
          <w:rFonts w:cs="Century"/>
        </w:rPr>
      </w:pPr>
      <w:r w:rsidRPr="00D94409">
        <w:t>As well as putting a greater focus on prevention, the health and disability system faces a number of challenges going forward. Given the increasingly diverse and ageing population, complex issues like child vulnerability and obesity, and the need to ensure the sustainability of the health and disability system, the health and disability system must think about new ways of working.</w:t>
      </w:r>
    </w:p>
    <w:p w:rsidR="00A74AC3" w:rsidRPr="00D94409" w:rsidRDefault="00A74AC3" w:rsidP="0090352A">
      <w:pPr>
        <w:rPr>
          <w:rFonts w:eastAsia="Century"/>
        </w:rPr>
      </w:pPr>
    </w:p>
    <w:p w:rsidR="00A74AC3" w:rsidRPr="00D94409" w:rsidRDefault="00A74AC3" w:rsidP="0090352A">
      <w:r w:rsidRPr="00D94409">
        <w:t>The update of the New Zealand Health Strategy will set a vision for the health and disability sector for the next 10 years. The strategy will help focus the system</w:t>
      </w:r>
      <w:r w:rsidR="00D94409" w:rsidRPr="00D94409">
        <w:t>’</w:t>
      </w:r>
      <w:r w:rsidRPr="00D94409">
        <w:t>s efforts as well as identifying areas where change is needed. Enablers of progress include better use of technology and sharing of information, developing trust and leadership excellence, identifying new ways of working together and enhancing cross-sector collaborations. These enablers underline a drive for innovation that will inform decision- making about the best ways to tackle New Zealand</w:t>
      </w:r>
      <w:r w:rsidR="00D94409" w:rsidRPr="00D94409">
        <w:t>’</w:t>
      </w:r>
      <w:r w:rsidRPr="00D94409">
        <w:t>s enduring population health challenges.</w:t>
      </w:r>
    </w:p>
    <w:p w:rsidR="00A74AC3" w:rsidRPr="00D94409" w:rsidRDefault="00A74AC3" w:rsidP="0090352A">
      <w:pPr>
        <w:rPr>
          <w:rFonts w:eastAsia="Century"/>
        </w:rPr>
      </w:pPr>
    </w:p>
    <w:p w:rsidR="0090352A" w:rsidRDefault="0090352A" w:rsidP="0090352A">
      <w:bookmarkStart w:id="61" w:name="Technical_notes"/>
      <w:bookmarkEnd w:id="61"/>
      <w:r>
        <w:br w:type="page"/>
      </w:r>
    </w:p>
    <w:p w:rsidR="00A74AC3" w:rsidRPr="00D94409" w:rsidRDefault="00A74AC3" w:rsidP="0090352A">
      <w:pPr>
        <w:pStyle w:val="Heading1"/>
        <w:rPr>
          <w:rFonts w:eastAsia="Palatino Linotype" w:hAnsi="Palatino Linotype" w:cs="Palatino Linotype"/>
          <w:szCs w:val="70"/>
        </w:rPr>
      </w:pPr>
      <w:bookmarkStart w:id="62" w:name="_Toc433234102"/>
      <w:r w:rsidRPr="00D94409">
        <w:lastRenderedPageBreak/>
        <w:t>Technical notes</w:t>
      </w:r>
      <w:bookmarkEnd w:id="62"/>
    </w:p>
    <w:p w:rsidR="00A74AC3" w:rsidRPr="00D94409" w:rsidRDefault="00A74AC3" w:rsidP="0090352A">
      <w:pPr>
        <w:rPr>
          <w:rFonts w:cs="Century"/>
        </w:rPr>
      </w:pPr>
      <w:r w:rsidRPr="00D94409">
        <w:t>This report includes data from a wide range of sources, many of which are produced outside of the Ministry of Health. We have tried to ensure we only report on data where the data collection and analytical processes are robust. Footnotes are included where methodological information impacts on the interpretation of the data. We encourage you to refer to the original data source for further methodological information.</w:t>
      </w:r>
    </w:p>
    <w:p w:rsidR="00A74AC3" w:rsidRPr="00D94409" w:rsidRDefault="00A74AC3" w:rsidP="0090352A">
      <w:pPr>
        <w:rPr>
          <w:rFonts w:eastAsia="Century"/>
        </w:rPr>
      </w:pPr>
    </w:p>
    <w:p w:rsidR="00A74AC3" w:rsidRPr="00D94409" w:rsidRDefault="00A74AC3" w:rsidP="0090352A">
      <w:pPr>
        <w:rPr>
          <w:rFonts w:cs="Century"/>
        </w:rPr>
      </w:pPr>
      <w:r w:rsidRPr="00D94409">
        <w:t>All data reported are the latest available, although the time lag between the most recent data and the present can be substantial. For example, the most recent complete mortality data are for 2012.</w:t>
      </w:r>
    </w:p>
    <w:p w:rsidR="00A74AC3" w:rsidRPr="00D94409" w:rsidRDefault="00A74AC3" w:rsidP="0090352A">
      <w:pPr>
        <w:rPr>
          <w:rFonts w:eastAsia="Century"/>
        </w:rPr>
      </w:pPr>
    </w:p>
    <w:p w:rsidR="00A74AC3" w:rsidRPr="00D94409" w:rsidRDefault="00A74AC3" w:rsidP="0090352A">
      <w:pPr>
        <w:rPr>
          <w:rFonts w:cs="Century"/>
        </w:rPr>
      </w:pPr>
      <w:r w:rsidRPr="00D94409">
        <w:t>Where possible, we have reported on statistically significant time trends and differences between population groups, for example, by sex, age group and ethnic group.</w:t>
      </w:r>
    </w:p>
    <w:p w:rsidR="00A74AC3" w:rsidRPr="00D94409" w:rsidRDefault="00A74AC3" w:rsidP="0090352A">
      <w:pPr>
        <w:rPr>
          <w:rFonts w:eastAsia="Century"/>
        </w:rPr>
      </w:pPr>
    </w:p>
    <w:p w:rsidR="00A74AC3" w:rsidRPr="00D94409" w:rsidRDefault="00A74AC3" w:rsidP="0090352A">
      <w:pPr>
        <w:rPr>
          <w:rFonts w:cs="Century"/>
        </w:rPr>
      </w:pPr>
      <w:r w:rsidRPr="00D94409">
        <w:t>Unless otherwise specified, total response ethnicity has been used with ethnic comparisons. Total response ethnicity classifies a person in all the ethnic groups that they identify with; this means that statistics for individual people can appear in more than one ethnic group. Where possible, we have compared ethnicity data with mutually exclusive groups, such as Māori with non-Māori.</w:t>
      </w:r>
    </w:p>
    <w:p w:rsidR="00A74AC3" w:rsidRPr="00D94409" w:rsidRDefault="00A74AC3" w:rsidP="0090352A">
      <w:pPr>
        <w:rPr>
          <w:rFonts w:eastAsia="Century"/>
        </w:rPr>
      </w:pPr>
    </w:p>
    <w:p w:rsidR="00A74AC3" w:rsidRPr="00D94409" w:rsidRDefault="00A74AC3" w:rsidP="0090352A">
      <w:pPr>
        <w:rPr>
          <w:rFonts w:cs="Century"/>
        </w:rPr>
      </w:pPr>
      <w:r w:rsidRPr="00D94409">
        <w:t>In many comparisons, the results are adjusted or standardised for factors that may be influencing (confounding) the comparison, such as age, sex and ethnicity. Age standardisation is often used in this report to account for differences in age structure between population groups, using the WHO world population.</w:t>
      </w:r>
    </w:p>
    <w:p w:rsidR="00A74AC3" w:rsidRPr="00D94409" w:rsidRDefault="00A74AC3" w:rsidP="0090352A">
      <w:pPr>
        <w:rPr>
          <w:rFonts w:eastAsia="Century"/>
        </w:rPr>
      </w:pPr>
    </w:p>
    <w:p w:rsidR="00A74AC3" w:rsidRPr="00D94409" w:rsidRDefault="00A74AC3" w:rsidP="0090352A">
      <w:r w:rsidRPr="00D94409">
        <w:t xml:space="preserve">Selected results are presented by neighbourhood deprivation, as measured by the New Zealand Index of Deprivation 2013 (Atkinson 2014). In this report, </w:t>
      </w:r>
      <w:r w:rsidR="00D94409" w:rsidRPr="00D94409">
        <w:t>‘</w:t>
      </w:r>
      <w:r w:rsidRPr="00D94409">
        <w:t>most deprived areas</w:t>
      </w:r>
      <w:r w:rsidR="00D94409" w:rsidRPr="00D94409">
        <w:t>’</w:t>
      </w:r>
      <w:r w:rsidRPr="00D94409">
        <w:t xml:space="preserve"> refers to quintile 5; that is, the people living in the most socioeconomically deprived 20 percent of small areas in New Zealand.</w:t>
      </w:r>
    </w:p>
    <w:p w:rsidR="00A74AC3" w:rsidRPr="00D94409" w:rsidRDefault="00A74AC3" w:rsidP="0090352A">
      <w:pPr>
        <w:rPr>
          <w:rFonts w:eastAsia="Century"/>
        </w:rPr>
      </w:pPr>
    </w:p>
    <w:p w:rsidR="0090352A" w:rsidRDefault="0090352A" w:rsidP="0090352A">
      <w:bookmarkStart w:id="63" w:name="References"/>
      <w:bookmarkEnd w:id="63"/>
      <w:r>
        <w:br w:type="page"/>
      </w:r>
    </w:p>
    <w:p w:rsidR="00A74AC3" w:rsidRPr="00D94409" w:rsidRDefault="00A74AC3" w:rsidP="0090352A">
      <w:pPr>
        <w:pStyle w:val="Heading1"/>
        <w:rPr>
          <w:rFonts w:eastAsia="Palatino Linotype" w:hAnsi="Palatino Linotype" w:cs="Palatino Linotype"/>
          <w:bCs/>
        </w:rPr>
      </w:pPr>
      <w:bookmarkStart w:id="64" w:name="_Toc433234103"/>
      <w:r w:rsidRPr="00D94409">
        <w:lastRenderedPageBreak/>
        <w:t>References</w:t>
      </w:r>
      <w:bookmarkEnd w:id="64"/>
    </w:p>
    <w:p w:rsidR="00A74AC3" w:rsidRPr="00D94409" w:rsidRDefault="00A74AC3" w:rsidP="0090352A">
      <w:pPr>
        <w:pStyle w:val="References"/>
        <w:rPr>
          <w:rFonts w:eastAsia="Century" w:hAnsi="Century" w:cs="Century"/>
        </w:rPr>
      </w:pPr>
      <w:r w:rsidRPr="00D94409">
        <w:t xml:space="preserve">Atkinson J, </w:t>
      </w:r>
      <w:proofErr w:type="spellStart"/>
      <w:r w:rsidRPr="00D94409">
        <w:t>Salmond</w:t>
      </w:r>
      <w:proofErr w:type="spellEnd"/>
      <w:r w:rsidRPr="00D94409">
        <w:t xml:space="preserve"> C, </w:t>
      </w:r>
      <w:proofErr w:type="spellStart"/>
      <w:r w:rsidRPr="00D94409">
        <w:t>Crampton</w:t>
      </w:r>
      <w:proofErr w:type="spellEnd"/>
      <w:r w:rsidRPr="00D94409">
        <w:t xml:space="preserve"> P. 2014. </w:t>
      </w:r>
      <w:proofErr w:type="gramStart"/>
      <w:r w:rsidRPr="00D94409">
        <w:rPr>
          <w:i/>
        </w:rPr>
        <w:t>NZDep2013 Index of Deprivation</w:t>
      </w:r>
      <w:r w:rsidRPr="00D94409">
        <w:t>.</w:t>
      </w:r>
      <w:proofErr w:type="gramEnd"/>
      <w:r w:rsidRPr="00D94409">
        <w:t xml:space="preserve"> Dunedin: University of </w:t>
      </w:r>
      <w:proofErr w:type="spellStart"/>
      <w:r w:rsidRPr="00D94409">
        <w:t>Otago</w:t>
      </w:r>
      <w:proofErr w:type="spellEnd"/>
      <w:r w:rsidRPr="00D94409">
        <w:t>.</w:t>
      </w:r>
    </w:p>
    <w:p w:rsidR="00A74AC3" w:rsidRPr="00D94409" w:rsidRDefault="00A74AC3" w:rsidP="0090352A">
      <w:pPr>
        <w:pStyle w:val="References"/>
        <w:rPr>
          <w:rFonts w:eastAsia="Century" w:hAnsi="Century" w:cs="Century"/>
        </w:rPr>
      </w:pPr>
      <w:proofErr w:type="gramStart"/>
      <w:r w:rsidRPr="00D94409">
        <w:t>Cheung J, Timmins J, Wright C. 2015.</w:t>
      </w:r>
      <w:proofErr w:type="gramEnd"/>
      <w:r w:rsidRPr="00D94409">
        <w:t xml:space="preserve"> </w:t>
      </w:r>
      <w:proofErr w:type="gramStart"/>
      <w:r w:rsidRPr="00D94409">
        <w:rPr>
          <w:i/>
        </w:rPr>
        <w:t>Patterns and Dynamics of Alcohol Consumption during Pregnancy in a Recent New Zealand Cohort of Expectant Mothers</w:t>
      </w:r>
      <w:r w:rsidRPr="00D94409">
        <w:t>.</w:t>
      </w:r>
      <w:proofErr w:type="gramEnd"/>
      <w:r w:rsidRPr="00D94409">
        <w:t xml:space="preserve"> Wellington: Social Policy Evaluation and Research Unit.</w:t>
      </w:r>
    </w:p>
    <w:p w:rsidR="00A74AC3" w:rsidRPr="00D94409" w:rsidRDefault="00A74AC3" w:rsidP="0090352A">
      <w:pPr>
        <w:pStyle w:val="References"/>
        <w:rPr>
          <w:rFonts w:eastAsia="Century" w:hAnsi="Century" w:cs="Century"/>
        </w:rPr>
      </w:pPr>
      <w:proofErr w:type="gramStart"/>
      <w:r w:rsidRPr="00D94409">
        <w:rPr>
          <w:rFonts w:eastAsia="Century" w:hAnsi="Century" w:cs="Century"/>
        </w:rPr>
        <w:t xml:space="preserve">Clark TC, Fleming T, </w:t>
      </w:r>
      <w:proofErr w:type="spellStart"/>
      <w:r w:rsidRPr="00D94409">
        <w:rPr>
          <w:rFonts w:eastAsia="Century" w:hAnsi="Century" w:cs="Century"/>
        </w:rPr>
        <w:t>Bullen</w:t>
      </w:r>
      <w:proofErr w:type="spellEnd"/>
      <w:r w:rsidRPr="00D94409">
        <w:rPr>
          <w:rFonts w:eastAsia="Century" w:hAnsi="Century" w:cs="Century"/>
        </w:rPr>
        <w:t xml:space="preserve"> P, et al. 2013.</w:t>
      </w:r>
      <w:proofErr w:type="gramEnd"/>
      <w:r w:rsidRPr="00D94409">
        <w:rPr>
          <w:rFonts w:eastAsia="Century" w:hAnsi="Century" w:cs="Century"/>
        </w:rPr>
        <w:t xml:space="preserve"> </w:t>
      </w:r>
      <w:r w:rsidRPr="00D94409">
        <w:rPr>
          <w:rFonts w:eastAsia="Georgia" w:cs="Georgia"/>
          <w:i/>
        </w:rPr>
        <w:t>Youth</w:t>
      </w:r>
      <w:r w:rsidR="00D94409" w:rsidRPr="00D94409">
        <w:rPr>
          <w:rFonts w:eastAsia="Georgia" w:cs="Georgia"/>
          <w:i/>
        </w:rPr>
        <w:t>’</w:t>
      </w:r>
      <w:r w:rsidRPr="00D94409">
        <w:rPr>
          <w:rFonts w:eastAsia="Georgia" w:cs="Georgia"/>
          <w:i/>
        </w:rPr>
        <w:t>12 Overview: The health and wellbeing of New Zealand secondary school students in 2012</w:t>
      </w:r>
      <w:r w:rsidRPr="00D94409">
        <w:rPr>
          <w:rFonts w:eastAsia="Century" w:hAnsi="Century" w:cs="Century"/>
        </w:rPr>
        <w:t>. Auckland: The University of Auckland.</w:t>
      </w:r>
    </w:p>
    <w:p w:rsidR="00A74AC3" w:rsidRPr="00D94409" w:rsidRDefault="00A74AC3" w:rsidP="0090352A">
      <w:pPr>
        <w:pStyle w:val="References"/>
        <w:rPr>
          <w:rFonts w:cs="Century"/>
        </w:rPr>
      </w:pPr>
      <w:r w:rsidRPr="00D94409">
        <w:t xml:space="preserve">Coppell KJ, Mann JI, Williams SM, et al. 2013. Prevalence of diagnosed and undiagnosed diabetes and </w:t>
      </w:r>
      <w:proofErr w:type="spellStart"/>
      <w:r w:rsidRPr="00D94409">
        <w:t>prediabetes</w:t>
      </w:r>
      <w:proofErr w:type="spellEnd"/>
      <w:r w:rsidRPr="00D94409">
        <w:t xml:space="preserve"> in New Zealand: findings from the 2008/09 Adult Nutrition Survey. </w:t>
      </w:r>
      <w:proofErr w:type="gramStart"/>
      <w:r w:rsidRPr="00D94409">
        <w:rPr>
          <w:i/>
        </w:rPr>
        <w:t xml:space="preserve">New Zealand Medical Journal </w:t>
      </w:r>
      <w:r w:rsidRPr="00D94409">
        <w:t>126(1370).</w:t>
      </w:r>
      <w:proofErr w:type="gramEnd"/>
    </w:p>
    <w:p w:rsidR="00A74AC3" w:rsidRPr="00D94409" w:rsidRDefault="00A74AC3" w:rsidP="0090352A">
      <w:pPr>
        <w:pStyle w:val="References"/>
        <w:rPr>
          <w:rFonts w:cs="Century"/>
        </w:rPr>
      </w:pPr>
      <w:proofErr w:type="gramStart"/>
      <w:r w:rsidRPr="00D94409">
        <w:t>CYF.</w:t>
      </w:r>
      <w:proofErr w:type="gramEnd"/>
      <w:r w:rsidRPr="00D94409">
        <w:t xml:space="preserve"> 2015. Key statistics and information for media. Wellington: Child, Youth and Family. URL: </w:t>
      </w:r>
      <w:hyperlink r:id="rId42">
        <w:r w:rsidRPr="00D94409">
          <w:t>www.</w:t>
        </w:r>
      </w:hyperlink>
      <w:r w:rsidRPr="00D94409">
        <w:t xml:space="preserve"> cyf.govt.nz/about-us/key-statistics (accessed 7 September 2015).</w:t>
      </w:r>
    </w:p>
    <w:p w:rsidR="00A74AC3" w:rsidRPr="00D94409" w:rsidRDefault="00A74AC3" w:rsidP="0090352A">
      <w:pPr>
        <w:pStyle w:val="References"/>
        <w:rPr>
          <w:rFonts w:cs="Century"/>
        </w:rPr>
      </w:pPr>
      <w:proofErr w:type="spellStart"/>
      <w:proofErr w:type="gramStart"/>
      <w:r w:rsidRPr="00D94409">
        <w:rPr>
          <w:rFonts w:cs="Century"/>
        </w:rPr>
        <w:t>Danese</w:t>
      </w:r>
      <w:proofErr w:type="spellEnd"/>
      <w:r w:rsidRPr="00D94409">
        <w:rPr>
          <w:rFonts w:cs="Century"/>
        </w:rPr>
        <w:t xml:space="preserve"> A, Moffitt TE, Harrington H, et al. 2009.</w:t>
      </w:r>
      <w:proofErr w:type="gramEnd"/>
      <w:r w:rsidRPr="00D94409">
        <w:rPr>
          <w:rFonts w:cs="Century"/>
        </w:rPr>
        <w:t xml:space="preserve"> Adverse childhood experiences and adult risk factors for age-related disease: depression, inflammation, and clustering of metabolic risk markers. </w:t>
      </w:r>
      <w:r w:rsidRPr="00D94409">
        <w:rPr>
          <w:rFonts w:eastAsia="Georgia" w:cs="Georgia"/>
          <w:i/>
        </w:rPr>
        <w:t xml:space="preserve">Archives of </w:t>
      </w:r>
      <w:proofErr w:type="spellStart"/>
      <w:r w:rsidRPr="00D94409">
        <w:rPr>
          <w:rFonts w:eastAsia="Georgia" w:cs="Georgia"/>
          <w:i/>
        </w:rPr>
        <w:t>Pediatrics</w:t>
      </w:r>
      <w:proofErr w:type="spellEnd"/>
      <w:r w:rsidRPr="00D94409">
        <w:rPr>
          <w:rFonts w:eastAsia="Georgia" w:cs="Georgia"/>
          <w:i/>
        </w:rPr>
        <w:t xml:space="preserve"> and Adolescent Medicine </w:t>
      </w:r>
      <w:r w:rsidRPr="00D94409">
        <w:rPr>
          <w:rFonts w:cs="Century"/>
        </w:rPr>
        <w:t>163(12): 1135–43.</w:t>
      </w:r>
    </w:p>
    <w:p w:rsidR="00A74AC3" w:rsidRPr="00D94409" w:rsidRDefault="00A74AC3" w:rsidP="0090352A">
      <w:pPr>
        <w:pStyle w:val="References"/>
        <w:rPr>
          <w:rFonts w:eastAsia="Century" w:hAnsi="Century" w:cs="Century"/>
        </w:rPr>
      </w:pPr>
      <w:proofErr w:type="gramStart"/>
      <w:r w:rsidRPr="00D94409">
        <w:rPr>
          <w:rFonts w:eastAsia="Century" w:hAnsi="Century" w:cs="Century"/>
        </w:rPr>
        <w:t>ESR.</w:t>
      </w:r>
      <w:proofErr w:type="gramEnd"/>
      <w:r w:rsidRPr="00D94409">
        <w:rPr>
          <w:rFonts w:eastAsia="Century" w:hAnsi="Century" w:cs="Century"/>
        </w:rPr>
        <w:t xml:space="preserve"> 2015a. </w:t>
      </w:r>
      <w:r w:rsidRPr="00D94409">
        <w:rPr>
          <w:rFonts w:eastAsia="Georgia" w:cs="Georgia"/>
          <w:i/>
        </w:rPr>
        <w:t>Influenza Weekly Update 2015/36: 24–30 August 2015</w:t>
      </w:r>
      <w:r w:rsidRPr="00D94409">
        <w:rPr>
          <w:rFonts w:eastAsia="Century" w:hAnsi="Century" w:cs="Century"/>
        </w:rPr>
        <w:t xml:space="preserve">. </w:t>
      </w:r>
      <w:proofErr w:type="spellStart"/>
      <w:r w:rsidRPr="00D94409">
        <w:rPr>
          <w:rFonts w:eastAsia="Century" w:hAnsi="Century" w:cs="Century"/>
        </w:rPr>
        <w:t>Porirua</w:t>
      </w:r>
      <w:proofErr w:type="spellEnd"/>
      <w:r w:rsidRPr="00D94409">
        <w:rPr>
          <w:rFonts w:eastAsia="Century" w:hAnsi="Century" w:cs="Century"/>
        </w:rPr>
        <w:t>: Institute of Environmental Science and Research Ltd.</w:t>
      </w:r>
    </w:p>
    <w:p w:rsidR="00A74AC3" w:rsidRPr="00D94409" w:rsidRDefault="00A74AC3" w:rsidP="0090352A">
      <w:pPr>
        <w:pStyle w:val="References"/>
        <w:rPr>
          <w:rFonts w:eastAsia="Century" w:hAnsi="Century" w:cs="Century"/>
        </w:rPr>
      </w:pPr>
      <w:proofErr w:type="gramStart"/>
      <w:r w:rsidRPr="00D94409">
        <w:t>ESR.</w:t>
      </w:r>
      <w:proofErr w:type="gramEnd"/>
      <w:r w:rsidRPr="00D94409">
        <w:t xml:space="preserve"> 2015b. </w:t>
      </w:r>
      <w:r w:rsidRPr="00D94409">
        <w:rPr>
          <w:i/>
        </w:rPr>
        <w:t xml:space="preserve">Notifiable Diseases in New Zealand: Annual Report 2014. </w:t>
      </w:r>
      <w:proofErr w:type="spellStart"/>
      <w:r w:rsidRPr="00D94409">
        <w:t>Porirua</w:t>
      </w:r>
      <w:proofErr w:type="spellEnd"/>
      <w:r w:rsidRPr="00D94409">
        <w:t>: Institute of Environmental Science and Research Ltd.</w:t>
      </w:r>
    </w:p>
    <w:p w:rsidR="00A74AC3" w:rsidRPr="00D94409" w:rsidRDefault="00A74AC3" w:rsidP="0090352A">
      <w:pPr>
        <w:pStyle w:val="References"/>
        <w:rPr>
          <w:rFonts w:eastAsia="Century" w:hAnsi="Century" w:cs="Century"/>
        </w:rPr>
      </w:pPr>
      <w:proofErr w:type="gramStart"/>
      <w:r w:rsidRPr="00D94409">
        <w:t>ESR.</w:t>
      </w:r>
      <w:proofErr w:type="gramEnd"/>
      <w:r w:rsidRPr="00D94409">
        <w:t xml:space="preserve"> 2015c. </w:t>
      </w:r>
      <w:r w:rsidRPr="00D94409">
        <w:rPr>
          <w:i/>
        </w:rPr>
        <w:t xml:space="preserve">Tuberculosis in New Zealand: Annual Report 2013. </w:t>
      </w:r>
      <w:proofErr w:type="spellStart"/>
      <w:r w:rsidRPr="00D94409">
        <w:t>Porirua</w:t>
      </w:r>
      <w:proofErr w:type="spellEnd"/>
      <w:r w:rsidRPr="00D94409">
        <w:t>: Institute of Environmental Science and Research Ltd.</w:t>
      </w:r>
    </w:p>
    <w:p w:rsidR="00A74AC3" w:rsidRPr="00D94409" w:rsidRDefault="00A74AC3" w:rsidP="0090352A">
      <w:pPr>
        <w:pStyle w:val="References"/>
        <w:rPr>
          <w:rFonts w:cs="Century"/>
        </w:rPr>
      </w:pPr>
      <w:r w:rsidRPr="00D94409">
        <w:rPr>
          <w:rFonts w:cs="Century"/>
        </w:rPr>
        <w:t xml:space="preserve">Grant </w:t>
      </w:r>
      <w:proofErr w:type="gramStart"/>
      <w:r w:rsidRPr="00D94409">
        <w:rPr>
          <w:rFonts w:cs="Century"/>
        </w:rPr>
        <w:t>AM</w:t>
      </w:r>
      <w:proofErr w:type="gramEnd"/>
      <w:r w:rsidRPr="00D94409">
        <w:rPr>
          <w:rFonts w:cs="Century"/>
        </w:rPr>
        <w:t xml:space="preserve">, </w:t>
      </w:r>
      <w:proofErr w:type="spellStart"/>
      <w:r w:rsidRPr="00D94409">
        <w:rPr>
          <w:rFonts w:cs="Century"/>
        </w:rPr>
        <w:t>Taungapeau</w:t>
      </w:r>
      <w:proofErr w:type="spellEnd"/>
      <w:r w:rsidRPr="00D94409">
        <w:rPr>
          <w:rFonts w:cs="Century"/>
        </w:rPr>
        <w:t xml:space="preserve"> FK, </w:t>
      </w:r>
      <w:proofErr w:type="spellStart"/>
      <w:r w:rsidRPr="00D94409">
        <w:rPr>
          <w:rFonts w:cs="Century"/>
        </w:rPr>
        <w:t>McAuley</w:t>
      </w:r>
      <w:proofErr w:type="spellEnd"/>
      <w:r w:rsidRPr="00D94409">
        <w:rPr>
          <w:rFonts w:cs="Century"/>
        </w:rPr>
        <w:t xml:space="preserve"> KA, et al. 2008. Body mass index status is effective in identifying metabolic syndrome components and insulin resistance in Pacific Island teenagers living in New Zealand. </w:t>
      </w:r>
      <w:r w:rsidRPr="00D94409">
        <w:rPr>
          <w:rFonts w:eastAsia="Georgia" w:cs="Georgia"/>
          <w:i/>
        </w:rPr>
        <w:t xml:space="preserve">Metabolism </w:t>
      </w:r>
      <w:r w:rsidRPr="00D94409">
        <w:rPr>
          <w:rFonts w:cs="Century"/>
        </w:rPr>
        <w:t>57(4): 511–6.</w:t>
      </w:r>
    </w:p>
    <w:p w:rsidR="00A74AC3" w:rsidRPr="00D94409" w:rsidRDefault="00A74AC3" w:rsidP="0090352A">
      <w:pPr>
        <w:pStyle w:val="References"/>
        <w:rPr>
          <w:rFonts w:eastAsia="Century" w:hAnsi="Century" w:cs="Century"/>
        </w:rPr>
      </w:pPr>
      <w:r w:rsidRPr="00D94409">
        <w:t xml:space="preserve">Heffernan H, Bakker S, </w:t>
      </w:r>
      <w:proofErr w:type="spellStart"/>
      <w:r w:rsidRPr="00D94409">
        <w:t>Dyet</w:t>
      </w:r>
      <w:proofErr w:type="spellEnd"/>
      <w:r w:rsidRPr="00D94409">
        <w:t xml:space="preserve"> K, </w:t>
      </w:r>
      <w:r w:rsidR="0093666C">
        <w:t>et al</w:t>
      </w:r>
      <w:r w:rsidRPr="00D94409">
        <w:t xml:space="preserve">. 2015. </w:t>
      </w:r>
      <w:proofErr w:type="gramStart"/>
      <w:r w:rsidRPr="00D94409">
        <w:rPr>
          <w:i/>
        </w:rPr>
        <w:t>Annual Survey of Methicillin-resistant Staphylococcus aureus (MRSA), 2014.</w:t>
      </w:r>
      <w:proofErr w:type="gramEnd"/>
      <w:r w:rsidRPr="00D94409">
        <w:rPr>
          <w:i/>
        </w:rPr>
        <w:t xml:space="preserve"> </w:t>
      </w:r>
      <w:proofErr w:type="spellStart"/>
      <w:r w:rsidRPr="00D94409">
        <w:t>Porirua</w:t>
      </w:r>
      <w:proofErr w:type="spellEnd"/>
      <w:r w:rsidRPr="00D94409">
        <w:t>: Institute of Environmental Science and Research Ltd.</w:t>
      </w:r>
    </w:p>
    <w:p w:rsidR="00A74AC3" w:rsidRPr="00D94409" w:rsidRDefault="00A74AC3" w:rsidP="0090352A">
      <w:pPr>
        <w:pStyle w:val="References"/>
        <w:rPr>
          <w:rFonts w:eastAsia="Century" w:hAnsi="Century" w:cs="Century"/>
        </w:rPr>
      </w:pPr>
      <w:proofErr w:type="spellStart"/>
      <w:r w:rsidRPr="00D94409">
        <w:t>Hotu</w:t>
      </w:r>
      <w:proofErr w:type="spellEnd"/>
      <w:r w:rsidRPr="00D94409">
        <w:t xml:space="preserve"> S, Carter B, Watson PD, et al. 2004. </w:t>
      </w:r>
      <w:proofErr w:type="gramStart"/>
      <w:r w:rsidRPr="00D94409">
        <w:t>Increasing prevalence of type 2 diabetes in adolescents.</w:t>
      </w:r>
      <w:proofErr w:type="gramEnd"/>
      <w:r w:rsidR="0090352A">
        <w:t xml:space="preserve"> </w:t>
      </w:r>
      <w:r w:rsidRPr="00D94409">
        <w:rPr>
          <w:rFonts w:eastAsia="Georgia" w:cs="Georgia"/>
          <w:i/>
        </w:rPr>
        <w:t xml:space="preserve">Journal of Paediatrics and Child Health </w:t>
      </w:r>
      <w:r w:rsidRPr="00D94409">
        <w:rPr>
          <w:rFonts w:eastAsia="Century" w:hAnsi="Century" w:cs="Century"/>
        </w:rPr>
        <w:t>40(4): 201</w:t>
      </w:r>
      <w:r w:rsidRPr="00D94409">
        <w:rPr>
          <w:rFonts w:eastAsia="Century" w:hAnsi="Century" w:cs="Century"/>
        </w:rPr>
        <w:t>–</w:t>
      </w:r>
      <w:r w:rsidRPr="00D94409">
        <w:rPr>
          <w:rFonts w:eastAsia="Century" w:hAnsi="Century" w:cs="Century"/>
        </w:rPr>
        <w:t>4.</w:t>
      </w:r>
    </w:p>
    <w:p w:rsidR="00A74AC3" w:rsidRPr="00D94409" w:rsidRDefault="00A74AC3" w:rsidP="0090352A">
      <w:pPr>
        <w:pStyle w:val="References"/>
        <w:rPr>
          <w:rFonts w:eastAsia="Century" w:hAnsi="Century" w:cs="Century"/>
        </w:rPr>
      </w:pPr>
      <w:proofErr w:type="gramStart"/>
      <w:r w:rsidRPr="00D94409">
        <w:rPr>
          <w:rFonts w:eastAsia="Century" w:hAnsi="Century" w:cs="Century"/>
        </w:rPr>
        <w:t>HQSC.</w:t>
      </w:r>
      <w:proofErr w:type="gramEnd"/>
      <w:r w:rsidRPr="00D94409">
        <w:rPr>
          <w:rFonts w:eastAsia="Century" w:hAnsi="Century" w:cs="Century"/>
        </w:rPr>
        <w:t xml:space="preserve"> 2012. </w:t>
      </w:r>
      <w:r w:rsidRPr="00D94409">
        <w:rPr>
          <w:rFonts w:eastAsia="Georgia" w:cs="Georgia"/>
          <w:i/>
        </w:rPr>
        <w:t>Describing the Quality of New Zealand</w:t>
      </w:r>
      <w:r w:rsidR="00D94409" w:rsidRPr="00D94409">
        <w:rPr>
          <w:rFonts w:eastAsia="Georgia" w:cs="Georgia"/>
          <w:i/>
        </w:rPr>
        <w:t>’</w:t>
      </w:r>
      <w:r w:rsidRPr="00D94409">
        <w:rPr>
          <w:rFonts w:eastAsia="Georgia" w:cs="Georgia"/>
          <w:i/>
        </w:rPr>
        <w:t>s Health and Disability Services</w:t>
      </w:r>
      <w:r w:rsidRPr="00D94409">
        <w:rPr>
          <w:rFonts w:eastAsia="Century" w:hAnsi="Century" w:cs="Century"/>
        </w:rPr>
        <w:t>. Wellington: Health Quality and Safety Commission.</w:t>
      </w:r>
    </w:p>
    <w:p w:rsidR="00A74AC3" w:rsidRPr="00D94409" w:rsidRDefault="00A74AC3" w:rsidP="0090352A">
      <w:pPr>
        <w:pStyle w:val="References"/>
        <w:rPr>
          <w:rFonts w:cs="Century"/>
        </w:rPr>
      </w:pPr>
      <w:proofErr w:type="gramStart"/>
      <w:r w:rsidRPr="00D94409">
        <w:t>HQSC.</w:t>
      </w:r>
      <w:proofErr w:type="gramEnd"/>
      <w:r w:rsidRPr="00D94409">
        <w:t xml:space="preserve"> </w:t>
      </w:r>
      <w:proofErr w:type="gramStart"/>
      <w:r w:rsidRPr="00D94409">
        <w:t xml:space="preserve">2015a. </w:t>
      </w:r>
      <w:r w:rsidRPr="0093666C">
        <w:rPr>
          <w:i/>
        </w:rPr>
        <w:t>Adult Inpatient Experience</w:t>
      </w:r>
      <w:r w:rsidRPr="00D94409">
        <w:t>.</w:t>
      </w:r>
      <w:proofErr w:type="gramEnd"/>
      <w:r w:rsidRPr="00D94409">
        <w:t xml:space="preserve"> Wellington: Health Quality and Safety Commission.</w:t>
      </w:r>
      <w:r w:rsidR="0093666C">
        <w:t xml:space="preserve"> </w:t>
      </w:r>
      <w:r w:rsidRPr="00D94409">
        <w:t xml:space="preserve">URL: </w:t>
      </w:r>
      <w:hyperlink r:id="rId43">
        <w:r w:rsidRPr="00D94409">
          <w:t>www.hqsc.govt.nz/our-programmes/health-quality-evaluation/projects/health-quality-and-safety-</w:t>
        </w:r>
      </w:hyperlink>
      <w:r w:rsidRPr="00D94409">
        <w:t>indicators/patient-experience/adult-inpatient-experience/ (accessed 13 August 2015).</w:t>
      </w:r>
    </w:p>
    <w:p w:rsidR="00A74AC3" w:rsidRPr="00D94409" w:rsidRDefault="00A74AC3" w:rsidP="0090352A">
      <w:pPr>
        <w:pStyle w:val="References"/>
        <w:rPr>
          <w:rFonts w:cs="Century"/>
        </w:rPr>
      </w:pPr>
      <w:proofErr w:type="gramStart"/>
      <w:r w:rsidRPr="00D94409">
        <w:t>HQSC.</w:t>
      </w:r>
      <w:proofErr w:type="gramEnd"/>
      <w:r w:rsidRPr="00D94409">
        <w:t xml:space="preserve"> </w:t>
      </w:r>
      <w:proofErr w:type="gramStart"/>
      <w:r w:rsidRPr="00D94409">
        <w:t xml:space="preserve">2015b. </w:t>
      </w:r>
      <w:r w:rsidRPr="0093666C">
        <w:rPr>
          <w:i/>
        </w:rPr>
        <w:t>Atlas of Healthcare Variation</w:t>
      </w:r>
      <w:r w:rsidRPr="00D94409">
        <w:t>.</w:t>
      </w:r>
      <w:proofErr w:type="gramEnd"/>
      <w:r w:rsidRPr="00D94409">
        <w:t xml:space="preserve"> Wellington: Health Quality and Safety Commission.</w:t>
      </w:r>
      <w:r w:rsidR="0093666C">
        <w:t xml:space="preserve"> </w:t>
      </w:r>
      <w:r w:rsidRPr="00D94409">
        <w:t xml:space="preserve">URL: </w:t>
      </w:r>
      <w:hyperlink r:id="rId44">
        <w:r w:rsidRPr="00D94409">
          <w:t>www.hqsc.govt.nz/our-programmes/health-quality-evaluation/projects/atlas-of-healthcare-variation</w:t>
        </w:r>
      </w:hyperlink>
      <w:r w:rsidRPr="00D94409">
        <w:t xml:space="preserve"> (accessed 9 September 2015).</w:t>
      </w:r>
    </w:p>
    <w:p w:rsidR="00A74AC3" w:rsidRPr="00D94409" w:rsidRDefault="00A74AC3" w:rsidP="0090352A">
      <w:pPr>
        <w:pStyle w:val="References"/>
        <w:rPr>
          <w:rFonts w:cs="Century"/>
        </w:rPr>
      </w:pPr>
      <w:r w:rsidRPr="00D94409">
        <w:t xml:space="preserve">Institute for Health Metrics and Evaluation. 2013. </w:t>
      </w:r>
      <w:r w:rsidRPr="0093666C">
        <w:rPr>
          <w:i/>
        </w:rPr>
        <w:t>GBD Compare</w:t>
      </w:r>
      <w:r w:rsidRPr="00D94409">
        <w:t xml:space="preserve">. Seattle, WA: IHME, University of Washington. URL: </w:t>
      </w:r>
      <w:hyperlink r:id="rId45">
        <w:r w:rsidRPr="00D94409">
          <w:t>http://vizhub.healthdata.org/gbd-compare</w:t>
        </w:r>
      </w:hyperlink>
      <w:r w:rsidRPr="00D94409">
        <w:t xml:space="preserve"> (accessed 24 September 2015).</w:t>
      </w:r>
    </w:p>
    <w:p w:rsidR="00A74AC3" w:rsidRPr="00D94409" w:rsidRDefault="00A74AC3" w:rsidP="0090352A">
      <w:pPr>
        <w:pStyle w:val="References"/>
        <w:rPr>
          <w:rFonts w:cs="Century"/>
        </w:rPr>
      </w:pPr>
      <w:proofErr w:type="spellStart"/>
      <w:proofErr w:type="gramStart"/>
      <w:r w:rsidRPr="00D94409">
        <w:t>InterRAI</w:t>
      </w:r>
      <w:proofErr w:type="spellEnd"/>
      <w:r w:rsidRPr="00D94409">
        <w:t>.</w:t>
      </w:r>
      <w:proofErr w:type="gramEnd"/>
      <w:r w:rsidRPr="00D94409">
        <w:t xml:space="preserve"> 2015. National </w:t>
      </w:r>
      <w:proofErr w:type="spellStart"/>
      <w:r w:rsidRPr="00D94409">
        <w:t>interRAI</w:t>
      </w:r>
      <w:proofErr w:type="spellEnd"/>
      <w:r w:rsidRPr="00D94409">
        <w:t xml:space="preserve"> Software Service.</w:t>
      </w:r>
    </w:p>
    <w:p w:rsidR="00A74AC3" w:rsidRPr="00D94409" w:rsidRDefault="00A74AC3" w:rsidP="0090352A">
      <w:pPr>
        <w:pStyle w:val="References"/>
        <w:rPr>
          <w:rFonts w:cs="Century"/>
        </w:rPr>
      </w:pPr>
      <w:r w:rsidRPr="00D94409">
        <w:lastRenderedPageBreak/>
        <w:t xml:space="preserve">Jones PB. 2013. Adult mental health disorders and their age at onset. </w:t>
      </w:r>
      <w:r w:rsidRPr="00D94409">
        <w:rPr>
          <w:i/>
        </w:rPr>
        <w:t>British Journal of Psychiatry</w:t>
      </w:r>
      <w:r w:rsidR="0090352A">
        <w:t xml:space="preserve"> </w:t>
      </w:r>
      <w:r w:rsidRPr="00D94409">
        <w:rPr>
          <w:rFonts w:cs="Century"/>
        </w:rPr>
        <w:t>202(s54): s5–s10.</w:t>
      </w:r>
    </w:p>
    <w:p w:rsidR="00A74AC3" w:rsidRPr="00D94409" w:rsidRDefault="00A74AC3" w:rsidP="0090352A">
      <w:pPr>
        <w:pStyle w:val="References"/>
        <w:rPr>
          <w:rFonts w:cs="Century"/>
        </w:rPr>
      </w:pPr>
      <w:proofErr w:type="spellStart"/>
      <w:r w:rsidRPr="00D94409">
        <w:rPr>
          <w:rFonts w:cs="Century"/>
        </w:rPr>
        <w:t>Kvaavik</w:t>
      </w:r>
      <w:proofErr w:type="spellEnd"/>
      <w:r w:rsidRPr="00D94409">
        <w:rPr>
          <w:rFonts w:cs="Century"/>
        </w:rPr>
        <w:t xml:space="preserve"> E, Batty G, </w:t>
      </w:r>
      <w:proofErr w:type="spellStart"/>
      <w:r w:rsidRPr="00D94409">
        <w:rPr>
          <w:rFonts w:cs="Century"/>
        </w:rPr>
        <w:t>Ursin</w:t>
      </w:r>
      <w:proofErr w:type="spellEnd"/>
      <w:r w:rsidRPr="00D94409">
        <w:rPr>
          <w:rFonts w:cs="Century"/>
        </w:rPr>
        <w:t xml:space="preserve"> G, et al. 2010. Influence of individual and combined health </w:t>
      </w:r>
      <w:proofErr w:type="spellStart"/>
      <w:r w:rsidRPr="00D94409">
        <w:rPr>
          <w:rFonts w:cs="Century"/>
        </w:rPr>
        <w:t>behaviors</w:t>
      </w:r>
      <w:proofErr w:type="spellEnd"/>
      <w:r w:rsidRPr="00D94409">
        <w:rPr>
          <w:rFonts w:cs="Century"/>
        </w:rPr>
        <w:t xml:space="preserve"> on</w:t>
      </w:r>
      <w:r w:rsidR="00D94409" w:rsidRPr="00D94409">
        <w:rPr>
          <w:rFonts w:cs="Century"/>
        </w:rPr>
        <w:t xml:space="preserve"> </w:t>
      </w:r>
      <w:r w:rsidRPr="00D94409">
        <w:rPr>
          <w:rFonts w:cs="Century"/>
        </w:rPr>
        <w:t xml:space="preserve">total and cause-specific mortality in men and women: the United Kingdom health and lifestyle survey. </w:t>
      </w:r>
      <w:r w:rsidRPr="00D94409">
        <w:rPr>
          <w:rFonts w:eastAsia="Georgia" w:cs="Georgia"/>
          <w:i/>
        </w:rPr>
        <w:t xml:space="preserve">Archives of Internal Medicine </w:t>
      </w:r>
      <w:r w:rsidRPr="00D94409">
        <w:rPr>
          <w:rFonts w:cs="Century"/>
        </w:rPr>
        <w:t>170(8): 711–8.</w:t>
      </w:r>
    </w:p>
    <w:p w:rsidR="00A74AC3" w:rsidRPr="00D94409" w:rsidRDefault="00A74AC3" w:rsidP="0090352A">
      <w:pPr>
        <w:pStyle w:val="References"/>
        <w:rPr>
          <w:rFonts w:eastAsia="Century" w:hAnsi="Century" w:cs="Century"/>
        </w:rPr>
      </w:pPr>
      <w:proofErr w:type="gramStart"/>
      <w:r w:rsidRPr="00D94409">
        <w:t>Litmus</w:t>
      </w:r>
      <w:r w:rsidR="0093666C">
        <w:t>,</w:t>
      </w:r>
      <w:r w:rsidRPr="00D94409">
        <w:t xml:space="preserve"> et al. 2015.</w:t>
      </w:r>
      <w:proofErr w:type="gramEnd"/>
      <w:r w:rsidRPr="00D94409">
        <w:t xml:space="preserve"> </w:t>
      </w:r>
      <w:r w:rsidRPr="00D94409">
        <w:rPr>
          <w:i/>
        </w:rPr>
        <w:t>Interim Evaluation Report of the Bowel Screening Pilot: Screening Round One</w:t>
      </w:r>
      <w:r w:rsidRPr="00D94409">
        <w:t>. Wellington: Ministry of Health.</w:t>
      </w:r>
    </w:p>
    <w:p w:rsidR="00A74AC3" w:rsidRPr="00D94409" w:rsidRDefault="00A74AC3" w:rsidP="0090352A">
      <w:pPr>
        <w:pStyle w:val="References"/>
        <w:rPr>
          <w:rFonts w:cs="Century"/>
        </w:rPr>
      </w:pPr>
      <w:proofErr w:type="spellStart"/>
      <w:r w:rsidRPr="00D94409">
        <w:rPr>
          <w:rFonts w:cs="Century"/>
        </w:rPr>
        <w:t>Mannucci</w:t>
      </w:r>
      <w:proofErr w:type="spellEnd"/>
      <w:r w:rsidRPr="00D94409">
        <w:rPr>
          <w:rFonts w:cs="Century"/>
        </w:rPr>
        <w:t xml:space="preserve"> E, </w:t>
      </w:r>
      <w:proofErr w:type="spellStart"/>
      <w:r w:rsidRPr="00D94409">
        <w:rPr>
          <w:rFonts w:cs="Century"/>
        </w:rPr>
        <w:t>Dicembrini</w:t>
      </w:r>
      <w:proofErr w:type="spellEnd"/>
      <w:r w:rsidRPr="00D94409">
        <w:rPr>
          <w:rFonts w:cs="Century"/>
        </w:rPr>
        <w:t xml:space="preserve"> I, </w:t>
      </w:r>
      <w:proofErr w:type="spellStart"/>
      <w:r w:rsidRPr="00D94409">
        <w:rPr>
          <w:rFonts w:cs="Century"/>
        </w:rPr>
        <w:t>Lauria</w:t>
      </w:r>
      <w:proofErr w:type="spellEnd"/>
      <w:r w:rsidRPr="00D94409">
        <w:rPr>
          <w:rFonts w:cs="Century"/>
        </w:rPr>
        <w:t xml:space="preserve"> A, </w:t>
      </w:r>
      <w:r w:rsidR="0093666C">
        <w:rPr>
          <w:rFonts w:cs="Century"/>
        </w:rPr>
        <w:t>et al</w:t>
      </w:r>
      <w:r w:rsidRPr="00D94409">
        <w:rPr>
          <w:rFonts w:cs="Century"/>
        </w:rPr>
        <w:t xml:space="preserve">. 2013. Is glucose control important for prevention of cardiovascular disease in diabetes? </w:t>
      </w:r>
      <w:r w:rsidRPr="00D94409">
        <w:rPr>
          <w:rFonts w:eastAsia="Georgia" w:cs="Georgia"/>
          <w:i/>
        </w:rPr>
        <w:t xml:space="preserve">Diabetes Care </w:t>
      </w:r>
      <w:r w:rsidRPr="00D94409">
        <w:rPr>
          <w:rFonts w:cs="Century"/>
        </w:rPr>
        <w:t>36(</w:t>
      </w:r>
      <w:proofErr w:type="spellStart"/>
      <w:r w:rsidRPr="00D94409">
        <w:rPr>
          <w:rFonts w:cs="Century"/>
        </w:rPr>
        <w:t>Suppl</w:t>
      </w:r>
      <w:proofErr w:type="spellEnd"/>
      <w:r w:rsidRPr="00D94409">
        <w:rPr>
          <w:rFonts w:cs="Century"/>
        </w:rPr>
        <w:t xml:space="preserve"> 2): S259–63.</w:t>
      </w:r>
    </w:p>
    <w:p w:rsidR="00A74AC3" w:rsidRPr="00D94409" w:rsidRDefault="00A74AC3" w:rsidP="0090352A">
      <w:pPr>
        <w:pStyle w:val="References"/>
        <w:rPr>
          <w:rFonts w:eastAsia="Century" w:hAnsi="Century" w:cs="Century"/>
        </w:rPr>
      </w:pPr>
      <w:proofErr w:type="gramStart"/>
      <w:r w:rsidRPr="00D94409">
        <w:rPr>
          <w:rFonts w:hAnsi="Century"/>
        </w:rPr>
        <w:t>Ministry of Health.</w:t>
      </w:r>
      <w:proofErr w:type="gramEnd"/>
      <w:r w:rsidRPr="00D94409">
        <w:rPr>
          <w:rFonts w:hAnsi="Century"/>
        </w:rPr>
        <w:t xml:space="preserve"> 2010. </w:t>
      </w:r>
      <w:proofErr w:type="spellStart"/>
      <w:r w:rsidRPr="00D94409">
        <w:rPr>
          <w:i/>
        </w:rPr>
        <w:t>Kōrero</w:t>
      </w:r>
      <w:proofErr w:type="spellEnd"/>
      <w:r w:rsidRPr="00D94409">
        <w:rPr>
          <w:i/>
        </w:rPr>
        <w:t xml:space="preserve"> </w:t>
      </w:r>
      <w:proofErr w:type="spellStart"/>
      <w:r w:rsidRPr="00D94409">
        <w:rPr>
          <w:i/>
        </w:rPr>
        <w:t>Mārama</w:t>
      </w:r>
      <w:proofErr w:type="spellEnd"/>
      <w:r w:rsidRPr="00D94409">
        <w:rPr>
          <w:i/>
        </w:rPr>
        <w:t xml:space="preserve">: Health Literacy and Māori. </w:t>
      </w:r>
      <w:proofErr w:type="gramStart"/>
      <w:r w:rsidRPr="00D94409">
        <w:rPr>
          <w:i/>
        </w:rPr>
        <w:t>Results from the 2006 Adult Literacy and Life Skills Survey.</w:t>
      </w:r>
      <w:proofErr w:type="gramEnd"/>
      <w:r w:rsidRPr="00D94409">
        <w:rPr>
          <w:i/>
        </w:rPr>
        <w:t xml:space="preserve"> </w:t>
      </w:r>
      <w:r w:rsidRPr="00D94409">
        <w:rPr>
          <w:rFonts w:hAnsi="Century"/>
        </w:rPr>
        <w:t>Wellington: Ministry of Health.</w:t>
      </w:r>
    </w:p>
    <w:p w:rsidR="00A74AC3" w:rsidRPr="00D94409" w:rsidRDefault="00A74AC3" w:rsidP="0090352A">
      <w:pPr>
        <w:pStyle w:val="References"/>
        <w:rPr>
          <w:rFonts w:eastAsia="Century" w:hAnsi="Century" w:cs="Century"/>
        </w:rPr>
      </w:pPr>
      <w:proofErr w:type="gramStart"/>
      <w:r w:rsidRPr="00D94409">
        <w:rPr>
          <w:rFonts w:eastAsia="Century" w:hAnsi="Century" w:cs="Century"/>
        </w:rPr>
        <w:t>Ministry of Health.</w:t>
      </w:r>
      <w:proofErr w:type="gramEnd"/>
      <w:r w:rsidRPr="00D94409">
        <w:rPr>
          <w:rFonts w:eastAsia="Century" w:hAnsi="Century" w:cs="Century"/>
        </w:rPr>
        <w:t xml:space="preserve"> 2014a. </w:t>
      </w:r>
      <w:r w:rsidR="0093666C">
        <w:rPr>
          <w:rFonts w:eastAsia="Georgia" w:cs="Georgia"/>
          <w:i/>
        </w:rPr>
        <w:t>’</w:t>
      </w:r>
      <w:proofErr w:type="spellStart"/>
      <w:r w:rsidR="0093666C">
        <w:rPr>
          <w:rFonts w:eastAsia="Georgia" w:cs="Georgia"/>
          <w:i/>
        </w:rPr>
        <w:t>A</w:t>
      </w:r>
      <w:r w:rsidRPr="00D94409">
        <w:rPr>
          <w:rFonts w:eastAsia="Georgia" w:cs="Georgia"/>
          <w:i/>
        </w:rPr>
        <w:t>la</w:t>
      </w:r>
      <w:proofErr w:type="spellEnd"/>
      <w:r w:rsidRPr="00D94409">
        <w:rPr>
          <w:rFonts w:eastAsia="Georgia" w:cs="Georgia"/>
          <w:i/>
        </w:rPr>
        <w:t xml:space="preserve"> </w:t>
      </w:r>
      <w:proofErr w:type="spellStart"/>
      <w:r w:rsidRPr="00D94409">
        <w:rPr>
          <w:rFonts w:eastAsia="Georgia" w:cs="Georgia"/>
          <w:i/>
        </w:rPr>
        <w:t>Mo</w:t>
      </w:r>
      <w:r w:rsidR="00D94409" w:rsidRPr="00D94409">
        <w:rPr>
          <w:rFonts w:eastAsia="Georgia" w:cs="Georgia"/>
          <w:i/>
        </w:rPr>
        <w:t>’</w:t>
      </w:r>
      <w:r w:rsidRPr="00D94409">
        <w:rPr>
          <w:rFonts w:eastAsia="Georgia" w:cs="Georgia"/>
          <w:i/>
        </w:rPr>
        <w:t>ui</w:t>
      </w:r>
      <w:proofErr w:type="spellEnd"/>
      <w:r w:rsidRPr="00D94409">
        <w:rPr>
          <w:rFonts w:eastAsia="Georgia" w:cs="Georgia"/>
          <w:i/>
        </w:rPr>
        <w:t xml:space="preserve">: Pathways to Pacific Health and Wellbeing 2014–2018. </w:t>
      </w:r>
      <w:r w:rsidRPr="00D94409">
        <w:rPr>
          <w:rFonts w:eastAsia="Century" w:hAnsi="Century" w:cs="Century"/>
        </w:rPr>
        <w:t>Wellington</w:t>
      </w:r>
      <w:r w:rsidR="0093666C">
        <w:rPr>
          <w:rFonts w:eastAsia="Century" w:hAnsi="Century" w:cs="Century"/>
        </w:rPr>
        <w:t>:</w:t>
      </w:r>
      <w:r w:rsidRPr="00D94409">
        <w:rPr>
          <w:rFonts w:eastAsia="Century" w:hAnsi="Century" w:cs="Century"/>
        </w:rPr>
        <w:t xml:space="preserve"> Ministry of Health.</w:t>
      </w:r>
    </w:p>
    <w:p w:rsidR="00A74AC3" w:rsidRPr="00D94409" w:rsidRDefault="00A74AC3" w:rsidP="0090352A">
      <w:pPr>
        <w:pStyle w:val="References"/>
        <w:rPr>
          <w:rFonts w:eastAsia="Century" w:hAnsi="Century" w:cs="Century"/>
        </w:rPr>
      </w:pPr>
      <w:proofErr w:type="gramStart"/>
      <w:r w:rsidRPr="00D94409">
        <w:rPr>
          <w:rFonts w:eastAsia="Century" w:hAnsi="Century" w:cs="Century"/>
        </w:rPr>
        <w:t>Ministry of Health.</w:t>
      </w:r>
      <w:proofErr w:type="gramEnd"/>
      <w:r w:rsidRPr="00D94409">
        <w:rPr>
          <w:rFonts w:eastAsia="Century" w:hAnsi="Century" w:cs="Century"/>
        </w:rPr>
        <w:t xml:space="preserve"> 2014b. </w:t>
      </w:r>
      <w:r w:rsidRPr="00D94409">
        <w:rPr>
          <w:rFonts w:eastAsia="Georgia" w:cs="Georgia"/>
          <w:i/>
        </w:rPr>
        <w:t>Annual Report for the Year Ended 30 June 2014 including the Director- General of Health</w:t>
      </w:r>
      <w:r w:rsidR="00D94409" w:rsidRPr="00D94409">
        <w:rPr>
          <w:rFonts w:eastAsia="Georgia" w:cs="Georgia"/>
          <w:i/>
        </w:rPr>
        <w:t>’</w:t>
      </w:r>
      <w:r w:rsidRPr="00D94409">
        <w:rPr>
          <w:rFonts w:eastAsia="Georgia" w:cs="Georgia"/>
          <w:i/>
        </w:rPr>
        <w:t xml:space="preserve">s Annual Report on the State of Public Health. </w:t>
      </w:r>
      <w:r w:rsidRPr="00D94409">
        <w:rPr>
          <w:rFonts w:eastAsia="Century" w:hAnsi="Century" w:cs="Century"/>
        </w:rPr>
        <w:t>Wellington</w:t>
      </w:r>
      <w:r w:rsidR="0093666C">
        <w:rPr>
          <w:rFonts w:eastAsia="Century" w:hAnsi="Century" w:cs="Century"/>
        </w:rPr>
        <w:t>:</w:t>
      </w:r>
      <w:r w:rsidRPr="00D94409">
        <w:rPr>
          <w:rFonts w:eastAsia="Century" w:hAnsi="Century" w:cs="Century"/>
        </w:rPr>
        <w:t xml:space="preserve"> Ministry of Health.</w:t>
      </w:r>
    </w:p>
    <w:p w:rsidR="00A74AC3" w:rsidRPr="00D94409" w:rsidRDefault="00A74AC3" w:rsidP="0090352A">
      <w:pPr>
        <w:pStyle w:val="References"/>
        <w:rPr>
          <w:rFonts w:eastAsia="Century" w:hAnsi="Century" w:cs="Century"/>
        </w:rPr>
      </w:pPr>
      <w:proofErr w:type="gramStart"/>
      <w:r w:rsidRPr="00D94409">
        <w:t>Ministry of Health.</w:t>
      </w:r>
      <w:proofErr w:type="gramEnd"/>
      <w:r w:rsidRPr="00D94409">
        <w:t xml:space="preserve"> 2014c. </w:t>
      </w:r>
      <w:r w:rsidRPr="00D94409">
        <w:rPr>
          <w:i/>
        </w:rPr>
        <w:t xml:space="preserve">Annual Update of Key Results 2013/14. </w:t>
      </w:r>
      <w:proofErr w:type="gramStart"/>
      <w:r w:rsidRPr="00D94409">
        <w:rPr>
          <w:i/>
        </w:rPr>
        <w:t>New Zealand Health Survey</w:t>
      </w:r>
      <w:r w:rsidRPr="00D94409">
        <w:t>.</w:t>
      </w:r>
      <w:proofErr w:type="gramEnd"/>
      <w:r w:rsidRPr="00D94409">
        <w:t xml:space="preserve"> Wellington: Ministry of Health.</w:t>
      </w:r>
    </w:p>
    <w:p w:rsidR="00A74AC3" w:rsidRPr="00D94409" w:rsidRDefault="00A74AC3" w:rsidP="0090352A">
      <w:pPr>
        <w:pStyle w:val="References"/>
        <w:rPr>
          <w:rFonts w:cs="Century"/>
        </w:rPr>
      </w:pPr>
      <w:proofErr w:type="gramStart"/>
      <w:r w:rsidRPr="00D94409">
        <w:rPr>
          <w:rFonts w:cs="Century"/>
        </w:rPr>
        <w:t>Ministry of Health.</w:t>
      </w:r>
      <w:proofErr w:type="gramEnd"/>
      <w:r w:rsidRPr="00D94409">
        <w:rPr>
          <w:rFonts w:cs="Century"/>
        </w:rPr>
        <w:t xml:space="preserve"> 2015a. </w:t>
      </w:r>
      <w:r w:rsidRPr="0093666C">
        <w:rPr>
          <w:rFonts w:cs="Century"/>
          <w:i/>
        </w:rPr>
        <w:t>2014–15 Smoking cessation services data</w:t>
      </w:r>
      <w:r w:rsidRPr="00D94409">
        <w:rPr>
          <w:rFonts w:cs="Century"/>
        </w:rPr>
        <w:t>.</w:t>
      </w:r>
    </w:p>
    <w:p w:rsidR="00A74AC3" w:rsidRPr="00D94409" w:rsidRDefault="00A74AC3" w:rsidP="0090352A">
      <w:pPr>
        <w:pStyle w:val="References"/>
        <w:rPr>
          <w:rFonts w:cs="Century"/>
        </w:rPr>
      </w:pPr>
      <w:proofErr w:type="gramStart"/>
      <w:r w:rsidRPr="00D94409">
        <w:t>Ministry of Health.</w:t>
      </w:r>
      <w:proofErr w:type="gramEnd"/>
      <w:r w:rsidRPr="00D94409">
        <w:t xml:space="preserve"> </w:t>
      </w:r>
      <w:proofErr w:type="gramStart"/>
      <w:r w:rsidRPr="00D94409">
        <w:t xml:space="preserve">2015b. </w:t>
      </w:r>
      <w:r w:rsidRPr="0093666C">
        <w:rPr>
          <w:i/>
        </w:rPr>
        <w:t>2014 Virtual Diabetes Register results</w:t>
      </w:r>
      <w:r w:rsidRPr="00D94409">
        <w:t>.</w:t>
      </w:r>
      <w:proofErr w:type="gramEnd"/>
      <w:r w:rsidRPr="00D94409">
        <w:t xml:space="preserve"> URL: </w:t>
      </w:r>
      <w:hyperlink r:id="rId46">
        <w:r w:rsidRPr="00D94409">
          <w:t>www.health.govt.nz/our-work/</w:t>
        </w:r>
      </w:hyperlink>
      <w:r w:rsidRPr="00D94409">
        <w:t xml:space="preserve"> diseases-and-conditions/diabetes/about-diabetes/virtual-diabetes-register-vdr/2014-virtual-diabetes- register-results (accessed 15 September 2015).</w:t>
      </w:r>
    </w:p>
    <w:p w:rsidR="00A74AC3" w:rsidRPr="00D94409" w:rsidRDefault="00A74AC3" w:rsidP="0090352A">
      <w:pPr>
        <w:pStyle w:val="References"/>
        <w:rPr>
          <w:rFonts w:eastAsia="Century" w:hAnsi="Century" w:cs="Century"/>
        </w:rPr>
      </w:pPr>
      <w:proofErr w:type="gramStart"/>
      <w:r w:rsidRPr="00D94409">
        <w:t>Ministry of Health.</w:t>
      </w:r>
      <w:proofErr w:type="gramEnd"/>
      <w:r w:rsidRPr="00D94409">
        <w:t xml:space="preserve"> 2015c. </w:t>
      </w:r>
      <w:r w:rsidRPr="00D94409">
        <w:rPr>
          <w:i/>
        </w:rPr>
        <w:t xml:space="preserve">Alcohol Use 2012/13: New Zealand Health Survey. </w:t>
      </w:r>
      <w:r w:rsidRPr="00D94409">
        <w:t xml:space="preserve">Wellington: Ministry of </w:t>
      </w:r>
      <w:r w:rsidR="0090352A">
        <w:t>H</w:t>
      </w:r>
      <w:r w:rsidRPr="00D94409">
        <w:t>ealth.</w:t>
      </w:r>
    </w:p>
    <w:p w:rsidR="00A74AC3" w:rsidRPr="00D94409" w:rsidRDefault="00A74AC3" w:rsidP="0090352A">
      <w:pPr>
        <w:pStyle w:val="References"/>
        <w:rPr>
          <w:rFonts w:cs="Century"/>
        </w:rPr>
      </w:pPr>
      <w:proofErr w:type="gramStart"/>
      <w:r w:rsidRPr="00D94409">
        <w:t>Ministry of Health.</w:t>
      </w:r>
      <w:proofErr w:type="gramEnd"/>
      <w:r w:rsidRPr="00D94409">
        <w:t xml:space="preserve"> 2015d. </w:t>
      </w:r>
      <w:r w:rsidRPr="00D94409">
        <w:rPr>
          <w:i/>
        </w:rPr>
        <w:t>BSA District Health Board Coverage Report: period ending 30 June 2015.</w:t>
      </w:r>
      <w:r w:rsidR="0090352A">
        <w:t xml:space="preserve"> </w:t>
      </w:r>
      <w:r w:rsidRPr="00D94409">
        <w:t>Wellington: Ministry of Health.</w:t>
      </w:r>
    </w:p>
    <w:p w:rsidR="0093666C" w:rsidRDefault="00A74AC3" w:rsidP="0090352A">
      <w:pPr>
        <w:pStyle w:val="References"/>
      </w:pPr>
      <w:proofErr w:type="gramStart"/>
      <w:r w:rsidRPr="00D94409">
        <w:t>Ministry of Health.</w:t>
      </w:r>
      <w:proofErr w:type="gramEnd"/>
      <w:r w:rsidRPr="00D94409">
        <w:t xml:space="preserve"> 2015e. </w:t>
      </w:r>
      <w:proofErr w:type="gramStart"/>
      <w:r w:rsidRPr="00D94409">
        <w:rPr>
          <w:i/>
        </w:rPr>
        <w:t>A</w:t>
      </w:r>
      <w:proofErr w:type="gramEnd"/>
      <w:r w:rsidRPr="00D94409">
        <w:rPr>
          <w:i/>
        </w:rPr>
        <w:t xml:space="preserve"> Framework for Health Literacy</w:t>
      </w:r>
      <w:r w:rsidRPr="00D94409">
        <w:t>. Wellington: Ministry of Health.</w:t>
      </w:r>
    </w:p>
    <w:p w:rsidR="00A74AC3" w:rsidRPr="00D94409" w:rsidRDefault="00A74AC3" w:rsidP="0090352A">
      <w:pPr>
        <w:pStyle w:val="References"/>
        <w:rPr>
          <w:rFonts w:cs="Century"/>
        </w:rPr>
      </w:pPr>
      <w:proofErr w:type="gramStart"/>
      <w:r w:rsidRPr="00D94409">
        <w:t>Ministry of Health.</w:t>
      </w:r>
      <w:proofErr w:type="gramEnd"/>
      <w:r w:rsidRPr="00D94409">
        <w:t xml:space="preserve"> 2015f. </w:t>
      </w:r>
      <w:r w:rsidRPr="0093666C">
        <w:rPr>
          <w:i/>
        </w:rPr>
        <w:t>Health of the Health Workforce 2014 to 2015</w:t>
      </w:r>
      <w:r w:rsidRPr="00D94409">
        <w:t xml:space="preserve"> (unpublished).</w:t>
      </w:r>
    </w:p>
    <w:p w:rsidR="00A74AC3" w:rsidRPr="00D94409" w:rsidRDefault="00A74AC3" w:rsidP="0090352A">
      <w:pPr>
        <w:pStyle w:val="References"/>
        <w:rPr>
          <w:rFonts w:cs="Century"/>
        </w:rPr>
      </w:pPr>
      <w:proofErr w:type="gramStart"/>
      <w:r w:rsidRPr="00D94409">
        <w:t>Ministry of Health.</w:t>
      </w:r>
      <w:proofErr w:type="gramEnd"/>
      <w:r w:rsidRPr="00D94409">
        <w:t xml:space="preserve"> </w:t>
      </w:r>
      <w:proofErr w:type="gramStart"/>
      <w:r w:rsidRPr="00D94409">
        <w:t xml:space="preserve">2015g. </w:t>
      </w:r>
      <w:r w:rsidRPr="0093666C">
        <w:rPr>
          <w:i/>
        </w:rPr>
        <w:t>Health targets</w:t>
      </w:r>
      <w:r w:rsidRPr="00D94409">
        <w:t>.</w:t>
      </w:r>
      <w:proofErr w:type="gramEnd"/>
      <w:r w:rsidRPr="00D94409">
        <w:t xml:space="preserve"> URL: </w:t>
      </w:r>
      <w:hyperlink r:id="rId47">
        <w:r w:rsidRPr="00D94409">
          <w:t>www.health.govt.nz/new-zealand-health-system/</w:t>
        </w:r>
      </w:hyperlink>
      <w:r w:rsidRPr="00D94409">
        <w:t xml:space="preserve"> health-targets (accessed 7 September 2015).</w:t>
      </w:r>
    </w:p>
    <w:p w:rsidR="00A74AC3" w:rsidRPr="00D94409" w:rsidRDefault="00A74AC3" w:rsidP="0090352A">
      <w:pPr>
        <w:pStyle w:val="References"/>
        <w:rPr>
          <w:rFonts w:eastAsia="Century" w:hAnsi="Century" w:cs="Century"/>
        </w:rPr>
      </w:pPr>
      <w:proofErr w:type="gramStart"/>
      <w:r w:rsidRPr="00D94409">
        <w:t>Ministry of Health.</w:t>
      </w:r>
      <w:proofErr w:type="gramEnd"/>
      <w:r w:rsidRPr="00D94409">
        <w:t xml:space="preserve"> 2015h. </w:t>
      </w:r>
      <w:r w:rsidRPr="00D94409">
        <w:rPr>
          <w:i/>
        </w:rPr>
        <w:t xml:space="preserve">Indicators for the Well Child / </w:t>
      </w:r>
      <w:proofErr w:type="spellStart"/>
      <w:r w:rsidRPr="00D94409">
        <w:rPr>
          <w:i/>
        </w:rPr>
        <w:t>Tamariki</w:t>
      </w:r>
      <w:proofErr w:type="spellEnd"/>
      <w:r w:rsidRPr="00D94409">
        <w:rPr>
          <w:i/>
        </w:rPr>
        <w:t xml:space="preserve"> </w:t>
      </w:r>
      <w:proofErr w:type="spellStart"/>
      <w:r w:rsidRPr="00D94409">
        <w:rPr>
          <w:i/>
        </w:rPr>
        <w:t>Ora</w:t>
      </w:r>
      <w:proofErr w:type="spellEnd"/>
      <w:r w:rsidRPr="00D94409">
        <w:rPr>
          <w:i/>
        </w:rPr>
        <w:t xml:space="preserve"> Quality Improvement Framework March 2015</w:t>
      </w:r>
      <w:r w:rsidRPr="00D94409">
        <w:t>. Wellington: Ministry of Health.</w:t>
      </w:r>
    </w:p>
    <w:p w:rsidR="00A74AC3" w:rsidRPr="00D94409" w:rsidRDefault="00A74AC3" w:rsidP="0090352A">
      <w:pPr>
        <w:pStyle w:val="References"/>
        <w:rPr>
          <w:rFonts w:cs="Century"/>
        </w:rPr>
      </w:pPr>
      <w:proofErr w:type="gramStart"/>
      <w:r w:rsidRPr="00D94409">
        <w:t>Ministry of Health.</w:t>
      </w:r>
      <w:proofErr w:type="gramEnd"/>
      <w:r w:rsidRPr="00D94409">
        <w:t xml:space="preserve"> </w:t>
      </w:r>
      <w:proofErr w:type="gramStart"/>
      <w:r w:rsidRPr="00D94409">
        <w:t xml:space="preserve">2015i. </w:t>
      </w:r>
      <w:r w:rsidRPr="0093666C">
        <w:rPr>
          <w:i/>
        </w:rPr>
        <w:t>National and DHB immunisation data</w:t>
      </w:r>
      <w:r w:rsidRPr="00D94409">
        <w:t>.</w:t>
      </w:r>
      <w:proofErr w:type="gramEnd"/>
      <w:r w:rsidRPr="00D94409">
        <w:t xml:space="preserve"> URL: </w:t>
      </w:r>
      <w:hyperlink r:id="rId48">
        <w:r w:rsidRPr="00D94409">
          <w:t>www.health.govt.nz/our-</w:t>
        </w:r>
      </w:hyperlink>
      <w:r w:rsidRPr="00D94409">
        <w:t xml:space="preserve"> work/preventative-health-wellness/immunisation/immunisation-coverage/national-and-dhb- immunisation-data (accessed 31 August 2015).</w:t>
      </w:r>
    </w:p>
    <w:p w:rsidR="00A74AC3" w:rsidRPr="00D94409" w:rsidRDefault="00A74AC3" w:rsidP="0090352A">
      <w:pPr>
        <w:pStyle w:val="References"/>
        <w:rPr>
          <w:rFonts w:cs="Century"/>
        </w:rPr>
      </w:pPr>
      <w:proofErr w:type="gramStart"/>
      <w:r w:rsidRPr="00D94409">
        <w:t>Ministry of Health.</w:t>
      </w:r>
      <w:proofErr w:type="gramEnd"/>
      <w:r w:rsidRPr="00D94409">
        <w:t xml:space="preserve"> </w:t>
      </w:r>
      <w:proofErr w:type="gramStart"/>
      <w:r w:rsidRPr="00D94409">
        <w:t xml:space="preserve">2015j. </w:t>
      </w:r>
      <w:r w:rsidRPr="0093666C">
        <w:rPr>
          <w:i/>
        </w:rPr>
        <w:t>National Minimum Dataset</w:t>
      </w:r>
      <w:r w:rsidRPr="00D94409">
        <w:t>.</w:t>
      </w:r>
      <w:proofErr w:type="gramEnd"/>
    </w:p>
    <w:p w:rsidR="00A74AC3" w:rsidRPr="00D94409" w:rsidRDefault="00A74AC3" w:rsidP="0090352A">
      <w:pPr>
        <w:pStyle w:val="References"/>
        <w:rPr>
          <w:rFonts w:cs="Century"/>
        </w:rPr>
      </w:pPr>
      <w:proofErr w:type="gramStart"/>
      <w:r w:rsidRPr="00D94409">
        <w:t>Ministry of Health.</w:t>
      </w:r>
      <w:proofErr w:type="gramEnd"/>
      <w:r w:rsidRPr="00D94409">
        <w:t xml:space="preserve"> 2015k. </w:t>
      </w:r>
      <w:r w:rsidRPr="0093666C">
        <w:rPr>
          <w:i/>
        </w:rPr>
        <w:t>Progress on the Better Public Services rheumatic fever target</w:t>
      </w:r>
      <w:r w:rsidRPr="00D94409">
        <w:t xml:space="preserve">. URL: </w:t>
      </w:r>
      <w:hyperlink r:id="rId49">
        <w:r w:rsidRPr="00D94409">
          <w:t>www.</w:t>
        </w:r>
      </w:hyperlink>
      <w:r w:rsidRPr="00D94409">
        <w:t xml:space="preserve"> health.govt.nz/about-ministry/what-we-do/strategic-direction/better-public-services/progress-better- public-services-rheumatic-fever-target (accessed 31 August 2015).</w:t>
      </w:r>
    </w:p>
    <w:p w:rsidR="00A74AC3" w:rsidRPr="00D94409" w:rsidRDefault="00A74AC3" w:rsidP="0090352A">
      <w:pPr>
        <w:pStyle w:val="References"/>
        <w:rPr>
          <w:rFonts w:cs="Century"/>
        </w:rPr>
      </w:pPr>
      <w:proofErr w:type="gramStart"/>
      <w:r w:rsidRPr="00D94409">
        <w:t>Ministry of Health.</w:t>
      </w:r>
      <w:proofErr w:type="gramEnd"/>
      <w:r w:rsidRPr="00D94409">
        <w:t xml:space="preserve"> 2015l. </w:t>
      </w:r>
      <w:r w:rsidRPr="00D94409">
        <w:rPr>
          <w:i/>
        </w:rPr>
        <w:t>Suicide Facts: Deaths and intentional self-harm hospitalisations 2012.</w:t>
      </w:r>
      <w:r w:rsidR="0090352A">
        <w:t xml:space="preserve"> </w:t>
      </w:r>
      <w:r w:rsidRPr="00D94409">
        <w:t>Wellington: Ministry of Health.</w:t>
      </w:r>
    </w:p>
    <w:p w:rsidR="00A74AC3" w:rsidRPr="00D94409" w:rsidRDefault="00A74AC3" w:rsidP="0090352A">
      <w:pPr>
        <w:pStyle w:val="References"/>
        <w:rPr>
          <w:rFonts w:eastAsia="Century" w:hAnsi="Century" w:cs="Century"/>
        </w:rPr>
      </w:pPr>
      <w:proofErr w:type="gramStart"/>
      <w:r w:rsidRPr="00D94409">
        <w:t>Ministry of Health.</w:t>
      </w:r>
      <w:proofErr w:type="gramEnd"/>
      <w:r w:rsidRPr="00D94409">
        <w:t xml:space="preserve"> 2015m. </w:t>
      </w:r>
      <w:r w:rsidRPr="00D94409">
        <w:rPr>
          <w:i/>
        </w:rPr>
        <w:t xml:space="preserve">Understanding Excess Body Weight: New Zealand Health Survey. </w:t>
      </w:r>
      <w:r w:rsidRPr="00D94409">
        <w:t>Wellington: Ministry of Health.</w:t>
      </w:r>
    </w:p>
    <w:p w:rsidR="00A74AC3" w:rsidRPr="00D94409" w:rsidRDefault="00A74AC3" w:rsidP="0090352A">
      <w:pPr>
        <w:pStyle w:val="References"/>
        <w:rPr>
          <w:rFonts w:cs="Century"/>
        </w:rPr>
      </w:pPr>
      <w:proofErr w:type="spellStart"/>
      <w:r w:rsidRPr="00D94409">
        <w:rPr>
          <w:rFonts w:cs="Century"/>
        </w:rPr>
        <w:lastRenderedPageBreak/>
        <w:t>Moehler</w:t>
      </w:r>
      <w:proofErr w:type="spellEnd"/>
      <w:r w:rsidRPr="00D94409">
        <w:rPr>
          <w:rFonts w:cs="Century"/>
        </w:rPr>
        <w:t xml:space="preserve"> E, Brunner R, </w:t>
      </w:r>
      <w:proofErr w:type="spellStart"/>
      <w:r w:rsidRPr="00D94409">
        <w:rPr>
          <w:rFonts w:cs="Century"/>
        </w:rPr>
        <w:t>Wiebel</w:t>
      </w:r>
      <w:proofErr w:type="spellEnd"/>
      <w:r w:rsidRPr="00D94409">
        <w:rPr>
          <w:rFonts w:cs="Century"/>
        </w:rPr>
        <w:t xml:space="preserve"> A, et al. 2006. Maternal depressive symptoms in the postnatal period are associated with long-term impairment of mother–child bonding. </w:t>
      </w:r>
      <w:r w:rsidRPr="00D94409">
        <w:rPr>
          <w:rFonts w:eastAsia="Georgia" w:cs="Georgia"/>
          <w:i/>
        </w:rPr>
        <w:t>Archives of Women</w:t>
      </w:r>
      <w:r w:rsidR="00D94409" w:rsidRPr="00D94409">
        <w:rPr>
          <w:rFonts w:eastAsia="Georgia" w:cs="Georgia"/>
          <w:i/>
        </w:rPr>
        <w:t>’</w:t>
      </w:r>
      <w:r w:rsidRPr="00D94409">
        <w:rPr>
          <w:rFonts w:eastAsia="Georgia" w:cs="Georgia"/>
          <w:i/>
        </w:rPr>
        <w:t xml:space="preserve">s Mental Health </w:t>
      </w:r>
      <w:r w:rsidRPr="00D94409">
        <w:rPr>
          <w:rFonts w:cs="Century"/>
        </w:rPr>
        <w:t>9(5): 273–8.</w:t>
      </w:r>
    </w:p>
    <w:p w:rsidR="00A74AC3" w:rsidRPr="00D94409" w:rsidRDefault="00A74AC3" w:rsidP="0090352A">
      <w:pPr>
        <w:pStyle w:val="References"/>
        <w:rPr>
          <w:rFonts w:eastAsia="Century" w:hAnsi="Century" w:cs="Century"/>
        </w:rPr>
      </w:pPr>
      <w:r w:rsidRPr="00D94409">
        <w:t xml:space="preserve">Morton SMB, </w:t>
      </w:r>
      <w:proofErr w:type="spellStart"/>
      <w:r w:rsidRPr="00D94409">
        <w:t>Atatoa</w:t>
      </w:r>
      <w:proofErr w:type="spellEnd"/>
      <w:r w:rsidRPr="00D94409">
        <w:t xml:space="preserve"> </w:t>
      </w:r>
      <w:proofErr w:type="spellStart"/>
      <w:r w:rsidRPr="00D94409">
        <w:t>Carr</w:t>
      </w:r>
      <w:proofErr w:type="spellEnd"/>
      <w:r w:rsidRPr="00D94409">
        <w:t xml:space="preserve"> PE, et al. 2014. </w:t>
      </w:r>
      <w:r w:rsidRPr="00D94409">
        <w:rPr>
          <w:i/>
        </w:rPr>
        <w:t xml:space="preserve">Growing Up in New Zealand: Vulnerability Report 1: Exploring the definition of vulnerability for children in their first 1000 days. </w:t>
      </w:r>
      <w:r w:rsidRPr="00D94409">
        <w:t>Auckland: Growing Up in New Zealand.</w:t>
      </w:r>
    </w:p>
    <w:p w:rsidR="00A74AC3" w:rsidRPr="00D94409" w:rsidRDefault="00A74AC3" w:rsidP="0090352A">
      <w:pPr>
        <w:pStyle w:val="References"/>
        <w:rPr>
          <w:rFonts w:eastAsia="Century" w:hAnsi="Century" w:cs="Century"/>
        </w:rPr>
      </w:pPr>
      <w:r w:rsidRPr="00D94409">
        <w:t xml:space="preserve">Morton SMB, </w:t>
      </w:r>
      <w:proofErr w:type="spellStart"/>
      <w:r w:rsidRPr="00D94409">
        <w:t>Atatoa</w:t>
      </w:r>
      <w:proofErr w:type="spellEnd"/>
      <w:r w:rsidRPr="00D94409">
        <w:t xml:space="preserve"> </w:t>
      </w:r>
      <w:proofErr w:type="spellStart"/>
      <w:r w:rsidRPr="00D94409">
        <w:t>Carr</w:t>
      </w:r>
      <w:proofErr w:type="spellEnd"/>
      <w:r w:rsidRPr="00D94409">
        <w:t xml:space="preserve"> PE, et al. 2015. </w:t>
      </w:r>
      <w:r w:rsidRPr="00D94409">
        <w:rPr>
          <w:i/>
        </w:rPr>
        <w:t xml:space="preserve">Growing Up in New Zealand: Vulnerability Report 2: Transitions in exposure to vulnerability in the first 1000 days of life. </w:t>
      </w:r>
      <w:r w:rsidRPr="00D94409">
        <w:t>Auckland: Growing Up in New</w:t>
      </w:r>
      <w:r w:rsidR="0093666C">
        <w:t> </w:t>
      </w:r>
      <w:r w:rsidRPr="00D94409">
        <w:t>Zealand.</w:t>
      </w:r>
    </w:p>
    <w:p w:rsidR="00A74AC3" w:rsidRPr="00D94409" w:rsidRDefault="00A74AC3" w:rsidP="0090352A">
      <w:pPr>
        <w:pStyle w:val="References"/>
        <w:rPr>
          <w:rFonts w:cs="Century"/>
        </w:rPr>
      </w:pPr>
      <w:proofErr w:type="gramStart"/>
      <w:r w:rsidRPr="00D94409">
        <w:t>NSU.</w:t>
      </w:r>
      <w:proofErr w:type="gramEnd"/>
      <w:r w:rsidRPr="00D94409">
        <w:t xml:space="preserve"> </w:t>
      </w:r>
      <w:proofErr w:type="gramStart"/>
      <w:r w:rsidRPr="00D94409">
        <w:t xml:space="preserve">2015a. </w:t>
      </w:r>
      <w:r w:rsidRPr="0093666C">
        <w:rPr>
          <w:i/>
        </w:rPr>
        <w:t>National Screening Unit home page</w:t>
      </w:r>
      <w:r w:rsidRPr="00D94409">
        <w:t>.</w:t>
      </w:r>
      <w:proofErr w:type="gramEnd"/>
      <w:r w:rsidRPr="00D94409">
        <w:t xml:space="preserve"> URL: </w:t>
      </w:r>
      <w:hyperlink r:id="rId50">
        <w:r w:rsidRPr="00D94409">
          <w:t>www.nsu.govt.nz</w:t>
        </w:r>
      </w:hyperlink>
      <w:r w:rsidRPr="00D94409">
        <w:t xml:space="preserve"> (accessed 15 September 2015).</w:t>
      </w:r>
    </w:p>
    <w:p w:rsidR="00A74AC3" w:rsidRPr="00D94409" w:rsidRDefault="00A74AC3" w:rsidP="0090352A">
      <w:pPr>
        <w:pStyle w:val="References"/>
        <w:rPr>
          <w:rFonts w:cs="Century"/>
        </w:rPr>
      </w:pPr>
      <w:proofErr w:type="gramStart"/>
      <w:r w:rsidRPr="00D94409">
        <w:t>NSU.</w:t>
      </w:r>
      <w:proofErr w:type="gramEnd"/>
      <w:r w:rsidRPr="00D94409">
        <w:t xml:space="preserve"> </w:t>
      </w:r>
      <w:proofErr w:type="gramStart"/>
      <w:r w:rsidRPr="00D94409">
        <w:t xml:space="preserve">2015b. </w:t>
      </w:r>
      <w:r w:rsidRPr="0093666C">
        <w:rPr>
          <w:i/>
        </w:rPr>
        <w:t>NCSP monthly coverage June 2015</w:t>
      </w:r>
      <w:r w:rsidRPr="00D94409">
        <w:t>.</w:t>
      </w:r>
      <w:proofErr w:type="gramEnd"/>
      <w:r w:rsidRPr="00D94409">
        <w:t xml:space="preserve"> URL: </w:t>
      </w:r>
      <w:hyperlink r:id="rId51">
        <w:r w:rsidRPr="00D94409">
          <w:t>www.nsu.govt.nz/system/files/page/ncsp_</w:t>
        </w:r>
      </w:hyperlink>
      <w:r w:rsidRPr="00D94409">
        <w:t xml:space="preserve"> monthly_coverage_jun_2015_25-69.xls (accessed 15 September 2015).</w:t>
      </w:r>
    </w:p>
    <w:p w:rsidR="00A74AC3" w:rsidRPr="00D94409" w:rsidRDefault="00A74AC3" w:rsidP="0090352A">
      <w:pPr>
        <w:pStyle w:val="References"/>
        <w:rPr>
          <w:rFonts w:eastAsia="Century" w:hAnsi="Century" w:cs="Century"/>
        </w:rPr>
      </w:pPr>
      <w:proofErr w:type="gramStart"/>
      <w:r w:rsidRPr="00D94409">
        <w:t>OECD.</w:t>
      </w:r>
      <w:proofErr w:type="gramEnd"/>
      <w:r w:rsidRPr="00D94409">
        <w:t xml:space="preserve"> 2009. </w:t>
      </w:r>
      <w:r w:rsidRPr="00D94409">
        <w:rPr>
          <w:i/>
        </w:rPr>
        <w:t>Doing Better for Children</w:t>
      </w:r>
      <w:r w:rsidRPr="00D94409">
        <w:t>. Paris: Organisation for Economic Co-operation and Development.</w:t>
      </w:r>
    </w:p>
    <w:p w:rsidR="00A74AC3" w:rsidRPr="00D94409" w:rsidRDefault="00A74AC3" w:rsidP="0090352A">
      <w:pPr>
        <w:pStyle w:val="References"/>
        <w:rPr>
          <w:rFonts w:eastAsia="Century" w:hAnsi="Century" w:cs="Century"/>
        </w:rPr>
      </w:pPr>
      <w:proofErr w:type="gramStart"/>
      <w:r w:rsidRPr="00D94409">
        <w:t>OECD.</w:t>
      </w:r>
      <w:proofErr w:type="gramEnd"/>
      <w:r w:rsidRPr="00D94409">
        <w:t xml:space="preserve"> 2013. </w:t>
      </w:r>
      <w:r w:rsidRPr="00D94409">
        <w:rPr>
          <w:i/>
        </w:rPr>
        <w:t>Health at a Glance 2013: OECD indicators</w:t>
      </w:r>
      <w:r w:rsidRPr="00D94409">
        <w:t>. Paris: Organisation for Economic Co</w:t>
      </w:r>
      <w:r w:rsidR="0093666C">
        <w:noBreakHyphen/>
      </w:r>
      <w:r w:rsidRPr="00D94409">
        <w:t>operation and Development.</w:t>
      </w:r>
    </w:p>
    <w:p w:rsidR="00A74AC3" w:rsidRPr="00D94409" w:rsidRDefault="00A74AC3" w:rsidP="0090352A">
      <w:pPr>
        <w:pStyle w:val="References"/>
        <w:rPr>
          <w:rFonts w:cs="Century"/>
        </w:rPr>
      </w:pPr>
      <w:proofErr w:type="gramStart"/>
      <w:r w:rsidRPr="00D94409">
        <w:t>OECD.</w:t>
      </w:r>
      <w:proofErr w:type="gramEnd"/>
      <w:r w:rsidRPr="00D94409">
        <w:t xml:space="preserve"> </w:t>
      </w:r>
      <w:proofErr w:type="gramStart"/>
      <w:r w:rsidRPr="00D94409">
        <w:t xml:space="preserve">2015. </w:t>
      </w:r>
      <w:r w:rsidRPr="0093666C">
        <w:rPr>
          <w:i/>
        </w:rPr>
        <w:t>OECD Health Statistics 2015</w:t>
      </w:r>
      <w:r w:rsidRPr="00D94409">
        <w:t>.</w:t>
      </w:r>
      <w:proofErr w:type="gramEnd"/>
      <w:r w:rsidRPr="00D94409">
        <w:t xml:space="preserve"> URL: </w:t>
      </w:r>
      <w:hyperlink r:id="rId52">
        <w:r w:rsidRPr="00D94409">
          <w:t>http://stats.oecd.org</w:t>
        </w:r>
      </w:hyperlink>
      <w:r w:rsidRPr="00D94409">
        <w:t xml:space="preserve"> (accessed 29 September 2015).</w:t>
      </w:r>
    </w:p>
    <w:p w:rsidR="00A74AC3" w:rsidRPr="00D94409" w:rsidRDefault="00A74AC3" w:rsidP="0090352A">
      <w:pPr>
        <w:pStyle w:val="References"/>
        <w:rPr>
          <w:rFonts w:eastAsia="Century" w:hAnsi="Century" w:cs="Century"/>
        </w:rPr>
      </w:pPr>
      <w:proofErr w:type="gramStart"/>
      <w:r w:rsidRPr="00D94409">
        <w:t>Parliamentary Review Committee.</w:t>
      </w:r>
      <w:proofErr w:type="gramEnd"/>
      <w:r w:rsidRPr="00D94409">
        <w:t xml:space="preserve"> 2015. </w:t>
      </w:r>
      <w:r w:rsidRPr="00D94409">
        <w:rPr>
          <w:i/>
        </w:rPr>
        <w:t xml:space="preserve">Report of the Parliamentary Review Committee regarding the New Zealand Cervical Screening Programme. </w:t>
      </w:r>
      <w:r w:rsidRPr="00D94409">
        <w:t>Wellington: Ministry of Health.</w:t>
      </w:r>
    </w:p>
    <w:p w:rsidR="00A74AC3" w:rsidRPr="00D94409" w:rsidRDefault="00A74AC3" w:rsidP="0090352A">
      <w:pPr>
        <w:pStyle w:val="References"/>
        <w:rPr>
          <w:rFonts w:eastAsia="Century" w:hAnsi="Century" w:cs="Century"/>
        </w:rPr>
      </w:pPr>
      <w:r w:rsidRPr="00D94409">
        <w:t xml:space="preserve">Raffle A, Barratt A, </w:t>
      </w:r>
      <w:proofErr w:type="spellStart"/>
      <w:r w:rsidRPr="00D94409">
        <w:t>Gray</w:t>
      </w:r>
      <w:proofErr w:type="spellEnd"/>
      <w:r w:rsidRPr="00D94409">
        <w:t xml:space="preserve"> J. 2013. </w:t>
      </w:r>
      <w:proofErr w:type="gramStart"/>
      <w:r w:rsidRPr="00D94409">
        <w:t>Assuring screening programmes.</w:t>
      </w:r>
      <w:proofErr w:type="gramEnd"/>
      <w:r w:rsidRPr="00D94409">
        <w:t xml:space="preserve"> In C Guest, W </w:t>
      </w:r>
      <w:proofErr w:type="spellStart"/>
      <w:r w:rsidRPr="00D94409">
        <w:t>Ricciardi</w:t>
      </w:r>
      <w:proofErr w:type="spellEnd"/>
      <w:r w:rsidRPr="00D94409">
        <w:t>, I</w:t>
      </w:r>
      <w:r w:rsidR="0093666C">
        <w:t> </w:t>
      </w:r>
      <w:proofErr w:type="spellStart"/>
      <w:r w:rsidRPr="00D94409">
        <w:t>Kawachi</w:t>
      </w:r>
      <w:proofErr w:type="spellEnd"/>
      <w:r w:rsidRPr="00D94409">
        <w:t xml:space="preserve">, </w:t>
      </w:r>
      <w:r w:rsidR="0093666C">
        <w:t>et al</w:t>
      </w:r>
      <w:r w:rsidRPr="00D94409">
        <w:t xml:space="preserve"> (</w:t>
      </w:r>
      <w:proofErr w:type="spellStart"/>
      <w:proofErr w:type="gramStart"/>
      <w:r w:rsidRPr="00D94409">
        <w:t>eds</w:t>
      </w:r>
      <w:proofErr w:type="spellEnd"/>
      <w:proofErr w:type="gramEnd"/>
      <w:r w:rsidRPr="00D94409">
        <w:t xml:space="preserve">) </w:t>
      </w:r>
      <w:r w:rsidRPr="00D94409">
        <w:rPr>
          <w:i/>
        </w:rPr>
        <w:t xml:space="preserve">Oxford Handbook of Public Health Practice. </w:t>
      </w:r>
      <w:r w:rsidRPr="00D94409">
        <w:t>New York: Oxford University Press.</w:t>
      </w:r>
    </w:p>
    <w:p w:rsidR="0054599F" w:rsidRDefault="00A74AC3" w:rsidP="0090352A">
      <w:pPr>
        <w:pStyle w:val="References"/>
      </w:pPr>
      <w:r w:rsidRPr="00D94409">
        <w:t xml:space="preserve">Research New Zealand. 2015. </w:t>
      </w:r>
      <w:r w:rsidRPr="00D94409">
        <w:rPr>
          <w:i/>
        </w:rPr>
        <w:t xml:space="preserve">Maternity Consumer Survey 2014. </w:t>
      </w:r>
      <w:r w:rsidRPr="00D94409">
        <w:t>Wellington: Ministry of Health.</w:t>
      </w:r>
    </w:p>
    <w:p w:rsidR="00A74AC3" w:rsidRPr="00D94409" w:rsidRDefault="00A74AC3" w:rsidP="0090352A">
      <w:pPr>
        <w:pStyle w:val="References"/>
        <w:rPr>
          <w:rFonts w:cs="Century"/>
        </w:rPr>
      </w:pPr>
      <w:proofErr w:type="spellStart"/>
      <w:proofErr w:type="gramStart"/>
      <w:r w:rsidRPr="00D94409">
        <w:t>Rumball</w:t>
      </w:r>
      <w:proofErr w:type="spellEnd"/>
      <w:r w:rsidRPr="00D94409">
        <w:t xml:space="preserve">-Smith J, </w:t>
      </w:r>
      <w:proofErr w:type="spellStart"/>
      <w:r w:rsidRPr="00D94409">
        <w:t>Sarfati</w:t>
      </w:r>
      <w:proofErr w:type="spellEnd"/>
      <w:r w:rsidRPr="00D94409">
        <w:t xml:space="preserve"> D. 2012.</w:t>
      </w:r>
      <w:proofErr w:type="gramEnd"/>
      <w:r w:rsidRPr="00D94409">
        <w:t xml:space="preserve"> Readmission: use with caution. </w:t>
      </w:r>
      <w:proofErr w:type="gramStart"/>
      <w:r w:rsidRPr="00D94409">
        <w:rPr>
          <w:i/>
        </w:rPr>
        <w:t>New Zealand Medical Journal</w:t>
      </w:r>
      <w:r w:rsidR="0054599F">
        <w:t xml:space="preserve"> </w:t>
      </w:r>
      <w:r w:rsidRPr="00D94409">
        <w:t>125(1367).</w:t>
      </w:r>
      <w:proofErr w:type="gramEnd"/>
    </w:p>
    <w:p w:rsidR="00A74AC3" w:rsidRPr="00D94409" w:rsidRDefault="00A74AC3" w:rsidP="0090352A">
      <w:pPr>
        <w:pStyle w:val="References"/>
        <w:rPr>
          <w:rFonts w:eastAsia="Century" w:hAnsi="Century" w:cs="Century"/>
        </w:rPr>
      </w:pPr>
      <w:r w:rsidRPr="00D94409">
        <w:t xml:space="preserve">Simpson J, </w:t>
      </w:r>
      <w:proofErr w:type="spellStart"/>
      <w:r w:rsidRPr="00D94409">
        <w:t>Obesn</w:t>
      </w:r>
      <w:proofErr w:type="spellEnd"/>
      <w:r w:rsidRPr="00D94409">
        <w:t xml:space="preserve"> G, </w:t>
      </w:r>
      <w:proofErr w:type="spellStart"/>
      <w:r w:rsidRPr="00D94409">
        <w:t>Wicken</w:t>
      </w:r>
      <w:proofErr w:type="spellEnd"/>
      <w:r w:rsidRPr="00D94409">
        <w:t xml:space="preserve"> A, et al. 2014. </w:t>
      </w:r>
      <w:proofErr w:type="gramStart"/>
      <w:r w:rsidRPr="00D94409">
        <w:rPr>
          <w:i/>
        </w:rPr>
        <w:t>Child Poverty Monitor 2014 Technical Report</w:t>
      </w:r>
      <w:r w:rsidRPr="00D94409">
        <w:t>.</w:t>
      </w:r>
      <w:proofErr w:type="gramEnd"/>
      <w:r w:rsidRPr="00D94409">
        <w:t xml:space="preserve"> Dunedin: NZ Child &amp; Youth Epidemiology Service, University of </w:t>
      </w:r>
      <w:proofErr w:type="spellStart"/>
      <w:r w:rsidRPr="00D94409">
        <w:t>Otago</w:t>
      </w:r>
      <w:proofErr w:type="spellEnd"/>
      <w:r w:rsidRPr="00D94409">
        <w:t>.</w:t>
      </w:r>
    </w:p>
    <w:p w:rsidR="00A74AC3" w:rsidRPr="00D94409" w:rsidRDefault="00A74AC3" w:rsidP="0090352A">
      <w:pPr>
        <w:pStyle w:val="References"/>
        <w:rPr>
          <w:rFonts w:cs="Century"/>
        </w:rPr>
      </w:pPr>
      <w:proofErr w:type="gramStart"/>
      <w:r w:rsidRPr="00D94409">
        <w:t>Statistics New Zealand.</w:t>
      </w:r>
      <w:proofErr w:type="gramEnd"/>
      <w:r w:rsidRPr="00D94409">
        <w:t xml:space="preserve"> 2014a. </w:t>
      </w:r>
      <w:r w:rsidRPr="0093666C">
        <w:rPr>
          <w:i/>
        </w:rPr>
        <w:t xml:space="preserve">2013 Census </w:t>
      </w:r>
      <w:proofErr w:type="spellStart"/>
      <w:r w:rsidRPr="0093666C">
        <w:rPr>
          <w:i/>
        </w:rPr>
        <w:t>QuickStats</w:t>
      </w:r>
      <w:proofErr w:type="spellEnd"/>
      <w:r w:rsidRPr="0093666C">
        <w:rPr>
          <w:i/>
        </w:rPr>
        <w:t xml:space="preserve"> about culture and identity</w:t>
      </w:r>
      <w:r w:rsidRPr="00D94409">
        <w:t>. URL: www.stats. govt.nz</w:t>
      </w:r>
    </w:p>
    <w:p w:rsidR="00A74AC3" w:rsidRPr="00D94409" w:rsidRDefault="00A74AC3" w:rsidP="0090352A">
      <w:pPr>
        <w:pStyle w:val="References"/>
        <w:rPr>
          <w:rFonts w:eastAsia="Century" w:hAnsi="Century" w:cs="Century"/>
        </w:rPr>
      </w:pPr>
      <w:proofErr w:type="gramStart"/>
      <w:r w:rsidRPr="00D94409">
        <w:t>Statistics New Zealand.</w:t>
      </w:r>
      <w:proofErr w:type="gramEnd"/>
      <w:r w:rsidRPr="00D94409">
        <w:t xml:space="preserve"> 2014b. </w:t>
      </w:r>
      <w:r w:rsidRPr="00D94409">
        <w:rPr>
          <w:i/>
        </w:rPr>
        <w:t>Injury Statistics: Work related claims: 2013</w:t>
      </w:r>
      <w:r w:rsidRPr="00D94409">
        <w:t xml:space="preserve">. Wellington: Statistics New Zealand. URL: </w:t>
      </w:r>
      <w:hyperlink r:id="rId53">
        <w:r w:rsidRPr="00D94409">
          <w:t>www.stats.govt.nz</w:t>
        </w:r>
      </w:hyperlink>
    </w:p>
    <w:p w:rsidR="00A74AC3" w:rsidRPr="00D94409" w:rsidRDefault="00A74AC3" w:rsidP="0090352A">
      <w:pPr>
        <w:pStyle w:val="References"/>
        <w:rPr>
          <w:rFonts w:eastAsia="Century" w:hAnsi="Century" w:cs="Century"/>
        </w:rPr>
      </w:pPr>
      <w:proofErr w:type="gramStart"/>
      <w:r w:rsidRPr="00D94409">
        <w:t>Statistics New Zealand.</w:t>
      </w:r>
      <w:proofErr w:type="gramEnd"/>
      <w:r w:rsidRPr="00D94409">
        <w:t xml:space="preserve"> 2014c. </w:t>
      </w:r>
      <w:proofErr w:type="gramStart"/>
      <w:r w:rsidRPr="00D94409">
        <w:rPr>
          <w:i/>
        </w:rPr>
        <w:t>The</w:t>
      </w:r>
      <w:proofErr w:type="gramEnd"/>
      <w:r w:rsidRPr="00D94409">
        <w:rPr>
          <w:i/>
        </w:rPr>
        <w:t xml:space="preserve"> New Zealand Disability Survey 2013. </w:t>
      </w:r>
      <w:r w:rsidRPr="00D94409">
        <w:t>Wellington: Statistics New</w:t>
      </w:r>
      <w:r w:rsidR="0093666C">
        <w:t> </w:t>
      </w:r>
      <w:r w:rsidRPr="00D94409">
        <w:t xml:space="preserve">Zealand. URL: </w:t>
      </w:r>
      <w:hyperlink r:id="rId54">
        <w:r w:rsidRPr="00D94409">
          <w:t>www.stats.govt.nz</w:t>
        </w:r>
      </w:hyperlink>
    </w:p>
    <w:p w:rsidR="0093666C" w:rsidRDefault="00A74AC3" w:rsidP="0090352A">
      <w:pPr>
        <w:pStyle w:val="References"/>
      </w:pPr>
      <w:proofErr w:type="gramStart"/>
      <w:r w:rsidRPr="00D94409">
        <w:t>Statistics New Zealand.</w:t>
      </w:r>
      <w:proofErr w:type="gramEnd"/>
      <w:r w:rsidRPr="00D94409">
        <w:t xml:space="preserve"> 2014d. </w:t>
      </w:r>
      <w:r w:rsidRPr="0093666C">
        <w:rPr>
          <w:i/>
        </w:rPr>
        <w:t>NZ Social Indicators: Life expectancy</w:t>
      </w:r>
      <w:r w:rsidRPr="00D94409">
        <w:t xml:space="preserve">. URL: </w:t>
      </w:r>
      <w:hyperlink r:id="rId55">
        <w:r w:rsidRPr="00D94409">
          <w:t>www.stats.govt.nz</w:t>
        </w:r>
      </w:hyperlink>
      <w:r w:rsidRPr="00D94409">
        <w:t xml:space="preserve"> </w:t>
      </w:r>
    </w:p>
    <w:p w:rsidR="00A74AC3" w:rsidRPr="00D94409" w:rsidRDefault="00A74AC3" w:rsidP="0090352A">
      <w:pPr>
        <w:pStyle w:val="References"/>
        <w:rPr>
          <w:rFonts w:cs="Century"/>
        </w:rPr>
      </w:pPr>
      <w:proofErr w:type="gramStart"/>
      <w:r w:rsidRPr="00D94409">
        <w:t>Statistics New Zealand.</w:t>
      </w:r>
      <w:proofErr w:type="gramEnd"/>
      <w:r w:rsidRPr="00D94409">
        <w:t xml:space="preserve"> 2015a. </w:t>
      </w:r>
      <w:r w:rsidR="0093666C">
        <w:rPr>
          <w:i/>
        </w:rPr>
        <w:t>Estimated R</w:t>
      </w:r>
      <w:r w:rsidRPr="0093666C">
        <w:rPr>
          <w:i/>
        </w:rPr>
        <w:t xml:space="preserve">esident </w:t>
      </w:r>
      <w:r w:rsidR="0093666C">
        <w:rPr>
          <w:i/>
        </w:rPr>
        <w:t>P</w:t>
      </w:r>
      <w:r w:rsidRPr="0093666C">
        <w:rPr>
          <w:i/>
        </w:rPr>
        <w:t>opulation at 30 June 2014</w:t>
      </w:r>
      <w:r w:rsidRPr="00D94409">
        <w:t xml:space="preserve">. URL: </w:t>
      </w:r>
      <w:hyperlink r:id="rId56">
        <w:r w:rsidRPr="00D94409">
          <w:t>www.stats.govt.nz</w:t>
        </w:r>
      </w:hyperlink>
    </w:p>
    <w:p w:rsidR="00A74AC3" w:rsidRPr="00D94409" w:rsidRDefault="00A74AC3" w:rsidP="0090352A">
      <w:pPr>
        <w:pStyle w:val="References"/>
        <w:rPr>
          <w:rFonts w:eastAsia="Century" w:hAnsi="Century" w:cs="Century"/>
        </w:rPr>
      </w:pPr>
      <w:proofErr w:type="gramStart"/>
      <w:r w:rsidRPr="00D94409">
        <w:t>Statistics New Zealand.</w:t>
      </w:r>
      <w:proofErr w:type="gramEnd"/>
      <w:r w:rsidRPr="00D94409">
        <w:t xml:space="preserve"> 2015b. </w:t>
      </w:r>
      <w:proofErr w:type="gramStart"/>
      <w:r w:rsidRPr="00D94409">
        <w:rPr>
          <w:i/>
        </w:rPr>
        <w:t>The</w:t>
      </w:r>
      <w:proofErr w:type="gramEnd"/>
      <w:r w:rsidRPr="00D94409">
        <w:rPr>
          <w:i/>
        </w:rPr>
        <w:t xml:space="preserve"> New Zealand General Social Survey: 2014. </w:t>
      </w:r>
      <w:r w:rsidRPr="00D94409">
        <w:t xml:space="preserve">Wellington: Statistics New Zealand. URL: </w:t>
      </w:r>
      <w:hyperlink r:id="rId57">
        <w:r w:rsidRPr="00D94409">
          <w:t>www.stats.govt.nz</w:t>
        </w:r>
      </w:hyperlink>
    </w:p>
    <w:p w:rsidR="00A74AC3" w:rsidRPr="00D94409" w:rsidRDefault="00A74AC3" w:rsidP="0090352A">
      <w:pPr>
        <w:pStyle w:val="References"/>
        <w:rPr>
          <w:rFonts w:eastAsia="Century" w:hAnsi="Century" w:cs="Century"/>
        </w:rPr>
      </w:pPr>
      <w:proofErr w:type="gramStart"/>
      <w:r w:rsidRPr="00D94409">
        <w:rPr>
          <w:rFonts w:eastAsia="Century" w:hAnsi="Century" w:cs="Century"/>
        </w:rPr>
        <w:t xml:space="preserve">The </w:t>
      </w:r>
      <w:r w:rsidR="009B2B80" w:rsidRPr="00D94409">
        <w:rPr>
          <w:rFonts w:eastAsia="Century" w:hAnsi="Century" w:cs="Century"/>
        </w:rPr>
        <w:t>Commonwealth</w:t>
      </w:r>
      <w:r w:rsidRPr="00D94409">
        <w:rPr>
          <w:rFonts w:eastAsia="Century" w:hAnsi="Century" w:cs="Century"/>
        </w:rPr>
        <w:t xml:space="preserve"> Fund.</w:t>
      </w:r>
      <w:proofErr w:type="gramEnd"/>
      <w:r w:rsidRPr="00D94409">
        <w:rPr>
          <w:rFonts w:eastAsia="Century" w:hAnsi="Century" w:cs="Century"/>
        </w:rPr>
        <w:t xml:space="preserve"> 2014. </w:t>
      </w:r>
      <w:r w:rsidRPr="00D94409">
        <w:rPr>
          <w:rFonts w:eastAsia="Georgia" w:cs="Georgia"/>
          <w:i/>
        </w:rPr>
        <w:t xml:space="preserve">2014 Commonwealth Fund International Health Policy Survey of Older Adults in 11 Countries – Article </w:t>
      </w:r>
      <w:proofErr w:type="spellStart"/>
      <w:r w:rsidRPr="00D94409">
        <w:rPr>
          <w:rFonts w:eastAsia="Georgia" w:cs="Georgia"/>
          <w:i/>
        </w:rPr>
        <w:t>chartpack</w:t>
      </w:r>
      <w:proofErr w:type="spellEnd"/>
      <w:r w:rsidRPr="00D94409">
        <w:rPr>
          <w:rFonts w:eastAsia="Georgia" w:cs="Georgia"/>
          <w:i/>
        </w:rPr>
        <w:t xml:space="preserve">. </w:t>
      </w:r>
      <w:r w:rsidRPr="00D94409">
        <w:rPr>
          <w:rFonts w:eastAsia="Century" w:hAnsi="Century" w:cs="Century"/>
        </w:rPr>
        <w:t xml:space="preserve">Washington, DC: The </w:t>
      </w:r>
      <w:r w:rsidR="009B2B80" w:rsidRPr="00D94409">
        <w:rPr>
          <w:rFonts w:eastAsia="Century" w:hAnsi="Century" w:cs="Century"/>
        </w:rPr>
        <w:t>Commonwealth</w:t>
      </w:r>
      <w:r w:rsidRPr="00D94409">
        <w:rPr>
          <w:rFonts w:eastAsia="Century" w:hAnsi="Century" w:cs="Century"/>
        </w:rPr>
        <w:t xml:space="preserve"> Fund.</w:t>
      </w:r>
    </w:p>
    <w:p w:rsidR="00A74AC3" w:rsidRPr="00D94409" w:rsidRDefault="00A74AC3" w:rsidP="0090352A">
      <w:pPr>
        <w:pStyle w:val="References"/>
        <w:rPr>
          <w:rFonts w:eastAsia="Century" w:hAnsi="Century" w:cs="Century"/>
        </w:rPr>
      </w:pPr>
      <w:r w:rsidRPr="00D94409">
        <w:lastRenderedPageBreak/>
        <w:t xml:space="preserve">Wells JE, Baxter J, </w:t>
      </w:r>
      <w:proofErr w:type="spellStart"/>
      <w:r w:rsidRPr="00D94409">
        <w:t>Schaaf</w:t>
      </w:r>
      <w:proofErr w:type="spellEnd"/>
      <w:r w:rsidRPr="00D94409">
        <w:t xml:space="preserve"> D. 2007. </w:t>
      </w:r>
      <w:r w:rsidRPr="00D94409">
        <w:rPr>
          <w:i/>
        </w:rPr>
        <w:t xml:space="preserve">Substance Use Disorders in </w:t>
      </w:r>
      <w:proofErr w:type="spellStart"/>
      <w:r w:rsidRPr="00D94409">
        <w:rPr>
          <w:i/>
        </w:rPr>
        <w:t>Te</w:t>
      </w:r>
      <w:proofErr w:type="spellEnd"/>
      <w:r w:rsidRPr="00D94409">
        <w:rPr>
          <w:i/>
        </w:rPr>
        <w:t xml:space="preserve"> Rau </w:t>
      </w:r>
      <w:proofErr w:type="spellStart"/>
      <w:r w:rsidRPr="00D94409">
        <w:rPr>
          <w:i/>
        </w:rPr>
        <w:t>Hinengaro</w:t>
      </w:r>
      <w:proofErr w:type="spellEnd"/>
      <w:r w:rsidRPr="00D94409">
        <w:rPr>
          <w:i/>
        </w:rPr>
        <w:t xml:space="preserve">: The New Zealand Mental Health Survey. </w:t>
      </w:r>
      <w:r w:rsidRPr="00D94409">
        <w:t>Wellington: Alcohol Advisory Council of New Zealand.</w:t>
      </w:r>
    </w:p>
    <w:p w:rsidR="00A74AC3" w:rsidRPr="00D94409" w:rsidRDefault="00A74AC3" w:rsidP="0090352A">
      <w:pPr>
        <w:pStyle w:val="References"/>
        <w:rPr>
          <w:rFonts w:cs="Century"/>
        </w:rPr>
      </w:pPr>
      <w:proofErr w:type="gramStart"/>
      <w:r w:rsidRPr="00D94409">
        <w:t>WHO.</w:t>
      </w:r>
      <w:proofErr w:type="gramEnd"/>
      <w:r w:rsidRPr="00D94409">
        <w:t xml:space="preserve"> 2014. </w:t>
      </w:r>
      <w:r w:rsidRPr="0093666C">
        <w:rPr>
          <w:i/>
        </w:rPr>
        <w:t xml:space="preserve">Mental </w:t>
      </w:r>
      <w:r w:rsidR="0093666C">
        <w:rPr>
          <w:i/>
        </w:rPr>
        <w:t>H</w:t>
      </w:r>
      <w:r w:rsidRPr="0093666C">
        <w:rPr>
          <w:i/>
        </w:rPr>
        <w:t xml:space="preserve">ealth: </w:t>
      </w:r>
      <w:r w:rsidR="0093666C">
        <w:rPr>
          <w:i/>
        </w:rPr>
        <w:t>A</w:t>
      </w:r>
      <w:r w:rsidRPr="0093666C">
        <w:rPr>
          <w:i/>
        </w:rPr>
        <w:t xml:space="preserve"> state of well-being</w:t>
      </w:r>
      <w:r w:rsidRPr="00D94409">
        <w:t xml:space="preserve">. Geneva: World Health Organization. URL: www.who. </w:t>
      </w:r>
      <w:proofErr w:type="spellStart"/>
      <w:proofErr w:type="gramStart"/>
      <w:r w:rsidRPr="00D94409">
        <w:t>int</w:t>
      </w:r>
      <w:proofErr w:type="spellEnd"/>
      <w:r w:rsidRPr="00D94409">
        <w:t>/features/</w:t>
      </w:r>
      <w:proofErr w:type="spellStart"/>
      <w:r w:rsidRPr="00D94409">
        <w:t>factfiles</w:t>
      </w:r>
      <w:proofErr w:type="spellEnd"/>
      <w:r w:rsidRPr="00D94409">
        <w:t>/</w:t>
      </w:r>
      <w:proofErr w:type="spellStart"/>
      <w:r w:rsidRPr="00D94409">
        <w:t>mental_health</w:t>
      </w:r>
      <w:proofErr w:type="spellEnd"/>
      <w:r w:rsidRPr="00D94409">
        <w:t>/</w:t>
      </w:r>
      <w:proofErr w:type="spellStart"/>
      <w:r w:rsidRPr="00D94409">
        <w:t>en</w:t>
      </w:r>
      <w:proofErr w:type="spellEnd"/>
      <w:proofErr w:type="gramEnd"/>
      <w:r w:rsidRPr="00D94409">
        <w:t>/ (accessed 15 September 2015).</w:t>
      </w:r>
    </w:p>
    <w:p w:rsidR="00863117" w:rsidRPr="00D94409" w:rsidRDefault="00A74AC3" w:rsidP="0090352A">
      <w:pPr>
        <w:pStyle w:val="References"/>
      </w:pPr>
      <w:proofErr w:type="spellStart"/>
      <w:r w:rsidRPr="00D94409">
        <w:t>Yudkin</w:t>
      </w:r>
      <w:proofErr w:type="spellEnd"/>
      <w:r w:rsidRPr="00D94409">
        <w:t xml:space="preserve"> JS, </w:t>
      </w:r>
      <w:proofErr w:type="spellStart"/>
      <w:r w:rsidRPr="00D94409">
        <w:t>Montori</w:t>
      </w:r>
      <w:proofErr w:type="spellEnd"/>
      <w:r w:rsidRPr="00D94409">
        <w:t xml:space="preserve"> VM. 2014. The epidemic of pre-diabetes: the medicine and the politics. </w:t>
      </w:r>
      <w:r w:rsidRPr="00D94409">
        <w:rPr>
          <w:i/>
        </w:rPr>
        <w:t xml:space="preserve">British Medical Journal </w:t>
      </w:r>
      <w:r w:rsidRPr="00D94409">
        <w:t>349: g4485.</w:t>
      </w:r>
    </w:p>
    <w:p w:rsidR="00F25970" w:rsidRPr="00D94409" w:rsidRDefault="00F25970" w:rsidP="00E76D66"/>
    <w:sectPr w:rsidR="00F25970" w:rsidRPr="00D94409" w:rsidSect="009D5125">
      <w:headerReference w:type="default" r:id="rId58"/>
      <w:footerReference w:type="default" r:id="rId59"/>
      <w:pgSz w:w="11907" w:h="16834" w:code="9"/>
      <w:pgMar w:top="851" w:right="1134" w:bottom="1134" w:left="1134" w:header="284" w:footer="567"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3718" w:rsidRDefault="00313718">
      <w:pPr>
        <w:spacing w:line="240" w:lineRule="auto"/>
      </w:pPr>
      <w:r>
        <w:separator/>
      </w:r>
    </w:p>
  </w:endnote>
  <w:endnote w:type="continuationSeparator" w:id="0">
    <w:p w:rsidR="00313718" w:rsidRDefault="003137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FoundrySans-Normal">
    <w:altName w:val="FoundrySans-Normal"/>
    <w:panose1 w:val="00000000000000000000"/>
    <w:charset w:val="00"/>
    <w:family w:val="swiss"/>
    <w:notTrueType/>
    <w:pitch w:val="default"/>
    <w:sig w:usb0="00000003" w:usb1="00000000" w:usb2="00000000" w:usb3="00000000" w:csb0="00000001" w:csb1="00000000"/>
  </w:font>
  <w:font w:name="DINPro-Light">
    <w:altName w:val="DINPro-Light"/>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380" w:rsidRPr="003648EF" w:rsidRDefault="00880380" w:rsidP="003648EF">
    <w:pPr>
      <w:pStyle w:val="Footer"/>
      <w:pBdr>
        <w:bottom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380" w:rsidRDefault="00880380"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380" w:rsidRDefault="0088038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380" w:rsidRPr="00275D08" w:rsidRDefault="00880380"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A37195">
      <w:rPr>
        <w:rStyle w:val="PageNumber"/>
        <w:noProof/>
      </w:rPr>
      <w:t>50</w:t>
    </w:r>
    <w:r w:rsidRPr="00FC46E7">
      <w:rPr>
        <w:rStyle w:val="PageNumber"/>
      </w:rPr>
      <w:fldChar w:fldCharType="end"/>
    </w:r>
    <w:r>
      <w:tab/>
      <w:t>Health and Independence Report 2015 – Ministry of Health</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380" w:rsidRDefault="00880380" w:rsidP="00533B90">
    <w:pPr>
      <w:pStyle w:val="RectoFooter"/>
    </w:pPr>
    <w:r>
      <w:tab/>
      <w:t>Health and Independence Report 2015 – Ministry of Health</w:t>
    </w:r>
    <w:r>
      <w:tab/>
    </w:r>
    <w:r>
      <w:rPr>
        <w:rStyle w:val="PageNumber"/>
      </w:rPr>
      <w:fldChar w:fldCharType="begin"/>
    </w:r>
    <w:r>
      <w:rPr>
        <w:rStyle w:val="PageNumber"/>
      </w:rPr>
      <w:instrText xml:space="preserve"> PAGE </w:instrText>
    </w:r>
    <w:r>
      <w:rPr>
        <w:rStyle w:val="PageNumber"/>
      </w:rPr>
      <w:fldChar w:fldCharType="separate"/>
    </w:r>
    <w:r w:rsidR="00A37195">
      <w:rPr>
        <w:rStyle w:val="PageNumber"/>
        <w:noProof/>
      </w:rPr>
      <w:t>ix</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380" w:rsidRDefault="00880380" w:rsidP="00533B90">
    <w:pPr>
      <w:pStyle w:val="RectoFooter"/>
    </w:pPr>
    <w:r>
      <w:tab/>
      <w:t>Health and Independence Report 2015 – Ministry of Health</w:t>
    </w:r>
    <w:r>
      <w:tab/>
    </w:r>
    <w:r>
      <w:rPr>
        <w:rStyle w:val="PageNumber"/>
      </w:rPr>
      <w:fldChar w:fldCharType="begin"/>
    </w:r>
    <w:r>
      <w:rPr>
        <w:rStyle w:val="PageNumber"/>
      </w:rPr>
      <w:instrText xml:space="preserve"> PAGE </w:instrText>
    </w:r>
    <w:r>
      <w:rPr>
        <w:rStyle w:val="PageNumber"/>
      </w:rPr>
      <w:fldChar w:fldCharType="separate"/>
    </w:r>
    <w:r w:rsidR="00A37195">
      <w:rPr>
        <w:rStyle w:val="PageNumber"/>
        <w:noProof/>
      </w:rPr>
      <w:t>49</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3718" w:rsidRPr="00E460B6" w:rsidRDefault="00313718" w:rsidP="007B4D3E"/>
  </w:footnote>
  <w:footnote w:type="continuationSeparator" w:id="0">
    <w:p w:rsidR="00313718" w:rsidRDefault="00313718">
      <w:pPr>
        <w:spacing w:line="240" w:lineRule="auto"/>
      </w:pPr>
      <w:r>
        <w:continuationSeparator/>
      </w:r>
    </w:p>
  </w:footnote>
  <w:footnote w:id="1">
    <w:p w:rsidR="00880380" w:rsidRDefault="00880380" w:rsidP="00B935D1">
      <w:pPr>
        <w:pStyle w:val="FootnoteText"/>
      </w:pPr>
      <w:r>
        <w:rPr>
          <w:rStyle w:val="FootnoteReference"/>
        </w:rPr>
        <w:footnoteRef/>
      </w:r>
      <w:r>
        <w:tab/>
      </w:r>
      <w:r w:rsidRPr="00D94409">
        <w:t>OECD data relate to 33 countries with similar levels of economic development to New Zealand.</w:t>
      </w:r>
    </w:p>
  </w:footnote>
  <w:footnote w:id="2">
    <w:p w:rsidR="00880380" w:rsidRDefault="00880380" w:rsidP="00B935D1">
      <w:pPr>
        <w:pStyle w:val="FootnoteText"/>
      </w:pPr>
      <w:r>
        <w:rPr>
          <w:rStyle w:val="FootnoteReference"/>
        </w:rPr>
        <w:footnoteRef/>
      </w:r>
      <w:r>
        <w:tab/>
      </w:r>
      <w:r w:rsidRPr="00D94409">
        <w:t>Pacific life expectancy may be slightly overestimated due to incomplete mortality data on those who move to a Pacific Island</w:t>
      </w:r>
      <w:r>
        <w:t xml:space="preserve"> </w:t>
      </w:r>
      <w:r w:rsidRPr="00D94409">
        <w:t>country when terminally ill.</w:t>
      </w:r>
    </w:p>
  </w:footnote>
  <w:footnote w:id="3">
    <w:p w:rsidR="00880380" w:rsidRDefault="00880380" w:rsidP="0064573A">
      <w:pPr>
        <w:pStyle w:val="FootnoteText"/>
      </w:pPr>
      <w:r>
        <w:rPr>
          <w:rStyle w:val="FootnoteReference"/>
        </w:rPr>
        <w:footnoteRef/>
      </w:r>
      <w:r>
        <w:tab/>
      </w:r>
      <w:r w:rsidRPr="00D94409">
        <w:t>Historic information is not provided for Māori, due to methodological differences in earlier disability survey designs.</w:t>
      </w:r>
    </w:p>
  </w:footnote>
  <w:footnote w:id="4">
    <w:p w:rsidR="00880380" w:rsidRDefault="00880380">
      <w:pPr>
        <w:pStyle w:val="FootnoteText"/>
      </w:pPr>
      <w:r>
        <w:rPr>
          <w:rStyle w:val="FootnoteReference"/>
        </w:rPr>
        <w:footnoteRef/>
      </w:r>
      <w:r>
        <w:tab/>
        <w:t>Disability is defined as an impairment that has a long-term (for more than six months) limiting effect on a person’s ability to carry out day-to-day activities.</w:t>
      </w:r>
    </w:p>
  </w:footnote>
  <w:footnote w:id="5">
    <w:p w:rsidR="00880380" w:rsidRDefault="00880380" w:rsidP="00201EDB">
      <w:pPr>
        <w:pStyle w:val="FootnoteText"/>
      </w:pPr>
      <w:r>
        <w:rPr>
          <w:rStyle w:val="FootnoteReference"/>
        </w:rPr>
        <w:footnoteRef/>
      </w:r>
      <w:r>
        <w:tab/>
      </w:r>
      <w:r w:rsidRPr="00D94409">
        <w:t>Non-melanoma skin cancers are not registered in New Zealand.</w:t>
      </w:r>
    </w:p>
  </w:footnote>
  <w:footnote w:id="6">
    <w:p w:rsidR="00880380" w:rsidRDefault="00880380" w:rsidP="00743A56">
      <w:pPr>
        <w:pStyle w:val="FootnoteText"/>
      </w:pPr>
      <w:r>
        <w:rPr>
          <w:rStyle w:val="FootnoteReference"/>
        </w:rPr>
        <w:footnoteRef/>
      </w:r>
      <w:r>
        <w:tab/>
      </w:r>
      <w:proofErr w:type="gramStart"/>
      <w:r w:rsidRPr="00D94409">
        <w:t>After adjusting for changes in the size and age structure of the population over this period.</w:t>
      </w:r>
      <w:proofErr w:type="gramEnd"/>
    </w:p>
  </w:footnote>
  <w:footnote w:id="7">
    <w:p w:rsidR="00880380" w:rsidRDefault="00880380" w:rsidP="00C47FE3">
      <w:pPr>
        <w:pStyle w:val="FootnoteText"/>
      </w:pPr>
      <w:r>
        <w:rPr>
          <w:rStyle w:val="FootnoteReference"/>
        </w:rPr>
        <w:footnoteRef/>
      </w:r>
      <w:r>
        <w:tab/>
      </w:r>
      <w:proofErr w:type="gramStart"/>
      <w:r w:rsidRPr="00D94409">
        <w:t>After adjusting for age and sex differences.</w:t>
      </w:r>
      <w:proofErr w:type="gramEnd"/>
    </w:p>
  </w:footnote>
  <w:footnote w:id="8">
    <w:p w:rsidR="00880380" w:rsidRDefault="00880380" w:rsidP="00C47FE3">
      <w:pPr>
        <w:pStyle w:val="FootnoteText"/>
      </w:pPr>
      <w:r>
        <w:rPr>
          <w:rStyle w:val="FootnoteReference"/>
        </w:rPr>
        <w:footnoteRef/>
      </w:r>
      <w:r>
        <w:tab/>
      </w:r>
      <w:proofErr w:type="gramStart"/>
      <w:r w:rsidRPr="00D94409">
        <w:t>After adjusting for age, sex and ethnic differences.</w:t>
      </w:r>
      <w:proofErr w:type="gramEnd"/>
    </w:p>
  </w:footnote>
  <w:footnote w:id="9">
    <w:p w:rsidR="00880380" w:rsidRDefault="00880380" w:rsidP="00C47FE3">
      <w:pPr>
        <w:pStyle w:val="FootnoteText"/>
      </w:pPr>
      <w:r>
        <w:rPr>
          <w:rStyle w:val="FootnoteReference"/>
        </w:rPr>
        <w:footnoteRef/>
      </w:r>
      <w:r>
        <w:tab/>
      </w:r>
      <w:proofErr w:type="gramStart"/>
      <w:r w:rsidRPr="00D94409">
        <w:t>Takes account of the reduction in cardiovascular disease and diabetes risk that is linked to low or moderate alcohol consumption.</w:t>
      </w:r>
      <w:proofErr w:type="gramEnd"/>
    </w:p>
  </w:footnote>
  <w:footnote w:id="10">
    <w:p w:rsidR="00880380" w:rsidRDefault="00880380" w:rsidP="00C47FE3">
      <w:pPr>
        <w:pStyle w:val="FootnoteText"/>
      </w:pPr>
      <w:r>
        <w:rPr>
          <w:rStyle w:val="FootnoteReference"/>
        </w:rPr>
        <w:footnoteRef/>
      </w:r>
      <w:r>
        <w:tab/>
      </w:r>
      <w:r w:rsidRPr="00D94409">
        <w:t>Hazardous drinking is defined as behaviour that results in a score of 8 points or more on the Alcohol Use Disorders Identification Test (AUDIT).</w:t>
      </w:r>
    </w:p>
  </w:footnote>
  <w:footnote w:id="11">
    <w:p w:rsidR="00880380" w:rsidRDefault="00880380" w:rsidP="00C47FE3">
      <w:pPr>
        <w:pStyle w:val="FootnoteText"/>
      </w:pPr>
      <w:r>
        <w:rPr>
          <w:rStyle w:val="FootnoteReference"/>
        </w:rPr>
        <w:footnoteRef/>
      </w:r>
      <w:r>
        <w:tab/>
      </w:r>
      <w:proofErr w:type="gramStart"/>
      <w:r w:rsidRPr="00D94409">
        <w:t>After adjusting for other factors that may be influencing the results (such as age, sex and ethnic group).</w:t>
      </w:r>
      <w:proofErr w:type="gramEnd"/>
    </w:p>
  </w:footnote>
  <w:footnote w:id="12">
    <w:p w:rsidR="00880380" w:rsidRDefault="00880380" w:rsidP="00C47FE3">
      <w:pPr>
        <w:pStyle w:val="FootnoteText"/>
      </w:pPr>
      <w:r>
        <w:rPr>
          <w:rStyle w:val="FootnoteReference"/>
        </w:rPr>
        <w:footnoteRef/>
      </w:r>
      <w:r>
        <w:tab/>
      </w:r>
      <w:r w:rsidRPr="00D94409">
        <w:t>Physically active is defi</w:t>
      </w:r>
      <w:r>
        <w:t>ne</w:t>
      </w:r>
      <w:r w:rsidRPr="00D94409">
        <w:t xml:space="preserve">d as undertaking at least 30 minutes of moderate-intensity physical activity at least five days per </w:t>
      </w:r>
      <w:r>
        <w:t>week.</w:t>
      </w:r>
    </w:p>
  </w:footnote>
  <w:footnote w:id="13">
    <w:p w:rsidR="00880380" w:rsidRDefault="00880380" w:rsidP="00F41AAA">
      <w:pPr>
        <w:pStyle w:val="FootnoteText"/>
      </w:pPr>
      <w:r>
        <w:rPr>
          <w:rStyle w:val="FootnoteReference"/>
        </w:rPr>
        <w:footnoteRef/>
      </w:r>
      <w:r>
        <w:tab/>
      </w:r>
      <w:proofErr w:type="gramStart"/>
      <w:r w:rsidRPr="00D94409">
        <w:t>After adjusting for other factors that may be influencing the results (such as age, sex and ethnic group).</w:t>
      </w:r>
      <w:proofErr w:type="gramEnd"/>
    </w:p>
  </w:footnote>
  <w:footnote w:id="14">
    <w:p w:rsidR="00880380" w:rsidRDefault="00880380" w:rsidP="00F41AAA">
      <w:pPr>
        <w:pStyle w:val="FootnoteText"/>
      </w:pPr>
      <w:r>
        <w:rPr>
          <w:rStyle w:val="FootnoteReference"/>
        </w:rPr>
        <w:footnoteRef/>
      </w:r>
      <w:r>
        <w:tab/>
      </w:r>
      <w:r w:rsidRPr="00D94409">
        <w:t>Among countries that report measured obesity rates.</w:t>
      </w:r>
    </w:p>
  </w:footnote>
  <w:footnote w:id="15">
    <w:p w:rsidR="00880380" w:rsidRDefault="00880380" w:rsidP="00F41AAA">
      <w:pPr>
        <w:pStyle w:val="FootnoteText"/>
      </w:pPr>
      <w:r>
        <w:rPr>
          <w:rStyle w:val="FootnoteReference"/>
        </w:rPr>
        <w:footnoteRef/>
      </w:r>
      <w:r>
        <w:tab/>
      </w:r>
      <w:proofErr w:type="gramStart"/>
      <w:r w:rsidRPr="00D94409">
        <w:t>After adjusting for other factors that may be influencing the results (such as age, sex and ethnic group).</w:t>
      </w:r>
      <w:proofErr w:type="gramEnd"/>
    </w:p>
  </w:footnote>
  <w:footnote w:id="16">
    <w:p w:rsidR="00880380" w:rsidRDefault="00880380">
      <w:pPr>
        <w:pStyle w:val="FootnoteText"/>
      </w:pPr>
      <w:r>
        <w:rPr>
          <w:rStyle w:val="FootnoteReference"/>
        </w:rPr>
        <w:footnoteRef/>
      </w:r>
      <w:r>
        <w:tab/>
        <w:t>Vegetable and fruit consumption is used as a proxy measure for a healthy diet; however this measure is likely to overestimate the proportion of New Zealanders who have a healthy diet.</w:t>
      </w:r>
    </w:p>
  </w:footnote>
  <w:footnote w:id="17">
    <w:p w:rsidR="00880380" w:rsidRDefault="00880380" w:rsidP="00C320CF">
      <w:pPr>
        <w:pStyle w:val="FootnoteText"/>
      </w:pPr>
      <w:r>
        <w:rPr>
          <w:rStyle w:val="FootnoteReference"/>
        </w:rPr>
        <w:footnoteRef/>
      </w:r>
      <w:r>
        <w:tab/>
      </w:r>
      <w:r w:rsidRPr="00D94409">
        <w:t>Analysis of household crowding based on census 2013 data.</w:t>
      </w:r>
    </w:p>
  </w:footnote>
  <w:footnote w:id="18">
    <w:p w:rsidR="00880380" w:rsidRDefault="00880380" w:rsidP="00C320CF">
      <w:pPr>
        <w:pStyle w:val="FootnoteText"/>
      </w:pPr>
      <w:r>
        <w:rPr>
          <w:rStyle w:val="FootnoteReference"/>
        </w:rPr>
        <w:footnoteRef/>
      </w:r>
      <w:r>
        <w:tab/>
      </w:r>
      <w:r w:rsidRPr="00D94409">
        <w:t>Data from the Midwifery and Maternity Provider Organisation and LMC services, which represents around 80 percent of pregnant women registered with a midwife.</w:t>
      </w:r>
    </w:p>
  </w:footnote>
  <w:footnote w:id="19">
    <w:p w:rsidR="00880380" w:rsidRDefault="00880380" w:rsidP="003171F2">
      <w:pPr>
        <w:pStyle w:val="FootnoteText"/>
      </w:pPr>
      <w:r>
        <w:rPr>
          <w:rStyle w:val="FootnoteReference"/>
        </w:rPr>
        <w:footnoteRef/>
      </w:r>
      <w:r>
        <w:tab/>
      </w:r>
      <w:r w:rsidRPr="00D94409">
        <w:t>It is likely that alcohol consumption in pregnancy is under-reported, and women may not report alcohol consumed before they were aware of their pregnancy.</w:t>
      </w:r>
    </w:p>
  </w:footnote>
  <w:footnote w:id="20">
    <w:p w:rsidR="00880380" w:rsidRDefault="00880380" w:rsidP="003171F2">
      <w:pPr>
        <w:pStyle w:val="FootnoteText"/>
      </w:pPr>
      <w:r>
        <w:rPr>
          <w:rStyle w:val="FootnoteReference"/>
        </w:rPr>
        <w:footnoteRef/>
      </w:r>
      <w:r>
        <w:tab/>
      </w:r>
      <w:r w:rsidRPr="00D94409">
        <w:t>The study used the 2010 American Diabetes Association definition of pre-diabetes (HbA1c between 39 and 46</w:t>
      </w:r>
      <w:r>
        <w:t> </w:t>
      </w:r>
      <w:proofErr w:type="spellStart"/>
      <w:r w:rsidRPr="00D94409">
        <w:t>mmol</w:t>
      </w:r>
      <w:proofErr w:type="spellEnd"/>
      <w:r w:rsidRPr="00D94409">
        <w:t>/</w:t>
      </w:r>
      <w:proofErr w:type="spellStart"/>
      <w:r w:rsidRPr="00D94409">
        <w:t>mol</w:t>
      </w:r>
      <w:proofErr w:type="spellEnd"/>
      <w:r w:rsidRPr="00D94409">
        <w:t xml:space="preserve">), which differs from the revised 2012 New Zealand criteria (HbA1c between 41 and 49 </w:t>
      </w:r>
      <w:proofErr w:type="spellStart"/>
      <w:r w:rsidRPr="00D94409">
        <w:t>mmol</w:t>
      </w:r>
      <w:proofErr w:type="spellEnd"/>
      <w:r w:rsidRPr="00D94409">
        <w:t>/</w:t>
      </w:r>
      <w:proofErr w:type="spellStart"/>
      <w:r w:rsidRPr="00D94409">
        <w:t>mol</w:t>
      </w:r>
      <w:proofErr w:type="spellEnd"/>
      <w:r w:rsidRPr="00D94409">
        <w:t>).</w:t>
      </w:r>
    </w:p>
  </w:footnote>
  <w:footnote w:id="21">
    <w:p w:rsidR="00880380" w:rsidRDefault="00880380" w:rsidP="00F72992">
      <w:pPr>
        <w:pStyle w:val="FootnoteText"/>
      </w:pPr>
      <w:r>
        <w:rPr>
          <w:rStyle w:val="FootnoteReference"/>
        </w:rPr>
        <w:footnoteRef/>
      </w:r>
      <w:r>
        <w:tab/>
      </w:r>
      <w:r w:rsidRPr="00D94409">
        <w:t>Not adjusted for age, sex and ethnicity.</w:t>
      </w:r>
    </w:p>
  </w:footnote>
  <w:footnote w:id="22">
    <w:p w:rsidR="00880380" w:rsidRDefault="00880380" w:rsidP="00F72992">
      <w:pPr>
        <w:pStyle w:val="FootnoteText"/>
      </w:pPr>
      <w:r>
        <w:rPr>
          <w:rStyle w:val="FootnoteReference"/>
        </w:rPr>
        <w:footnoteRef/>
      </w:r>
      <w:r>
        <w:tab/>
      </w:r>
      <w:proofErr w:type="gramStart"/>
      <w:r w:rsidRPr="00D94409">
        <w:t>Adjusted for age and sex.</w:t>
      </w:r>
      <w:proofErr w:type="gramEnd"/>
    </w:p>
  </w:footnote>
  <w:footnote w:id="23">
    <w:p w:rsidR="00880380" w:rsidRDefault="00880380" w:rsidP="00884FEB">
      <w:pPr>
        <w:pStyle w:val="FootnoteText"/>
      </w:pPr>
      <w:r>
        <w:rPr>
          <w:rStyle w:val="FootnoteReference"/>
        </w:rPr>
        <w:footnoteRef/>
      </w:r>
      <w:r>
        <w:tab/>
      </w:r>
      <w:r w:rsidRPr="00D94409">
        <w:t>These lifestyle factors also contribute to health loss from other causes including cancer, musculoskeletal disorders and respiratory disease.</w:t>
      </w:r>
    </w:p>
  </w:footnote>
  <w:footnote w:id="24">
    <w:p w:rsidR="00880380" w:rsidRPr="00A641DA" w:rsidRDefault="00880380" w:rsidP="00A641DA">
      <w:pPr>
        <w:pStyle w:val="FootnoteText"/>
      </w:pPr>
      <w:r>
        <w:rPr>
          <w:rStyle w:val="FootnoteReference"/>
        </w:rPr>
        <w:footnoteRef/>
      </w:r>
      <w:r>
        <w:tab/>
      </w:r>
      <w:r w:rsidRPr="00D94409">
        <w:t xml:space="preserve">Information is only available for smoking cessation services purchased by the Ministry of Health and not those </w:t>
      </w:r>
      <w:r w:rsidRPr="00A641DA">
        <w:t>directly purchased by district health boards.</w:t>
      </w:r>
    </w:p>
  </w:footnote>
  <w:footnote w:id="25">
    <w:p w:rsidR="00880380" w:rsidRDefault="00880380" w:rsidP="00812DF8">
      <w:pPr>
        <w:pStyle w:val="FootnoteText"/>
      </w:pPr>
      <w:r>
        <w:rPr>
          <w:rStyle w:val="FootnoteReference"/>
        </w:rPr>
        <w:footnoteRef/>
      </w:r>
      <w:r>
        <w:tab/>
      </w:r>
      <w:r w:rsidRPr="00D94409">
        <w:t>High blood pressure is defined as having systolic blood pressure of 140 mmHg or higher and/or diastolic blood pressure of</w:t>
      </w:r>
      <w:r>
        <w:t xml:space="preserve"> </w:t>
      </w:r>
      <w:r w:rsidRPr="00D94409">
        <w:t>90 mmHg or higher and/or currently taking medication for high blood pressure.</w:t>
      </w:r>
    </w:p>
  </w:footnote>
  <w:footnote w:id="26">
    <w:p w:rsidR="00880380" w:rsidRDefault="00880380" w:rsidP="00A641DA">
      <w:pPr>
        <w:pStyle w:val="FootnoteText"/>
      </w:pPr>
      <w:r>
        <w:rPr>
          <w:rStyle w:val="FootnoteReference"/>
        </w:rPr>
        <w:footnoteRef/>
      </w:r>
      <w:r>
        <w:tab/>
      </w:r>
      <w:proofErr w:type="gramStart"/>
      <w:r w:rsidRPr="00D94409">
        <w:t>Based on measurements taken in a single sitting.</w:t>
      </w:r>
      <w:proofErr w:type="gramEnd"/>
      <w:r w:rsidRPr="00D94409">
        <w:t xml:space="preserve"> On repeat testing, many may be found to not have high blood pressure.</w:t>
      </w:r>
    </w:p>
  </w:footnote>
  <w:footnote w:id="27">
    <w:p w:rsidR="00880380" w:rsidRDefault="00880380" w:rsidP="00A4043D">
      <w:pPr>
        <w:pStyle w:val="FootnoteText"/>
      </w:pPr>
      <w:r>
        <w:rPr>
          <w:rStyle w:val="FootnoteReference"/>
        </w:rPr>
        <w:footnoteRef/>
      </w:r>
      <w:r>
        <w:tab/>
      </w:r>
      <w:proofErr w:type="gramStart"/>
      <w:r w:rsidRPr="00D94409">
        <w:t>After standardising for age.</w:t>
      </w:r>
      <w:proofErr w:type="gramEnd"/>
    </w:p>
  </w:footnote>
  <w:footnote w:id="28">
    <w:p w:rsidR="00880380" w:rsidRDefault="00880380" w:rsidP="00A4043D">
      <w:pPr>
        <w:pStyle w:val="FootnoteText"/>
      </w:pPr>
      <w:r>
        <w:rPr>
          <w:rStyle w:val="FootnoteReference"/>
        </w:rPr>
        <w:footnoteRef/>
      </w:r>
      <w:r>
        <w:tab/>
      </w:r>
      <w:r w:rsidRPr="00D94409">
        <w:t>The study used the 2010 American Diabetes Association definition of pre-diabetes (HbA1c between 39 and 46</w:t>
      </w:r>
      <w:r>
        <w:t> </w:t>
      </w:r>
      <w:proofErr w:type="spellStart"/>
      <w:r w:rsidRPr="00D94409">
        <w:t>mmol</w:t>
      </w:r>
      <w:proofErr w:type="spellEnd"/>
      <w:r w:rsidRPr="00D94409">
        <w:t>/</w:t>
      </w:r>
      <w:proofErr w:type="spellStart"/>
      <w:r w:rsidRPr="00D94409">
        <w:t>mol</w:t>
      </w:r>
      <w:proofErr w:type="spellEnd"/>
      <w:r w:rsidRPr="00D94409">
        <w:t xml:space="preserve">), which differs from the revised 2012 New Zealand criteria (HbA1c between 41 and 49 </w:t>
      </w:r>
      <w:proofErr w:type="spellStart"/>
      <w:r w:rsidRPr="00D94409">
        <w:t>mmol</w:t>
      </w:r>
      <w:proofErr w:type="spellEnd"/>
      <w:r w:rsidRPr="00D94409">
        <w:t>/</w:t>
      </w:r>
      <w:proofErr w:type="spellStart"/>
      <w:r w:rsidRPr="00D94409">
        <w:t>mol</w:t>
      </w:r>
      <w:proofErr w:type="spellEnd"/>
      <w:r w:rsidRPr="00D94409">
        <w:t>).</w:t>
      </w:r>
    </w:p>
  </w:footnote>
  <w:footnote w:id="29">
    <w:p w:rsidR="00880380" w:rsidRDefault="00880380" w:rsidP="00A4043D">
      <w:pPr>
        <w:pStyle w:val="FootnoteText"/>
      </w:pPr>
      <w:r>
        <w:rPr>
          <w:rStyle w:val="FootnoteReference"/>
        </w:rPr>
        <w:footnoteRef/>
      </w:r>
      <w:r>
        <w:tab/>
      </w:r>
      <w:r w:rsidRPr="00D94409">
        <w:t>The New Zealand Health Survey does not collect information on self-reported dementia because this measure is unreliable. While excluding dementia, a major cause of health loss in older people, is problematic, it is unlikely to substantively affect the results of multi-morbidity analysis because dementia prevalence is quite low except in the very old.</w:t>
      </w:r>
    </w:p>
  </w:footnote>
  <w:footnote w:id="30">
    <w:p w:rsidR="00880380" w:rsidRDefault="00880380" w:rsidP="00A4043D">
      <w:pPr>
        <w:pStyle w:val="FootnoteText"/>
      </w:pPr>
      <w:r>
        <w:rPr>
          <w:rStyle w:val="FootnoteReference"/>
        </w:rPr>
        <w:footnoteRef/>
      </w:r>
      <w:r>
        <w:tab/>
      </w:r>
      <w:r w:rsidRPr="00D94409">
        <w:t>Chronic pain is pain that is present almost every day and lasting, or expected to last, for more than six months.</w:t>
      </w:r>
    </w:p>
  </w:footnote>
  <w:footnote w:id="31">
    <w:p w:rsidR="00880380" w:rsidRDefault="00880380" w:rsidP="00A4043D">
      <w:pPr>
        <w:pStyle w:val="FootnoteText"/>
      </w:pPr>
      <w:r>
        <w:rPr>
          <w:rStyle w:val="FootnoteReference"/>
        </w:rPr>
        <w:footnoteRef/>
      </w:r>
      <w:r>
        <w:tab/>
      </w:r>
      <w:r w:rsidRPr="00D94409">
        <w:t>Some individuals reporting chronic pain actually have arthritis; so these two categories overlap slightly, which in turn suggests that the co-occurrence of these two conditions may be slightly overestimated.</w:t>
      </w:r>
    </w:p>
  </w:footnote>
  <w:footnote w:id="32">
    <w:p w:rsidR="00880380" w:rsidRDefault="00880380" w:rsidP="00A4043D">
      <w:pPr>
        <w:pStyle w:val="FootnoteText"/>
      </w:pPr>
      <w:r>
        <w:rPr>
          <w:rStyle w:val="FootnoteReference"/>
        </w:rPr>
        <w:footnoteRef/>
      </w:r>
      <w:r>
        <w:tab/>
      </w:r>
      <w:r w:rsidRPr="00D94409">
        <w:rPr>
          <w:rFonts w:eastAsia="Century"/>
        </w:rPr>
        <w:t>This figure only covers hospitalisations for people’s first episode of rheumatic fever.</w:t>
      </w:r>
    </w:p>
  </w:footnote>
  <w:footnote w:id="33">
    <w:p w:rsidR="00880380" w:rsidRDefault="00880380" w:rsidP="00A4043D">
      <w:pPr>
        <w:pStyle w:val="FootnoteText"/>
      </w:pPr>
      <w:r>
        <w:rPr>
          <w:rStyle w:val="FootnoteReference"/>
        </w:rPr>
        <w:footnoteRef/>
      </w:r>
      <w:r>
        <w:tab/>
      </w:r>
      <w:proofErr w:type="gramStart"/>
      <w:r w:rsidRPr="00D94409">
        <w:t>First episode hospitalisations.</w:t>
      </w:r>
      <w:proofErr w:type="gramEnd"/>
    </w:p>
  </w:footnote>
  <w:footnote w:id="34">
    <w:p w:rsidR="00516F3A" w:rsidRDefault="00516F3A" w:rsidP="00516F3A">
      <w:pPr>
        <w:pStyle w:val="FootnoteText"/>
      </w:pPr>
      <w:r>
        <w:rPr>
          <w:rStyle w:val="FootnoteReference"/>
        </w:rPr>
        <w:footnoteRef/>
      </w:r>
      <w:r>
        <w:tab/>
      </w:r>
      <w:proofErr w:type="gramStart"/>
      <w:r w:rsidRPr="00D94409">
        <w:t>Average annual number of deaths between 2000 and 2011.</w:t>
      </w:r>
      <w:proofErr w:type="gramEnd"/>
    </w:p>
  </w:footnote>
  <w:footnote w:id="35">
    <w:p w:rsidR="00516F3A" w:rsidRDefault="00516F3A" w:rsidP="00516F3A">
      <w:pPr>
        <w:pStyle w:val="FootnoteText"/>
      </w:pPr>
      <w:r>
        <w:rPr>
          <w:rStyle w:val="FootnoteReference"/>
        </w:rPr>
        <w:footnoteRef/>
      </w:r>
      <w:r>
        <w:tab/>
      </w:r>
      <w:proofErr w:type="gramStart"/>
      <w:r w:rsidRPr="00D94409">
        <w:t>Average annual number of admissions between 2010 and 2014.</w:t>
      </w:r>
      <w:proofErr w:type="gramEnd"/>
    </w:p>
  </w:footnote>
  <w:footnote w:id="36">
    <w:p w:rsidR="00853115" w:rsidRDefault="00853115" w:rsidP="00853115">
      <w:pPr>
        <w:pStyle w:val="FootnoteText"/>
      </w:pPr>
      <w:r>
        <w:rPr>
          <w:rStyle w:val="FootnoteReference"/>
        </w:rPr>
        <w:footnoteRef/>
      </w:r>
      <w:r>
        <w:tab/>
      </w:r>
      <w:r w:rsidRPr="00D94409">
        <w:t>Assessments should be undertaken every 6 months for those living in long-term care facilities.</w:t>
      </w:r>
    </w:p>
  </w:footnote>
  <w:footnote w:id="37">
    <w:p w:rsidR="0093666C" w:rsidRDefault="0093666C" w:rsidP="0093666C">
      <w:pPr>
        <w:pStyle w:val="FootnoteText"/>
      </w:pPr>
      <w:r>
        <w:rPr>
          <w:rStyle w:val="FootnoteReference"/>
        </w:rPr>
        <w:footnoteRef/>
      </w:r>
      <w:r>
        <w:tab/>
      </w:r>
      <w:r w:rsidRPr="00D94409">
        <w:rPr>
          <w:rFonts w:eastAsia="Century"/>
        </w:rPr>
        <w:t>The WHO identifies the following five moments for hand hygiene as critical to the prevention and control of infections: before touching a patient, before a procedure, after a procedure or body fluid exposure risk, after touching a patient and after touching a patient’s surroundings.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380" w:rsidRDefault="00880380" w:rsidP="00D25FFE">
    <w:pPr>
      <w:pStyle w:val="Header"/>
      <w:ind w:left="-1559"/>
    </w:pPr>
    <w:r>
      <w:rPr>
        <w:noProof/>
        <w:lang w:eastAsia="en-NZ"/>
      </w:rPr>
      <w:drawing>
        <wp:inline distT="0" distB="0" distL="0" distR="0" wp14:anchorId="29BC779F" wp14:editId="3E45DE1C">
          <wp:extent cx="6406616" cy="390698"/>
          <wp:effectExtent l="0" t="0" r="0" b="9525"/>
          <wp:docPr id="1" name="Picture 2"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510 MOH word template masthead"/>
                  <pic:cNvPicPr>
                    <a:picLocks noChangeAspect="1" noChangeArrowheads="1"/>
                  </pic:cNvPicPr>
                </pic:nvPicPr>
                <pic:blipFill rotWithShape="1">
                  <a:blip r:embed="rId1">
                    <a:extLst>
                      <a:ext uri="{28A0092B-C50C-407E-A947-70E740481C1C}">
                        <a14:useLocalDpi xmlns:a14="http://schemas.microsoft.com/office/drawing/2010/main" val="0"/>
                      </a:ext>
                    </a:extLst>
                  </a:blip>
                  <a:srcRect l="6474" t="43167" r="6320" b="20242"/>
                  <a:stretch/>
                </pic:blipFill>
                <pic:spPr bwMode="auto">
                  <a:xfrm>
                    <a:off x="0" y="0"/>
                    <a:ext cx="6409055" cy="390847"/>
                  </a:xfrm>
                  <a:prstGeom prst="rect">
                    <a:avLst/>
                  </a:prstGeom>
                  <a:noFill/>
                  <a:ln>
                    <a:noFill/>
                  </a:ln>
                  <a:extLst>
                    <a:ext uri="{53640926-AAD7-44D8-BBD7-CCE9431645EC}">
                      <a14:shadowObscured xmlns:a14="http://schemas.microsoft.com/office/drawing/2010/main"/>
                    </a:ext>
                  </a:extLst>
                </pic:spPr>
              </pic:pic>
            </a:graphicData>
          </a:graphic>
        </wp:inline>
      </w:drawing>
    </w:r>
  </w:p>
  <w:p w:rsidR="00880380" w:rsidRDefault="00880380" w:rsidP="001B4BF8">
    <w:pPr>
      <w:pStyle w:val="Header"/>
      <w:ind w:left="-1559"/>
      <w:jc w:val="right"/>
    </w:pPr>
    <w:r>
      <w:rPr>
        <w:noProof/>
        <w:lang w:eastAsia="en-NZ"/>
      </w:rPr>
      <w:drawing>
        <wp:inline distT="0" distB="0" distL="0" distR="0" wp14:anchorId="1966BFBA" wp14:editId="15D5F719">
          <wp:extent cx="1246905" cy="12835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overnmentblacksmall.jpg"/>
                  <pic:cNvPicPr/>
                </pic:nvPicPr>
                <pic:blipFill>
                  <a:blip r:embed="rId2">
                    <a:extLst>
                      <a:ext uri="{28A0092B-C50C-407E-A947-70E740481C1C}">
                        <a14:useLocalDpi xmlns:a14="http://schemas.microsoft.com/office/drawing/2010/main" val="0"/>
                      </a:ext>
                    </a:extLst>
                  </a:blip>
                  <a:stretch>
                    <a:fillRect/>
                  </a:stretch>
                </pic:blipFill>
                <pic:spPr>
                  <a:xfrm>
                    <a:off x="0" y="0"/>
                    <a:ext cx="1282205" cy="131992"/>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380" w:rsidRDefault="00880380"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380" w:rsidRDefault="00880380"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380" w:rsidRDefault="00880380" w:rsidP="003A26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CBE423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9B1ED5"/>
    <w:multiLevelType w:val="hybridMultilevel"/>
    <w:tmpl w:val="26C6DB94"/>
    <w:lvl w:ilvl="0" w:tplc="35BE4928">
      <w:start w:val="6"/>
      <w:numFmt w:val="decimal"/>
      <w:lvlText w:val="%1"/>
      <w:lvlJc w:val="left"/>
      <w:pPr>
        <w:ind w:left="437" w:hanging="284"/>
        <w:jc w:val="left"/>
      </w:pPr>
      <w:rPr>
        <w:rFonts w:ascii="Century" w:eastAsia="Century" w:hAnsi="Century" w:hint="default"/>
        <w:w w:val="103"/>
        <w:sz w:val="16"/>
        <w:szCs w:val="16"/>
      </w:rPr>
    </w:lvl>
    <w:lvl w:ilvl="1" w:tplc="DD50BEB6">
      <w:start w:val="1"/>
      <w:numFmt w:val="bullet"/>
      <w:lvlText w:val="•"/>
      <w:lvlJc w:val="left"/>
      <w:pPr>
        <w:ind w:left="1388" w:hanging="284"/>
      </w:pPr>
      <w:rPr>
        <w:rFonts w:hint="default"/>
      </w:rPr>
    </w:lvl>
    <w:lvl w:ilvl="2" w:tplc="FE82470A">
      <w:start w:val="1"/>
      <w:numFmt w:val="bullet"/>
      <w:lvlText w:val="•"/>
      <w:lvlJc w:val="left"/>
      <w:pPr>
        <w:ind w:left="2338" w:hanging="284"/>
      </w:pPr>
      <w:rPr>
        <w:rFonts w:hint="default"/>
      </w:rPr>
    </w:lvl>
    <w:lvl w:ilvl="3" w:tplc="B7363696">
      <w:start w:val="1"/>
      <w:numFmt w:val="bullet"/>
      <w:lvlText w:val="•"/>
      <w:lvlJc w:val="left"/>
      <w:pPr>
        <w:ind w:left="3289" w:hanging="284"/>
      </w:pPr>
      <w:rPr>
        <w:rFonts w:hint="default"/>
      </w:rPr>
    </w:lvl>
    <w:lvl w:ilvl="4" w:tplc="63C4B984">
      <w:start w:val="1"/>
      <w:numFmt w:val="bullet"/>
      <w:lvlText w:val="•"/>
      <w:lvlJc w:val="left"/>
      <w:pPr>
        <w:ind w:left="4240" w:hanging="284"/>
      </w:pPr>
      <w:rPr>
        <w:rFonts w:hint="default"/>
      </w:rPr>
    </w:lvl>
    <w:lvl w:ilvl="5" w:tplc="9E56B814">
      <w:start w:val="1"/>
      <w:numFmt w:val="bullet"/>
      <w:lvlText w:val="•"/>
      <w:lvlJc w:val="left"/>
      <w:pPr>
        <w:ind w:left="5191" w:hanging="284"/>
      </w:pPr>
      <w:rPr>
        <w:rFonts w:hint="default"/>
      </w:rPr>
    </w:lvl>
    <w:lvl w:ilvl="6" w:tplc="57B29B82">
      <w:start w:val="1"/>
      <w:numFmt w:val="bullet"/>
      <w:lvlText w:val="•"/>
      <w:lvlJc w:val="left"/>
      <w:pPr>
        <w:ind w:left="6142" w:hanging="284"/>
      </w:pPr>
      <w:rPr>
        <w:rFonts w:hint="default"/>
      </w:rPr>
    </w:lvl>
    <w:lvl w:ilvl="7" w:tplc="79182FC2">
      <w:start w:val="1"/>
      <w:numFmt w:val="bullet"/>
      <w:lvlText w:val="•"/>
      <w:lvlJc w:val="left"/>
      <w:pPr>
        <w:ind w:left="7093" w:hanging="284"/>
      </w:pPr>
      <w:rPr>
        <w:rFonts w:hint="default"/>
      </w:rPr>
    </w:lvl>
    <w:lvl w:ilvl="8" w:tplc="6EB0D56C">
      <w:start w:val="1"/>
      <w:numFmt w:val="bullet"/>
      <w:lvlText w:val="•"/>
      <w:lvlJc w:val="left"/>
      <w:pPr>
        <w:ind w:left="8043" w:hanging="284"/>
      </w:pPr>
      <w:rPr>
        <w:rFonts w:hint="default"/>
      </w:rPr>
    </w:lvl>
  </w:abstractNum>
  <w:abstractNum w:abstractNumId="2">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3">
    <w:nsid w:val="08BD6A46"/>
    <w:multiLevelType w:val="hybridMultilevel"/>
    <w:tmpl w:val="76B2037E"/>
    <w:lvl w:ilvl="0" w:tplc="35904D7E">
      <w:start w:val="1"/>
      <w:numFmt w:val="bullet"/>
      <w:lvlText w:val="•"/>
      <w:lvlJc w:val="left"/>
      <w:pPr>
        <w:ind w:left="417" w:hanging="284"/>
      </w:pPr>
      <w:rPr>
        <w:rFonts w:ascii="Century" w:eastAsia="Century" w:hAnsi="Century" w:hint="default"/>
        <w:w w:val="58"/>
        <w:sz w:val="20"/>
        <w:szCs w:val="20"/>
      </w:rPr>
    </w:lvl>
    <w:lvl w:ilvl="1" w:tplc="57CA3DEC">
      <w:start w:val="1"/>
      <w:numFmt w:val="bullet"/>
      <w:lvlText w:val="•"/>
      <w:lvlJc w:val="left"/>
      <w:pPr>
        <w:ind w:left="1368" w:hanging="284"/>
      </w:pPr>
      <w:rPr>
        <w:rFonts w:hint="default"/>
      </w:rPr>
    </w:lvl>
    <w:lvl w:ilvl="2" w:tplc="E2824D0E">
      <w:start w:val="1"/>
      <w:numFmt w:val="bullet"/>
      <w:lvlText w:val="•"/>
      <w:lvlJc w:val="left"/>
      <w:pPr>
        <w:ind w:left="2318" w:hanging="284"/>
      </w:pPr>
      <w:rPr>
        <w:rFonts w:hint="default"/>
      </w:rPr>
    </w:lvl>
    <w:lvl w:ilvl="3" w:tplc="60C0FB2C">
      <w:start w:val="1"/>
      <w:numFmt w:val="bullet"/>
      <w:lvlText w:val="•"/>
      <w:lvlJc w:val="left"/>
      <w:pPr>
        <w:ind w:left="3269" w:hanging="284"/>
      </w:pPr>
      <w:rPr>
        <w:rFonts w:hint="default"/>
      </w:rPr>
    </w:lvl>
    <w:lvl w:ilvl="4" w:tplc="66DEEFC6">
      <w:start w:val="1"/>
      <w:numFmt w:val="bullet"/>
      <w:lvlText w:val="•"/>
      <w:lvlJc w:val="left"/>
      <w:pPr>
        <w:ind w:left="4220" w:hanging="284"/>
      </w:pPr>
      <w:rPr>
        <w:rFonts w:hint="default"/>
      </w:rPr>
    </w:lvl>
    <w:lvl w:ilvl="5" w:tplc="070A591C">
      <w:start w:val="1"/>
      <w:numFmt w:val="bullet"/>
      <w:lvlText w:val="•"/>
      <w:lvlJc w:val="left"/>
      <w:pPr>
        <w:ind w:left="5171" w:hanging="284"/>
      </w:pPr>
      <w:rPr>
        <w:rFonts w:hint="default"/>
      </w:rPr>
    </w:lvl>
    <w:lvl w:ilvl="6" w:tplc="16C605F0">
      <w:start w:val="1"/>
      <w:numFmt w:val="bullet"/>
      <w:lvlText w:val="•"/>
      <w:lvlJc w:val="left"/>
      <w:pPr>
        <w:ind w:left="6122" w:hanging="284"/>
      </w:pPr>
      <w:rPr>
        <w:rFonts w:hint="default"/>
      </w:rPr>
    </w:lvl>
    <w:lvl w:ilvl="7" w:tplc="1BA83F66">
      <w:start w:val="1"/>
      <w:numFmt w:val="bullet"/>
      <w:lvlText w:val="•"/>
      <w:lvlJc w:val="left"/>
      <w:pPr>
        <w:ind w:left="7073" w:hanging="284"/>
      </w:pPr>
      <w:rPr>
        <w:rFonts w:hint="default"/>
      </w:rPr>
    </w:lvl>
    <w:lvl w:ilvl="8" w:tplc="95C8B396">
      <w:start w:val="1"/>
      <w:numFmt w:val="bullet"/>
      <w:lvlText w:val="•"/>
      <w:lvlJc w:val="left"/>
      <w:pPr>
        <w:ind w:left="8023" w:hanging="284"/>
      </w:pPr>
      <w:rPr>
        <w:rFonts w:hint="default"/>
      </w:rPr>
    </w:lvl>
  </w:abstractNum>
  <w:abstractNum w:abstractNumId="4">
    <w:nsid w:val="0D4F490F"/>
    <w:multiLevelType w:val="hybridMultilevel"/>
    <w:tmpl w:val="014293D2"/>
    <w:lvl w:ilvl="0" w:tplc="492C7A4E">
      <w:start w:val="14"/>
      <w:numFmt w:val="decimal"/>
      <w:lvlText w:val="%1"/>
      <w:lvlJc w:val="left"/>
      <w:pPr>
        <w:ind w:left="457" w:hanging="284"/>
        <w:jc w:val="left"/>
      </w:pPr>
      <w:rPr>
        <w:rFonts w:ascii="Century" w:eastAsia="Century" w:hAnsi="Century" w:hint="default"/>
        <w:spacing w:val="-4"/>
        <w:w w:val="75"/>
        <w:sz w:val="16"/>
        <w:szCs w:val="16"/>
      </w:rPr>
    </w:lvl>
    <w:lvl w:ilvl="1" w:tplc="5F0E1522">
      <w:start w:val="1"/>
      <w:numFmt w:val="bullet"/>
      <w:lvlText w:val="•"/>
      <w:lvlJc w:val="left"/>
      <w:pPr>
        <w:ind w:left="457" w:hanging="284"/>
      </w:pPr>
      <w:rPr>
        <w:rFonts w:hint="default"/>
      </w:rPr>
    </w:lvl>
    <w:lvl w:ilvl="2" w:tplc="038EB9A4">
      <w:start w:val="1"/>
      <w:numFmt w:val="bullet"/>
      <w:lvlText w:val="•"/>
      <w:lvlJc w:val="left"/>
      <w:pPr>
        <w:ind w:left="526" w:hanging="284"/>
      </w:pPr>
      <w:rPr>
        <w:rFonts w:hint="default"/>
      </w:rPr>
    </w:lvl>
    <w:lvl w:ilvl="3" w:tplc="6212AC62">
      <w:start w:val="1"/>
      <w:numFmt w:val="bullet"/>
      <w:lvlText w:val="•"/>
      <w:lvlJc w:val="left"/>
      <w:pPr>
        <w:ind w:left="557" w:hanging="284"/>
      </w:pPr>
      <w:rPr>
        <w:rFonts w:hint="default"/>
      </w:rPr>
    </w:lvl>
    <w:lvl w:ilvl="4" w:tplc="A6D60DE0">
      <w:start w:val="1"/>
      <w:numFmt w:val="bullet"/>
      <w:lvlText w:val="•"/>
      <w:lvlJc w:val="left"/>
      <w:pPr>
        <w:ind w:left="627" w:hanging="284"/>
      </w:pPr>
      <w:rPr>
        <w:rFonts w:hint="default"/>
      </w:rPr>
    </w:lvl>
    <w:lvl w:ilvl="5" w:tplc="B69057F6">
      <w:start w:val="1"/>
      <w:numFmt w:val="bullet"/>
      <w:lvlText w:val="•"/>
      <w:lvlJc w:val="left"/>
      <w:pPr>
        <w:ind w:left="927" w:hanging="284"/>
      </w:pPr>
      <w:rPr>
        <w:rFonts w:hint="default"/>
      </w:rPr>
    </w:lvl>
    <w:lvl w:ilvl="6" w:tplc="F4806A82">
      <w:start w:val="1"/>
      <w:numFmt w:val="bullet"/>
      <w:lvlText w:val="•"/>
      <w:lvlJc w:val="left"/>
      <w:pPr>
        <w:ind w:left="983" w:hanging="284"/>
      </w:pPr>
      <w:rPr>
        <w:rFonts w:hint="default"/>
      </w:rPr>
    </w:lvl>
    <w:lvl w:ilvl="7" w:tplc="90686FF6">
      <w:start w:val="1"/>
      <w:numFmt w:val="bullet"/>
      <w:lvlText w:val="•"/>
      <w:lvlJc w:val="left"/>
      <w:pPr>
        <w:ind w:left="1283" w:hanging="284"/>
      </w:pPr>
      <w:rPr>
        <w:rFonts w:hint="default"/>
      </w:rPr>
    </w:lvl>
    <w:lvl w:ilvl="8" w:tplc="8A00CD3C">
      <w:start w:val="1"/>
      <w:numFmt w:val="bullet"/>
      <w:lvlText w:val="•"/>
      <w:lvlJc w:val="left"/>
      <w:pPr>
        <w:ind w:left="1656" w:hanging="284"/>
      </w:pPr>
      <w:rPr>
        <w:rFonts w:hint="default"/>
      </w:rPr>
    </w:lvl>
  </w:abstractNum>
  <w:abstractNum w:abstractNumId="5">
    <w:nsid w:val="12CA785B"/>
    <w:multiLevelType w:val="hybridMultilevel"/>
    <w:tmpl w:val="304E95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nsid w:val="19784D26"/>
    <w:multiLevelType w:val="hybridMultilevel"/>
    <w:tmpl w:val="ED789B6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nsid w:val="20CD0FBA"/>
    <w:multiLevelType w:val="hybridMultilevel"/>
    <w:tmpl w:val="1294FB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2AB80D8F"/>
    <w:multiLevelType w:val="hybridMultilevel"/>
    <w:tmpl w:val="8EB8A500"/>
    <w:lvl w:ilvl="0" w:tplc="8E62B842">
      <w:start w:val="1"/>
      <w:numFmt w:val="bullet"/>
      <w:lvlText w:val="•"/>
      <w:lvlJc w:val="left"/>
      <w:pPr>
        <w:ind w:left="489" w:hanging="225"/>
      </w:pPr>
      <w:rPr>
        <w:rFonts w:ascii="Century" w:eastAsia="Century" w:hAnsi="Century" w:hint="default"/>
        <w:w w:val="61"/>
        <w:sz w:val="22"/>
        <w:szCs w:val="22"/>
      </w:rPr>
    </w:lvl>
    <w:lvl w:ilvl="1" w:tplc="75D6FF3E">
      <w:start w:val="1"/>
      <w:numFmt w:val="bullet"/>
      <w:lvlText w:val="•"/>
      <w:lvlJc w:val="left"/>
      <w:pPr>
        <w:ind w:left="1194" w:hanging="225"/>
      </w:pPr>
      <w:rPr>
        <w:rFonts w:ascii="Century" w:eastAsia="Century" w:hAnsi="Century" w:hint="default"/>
        <w:w w:val="61"/>
        <w:sz w:val="22"/>
        <w:szCs w:val="22"/>
      </w:rPr>
    </w:lvl>
    <w:lvl w:ilvl="2" w:tplc="8B6C3E48">
      <w:start w:val="1"/>
      <w:numFmt w:val="bullet"/>
      <w:lvlText w:val="•"/>
      <w:lvlJc w:val="left"/>
      <w:pPr>
        <w:ind w:left="1688" w:hanging="225"/>
      </w:pPr>
      <w:rPr>
        <w:rFonts w:hint="default"/>
      </w:rPr>
    </w:lvl>
    <w:lvl w:ilvl="3" w:tplc="B76889DC">
      <w:start w:val="1"/>
      <w:numFmt w:val="bullet"/>
      <w:lvlText w:val="•"/>
      <w:lvlJc w:val="left"/>
      <w:pPr>
        <w:ind w:left="2181" w:hanging="225"/>
      </w:pPr>
      <w:rPr>
        <w:rFonts w:hint="default"/>
      </w:rPr>
    </w:lvl>
    <w:lvl w:ilvl="4" w:tplc="52807BDE">
      <w:start w:val="1"/>
      <w:numFmt w:val="bullet"/>
      <w:lvlText w:val="•"/>
      <w:lvlJc w:val="left"/>
      <w:pPr>
        <w:ind w:left="2675" w:hanging="225"/>
      </w:pPr>
      <w:rPr>
        <w:rFonts w:hint="default"/>
      </w:rPr>
    </w:lvl>
    <w:lvl w:ilvl="5" w:tplc="589E1256">
      <w:start w:val="1"/>
      <w:numFmt w:val="bullet"/>
      <w:lvlText w:val="•"/>
      <w:lvlJc w:val="left"/>
      <w:pPr>
        <w:ind w:left="3169" w:hanging="225"/>
      </w:pPr>
      <w:rPr>
        <w:rFonts w:hint="default"/>
      </w:rPr>
    </w:lvl>
    <w:lvl w:ilvl="6" w:tplc="F0B2680A">
      <w:start w:val="1"/>
      <w:numFmt w:val="bullet"/>
      <w:lvlText w:val="•"/>
      <w:lvlJc w:val="left"/>
      <w:pPr>
        <w:ind w:left="3662" w:hanging="225"/>
      </w:pPr>
      <w:rPr>
        <w:rFonts w:hint="default"/>
      </w:rPr>
    </w:lvl>
    <w:lvl w:ilvl="7" w:tplc="DCDA18D4">
      <w:start w:val="1"/>
      <w:numFmt w:val="bullet"/>
      <w:lvlText w:val="•"/>
      <w:lvlJc w:val="left"/>
      <w:pPr>
        <w:ind w:left="4156" w:hanging="225"/>
      </w:pPr>
      <w:rPr>
        <w:rFonts w:hint="default"/>
      </w:rPr>
    </w:lvl>
    <w:lvl w:ilvl="8" w:tplc="C0366F30">
      <w:start w:val="1"/>
      <w:numFmt w:val="bullet"/>
      <w:lvlText w:val="•"/>
      <w:lvlJc w:val="left"/>
      <w:pPr>
        <w:ind w:left="4649" w:hanging="225"/>
      </w:pPr>
      <w:rPr>
        <w:rFonts w:hint="default"/>
      </w:rPr>
    </w:lvl>
  </w:abstractNum>
  <w:abstractNum w:abstractNumId="9">
    <w:nsid w:val="2FCD7B7C"/>
    <w:multiLevelType w:val="hybridMultilevel"/>
    <w:tmpl w:val="23DC028E"/>
    <w:lvl w:ilvl="0" w:tplc="804A2A5E">
      <w:start w:val="1"/>
      <w:numFmt w:val="bullet"/>
      <w:lvlText w:val="•"/>
      <w:lvlJc w:val="left"/>
      <w:pPr>
        <w:ind w:left="605" w:hanging="225"/>
      </w:pPr>
      <w:rPr>
        <w:rFonts w:ascii="Century" w:eastAsia="Century" w:hAnsi="Century" w:hint="default"/>
        <w:w w:val="61"/>
        <w:sz w:val="22"/>
        <w:szCs w:val="22"/>
      </w:rPr>
    </w:lvl>
    <w:lvl w:ilvl="1" w:tplc="D818B418">
      <w:start w:val="1"/>
      <w:numFmt w:val="bullet"/>
      <w:lvlText w:val="•"/>
      <w:lvlJc w:val="left"/>
      <w:pPr>
        <w:ind w:left="1038" w:hanging="225"/>
      </w:pPr>
      <w:rPr>
        <w:rFonts w:ascii="Century" w:eastAsia="Century" w:hAnsi="Century" w:hint="default"/>
        <w:w w:val="61"/>
        <w:sz w:val="22"/>
        <w:szCs w:val="22"/>
      </w:rPr>
    </w:lvl>
    <w:lvl w:ilvl="2" w:tplc="6FF46F5C">
      <w:start w:val="1"/>
      <w:numFmt w:val="bullet"/>
      <w:lvlText w:val="•"/>
      <w:lvlJc w:val="left"/>
      <w:pPr>
        <w:ind w:left="1403" w:hanging="225"/>
      </w:pPr>
      <w:rPr>
        <w:rFonts w:hint="default"/>
      </w:rPr>
    </w:lvl>
    <w:lvl w:ilvl="3" w:tplc="B43619DE">
      <w:start w:val="1"/>
      <w:numFmt w:val="bullet"/>
      <w:lvlText w:val="•"/>
      <w:lvlJc w:val="left"/>
      <w:pPr>
        <w:ind w:left="1768" w:hanging="225"/>
      </w:pPr>
      <w:rPr>
        <w:rFonts w:hint="default"/>
      </w:rPr>
    </w:lvl>
    <w:lvl w:ilvl="4" w:tplc="C37E41C0">
      <w:start w:val="1"/>
      <w:numFmt w:val="bullet"/>
      <w:lvlText w:val="•"/>
      <w:lvlJc w:val="left"/>
      <w:pPr>
        <w:ind w:left="2133" w:hanging="225"/>
      </w:pPr>
      <w:rPr>
        <w:rFonts w:hint="default"/>
      </w:rPr>
    </w:lvl>
    <w:lvl w:ilvl="5" w:tplc="BDCA74EC">
      <w:start w:val="1"/>
      <w:numFmt w:val="bullet"/>
      <w:lvlText w:val="•"/>
      <w:lvlJc w:val="left"/>
      <w:pPr>
        <w:ind w:left="2498" w:hanging="225"/>
      </w:pPr>
      <w:rPr>
        <w:rFonts w:hint="default"/>
      </w:rPr>
    </w:lvl>
    <w:lvl w:ilvl="6" w:tplc="0832B5C2">
      <w:start w:val="1"/>
      <w:numFmt w:val="bullet"/>
      <w:lvlText w:val="•"/>
      <w:lvlJc w:val="left"/>
      <w:pPr>
        <w:ind w:left="2863" w:hanging="225"/>
      </w:pPr>
      <w:rPr>
        <w:rFonts w:hint="default"/>
      </w:rPr>
    </w:lvl>
    <w:lvl w:ilvl="7" w:tplc="52923B22">
      <w:start w:val="1"/>
      <w:numFmt w:val="bullet"/>
      <w:lvlText w:val="•"/>
      <w:lvlJc w:val="left"/>
      <w:pPr>
        <w:ind w:left="3229" w:hanging="225"/>
      </w:pPr>
      <w:rPr>
        <w:rFonts w:hint="default"/>
      </w:rPr>
    </w:lvl>
    <w:lvl w:ilvl="8" w:tplc="FFBEB284">
      <w:start w:val="1"/>
      <w:numFmt w:val="bullet"/>
      <w:lvlText w:val="•"/>
      <w:lvlJc w:val="left"/>
      <w:pPr>
        <w:ind w:left="3594" w:hanging="225"/>
      </w:pPr>
      <w:rPr>
        <w:rFonts w:hint="default"/>
      </w:rPr>
    </w:lvl>
  </w:abstractNum>
  <w:abstractNum w:abstractNumId="1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E883876"/>
    <w:multiLevelType w:val="hybridMultilevel"/>
    <w:tmpl w:val="6F822A50"/>
    <w:lvl w:ilvl="0" w:tplc="B40812C6">
      <w:start w:val="21"/>
      <w:numFmt w:val="decimal"/>
      <w:lvlText w:val="%1"/>
      <w:lvlJc w:val="left"/>
      <w:pPr>
        <w:ind w:left="431" w:hanging="284"/>
        <w:jc w:val="left"/>
      </w:pPr>
      <w:rPr>
        <w:rFonts w:ascii="Century" w:eastAsia="Century" w:hAnsi="Century" w:hint="default"/>
        <w:w w:val="84"/>
        <w:sz w:val="16"/>
        <w:szCs w:val="16"/>
      </w:rPr>
    </w:lvl>
    <w:lvl w:ilvl="1" w:tplc="727C619A">
      <w:start w:val="1"/>
      <w:numFmt w:val="bullet"/>
      <w:lvlText w:val="•"/>
      <w:lvlJc w:val="left"/>
      <w:pPr>
        <w:ind w:left="1380" w:hanging="284"/>
      </w:pPr>
      <w:rPr>
        <w:rFonts w:hint="default"/>
      </w:rPr>
    </w:lvl>
    <w:lvl w:ilvl="2" w:tplc="C59ED79A">
      <w:start w:val="1"/>
      <w:numFmt w:val="bullet"/>
      <w:lvlText w:val="•"/>
      <w:lvlJc w:val="left"/>
      <w:pPr>
        <w:ind w:left="2330" w:hanging="284"/>
      </w:pPr>
      <w:rPr>
        <w:rFonts w:hint="default"/>
      </w:rPr>
    </w:lvl>
    <w:lvl w:ilvl="3" w:tplc="D908B150">
      <w:start w:val="1"/>
      <w:numFmt w:val="bullet"/>
      <w:lvlText w:val="•"/>
      <w:lvlJc w:val="left"/>
      <w:pPr>
        <w:ind w:left="3279" w:hanging="284"/>
      </w:pPr>
      <w:rPr>
        <w:rFonts w:hint="default"/>
      </w:rPr>
    </w:lvl>
    <w:lvl w:ilvl="4" w:tplc="E16685DE">
      <w:start w:val="1"/>
      <w:numFmt w:val="bullet"/>
      <w:lvlText w:val="•"/>
      <w:lvlJc w:val="left"/>
      <w:pPr>
        <w:ind w:left="4229" w:hanging="284"/>
      </w:pPr>
      <w:rPr>
        <w:rFonts w:hint="default"/>
      </w:rPr>
    </w:lvl>
    <w:lvl w:ilvl="5" w:tplc="291C69CC">
      <w:start w:val="1"/>
      <w:numFmt w:val="bullet"/>
      <w:lvlText w:val="•"/>
      <w:lvlJc w:val="left"/>
      <w:pPr>
        <w:ind w:left="5178" w:hanging="284"/>
      </w:pPr>
      <w:rPr>
        <w:rFonts w:hint="default"/>
      </w:rPr>
    </w:lvl>
    <w:lvl w:ilvl="6" w:tplc="3FD89F76">
      <w:start w:val="1"/>
      <w:numFmt w:val="bullet"/>
      <w:lvlText w:val="•"/>
      <w:lvlJc w:val="left"/>
      <w:pPr>
        <w:ind w:left="6127" w:hanging="284"/>
      </w:pPr>
      <w:rPr>
        <w:rFonts w:hint="default"/>
      </w:rPr>
    </w:lvl>
    <w:lvl w:ilvl="7" w:tplc="10888A4C">
      <w:start w:val="1"/>
      <w:numFmt w:val="bullet"/>
      <w:lvlText w:val="•"/>
      <w:lvlJc w:val="left"/>
      <w:pPr>
        <w:ind w:left="7077" w:hanging="284"/>
      </w:pPr>
      <w:rPr>
        <w:rFonts w:hint="default"/>
      </w:rPr>
    </w:lvl>
    <w:lvl w:ilvl="8" w:tplc="23F6E05E">
      <w:start w:val="1"/>
      <w:numFmt w:val="bullet"/>
      <w:lvlText w:val="•"/>
      <w:lvlJc w:val="left"/>
      <w:pPr>
        <w:ind w:left="8026" w:hanging="284"/>
      </w:pPr>
      <w:rPr>
        <w:rFonts w:hint="default"/>
      </w:rPr>
    </w:lvl>
  </w:abstractNum>
  <w:abstractNum w:abstractNumId="12">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41786758"/>
    <w:multiLevelType w:val="hybridMultilevel"/>
    <w:tmpl w:val="DF36C1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nsid w:val="4CB91907"/>
    <w:multiLevelType w:val="hybridMultilevel"/>
    <w:tmpl w:val="ADAA07F6"/>
    <w:lvl w:ilvl="0" w:tplc="EAA66970">
      <w:start w:val="36"/>
      <w:numFmt w:val="decimal"/>
      <w:lvlText w:val="%1"/>
      <w:lvlJc w:val="left"/>
      <w:pPr>
        <w:ind w:left="465" w:hanging="284"/>
        <w:jc w:val="left"/>
      </w:pPr>
      <w:rPr>
        <w:rFonts w:ascii="Century" w:eastAsia="Century" w:hAnsi="Century" w:hint="default"/>
        <w:w w:val="99"/>
        <w:sz w:val="16"/>
        <w:szCs w:val="16"/>
      </w:rPr>
    </w:lvl>
    <w:lvl w:ilvl="1" w:tplc="78EA1C70">
      <w:start w:val="1"/>
      <w:numFmt w:val="bullet"/>
      <w:lvlText w:val="•"/>
      <w:lvlJc w:val="left"/>
      <w:pPr>
        <w:ind w:left="1413" w:hanging="284"/>
      </w:pPr>
      <w:rPr>
        <w:rFonts w:hint="default"/>
      </w:rPr>
    </w:lvl>
    <w:lvl w:ilvl="2" w:tplc="7A708156">
      <w:start w:val="1"/>
      <w:numFmt w:val="bullet"/>
      <w:lvlText w:val="•"/>
      <w:lvlJc w:val="left"/>
      <w:pPr>
        <w:ind w:left="2361" w:hanging="284"/>
      </w:pPr>
      <w:rPr>
        <w:rFonts w:hint="default"/>
      </w:rPr>
    </w:lvl>
    <w:lvl w:ilvl="3" w:tplc="42F081CE">
      <w:start w:val="1"/>
      <w:numFmt w:val="bullet"/>
      <w:lvlText w:val="•"/>
      <w:lvlJc w:val="left"/>
      <w:pPr>
        <w:ind w:left="3309" w:hanging="284"/>
      </w:pPr>
      <w:rPr>
        <w:rFonts w:hint="default"/>
      </w:rPr>
    </w:lvl>
    <w:lvl w:ilvl="4" w:tplc="253A7ADE">
      <w:start w:val="1"/>
      <w:numFmt w:val="bullet"/>
      <w:lvlText w:val="•"/>
      <w:lvlJc w:val="left"/>
      <w:pPr>
        <w:ind w:left="4257" w:hanging="284"/>
      </w:pPr>
      <w:rPr>
        <w:rFonts w:hint="default"/>
      </w:rPr>
    </w:lvl>
    <w:lvl w:ilvl="5" w:tplc="26BEA8B6">
      <w:start w:val="1"/>
      <w:numFmt w:val="bullet"/>
      <w:lvlText w:val="•"/>
      <w:lvlJc w:val="left"/>
      <w:pPr>
        <w:ind w:left="5205" w:hanging="284"/>
      </w:pPr>
      <w:rPr>
        <w:rFonts w:hint="default"/>
      </w:rPr>
    </w:lvl>
    <w:lvl w:ilvl="6" w:tplc="DBD87EC4">
      <w:start w:val="1"/>
      <w:numFmt w:val="bullet"/>
      <w:lvlText w:val="•"/>
      <w:lvlJc w:val="left"/>
      <w:pPr>
        <w:ind w:left="6153" w:hanging="284"/>
      </w:pPr>
      <w:rPr>
        <w:rFonts w:hint="default"/>
      </w:rPr>
    </w:lvl>
    <w:lvl w:ilvl="7" w:tplc="98824E6A">
      <w:start w:val="1"/>
      <w:numFmt w:val="bullet"/>
      <w:lvlText w:val="•"/>
      <w:lvlJc w:val="left"/>
      <w:pPr>
        <w:ind w:left="7101" w:hanging="284"/>
      </w:pPr>
      <w:rPr>
        <w:rFonts w:hint="default"/>
      </w:rPr>
    </w:lvl>
    <w:lvl w:ilvl="8" w:tplc="9FD2CF8C">
      <w:start w:val="1"/>
      <w:numFmt w:val="bullet"/>
      <w:lvlText w:val="•"/>
      <w:lvlJc w:val="left"/>
      <w:pPr>
        <w:ind w:left="8049" w:hanging="284"/>
      </w:pPr>
      <w:rPr>
        <w:rFonts w:hint="default"/>
      </w:rPr>
    </w:lvl>
  </w:abstractNum>
  <w:abstractNum w:abstractNumId="15">
    <w:nsid w:val="4F386D5D"/>
    <w:multiLevelType w:val="hybridMultilevel"/>
    <w:tmpl w:val="8CB2F3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547B3E87"/>
    <w:multiLevelType w:val="hybridMultilevel"/>
    <w:tmpl w:val="26B66E34"/>
    <w:lvl w:ilvl="0" w:tplc="1F16DA4C">
      <w:start w:val="1"/>
      <w:numFmt w:val="bullet"/>
      <w:lvlText w:val="•"/>
      <w:lvlJc w:val="left"/>
      <w:pPr>
        <w:ind w:left="900" w:hanging="225"/>
      </w:pPr>
      <w:rPr>
        <w:rFonts w:ascii="Century" w:eastAsia="Century" w:hAnsi="Century" w:hint="default"/>
        <w:w w:val="61"/>
        <w:sz w:val="22"/>
        <w:szCs w:val="22"/>
      </w:rPr>
    </w:lvl>
    <w:lvl w:ilvl="1" w:tplc="3B2A3D68">
      <w:start w:val="1"/>
      <w:numFmt w:val="bullet"/>
      <w:lvlText w:val="•"/>
      <w:lvlJc w:val="left"/>
      <w:pPr>
        <w:ind w:left="304" w:hanging="225"/>
      </w:pPr>
      <w:rPr>
        <w:rFonts w:ascii="Century" w:eastAsia="Century" w:hAnsi="Century" w:hint="default"/>
        <w:w w:val="61"/>
        <w:sz w:val="22"/>
        <w:szCs w:val="22"/>
      </w:rPr>
    </w:lvl>
    <w:lvl w:ilvl="2" w:tplc="2B000568">
      <w:start w:val="1"/>
      <w:numFmt w:val="bullet"/>
      <w:lvlText w:val="•"/>
      <w:lvlJc w:val="left"/>
      <w:pPr>
        <w:ind w:left="1280" w:hanging="225"/>
      </w:pPr>
      <w:rPr>
        <w:rFonts w:hint="default"/>
      </w:rPr>
    </w:lvl>
    <w:lvl w:ilvl="3" w:tplc="AAD08148">
      <w:start w:val="1"/>
      <w:numFmt w:val="bullet"/>
      <w:lvlText w:val="•"/>
      <w:lvlJc w:val="left"/>
      <w:pPr>
        <w:ind w:left="1661" w:hanging="225"/>
      </w:pPr>
      <w:rPr>
        <w:rFonts w:hint="default"/>
      </w:rPr>
    </w:lvl>
    <w:lvl w:ilvl="4" w:tplc="4B20975C">
      <w:start w:val="1"/>
      <w:numFmt w:val="bullet"/>
      <w:lvlText w:val="•"/>
      <w:lvlJc w:val="left"/>
      <w:pPr>
        <w:ind w:left="2041" w:hanging="225"/>
      </w:pPr>
      <w:rPr>
        <w:rFonts w:hint="default"/>
      </w:rPr>
    </w:lvl>
    <w:lvl w:ilvl="5" w:tplc="1370F0F2">
      <w:start w:val="1"/>
      <w:numFmt w:val="bullet"/>
      <w:lvlText w:val="•"/>
      <w:lvlJc w:val="left"/>
      <w:pPr>
        <w:ind w:left="2422" w:hanging="225"/>
      </w:pPr>
      <w:rPr>
        <w:rFonts w:hint="default"/>
      </w:rPr>
    </w:lvl>
    <w:lvl w:ilvl="6" w:tplc="F5A67C4A">
      <w:start w:val="1"/>
      <w:numFmt w:val="bullet"/>
      <w:lvlText w:val="•"/>
      <w:lvlJc w:val="left"/>
      <w:pPr>
        <w:ind w:left="2802" w:hanging="225"/>
      </w:pPr>
      <w:rPr>
        <w:rFonts w:hint="default"/>
      </w:rPr>
    </w:lvl>
    <w:lvl w:ilvl="7" w:tplc="B79201FA">
      <w:start w:val="1"/>
      <w:numFmt w:val="bullet"/>
      <w:lvlText w:val="•"/>
      <w:lvlJc w:val="left"/>
      <w:pPr>
        <w:ind w:left="3183" w:hanging="225"/>
      </w:pPr>
      <w:rPr>
        <w:rFonts w:hint="default"/>
      </w:rPr>
    </w:lvl>
    <w:lvl w:ilvl="8" w:tplc="414A1980">
      <w:start w:val="1"/>
      <w:numFmt w:val="bullet"/>
      <w:lvlText w:val="•"/>
      <w:lvlJc w:val="left"/>
      <w:pPr>
        <w:ind w:left="3563" w:hanging="225"/>
      </w:pPr>
      <w:rPr>
        <w:rFonts w:hint="default"/>
      </w:rPr>
    </w:lvl>
  </w:abstractNum>
  <w:abstractNum w:abstractNumId="17">
    <w:nsid w:val="566D6472"/>
    <w:multiLevelType w:val="hybridMultilevel"/>
    <w:tmpl w:val="4E72C924"/>
    <w:lvl w:ilvl="0" w:tplc="DEB44EF0">
      <w:start w:val="1"/>
      <w:numFmt w:val="bullet"/>
      <w:lvlText w:val="•"/>
      <w:lvlJc w:val="left"/>
      <w:pPr>
        <w:ind w:left="462" w:hanging="225"/>
      </w:pPr>
      <w:rPr>
        <w:rFonts w:ascii="Century" w:eastAsia="Century" w:hAnsi="Century" w:hint="default"/>
        <w:w w:val="61"/>
        <w:sz w:val="22"/>
        <w:szCs w:val="22"/>
      </w:rPr>
    </w:lvl>
    <w:lvl w:ilvl="1" w:tplc="A8E62C26">
      <w:start w:val="1"/>
      <w:numFmt w:val="bullet"/>
      <w:lvlText w:val="•"/>
      <w:lvlJc w:val="left"/>
      <w:pPr>
        <w:ind w:left="848" w:hanging="225"/>
      </w:pPr>
      <w:rPr>
        <w:rFonts w:hint="default"/>
      </w:rPr>
    </w:lvl>
    <w:lvl w:ilvl="2" w:tplc="0AB65374">
      <w:start w:val="1"/>
      <w:numFmt w:val="bullet"/>
      <w:lvlText w:val="•"/>
      <w:lvlJc w:val="left"/>
      <w:pPr>
        <w:ind w:left="1234" w:hanging="225"/>
      </w:pPr>
      <w:rPr>
        <w:rFonts w:hint="default"/>
      </w:rPr>
    </w:lvl>
    <w:lvl w:ilvl="3" w:tplc="F0D6E650">
      <w:start w:val="1"/>
      <w:numFmt w:val="bullet"/>
      <w:lvlText w:val="•"/>
      <w:lvlJc w:val="left"/>
      <w:pPr>
        <w:ind w:left="1620" w:hanging="225"/>
      </w:pPr>
      <w:rPr>
        <w:rFonts w:hint="default"/>
      </w:rPr>
    </w:lvl>
    <w:lvl w:ilvl="4" w:tplc="34F648B8">
      <w:start w:val="1"/>
      <w:numFmt w:val="bullet"/>
      <w:lvlText w:val="•"/>
      <w:lvlJc w:val="left"/>
      <w:pPr>
        <w:ind w:left="2007" w:hanging="225"/>
      </w:pPr>
      <w:rPr>
        <w:rFonts w:hint="default"/>
      </w:rPr>
    </w:lvl>
    <w:lvl w:ilvl="5" w:tplc="30D4BD8A">
      <w:start w:val="1"/>
      <w:numFmt w:val="bullet"/>
      <w:lvlText w:val="•"/>
      <w:lvlJc w:val="left"/>
      <w:pPr>
        <w:ind w:left="2393" w:hanging="225"/>
      </w:pPr>
      <w:rPr>
        <w:rFonts w:hint="default"/>
      </w:rPr>
    </w:lvl>
    <w:lvl w:ilvl="6" w:tplc="E6FCEEB0">
      <w:start w:val="1"/>
      <w:numFmt w:val="bullet"/>
      <w:lvlText w:val="•"/>
      <w:lvlJc w:val="left"/>
      <w:pPr>
        <w:ind w:left="2779" w:hanging="225"/>
      </w:pPr>
      <w:rPr>
        <w:rFonts w:hint="default"/>
      </w:rPr>
    </w:lvl>
    <w:lvl w:ilvl="7" w:tplc="8D5A4FAC">
      <w:start w:val="1"/>
      <w:numFmt w:val="bullet"/>
      <w:lvlText w:val="•"/>
      <w:lvlJc w:val="left"/>
      <w:pPr>
        <w:ind w:left="3165" w:hanging="225"/>
      </w:pPr>
      <w:rPr>
        <w:rFonts w:hint="default"/>
      </w:rPr>
    </w:lvl>
    <w:lvl w:ilvl="8" w:tplc="F7D67E9C">
      <w:start w:val="1"/>
      <w:numFmt w:val="bullet"/>
      <w:lvlText w:val="•"/>
      <w:lvlJc w:val="left"/>
      <w:pPr>
        <w:ind w:left="3552" w:hanging="225"/>
      </w:pPr>
      <w:rPr>
        <w:rFonts w:hint="default"/>
      </w:rPr>
    </w:lvl>
  </w:abstractNum>
  <w:abstractNum w:abstractNumId="18">
    <w:nsid w:val="57A82147"/>
    <w:multiLevelType w:val="hybridMultilevel"/>
    <w:tmpl w:val="D6D2B84C"/>
    <w:lvl w:ilvl="0" w:tplc="59E4FACC">
      <w:numFmt w:val="bullet"/>
      <w:lvlText w:val="•"/>
      <w:lvlJc w:val="left"/>
      <w:pPr>
        <w:ind w:left="360" w:hanging="360"/>
      </w:pPr>
      <w:rPr>
        <w:rFonts w:ascii="Arial" w:eastAsia="Arial" w:hAnsi="Aria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nsid w:val="593644AE"/>
    <w:multiLevelType w:val="hybridMultilevel"/>
    <w:tmpl w:val="09705FEC"/>
    <w:lvl w:ilvl="0" w:tplc="4E7AF52C">
      <w:start w:val="1"/>
      <w:numFmt w:val="bullet"/>
      <w:lvlText w:val="•"/>
      <w:lvlJc w:val="left"/>
      <w:pPr>
        <w:ind w:left="282" w:hanging="225"/>
      </w:pPr>
      <w:rPr>
        <w:rFonts w:ascii="Century" w:eastAsia="Century" w:hAnsi="Century" w:hint="default"/>
        <w:w w:val="61"/>
        <w:sz w:val="22"/>
        <w:szCs w:val="22"/>
      </w:rPr>
    </w:lvl>
    <w:lvl w:ilvl="1" w:tplc="5C0A7D60">
      <w:start w:val="1"/>
      <w:numFmt w:val="bullet"/>
      <w:lvlText w:val="•"/>
      <w:lvlJc w:val="left"/>
      <w:pPr>
        <w:ind w:left="388" w:hanging="225"/>
      </w:pPr>
      <w:rPr>
        <w:rFonts w:ascii="Century" w:eastAsia="Century" w:hAnsi="Century" w:hint="default"/>
        <w:w w:val="61"/>
        <w:sz w:val="22"/>
        <w:szCs w:val="22"/>
      </w:rPr>
    </w:lvl>
    <w:lvl w:ilvl="2" w:tplc="6CEC1F00">
      <w:start w:val="1"/>
      <w:numFmt w:val="bullet"/>
      <w:lvlText w:val="•"/>
      <w:lvlJc w:val="left"/>
      <w:pPr>
        <w:ind w:left="773" w:hanging="225"/>
      </w:pPr>
      <w:rPr>
        <w:rFonts w:hint="default"/>
      </w:rPr>
    </w:lvl>
    <w:lvl w:ilvl="3" w:tplc="CA3051F4">
      <w:start w:val="1"/>
      <w:numFmt w:val="bullet"/>
      <w:lvlText w:val="•"/>
      <w:lvlJc w:val="left"/>
      <w:pPr>
        <w:ind w:left="1158" w:hanging="225"/>
      </w:pPr>
      <w:rPr>
        <w:rFonts w:hint="default"/>
      </w:rPr>
    </w:lvl>
    <w:lvl w:ilvl="4" w:tplc="5EFC824A">
      <w:start w:val="1"/>
      <w:numFmt w:val="bullet"/>
      <w:lvlText w:val="•"/>
      <w:lvlJc w:val="left"/>
      <w:pPr>
        <w:ind w:left="1544" w:hanging="225"/>
      </w:pPr>
      <w:rPr>
        <w:rFonts w:hint="default"/>
      </w:rPr>
    </w:lvl>
    <w:lvl w:ilvl="5" w:tplc="CADAC358">
      <w:start w:val="1"/>
      <w:numFmt w:val="bullet"/>
      <w:lvlText w:val="•"/>
      <w:lvlJc w:val="left"/>
      <w:pPr>
        <w:ind w:left="1929" w:hanging="225"/>
      </w:pPr>
      <w:rPr>
        <w:rFonts w:hint="default"/>
      </w:rPr>
    </w:lvl>
    <w:lvl w:ilvl="6" w:tplc="BA921A66">
      <w:start w:val="1"/>
      <w:numFmt w:val="bullet"/>
      <w:lvlText w:val="•"/>
      <w:lvlJc w:val="left"/>
      <w:pPr>
        <w:ind w:left="2314" w:hanging="225"/>
      </w:pPr>
      <w:rPr>
        <w:rFonts w:hint="default"/>
      </w:rPr>
    </w:lvl>
    <w:lvl w:ilvl="7" w:tplc="41CEDBB4">
      <w:start w:val="1"/>
      <w:numFmt w:val="bullet"/>
      <w:lvlText w:val="•"/>
      <w:lvlJc w:val="left"/>
      <w:pPr>
        <w:ind w:left="2699" w:hanging="225"/>
      </w:pPr>
      <w:rPr>
        <w:rFonts w:hint="default"/>
      </w:rPr>
    </w:lvl>
    <w:lvl w:ilvl="8" w:tplc="25F453B4">
      <w:start w:val="1"/>
      <w:numFmt w:val="bullet"/>
      <w:lvlText w:val="•"/>
      <w:lvlJc w:val="left"/>
      <w:pPr>
        <w:ind w:left="3084" w:hanging="225"/>
      </w:pPr>
      <w:rPr>
        <w:rFonts w:hint="default"/>
      </w:rPr>
    </w:lvl>
  </w:abstractNum>
  <w:abstractNum w:abstractNumId="20">
    <w:nsid w:val="5C60099E"/>
    <w:multiLevelType w:val="hybridMultilevel"/>
    <w:tmpl w:val="6B00368A"/>
    <w:lvl w:ilvl="0" w:tplc="CD76AD6A">
      <w:start w:val="34"/>
      <w:numFmt w:val="decimal"/>
      <w:lvlText w:val="%1"/>
      <w:lvlJc w:val="left"/>
      <w:pPr>
        <w:ind w:left="425" w:hanging="284"/>
        <w:jc w:val="left"/>
      </w:pPr>
      <w:rPr>
        <w:rFonts w:ascii="Century" w:eastAsia="Century" w:hAnsi="Century" w:hint="default"/>
        <w:w w:val="101"/>
        <w:sz w:val="16"/>
        <w:szCs w:val="16"/>
      </w:rPr>
    </w:lvl>
    <w:lvl w:ilvl="1" w:tplc="2898C6E0">
      <w:start w:val="1"/>
      <w:numFmt w:val="bullet"/>
      <w:lvlText w:val="•"/>
      <w:lvlJc w:val="left"/>
      <w:pPr>
        <w:ind w:left="1375" w:hanging="284"/>
      </w:pPr>
      <w:rPr>
        <w:rFonts w:hint="default"/>
      </w:rPr>
    </w:lvl>
    <w:lvl w:ilvl="2" w:tplc="F5624490">
      <w:start w:val="1"/>
      <w:numFmt w:val="bullet"/>
      <w:lvlText w:val="•"/>
      <w:lvlJc w:val="left"/>
      <w:pPr>
        <w:ind w:left="2325" w:hanging="284"/>
      </w:pPr>
      <w:rPr>
        <w:rFonts w:hint="default"/>
      </w:rPr>
    </w:lvl>
    <w:lvl w:ilvl="3" w:tplc="C05C3DD8">
      <w:start w:val="1"/>
      <w:numFmt w:val="bullet"/>
      <w:lvlText w:val="•"/>
      <w:lvlJc w:val="left"/>
      <w:pPr>
        <w:ind w:left="3275" w:hanging="284"/>
      </w:pPr>
      <w:rPr>
        <w:rFonts w:hint="default"/>
      </w:rPr>
    </w:lvl>
    <w:lvl w:ilvl="4" w:tplc="DBD8A51A">
      <w:start w:val="1"/>
      <w:numFmt w:val="bullet"/>
      <w:lvlText w:val="•"/>
      <w:lvlJc w:val="left"/>
      <w:pPr>
        <w:ind w:left="4225" w:hanging="284"/>
      </w:pPr>
      <w:rPr>
        <w:rFonts w:hint="default"/>
      </w:rPr>
    </w:lvl>
    <w:lvl w:ilvl="5" w:tplc="56BCF238">
      <w:start w:val="1"/>
      <w:numFmt w:val="bullet"/>
      <w:lvlText w:val="•"/>
      <w:lvlJc w:val="left"/>
      <w:pPr>
        <w:ind w:left="5175" w:hanging="284"/>
      </w:pPr>
      <w:rPr>
        <w:rFonts w:hint="default"/>
      </w:rPr>
    </w:lvl>
    <w:lvl w:ilvl="6" w:tplc="CEE840AE">
      <w:start w:val="1"/>
      <w:numFmt w:val="bullet"/>
      <w:lvlText w:val="•"/>
      <w:lvlJc w:val="left"/>
      <w:pPr>
        <w:ind w:left="6125" w:hanging="284"/>
      </w:pPr>
      <w:rPr>
        <w:rFonts w:hint="default"/>
      </w:rPr>
    </w:lvl>
    <w:lvl w:ilvl="7" w:tplc="B94C47AA">
      <w:start w:val="1"/>
      <w:numFmt w:val="bullet"/>
      <w:lvlText w:val="•"/>
      <w:lvlJc w:val="left"/>
      <w:pPr>
        <w:ind w:left="7075" w:hanging="284"/>
      </w:pPr>
      <w:rPr>
        <w:rFonts w:hint="default"/>
      </w:rPr>
    </w:lvl>
    <w:lvl w:ilvl="8" w:tplc="C4046BB4">
      <w:start w:val="1"/>
      <w:numFmt w:val="bullet"/>
      <w:lvlText w:val="•"/>
      <w:lvlJc w:val="left"/>
      <w:pPr>
        <w:ind w:left="8025" w:hanging="284"/>
      </w:pPr>
      <w:rPr>
        <w:rFonts w:hint="default"/>
      </w:rPr>
    </w:lvl>
  </w:abstractNum>
  <w:abstractNum w:abstractNumId="21">
    <w:nsid w:val="63921C4F"/>
    <w:multiLevelType w:val="hybridMultilevel"/>
    <w:tmpl w:val="5B321F1C"/>
    <w:lvl w:ilvl="0" w:tplc="E95031A2">
      <w:start w:val="1"/>
      <w:numFmt w:val="bullet"/>
      <w:lvlText w:val="•"/>
      <w:lvlJc w:val="left"/>
      <w:pPr>
        <w:ind w:left="354" w:hanging="225"/>
      </w:pPr>
      <w:rPr>
        <w:rFonts w:ascii="Century" w:eastAsia="Century" w:hAnsi="Century" w:hint="default"/>
        <w:w w:val="61"/>
        <w:sz w:val="22"/>
        <w:szCs w:val="22"/>
      </w:rPr>
    </w:lvl>
    <w:lvl w:ilvl="1" w:tplc="8AE260B6">
      <w:start w:val="1"/>
      <w:numFmt w:val="bullet"/>
      <w:lvlText w:val="•"/>
      <w:lvlJc w:val="left"/>
      <w:pPr>
        <w:ind w:left="783" w:hanging="225"/>
      </w:pPr>
      <w:rPr>
        <w:rFonts w:hint="default"/>
      </w:rPr>
    </w:lvl>
    <w:lvl w:ilvl="2" w:tplc="A1FCEBDA">
      <w:start w:val="1"/>
      <w:numFmt w:val="bullet"/>
      <w:lvlText w:val="•"/>
      <w:lvlJc w:val="left"/>
      <w:pPr>
        <w:ind w:left="1212" w:hanging="225"/>
      </w:pPr>
      <w:rPr>
        <w:rFonts w:hint="default"/>
      </w:rPr>
    </w:lvl>
    <w:lvl w:ilvl="3" w:tplc="BA20D61E">
      <w:start w:val="1"/>
      <w:numFmt w:val="bullet"/>
      <w:lvlText w:val="•"/>
      <w:lvlJc w:val="left"/>
      <w:pPr>
        <w:ind w:left="1642" w:hanging="225"/>
      </w:pPr>
      <w:rPr>
        <w:rFonts w:hint="default"/>
      </w:rPr>
    </w:lvl>
    <w:lvl w:ilvl="4" w:tplc="E22096D6">
      <w:start w:val="1"/>
      <w:numFmt w:val="bullet"/>
      <w:lvlText w:val="•"/>
      <w:lvlJc w:val="left"/>
      <w:pPr>
        <w:ind w:left="2071" w:hanging="225"/>
      </w:pPr>
      <w:rPr>
        <w:rFonts w:hint="default"/>
      </w:rPr>
    </w:lvl>
    <w:lvl w:ilvl="5" w:tplc="0BBC8C1A">
      <w:start w:val="1"/>
      <w:numFmt w:val="bullet"/>
      <w:lvlText w:val="•"/>
      <w:lvlJc w:val="left"/>
      <w:pPr>
        <w:ind w:left="2501" w:hanging="225"/>
      </w:pPr>
      <w:rPr>
        <w:rFonts w:hint="default"/>
      </w:rPr>
    </w:lvl>
    <w:lvl w:ilvl="6" w:tplc="4F9EF3CC">
      <w:start w:val="1"/>
      <w:numFmt w:val="bullet"/>
      <w:lvlText w:val="•"/>
      <w:lvlJc w:val="left"/>
      <w:pPr>
        <w:ind w:left="2930" w:hanging="225"/>
      </w:pPr>
      <w:rPr>
        <w:rFonts w:hint="default"/>
      </w:rPr>
    </w:lvl>
    <w:lvl w:ilvl="7" w:tplc="78388230">
      <w:start w:val="1"/>
      <w:numFmt w:val="bullet"/>
      <w:lvlText w:val="•"/>
      <w:lvlJc w:val="left"/>
      <w:pPr>
        <w:ind w:left="3360" w:hanging="225"/>
      </w:pPr>
      <w:rPr>
        <w:rFonts w:hint="default"/>
      </w:rPr>
    </w:lvl>
    <w:lvl w:ilvl="8" w:tplc="1206ADD0">
      <w:start w:val="1"/>
      <w:numFmt w:val="bullet"/>
      <w:lvlText w:val="•"/>
      <w:lvlJc w:val="left"/>
      <w:pPr>
        <w:ind w:left="3789" w:hanging="225"/>
      </w:pPr>
      <w:rPr>
        <w:rFonts w:hint="default"/>
      </w:rPr>
    </w:lvl>
  </w:abstractNum>
  <w:abstractNum w:abstractNumId="22">
    <w:nsid w:val="65874032"/>
    <w:multiLevelType w:val="hybridMultilevel"/>
    <w:tmpl w:val="E8A0E516"/>
    <w:lvl w:ilvl="0" w:tplc="345068A6">
      <w:start w:val="1"/>
      <w:numFmt w:val="bullet"/>
      <w:lvlText w:val="•"/>
      <w:lvlJc w:val="left"/>
      <w:pPr>
        <w:ind w:left="535" w:hanging="225"/>
      </w:pPr>
      <w:rPr>
        <w:rFonts w:ascii="Century" w:eastAsia="Century" w:hAnsi="Century" w:hint="default"/>
        <w:w w:val="61"/>
        <w:sz w:val="22"/>
        <w:szCs w:val="22"/>
      </w:rPr>
    </w:lvl>
    <w:lvl w:ilvl="1" w:tplc="437A3218">
      <w:start w:val="1"/>
      <w:numFmt w:val="bullet"/>
      <w:lvlText w:val="•"/>
      <w:lvlJc w:val="left"/>
      <w:pPr>
        <w:ind w:left="946" w:hanging="225"/>
      </w:pPr>
      <w:rPr>
        <w:rFonts w:hint="default"/>
      </w:rPr>
    </w:lvl>
    <w:lvl w:ilvl="2" w:tplc="41D4E212">
      <w:start w:val="1"/>
      <w:numFmt w:val="bullet"/>
      <w:lvlText w:val="•"/>
      <w:lvlJc w:val="left"/>
      <w:pPr>
        <w:ind w:left="1357" w:hanging="225"/>
      </w:pPr>
      <w:rPr>
        <w:rFonts w:hint="default"/>
      </w:rPr>
    </w:lvl>
    <w:lvl w:ilvl="3" w:tplc="478878DC">
      <w:start w:val="1"/>
      <w:numFmt w:val="bullet"/>
      <w:lvlText w:val="•"/>
      <w:lvlJc w:val="left"/>
      <w:pPr>
        <w:ind w:left="1769" w:hanging="225"/>
      </w:pPr>
      <w:rPr>
        <w:rFonts w:hint="default"/>
      </w:rPr>
    </w:lvl>
    <w:lvl w:ilvl="4" w:tplc="3210E184">
      <w:start w:val="1"/>
      <w:numFmt w:val="bullet"/>
      <w:lvlText w:val="•"/>
      <w:lvlJc w:val="left"/>
      <w:pPr>
        <w:ind w:left="2180" w:hanging="225"/>
      </w:pPr>
      <w:rPr>
        <w:rFonts w:hint="default"/>
      </w:rPr>
    </w:lvl>
    <w:lvl w:ilvl="5" w:tplc="0DBA0CF0">
      <w:start w:val="1"/>
      <w:numFmt w:val="bullet"/>
      <w:lvlText w:val="•"/>
      <w:lvlJc w:val="left"/>
      <w:pPr>
        <w:ind w:left="2591" w:hanging="225"/>
      </w:pPr>
      <w:rPr>
        <w:rFonts w:hint="default"/>
      </w:rPr>
    </w:lvl>
    <w:lvl w:ilvl="6" w:tplc="A47E242E">
      <w:start w:val="1"/>
      <w:numFmt w:val="bullet"/>
      <w:lvlText w:val="•"/>
      <w:lvlJc w:val="left"/>
      <w:pPr>
        <w:ind w:left="3003" w:hanging="225"/>
      </w:pPr>
      <w:rPr>
        <w:rFonts w:hint="default"/>
      </w:rPr>
    </w:lvl>
    <w:lvl w:ilvl="7" w:tplc="4AE0ECF4">
      <w:start w:val="1"/>
      <w:numFmt w:val="bullet"/>
      <w:lvlText w:val="•"/>
      <w:lvlJc w:val="left"/>
      <w:pPr>
        <w:ind w:left="3414" w:hanging="225"/>
      </w:pPr>
      <w:rPr>
        <w:rFonts w:hint="default"/>
      </w:rPr>
    </w:lvl>
    <w:lvl w:ilvl="8" w:tplc="F192ECDE">
      <w:start w:val="1"/>
      <w:numFmt w:val="bullet"/>
      <w:lvlText w:val="•"/>
      <w:lvlJc w:val="left"/>
      <w:pPr>
        <w:ind w:left="3826" w:hanging="225"/>
      </w:pPr>
      <w:rPr>
        <w:rFonts w:hint="default"/>
      </w:rPr>
    </w:lvl>
  </w:abstractNum>
  <w:abstractNum w:abstractNumId="23">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24">
    <w:nsid w:val="72711B2E"/>
    <w:multiLevelType w:val="hybridMultilevel"/>
    <w:tmpl w:val="B36EFD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821" w:hanging="360"/>
      </w:pPr>
      <w:rPr>
        <w:rFonts w:ascii="Courier New" w:hAnsi="Courier New" w:cs="Courier New" w:hint="default"/>
      </w:rPr>
    </w:lvl>
    <w:lvl w:ilvl="2" w:tplc="14090005" w:tentative="1">
      <w:start w:val="1"/>
      <w:numFmt w:val="bullet"/>
      <w:lvlText w:val=""/>
      <w:lvlJc w:val="left"/>
      <w:pPr>
        <w:ind w:left="-1101" w:hanging="360"/>
      </w:pPr>
      <w:rPr>
        <w:rFonts w:ascii="Wingdings" w:hAnsi="Wingdings" w:hint="default"/>
      </w:rPr>
    </w:lvl>
    <w:lvl w:ilvl="3" w:tplc="14090001" w:tentative="1">
      <w:start w:val="1"/>
      <w:numFmt w:val="bullet"/>
      <w:lvlText w:val=""/>
      <w:lvlJc w:val="left"/>
      <w:pPr>
        <w:ind w:left="-381" w:hanging="360"/>
      </w:pPr>
      <w:rPr>
        <w:rFonts w:ascii="Symbol" w:hAnsi="Symbol" w:hint="default"/>
      </w:rPr>
    </w:lvl>
    <w:lvl w:ilvl="4" w:tplc="14090003" w:tentative="1">
      <w:start w:val="1"/>
      <w:numFmt w:val="bullet"/>
      <w:lvlText w:val="o"/>
      <w:lvlJc w:val="left"/>
      <w:pPr>
        <w:ind w:left="339" w:hanging="360"/>
      </w:pPr>
      <w:rPr>
        <w:rFonts w:ascii="Courier New" w:hAnsi="Courier New" w:cs="Courier New" w:hint="default"/>
      </w:rPr>
    </w:lvl>
    <w:lvl w:ilvl="5" w:tplc="14090005" w:tentative="1">
      <w:start w:val="1"/>
      <w:numFmt w:val="bullet"/>
      <w:lvlText w:val=""/>
      <w:lvlJc w:val="left"/>
      <w:pPr>
        <w:ind w:left="1059" w:hanging="360"/>
      </w:pPr>
      <w:rPr>
        <w:rFonts w:ascii="Wingdings" w:hAnsi="Wingdings" w:hint="default"/>
      </w:rPr>
    </w:lvl>
    <w:lvl w:ilvl="6" w:tplc="14090001" w:tentative="1">
      <w:start w:val="1"/>
      <w:numFmt w:val="bullet"/>
      <w:lvlText w:val=""/>
      <w:lvlJc w:val="left"/>
      <w:pPr>
        <w:ind w:left="1779" w:hanging="360"/>
      </w:pPr>
      <w:rPr>
        <w:rFonts w:ascii="Symbol" w:hAnsi="Symbol" w:hint="default"/>
      </w:rPr>
    </w:lvl>
    <w:lvl w:ilvl="7" w:tplc="14090003" w:tentative="1">
      <w:start w:val="1"/>
      <w:numFmt w:val="bullet"/>
      <w:lvlText w:val="o"/>
      <w:lvlJc w:val="left"/>
      <w:pPr>
        <w:ind w:left="2499" w:hanging="360"/>
      </w:pPr>
      <w:rPr>
        <w:rFonts w:ascii="Courier New" w:hAnsi="Courier New" w:cs="Courier New" w:hint="default"/>
      </w:rPr>
    </w:lvl>
    <w:lvl w:ilvl="8" w:tplc="14090005" w:tentative="1">
      <w:start w:val="1"/>
      <w:numFmt w:val="bullet"/>
      <w:lvlText w:val=""/>
      <w:lvlJc w:val="left"/>
      <w:pPr>
        <w:ind w:left="3219" w:hanging="360"/>
      </w:pPr>
      <w:rPr>
        <w:rFonts w:ascii="Wingdings" w:hAnsi="Wingdings" w:hint="default"/>
      </w:rPr>
    </w:lvl>
  </w:abstractNum>
  <w:abstractNum w:abstractNumId="25">
    <w:nsid w:val="76475A07"/>
    <w:multiLevelType w:val="hybridMultilevel"/>
    <w:tmpl w:val="EFA40542"/>
    <w:lvl w:ilvl="0" w:tplc="3872E2BC">
      <w:start w:val="1"/>
      <w:numFmt w:val="bullet"/>
      <w:lvlText w:val="•"/>
      <w:lvlJc w:val="left"/>
      <w:pPr>
        <w:ind w:left="1146" w:hanging="225"/>
      </w:pPr>
      <w:rPr>
        <w:rFonts w:ascii="Century" w:eastAsia="Century" w:hAnsi="Century" w:hint="default"/>
        <w:w w:val="61"/>
        <w:sz w:val="22"/>
        <w:szCs w:val="22"/>
      </w:rPr>
    </w:lvl>
    <w:lvl w:ilvl="1" w:tplc="C22228B8">
      <w:start w:val="1"/>
      <w:numFmt w:val="bullet"/>
      <w:lvlText w:val="•"/>
      <w:lvlJc w:val="left"/>
      <w:pPr>
        <w:ind w:left="1236" w:hanging="225"/>
      </w:pPr>
      <w:rPr>
        <w:rFonts w:ascii="Century" w:eastAsia="Century" w:hAnsi="Century" w:hint="default"/>
        <w:w w:val="61"/>
        <w:sz w:val="22"/>
        <w:szCs w:val="22"/>
      </w:rPr>
    </w:lvl>
    <w:lvl w:ilvl="2" w:tplc="913C3D22">
      <w:start w:val="1"/>
      <w:numFmt w:val="bullet"/>
      <w:lvlText w:val="•"/>
      <w:lvlJc w:val="left"/>
      <w:pPr>
        <w:ind w:left="1725" w:hanging="225"/>
      </w:pPr>
      <w:rPr>
        <w:rFonts w:hint="default"/>
      </w:rPr>
    </w:lvl>
    <w:lvl w:ilvl="3" w:tplc="ACF6CD7C">
      <w:start w:val="1"/>
      <w:numFmt w:val="bullet"/>
      <w:lvlText w:val="•"/>
      <w:lvlJc w:val="left"/>
      <w:pPr>
        <w:ind w:left="2214" w:hanging="225"/>
      </w:pPr>
      <w:rPr>
        <w:rFonts w:hint="default"/>
      </w:rPr>
    </w:lvl>
    <w:lvl w:ilvl="4" w:tplc="90EC3EBC">
      <w:start w:val="1"/>
      <w:numFmt w:val="bullet"/>
      <w:lvlText w:val="•"/>
      <w:lvlJc w:val="left"/>
      <w:pPr>
        <w:ind w:left="2703" w:hanging="225"/>
      </w:pPr>
      <w:rPr>
        <w:rFonts w:hint="default"/>
      </w:rPr>
    </w:lvl>
    <w:lvl w:ilvl="5" w:tplc="3BCA266E">
      <w:start w:val="1"/>
      <w:numFmt w:val="bullet"/>
      <w:lvlText w:val="•"/>
      <w:lvlJc w:val="left"/>
      <w:pPr>
        <w:ind w:left="3192" w:hanging="225"/>
      </w:pPr>
      <w:rPr>
        <w:rFonts w:hint="default"/>
      </w:rPr>
    </w:lvl>
    <w:lvl w:ilvl="6" w:tplc="AF44327E">
      <w:start w:val="1"/>
      <w:numFmt w:val="bullet"/>
      <w:lvlText w:val="•"/>
      <w:lvlJc w:val="left"/>
      <w:pPr>
        <w:ind w:left="3681" w:hanging="225"/>
      </w:pPr>
      <w:rPr>
        <w:rFonts w:hint="default"/>
      </w:rPr>
    </w:lvl>
    <w:lvl w:ilvl="7" w:tplc="54F82644">
      <w:start w:val="1"/>
      <w:numFmt w:val="bullet"/>
      <w:lvlText w:val="•"/>
      <w:lvlJc w:val="left"/>
      <w:pPr>
        <w:ind w:left="4170" w:hanging="225"/>
      </w:pPr>
      <w:rPr>
        <w:rFonts w:hint="default"/>
      </w:rPr>
    </w:lvl>
    <w:lvl w:ilvl="8" w:tplc="7B4EBE70">
      <w:start w:val="1"/>
      <w:numFmt w:val="bullet"/>
      <w:lvlText w:val="•"/>
      <w:lvlJc w:val="left"/>
      <w:pPr>
        <w:ind w:left="4659" w:hanging="225"/>
      </w:pPr>
      <w:rPr>
        <w:rFonts w:hint="default"/>
      </w:rPr>
    </w:lvl>
  </w:abstractNum>
  <w:abstractNum w:abstractNumId="26">
    <w:nsid w:val="782F6246"/>
    <w:multiLevelType w:val="hybridMultilevel"/>
    <w:tmpl w:val="E5B86B88"/>
    <w:lvl w:ilvl="0" w:tplc="D0F019F0">
      <w:start w:val="27"/>
      <w:numFmt w:val="decimal"/>
      <w:lvlText w:val="%1"/>
      <w:lvlJc w:val="left"/>
      <w:pPr>
        <w:ind w:left="888" w:hanging="320"/>
        <w:jc w:val="left"/>
      </w:pPr>
      <w:rPr>
        <w:rFonts w:ascii="Century" w:eastAsia="Century" w:hAnsi="Century" w:hint="default"/>
        <w:w w:val="91"/>
        <w:sz w:val="16"/>
        <w:szCs w:val="16"/>
      </w:rPr>
    </w:lvl>
    <w:lvl w:ilvl="1" w:tplc="4C7C8822">
      <w:start w:val="1"/>
      <w:numFmt w:val="bullet"/>
      <w:lvlText w:val="•"/>
      <w:lvlJc w:val="left"/>
      <w:pPr>
        <w:ind w:left="1840" w:hanging="320"/>
      </w:pPr>
      <w:rPr>
        <w:rFonts w:hint="default"/>
      </w:rPr>
    </w:lvl>
    <w:lvl w:ilvl="2" w:tplc="1246789A">
      <w:start w:val="1"/>
      <w:numFmt w:val="bullet"/>
      <w:lvlText w:val="•"/>
      <w:lvlJc w:val="left"/>
      <w:pPr>
        <w:ind w:left="2792" w:hanging="320"/>
      </w:pPr>
      <w:rPr>
        <w:rFonts w:hint="default"/>
      </w:rPr>
    </w:lvl>
    <w:lvl w:ilvl="3" w:tplc="3B1E4918">
      <w:start w:val="1"/>
      <w:numFmt w:val="bullet"/>
      <w:lvlText w:val="•"/>
      <w:lvlJc w:val="left"/>
      <w:pPr>
        <w:ind w:left="3743" w:hanging="320"/>
      </w:pPr>
      <w:rPr>
        <w:rFonts w:hint="default"/>
      </w:rPr>
    </w:lvl>
    <w:lvl w:ilvl="4" w:tplc="9D24E284">
      <w:start w:val="1"/>
      <w:numFmt w:val="bullet"/>
      <w:lvlText w:val="•"/>
      <w:lvlJc w:val="left"/>
      <w:pPr>
        <w:ind w:left="4695" w:hanging="320"/>
      </w:pPr>
      <w:rPr>
        <w:rFonts w:hint="default"/>
      </w:rPr>
    </w:lvl>
    <w:lvl w:ilvl="5" w:tplc="9DE04460">
      <w:start w:val="1"/>
      <w:numFmt w:val="bullet"/>
      <w:lvlText w:val="•"/>
      <w:lvlJc w:val="left"/>
      <w:pPr>
        <w:ind w:left="5647" w:hanging="320"/>
      </w:pPr>
      <w:rPr>
        <w:rFonts w:hint="default"/>
      </w:rPr>
    </w:lvl>
    <w:lvl w:ilvl="6" w:tplc="A7AA8F32">
      <w:start w:val="1"/>
      <w:numFmt w:val="bullet"/>
      <w:lvlText w:val="•"/>
      <w:lvlJc w:val="left"/>
      <w:pPr>
        <w:ind w:left="6598" w:hanging="320"/>
      </w:pPr>
      <w:rPr>
        <w:rFonts w:hint="default"/>
      </w:rPr>
    </w:lvl>
    <w:lvl w:ilvl="7" w:tplc="F0AA5464">
      <w:start w:val="1"/>
      <w:numFmt w:val="bullet"/>
      <w:lvlText w:val="•"/>
      <w:lvlJc w:val="left"/>
      <w:pPr>
        <w:ind w:left="7550" w:hanging="320"/>
      </w:pPr>
      <w:rPr>
        <w:rFonts w:hint="default"/>
      </w:rPr>
    </w:lvl>
    <w:lvl w:ilvl="8" w:tplc="FABA77F0">
      <w:start w:val="1"/>
      <w:numFmt w:val="bullet"/>
      <w:lvlText w:val="•"/>
      <w:lvlJc w:val="left"/>
      <w:pPr>
        <w:ind w:left="8502" w:hanging="320"/>
      </w:pPr>
      <w:rPr>
        <w:rFonts w:hint="default"/>
      </w:rPr>
    </w:lvl>
  </w:abstractNum>
  <w:abstractNum w:abstractNumId="27">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27"/>
  </w:num>
  <w:num w:numId="2">
    <w:abstractNumId w:val="23"/>
  </w:num>
  <w:num w:numId="3">
    <w:abstractNumId w:val="10"/>
  </w:num>
  <w:num w:numId="4">
    <w:abstractNumId w:val="12"/>
  </w:num>
  <w:num w:numId="5">
    <w:abstractNumId w:val="2"/>
  </w:num>
  <w:num w:numId="6">
    <w:abstractNumId w:val="18"/>
  </w:num>
  <w:num w:numId="7">
    <w:abstractNumId w:val="6"/>
  </w:num>
  <w:num w:numId="8">
    <w:abstractNumId w:val="24"/>
  </w:num>
  <w:num w:numId="9">
    <w:abstractNumId w:val="5"/>
  </w:num>
  <w:num w:numId="10">
    <w:abstractNumId w:val="7"/>
  </w:num>
  <w:num w:numId="11">
    <w:abstractNumId w:val="13"/>
  </w:num>
  <w:num w:numId="12">
    <w:abstractNumId w:val="0"/>
  </w:num>
  <w:num w:numId="13">
    <w:abstractNumId w:val="22"/>
  </w:num>
  <w:num w:numId="14">
    <w:abstractNumId w:val="21"/>
  </w:num>
  <w:num w:numId="15">
    <w:abstractNumId w:val="16"/>
  </w:num>
  <w:num w:numId="16">
    <w:abstractNumId w:val="14"/>
  </w:num>
  <w:num w:numId="17">
    <w:abstractNumId w:val="17"/>
  </w:num>
  <w:num w:numId="18">
    <w:abstractNumId w:val="20"/>
  </w:num>
  <w:num w:numId="19">
    <w:abstractNumId w:val="8"/>
  </w:num>
  <w:num w:numId="20">
    <w:abstractNumId w:val="25"/>
  </w:num>
  <w:num w:numId="21">
    <w:abstractNumId w:val="9"/>
  </w:num>
  <w:num w:numId="22">
    <w:abstractNumId w:val="3"/>
  </w:num>
  <w:num w:numId="23">
    <w:abstractNumId w:val="26"/>
  </w:num>
  <w:num w:numId="24">
    <w:abstractNumId w:val="19"/>
  </w:num>
  <w:num w:numId="25">
    <w:abstractNumId w:val="11"/>
  </w:num>
  <w:num w:numId="26">
    <w:abstractNumId w:val="4"/>
  </w:num>
  <w:num w:numId="27">
    <w:abstractNumId w:val="1"/>
  </w:num>
  <w:num w:numId="28">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8EB"/>
    <w:rsid w:val="00030B26"/>
    <w:rsid w:val="000521CF"/>
    <w:rsid w:val="0006228D"/>
    <w:rsid w:val="00072BD6"/>
    <w:rsid w:val="00075B78"/>
    <w:rsid w:val="00082CD6"/>
    <w:rsid w:val="00085AFE"/>
    <w:rsid w:val="000A26F8"/>
    <w:rsid w:val="000B0730"/>
    <w:rsid w:val="000D44CE"/>
    <w:rsid w:val="000F2AE2"/>
    <w:rsid w:val="00102063"/>
    <w:rsid w:val="0010541C"/>
    <w:rsid w:val="00106F93"/>
    <w:rsid w:val="00111D50"/>
    <w:rsid w:val="00113B8E"/>
    <w:rsid w:val="00130326"/>
    <w:rsid w:val="001342C7"/>
    <w:rsid w:val="0013585C"/>
    <w:rsid w:val="001377F8"/>
    <w:rsid w:val="00137EC2"/>
    <w:rsid w:val="00142954"/>
    <w:rsid w:val="001460E0"/>
    <w:rsid w:val="00147F71"/>
    <w:rsid w:val="00150A6E"/>
    <w:rsid w:val="0016468A"/>
    <w:rsid w:val="00184D9F"/>
    <w:rsid w:val="001A5CF5"/>
    <w:rsid w:val="001B39D2"/>
    <w:rsid w:val="001B4BF8"/>
    <w:rsid w:val="001C4326"/>
    <w:rsid w:val="001D3541"/>
    <w:rsid w:val="00201A01"/>
    <w:rsid w:val="00201EDB"/>
    <w:rsid w:val="002104D3"/>
    <w:rsid w:val="00213A33"/>
    <w:rsid w:val="0021763B"/>
    <w:rsid w:val="00246DB1"/>
    <w:rsid w:val="002476B5"/>
    <w:rsid w:val="00253ECF"/>
    <w:rsid w:val="002546A1"/>
    <w:rsid w:val="00275D08"/>
    <w:rsid w:val="0028059A"/>
    <w:rsid w:val="0028245E"/>
    <w:rsid w:val="002858E3"/>
    <w:rsid w:val="0029190A"/>
    <w:rsid w:val="00292C5A"/>
    <w:rsid w:val="00295241"/>
    <w:rsid w:val="002B047D"/>
    <w:rsid w:val="002B732B"/>
    <w:rsid w:val="002C2219"/>
    <w:rsid w:val="002D0DF2"/>
    <w:rsid w:val="002D23BD"/>
    <w:rsid w:val="002E0B47"/>
    <w:rsid w:val="002E102D"/>
    <w:rsid w:val="002F7213"/>
    <w:rsid w:val="0030382F"/>
    <w:rsid w:val="0030408D"/>
    <w:rsid w:val="003060E4"/>
    <w:rsid w:val="00313718"/>
    <w:rsid w:val="003160E7"/>
    <w:rsid w:val="003171F2"/>
    <w:rsid w:val="0031739E"/>
    <w:rsid w:val="003325AB"/>
    <w:rsid w:val="0033412B"/>
    <w:rsid w:val="00343365"/>
    <w:rsid w:val="00353501"/>
    <w:rsid w:val="003606F8"/>
    <w:rsid w:val="003648EF"/>
    <w:rsid w:val="003673E6"/>
    <w:rsid w:val="00377264"/>
    <w:rsid w:val="003A26A5"/>
    <w:rsid w:val="003A3761"/>
    <w:rsid w:val="003A5FEA"/>
    <w:rsid w:val="003B1D10"/>
    <w:rsid w:val="003C76D4"/>
    <w:rsid w:val="003E7C46"/>
    <w:rsid w:val="003F52A7"/>
    <w:rsid w:val="0040240C"/>
    <w:rsid w:val="00413021"/>
    <w:rsid w:val="00440BE0"/>
    <w:rsid w:val="00442C1C"/>
    <w:rsid w:val="0044584B"/>
    <w:rsid w:val="00447CB7"/>
    <w:rsid w:val="00460826"/>
    <w:rsid w:val="00460EA7"/>
    <w:rsid w:val="0046195B"/>
    <w:rsid w:val="0046596D"/>
    <w:rsid w:val="00487C04"/>
    <w:rsid w:val="004907E1"/>
    <w:rsid w:val="004A035B"/>
    <w:rsid w:val="004A38D7"/>
    <w:rsid w:val="004A778C"/>
    <w:rsid w:val="004B27CA"/>
    <w:rsid w:val="004C2E6A"/>
    <w:rsid w:val="004D2A2D"/>
    <w:rsid w:val="004D6689"/>
    <w:rsid w:val="004E1D1D"/>
    <w:rsid w:val="004E7AC8"/>
    <w:rsid w:val="004F0C94"/>
    <w:rsid w:val="005019AE"/>
    <w:rsid w:val="00503749"/>
    <w:rsid w:val="00504CF4"/>
    <w:rsid w:val="0050635B"/>
    <w:rsid w:val="00516F3A"/>
    <w:rsid w:val="0053199F"/>
    <w:rsid w:val="00533B90"/>
    <w:rsid w:val="005410F8"/>
    <w:rsid w:val="005448EC"/>
    <w:rsid w:val="00545963"/>
    <w:rsid w:val="0054599F"/>
    <w:rsid w:val="00550256"/>
    <w:rsid w:val="00553958"/>
    <w:rsid w:val="0055763D"/>
    <w:rsid w:val="005621F2"/>
    <w:rsid w:val="00567B58"/>
    <w:rsid w:val="005763E0"/>
    <w:rsid w:val="005A27CA"/>
    <w:rsid w:val="005A43BD"/>
    <w:rsid w:val="005E226E"/>
    <w:rsid w:val="006015D7"/>
    <w:rsid w:val="00601B21"/>
    <w:rsid w:val="00611516"/>
    <w:rsid w:val="00626CF8"/>
    <w:rsid w:val="00636074"/>
    <w:rsid w:val="00636D7D"/>
    <w:rsid w:val="00637408"/>
    <w:rsid w:val="00642868"/>
    <w:rsid w:val="0064573A"/>
    <w:rsid w:val="00647AFE"/>
    <w:rsid w:val="006512BC"/>
    <w:rsid w:val="00653A5A"/>
    <w:rsid w:val="006575F4"/>
    <w:rsid w:val="006579E6"/>
    <w:rsid w:val="00663EDC"/>
    <w:rsid w:val="00671078"/>
    <w:rsid w:val="00680A04"/>
    <w:rsid w:val="00686D80"/>
    <w:rsid w:val="00694895"/>
    <w:rsid w:val="00697E2E"/>
    <w:rsid w:val="006A25A2"/>
    <w:rsid w:val="006B0E73"/>
    <w:rsid w:val="006B4A4D"/>
    <w:rsid w:val="006B5695"/>
    <w:rsid w:val="006C78EB"/>
    <w:rsid w:val="006D1660"/>
    <w:rsid w:val="006F1B67"/>
    <w:rsid w:val="0070091D"/>
    <w:rsid w:val="00702854"/>
    <w:rsid w:val="0071741C"/>
    <w:rsid w:val="00742B90"/>
    <w:rsid w:val="00743A56"/>
    <w:rsid w:val="0074434D"/>
    <w:rsid w:val="00771B1E"/>
    <w:rsid w:val="00773C95"/>
    <w:rsid w:val="0078171E"/>
    <w:rsid w:val="00795B34"/>
    <w:rsid w:val="007B1770"/>
    <w:rsid w:val="007B4D3E"/>
    <w:rsid w:val="007B7C70"/>
    <w:rsid w:val="007D2151"/>
    <w:rsid w:val="007D42CC"/>
    <w:rsid w:val="007D5DE4"/>
    <w:rsid w:val="007E0777"/>
    <w:rsid w:val="007E1341"/>
    <w:rsid w:val="007E1B41"/>
    <w:rsid w:val="007E30B9"/>
    <w:rsid w:val="007E3FAC"/>
    <w:rsid w:val="007E74F1"/>
    <w:rsid w:val="007F0F0C"/>
    <w:rsid w:val="007F1288"/>
    <w:rsid w:val="00800A8A"/>
    <w:rsid w:val="0080155C"/>
    <w:rsid w:val="008052E1"/>
    <w:rsid w:val="00812DF8"/>
    <w:rsid w:val="00822F2C"/>
    <w:rsid w:val="008305E8"/>
    <w:rsid w:val="00853115"/>
    <w:rsid w:val="00860826"/>
    <w:rsid w:val="00860E21"/>
    <w:rsid w:val="00863117"/>
    <w:rsid w:val="0086388B"/>
    <w:rsid w:val="008642E5"/>
    <w:rsid w:val="00872D93"/>
    <w:rsid w:val="00880380"/>
    <w:rsid w:val="00880470"/>
    <w:rsid w:val="00880D94"/>
    <w:rsid w:val="00884FEB"/>
    <w:rsid w:val="008924DE"/>
    <w:rsid w:val="008A3755"/>
    <w:rsid w:val="008B2328"/>
    <w:rsid w:val="008B264F"/>
    <w:rsid w:val="008B6F83"/>
    <w:rsid w:val="008B7FD8"/>
    <w:rsid w:val="008C2973"/>
    <w:rsid w:val="008C64C4"/>
    <w:rsid w:val="008D74D5"/>
    <w:rsid w:val="008F29BE"/>
    <w:rsid w:val="008F4AE5"/>
    <w:rsid w:val="008F51EB"/>
    <w:rsid w:val="00900197"/>
    <w:rsid w:val="00902F55"/>
    <w:rsid w:val="0090352A"/>
    <w:rsid w:val="0090582B"/>
    <w:rsid w:val="009060C0"/>
    <w:rsid w:val="009133F5"/>
    <w:rsid w:val="00920A27"/>
    <w:rsid w:val="00921216"/>
    <w:rsid w:val="00932D69"/>
    <w:rsid w:val="0093666C"/>
    <w:rsid w:val="00944647"/>
    <w:rsid w:val="00977B8A"/>
    <w:rsid w:val="00982971"/>
    <w:rsid w:val="009845AD"/>
    <w:rsid w:val="0099197A"/>
    <w:rsid w:val="00995BA0"/>
    <w:rsid w:val="009A418B"/>
    <w:rsid w:val="009A4473"/>
    <w:rsid w:val="009B2B80"/>
    <w:rsid w:val="009C151C"/>
    <w:rsid w:val="009D5125"/>
    <w:rsid w:val="009D60B8"/>
    <w:rsid w:val="009D7D4B"/>
    <w:rsid w:val="009E36ED"/>
    <w:rsid w:val="009E6B77"/>
    <w:rsid w:val="009F460A"/>
    <w:rsid w:val="00A043FB"/>
    <w:rsid w:val="00A0729C"/>
    <w:rsid w:val="00A07779"/>
    <w:rsid w:val="00A20B2E"/>
    <w:rsid w:val="00A3068F"/>
    <w:rsid w:val="00A3145B"/>
    <w:rsid w:val="00A339D0"/>
    <w:rsid w:val="00A35CAB"/>
    <w:rsid w:val="00A37195"/>
    <w:rsid w:val="00A4043D"/>
    <w:rsid w:val="00A41002"/>
    <w:rsid w:val="00A4201A"/>
    <w:rsid w:val="00A553CE"/>
    <w:rsid w:val="00A5677A"/>
    <w:rsid w:val="00A641DA"/>
    <w:rsid w:val="00A6490D"/>
    <w:rsid w:val="00A74AC3"/>
    <w:rsid w:val="00A80363"/>
    <w:rsid w:val="00A9169D"/>
    <w:rsid w:val="00AC101C"/>
    <w:rsid w:val="00AD4CF1"/>
    <w:rsid w:val="00AD5988"/>
    <w:rsid w:val="00AF6FB7"/>
    <w:rsid w:val="00AF7800"/>
    <w:rsid w:val="00B072E0"/>
    <w:rsid w:val="00B16F16"/>
    <w:rsid w:val="00B253F6"/>
    <w:rsid w:val="00B332F8"/>
    <w:rsid w:val="00B3492B"/>
    <w:rsid w:val="00B4646F"/>
    <w:rsid w:val="00B55C7D"/>
    <w:rsid w:val="00B63038"/>
    <w:rsid w:val="00B64BD8"/>
    <w:rsid w:val="00B701D1"/>
    <w:rsid w:val="00B73AF2"/>
    <w:rsid w:val="00B7551A"/>
    <w:rsid w:val="00B935D1"/>
    <w:rsid w:val="00BB05B3"/>
    <w:rsid w:val="00BC59F1"/>
    <w:rsid w:val="00BF3DE1"/>
    <w:rsid w:val="00BF4843"/>
    <w:rsid w:val="00BF5205"/>
    <w:rsid w:val="00C12508"/>
    <w:rsid w:val="00C320CF"/>
    <w:rsid w:val="00C45AA2"/>
    <w:rsid w:val="00C47FE3"/>
    <w:rsid w:val="00C66296"/>
    <w:rsid w:val="00C77282"/>
    <w:rsid w:val="00C84DE5"/>
    <w:rsid w:val="00C86248"/>
    <w:rsid w:val="00CA4C33"/>
    <w:rsid w:val="00CA6F4A"/>
    <w:rsid w:val="00CD2119"/>
    <w:rsid w:val="00CD36AC"/>
    <w:rsid w:val="00CF1747"/>
    <w:rsid w:val="00D2392A"/>
    <w:rsid w:val="00D25FFE"/>
    <w:rsid w:val="00D36B88"/>
    <w:rsid w:val="00D4476F"/>
    <w:rsid w:val="00D54D50"/>
    <w:rsid w:val="00D66797"/>
    <w:rsid w:val="00D7087C"/>
    <w:rsid w:val="00D70C3C"/>
    <w:rsid w:val="00D72BE5"/>
    <w:rsid w:val="00D82F26"/>
    <w:rsid w:val="00D863D0"/>
    <w:rsid w:val="00D87C87"/>
    <w:rsid w:val="00D94409"/>
    <w:rsid w:val="00DB39CF"/>
    <w:rsid w:val="00DD447A"/>
    <w:rsid w:val="00DE3B20"/>
    <w:rsid w:val="00DE6C94"/>
    <w:rsid w:val="00DE6FD7"/>
    <w:rsid w:val="00E23271"/>
    <w:rsid w:val="00E24F80"/>
    <w:rsid w:val="00E259F3"/>
    <w:rsid w:val="00E33238"/>
    <w:rsid w:val="00E4486C"/>
    <w:rsid w:val="00E44FD0"/>
    <w:rsid w:val="00E460B6"/>
    <w:rsid w:val="00E511D5"/>
    <w:rsid w:val="00E60249"/>
    <w:rsid w:val="00E65269"/>
    <w:rsid w:val="00E76D66"/>
    <w:rsid w:val="00EA796A"/>
    <w:rsid w:val="00EB1856"/>
    <w:rsid w:val="00EC50CE"/>
    <w:rsid w:val="00EC5B34"/>
    <w:rsid w:val="00ED25C2"/>
    <w:rsid w:val="00EE4ADE"/>
    <w:rsid w:val="00EE5CB7"/>
    <w:rsid w:val="00F024FE"/>
    <w:rsid w:val="00F05AD4"/>
    <w:rsid w:val="00F07BA1"/>
    <w:rsid w:val="00F25970"/>
    <w:rsid w:val="00F41AAA"/>
    <w:rsid w:val="00F5180D"/>
    <w:rsid w:val="00F67496"/>
    <w:rsid w:val="00F72992"/>
    <w:rsid w:val="00F801BA"/>
    <w:rsid w:val="00F91433"/>
    <w:rsid w:val="00F946C9"/>
    <w:rsid w:val="00FA74EE"/>
    <w:rsid w:val="00FC3711"/>
    <w:rsid w:val="00FC46E7"/>
    <w:rsid w:val="00FC5D25"/>
    <w:rsid w:val="00FD0D7E"/>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uiPriority w:val="1"/>
    <w:qFormat/>
    <w:rsid w:val="00F024FE"/>
    <w:pPr>
      <w:pBdr>
        <w:top w:val="single" w:sz="48" w:space="16" w:color="auto"/>
      </w:pBdr>
      <w:spacing w:after="360"/>
      <w:outlineLvl w:val="0"/>
    </w:pPr>
    <w:rPr>
      <w:b/>
      <w:sz w:val="60"/>
    </w:rPr>
  </w:style>
  <w:style w:type="paragraph" w:styleId="Heading2">
    <w:name w:val="heading 2"/>
    <w:basedOn w:val="Normal"/>
    <w:next w:val="Normal"/>
    <w:link w:val="Heading2Char"/>
    <w:uiPriority w:val="1"/>
    <w:qFormat/>
    <w:rsid w:val="00D2392A"/>
    <w:pPr>
      <w:keepNext/>
      <w:spacing w:before="120" w:after="120"/>
      <w:outlineLvl w:val="1"/>
    </w:pPr>
    <w:rPr>
      <w:b/>
      <w:sz w:val="40"/>
    </w:rPr>
  </w:style>
  <w:style w:type="paragraph" w:styleId="Heading3">
    <w:name w:val="heading 3"/>
    <w:basedOn w:val="Normal"/>
    <w:next w:val="Normal"/>
    <w:link w:val="Heading3Char"/>
    <w:uiPriority w:val="1"/>
    <w:qFormat/>
    <w:rsid w:val="0033412B"/>
    <w:pPr>
      <w:keepNext/>
      <w:spacing w:before="120" w:after="120"/>
      <w:outlineLvl w:val="2"/>
    </w:pPr>
    <w:rPr>
      <w:b/>
      <w:sz w:val="28"/>
    </w:rPr>
  </w:style>
  <w:style w:type="paragraph" w:styleId="Heading4">
    <w:name w:val="heading 4"/>
    <w:basedOn w:val="Normal"/>
    <w:next w:val="Normal"/>
    <w:uiPriority w:val="1"/>
    <w:qFormat/>
    <w:rsid w:val="007D5DE4"/>
    <w:pPr>
      <w:keepNext/>
      <w:spacing w:before="120" w:after="120"/>
      <w:outlineLvl w:val="3"/>
    </w:pPr>
    <w:rPr>
      <w:b/>
    </w:rPr>
  </w:style>
  <w:style w:type="paragraph" w:styleId="Heading5">
    <w:name w:val="heading 5"/>
    <w:basedOn w:val="Normal"/>
    <w:next w:val="Normal"/>
    <w:uiPriority w:val="1"/>
    <w:qFormat/>
    <w:rsid w:val="0013585C"/>
    <w:pPr>
      <w:keepNext/>
      <w:spacing w:before="120" w:after="120"/>
      <w:outlineLvl w:val="4"/>
    </w:pPr>
    <w:rPr>
      <w:u w:val="single"/>
    </w:rPr>
  </w:style>
  <w:style w:type="paragraph" w:styleId="Heading6">
    <w:name w:val="heading 6"/>
    <w:basedOn w:val="Normal"/>
    <w:next w:val="Normal"/>
    <w:link w:val="Heading6Char"/>
    <w:uiPriority w:val="1"/>
    <w:unhideWhenUsed/>
    <w:qFormat/>
    <w:rsid w:val="00A74AC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link w:val="Heading7Char"/>
    <w:uiPriority w:val="1"/>
    <w:qFormat/>
    <w:rsid w:val="00A74AC3"/>
    <w:pPr>
      <w:widowControl w:val="0"/>
      <w:spacing w:before="97" w:line="240" w:lineRule="auto"/>
      <w:ind w:left="173"/>
      <w:outlineLvl w:val="6"/>
    </w:pPr>
    <w:rPr>
      <w:rFonts w:eastAsia="Georgia" w:cstheme="minorBidi"/>
      <w:b/>
      <w:bCs/>
      <w:sz w:val="24"/>
      <w:szCs w:val="24"/>
      <w:lang w:val="en-US" w:eastAsia="en-US"/>
    </w:rPr>
  </w:style>
  <w:style w:type="paragraph" w:styleId="Heading8">
    <w:name w:val="heading 8"/>
    <w:basedOn w:val="Normal"/>
    <w:next w:val="Normal"/>
    <w:link w:val="Heading8Char"/>
    <w:uiPriority w:val="1"/>
    <w:unhideWhenUsed/>
    <w:qFormat/>
    <w:rsid w:val="00A74AC3"/>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link w:val="Heading9Char"/>
    <w:uiPriority w:val="1"/>
    <w:qFormat/>
    <w:rsid w:val="00A74AC3"/>
    <w:pPr>
      <w:widowControl w:val="0"/>
      <w:spacing w:line="240" w:lineRule="auto"/>
      <w:ind w:left="234"/>
      <w:outlineLvl w:val="8"/>
    </w:pPr>
    <w:rPr>
      <w:rFonts w:ascii="Arial Black" w:eastAsia="Arial Black" w:hAnsi="Arial Black" w:cstheme="minorBidi"/>
      <w:b/>
      <w:bCs/>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06228D"/>
    <w:pPr>
      <w:tabs>
        <w:tab w:val="right" w:pos="9356"/>
      </w:tabs>
      <w:spacing w:before="300"/>
      <w:ind w:right="567"/>
    </w:pPr>
    <w:rPr>
      <w:b/>
    </w:rPr>
  </w:style>
  <w:style w:type="paragraph" w:styleId="TOC2">
    <w:name w:val="toc 2"/>
    <w:basedOn w:val="Normal"/>
    <w:next w:val="Normal"/>
    <w:uiPriority w:val="39"/>
    <w:rsid w:val="0006228D"/>
    <w:pPr>
      <w:tabs>
        <w:tab w:val="left" w:pos="284"/>
        <w:tab w:val="right" w:pos="9356"/>
      </w:tabs>
      <w:spacing w:before="60"/>
      <w:ind w:left="284" w:right="567"/>
    </w:pPr>
  </w:style>
  <w:style w:type="paragraph" w:styleId="TOC3">
    <w:name w:val="toc 3"/>
    <w:basedOn w:val="Normal"/>
    <w:next w:val="Normal"/>
    <w:uiPriority w:val="39"/>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uiPriority w:val="99"/>
    <w:semiHidden/>
    <w:rsid w:val="003060E4"/>
    <w:pPr>
      <w:spacing w:before="60"/>
      <w:ind w:left="284" w:hanging="284"/>
    </w:pPr>
    <w:rPr>
      <w:sz w:val="18"/>
    </w:rPr>
  </w:style>
  <w:style w:type="paragraph" w:styleId="Header">
    <w:name w:val="header"/>
    <w:basedOn w:val="Normal"/>
    <w:link w:val="HeaderChar"/>
    <w:uiPriority w:val="99"/>
    <w:qFormat/>
    <w:rsid w:val="00D25FFE"/>
  </w:style>
  <w:style w:type="paragraph" w:styleId="Title">
    <w:name w:val="Title"/>
    <w:basedOn w:val="Normal"/>
    <w:next w:val="Normal"/>
    <w:qFormat/>
    <w:rsid w:val="00FF65CD"/>
    <w:pPr>
      <w:ind w:right="1701"/>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4F0C94"/>
    <w:pPr>
      <w:pBdr>
        <w:bottom w:val="single" w:sz="4" w:space="6" w:color="auto"/>
      </w:pBdr>
      <w:spacing w:before="80"/>
      <w:ind w:left="284" w:right="2552" w:hanging="284"/>
    </w:pPr>
    <w:rPr>
      <w:rFonts w:ascii="Arial" w:hAnsi="Arial"/>
      <w:sz w:val="18"/>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Subhead"/>
    <w:next w:val="Subhead"/>
    <w:qFormat/>
    <w:rsid w:val="00FF65CD"/>
    <w:pPr>
      <w:pBdr>
        <w:bottom w:val="single" w:sz="48" w:space="6" w:color="auto"/>
      </w:pBdr>
    </w:pPr>
    <w:rPr>
      <w:sz w:val="56"/>
    </w:rPr>
  </w:style>
  <w:style w:type="paragraph" w:styleId="BalloonText">
    <w:name w:val="Balloon Text"/>
    <w:basedOn w:val="Normal"/>
    <w:link w:val="BalloonTextChar"/>
    <w:uiPriority w:val="99"/>
    <w:semiHidden/>
    <w:unhideWhenUsed/>
    <w:rsid w:val="007E1341"/>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7E1341"/>
    <w:rPr>
      <w:rFonts w:ascii="Tahoma" w:hAnsi="Tahoma" w:cs="Tahoma"/>
      <w:sz w:val="16"/>
      <w:szCs w:val="16"/>
      <w:lang w:eastAsia="en-GB"/>
    </w:rPr>
  </w:style>
  <w:style w:type="character" w:customStyle="1" w:styleId="NoteChar">
    <w:name w:val="Note Char"/>
    <w:link w:val="Note"/>
    <w:rsid w:val="004F0C94"/>
    <w:rPr>
      <w:rFonts w:ascii="Arial" w:hAnsi="Arial"/>
      <w:sz w:val="18"/>
      <w:lang w:eastAsia="en-GB"/>
    </w:rPr>
  </w:style>
  <w:style w:type="character" w:customStyle="1" w:styleId="FootnoteTextChar">
    <w:name w:val="Footnote Text Char"/>
    <w:link w:val="FootnoteText"/>
    <w:uiPriority w:val="99"/>
    <w:semiHidden/>
    <w:rsid w:val="003060E4"/>
    <w:rPr>
      <w:rFonts w:ascii="Georgia" w:hAnsi="Georgia"/>
      <w:sz w:val="18"/>
      <w:lang w:eastAsia="en-GB"/>
    </w:rPr>
  </w:style>
  <w:style w:type="table" w:styleId="TableGrid">
    <w:name w:val="Table Grid"/>
    <w:basedOn w:val="TableNormal"/>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86388B"/>
    <w:rPr>
      <w:rFonts w:ascii="Georgia" w:hAnsi="Georgia"/>
      <w:sz w:val="22"/>
      <w:lang w:eastAsia="en-GB"/>
    </w:rPr>
  </w:style>
  <w:style w:type="paragraph" w:customStyle="1" w:styleId="ColorfulList-Accent11">
    <w:name w:val="Colorful List - Accent 11"/>
    <w:basedOn w:val="Normal"/>
    <w:uiPriority w:val="34"/>
    <w:qFormat/>
    <w:rsid w:val="0086388B"/>
    <w:pPr>
      <w:spacing w:line="240" w:lineRule="auto"/>
      <w:ind w:left="720"/>
      <w:contextualSpacing/>
    </w:pPr>
    <w:rPr>
      <w:rFonts w:ascii="Arial" w:eastAsia="Calibri" w:hAnsi="Arial"/>
      <w:sz w:val="20"/>
      <w:szCs w:val="22"/>
      <w:lang w:eastAsia="en-US"/>
    </w:rPr>
  </w:style>
  <w:style w:type="character" w:styleId="CommentReference">
    <w:name w:val="annotation reference"/>
    <w:uiPriority w:val="99"/>
    <w:semiHidden/>
    <w:unhideWhenUsed/>
    <w:rsid w:val="0086388B"/>
    <w:rPr>
      <w:sz w:val="18"/>
      <w:szCs w:val="18"/>
    </w:rPr>
  </w:style>
  <w:style w:type="paragraph" w:styleId="CommentText">
    <w:name w:val="annotation text"/>
    <w:basedOn w:val="Normal"/>
    <w:link w:val="CommentTextChar"/>
    <w:uiPriority w:val="99"/>
    <w:semiHidden/>
    <w:unhideWhenUsed/>
    <w:rsid w:val="0086388B"/>
    <w:pPr>
      <w:spacing w:line="240" w:lineRule="auto"/>
    </w:pPr>
    <w:rPr>
      <w:rFonts w:ascii="Arial" w:eastAsia="Calibri" w:hAnsi="Arial"/>
      <w:sz w:val="24"/>
      <w:szCs w:val="24"/>
      <w:lang w:val="x-none" w:eastAsia="x-none"/>
    </w:rPr>
  </w:style>
  <w:style w:type="character" w:customStyle="1" w:styleId="CommentTextChar">
    <w:name w:val="Comment Text Char"/>
    <w:link w:val="CommentText"/>
    <w:uiPriority w:val="99"/>
    <w:semiHidden/>
    <w:rsid w:val="0086388B"/>
    <w:rPr>
      <w:rFonts w:ascii="Arial" w:eastAsia="Calibri" w:hAnsi="Arial"/>
      <w:sz w:val="24"/>
      <w:szCs w:val="24"/>
      <w:lang w:val="x-none" w:eastAsia="x-none"/>
    </w:rPr>
  </w:style>
  <w:style w:type="paragraph" w:styleId="CommentSubject">
    <w:name w:val="annotation subject"/>
    <w:basedOn w:val="CommentText"/>
    <w:next w:val="CommentText"/>
    <w:link w:val="CommentSubjectChar"/>
    <w:uiPriority w:val="99"/>
    <w:semiHidden/>
    <w:unhideWhenUsed/>
    <w:rsid w:val="0086388B"/>
    <w:rPr>
      <w:b/>
      <w:bCs/>
    </w:rPr>
  </w:style>
  <w:style w:type="character" w:customStyle="1" w:styleId="CommentSubjectChar">
    <w:name w:val="Comment Subject Char"/>
    <w:link w:val="CommentSubject"/>
    <w:uiPriority w:val="99"/>
    <w:semiHidden/>
    <w:rsid w:val="0086388B"/>
    <w:rPr>
      <w:rFonts w:ascii="Arial" w:eastAsia="Calibri" w:hAnsi="Arial"/>
      <w:b/>
      <w:bCs/>
      <w:sz w:val="24"/>
      <w:szCs w:val="24"/>
      <w:lang w:val="x-none" w:eastAsia="x-none"/>
    </w:rPr>
  </w:style>
  <w:style w:type="paragraph" w:styleId="ListParagraph">
    <w:name w:val="List Paragraph"/>
    <w:basedOn w:val="Normal"/>
    <w:uiPriority w:val="1"/>
    <w:qFormat/>
    <w:rsid w:val="0086388B"/>
    <w:pPr>
      <w:spacing w:line="240" w:lineRule="auto"/>
      <w:ind w:left="720"/>
      <w:contextualSpacing/>
    </w:pPr>
    <w:rPr>
      <w:rFonts w:ascii="Arial" w:eastAsia="Calibri" w:hAnsi="Arial"/>
      <w:sz w:val="20"/>
      <w:szCs w:val="22"/>
      <w:lang w:eastAsia="en-US"/>
    </w:rPr>
  </w:style>
  <w:style w:type="paragraph" w:styleId="NormalWeb">
    <w:name w:val="Normal (Web)"/>
    <w:basedOn w:val="Normal"/>
    <w:uiPriority w:val="99"/>
    <w:unhideWhenUsed/>
    <w:rsid w:val="0086388B"/>
    <w:pPr>
      <w:spacing w:before="100" w:beforeAutospacing="1" w:after="100" w:afterAutospacing="1" w:line="240" w:lineRule="auto"/>
    </w:pPr>
    <w:rPr>
      <w:rFonts w:ascii="Times New Roman" w:hAnsi="Times New Roman"/>
      <w:sz w:val="24"/>
      <w:szCs w:val="24"/>
      <w:lang w:eastAsia="en-NZ"/>
    </w:rPr>
  </w:style>
  <w:style w:type="character" w:customStyle="1" w:styleId="Heading1Char">
    <w:name w:val="Heading 1 Char"/>
    <w:link w:val="Heading1"/>
    <w:uiPriority w:val="9"/>
    <w:rsid w:val="0086388B"/>
    <w:rPr>
      <w:rFonts w:ascii="Georgia" w:hAnsi="Georgia"/>
      <w:b/>
      <w:sz w:val="60"/>
      <w:lang w:eastAsia="en-GB"/>
    </w:rPr>
  </w:style>
  <w:style w:type="paragraph" w:customStyle="1" w:styleId="Pa37">
    <w:name w:val="Pa37"/>
    <w:basedOn w:val="Normal"/>
    <w:next w:val="Normal"/>
    <w:uiPriority w:val="99"/>
    <w:rsid w:val="0086388B"/>
    <w:pPr>
      <w:autoSpaceDE w:val="0"/>
      <w:autoSpaceDN w:val="0"/>
      <w:adjustRightInd w:val="0"/>
      <w:spacing w:line="141" w:lineRule="atLeast"/>
    </w:pPr>
    <w:rPr>
      <w:rFonts w:ascii="FoundrySans-Normal" w:eastAsia="Calibri" w:hAnsi="FoundrySans-Normal"/>
      <w:sz w:val="24"/>
      <w:szCs w:val="24"/>
      <w:lang w:eastAsia="en-NZ"/>
    </w:rPr>
  </w:style>
  <w:style w:type="character" w:customStyle="1" w:styleId="A19">
    <w:name w:val="A19"/>
    <w:uiPriority w:val="99"/>
    <w:rsid w:val="0086388B"/>
    <w:rPr>
      <w:rFonts w:cs="FoundrySans-Normal"/>
      <w:color w:val="000000"/>
      <w:sz w:val="8"/>
      <w:szCs w:val="8"/>
    </w:rPr>
  </w:style>
  <w:style w:type="paragraph" w:customStyle="1" w:styleId="Pa38">
    <w:name w:val="Pa38"/>
    <w:basedOn w:val="Normal"/>
    <w:next w:val="Normal"/>
    <w:uiPriority w:val="99"/>
    <w:rsid w:val="0086388B"/>
    <w:pPr>
      <w:autoSpaceDE w:val="0"/>
      <w:autoSpaceDN w:val="0"/>
      <w:adjustRightInd w:val="0"/>
      <w:spacing w:line="141" w:lineRule="atLeast"/>
    </w:pPr>
    <w:rPr>
      <w:rFonts w:ascii="FoundrySans-Normal" w:eastAsia="Calibri" w:hAnsi="FoundrySans-Normal"/>
      <w:sz w:val="24"/>
      <w:szCs w:val="24"/>
      <w:lang w:eastAsia="en-NZ"/>
    </w:rPr>
  </w:style>
  <w:style w:type="character" w:customStyle="1" w:styleId="A1">
    <w:name w:val="A1"/>
    <w:uiPriority w:val="99"/>
    <w:rsid w:val="0086388B"/>
    <w:rPr>
      <w:rFonts w:cs="FoundrySans-Normal"/>
      <w:color w:val="000000"/>
      <w:sz w:val="16"/>
      <w:szCs w:val="16"/>
    </w:rPr>
  </w:style>
  <w:style w:type="character" w:customStyle="1" w:styleId="A18">
    <w:name w:val="A18"/>
    <w:uiPriority w:val="99"/>
    <w:rsid w:val="0086388B"/>
    <w:rPr>
      <w:rFonts w:cs="FoundrySans-Normal"/>
      <w:color w:val="000000"/>
      <w:sz w:val="9"/>
      <w:szCs w:val="9"/>
    </w:rPr>
  </w:style>
  <w:style w:type="paragraph" w:styleId="Revision">
    <w:name w:val="Revision"/>
    <w:hidden/>
    <w:uiPriority w:val="99"/>
    <w:semiHidden/>
    <w:rsid w:val="0086388B"/>
    <w:rPr>
      <w:rFonts w:ascii="Calibri" w:eastAsia="Calibri" w:hAnsi="Calibri"/>
      <w:sz w:val="22"/>
      <w:szCs w:val="22"/>
      <w:lang w:val="en-US" w:eastAsia="en-US"/>
    </w:rPr>
  </w:style>
  <w:style w:type="paragraph" w:styleId="NoSpacing">
    <w:name w:val="No Spacing"/>
    <w:uiPriority w:val="1"/>
    <w:qFormat/>
    <w:rsid w:val="0086388B"/>
    <w:pPr>
      <w:widowControl w:val="0"/>
    </w:pPr>
    <w:rPr>
      <w:rFonts w:ascii="Calibri" w:eastAsia="Calibri" w:hAnsi="Calibri"/>
      <w:sz w:val="22"/>
      <w:szCs w:val="22"/>
      <w:lang w:val="en-US" w:eastAsia="en-US"/>
    </w:rPr>
  </w:style>
  <w:style w:type="paragraph" w:styleId="ListBullet">
    <w:name w:val="List Bullet"/>
    <w:basedOn w:val="Normal"/>
    <w:uiPriority w:val="99"/>
    <w:unhideWhenUsed/>
    <w:rsid w:val="0086388B"/>
    <w:pPr>
      <w:numPr>
        <w:numId w:val="12"/>
      </w:numPr>
      <w:spacing w:line="240" w:lineRule="auto"/>
      <w:contextualSpacing/>
    </w:pPr>
    <w:rPr>
      <w:rFonts w:ascii="Arial" w:eastAsia="Calibri" w:hAnsi="Arial"/>
      <w:sz w:val="20"/>
      <w:szCs w:val="22"/>
      <w:lang w:eastAsia="en-US"/>
    </w:rPr>
  </w:style>
  <w:style w:type="paragraph" w:styleId="Caption">
    <w:name w:val="caption"/>
    <w:basedOn w:val="Normal"/>
    <w:next w:val="Normal"/>
    <w:uiPriority w:val="35"/>
    <w:unhideWhenUsed/>
    <w:qFormat/>
    <w:rsid w:val="0086388B"/>
    <w:pPr>
      <w:spacing w:line="240" w:lineRule="auto"/>
      <w:ind w:left="794" w:hanging="794"/>
    </w:pPr>
    <w:rPr>
      <w:rFonts w:ascii="Arial" w:eastAsia="Calibri" w:hAnsi="Arial"/>
      <w:b/>
      <w:bCs/>
      <w:sz w:val="20"/>
      <w:lang w:eastAsia="en-US"/>
    </w:rPr>
  </w:style>
  <w:style w:type="character" w:styleId="FollowedHyperlink">
    <w:name w:val="FollowedHyperlink"/>
    <w:uiPriority w:val="99"/>
    <w:semiHidden/>
    <w:unhideWhenUsed/>
    <w:rsid w:val="0086388B"/>
    <w:rPr>
      <w:color w:val="800080"/>
      <w:u w:val="single"/>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uiPriority w:val="9"/>
    <w:rsid w:val="0086388B"/>
    <w:rPr>
      <w:rFonts w:ascii="Georgia" w:hAnsi="Georgia"/>
      <w:b/>
      <w:sz w:val="28"/>
      <w:lang w:eastAsia="en-GB"/>
    </w:rPr>
  </w:style>
  <w:style w:type="character" w:customStyle="1" w:styleId="A4">
    <w:name w:val="A4"/>
    <w:uiPriority w:val="99"/>
    <w:rsid w:val="007E74F1"/>
    <w:rPr>
      <w:rFonts w:cs="DINPro-Light"/>
      <w:color w:val="000000"/>
      <w:sz w:val="14"/>
      <w:szCs w:val="14"/>
    </w:rPr>
  </w:style>
  <w:style w:type="paragraph" w:styleId="BodyText">
    <w:name w:val="Body Text"/>
    <w:basedOn w:val="Normal"/>
    <w:link w:val="BodyTextChar"/>
    <w:uiPriority w:val="1"/>
    <w:qFormat/>
    <w:rsid w:val="00A74AC3"/>
    <w:pPr>
      <w:widowControl w:val="0"/>
      <w:spacing w:line="240" w:lineRule="auto"/>
      <w:ind w:left="173"/>
    </w:pPr>
    <w:rPr>
      <w:rFonts w:ascii="Century" w:eastAsia="Century" w:hAnsi="Century" w:cstheme="minorBidi"/>
      <w:sz w:val="20"/>
      <w:lang w:val="en-US" w:eastAsia="en-US"/>
    </w:rPr>
  </w:style>
  <w:style w:type="character" w:customStyle="1" w:styleId="BodyTextChar">
    <w:name w:val="Body Text Char"/>
    <w:basedOn w:val="DefaultParagraphFont"/>
    <w:link w:val="BodyText"/>
    <w:uiPriority w:val="1"/>
    <w:rsid w:val="00A74AC3"/>
    <w:rPr>
      <w:rFonts w:ascii="Century" w:eastAsia="Century" w:hAnsi="Century" w:cstheme="minorBidi"/>
      <w:lang w:val="en-US" w:eastAsia="en-US"/>
    </w:rPr>
  </w:style>
  <w:style w:type="character" w:customStyle="1" w:styleId="Heading6Char">
    <w:name w:val="Heading 6 Char"/>
    <w:basedOn w:val="DefaultParagraphFont"/>
    <w:link w:val="Heading6"/>
    <w:uiPriority w:val="9"/>
    <w:semiHidden/>
    <w:rsid w:val="00A74AC3"/>
    <w:rPr>
      <w:rFonts w:asciiTheme="majorHAnsi" w:eastAsiaTheme="majorEastAsia" w:hAnsiTheme="majorHAnsi" w:cstheme="majorBidi"/>
      <w:i/>
      <w:iCs/>
      <w:color w:val="243F60" w:themeColor="accent1" w:themeShade="7F"/>
      <w:sz w:val="22"/>
      <w:lang w:eastAsia="en-GB"/>
    </w:rPr>
  </w:style>
  <w:style w:type="character" w:customStyle="1" w:styleId="Heading8Char">
    <w:name w:val="Heading 8 Char"/>
    <w:basedOn w:val="DefaultParagraphFont"/>
    <w:link w:val="Heading8"/>
    <w:uiPriority w:val="9"/>
    <w:semiHidden/>
    <w:rsid w:val="00A74AC3"/>
    <w:rPr>
      <w:rFonts w:asciiTheme="majorHAnsi" w:eastAsiaTheme="majorEastAsia" w:hAnsiTheme="majorHAnsi" w:cstheme="majorBidi"/>
      <w:color w:val="404040" w:themeColor="text1" w:themeTint="BF"/>
      <w:lang w:eastAsia="en-GB"/>
    </w:rPr>
  </w:style>
  <w:style w:type="character" w:customStyle="1" w:styleId="Heading7Char">
    <w:name w:val="Heading 7 Char"/>
    <w:basedOn w:val="DefaultParagraphFont"/>
    <w:link w:val="Heading7"/>
    <w:uiPriority w:val="1"/>
    <w:rsid w:val="00A74AC3"/>
    <w:rPr>
      <w:rFonts w:ascii="Georgia" w:eastAsia="Georgia" w:hAnsi="Georgia" w:cstheme="minorBidi"/>
      <w:b/>
      <w:bCs/>
      <w:sz w:val="24"/>
      <w:szCs w:val="24"/>
      <w:lang w:val="en-US" w:eastAsia="en-US"/>
    </w:rPr>
  </w:style>
  <w:style w:type="character" w:customStyle="1" w:styleId="Heading9Char">
    <w:name w:val="Heading 9 Char"/>
    <w:basedOn w:val="DefaultParagraphFont"/>
    <w:link w:val="Heading9"/>
    <w:uiPriority w:val="1"/>
    <w:rsid w:val="00A74AC3"/>
    <w:rPr>
      <w:rFonts w:ascii="Arial Black" w:eastAsia="Arial Black" w:hAnsi="Arial Black" w:cstheme="minorBidi"/>
      <w:b/>
      <w:bCs/>
      <w:sz w:val="22"/>
      <w:szCs w:val="22"/>
      <w:lang w:val="en-US" w:eastAsia="en-US"/>
    </w:rPr>
  </w:style>
  <w:style w:type="paragraph" w:customStyle="1" w:styleId="TableParagraph">
    <w:name w:val="Table Paragraph"/>
    <w:basedOn w:val="Normal"/>
    <w:uiPriority w:val="1"/>
    <w:qFormat/>
    <w:rsid w:val="00A74AC3"/>
    <w:pPr>
      <w:widowControl w:val="0"/>
      <w:spacing w:line="240" w:lineRule="auto"/>
    </w:pPr>
    <w:rPr>
      <w:rFonts w:asciiTheme="minorHAnsi" w:eastAsiaTheme="minorHAnsi" w:hAnsiTheme="minorHAnsi" w:cstheme="minorBidi"/>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uiPriority w:val="1"/>
    <w:qFormat/>
    <w:rsid w:val="00F024FE"/>
    <w:pPr>
      <w:pBdr>
        <w:top w:val="single" w:sz="48" w:space="16" w:color="auto"/>
      </w:pBdr>
      <w:spacing w:after="360"/>
      <w:outlineLvl w:val="0"/>
    </w:pPr>
    <w:rPr>
      <w:b/>
      <w:sz w:val="60"/>
    </w:rPr>
  </w:style>
  <w:style w:type="paragraph" w:styleId="Heading2">
    <w:name w:val="heading 2"/>
    <w:basedOn w:val="Normal"/>
    <w:next w:val="Normal"/>
    <w:link w:val="Heading2Char"/>
    <w:uiPriority w:val="1"/>
    <w:qFormat/>
    <w:rsid w:val="00D2392A"/>
    <w:pPr>
      <w:keepNext/>
      <w:spacing w:before="120" w:after="120"/>
      <w:outlineLvl w:val="1"/>
    </w:pPr>
    <w:rPr>
      <w:b/>
      <w:sz w:val="40"/>
    </w:rPr>
  </w:style>
  <w:style w:type="paragraph" w:styleId="Heading3">
    <w:name w:val="heading 3"/>
    <w:basedOn w:val="Normal"/>
    <w:next w:val="Normal"/>
    <w:link w:val="Heading3Char"/>
    <w:uiPriority w:val="1"/>
    <w:qFormat/>
    <w:rsid w:val="0033412B"/>
    <w:pPr>
      <w:keepNext/>
      <w:spacing w:before="120" w:after="120"/>
      <w:outlineLvl w:val="2"/>
    </w:pPr>
    <w:rPr>
      <w:b/>
      <w:sz w:val="28"/>
    </w:rPr>
  </w:style>
  <w:style w:type="paragraph" w:styleId="Heading4">
    <w:name w:val="heading 4"/>
    <w:basedOn w:val="Normal"/>
    <w:next w:val="Normal"/>
    <w:uiPriority w:val="1"/>
    <w:qFormat/>
    <w:rsid w:val="007D5DE4"/>
    <w:pPr>
      <w:keepNext/>
      <w:spacing w:before="120" w:after="120"/>
      <w:outlineLvl w:val="3"/>
    </w:pPr>
    <w:rPr>
      <w:b/>
    </w:rPr>
  </w:style>
  <w:style w:type="paragraph" w:styleId="Heading5">
    <w:name w:val="heading 5"/>
    <w:basedOn w:val="Normal"/>
    <w:next w:val="Normal"/>
    <w:uiPriority w:val="1"/>
    <w:qFormat/>
    <w:rsid w:val="0013585C"/>
    <w:pPr>
      <w:keepNext/>
      <w:spacing w:before="120" w:after="120"/>
      <w:outlineLvl w:val="4"/>
    </w:pPr>
    <w:rPr>
      <w:u w:val="single"/>
    </w:rPr>
  </w:style>
  <w:style w:type="paragraph" w:styleId="Heading6">
    <w:name w:val="heading 6"/>
    <w:basedOn w:val="Normal"/>
    <w:next w:val="Normal"/>
    <w:link w:val="Heading6Char"/>
    <w:uiPriority w:val="1"/>
    <w:unhideWhenUsed/>
    <w:qFormat/>
    <w:rsid w:val="00A74AC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link w:val="Heading7Char"/>
    <w:uiPriority w:val="1"/>
    <w:qFormat/>
    <w:rsid w:val="00A74AC3"/>
    <w:pPr>
      <w:widowControl w:val="0"/>
      <w:spacing w:before="97" w:line="240" w:lineRule="auto"/>
      <w:ind w:left="173"/>
      <w:outlineLvl w:val="6"/>
    </w:pPr>
    <w:rPr>
      <w:rFonts w:eastAsia="Georgia" w:cstheme="minorBidi"/>
      <w:b/>
      <w:bCs/>
      <w:sz w:val="24"/>
      <w:szCs w:val="24"/>
      <w:lang w:val="en-US" w:eastAsia="en-US"/>
    </w:rPr>
  </w:style>
  <w:style w:type="paragraph" w:styleId="Heading8">
    <w:name w:val="heading 8"/>
    <w:basedOn w:val="Normal"/>
    <w:next w:val="Normal"/>
    <w:link w:val="Heading8Char"/>
    <w:uiPriority w:val="1"/>
    <w:unhideWhenUsed/>
    <w:qFormat/>
    <w:rsid w:val="00A74AC3"/>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link w:val="Heading9Char"/>
    <w:uiPriority w:val="1"/>
    <w:qFormat/>
    <w:rsid w:val="00A74AC3"/>
    <w:pPr>
      <w:widowControl w:val="0"/>
      <w:spacing w:line="240" w:lineRule="auto"/>
      <w:ind w:left="234"/>
      <w:outlineLvl w:val="8"/>
    </w:pPr>
    <w:rPr>
      <w:rFonts w:ascii="Arial Black" w:eastAsia="Arial Black" w:hAnsi="Arial Black" w:cstheme="minorBidi"/>
      <w:b/>
      <w:bCs/>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06228D"/>
    <w:pPr>
      <w:tabs>
        <w:tab w:val="right" w:pos="9356"/>
      </w:tabs>
      <w:spacing w:before="300"/>
      <w:ind w:right="567"/>
    </w:pPr>
    <w:rPr>
      <w:b/>
    </w:rPr>
  </w:style>
  <w:style w:type="paragraph" w:styleId="TOC2">
    <w:name w:val="toc 2"/>
    <w:basedOn w:val="Normal"/>
    <w:next w:val="Normal"/>
    <w:uiPriority w:val="39"/>
    <w:rsid w:val="0006228D"/>
    <w:pPr>
      <w:tabs>
        <w:tab w:val="left" w:pos="284"/>
        <w:tab w:val="right" w:pos="9356"/>
      </w:tabs>
      <w:spacing w:before="60"/>
      <w:ind w:left="284" w:right="567"/>
    </w:pPr>
  </w:style>
  <w:style w:type="paragraph" w:styleId="TOC3">
    <w:name w:val="toc 3"/>
    <w:basedOn w:val="Normal"/>
    <w:next w:val="Normal"/>
    <w:uiPriority w:val="39"/>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uiPriority w:val="99"/>
    <w:semiHidden/>
    <w:rsid w:val="003060E4"/>
    <w:pPr>
      <w:spacing w:before="60"/>
      <w:ind w:left="284" w:hanging="284"/>
    </w:pPr>
    <w:rPr>
      <w:sz w:val="18"/>
    </w:rPr>
  </w:style>
  <w:style w:type="paragraph" w:styleId="Header">
    <w:name w:val="header"/>
    <w:basedOn w:val="Normal"/>
    <w:link w:val="HeaderChar"/>
    <w:uiPriority w:val="99"/>
    <w:qFormat/>
    <w:rsid w:val="00D25FFE"/>
  </w:style>
  <w:style w:type="paragraph" w:styleId="Title">
    <w:name w:val="Title"/>
    <w:basedOn w:val="Normal"/>
    <w:next w:val="Normal"/>
    <w:qFormat/>
    <w:rsid w:val="00FF65CD"/>
    <w:pPr>
      <w:ind w:right="1701"/>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4F0C94"/>
    <w:pPr>
      <w:pBdr>
        <w:bottom w:val="single" w:sz="4" w:space="6" w:color="auto"/>
      </w:pBdr>
      <w:spacing w:before="80"/>
      <w:ind w:left="284" w:right="2552" w:hanging="284"/>
    </w:pPr>
    <w:rPr>
      <w:rFonts w:ascii="Arial" w:hAnsi="Arial"/>
      <w:sz w:val="18"/>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Subhead"/>
    <w:next w:val="Subhead"/>
    <w:qFormat/>
    <w:rsid w:val="00FF65CD"/>
    <w:pPr>
      <w:pBdr>
        <w:bottom w:val="single" w:sz="48" w:space="6" w:color="auto"/>
      </w:pBdr>
    </w:pPr>
    <w:rPr>
      <w:sz w:val="56"/>
    </w:rPr>
  </w:style>
  <w:style w:type="paragraph" w:styleId="BalloonText">
    <w:name w:val="Balloon Text"/>
    <w:basedOn w:val="Normal"/>
    <w:link w:val="BalloonTextChar"/>
    <w:uiPriority w:val="99"/>
    <w:semiHidden/>
    <w:unhideWhenUsed/>
    <w:rsid w:val="007E1341"/>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7E1341"/>
    <w:rPr>
      <w:rFonts w:ascii="Tahoma" w:hAnsi="Tahoma" w:cs="Tahoma"/>
      <w:sz w:val="16"/>
      <w:szCs w:val="16"/>
      <w:lang w:eastAsia="en-GB"/>
    </w:rPr>
  </w:style>
  <w:style w:type="character" w:customStyle="1" w:styleId="NoteChar">
    <w:name w:val="Note Char"/>
    <w:link w:val="Note"/>
    <w:rsid w:val="004F0C94"/>
    <w:rPr>
      <w:rFonts w:ascii="Arial" w:hAnsi="Arial"/>
      <w:sz w:val="18"/>
      <w:lang w:eastAsia="en-GB"/>
    </w:rPr>
  </w:style>
  <w:style w:type="character" w:customStyle="1" w:styleId="FootnoteTextChar">
    <w:name w:val="Footnote Text Char"/>
    <w:link w:val="FootnoteText"/>
    <w:uiPriority w:val="99"/>
    <w:semiHidden/>
    <w:rsid w:val="003060E4"/>
    <w:rPr>
      <w:rFonts w:ascii="Georgia" w:hAnsi="Georgia"/>
      <w:sz w:val="18"/>
      <w:lang w:eastAsia="en-GB"/>
    </w:rPr>
  </w:style>
  <w:style w:type="table" w:styleId="TableGrid">
    <w:name w:val="Table Grid"/>
    <w:basedOn w:val="TableNormal"/>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86388B"/>
    <w:rPr>
      <w:rFonts w:ascii="Georgia" w:hAnsi="Georgia"/>
      <w:sz w:val="22"/>
      <w:lang w:eastAsia="en-GB"/>
    </w:rPr>
  </w:style>
  <w:style w:type="character" w:customStyle="1" w:styleId="FooterChar">
    <w:name w:val="Footer Char"/>
    <w:link w:val="Footer"/>
    <w:uiPriority w:val="99"/>
    <w:rsid w:val="0086388B"/>
    <w:rPr>
      <w:rFonts w:ascii="Georgia" w:hAnsi="Georgia"/>
      <w:sz w:val="22"/>
      <w:lang w:eastAsia="en-GB"/>
    </w:rPr>
  </w:style>
  <w:style w:type="paragraph" w:customStyle="1" w:styleId="ColorfulList-Accent11">
    <w:name w:val="Colorful List - Accent 11"/>
    <w:basedOn w:val="Normal"/>
    <w:uiPriority w:val="34"/>
    <w:qFormat/>
    <w:rsid w:val="0086388B"/>
    <w:pPr>
      <w:spacing w:line="240" w:lineRule="auto"/>
      <w:ind w:left="720"/>
      <w:contextualSpacing/>
    </w:pPr>
    <w:rPr>
      <w:rFonts w:ascii="Arial" w:eastAsia="Calibri" w:hAnsi="Arial"/>
      <w:sz w:val="20"/>
      <w:szCs w:val="22"/>
      <w:lang w:eastAsia="en-US"/>
    </w:rPr>
  </w:style>
  <w:style w:type="character" w:styleId="CommentReference">
    <w:name w:val="annotation reference"/>
    <w:uiPriority w:val="99"/>
    <w:semiHidden/>
    <w:unhideWhenUsed/>
    <w:rsid w:val="0086388B"/>
    <w:rPr>
      <w:sz w:val="18"/>
      <w:szCs w:val="18"/>
    </w:rPr>
  </w:style>
  <w:style w:type="paragraph" w:styleId="CommentText">
    <w:name w:val="annotation text"/>
    <w:basedOn w:val="Normal"/>
    <w:link w:val="CommentTextChar"/>
    <w:uiPriority w:val="99"/>
    <w:semiHidden/>
    <w:unhideWhenUsed/>
    <w:rsid w:val="0086388B"/>
    <w:pPr>
      <w:spacing w:line="240" w:lineRule="auto"/>
    </w:pPr>
    <w:rPr>
      <w:rFonts w:ascii="Arial" w:eastAsia="Calibri" w:hAnsi="Arial"/>
      <w:sz w:val="24"/>
      <w:szCs w:val="24"/>
      <w:lang w:val="x-none" w:eastAsia="x-none"/>
    </w:rPr>
  </w:style>
  <w:style w:type="character" w:customStyle="1" w:styleId="CommentTextChar">
    <w:name w:val="Comment Text Char"/>
    <w:link w:val="CommentText"/>
    <w:uiPriority w:val="99"/>
    <w:semiHidden/>
    <w:rsid w:val="0086388B"/>
    <w:rPr>
      <w:rFonts w:ascii="Arial" w:eastAsia="Calibri" w:hAnsi="Arial"/>
      <w:sz w:val="24"/>
      <w:szCs w:val="24"/>
      <w:lang w:val="x-none" w:eastAsia="x-none"/>
    </w:rPr>
  </w:style>
  <w:style w:type="paragraph" w:styleId="CommentSubject">
    <w:name w:val="annotation subject"/>
    <w:basedOn w:val="CommentText"/>
    <w:next w:val="CommentText"/>
    <w:link w:val="CommentSubjectChar"/>
    <w:uiPriority w:val="99"/>
    <w:semiHidden/>
    <w:unhideWhenUsed/>
    <w:rsid w:val="0086388B"/>
    <w:rPr>
      <w:b/>
      <w:bCs/>
    </w:rPr>
  </w:style>
  <w:style w:type="character" w:customStyle="1" w:styleId="CommentSubjectChar">
    <w:name w:val="Comment Subject Char"/>
    <w:link w:val="CommentSubject"/>
    <w:uiPriority w:val="99"/>
    <w:semiHidden/>
    <w:rsid w:val="0086388B"/>
    <w:rPr>
      <w:rFonts w:ascii="Arial" w:eastAsia="Calibri" w:hAnsi="Arial"/>
      <w:b/>
      <w:bCs/>
      <w:sz w:val="24"/>
      <w:szCs w:val="24"/>
      <w:lang w:val="x-none" w:eastAsia="x-none"/>
    </w:rPr>
  </w:style>
  <w:style w:type="paragraph" w:styleId="ListParagraph">
    <w:name w:val="List Paragraph"/>
    <w:basedOn w:val="Normal"/>
    <w:uiPriority w:val="1"/>
    <w:qFormat/>
    <w:rsid w:val="0086388B"/>
    <w:pPr>
      <w:spacing w:line="240" w:lineRule="auto"/>
      <w:ind w:left="720"/>
      <w:contextualSpacing/>
    </w:pPr>
    <w:rPr>
      <w:rFonts w:ascii="Arial" w:eastAsia="Calibri" w:hAnsi="Arial"/>
      <w:sz w:val="20"/>
      <w:szCs w:val="22"/>
      <w:lang w:eastAsia="en-US"/>
    </w:rPr>
  </w:style>
  <w:style w:type="paragraph" w:styleId="NormalWeb">
    <w:name w:val="Normal (Web)"/>
    <w:basedOn w:val="Normal"/>
    <w:uiPriority w:val="99"/>
    <w:unhideWhenUsed/>
    <w:rsid w:val="0086388B"/>
    <w:pPr>
      <w:spacing w:before="100" w:beforeAutospacing="1" w:after="100" w:afterAutospacing="1" w:line="240" w:lineRule="auto"/>
    </w:pPr>
    <w:rPr>
      <w:rFonts w:ascii="Times New Roman" w:hAnsi="Times New Roman"/>
      <w:sz w:val="24"/>
      <w:szCs w:val="24"/>
      <w:lang w:eastAsia="en-NZ"/>
    </w:rPr>
  </w:style>
  <w:style w:type="character" w:customStyle="1" w:styleId="Heading1Char">
    <w:name w:val="Heading 1 Char"/>
    <w:link w:val="Heading1"/>
    <w:uiPriority w:val="9"/>
    <w:rsid w:val="0086388B"/>
    <w:rPr>
      <w:rFonts w:ascii="Georgia" w:hAnsi="Georgia"/>
      <w:b/>
      <w:sz w:val="60"/>
      <w:lang w:eastAsia="en-GB"/>
    </w:rPr>
  </w:style>
  <w:style w:type="paragraph" w:customStyle="1" w:styleId="Pa37">
    <w:name w:val="Pa37"/>
    <w:basedOn w:val="Normal"/>
    <w:next w:val="Normal"/>
    <w:uiPriority w:val="99"/>
    <w:rsid w:val="0086388B"/>
    <w:pPr>
      <w:autoSpaceDE w:val="0"/>
      <w:autoSpaceDN w:val="0"/>
      <w:adjustRightInd w:val="0"/>
      <w:spacing w:line="141" w:lineRule="atLeast"/>
    </w:pPr>
    <w:rPr>
      <w:rFonts w:ascii="FoundrySans-Normal" w:eastAsia="Calibri" w:hAnsi="FoundrySans-Normal"/>
      <w:sz w:val="24"/>
      <w:szCs w:val="24"/>
      <w:lang w:eastAsia="en-NZ"/>
    </w:rPr>
  </w:style>
  <w:style w:type="character" w:customStyle="1" w:styleId="A19">
    <w:name w:val="A19"/>
    <w:uiPriority w:val="99"/>
    <w:rsid w:val="0086388B"/>
    <w:rPr>
      <w:rFonts w:cs="FoundrySans-Normal"/>
      <w:color w:val="000000"/>
      <w:sz w:val="8"/>
      <w:szCs w:val="8"/>
    </w:rPr>
  </w:style>
  <w:style w:type="paragraph" w:customStyle="1" w:styleId="Pa38">
    <w:name w:val="Pa38"/>
    <w:basedOn w:val="Normal"/>
    <w:next w:val="Normal"/>
    <w:uiPriority w:val="99"/>
    <w:rsid w:val="0086388B"/>
    <w:pPr>
      <w:autoSpaceDE w:val="0"/>
      <w:autoSpaceDN w:val="0"/>
      <w:adjustRightInd w:val="0"/>
      <w:spacing w:line="141" w:lineRule="atLeast"/>
    </w:pPr>
    <w:rPr>
      <w:rFonts w:ascii="FoundrySans-Normal" w:eastAsia="Calibri" w:hAnsi="FoundrySans-Normal"/>
      <w:sz w:val="24"/>
      <w:szCs w:val="24"/>
      <w:lang w:eastAsia="en-NZ"/>
    </w:rPr>
  </w:style>
  <w:style w:type="character" w:customStyle="1" w:styleId="A1">
    <w:name w:val="A1"/>
    <w:uiPriority w:val="99"/>
    <w:rsid w:val="0086388B"/>
    <w:rPr>
      <w:rFonts w:cs="FoundrySans-Normal"/>
      <w:color w:val="000000"/>
      <w:sz w:val="16"/>
      <w:szCs w:val="16"/>
    </w:rPr>
  </w:style>
  <w:style w:type="character" w:customStyle="1" w:styleId="A18">
    <w:name w:val="A18"/>
    <w:uiPriority w:val="99"/>
    <w:rsid w:val="0086388B"/>
    <w:rPr>
      <w:rFonts w:cs="FoundrySans-Normal"/>
      <w:color w:val="000000"/>
      <w:sz w:val="9"/>
      <w:szCs w:val="9"/>
    </w:rPr>
  </w:style>
  <w:style w:type="paragraph" w:styleId="Revision">
    <w:name w:val="Revision"/>
    <w:hidden/>
    <w:uiPriority w:val="99"/>
    <w:semiHidden/>
    <w:rsid w:val="0086388B"/>
    <w:rPr>
      <w:rFonts w:ascii="Calibri" w:eastAsia="Calibri" w:hAnsi="Calibri"/>
      <w:sz w:val="22"/>
      <w:szCs w:val="22"/>
      <w:lang w:val="en-US" w:eastAsia="en-US"/>
    </w:rPr>
  </w:style>
  <w:style w:type="paragraph" w:styleId="NoSpacing">
    <w:name w:val="No Spacing"/>
    <w:uiPriority w:val="1"/>
    <w:qFormat/>
    <w:rsid w:val="0086388B"/>
    <w:pPr>
      <w:widowControl w:val="0"/>
    </w:pPr>
    <w:rPr>
      <w:rFonts w:ascii="Calibri" w:eastAsia="Calibri" w:hAnsi="Calibri"/>
      <w:sz w:val="22"/>
      <w:szCs w:val="22"/>
      <w:lang w:val="en-US" w:eastAsia="en-US"/>
    </w:rPr>
  </w:style>
  <w:style w:type="paragraph" w:styleId="ListBullet">
    <w:name w:val="List Bullet"/>
    <w:basedOn w:val="Normal"/>
    <w:uiPriority w:val="99"/>
    <w:unhideWhenUsed/>
    <w:rsid w:val="0086388B"/>
    <w:pPr>
      <w:numPr>
        <w:numId w:val="12"/>
      </w:numPr>
      <w:spacing w:line="240" w:lineRule="auto"/>
      <w:contextualSpacing/>
    </w:pPr>
    <w:rPr>
      <w:rFonts w:ascii="Arial" w:eastAsia="Calibri" w:hAnsi="Arial"/>
      <w:sz w:val="20"/>
      <w:szCs w:val="22"/>
      <w:lang w:eastAsia="en-US"/>
    </w:rPr>
  </w:style>
  <w:style w:type="paragraph" w:styleId="Caption">
    <w:name w:val="caption"/>
    <w:basedOn w:val="Normal"/>
    <w:next w:val="Normal"/>
    <w:uiPriority w:val="35"/>
    <w:unhideWhenUsed/>
    <w:qFormat/>
    <w:rsid w:val="0086388B"/>
    <w:pPr>
      <w:spacing w:line="240" w:lineRule="auto"/>
      <w:ind w:left="794" w:hanging="794"/>
    </w:pPr>
    <w:rPr>
      <w:rFonts w:ascii="Arial" w:eastAsia="Calibri" w:hAnsi="Arial"/>
      <w:b/>
      <w:bCs/>
      <w:sz w:val="20"/>
      <w:lang w:eastAsia="en-US"/>
    </w:rPr>
  </w:style>
  <w:style w:type="character" w:styleId="FollowedHyperlink">
    <w:name w:val="FollowedHyperlink"/>
    <w:uiPriority w:val="99"/>
    <w:semiHidden/>
    <w:unhideWhenUsed/>
    <w:rsid w:val="0086388B"/>
    <w:rPr>
      <w:color w:val="800080"/>
      <w:u w:val="single"/>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uiPriority w:val="9"/>
    <w:rsid w:val="0086388B"/>
    <w:rPr>
      <w:rFonts w:ascii="Georgia" w:hAnsi="Georgia"/>
      <w:b/>
      <w:sz w:val="28"/>
      <w:lang w:eastAsia="en-GB"/>
    </w:rPr>
  </w:style>
  <w:style w:type="character" w:customStyle="1" w:styleId="A4">
    <w:name w:val="A4"/>
    <w:uiPriority w:val="99"/>
    <w:rsid w:val="007E74F1"/>
    <w:rPr>
      <w:rFonts w:cs="DINPro-Light"/>
      <w:color w:val="000000"/>
      <w:sz w:val="14"/>
      <w:szCs w:val="14"/>
    </w:rPr>
  </w:style>
  <w:style w:type="paragraph" w:styleId="BodyText">
    <w:name w:val="Body Text"/>
    <w:basedOn w:val="Normal"/>
    <w:link w:val="BodyTextChar"/>
    <w:uiPriority w:val="1"/>
    <w:qFormat/>
    <w:rsid w:val="00A74AC3"/>
    <w:pPr>
      <w:widowControl w:val="0"/>
      <w:spacing w:line="240" w:lineRule="auto"/>
      <w:ind w:left="173"/>
    </w:pPr>
    <w:rPr>
      <w:rFonts w:ascii="Century" w:eastAsia="Century" w:hAnsi="Century" w:cstheme="minorBidi"/>
      <w:sz w:val="20"/>
      <w:lang w:val="en-US" w:eastAsia="en-US"/>
    </w:rPr>
  </w:style>
  <w:style w:type="character" w:customStyle="1" w:styleId="BodyTextChar">
    <w:name w:val="Body Text Char"/>
    <w:basedOn w:val="DefaultParagraphFont"/>
    <w:link w:val="BodyText"/>
    <w:uiPriority w:val="1"/>
    <w:rsid w:val="00A74AC3"/>
    <w:rPr>
      <w:rFonts w:ascii="Century" w:eastAsia="Century" w:hAnsi="Century" w:cstheme="minorBidi"/>
      <w:lang w:val="en-US" w:eastAsia="en-US"/>
    </w:rPr>
  </w:style>
  <w:style w:type="character" w:customStyle="1" w:styleId="Heading6Char">
    <w:name w:val="Heading 6 Char"/>
    <w:basedOn w:val="DefaultParagraphFont"/>
    <w:link w:val="Heading6"/>
    <w:uiPriority w:val="9"/>
    <w:semiHidden/>
    <w:rsid w:val="00A74AC3"/>
    <w:rPr>
      <w:rFonts w:asciiTheme="majorHAnsi" w:eastAsiaTheme="majorEastAsia" w:hAnsiTheme="majorHAnsi" w:cstheme="majorBidi"/>
      <w:i/>
      <w:iCs/>
      <w:color w:val="243F60" w:themeColor="accent1" w:themeShade="7F"/>
      <w:sz w:val="22"/>
      <w:lang w:eastAsia="en-GB"/>
    </w:rPr>
  </w:style>
  <w:style w:type="character" w:customStyle="1" w:styleId="Heading8Char">
    <w:name w:val="Heading 8 Char"/>
    <w:basedOn w:val="DefaultParagraphFont"/>
    <w:link w:val="Heading8"/>
    <w:uiPriority w:val="9"/>
    <w:semiHidden/>
    <w:rsid w:val="00A74AC3"/>
    <w:rPr>
      <w:rFonts w:asciiTheme="majorHAnsi" w:eastAsiaTheme="majorEastAsia" w:hAnsiTheme="majorHAnsi" w:cstheme="majorBidi"/>
      <w:color w:val="404040" w:themeColor="text1" w:themeTint="BF"/>
      <w:lang w:eastAsia="en-GB"/>
    </w:rPr>
  </w:style>
  <w:style w:type="character" w:customStyle="1" w:styleId="Heading7Char">
    <w:name w:val="Heading 7 Char"/>
    <w:basedOn w:val="DefaultParagraphFont"/>
    <w:link w:val="Heading7"/>
    <w:uiPriority w:val="1"/>
    <w:rsid w:val="00A74AC3"/>
    <w:rPr>
      <w:rFonts w:ascii="Georgia" w:eastAsia="Georgia" w:hAnsi="Georgia" w:cstheme="minorBidi"/>
      <w:b/>
      <w:bCs/>
      <w:sz w:val="24"/>
      <w:szCs w:val="24"/>
      <w:lang w:val="en-US" w:eastAsia="en-US"/>
    </w:rPr>
  </w:style>
  <w:style w:type="character" w:customStyle="1" w:styleId="Heading9Char">
    <w:name w:val="Heading 9 Char"/>
    <w:basedOn w:val="DefaultParagraphFont"/>
    <w:link w:val="Heading9"/>
    <w:uiPriority w:val="1"/>
    <w:rsid w:val="00A74AC3"/>
    <w:rPr>
      <w:rFonts w:ascii="Arial Black" w:eastAsia="Arial Black" w:hAnsi="Arial Black" w:cstheme="minorBidi"/>
      <w:b/>
      <w:bCs/>
      <w:sz w:val="22"/>
      <w:szCs w:val="22"/>
      <w:lang w:val="en-US" w:eastAsia="en-US"/>
    </w:rPr>
  </w:style>
  <w:style w:type="paragraph" w:customStyle="1" w:styleId="TableParagraph">
    <w:name w:val="Table Paragraph"/>
    <w:basedOn w:val="Normal"/>
    <w:uiPriority w:val="1"/>
    <w:qFormat/>
    <w:rsid w:val="00A74AC3"/>
    <w:pPr>
      <w:widowControl w:val="0"/>
      <w:spacing w:line="240" w:lineRule="auto"/>
    </w:pPr>
    <w:rPr>
      <w:rFonts w:asciiTheme="minorHAnsi" w:eastAsiaTheme="minorHAnsi" w:hAnsiTheme="minorHAnsi" w:cstheme="minorBidi"/>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hyperlink" Target="http://www/" TargetMode="External"/><Relationship Id="rId47" Type="http://schemas.openxmlformats.org/officeDocument/2006/relationships/hyperlink" Target="http://www.health.govt.nz/new-zealand-health-system/" TargetMode="External"/><Relationship Id="rId50" Type="http://schemas.openxmlformats.org/officeDocument/2006/relationships/hyperlink" Target="http://www.nsu.govt.nz/" TargetMode="External"/><Relationship Id="rId55" Type="http://schemas.openxmlformats.org/officeDocument/2006/relationships/hyperlink" Target="http://www.stats.govt.nz/"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3.png"/><Relationship Id="rId54" Type="http://schemas.openxmlformats.org/officeDocument/2006/relationships/hyperlink" Target="http://www.stats.govt.n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www.health.govt.nz/our-work/preventative-health-wellness/healthy-families-nz" TargetMode="External"/><Relationship Id="rId37" Type="http://schemas.openxmlformats.org/officeDocument/2006/relationships/hyperlink" Target="http://www.tapuaki.org.nz/" TargetMode="External"/><Relationship Id="rId40" Type="http://schemas.openxmlformats.org/officeDocument/2006/relationships/image" Target="media/image22.png"/><Relationship Id="rId45" Type="http://schemas.openxmlformats.org/officeDocument/2006/relationships/hyperlink" Target="http://vizhub.healthdata.org/gbd-compare" TargetMode="External"/><Relationship Id="rId53" Type="http://schemas.openxmlformats.org/officeDocument/2006/relationships/hyperlink" Target="http://www.stats.govt.nz/" TargetMode="External"/><Relationship Id="rId58"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hyperlink" Target="http://www/" TargetMode="External"/><Relationship Id="rId57" Type="http://schemas.openxmlformats.org/officeDocument/2006/relationships/hyperlink" Target="http://www.stats.govt.nz/" TargetMode="External"/><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yperlink" Target="http://www.health.govt.nz/our-work/preventative-health-wellness/healthy-families-nz" TargetMode="External"/><Relationship Id="rId44" Type="http://schemas.openxmlformats.org/officeDocument/2006/relationships/hyperlink" Target="http://www.hqsc.govt.nz/our-programmes/health-quality-evaluation/projects/atlas-of-healthcare-variation" TargetMode="External"/><Relationship Id="rId52" Type="http://schemas.openxmlformats.org/officeDocument/2006/relationships/hyperlink" Target="http://stats.oecd.org/"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8.png"/><Relationship Id="rId43" Type="http://schemas.openxmlformats.org/officeDocument/2006/relationships/hyperlink" Target="http://www.hqsc.govt.nz/our-programmes/health-quality-evaluation/projects/health-quality-and-safety-" TargetMode="External"/><Relationship Id="rId48" Type="http://schemas.openxmlformats.org/officeDocument/2006/relationships/hyperlink" Target="http://www.health.govt.nz/our-" TargetMode="External"/><Relationship Id="rId56" Type="http://schemas.openxmlformats.org/officeDocument/2006/relationships/hyperlink" Target="http://www.stats.govt.nz/" TargetMode="External"/><Relationship Id="rId8" Type="http://schemas.openxmlformats.org/officeDocument/2006/relationships/endnotes" Target="endnotes.xml"/><Relationship Id="rId51" Type="http://schemas.openxmlformats.org/officeDocument/2006/relationships/hyperlink" Target="http://www.nsu.govt.nz/system/files/page/ncsp_"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4.xml"/><Relationship Id="rId25" Type="http://schemas.openxmlformats.org/officeDocument/2006/relationships/image" Target="media/image11.png"/><Relationship Id="rId33" Type="http://schemas.openxmlformats.org/officeDocument/2006/relationships/hyperlink" Target="http://www.health.govt.nz/our-work/preventative-health-wellness/healthy-families-nz" TargetMode="External"/><Relationship Id="rId38" Type="http://schemas.openxmlformats.org/officeDocument/2006/relationships/image" Target="media/image20.png"/><Relationship Id="rId46" Type="http://schemas.openxmlformats.org/officeDocument/2006/relationships/hyperlink" Target="http://www.health.govt.nz/our-work/" TargetMode="External"/><Relationship Id="rId59" Type="http://schemas.openxmlformats.org/officeDocument/2006/relationships/footer" Target="footer6.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22701-9BE4-4807-B7F8-4088092DA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280</TotalTime>
  <Pages>1</Pages>
  <Words>17233</Words>
  <Characters>98234</Characters>
  <Application>Microsoft Office Word</Application>
  <DocSecurity>0</DocSecurity>
  <Lines>818</Lines>
  <Paragraphs>230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115237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Independence Report 2015</dc:title>
  <dc:creator>Ministry of Health</dc:creator>
  <cp:lastModifiedBy>Jane Adam</cp:lastModifiedBy>
  <cp:revision>29</cp:revision>
  <cp:lastPrinted>2013-05-22T23:47:00Z</cp:lastPrinted>
  <dcterms:created xsi:type="dcterms:W3CDTF">2015-10-19T08:12:00Z</dcterms:created>
  <dcterms:modified xsi:type="dcterms:W3CDTF">2015-10-26T23:59:00Z</dcterms:modified>
</cp:coreProperties>
</file>