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500A6E" w:rsidRDefault="00DA6A76" w:rsidP="00D54D50">
      <w:pPr>
        <w:pStyle w:val="Title"/>
        <w:rPr>
          <w:sz w:val="96"/>
        </w:rPr>
      </w:pPr>
      <w:r w:rsidRPr="00500A6E">
        <w:rPr>
          <w:sz w:val="96"/>
        </w:rPr>
        <w:t>Health of the Health Workforce</w:t>
      </w:r>
    </w:p>
    <w:p w:rsidR="00343365" w:rsidRPr="00500A6E" w:rsidRDefault="00DA6A76" w:rsidP="00343365">
      <w:pPr>
        <w:pStyle w:val="Year"/>
        <w:rPr>
          <w:sz w:val="72"/>
        </w:rPr>
      </w:pPr>
      <w:r w:rsidRPr="00500A6E">
        <w:rPr>
          <w:sz w:val="72"/>
        </w:rPr>
        <w:t>2013 to 2014</w:t>
      </w:r>
    </w:p>
    <w:p w:rsidR="00C86248" w:rsidRPr="00DA6A76" w:rsidRDefault="00DA6A76" w:rsidP="00343365">
      <w:pPr>
        <w:pStyle w:val="Subhead"/>
      </w:pPr>
      <w:r w:rsidRPr="00DA6A76">
        <w:t>A report by Health Workforce New Zealand</w:t>
      </w:r>
    </w:p>
    <w:p w:rsidR="00142954" w:rsidRPr="00DA6A76" w:rsidRDefault="00142954" w:rsidP="00142954">
      <w:pPr>
        <w:sectPr w:rsidR="00142954" w:rsidRPr="00DA6A76" w:rsidSect="000F2AE2">
          <w:headerReference w:type="default" r:id="rId8"/>
          <w:footerReference w:type="default" r:id="rId9"/>
          <w:pgSz w:w="11907" w:h="16834" w:code="9"/>
          <w:pgMar w:top="3969" w:right="851" w:bottom="851" w:left="2552" w:header="851" w:footer="851" w:gutter="0"/>
          <w:cols w:space="720"/>
        </w:sectPr>
      </w:pPr>
    </w:p>
    <w:p w:rsidR="00A80363" w:rsidRPr="00DA6A76" w:rsidRDefault="00A80363">
      <w:pPr>
        <w:pStyle w:val="Imprint"/>
      </w:pPr>
      <w:r w:rsidRPr="00DA6A76">
        <w:lastRenderedPageBreak/>
        <w:t xml:space="preserve">Citation: </w:t>
      </w:r>
      <w:r w:rsidR="00442C1C" w:rsidRPr="00DA6A76">
        <w:t xml:space="preserve">Ministry of Health. </w:t>
      </w:r>
      <w:r w:rsidR="00DA6A76" w:rsidRPr="00DA6A76">
        <w:t>2014</w:t>
      </w:r>
      <w:r w:rsidR="00442C1C" w:rsidRPr="00DA6A76">
        <w:t xml:space="preserve">. </w:t>
      </w:r>
      <w:r w:rsidR="00DA6A76" w:rsidRPr="00DA6A76">
        <w:rPr>
          <w:i/>
        </w:rPr>
        <w:t>Health of the Health Workforce 2013 to 2014</w:t>
      </w:r>
      <w:r w:rsidR="00442C1C" w:rsidRPr="00DA6A76">
        <w:t>. Wellington: Ministry of Health.</w:t>
      </w:r>
    </w:p>
    <w:p w:rsidR="00C86248" w:rsidRPr="00DA6A76" w:rsidRDefault="00C86248">
      <w:pPr>
        <w:pStyle w:val="Imprint"/>
      </w:pPr>
      <w:r w:rsidRPr="00DA6A76">
        <w:t xml:space="preserve">Published in </w:t>
      </w:r>
      <w:r w:rsidR="00DA6A76" w:rsidRPr="00DA6A76">
        <w:t>November 2014</w:t>
      </w:r>
      <w:r w:rsidR="005019AE" w:rsidRPr="00DA6A76">
        <w:br/>
      </w:r>
      <w:r w:rsidRPr="00DA6A76">
        <w:t>by the</w:t>
      </w:r>
      <w:r w:rsidR="00442C1C" w:rsidRPr="00DA6A76">
        <w:t xml:space="preserve"> </w:t>
      </w:r>
      <w:r w:rsidRPr="00DA6A76">
        <w:t>Ministry of Health</w:t>
      </w:r>
      <w:r w:rsidRPr="00DA6A76">
        <w:br/>
        <w:t>PO Box 5013, Wellington</w:t>
      </w:r>
      <w:r w:rsidR="00A80363" w:rsidRPr="00DA6A76">
        <w:t xml:space="preserve"> 6145</w:t>
      </w:r>
      <w:r w:rsidRPr="00DA6A76">
        <w:t>, New Zealand</w:t>
      </w:r>
    </w:p>
    <w:p w:rsidR="00082CD6" w:rsidRPr="00DA6A76" w:rsidRDefault="00D863D0" w:rsidP="00082CD6">
      <w:pPr>
        <w:pStyle w:val="Imprint"/>
      </w:pPr>
      <w:r w:rsidRPr="00DA6A76">
        <w:t>ISBN</w:t>
      </w:r>
      <w:r w:rsidR="00442C1C" w:rsidRPr="00DA6A76">
        <w:t xml:space="preserve"> </w:t>
      </w:r>
      <w:r w:rsidR="00DA6A76" w:rsidRPr="00DA6A76">
        <w:t>978-0-478-42890-2 (print)</w:t>
      </w:r>
      <w:r w:rsidR="00DA6A76" w:rsidRPr="00DA6A76">
        <w:br/>
        <w:t>ISBN 978-0-478-42891-9 (online)</w:t>
      </w:r>
      <w:r w:rsidR="00082CD6" w:rsidRPr="00DA6A76">
        <w:br/>
        <w:t xml:space="preserve">HP </w:t>
      </w:r>
      <w:r w:rsidR="00DA6A76" w:rsidRPr="00DA6A76">
        <w:t>6006</w:t>
      </w:r>
    </w:p>
    <w:p w:rsidR="00C86248" w:rsidRPr="00DA6A76" w:rsidRDefault="00C86248">
      <w:pPr>
        <w:pStyle w:val="Imprint"/>
      </w:pPr>
      <w:r w:rsidRPr="00DA6A76">
        <w:t xml:space="preserve">This document is available </w:t>
      </w:r>
      <w:r w:rsidR="0071741C" w:rsidRPr="00DA6A76">
        <w:t>at w</w:t>
      </w:r>
      <w:r w:rsidRPr="00DA6A76">
        <w:t>ww.h</w:t>
      </w:r>
      <w:r w:rsidR="00A80363" w:rsidRPr="00DA6A76">
        <w:t>ealth</w:t>
      </w:r>
      <w:r w:rsidRPr="00DA6A76">
        <w:t>.govt.nz</w:t>
      </w:r>
    </w:p>
    <w:p w:rsidR="00C86248" w:rsidRPr="00DA6A76" w:rsidRDefault="008C64C4">
      <w:pPr>
        <w:jc w:val="center"/>
      </w:pPr>
      <w:r w:rsidRPr="00DA6A76">
        <w:rPr>
          <w:noProof/>
          <w:lang w:eastAsia="en-NZ"/>
        </w:rPr>
        <w:drawing>
          <wp:inline distT="0" distB="0" distL="0" distR="0" wp14:anchorId="1BF8863E" wp14:editId="2842C121">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DE67D1" w:rsidRPr="00D535D0" w:rsidRDefault="00DE67D1" w:rsidP="00DE67D1">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Pr="00DA6A76" w:rsidRDefault="00C86248">
      <w:pPr>
        <w:jc w:val="center"/>
        <w:sectPr w:rsidR="00C86248" w:rsidRPr="00DA6A76" w:rsidSect="0016468A">
          <w:footerReference w:type="even" r:id="rId12"/>
          <w:footerReference w:type="default" r:id="rId13"/>
          <w:pgSz w:w="11907" w:h="16834" w:code="9"/>
          <w:pgMar w:top="1701" w:right="1134" w:bottom="1134" w:left="1985" w:header="0" w:footer="0" w:gutter="0"/>
          <w:cols w:space="720"/>
          <w:vAlign w:val="bottom"/>
        </w:sectPr>
      </w:pPr>
      <w:bookmarkStart w:id="0" w:name="_GoBack"/>
      <w:bookmarkEnd w:id="0"/>
    </w:p>
    <w:p w:rsidR="00DE3B20" w:rsidRPr="00DA6A76" w:rsidRDefault="00DE3B20" w:rsidP="0021763B">
      <w:pPr>
        <w:pStyle w:val="Heading1"/>
      </w:pPr>
      <w:bookmarkStart w:id="1" w:name="_Toc403834851"/>
      <w:bookmarkStart w:id="2" w:name="_Toc405792991"/>
      <w:bookmarkStart w:id="3" w:name="_Toc405793224"/>
      <w:r w:rsidRPr="00DA6A76">
        <w:lastRenderedPageBreak/>
        <w:t>Foreword</w:t>
      </w:r>
      <w:r w:rsidR="00DA6A76" w:rsidRPr="00DA6A76">
        <w:t xml:space="preserve"> from</w:t>
      </w:r>
      <w:r w:rsidR="00DA6A76" w:rsidRPr="00DA6A76">
        <w:br/>
        <w:t>the Board Executive Chair</w:t>
      </w:r>
      <w:r w:rsidR="00DA6A76" w:rsidRPr="00DA6A76">
        <w:br/>
        <w:t>Health Workforce New Zealand</w:t>
      </w:r>
      <w:bookmarkEnd w:id="1"/>
    </w:p>
    <w:p w:rsidR="00DA6A76" w:rsidRPr="00DA6A76" w:rsidRDefault="00DA6A76" w:rsidP="00DA6A76">
      <w:r w:rsidRPr="00DA6A76">
        <w:t>The Health Workforce New Zealand (HWNZ) Board is delighted by this first Health of the Health Workforce report. By itself, it signals that HWNZ has</w:t>
      </w:r>
      <w:r w:rsidR="00C454CC">
        <w:t xml:space="preserve"> </w:t>
      </w:r>
      <w:r w:rsidRPr="00DA6A76">
        <w:t>reached a level of maturity. In addition to an ongoing commitment to better regional educational infrastructure, the development of increasingly sophisticated career support and advisory systems, and the introduction of a transparent, accountable and contestable funding process, this report is only possible because HWNZ now has</w:t>
      </w:r>
      <w:r w:rsidR="00C454CC">
        <w:t xml:space="preserve"> </w:t>
      </w:r>
      <w:r w:rsidRPr="00DA6A76">
        <w:t>robust and reliable workforce intelligence.</w:t>
      </w:r>
    </w:p>
    <w:p w:rsidR="00DA6A76" w:rsidRPr="00DA6A76" w:rsidRDefault="00DA6A76" w:rsidP="00DA6A76"/>
    <w:p w:rsidR="00DA6A76" w:rsidRPr="00DA6A76" w:rsidRDefault="00DA6A76" w:rsidP="00DA6A76">
      <w:r w:rsidRPr="00DA6A76">
        <w:t>Indeed, it is noteworthy that the New Zealand health system is much better informed about the current state of and future challenges for its workforces than any</w:t>
      </w:r>
      <w:r w:rsidR="00C454CC">
        <w:t xml:space="preserve"> </w:t>
      </w:r>
      <w:r w:rsidRPr="00DA6A76">
        <w:t>of the other members of the International Health Workforce Collaboration. The major contributor to this intelligence base has been the innovative and world-leading HWNZ health service forecasting methodology. On the basis of that intelligence, it is clear that the New Zealand health and disability workforce is in general good shape. However, there are some important shortages in the allied health workforce, and the medical workforce is not as well distributed against health need as it could be. Also, it is evident that there are other significant challenges facing the health system in regard to workforce.</w:t>
      </w:r>
    </w:p>
    <w:p w:rsidR="00DA6A76" w:rsidRPr="00DA6A76" w:rsidRDefault="00DA6A76" w:rsidP="00DA6A76"/>
    <w:p w:rsidR="00DA6A76" w:rsidRPr="00DA6A76" w:rsidRDefault="00DA6A76" w:rsidP="00DA6A76">
      <w:r w:rsidRPr="00DA6A76">
        <w:t>However, these challenges are well understood, and corrective strategies are, or are being put, in place. The HWNZ Board believes that New Zealanders can</w:t>
      </w:r>
      <w:r w:rsidR="00C454CC">
        <w:t xml:space="preserve"> </w:t>
      </w:r>
      <w:r w:rsidRPr="00DA6A76">
        <w:t>be reassured that the health and disability workforce is largely and will increasingly be fit for purpose, affordable and sustainable.</w:t>
      </w:r>
    </w:p>
    <w:p w:rsidR="00DA6A76" w:rsidRPr="00DA6A76" w:rsidRDefault="00DA6A76" w:rsidP="00DA6A76"/>
    <w:p w:rsidR="00DE3B20" w:rsidRPr="00DA6A76" w:rsidRDefault="00DA6A76" w:rsidP="00DA6A76">
      <w:pPr>
        <w:rPr>
          <w:b/>
        </w:rPr>
      </w:pPr>
      <w:r w:rsidRPr="00DA6A76">
        <w:rPr>
          <w:b/>
        </w:rPr>
        <w:t>Professor Des Gorman BSc MBChB MD (Auckland) PhD (Sydney)</w:t>
      </w:r>
      <w:r w:rsidRPr="00DA6A76">
        <w:rPr>
          <w:b/>
        </w:rPr>
        <w:br/>
        <w:t>Board Executive Chair, Health Workforce New Zealand</w:t>
      </w:r>
    </w:p>
    <w:p w:rsidR="00DA6A76" w:rsidRPr="00DA6A76" w:rsidRDefault="00DA6A76" w:rsidP="00DA6A76"/>
    <w:p w:rsidR="00DA6A76" w:rsidRPr="00DA6A76" w:rsidRDefault="00DA6A76">
      <w:pPr>
        <w:spacing w:line="240" w:lineRule="auto"/>
      </w:pPr>
      <w:r w:rsidRPr="00DA6A76">
        <w:br w:type="page"/>
      </w:r>
    </w:p>
    <w:p w:rsidR="00DA6A76" w:rsidRPr="00DA6A76" w:rsidRDefault="00DA6A76" w:rsidP="00DA6A76">
      <w:pPr>
        <w:pStyle w:val="Heading1"/>
      </w:pPr>
      <w:bookmarkStart w:id="4" w:name="_Toc403834852"/>
      <w:r w:rsidRPr="00DA6A76">
        <w:lastRenderedPageBreak/>
        <w:t>Foreword from the Director</w:t>
      </w:r>
      <w:r w:rsidRPr="00DA6A76">
        <w:br/>
        <w:t>Health Workforce New Zealand</w:t>
      </w:r>
      <w:bookmarkEnd w:id="4"/>
    </w:p>
    <w:p w:rsidR="00DA6A76" w:rsidRPr="00DA6A76" w:rsidRDefault="00DA6A76" w:rsidP="00DA6A76">
      <w:r w:rsidRPr="00DA6A76">
        <w:t>This is HWNZ</w:t>
      </w:r>
      <w:r w:rsidR="00C454CC">
        <w:t>’</w:t>
      </w:r>
      <w:r w:rsidRPr="00DA6A76">
        <w:t>s first report examining the health and disability workforce. It sets out what we know about the main occupational groups – doctors and dentists, nurses, midwives, allied health workers and non-regulated workers. Our goal is to ensure that the workforce is appropriately trained and configured to meet current and future needs, so New Zealanders can</w:t>
      </w:r>
      <w:r w:rsidR="00C454CC">
        <w:t xml:space="preserve"> </w:t>
      </w:r>
      <w:r w:rsidRPr="00DA6A76">
        <w:t>be confident that they will receive the very best care possible.</w:t>
      </w:r>
    </w:p>
    <w:p w:rsidR="00DA6A76" w:rsidRPr="00DA6A76" w:rsidRDefault="00DA6A76" w:rsidP="00DA6A76"/>
    <w:p w:rsidR="00DA6A76" w:rsidRPr="00DA6A76" w:rsidRDefault="00DA6A76" w:rsidP="00DA6A76">
      <w:r w:rsidRPr="00DA6A76">
        <w:t>We are planning for an uncertain future. Changes in technology or shifts in the national or global economic outlook can</w:t>
      </w:r>
      <w:r w:rsidR="00C454CC">
        <w:t xml:space="preserve"> </w:t>
      </w:r>
      <w:r w:rsidRPr="00DA6A76">
        <w:t>turn traditional workforce planning on its head.</w:t>
      </w:r>
    </w:p>
    <w:p w:rsidR="00DA6A76" w:rsidRPr="00DA6A76" w:rsidRDefault="00DA6A76" w:rsidP="00DA6A76"/>
    <w:p w:rsidR="00DA6A76" w:rsidRPr="00DA6A76" w:rsidRDefault="00DA6A76" w:rsidP="00DA6A76">
      <w:r w:rsidRPr="00DA6A76">
        <w:t>This report will not put exact numbers on how many nurses, GPs, sonographers or aged care workers New Zealand will need in a decade</w:t>
      </w:r>
      <w:r w:rsidR="00C454CC">
        <w:t>’</w:t>
      </w:r>
      <w:r w:rsidRPr="00DA6A76">
        <w:t>s time. Such forecasting is an inexact science, akin to trying to predict the exchange rate 10 years hence. There are known variables that can</w:t>
      </w:r>
      <w:r w:rsidR="00C454CC">
        <w:t xml:space="preserve"> </w:t>
      </w:r>
      <w:r w:rsidRPr="00DA6A76">
        <w:t>drive the numbers up or down. What</w:t>
      </w:r>
      <w:r w:rsidR="00C454CC">
        <w:t>’</w:t>
      </w:r>
      <w:r w:rsidRPr="00DA6A76">
        <w:t>s harder to predict is when or if these variables will come into play, and the impact of the unexpected.</w:t>
      </w:r>
    </w:p>
    <w:p w:rsidR="00DA6A76" w:rsidRPr="00DA6A76" w:rsidRDefault="00DA6A76" w:rsidP="00DA6A76"/>
    <w:p w:rsidR="00DA6A76" w:rsidRPr="00DA6A76" w:rsidRDefault="00DA6A76" w:rsidP="00DA6A76">
      <w:r w:rsidRPr="00DA6A76">
        <w:t>Instead, we aggregate intelligence from a variety of sources to forecast future models of care. To identify and develop joined-up, mutually owned solutions to the challenges our sector faces, HWNZ has developed a taskforce and work</w:t>
      </w:r>
      <w:r w:rsidR="00C454CC">
        <w:t xml:space="preserve"> </w:t>
      </w:r>
      <w:r w:rsidRPr="00DA6A76">
        <w:t>programme for key workforces – doctors, nurses, midwives, allied health workers, non-regulated workers, and those in leadership and managerial roles. The focus will then shift to how these workforces can</w:t>
      </w:r>
      <w:r w:rsidR="00C454CC">
        <w:t xml:space="preserve"> </w:t>
      </w:r>
      <w:r w:rsidRPr="00DA6A76">
        <w:t>combine and align their efforts across new</w:t>
      </w:r>
      <w:r w:rsidR="00C454CC">
        <w:t xml:space="preserve"> </w:t>
      </w:r>
      <w:r w:rsidRPr="00DA6A76">
        <w:t>models of aged, primary and cancer care and other health priorities.</w:t>
      </w:r>
    </w:p>
    <w:p w:rsidR="00DA6A76" w:rsidRPr="00DA6A76" w:rsidRDefault="00DA6A76" w:rsidP="00DA6A76"/>
    <w:p w:rsidR="00DA6A76" w:rsidRPr="00DA6A76" w:rsidRDefault="00DA6A76" w:rsidP="00DA6A76">
      <w:r w:rsidRPr="00DA6A76">
        <w:t>To inform our</w:t>
      </w:r>
      <w:r w:rsidR="00C454CC">
        <w:t xml:space="preserve"> </w:t>
      </w:r>
      <w:r w:rsidRPr="00DA6A76">
        <w:t>modelling, we are also seeking to improve the quality and quantity of data at our disposal.</w:t>
      </w:r>
    </w:p>
    <w:p w:rsidR="00DA6A76" w:rsidRPr="00DA6A76" w:rsidRDefault="00DA6A76" w:rsidP="00DA6A76"/>
    <w:p w:rsidR="00DA6A76" w:rsidRPr="00DA6A76" w:rsidRDefault="00DA6A76" w:rsidP="00DA6A76">
      <w:r w:rsidRPr="00DA6A76">
        <w:t>This</w:t>
      </w:r>
      <w:r w:rsidR="00C454CC">
        <w:t xml:space="preserve"> </w:t>
      </w:r>
      <w:r w:rsidRPr="00DA6A76">
        <w:t>programme of work</w:t>
      </w:r>
      <w:r w:rsidR="00C454CC">
        <w:t xml:space="preserve"> </w:t>
      </w:r>
      <w:r w:rsidRPr="00DA6A76">
        <w:t>will enable us to develop more sophisticated responses to meeting the future health needs of New Zealanders.</w:t>
      </w:r>
    </w:p>
    <w:p w:rsidR="00DA6A76" w:rsidRPr="00DA6A76" w:rsidRDefault="00DA6A76" w:rsidP="00DA6A76"/>
    <w:p w:rsidR="00DA6A76" w:rsidRPr="00DA6A76" w:rsidRDefault="00DA6A76" w:rsidP="00DA6A76">
      <w:pPr>
        <w:rPr>
          <w:b/>
        </w:rPr>
      </w:pPr>
      <w:r w:rsidRPr="00DA6A76">
        <w:rPr>
          <w:b/>
        </w:rPr>
        <w:t>Dr Graeme Benny</w:t>
      </w:r>
    </w:p>
    <w:p w:rsidR="00DA6A76" w:rsidRPr="00DA6A76" w:rsidRDefault="00DA6A76" w:rsidP="00DA6A76">
      <w:pPr>
        <w:rPr>
          <w:b/>
        </w:rPr>
      </w:pPr>
      <w:r w:rsidRPr="00DA6A76">
        <w:rPr>
          <w:b/>
        </w:rPr>
        <w:t>Director, Health Workforce New Zealand</w:t>
      </w:r>
    </w:p>
    <w:p w:rsidR="00DA6A76" w:rsidRPr="00DA6A76" w:rsidRDefault="00DA6A76" w:rsidP="00DA6A76"/>
    <w:p w:rsidR="00DE3B20" w:rsidRPr="00DA6A76" w:rsidRDefault="00DE3B20">
      <w:pPr>
        <w:spacing w:line="240" w:lineRule="auto"/>
      </w:pPr>
      <w:r w:rsidRPr="00DA6A76">
        <w:br w:type="page"/>
      </w:r>
    </w:p>
    <w:p w:rsidR="00C86248" w:rsidRPr="00DA6A76" w:rsidRDefault="00C86248">
      <w:pPr>
        <w:pStyle w:val="IntroHead"/>
      </w:pPr>
      <w:r w:rsidRPr="00DA6A76">
        <w:lastRenderedPageBreak/>
        <w:t>Contents</w:t>
      </w:r>
      <w:bookmarkEnd w:id="2"/>
      <w:bookmarkEnd w:id="3"/>
    </w:p>
    <w:p w:rsidR="00ED0142" w:rsidRDefault="00C86248">
      <w:pPr>
        <w:pStyle w:val="TOC1"/>
        <w:rPr>
          <w:rFonts w:asciiTheme="minorHAnsi" w:eastAsiaTheme="minorEastAsia" w:hAnsiTheme="minorHAnsi" w:cstheme="minorBidi"/>
          <w:b w:val="0"/>
          <w:noProof/>
          <w:szCs w:val="22"/>
          <w:lang w:eastAsia="en-NZ"/>
        </w:rPr>
      </w:pPr>
      <w:r w:rsidRPr="00DA6A76">
        <w:rPr>
          <w:b w:val="0"/>
        </w:rPr>
        <w:fldChar w:fldCharType="begin"/>
      </w:r>
      <w:r w:rsidRPr="00DA6A76">
        <w:instrText xml:space="preserve"> TOC \o "1-2" </w:instrText>
      </w:r>
      <w:r w:rsidRPr="00DA6A76">
        <w:rPr>
          <w:b w:val="0"/>
        </w:rPr>
        <w:fldChar w:fldCharType="separate"/>
      </w:r>
      <w:r w:rsidR="00ED0142">
        <w:rPr>
          <w:noProof/>
        </w:rPr>
        <w:t>Foreword from the Board Executive Chair Health Workforce New Zealand</w:t>
      </w:r>
      <w:r w:rsidR="00ED0142">
        <w:rPr>
          <w:noProof/>
        </w:rPr>
        <w:tab/>
      </w:r>
      <w:r w:rsidR="00ED0142">
        <w:rPr>
          <w:noProof/>
        </w:rPr>
        <w:fldChar w:fldCharType="begin"/>
      </w:r>
      <w:r w:rsidR="00ED0142">
        <w:rPr>
          <w:noProof/>
        </w:rPr>
        <w:instrText xml:space="preserve"> PAGEREF _Toc403834851 \h </w:instrText>
      </w:r>
      <w:r w:rsidR="00ED0142">
        <w:rPr>
          <w:noProof/>
        </w:rPr>
      </w:r>
      <w:r w:rsidR="00ED0142">
        <w:rPr>
          <w:noProof/>
        </w:rPr>
        <w:fldChar w:fldCharType="separate"/>
      </w:r>
      <w:r w:rsidR="003A6481">
        <w:rPr>
          <w:noProof/>
        </w:rPr>
        <w:t>iii</w:t>
      </w:r>
      <w:r w:rsidR="00ED0142">
        <w:rPr>
          <w:noProof/>
        </w:rPr>
        <w:fldChar w:fldCharType="end"/>
      </w:r>
    </w:p>
    <w:p w:rsidR="00ED0142" w:rsidRDefault="00ED0142">
      <w:pPr>
        <w:pStyle w:val="TOC1"/>
        <w:rPr>
          <w:rFonts w:asciiTheme="minorHAnsi" w:eastAsiaTheme="minorEastAsia" w:hAnsiTheme="minorHAnsi" w:cstheme="minorBidi"/>
          <w:b w:val="0"/>
          <w:noProof/>
          <w:szCs w:val="22"/>
          <w:lang w:eastAsia="en-NZ"/>
        </w:rPr>
      </w:pPr>
      <w:r>
        <w:rPr>
          <w:noProof/>
        </w:rPr>
        <w:t>Foreword from the Director Health Workforce New Zealand</w:t>
      </w:r>
      <w:r>
        <w:rPr>
          <w:noProof/>
        </w:rPr>
        <w:tab/>
      </w:r>
      <w:r>
        <w:rPr>
          <w:noProof/>
        </w:rPr>
        <w:fldChar w:fldCharType="begin"/>
      </w:r>
      <w:r>
        <w:rPr>
          <w:noProof/>
        </w:rPr>
        <w:instrText xml:space="preserve"> PAGEREF _Toc403834852 \h </w:instrText>
      </w:r>
      <w:r>
        <w:rPr>
          <w:noProof/>
        </w:rPr>
      </w:r>
      <w:r>
        <w:rPr>
          <w:noProof/>
        </w:rPr>
        <w:fldChar w:fldCharType="separate"/>
      </w:r>
      <w:r w:rsidR="003A6481">
        <w:rPr>
          <w:noProof/>
        </w:rPr>
        <w:t>iv</w:t>
      </w:r>
      <w:r>
        <w:rPr>
          <w:noProof/>
        </w:rPr>
        <w:fldChar w:fldCharType="end"/>
      </w:r>
    </w:p>
    <w:p w:rsidR="00ED0142" w:rsidRDefault="00ED0142">
      <w:pPr>
        <w:pStyle w:val="TOC1"/>
        <w:rPr>
          <w:rFonts w:asciiTheme="minorHAnsi" w:eastAsiaTheme="minorEastAsia" w:hAnsiTheme="minorHAnsi" w:cstheme="minorBidi"/>
          <w:b w:val="0"/>
          <w:noProof/>
          <w:szCs w:val="22"/>
          <w:lang w:eastAsia="en-NZ"/>
        </w:rPr>
      </w:pPr>
      <w:r>
        <w:rPr>
          <w:noProof/>
        </w:rPr>
        <w:t>The health of the health workforce</w:t>
      </w:r>
      <w:r>
        <w:rPr>
          <w:noProof/>
        </w:rPr>
        <w:tab/>
      </w:r>
      <w:r>
        <w:rPr>
          <w:noProof/>
        </w:rPr>
        <w:fldChar w:fldCharType="begin"/>
      </w:r>
      <w:r>
        <w:rPr>
          <w:noProof/>
        </w:rPr>
        <w:instrText xml:space="preserve"> PAGEREF _Toc403834853 \h </w:instrText>
      </w:r>
      <w:r>
        <w:rPr>
          <w:noProof/>
        </w:rPr>
      </w:r>
      <w:r>
        <w:rPr>
          <w:noProof/>
        </w:rPr>
        <w:fldChar w:fldCharType="separate"/>
      </w:r>
      <w:r w:rsidR="003A6481">
        <w:rPr>
          <w:noProof/>
        </w:rPr>
        <w:t>1</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Data sources</w:t>
      </w:r>
      <w:r>
        <w:rPr>
          <w:noProof/>
        </w:rPr>
        <w:tab/>
      </w:r>
      <w:r>
        <w:rPr>
          <w:noProof/>
        </w:rPr>
        <w:fldChar w:fldCharType="begin"/>
      </w:r>
      <w:r>
        <w:rPr>
          <w:noProof/>
        </w:rPr>
        <w:instrText xml:space="preserve"> PAGEREF _Toc403834854 \h </w:instrText>
      </w:r>
      <w:r>
        <w:rPr>
          <w:noProof/>
        </w:rPr>
      </w:r>
      <w:r>
        <w:rPr>
          <w:noProof/>
        </w:rPr>
        <w:fldChar w:fldCharType="separate"/>
      </w:r>
      <w:r w:rsidR="003A6481">
        <w:rPr>
          <w:noProof/>
        </w:rPr>
        <w:t>1</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General workforce facts and figures</w:t>
      </w:r>
      <w:r>
        <w:rPr>
          <w:noProof/>
        </w:rPr>
        <w:tab/>
      </w:r>
      <w:r>
        <w:rPr>
          <w:noProof/>
        </w:rPr>
        <w:fldChar w:fldCharType="begin"/>
      </w:r>
      <w:r>
        <w:rPr>
          <w:noProof/>
        </w:rPr>
        <w:instrText xml:space="preserve"> PAGEREF _Toc403834855 \h </w:instrText>
      </w:r>
      <w:r>
        <w:rPr>
          <w:noProof/>
        </w:rPr>
      </w:r>
      <w:r>
        <w:rPr>
          <w:noProof/>
        </w:rPr>
        <w:fldChar w:fldCharType="separate"/>
      </w:r>
      <w:r w:rsidR="003A6481">
        <w:rPr>
          <w:noProof/>
        </w:rPr>
        <w:t>1</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Doctors</w:t>
      </w:r>
      <w:r>
        <w:rPr>
          <w:noProof/>
        </w:rPr>
        <w:tab/>
      </w:r>
      <w:r>
        <w:rPr>
          <w:noProof/>
        </w:rPr>
        <w:fldChar w:fldCharType="begin"/>
      </w:r>
      <w:r>
        <w:rPr>
          <w:noProof/>
        </w:rPr>
        <w:instrText xml:space="preserve"> PAGEREF _Toc403834856 \h </w:instrText>
      </w:r>
      <w:r>
        <w:rPr>
          <w:noProof/>
        </w:rPr>
      </w:r>
      <w:r>
        <w:rPr>
          <w:noProof/>
        </w:rPr>
        <w:fldChar w:fldCharType="separate"/>
      </w:r>
      <w:r w:rsidR="003A6481">
        <w:rPr>
          <w:noProof/>
        </w:rPr>
        <w:t>2</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Dentists</w:t>
      </w:r>
      <w:r>
        <w:rPr>
          <w:noProof/>
        </w:rPr>
        <w:tab/>
      </w:r>
      <w:r>
        <w:rPr>
          <w:noProof/>
        </w:rPr>
        <w:fldChar w:fldCharType="begin"/>
      </w:r>
      <w:r>
        <w:rPr>
          <w:noProof/>
        </w:rPr>
        <w:instrText xml:space="preserve"> PAGEREF _Toc403834857 \h </w:instrText>
      </w:r>
      <w:r>
        <w:rPr>
          <w:noProof/>
        </w:rPr>
      </w:r>
      <w:r>
        <w:rPr>
          <w:noProof/>
        </w:rPr>
        <w:fldChar w:fldCharType="separate"/>
      </w:r>
      <w:r w:rsidR="003A6481">
        <w:rPr>
          <w:noProof/>
        </w:rPr>
        <w:t>7</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Nurses</w:t>
      </w:r>
      <w:r>
        <w:rPr>
          <w:noProof/>
        </w:rPr>
        <w:tab/>
      </w:r>
      <w:r>
        <w:rPr>
          <w:noProof/>
        </w:rPr>
        <w:fldChar w:fldCharType="begin"/>
      </w:r>
      <w:r>
        <w:rPr>
          <w:noProof/>
        </w:rPr>
        <w:instrText xml:space="preserve"> PAGEREF _Toc403834858 \h </w:instrText>
      </w:r>
      <w:r>
        <w:rPr>
          <w:noProof/>
        </w:rPr>
      </w:r>
      <w:r>
        <w:rPr>
          <w:noProof/>
        </w:rPr>
        <w:fldChar w:fldCharType="separate"/>
      </w:r>
      <w:r w:rsidR="003A6481">
        <w:rPr>
          <w:noProof/>
        </w:rPr>
        <w:t>7</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Midwives</w:t>
      </w:r>
      <w:r>
        <w:rPr>
          <w:noProof/>
        </w:rPr>
        <w:tab/>
      </w:r>
      <w:r>
        <w:rPr>
          <w:noProof/>
        </w:rPr>
        <w:fldChar w:fldCharType="begin"/>
      </w:r>
      <w:r>
        <w:rPr>
          <w:noProof/>
        </w:rPr>
        <w:instrText xml:space="preserve"> PAGEREF _Toc403834859 \h </w:instrText>
      </w:r>
      <w:r>
        <w:rPr>
          <w:noProof/>
        </w:rPr>
      </w:r>
      <w:r>
        <w:rPr>
          <w:noProof/>
        </w:rPr>
        <w:fldChar w:fldCharType="separate"/>
      </w:r>
      <w:r w:rsidR="003A6481">
        <w:rPr>
          <w:noProof/>
        </w:rPr>
        <w:t>11</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Allied health workers</w:t>
      </w:r>
      <w:r>
        <w:rPr>
          <w:noProof/>
        </w:rPr>
        <w:tab/>
      </w:r>
      <w:r>
        <w:rPr>
          <w:noProof/>
        </w:rPr>
        <w:fldChar w:fldCharType="begin"/>
      </w:r>
      <w:r>
        <w:rPr>
          <w:noProof/>
        </w:rPr>
        <w:instrText xml:space="preserve"> PAGEREF _Toc403834860 \h </w:instrText>
      </w:r>
      <w:r>
        <w:rPr>
          <w:noProof/>
        </w:rPr>
      </w:r>
      <w:r>
        <w:rPr>
          <w:noProof/>
        </w:rPr>
        <w:fldChar w:fldCharType="separate"/>
      </w:r>
      <w:r w:rsidR="003A6481">
        <w:rPr>
          <w:noProof/>
        </w:rPr>
        <w:t>14</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Non-regulated workers (kaiāwhina)</w:t>
      </w:r>
      <w:r>
        <w:rPr>
          <w:noProof/>
        </w:rPr>
        <w:tab/>
      </w:r>
      <w:r>
        <w:rPr>
          <w:noProof/>
        </w:rPr>
        <w:fldChar w:fldCharType="begin"/>
      </w:r>
      <w:r>
        <w:rPr>
          <w:noProof/>
        </w:rPr>
        <w:instrText xml:space="preserve"> PAGEREF _Toc403834861 \h </w:instrText>
      </w:r>
      <w:r>
        <w:rPr>
          <w:noProof/>
        </w:rPr>
      </w:r>
      <w:r>
        <w:rPr>
          <w:noProof/>
        </w:rPr>
        <w:fldChar w:fldCharType="separate"/>
      </w:r>
      <w:r w:rsidR="003A6481">
        <w:rPr>
          <w:noProof/>
        </w:rPr>
        <w:t>15</w:t>
      </w:r>
      <w:r>
        <w:rPr>
          <w:noProof/>
        </w:rPr>
        <w:fldChar w:fldCharType="end"/>
      </w:r>
    </w:p>
    <w:p w:rsidR="00ED0142" w:rsidRDefault="00ED0142">
      <w:pPr>
        <w:pStyle w:val="TOC1"/>
        <w:rPr>
          <w:rFonts w:asciiTheme="minorHAnsi" w:eastAsiaTheme="minorEastAsia" w:hAnsiTheme="minorHAnsi" w:cstheme="minorBidi"/>
          <w:b w:val="0"/>
          <w:noProof/>
          <w:szCs w:val="22"/>
          <w:lang w:eastAsia="en-NZ"/>
        </w:rPr>
      </w:pPr>
      <w:r>
        <w:rPr>
          <w:noProof/>
        </w:rPr>
        <w:t>Future prospects for joining the workforce</w:t>
      </w:r>
      <w:r>
        <w:rPr>
          <w:noProof/>
        </w:rPr>
        <w:tab/>
      </w:r>
      <w:r>
        <w:rPr>
          <w:noProof/>
        </w:rPr>
        <w:fldChar w:fldCharType="begin"/>
      </w:r>
      <w:r>
        <w:rPr>
          <w:noProof/>
        </w:rPr>
        <w:instrText xml:space="preserve"> PAGEREF _Toc403834862 \h </w:instrText>
      </w:r>
      <w:r>
        <w:rPr>
          <w:noProof/>
        </w:rPr>
      </w:r>
      <w:r>
        <w:rPr>
          <w:noProof/>
        </w:rPr>
        <w:fldChar w:fldCharType="separate"/>
      </w:r>
      <w:r w:rsidR="003A6481">
        <w:rPr>
          <w:noProof/>
        </w:rPr>
        <w:t>18</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Medical workforce</w:t>
      </w:r>
      <w:r>
        <w:rPr>
          <w:noProof/>
        </w:rPr>
        <w:tab/>
      </w:r>
      <w:r>
        <w:rPr>
          <w:noProof/>
        </w:rPr>
        <w:fldChar w:fldCharType="begin"/>
      </w:r>
      <w:r>
        <w:rPr>
          <w:noProof/>
        </w:rPr>
        <w:instrText xml:space="preserve"> PAGEREF _Toc403834863 \h </w:instrText>
      </w:r>
      <w:r>
        <w:rPr>
          <w:noProof/>
        </w:rPr>
      </w:r>
      <w:r>
        <w:rPr>
          <w:noProof/>
        </w:rPr>
        <w:fldChar w:fldCharType="separate"/>
      </w:r>
      <w:r w:rsidR="003A6481">
        <w:rPr>
          <w:noProof/>
        </w:rPr>
        <w:t>18</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Nursing</w:t>
      </w:r>
      <w:r>
        <w:rPr>
          <w:noProof/>
        </w:rPr>
        <w:tab/>
      </w:r>
      <w:r>
        <w:rPr>
          <w:noProof/>
        </w:rPr>
        <w:fldChar w:fldCharType="begin"/>
      </w:r>
      <w:r>
        <w:rPr>
          <w:noProof/>
        </w:rPr>
        <w:instrText xml:space="preserve"> PAGEREF _Toc403834864 \h </w:instrText>
      </w:r>
      <w:r>
        <w:rPr>
          <w:noProof/>
        </w:rPr>
      </w:r>
      <w:r>
        <w:rPr>
          <w:noProof/>
        </w:rPr>
        <w:fldChar w:fldCharType="separate"/>
      </w:r>
      <w:r w:rsidR="003A6481">
        <w:rPr>
          <w:noProof/>
        </w:rPr>
        <w:t>19</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Midwifery</w:t>
      </w:r>
      <w:r>
        <w:rPr>
          <w:noProof/>
        </w:rPr>
        <w:tab/>
      </w:r>
      <w:r>
        <w:rPr>
          <w:noProof/>
        </w:rPr>
        <w:fldChar w:fldCharType="begin"/>
      </w:r>
      <w:r>
        <w:rPr>
          <w:noProof/>
        </w:rPr>
        <w:instrText xml:space="preserve"> PAGEREF _Toc403834865 \h </w:instrText>
      </w:r>
      <w:r>
        <w:rPr>
          <w:noProof/>
        </w:rPr>
      </w:r>
      <w:r>
        <w:rPr>
          <w:noProof/>
        </w:rPr>
        <w:fldChar w:fldCharType="separate"/>
      </w:r>
      <w:r w:rsidR="003A6481">
        <w:rPr>
          <w:noProof/>
        </w:rPr>
        <w:t>19</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Allied health</w:t>
      </w:r>
      <w:r>
        <w:rPr>
          <w:noProof/>
        </w:rPr>
        <w:tab/>
      </w:r>
      <w:r>
        <w:rPr>
          <w:noProof/>
        </w:rPr>
        <w:fldChar w:fldCharType="begin"/>
      </w:r>
      <w:r>
        <w:rPr>
          <w:noProof/>
        </w:rPr>
        <w:instrText xml:space="preserve"> PAGEREF _Toc403834866 \h </w:instrText>
      </w:r>
      <w:r>
        <w:rPr>
          <w:noProof/>
        </w:rPr>
      </w:r>
      <w:r>
        <w:rPr>
          <w:noProof/>
        </w:rPr>
        <w:fldChar w:fldCharType="separate"/>
      </w:r>
      <w:r w:rsidR="003A6481">
        <w:rPr>
          <w:noProof/>
        </w:rPr>
        <w:t>19</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Non-regulated workforce</w:t>
      </w:r>
      <w:r>
        <w:rPr>
          <w:noProof/>
        </w:rPr>
        <w:tab/>
      </w:r>
      <w:r>
        <w:rPr>
          <w:noProof/>
        </w:rPr>
        <w:fldChar w:fldCharType="begin"/>
      </w:r>
      <w:r>
        <w:rPr>
          <w:noProof/>
        </w:rPr>
        <w:instrText xml:space="preserve"> PAGEREF _Toc403834867 \h </w:instrText>
      </w:r>
      <w:r>
        <w:rPr>
          <w:noProof/>
        </w:rPr>
      </w:r>
      <w:r>
        <w:rPr>
          <w:noProof/>
        </w:rPr>
        <w:fldChar w:fldCharType="separate"/>
      </w:r>
      <w:r w:rsidR="003A6481">
        <w:rPr>
          <w:noProof/>
        </w:rPr>
        <w:t>19</w:t>
      </w:r>
      <w:r>
        <w:rPr>
          <w:noProof/>
        </w:rPr>
        <w:fldChar w:fldCharType="end"/>
      </w:r>
    </w:p>
    <w:p w:rsidR="00ED0142" w:rsidRDefault="00ED0142">
      <w:pPr>
        <w:pStyle w:val="TOC1"/>
        <w:rPr>
          <w:rFonts w:asciiTheme="minorHAnsi" w:eastAsiaTheme="minorEastAsia" w:hAnsiTheme="minorHAnsi" w:cstheme="minorBidi"/>
          <w:b w:val="0"/>
          <w:noProof/>
          <w:szCs w:val="22"/>
          <w:lang w:eastAsia="en-NZ"/>
        </w:rPr>
      </w:pPr>
      <w:r>
        <w:rPr>
          <w:noProof/>
        </w:rPr>
        <w:t>Appendices</w:t>
      </w:r>
      <w:r>
        <w:rPr>
          <w:noProof/>
        </w:rPr>
        <w:tab/>
      </w:r>
      <w:r>
        <w:rPr>
          <w:noProof/>
        </w:rPr>
        <w:fldChar w:fldCharType="begin"/>
      </w:r>
      <w:r>
        <w:rPr>
          <w:noProof/>
        </w:rPr>
        <w:instrText xml:space="preserve"> PAGEREF _Toc403834868 \h </w:instrText>
      </w:r>
      <w:r>
        <w:rPr>
          <w:noProof/>
        </w:rPr>
      </w:r>
      <w:r>
        <w:rPr>
          <w:noProof/>
        </w:rPr>
        <w:fldChar w:fldCharType="separate"/>
      </w:r>
      <w:r w:rsidR="003A6481">
        <w:rPr>
          <w:noProof/>
        </w:rPr>
        <w:t>20</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Appendix 1: Numbers of medical specialists per 100,000 population</w:t>
      </w:r>
      <w:r>
        <w:rPr>
          <w:noProof/>
        </w:rPr>
        <w:tab/>
      </w:r>
      <w:r>
        <w:rPr>
          <w:noProof/>
        </w:rPr>
        <w:fldChar w:fldCharType="begin"/>
      </w:r>
      <w:r>
        <w:rPr>
          <w:noProof/>
        </w:rPr>
        <w:instrText xml:space="preserve"> PAGEREF _Toc403834869 \h </w:instrText>
      </w:r>
      <w:r>
        <w:rPr>
          <w:noProof/>
        </w:rPr>
      </w:r>
      <w:r>
        <w:rPr>
          <w:noProof/>
        </w:rPr>
        <w:fldChar w:fldCharType="separate"/>
      </w:r>
      <w:r w:rsidR="003A6481">
        <w:rPr>
          <w:noProof/>
        </w:rPr>
        <w:t>20</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Appendix 2: Ratios of trainee doctors to specialists</w:t>
      </w:r>
      <w:r>
        <w:rPr>
          <w:noProof/>
        </w:rPr>
        <w:tab/>
      </w:r>
      <w:r>
        <w:rPr>
          <w:noProof/>
        </w:rPr>
        <w:fldChar w:fldCharType="begin"/>
      </w:r>
      <w:r>
        <w:rPr>
          <w:noProof/>
        </w:rPr>
        <w:instrText xml:space="preserve"> PAGEREF _Toc403834870 \h </w:instrText>
      </w:r>
      <w:r>
        <w:rPr>
          <w:noProof/>
        </w:rPr>
      </w:r>
      <w:r>
        <w:rPr>
          <w:noProof/>
        </w:rPr>
        <w:fldChar w:fldCharType="separate"/>
      </w:r>
      <w:r w:rsidR="003A6481">
        <w:rPr>
          <w:noProof/>
        </w:rPr>
        <w:t>24</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Appendix 3: Numbers of nurses per 100,000 population</w:t>
      </w:r>
      <w:r>
        <w:rPr>
          <w:noProof/>
        </w:rPr>
        <w:tab/>
      </w:r>
      <w:r>
        <w:rPr>
          <w:noProof/>
        </w:rPr>
        <w:fldChar w:fldCharType="begin"/>
      </w:r>
      <w:r>
        <w:rPr>
          <w:noProof/>
        </w:rPr>
        <w:instrText xml:space="preserve"> PAGEREF _Toc403834871 \h </w:instrText>
      </w:r>
      <w:r>
        <w:rPr>
          <w:noProof/>
        </w:rPr>
      </w:r>
      <w:r>
        <w:rPr>
          <w:noProof/>
        </w:rPr>
        <w:fldChar w:fldCharType="separate"/>
      </w:r>
      <w:r w:rsidR="003A6481">
        <w:rPr>
          <w:noProof/>
        </w:rPr>
        <w:t>25</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Appendix 4: List of allied health professions</w:t>
      </w:r>
      <w:r>
        <w:rPr>
          <w:noProof/>
        </w:rPr>
        <w:tab/>
      </w:r>
      <w:r>
        <w:rPr>
          <w:noProof/>
        </w:rPr>
        <w:fldChar w:fldCharType="begin"/>
      </w:r>
      <w:r>
        <w:rPr>
          <w:noProof/>
        </w:rPr>
        <w:instrText xml:space="preserve"> PAGEREF _Toc403834872 \h </w:instrText>
      </w:r>
      <w:r>
        <w:rPr>
          <w:noProof/>
        </w:rPr>
      </w:r>
      <w:r>
        <w:rPr>
          <w:noProof/>
        </w:rPr>
        <w:fldChar w:fldCharType="separate"/>
      </w:r>
      <w:r w:rsidR="003A6481">
        <w:rPr>
          <w:noProof/>
        </w:rPr>
        <w:t>26</w:t>
      </w:r>
      <w:r>
        <w:rPr>
          <w:noProof/>
        </w:rPr>
        <w:fldChar w:fldCharType="end"/>
      </w:r>
    </w:p>
    <w:p w:rsidR="00ED0142" w:rsidRDefault="00ED0142">
      <w:pPr>
        <w:pStyle w:val="TOC2"/>
        <w:rPr>
          <w:rFonts w:asciiTheme="minorHAnsi" w:eastAsiaTheme="minorEastAsia" w:hAnsiTheme="minorHAnsi" w:cstheme="minorBidi"/>
          <w:noProof/>
          <w:szCs w:val="22"/>
          <w:lang w:eastAsia="en-NZ"/>
        </w:rPr>
      </w:pPr>
      <w:r>
        <w:rPr>
          <w:noProof/>
        </w:rPr>
        <w:t>Appendix 5: List of non-regulated/kaiāwhina roles</w:t>
      </w:r>
      <w:r>
        <w:rPr>
          <w:noProof/>
        </w:rPr>
        <w:tab/>
      </w:r>
      <w:r>
        <w:rPr>
          <w:noProof/>
        </w:rPr>
        <w:fldChar w:fldCharType="begin"/>
      </w:r>
      <w:r>
        <w:rPr>
          <w:noProof/>
        </w:rPr>
        <w:instrText xml:space="preserve"> PAGEREF _Toc403834873 \h </w:instrText>
      </w:r>
      <w:r>
        <w:rPr>
          <w:noProof/>
        </w:rPr>
      </w:r>
      <w:r>
        <w:rPr>
          <w:noProof/>
        </w:rPr>
        <w:fldChar w:fldCharType="separate"/>
      </w:r>
      <w:r w:rsidR="003A6481">
        <w:rPr>
          <w:noProof/>
        </w:rPr>
        <w:t>27</w:t>
      </w:r>
      <w:r>
        <w:rPr>
          <w:noProof/>
        </w:rPr>
        <w:fldChar w:fldCharType="end"/>
      </w:r>
    </w:p>
    <w:p w:rsidR="00C86248" w:rsidRPr="00DA6A76" w:rsidRDefault="00C86248">
      <w:r w:rsidRPr="00DA6A76">
        <w:rPr>
          <w:b/>
        </w:rPr>
        <w:fldChar w:fldCharType="end"/>
      </w:r>
    </w:p>
    <w:p w:rsidR="00C86248" w:rsidRPr="00DA6A76" w:rsidRDefault="00C86248"/>
    <w:p w:rsidR="00C86248" w:rsidRPr="00DA6A76" w:rsidRDefault="00C86248" w:rsidP="003B1D10">
      <w:pPr>
        <w:pStyle w:val="TOC1"/>
        <w:keepNext/>
      </w:pPr>
      <w:r w:rsidRPr="00DA6A76">
        <w:t>List of Tables</w:t>
      </w:r>
    </w:p>
    <w:p w:rsidR="00ED0142" w:rsidRDefault="00C86248">
      <w:pPr>
        <w:pStyle w:val="TOC3"/>
        <w:rPr>
          <w:rFonts w:asciiTheme="minorHAnsi" w:eastAsiaTheme="minorEastAsia" w:hAnsiTheme="minorHAnsi" w:cstheme="minorBidi"/>
          <w:noProof/>
          <w:szCs w:val="22"/>
          <w:lang w:eastAsia="en-NZ"/>
        </w:rPr>
      </w:pPr>
      <w:r w:rsidRPr="00DA6A76">
        <w:rPr>
          <w:sz w:val="20"/>
        </w:rPr>
        <w:fldChar w:fldCharType="begin"/>
      </w:r>
      <w:r w:rsidRPr="00DA6A76">
        <w:instrText xml:space="preserve"> TOC \t "Table,3" </w:instrText>
      </w:r>
      <w:r w:rsidRPr="00DA6A76">
        <w:rPr>
          <w:sz w:val="20"/>
        </w:rPr>
        <w:fldChar w:fldCharType="separate"/>
      </w:r>
      <w:r w:rsidR="00ED0142">
        <w:rPr>
          <w:noProof/>
        </w:rPr>
        <w:t>Table 1:</w:t>
      </w:r>
      <w:r w:rsidR="00ED0142">
        <w:rPr>
          <w:noProof/>
        </w:rPr>
        <w:tab/>
        <w:t>Medical workforce statistics</w:t>
      </w:r>
      <w:r w:rsidR="00ED0142">
        <w:rPr>
          <w:noProof/>
        </w:rPr>
        <w:tab/>
      </w:r>
      <w:r w:rsidR="00ED0142">
        <w:rPr>
          <w:noProof/>
        </w:rPr>
        <w:fldChar w:fldCharType="begin"/>
      </w:r>
      <w:r w:rsidR="00ED0142">
        <w:rPr>
          <w:noProof/>
        </w:rPr>
        <w:instrText xml:space="preserve"> PAGEREF _Toc403834874 \h </w:instrText>
      </w:r>
      <w:r w:rsidR="00ED0142">
        <w:rPr>
          <w:noProof/>
        </w:rPr>
      </w:r>
      <w:r w:rsidR="00ED0142">
        <w:rPr>
          <w:noProof/>
        </w:rPr>
        <w:fldChar w:fldCharType="separate"/>
      </w:r>
      <w:r w:rsidR="003A6481">
        <w:rPr>
          <w:noProof/>
        </w:rPr>
        <w:t>5</w:t>
      </w:r>
      <w:r w:rsidR="00ED0142">
        <w:rPr>
          <w:noProof/>
        </w:rPr>
        <w:fldChar w:fldCharType="end"/>
      </w:r>
    </w:p>
    <w:p w:rsidR="00ED0142" w:rsidRDefault="00ED0142">
      <w:pPr>
        <w:pStyle w:val="TOC3"/>
        <w:rPr>
          <w:rFonts w:asciiTheme="minorHAnsi" w:eastAsiaTheme="minorEastAsia" w:hAnsiTheme="minorHAnsi" w:cstheme="minorBidi"/>
          <w:noProof/>
          <w:szCs w:val="22"/>
          <w:lang w:eastAsia="en-NZ"/>
        </w:rPr>
      </w:pPr>
      <w:r>
        <w:rPr>
          <w:noProof/>
        </w:rPr>
        <w:t>Table 2:</w:t>
      </w:r>
      <w:r>
        <w:rPr>
          <w:noProof/>
        </w:rPr>
        <w:tab/>
        <w:t>Nursing workforce statistics</w:t>
      </w:r>
      <w:r>
        <w:rPr>
          <w:noProof/>
        </w:rPr>
        <w:tab/>
      </w:r>
      <w:r>
        <w:rPr>
          <w:noProof/>
        </w:rPr>
        <w:fldChar w:fldCharType="begin"/>
      </w:r>
      <w:r>
        <w:rPr>
          <w:noProof/>
        </w:rPr>
        <w:instrText xml:space="preserve"> PAGEREF _Toc403834875 \h </w:instrText>
      </w:r>
      <w:r>
        <w:rPr>
          <w:noProof/>
        </w:rPr>
      </w:r>
      <w:r>
        <w:rPr>
          <w:noProof/>
        </w:rPr>
        <w:fldChar w:fldCharType="separate"/>
      </w:r>
      <w:r w:rsidR="003A6481">
        <w:rPr>
          <w:noProof/>
        </w:rPr>
        <w:t>9</w:t>
      </w:r>
      <w:r>
        <w:rPr>
          <w:noProof/>
        </w:rPr>
        <w:fldChar w:fldCharType="end"/>
      </w:r>
    </w:p>
    <w:p w:rsidR="00ED0142" w:rsidRDefault="00ED0142">
      <w:pPr>
        <w:pStyle w:val="TOC3"/>
        <w:rPr>
          <w:rFonts w:asciiTheme="minorHAnsi" w:eastAsiaTheme="minorEastAsia" w:hAnsiTheme="minorHAnsi" w:cstheme="minorBidi"/>
          <w:noProof/>
          <w:szCs w:val="22"/>
          <w:lang w:eastAsia="en-NZ"/>
        </w:rPr>
      </w:pPr>
      <w:r>
        <w:rPr>
          <w:noProof/>
        </w:rPr>
        <w:t>Table 3:</w:t>
      </w:r>
      <w:r>
        <w:rPr>
          <w:noProof/>
        </w:rPr>
        <w:tab/>
        <w:t>Midwifery workforce statistics</w:t>
      </w:r>
      <w:r>
        <w:rPr>
          <w:noProof/>
        </w:rPr>
        <w:tab/>
      </w:r>
      <w:r>
        <w:rPr>
          <w:noProof/>
        </w:rPr>
        <w:fldChar w:fldCharType="begin"/>
      </w:r>
      <w:r>
        <w:rPr>
          <w:noProof/>
        </w:rPr>
        <w:instrText xml:space="preserve"> PAGEREF _Toc403834876 \h </w:instrText>
      </w:r>
      <w:r>
        <w:rPr>
          <w:noProof/>
        </w:rPr>
      </w:r>
      <w:r>
        <w:rPr>
          <w:noProof/>
        </w:rPr>
        <w:fldChar w:fldCharType="separate"/>
      </w:r>
      <w:r w:rsidR="003A6481">
        <w:rPr>
          <w:noProof/>
        </w:rPr>
        <w:t>11</w:t>
      </w:r>
      <w:r>
        <w:rPr>
          <w:noProof/>
        </w:rPr>
        <w:fldChar w:fldCharType="end"/>
      </w:r>
    </w:p>
    <w:p w:rsidR="00ED0142" w:rsidRDefault="00ED0142">
      <w:pPr>
        <w:pStyle w:val="TOC3"/>
        <w:rPr>
          <w:rFonts w:asciiTheme="minorHAnsi" w:eastAsiaTheme="minorEastAsia" w:hAnsiTheme="minorHAnsi" w:cstheme="minorBidi"/>
          <w:noProof/>
          <w:szCs w:val="22"/>
          <w:lang w:eastAsia="en-NZ"/>
        </w:rPr>
      </w:pPr>
      <w:r>
        <w:rPr>
          <w:noProof/>
        </w:rPr>
        <w:t>Table 4:</w:t>
      </w:r>
      <w:r>
        <w:rPr>
          <w:noProof/>
        </w:rPr>
        <w:tab/>
        <w:t>Allied health workforce statistics</w:t>
      </w:r>
      <w:r>
        <w:rPr>
          <w:noProof/>
        </w:rPr>
        <w:tab/>
      </w:r>
      <w:r>
        <w:rPr>
          <w:noProof/>
        </w:rPr>
        <w:fldChar w:fldCharType="begin"/>
      </w:r>
      <w:r>
        <w:rPr>
          <w:noProof/>
        </w:rPr>
        <w:instrText xml:space="preserve"> PAGEREF _Toc403834877 \h </w:instrText>
      </w:r>
      <w:r>
        <w:rPr>
          <w:noProof/>
        </w:rPr>
      </w:r>
      <w:r>
        <w:rPr>
          <w:noProof/>
        </w:rPr>
        <w:fldChar w:fldCharType="separate"/>
      </w:r>
      <w:r w:rsidR="003A6481">
        <w:rPr>
          <w:noProof/>
        </w:rPr>
        <w:t>14</w:t>
      </w:r>
      <w:r>
        <w:rPr>
          <w:noProof/>
        </w:rPr>
        <w:fldChar w:fldCharType="end"/>
      </w:r>
    </w:p>
    <w:p w:rsidR="00ED0142" w:rsidRDefault="00ED0142">
      <w:pPr>
        <w:pStyle w:val="TOC3"/>
        <w:rPr>
          <w:rFonts w:asciiTheme="minorHAnsi" w:eastAsiaTheme="minorEastAsia" w:hAnsiTheme="minorHAnsi" w:cstheme="minorBidi"/>
          <w:noProof/>
          <w:szCs w:val="22"/>
          <w:lang w:eastAsia="en-NZ"/>
        </w:rPr>
      </w:pPr>
      <w:r>
        <w:rPr>
          <w:noProof/>
        </w:rPr>
        <w:t>Table A1:</w:t>
      </w:r>
      <w:r>
        <w:rPr>
          <w:noProof/>
        </w:rPr>
        <w:tab/>
        <w:t>Number of nurses</w:t>
      </w:r>
      <w:r>
        <w:rPr>
          <w:noProof/>
        </w:rPr>
        <w:tab/>
      </w:r>
      <w:r>
        <w:rPr>
          <w:noProof/>
        </w:rPr>
        <w:fldChar w:fldCharType="begin"/>
      </w:r>
      <w:r>
        <w:rPr>
          <w:noProof/>
        </w:rPr>
        <w:instrText xml:space="preserve"> PAGEREF _Toc403834878 \h </w:instrText>
      </w:r>
      <w:r>
        <w:rPr>
          <w:noProof/>
        </w:rPr>
      </w:r>
      <w:r>
        <w:rPr>
          <w:noProof/>
        </w:rPr>
        <w:fldChar w:fldCharType="separate"/>
      </w:r>
      <w:r w:rsidR="003A6481">
        <w:rPr>
          <w:noProof/>
        </w:rPr>
        <w:t>25</w:t>
      </w:r>
      <w:r>
        <w:rPr>
          <w:noProof/>
        </w:rPr>
        <w:fldChar w:fldCharType="end"/>
      </w:r>
    </w:p>
    <w:p w:rsidR="00C86248" w:rsidRPr="00DA6A76" w:rsidRDefault="00C86248" w:rsidP="0030382F">
      <w:r w:rsidRPr="00DA6A76">
        <w:fldChar w:fldCharType="end"/>
      </w:r>
    </w:p>
    <w:p w:rsidR="003A5FEA" w:rsidRPr="00DA6A76" w:rsidRDefault="003A5FEA" w:rsidP="00ED0142">
      <w:pPr>
        <w:pStyle w:val="TOC1"/>
        <w:keepNext/>
      </w:pPr>
      <w:r w:rsidRPr="00DA6A76">
        <w:t>List of Figures</w:t>
      </w:r>
    </w:p>
    <w:p w:rsidR="00ED0142" w:rsidRDefault="003A5FEA" w:rsidP="00ED0142">
      <w:pPr>
        <w:pStyle w:val="TOC3"/>
        <w:keepNext/>
        <w:rPr>
          <w:rFonts w:asciiTheme="minorHAnsi" w:eastAsiaTheme="minorEastAsia" w:hAnsiTheme="minorHAnsi" w:cstheme="minorBidi"/>
          <w:noProof/>
          <w:szCs w:val="22"/>
          <w:lang w:eastAsia="en-NZ"/>
        </w:rPr>
      </w:pPr>
      <w:r w:rsidRPr="00DA6A76">
        <w:fldChar w:fldCharType="begin"/>
      </w:r>
      <w:r w:rsidRPr="00DA6A76">
        <w:instrText xml:space="preserve"> TOC \t "Figure,3" </w:instrText>
      </w:r>
      <w:r w:rsidRPr="00DA6A76">
        <w:fldChar w:fldCharType="separate"/>
      </w:r>
      <w:r w:rsidR="00ED0142">
        <w:rPr>
          <w:noProof/>
        </w:rPr>
        <w:t>Figure 1:</w:t>
      </w:r>
      <w:r w:rsidR="00ED0142">
        <w:rPr>
          <w:noProof/>
        </w:rPr>
        <w:tab/>
        <w:t>Percentage of doctors aged 55+ in 28 OECD countries, 2000 and 2011</w:t>
      </w:r>
      <w:r w:rsidR="00ED0142">
        <w:rPr>
          <w:noProof/>
        </w:rPr>
        <w:tab/>
      </w:r>
      <w:r w:rsidR="00ED0142">
        <w:rPr>
          <w:noProof/>
        </w:rPr>
        <w:fldChar w:fldCharType="begin"/>
      </w:r>
      <w:r w:rsidR="00ED0142">
        <w:rPr>
          <w:noProof/>
        </w:rPr>
        <w:instrText xml:space="preserve"> PAGEREF _Toc403834879 \h </w:instrText>
      </w:r>
      <w:r w:rsidR="00ED0142">
        <w:rPr>
          <w:noProof/>
        </w:rPr>
      </w:r>
      <w:r w:rsidR="00ED0142">
        <w:rPr>
          <w:noProof/>
        </w:rPr>
        <w:fldChar w:fldCharType="separate"/>
      </w:r>
      <w:r w:rsidR="003A6481">
        <w:rPr>
          <w:noProof/>
        </w:rPr>
        <w:t>3</w:t>
      </w:r>
      <w:r w:rsidR="00ED0142">
        <w:rPr>
          <w:noProof/>
        </w:rPr>
        <w:fldChar w:fldCharType="end"/>
      </w:r>
    </w:p>
    <w:p w:rsidR="00ED0142" w:rsidRDefault="00ED0142">
      <w:pPr>
        <w:pStyle w:val="TOC3"/>
        <w:rPr>
          <w:rFonts w:asciiTheme="minorHAnsi" w:eastAsiaTheme="minorEastAsia" w:hAnsiTheme="minorHAnsi" w:cstheme="minorBidi"/>
          <w:noProof/>
          <w:szCs w:val="22"/>
          <w:lang w:eastAsia="en-NZ"/>
        </w:rPr>
      </w:pPr>
      <w:r>
        <w:rPr>
          <w:noProof/>
        </w:rPr>
        <w:t>Figure 2:</w:t>
      </w:r>
      <w:r>
        <w:rPr>
          <w:noProof/>
        </w:rPr>
        <w:tab/>
        <w:t>Hard-to-staff communities for doctors and GP trainees on the 2015 Voluntary Bonding Scheme</w:t>
      </w:r>
      <w:r>
        <w:rPr>
          <w:noProof/>
        </w:rPr>
        <w:tab/>
      </w:r>
      <w:r>
        <w:rPr>
          <w:noProof/>
        </w:rPr>
        <w:fldChar w:fldCharType="begin"/>
      </w:r>
      <w:r>
        <w:rPr>
          <w:noProof/>
        </w:rPr>
        <w:instrText xml:space="preserve"> PAGEREF _Toc403834880 \h </w:instrText>
      </w:r>
      <w:r>
        <w:rPr>
          <w:noProof/>
        </w:rPr>
      </w:r>
      <w:r>
        <w:rPr>
          <w:noProof/>
        </w:rPr>
        <w:fldChar w:fldCharType="separate"/>
      </w:r>
      <w:r w:rsidR="003A6481">
        <w:rPr>
          <w:noProof/>
        </w:rPr>
        <w:t>4</w:t>
      </w:r>
      <w:r>
        <w:rPr>
          <w:noProof/>
        </w:rPr>
        <w:fldChar w:fldCharType="end"/>
      </w:r>
    </w:p>
    <w:p w:rsidR="00ED0142" w:rsidRDefault="00ED0142">
      <w:pPr>
        <w:pStyle w:val="TOC3"/>
        <w:rPr>
          <w:rFonts w:asciiTheme="minorHAnsi" w:eastAsiaTheme="minorEastAsia" w:hAnsiTheme="minorHAnsi" w:cstheme="minorBidi"/>
          <w:noProof/>
          <w:szCs w:val="22"/>
          <w:lang w:eastAsia="en-NZ"/>
        </w:rPr>
      </w:pPr>
      <w:r>
        <w:rPr>
          <w:noProof/>
        </w:rPr>
        <w:t>Figure 3:</w:t>
      </w:r>
      <w:r>
        <w:rPr>
          <w:noProof/>
        </w:rPr>
        <w:tab/>
        <w:t>Trends in numbers of GPs and non-GP specialists</w:t>
      </w:r>
      <w:r>
        <w:rPr>
          <w:noProof/>
        </w:rPr>
        <w:tab/>
      </w:r>
      <w:r>
        <w:rPr>
          <w:noProof/>
        </w:rPr>
        <w:fldChar w:fldCharType="begin"/>
      </w:r>
      <w:r>
        <w:rPr>
          <w:noProof/>
        </w:rPr>
        <w:instrText xml:space="preserve"> PAGEREF _Toc403834881 \h </w:instrText>
      </w:r>
      <w:r>
        <w:rPr>
          <w:noProof/>
        </w:rPr>
      </w:r>
      <w:r>
        <w:rPr>
          <w:noProof/>
        </w:rPr>
        <w:fldChar w:fldCharType="separate"/>
      </w:r>
      <w:r w:rsidR="003A6481">
        <w:rPr>
          <w:noProof/>
        </w:rPr>
        <w:t>5</w:t>
      </w:r>
      <w:r>
        <w:rPr>
          <w:noProof/>
        </w:rPr>
        <w:fldChar w:fldCharType="end"/>
      </w:r>
    </w:p>
    <w:p w:rsidR="00ED0142" w:rsidRDefault="00ED0142">
      <w:pPr>
        <w:pStyle w:val="TOC3"/>
        <w:rPr>
          <w:rFonts w:asciiTheme="minorHAnsi" w:eastAsiaTheme="minorEastAsia" w:hAnsiTheme="minorHAnsi" w:cstheme="minorBidi"/>
          <w:noProof/>
          <w:szCs w:val="22"/>
          <w:lang w:eastAsia="en-NZ"/>
        </w:rPr>
      </w:pPr>
      <w:r>
        <w:rPr>
          <w:noProof/>
        </w:rPr>
        <w:t>Figure 4:</w:t>
      </w:r>
      <w:r>
        <w:rPr>
          <w:noProof/>
        </w:rPr>
        <w:tab/>
        <w:t>Hard-to-staff communities for nurses on the 2015 Voluntary Bonding Scheme</w:t>
      </w:r>
      <w:r>
        <w:rPr>
          <w:noProof/>
        </w:rPr>
        <w:tab/>
      </w:r>
      <w:r>
        <w:rPr>
          <w:noProof/>
        </w:rPr>
        <w:fldChar w:fldCharType="begin"/>
      </w:r>
      <w:r>
        <w:rPr>
          <w:noProof/>
        </w:rPr>
        <w:instrText xml:space="preserve"> PAGEREF _Toc403834882 \h </w:instrText>
      </w:r>
      <w:r>
        <w:rPr>
          <w:noProof/>
        </w:rPr>
      </w:r>
      <w:r>
        <w:rPr>
          <w:noProof/>
        </w:rPr>
        <w:fldChar w:fldCharType="separate"/>
      </w:r>
      <w:r w:rsidR="003A6481">
        <w:rPr>
          <w:noProof/>
        </w:rPr>
        <w:t>8</w:t>
      </w:r>
      <w:r>
        <w:rPr>
          <w:noProof/>
        </w:rPr>
        <w:fldChar w:fldCharType="end"/>
      </w:r>
    </w:p>
    <w:p w:rsidR="00ED0142" w:rsidRDefault="00ED0142">
      <w:pPr>
        <w:pStyle w:val="TOC3"/>
        <w:rPr>
          <w:rFonts w:asciiTheme="minorHAnsi" w:eastAsiaTheme="minorEastAsia" w:hAnsiTheme="minorHAnsi" w:cstheme="minorBidi"/>
          <w:noProof/>
          <w:szCs w:val="22"/>
          <w:lang w:eastAsia="en-NZ"/>
        </w:rPr>
      </w:pPr>
      <w:r>
        <w:rPr>
          <w:noProof/>
        </w:rPr>
        <w:t>Figure 5:</w:t>
      </w:r>
      <w:r>
        <w:rPr>
          <w:noProof/>
        </w:rPr>
        <w:tab/>
        <w:t>Distribution of levels of experience for nurses trained overseas and in New Zealand</w:t>
      </w:r>
      <w:r>
        <w:rPr>
          <w:noProof/>
        </w:rPr>
        <w:tab/>
      </w:r>
      <w:r>
        <w:rPr>
          <w:noProof/>
        </w:rPr>
        <w:fldChar w:fldCharType="begin"/>
      </w:r>
      <w:r>
        <w:rPr>
          <w:noProof/>
        </w:rPr>
        <w:instrText xml:space="preserve"> PAGEREF _Toc403834883 \h </w:instrText>
      </w:r>
      <w:r>
        <w:rPr>
          <w:noProof/>
        </w:rPr>
      </w:r>
      <w:r>
        <w:rPr>
          <w:noProof/>
        </w:rPr>
        <w:fldChar w:fldCharType="separate"/>
      </w:r>
      <w:r w:rsidR="003A6481">
        <w:rPr>
          <w:noProof/>
        </w:rPr>
        <w:t>10</w:t>
      </w:r>
      <w:r>
        <w:rPr>
          <w:noProof/>
        </w:rPr>
        <w:fldChar w:fldCharType="end"/>
      </w:r>
    </w:p>
    <w:p w:rsidR="00ED0142" w:rsidRDefault="00ED0142">
      <w:pPr>
        <w:pStyle w:val="TOC3"/>
        <w:rPr>
          <w:rFonts w:asciiTheme="minorHAnsi" w:eastAsiaTheme="minorEastAsia" w:hAnsiTheme="minorHAnsi" w:cstheme="minorBidi"/>
          <w:noProof/>
          <w:szCs w:val="22"/>
          <w:lang w:eastAsia="en-NZ"/>
        </w:rPr>
      </w:pPr>
      <w:r>
        <w:rPr>
          <w:noProof/>
        </w:rPr>
        <w:t>Figure 6:</w:t>
      </w:r>
      <w:r>
        <w:rPr>
          <w:noProof/>
        </w:rPr>
        <w:tab/>
        <w:t>Hard-to-staff communities for midwives on the 2015 Voluntary Bonding Scheme</w:t>
      </w:r>
      <w:r>
        <w:rPr>
          <w:noProof/>
        </w:rPr>
        <w:tab/>
      </w:r>
      <w:r>
        <w:rPr>
          <w:noProof/>
        </w:rPr>
        <w:fldChar w:fldCharType="begin"/>
      </w:r>
      <w:r>
        <w:rPr>
          <w:noProof/>
        </w:rPr>
        <w:instrText xml:space="preserve"> PAGEREF _Toc403834884 \h </w:instrText>
      </w:r>
      <w:r>
        <w:rPr>
          <w:noProof/>
        </w:rPr>
      </w:r>
      <w:r>
        <w:rPr>
          <w:noProof/>
        </w:rPr>
        <w:fldChar w:fldCharType="separate"/>
      </w:r>
      <w:r w:rsidR="003A6481">
        <w:rPr>
          <w:noProof/>
        </w:rPr>
        <w:t>13</w:t>
      </w:r>
      <w:r>
        <w:rPr>
          <w:noProof/>
        </w:rPr>
        <w:fldChar w:fldCharType="end"/>
      </w:r>
    </w:p>
    <w:p w:rsidR="00ED0142" w:rsidRDefault="00ED0142">
      <w:pPr>
        <w:pStyle w:val="TOC3"/>
        <w:rPr>
          <w:rFonts w:asciiTheme="minorHAnsi" w:eastAsiaTheme="minorEastAsia" w:hAnsiTheme="minorHAnsi" w:cstheme="minorBidi"/>
          <w:noProof/>
          <w:szCs w:val="22"/>
          <w:lang w:eastAsia="en-NZ"/>
        </w:rPr>
      </w:pPr>
      <w:r>
        <w:rPr>
          <w:noProof/>
        </w:rPr>
        <w:t>Figure A1:</w:t>
      </w:r>
      <w:r>
        <w:rPr>
          <w:noProof/>
        </w:rPr>
        <w:tab/>
        <w:t>Ratios of trainee doctors to specialists</w:t>
      </w:r>
      <w:r>
        <w:rPr>
          <w:noProof/>
        </w:rPr>
        <w:tab/>
      </w:r>
      <w:r>
        <w:rPr>
          <w:noProof/>
        </w:rPr>
        <w:fldChar w:fldCharType="begin"/>
      </w:r>
      <w:r>
        <w:rPr>
          <w:noProof/>
        </w:rPr>
        <w:instrText xml:space="preserve"> PAGEREF _Toc403834885 \h </w:instrText>
      </w:r>
      <w:r>
        <w:rPr>
          <w:noProof/>
        </w:rPr>
      </w:r>
      <w:r>
        <w:rPr>
          <w:noProof/>
        </w:rPr>
        <w:fldChar w:fldCharType="separate"/>
      </w:r>
      <w:r w:rsidR="003A6481">
        <w:rPr>
          <w:noProof/>
        </w:rPr>
        <w:t>24</w:t>
      </w:r>
      <w:r>
        <w:rPr>
          <w:noProof/>
        </w:rPr>
        <w:fldChar w:fldCharType="end"/>
      </w:r>
    </w:p>
    <w:p w:rsidR="003A5FEA" w:rsidRPr="00DA6A76" w:rsidRDefault="003A5FEA" w:rsidP="003A5FEA">
      <w:r w:rsidRPr="00DA6A76">
        <w:fldChar w:fldCharType="end"/>
      </w:r>
    </w:p>
    <w:p w:rsidR="00C86248" w:rsidRPr="00DA6A76" w:rsidRDefault="00C86248" w:rsidP="0086388B"/>
    <w:p w:rsidR="00C86248" w:rsidRPr="00DA6A76" w:rsidRDefault="00C86248">
      <w:pPr>
        <w:sectPr w:rsidR="00C86248" w:rsidRPr="00DA6A76"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DA6A76" w:rsidRDefault="00DA6A76" w:rsidP="0086388B">
      <w:pPr>
        <w:pStyle w:val="Heading1"/>
      </w:pPr>
      <w:bookmarkStart w:id="5" w:name="_Toc403834853"/>
      <w:r w:rsidRPr="00DA6A76">
        <w:t>The health of the health workforce</w:t>
      </w:r>
      <w:bookmarkEnd w:id="5"/>
    </w:p>
    <w:p w:rsidR="00DA6A76" w:rsidRPr="00DA6A76" w:rsidRDefault="00DA6A76" w:rsidP="00C3167A">
      <w:r w:rsidRPr="00DA6A76">
        <w:rPr>
          <w:i/>
        </w:rPr>
        <w:t xml:space="preserve">The Health of the Health Workforce 2013 to 2014 </w:t>
      </w:r>
      <w:r w:rsidRPr="00DA6A76">
        <w:t>is the first of what will be yearly reports on the state of the New Zealand health and disability workforce – hereafter referred to as the workforce. It is one</w:t>
      </w:r>
      <w:r w:rsidR="00C454CC">
        <w:t xml:space="preserve"> </w:t>
      </w:r>
      <w:r w:rsidRPr="00DA6A76">
        <w:t>of two reports that Health Workforce New Zealand (HWNZ) is publishing in 2014.</w:t>
      </w:r>
    </w:p>
    <w:p w:rsidR="00DA6A76" w:rsidRPr="00DA6A76" w:rsidRDefault="00DA6A76" w:rsidP="00C3167A"/>
    <w:p w:rsidR="00DA6A76" w:rsidRPr="00DA6A76" w:rsidRDefault="00DA6A76" w:rsidP="00C3167A">
      <w:r w:rsidRPr="00DA6A76">
        <w:t>You can</w:t>
      </w:r>
      <w:r w:rsidR="00C454CC">
        <w:t xml:space="preserve"> </w:t>
      </w:r>
      <w:r w:rsidRPr="00DA6A76">
        <w:t>find</w:t>
      </w:r>
      <w:r w:rsidR="00C454CC">
        <w:t xml:space="preserve"> </w:t>
      </w:r>
      <w:r w:rsidRPr="00DA6A76">
        <w:t>out</w:t>
      </w:r>
      <w:r w:rsidR="00C454CC">
        <w:t xml:space="preserve"> </w:t>
      </w:r>
      <w:r w:rsidRPr="00DA6A76">
        <w:t xml:space="preserve">more about HWNZ in the companion report </w:t>
      </w:r>
      <w:r w:rsidRPr="00DA6A76">
        <w:rPr>
          <w:i/>
        </w:rPr>
        <w:t>The Role of Health Workforce New</w:t>
      </w:r>
      <w:r w:rsidR="00C3167A">
        <w:rPr>
          <w:i/>
        </w:rPr>
        <w:t xml:space="preserve"> </w:t>
      </w:r>
      <w:r w:rsidRPr="00DA6A76">
        <w:rPr>
          <w:i/>
        </w:rPr>
        <w:t>Zealand</w:t>
      </w:r>
      <w:r w:rsidRPr="00DA6A76">
        <w:t>.</w:t>
      </w:r>
    </w:p>
    <w:p w:rsidR="00DA6A76" w:rsidRPr="00DA6A76" w:rsidRDefault="00DA6A76" w:rsidP="00C3167A"/>
    <w:p w:rsidR="00DA6A76" w:rsidRPr="00DA6A76" w:rsidRDefault="00DA6A76" w:rsidP="00C3167A">
      <w:pPr>
        <w:pStyle w:val="Heading2"/>
      </w:pPr>
      <w:bookmarkStart w:id="6" w:name="_Toc403834854"/>
      <w:r w:rsidRPr="00DA6A76">
        <w:t>Data sources</w:t>
      </w:r>
      <w:bookmarkEnd w:id="6"/>
    </w:p>
    <w:p w:rsidR="00DA6A76" w:rsidRPr="00DA6A76" w:rsidRDefault="00DA6A76" w:rsidP="00C3167A">
      <w:r w:rsidRPr="00DA6A76">
        <w:t>Evidence from a variety of sources contributes to HWNZ</w:t>
      </w:r>
      <w:r w:rsidR="00C454CC">
        <w:t>’</w:t>
      </w:r>
      <w:r w:rsidRPr="00DA6A76">
        <w:t>s ability to synthesise information about the workforce and the environment it operates in, and from there to identify trends.</w:t>
      </w:r>
    </w:p>
    <w:p w:rsidR="00DA6A76" w:rsidRPr="00DA6A76" w:rsidRDefault="00DA6A76" w:rsidP="00C3167A"/>
    <w:p w:rsidR="00DA6A76" w:rsidRPr="00DA6A76" w:rsidRDefault="00DA6A76" w:rsidP="00C3167A">
      <w:r w:rsidRPr="00DA6A76">
        <w:t>The data and workforce intelligence cited in these reports are drawn from multiple sources; for example, regulatory bodies such as the Medical Council of New Zealand (MCNZ) and Nursing Council of New Zealand (NCNZ), the wider Ministry of Health, district health boards (DHBs) and other employers, OECD reports, the New Zealand Census and Workforce Service Forecasts commissioned by HWNZ.</w:t>
      </w:r>
    </w:p>
    <w:p w:rsidR="00DA6A76" w:rsidRPr="00DA6A76" w:rsidRDefault="00DA6A76" w:rsidP="00C3167A"/>
    <w:p w:rsidR="00DA6A76" w:rsidRPr="00DA6A76" w:rsidRDefault="00DA6A76" w:rsidP="00C3167A">
      <w:r w:rsidRPr="00DA6A76">
        <w:t>Because of this, there is some variation in the date ranges of the workforce data used.</w:t>
      </w:r>
    </w:p>
    <w:p w:rsidR="00DA6A76" w:rsidRPr="00DA6A76" w:rsidRDefault="00DA6A76" w:rsidP="00C3167A"/>
    <w:p w:rsidR="00DA6A76" w:rsidRPr="00DA6A76" w:rsidRDefault="00DA6A76" w:rsidP="00C3167A">
      <w:pPr>
        <w:pStyle w:val="Heading2"/>
      </w:pPr>
      <w:bookmarkStart w:id="7" w:name="_Toc403834855"/>
      <w:r w:rsidRPr="00DA6A76">
        <w:t>General workforce facts and figures</w:t>
      </w:r>
      <w:bookmarkEnd w:id="7"/>
    </w:p>
    <w:p w:rsidR="00DA6A76" w:rsidRPr="00DA6A76" w:rsidRDefault="00DA6A76" w:rsidP="00C3167A">
      <w:r w:rsidRPr="00DA6A76">
        <w:t>The workforce is made up of a wide</w:t>
      </w:r>
      <w:r w:rsidR="00C454CC">
        <w:t xml:space="preserve"> </w:t>
      </w:r>
      <w:r w:rsidRPr="00DA6A76">
        <w:t>variety of occupational groups, ranging from highly trained health professionals to care and support workers with limited qualifications. The five main occupational groups discussed in this report are:</w:t>
      </w:r>
    </w:p>
    <w:p w:rsidR="00DA6A76" w:rsidRPr="00DA6A76" w:rsidRDefault="00DA6A76" w:rsidP="00C3167A">
      <w:pPr>
        <w:pStyle w:val="Bullet"/>
      </w:pPr>
      <w:r w:rsidRPr="00DA6A76">
        <w:t>doctors and dentists – the medical workforce</w:t>
      </w:r>
    </w:p>
    <w:p w:rsidR="00DA6A76" w:rsidRPr="00DA6A76" w:rsidRDefault="00DA6A76" w:rsidP="00C3167A">
      <w:pPr>
        <w:pStyle w:val="Bullet"/>
      </w:pPr>
      <w:r w:rsidRPr="00DA6A76">
        <w:t>nurses</w:t>
      </w:r>
    </w:p>
    <w:p w:rsidR="00DA6A76" w:rsidRPr="00DA6A76" w:rsidRDefault="00DA6A76" w:rsidP="00C3167A">
      <w:pPr>
        <w:pStyle w:val="Bullet"/>
      </w:pPr>
      <w:r w:rsidRPr="00DA6A76">
        <w:t>midwives</w:t>
      </w:r>
    </w:p>
    <w:p w:rsidR="00DA6A76" w:rsidRPr="00DA6A76" w:rsidRDefault="00DA6A76" w:rsidP="00C3167A">
      <w:pPr>
        <w:pStyle w:val="Bullet"/>
      </w:pPr>
      <w:r w:rsidRPr="00DA6A76">
        <w:t>allied health, science and technical workers</w:t>
      </w:r>
    </w:p>
    <w:p w:rsidR="00DA6A76" w:rsidRPr="00DA6A76" w:rsidRDefault="00DA6A76" w:rsidP="00C3167A">
      <w:pPr>
        <w:pStyle w:val="Bullet"/>
      </w:pPr>
      <w:r w:rsidRPr="00DA6A76">
        <w:t>non-regulated workers – also collectively termed kaiāwhina.</w:t>
      </w:r>
    </w:p>
    <w:p w:rsidR="00DA6A76" w:rsidRPr="00DA6A76" w:rsidRDefault="00DA6A76" w:rsidP="00C3167A"/>
    <w:p w:rsidR="00DA6A76" w:rsidRPr="00DA6A76" w:rsidRDefault="00DA6A76" w:rsidP="00C3167A">
      <w:r w:rsidRPr="00DA6A76">
        <w:t>Doctors, dentists, nurses, midwives and a number of allied health professions are covered by the Health Practitioners Competence Assurance (HPCA) Act 2003, and are together referred to as the regulated workforce. Practitioners must be registered with the relevant regulatory body that issues annual practising certificates, considers complaints and takes disciplinary action when needed. The regulated workforce numbered 94,613 as of 31 March 2013, based on annual practising certificate data for all regulated professions.</w:t>
      </w:r>
    </w:p>
    <w:p w:rsidR="00DA6A76" w:rsidRPr="00DA6A76" w:rsidRDefault="00DA6A76" w:rsidP="00C3167A"/>
    <w:p w:rsidR="00DA6A76" w:rsidRPr="00C3167A" w:rsidRDefault="00DA6A76" w:rsidP="00C3167A">
      <w:pPr>
        <w:keepNext/>
      </w:pPr>
      <w:r w:rsidRPr="00DA6A76">
        <w:t>District health boards are a key employer, with estimated Employed Full-Time Equivalent (FTE)</w:t>
      </w:r>
      <w:r w:rsidR="00C3167A">
        <w:t xml:space="preserve"> </w:t>
      </w:r>
      <w:r w:rsidRPr="00DA6A76">
        <w:t>workforces in March 2014 (and November 2008) of:</w:t>
      </w:r>
      <w:r w:rsidR="00C3167A">
        <w:rPr>
          <w:rStyle w:val="FootnoteReference"/>
        </w:rPr>
        <w:footnoteReference w:id="1"/>
      </w:r>
    </w:p>
    <w:p w:rsidR="00DA6A76" w:rsidRPr="00DA6A76" w:rsidRDefault="00DA6A76" w:rsidP="00C3167A">
      <w:pPr>
        <w:pStyle w:val="Bullet"/>
      </w:pPr>
      <w:r w:rsidRPr="00DA6A76">
        <w:t>7518 (5930) doctors</w:t>
      </w:r>
    </w:p>
    <w:p w:rsidR="00DA6A76" w:rsidRPr="00DA6A76" w:rsidRDefault="00DA6A76" w:rsidP="00C3167A">
      <w:pPr>
        <w:pStyle w:val="Bullet"/>
      </w:pPr>
      <w:r w:rsidRPr="00DA6A76">
        <w:t>20,719 (17,523) nurses</w:t>
      </w:r>
    </w:p>
    <w:p w:rsidR="00DA6A76" w:rsidRPr="00DA6A76" w:rsidRDefault="00DA6A76" w:rsidP="00C3167A">
      <w:pPr>
        <w:pStyle w:val="Bullet"/>
      </w:pPr>
      <w:r w:rsidRPr="00DA6A76">
        <w:t>879 (801) midwives.</w:t>
      </w:r>
    </w:p>
    <w:p w:rsidR="00DA6A76" w:rsidRPr="00DA6A76" w:rsidRDefault="00DA6A76" w:rsidP="00C3167A"/>
    <w:p w:rsidR="00DA6A76" w:rsidRPr="00DA6A76" w:rsidRDefault="00DA6A76" w:rsidP="00C3167A">
      <w:r w:rsidRPr="00DA6A76">
        <w:t>About one-third of New Zealand</w:t>
      </w:r>
      <w:r w:rsidR="00C454CC">
        <w:t>’</w:t>
      </w:r>
      <w:r w:rsidRPr="00DA6A76">
        <w:t>s estimated 63,000-strong non-regulated workforce is employed by residential care providers.</w:t>
      </w:r>
    </w:p>
    <w:p w:rsidR="00DA6A76" w:rsidRPr="00DA6A76" w:rsidRDefault="00DA6A76" w:rsidP="00C3167A"/>
    <w:p w:rsidR="00DA6A76" w:rsidRPr="00DA6A76" w:rsidRDefault="00DA6A76" w:rsidP="00C3167A">
      <w:pPr>
        <w:pStyle w:val="Heading2"/>
      </w:pPr>
      <w:bookmarkStart w:id="8" w:name="_Toc403834856"/>
      <w:r w:rsidRPr="00DA6A76">
        <w:t>Doctors</w:t>
      </w:r>
      <w:bookmarkEnd w:id="8"/>
    </w:p>
    <w:p w:rsidR="00DA6A76" w:rsidRPr="00C3167A" w:rsidRDefault="00DA6A76" w:rsidP="00C3167A">
      <w:r w:rsidRPr="00DA6A76">
        <w:t>The medical workforce has</w:t>
      </w:r>
      <w:r w:rsidR="00C454CC">
        <w:t xml:space="preserve"> </w:t>
      </w:r>
      <w:r w:rsidRPr="00DA6A76">
        <w:t>grown by 15.2 percent in the past five years. There are currently 14,395 doctors with annual practising certificates registered with the MCNZ, up from 12,493 in 2009.</w:t>
      </w:r>
      <w:r w:rsidR="00C3167A">
        <w:rPr>
          <w:rStyle w:val="FootnoteReference"/>
        </w:rPr>
        <w:footnoteReference w:id="2"/>
      </w:r>
    </w:p>
    <w:p w:rsidR="00DA6A76" w:rsidRPr="00DA6A76" w:rsidRDefault="00DA6A76" w:rsidP="00C3167A"/>
    <w:p w:rsidR="00DA6A76" w:rsidRPr="00DA6A76" w:rsidRDefault="00DA6A76" w:rsidP="00C3167A">
      <w:r w:rsidRPr="00DA6A76">
        <w:t>Some critical shortages remain in particular specialties. The following are signalled as hard-to-staff for 2015</w:t>
      </w:r>
      <w:r w:rsidR="00C454CC">
        <w:t>’</w:t>
      </w:r>
      <w:r w:rsidRPr="00DA6A76">
        <w:t>s Voluntary Bonding Scheme (VBS): general practice, general surgery, internal medicine, pathology, psychiatry and rural hospital medicine. General practice continues to be an area of particular need, especially in certain rural and provincial areas. The VBS also records hard-to-staff regions year</w:t>
      </w:r>
      <w:r w:rsidR="00C454CC">
        <w:t xml:space="preserve"> </w:t>
      </w:r>
      <w:r w:rsidRPr="00DA6A76">
        <w:t>by year</w:t>
      </w:r>
      <w:r w:rsidR="00C454CC">
        <w:t xml:space="preserve"> </w:t>
      </w:r>
      <w:r w:rsidRPr="00DA6A76">
        <w:t>– see the map on page 3.</w:t>
      </w:r>
    </w:p>
    <w:p w:rsidR="00DA6A76" w:rsidRPr="00DA6A76" w:rsidRDefault="00DA6A76" w:rsidP="00C3167A"/>
    <w:p w:rsidR="00DA6A76" w:rsidRPr="00DA6A76" w:rsidRDefault="00DA6A76" w:rsidP="00C3167A">
      <w:pPr>
        <w:pStyle w:val="Box"/>
      </w:pPr>
      <w:r w:rsidRPr="00DA6A76">
        <w:t>The Voluntary Bonding Scheme rewards medical, nursing and midwifery graduates who work</w:t>
      </w:r>
      <w:r w:rsidR="00C454CC">
        <w:t xml:space="preserve"> </w:t>
      </w:r>
      <w:r w:rsidRPr="00DA6A76">
        <w:t xml:space="preserve">in hard-to-staff specialties or communities for three to five postgraduate years. Medical physicists, sonographers and radiation therapists working in New Zealand are also eligible. More information is available at </w:t>
      </w:r>
      <w:hyperlink r:id="rId18">
        <w:r w:rsidRPr="00DA6A76">
          <w:rPr>
            <w:color w:val="65BD5E"/>
          </w:rPr>
          <w:t>www.health.govt.nz</w:t>
        </w:r>
      </w:hyperlink>
    </w:p>
    <w:p w:rsidR="00DA6A76" w:rsidRPr="00DA6A76" w:rsidRDefault="00DA6A76" w:rsidP="00C3167A"/>
    <w:p w:rsidR="00DA6A76" w:rsidRPr="00DA6A76" w:rsidRDefault="00DA6A76" w:rsidP="00C3167A">
      <w:r w:rsidRPr="00DA6A76">
        <w:t>The medical workforce is ageing. Almost 40 percent of doctors are currently aged 50 or over, up from</w:t>
      </w:r>
      <w:r w:rsidR="00C3167A">
        <w:t xml:space="preserve"> </w:t>
      </w:r>
      <w:r w:rsidRPr="00DA6A76">
        <w:t>34 percent in 2009. Five years ago, the largest group of doctors was aged between 45 and 49. Since</w:t>
      </w:r>
      <w:r w:rsidR="00C3167A">
        <w:t xml:space="preserve"> </w:t>
      </w:r>
      <w:r w:rsidRPr="00DA6A76">
        <w:t>2011, the largest age group has</w:t>
      </w:r>
      <w:r w:rsidR="00C454CC">
        <w:t xml:space="preserve"> </w:t>
      </w:r>
      <w:r w:rsidRPr="00DA6A76">
        <w:t>been 50- to 54-year-olds. However, an ageing medical workforce is an international trend, and New Zealand is better placed than many other OECD countries in terms of the number of doctors in the workforce aged 55 years and over.</w:t>
      </w:r>
    </w:p>
    <w:p w:rsidR="00DA6A76" w:rsidRPr="00DA6A76" w:rsidRDefault="00DA6A76" w:rsidP="00C3167A"/>
    <w:p w:rsidR="00DA6A76" w:rsidRDefault="00DA6A76" w:rsidP="00C3167A">
      <w:pPr>
        <w:pStyle w:val="Figure"/>
      </w:pPr>
      <w:bookmarkStart w:id="9" w:name="_Toc403834879"/>
      <w:r w:rsidRPr="00DA6A76">
        <w:t>Figure 1: Percentage of doctors aged 55+ in 28 OECD countries, 2000 and 2011</w:t>
      </w:r>
      <w:r w:rsidR="00C3167A">
        <w:rPr>
          <w:rStyle w:val="FootnoteReference"/>
        </w:rPr>
        <w:footnoteReference w:id="3"/>
      </w:r>
      <w:bookmarkEnd w:id="9"/>
    </w:p>
    <w:p w:rsidR="00C3167A" w:rsidRPr="00C3167A" w:rsidRDefault="00C3167A" w:rsidP="00C3167A">
      <w:r w:rsidRPr="00C3167A">
        <w:rPr>
          <w:noProof/>
          <w:lang w:eastAsia="en-NZ"/>
        </w:rPr>
        <w:drawing>
          <wp:inline distT="0" distB="0" distL="0" distR="0" wp14:anchorId="0107AEFE" wp14:editId="1ED10584">
            <wp:extent cx="5940425" cy="2749985"/>
            <wp:effectExtent l="0" t="0" r="3175" b="0"/>
            <wp:docPr id="1376" name="Picture 1376" title="Figure 1: Percentage of doctors aged 55+ in 28 OECD countries, 2000 and 2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2749985"/>
                    </a:xfrm>
                    <a:prstGeom prst="rect">
                      <a:avLst/>
                    </a:prstGeom>
                  </pic:spPr>
                </pic:pic>
              </a:graphicData>
            </a:graphic>
          </wp:inline>
        </w:drawing>
      </w:r>
    </w:p>
    <w:p w:rsidR="00C3167A" w:rsidRDefault="00C3167A" w:rsidP="00C3167A"/>
    <w:p w:rsidR="00DA6A76" w:rsidRPr="00DA6A76" w:rsidRDefault="00DA6A76" w:rsidP="00C3167A">
      <w:r w:rsidRPr="00DA6A76">
        <w:t>The gender gap in New Zealand</w:t>
      </w:r>
      <w:r w:rsidR="00C454CC">
        <w:t>’</w:t>
      </w:r>
      <w:r w:rsidRPr="00DA6A76">
        <w:t>s medical workforce is closing. Women make up 41.3 percent of the workforce (39.1 percent in 2009) and outnumber men among new</w:t>
      </w:r>
      <w:r w:rsidR="00C454CC">
        <w:t xml:space="preserve"> </w:t>
      </w:r>
      <w:r w:rsidRPr="00DA6A76">
        <w:t>doctors. Further:</w:t>
      </w:r>
    </w:p>
    <w:p w:rsidR="00DA6A76" w:rsidRPr="00DA6A76" w:rsidRDefault="00DA6A76" w:rsidP="00C3167A">
      <w:pPr>
        <w:pStyle w:val="Bullet"/>
      </w:pPr>
      <w:r w:rsidRPr="00DA6A76">
        <w:t>45 percent of female doctors are under 40 years of age</w:t>
      </w:r>
    </w:p>
    <w:p w:rsidR="00DA6A76" w:rsidRPr="00DA6A76" w:rsidRDefault="00DA6A76" w:rsidP="00C3167A">
      <w:pPr>
        <w:pStyle w:val="Bullet"/>
      </w:pPr>
      <w:r w:rsidRPr="00DA6A76">
        <w:t>28 percent of male doctors are under 40 years of age</w:t>
      </w:r>
    </w:p>
    <w:p w:rsidR="00DA6A76" w:rsidRPr="00DA6A76" w:rsidRDefault="00DA6A76" w:rsidP="00C3167A">
      <w:pPr>
        <w:pStyle w:val="Bullet"/>
      </w:pPr>
      <w:r w:rsidRPr="00DA6A76">
        <w:t>58 percent of house officers</w:t>
      </w:r>
      <w:r w:rsidR="00C3167A">
        <w:rPr>
          <w:rStyle w:val="FootnoteReference"/>
        </w:rPr>
        <w:footnoteReference w:id="4"/>
      </w:r>
      <w:r w:rsidR="00C3167A">
        <w:t xml:space="preserve"> </w:t>
      </w:r>
      <w:r w:rsidRPr="00DA6A76">
        <w:t>and 49 percent of registrars</w:t>
      </w:r>
      <w:r w:rsidR="00C3167A">
        <w:rPr>
          <w:rStyle w:val="FootnoteReference"/>
        </w:rPr>
        <w:footnoteReference w:id="5"/>
      </w:r>
      <w:r w:rsidR="00C3167A">
        <w:t xml:space="preserve"> </w:t>
      </w:r>
      <w:r w:rsidRPr="00DA6A76">
        <w:t>are women.</w:t>
      </w:r>
    </w:p>
    <w:p w:rsidR="00DA6A76" w:rsidRPr="00DA6A76" w:rsidRDefault="00DA6A76" w:rsidP="00C3167A"/>
    <w:p w:rsidR="00DA6A76" w:rsidRPr="00DA6A76" w:rsidRDefault="00DA6A76" w:rsidP="00C3167A">
      <w:r w:rsidRPr="00DA6A76">
        <w:t>Māori and Pacific peoples remain under-represented in the medical workforce. However, recent</w:t>
      </w:r>
      <w:r w:rsidR="00C3167A">
        <w:t xml:space="preserve"> </w:t>
      </w:r>
    </w:p>
    <w:p w:rsidR="00C3167A" w:rsidRPr="00C3167A" w:rsidRDefault="00C3167A" w:rsidP="00C3167A">
      <w:r w:rsidRPr="00DA6A76">
        <w:t>increases in the numbers of medical students from both groups indicate an emerging generation of</w:t>
      </w:r>
      <w:r>
        <w:t xml:space="preserve"> </w:t>
      </w:r>
      <w:r w:rsidRPr="00DA6A76">
        <w:t>Māori and Pacific doctors.</w:t>
      </w:r>
      <w:r>
        <w:rPr>
          <w:rStyle w:val="FootnoteReference"/>
        </w:rPr>
        <w:footnoteReference w:id="6"/>
      </w:r>
    </w:p>
    <w:p w:rsidR="00C3167A" w:rsidRPr="00DA6A76" w:rsidRDefault="00C3167A" w:rsidP="00C3167A"/>
    <w:p w:rsidR="00C3167A" w:rsidRPr="00DA6A76" w:rsidRDefault="00C3167A" w:rsidP="00C3167A">
      <w:r w:rsidRPr="00DA6A76">
        <w:t>There are 69 GPs per 100,000 New Zealanders, up from 58 in 2009. Auckland, Capital &amp; Coast and Nelson Marlborough DHBs have the highest numbers of GPs per head of population (100+), while West Coast, MidCentral and Counties Manukau have the lowest (37 to 51). See Appendix 1 for numbers of all specialists per 100,000 population.</w:t>
      </w:r>
    </w:p>
    <w:p w:rsidR="00DA6A76" w:rsidRPr="00DA6A76" w:rsidRDefault="00DA6A76" w:rsidP="00C3167A"/>
    <w:p w:rsidR="00DA6A76" w:rsidRPr="00C3167A" w:rsidRDefault="00DA6A76" w:rsidP="00C3167A">
      <w:r w:rsidRPr="00DA6A76">
        <w:t>Demand for GPs will only continue to rise as models of care move out</w:t>
      </w:r>
      <w:r w:rsidR="00C454CC">
        <w:t xml:space="preserve"> </w:t>
      </w:r>
      <w:r w:rsidRPr="00DA6A76">
        <w:t>of hospitals and into the community. However, the proportion of GPs in the specialist workforce continues to track slowly downwards, from</w:t>
      </w:r>
      <w:r w:rsidR="00C3167A">
        <w:t xml:space="preserve"> </w:t>
      </w:r>
      <w:r w:rsidRPr="00DA6A76">
        <w:t>38.3 percent in 2007</w:t>
      </w:r>
      <w:r w:rsidR="00C454CC">
        <w:t xml:space="preserve"> </w:t>
      </w:r>
      <w:r w:rsidRPr="00DA6A76">
        <w:t>to 37.5 percent</w:t>
      </w:r>
      <w:r w:rsidR="00C3167A">
        <w:t xml:space="preserve"> </w:t>
      </w:r>
      <w:r w:rsidRPr="00DA6A76">
        <w:t>in 2009 and 37.4 percent in mid-2014. Compounding this, the trend is for</w:t>
      </w:r>
      <w:r w:rsidR="00C3167A">
        <w:t xml:space="preserve"> </w:t>
      </w:r>
      <w:r w:rsidR="00C3167A" w:rsidRPr="00DA6A76">
        <w:t>GPs to work</w:t>
      </w:r>
      <w:r w:rsidR="00C3167A">
        <w:t xml:space="preserve"> </w:t>
      </w:r>
      <w:r w:rsidR="00C3167A" w:rsidRPr="00DA6A76">
        <w:t>shorter hours. MCNZ</w:t>
      </w:r>
      <w:r w:rsidR="00C3167A">
        <w:t>’</w:t>
      </w:r>
      <w:r w:rsidR="00C3167A" w:rsidRPr="00DA6A76">
        <w:t>s</w:t>
      </w:r>
      <w:r w:rsidR="00C3167A">
        <w:t xml:space="preserve"> </w:t>
      </w:r>
      <w:r w:rsidR="00C3167A" w:rsidRPr="00DA6A76">
        <w:t>2012 workforce survey – the latest available – showed that GPs worked</w:t>
      </w:r>
      <w:r w:rsidR="00C3167A">
        <w:t xml:space="preserve"> </w:t>
      </w:r>
      <w:r w:rsidR="00C3167A" w:rsidRPr="00DA6A76">
        <w:t>on average 37.3 hours a week</w:t>
      </w:r>
      <w:r w:rsidR="00C3167A">
        <w:t xml:space="preserve"> </w:t>
      </w:r>
      <w:r w:rsidR="00C3167A" w:rsidRPr="00DA6A76">
        <w:t>(0.93</w:t>
      </w:r>
      <w:r w:rsidR="00C3167A">
        <w:t xml:space="preserve"> </w:t>
      </w:r>
      <w:r w:rsidR="00C3167A" w:rsidRPr="00DA6A76">
        <w:t>FTE based on a 40-hour week), down from 40+ a decade ago. The average across all specialities was 43.1</w:t>
      </w:r>
      <w:r w:rsidR="00C3167A">
        <w:t> </w:t>
      </w:r>
      <w:r w:rsidR="00C3167A" w:rsidRPr="00DA6A76">
        <w:t>hours</w:t>
      </w:r>
      <w:r w:rsidR="00C3167A">
        <w:t xml:space="preserve"> </w:t>
      </w:r>
      <w:r w:rsidR="00C3167A" w:rsidRPr="00DA6A76">
        <w:t>a week.</w:t>
      </w:r>
    </w:p>
    <w:p w:rsidR="00C3167A" w:rsidRDefault="00C3167A" w:rsidP="00C3167A"/>
    <w:p w:rsidR="00C3167A" w:rsidRDefault="00C3167A" w:rsidP="00C3167A">
      <w:r w:rsidRPr="00DA6A76">
        <w:t>Numbers of non-GP specialists continue to grow at a faster rate than GPs – see Figure 3. Between mid-2009 and mid-2014, MCNZ</w:t>
      </w:r>
      <w:r>
        <w:t xml:space="preserve"> </w:t>
      </w:r>
      <w:r w:rsidRPr="00DA6A76">
        <w:t>figures show the number of GPs with annual practising certificates went</w:t>
      </w:r>
      <w:r>
        <w:t xml:space="preserve"> </w:t>
      </w:r>
      <w:r w:rsidRPr="00DA6A76">
        <w:t>up by 24.5 percent (2509 to 3124).</w:t>
      </w:r>
      <w:r w:rsidRPr="00C3167A">
        <w:rPr>
          <w:rStyle w:val="FootnoteReference"/>
        </w:rPr>
        <w:footnoteReference w:id="7"/>
      </w:r>
      <w:r>
        <w:t xml:space="preserve"> </w:t>
      </w:r>
      <w:r w:rsidRPr="00DA6A76">
        <w:t>The number of non-GP specialists increased by 25.3 percent over</w:t>
      </w:r>
      <w:r>
        <w:t xml:space="preserve"> </w:t>
      </w:r>
      <w:r w:rsidRPr="00DA6A76">
        <w:t>the same time, up from 4176 to 5234.</w:t>
      </w:r>
    </w:p>
    <w:p w:rsidR="00C3167A" w:rsidRDefault="00C3167A" w:rsidP="00C3167A"/>
    <w:p w:rsidR="00DA6A76" w:rsidRPr="00DA6A76" w:rsidRDefault="00DA6A76" w:rsidP="00C3167A">
      <w:pPr>
        <w:pStyle w:val="Figure"/>
      </w:pPr>
      <w:bookmarkStart w:id="10" w:name="_Toc403834880"/>
      <w:r w:rsidRPr="00DA6A76">
        <w:t>Figure 2: Hard-to-staff communities for doctors and GP trainees on the 2015 Voluntary Bonding Scheme</w:t>
      </w:r>
      <w:bookmarkEnd w:id="10"/>
    </w:p>
    <w:p w:rsidR="00DA6A76" w:rsidRDefault="00C3167A" w:rsidP="00C3167A">
      <w:r w:rsidRPr="00C3167A">
        <w:rPr>
          <w:noProof/>
          <w:lang w:eastAsia="en-NZ"/>
        </w:rPr>
        <w:drawing>
          <wp:inline distT="0" distB="0" distL="0" distR="0" wp14:anchorId="59B400E4" wp14:editId="6993111A">
            <wp:extent cx="4237578" cy="5744095"/>
            <wp:effectExtent l="0" t="0" r="0" b="9525"/>
            <wp:docPr id="1377" name="Picture 1377" title="Figure 2: Hard-to-staff communities for doctors and GP trainees on the 2015 Voluntary Bonding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735" t="1567"/>
                    <a:stretch/>
                  </pic:blipFill>
                  <pic:spPr bwMode="auto">
                    <a:xfrm>
                      <a:off x="0" y="0"/>
                      <a:ext cx="4239438" cy="5746616"/>
                    </a:xfrm>
                    <a:prstGeom prst="rect">
                      <a:avLst/>
                    </a:prstGeom>
                    <a:ln>
                      <a:noFill/>
                    </a:ln>
                    <a:extLst>
                      <a:ext uri="{53640926-AAD7-44D8-BBD7-CCE9431645EC}">
                        <a14:shadowObscured xmlns:a14="http://schemas.microsoft.com/office/drawing/2010/main"/>
                      </a:ext>
                    </a:extLst>
                  </pic:spPr>
                </pic:pic>
              </a:graphicData>
            </a:graphic>
          </wp:inline>
        </w:drawing>
      </w:r>
    </w:p>
    <w:p w:rsidR="00C3167A" w:rsidRPr="00DA6A76" w:rsidRDefault="00C3167A" w:rsidP="00C3167A"/>
    <w:p w:rsidR="00C3167A" w:rsidRDefault="00DA6A76" w:rsidP="00C3167A">
      <w:pPr>
        <w:pStyle w:val="Figure"/>
      </w:pPr>
      <w:bookmarkStart w:id="11" w:name="_Toc403834881"/>
      <w:r w:rsidRPr="00DA6A76">
        <w:t>Figure 3: Trends in numbers of GPs and non-GP specialists</w:t>
      </w:r>
      <w:r w:rsidR="00C3167A" w:rsidRPr="00C3167A">
        <w:rPr>
          <w:rStyle w:val="FootnoteReference"/>
          <w:b w:val="0"/>
        </w:rPr>
        <w:footnoteReference w:id="8"/>
      </w:r>
      <w:bookmarkEnd w:id="11"/>
    </w:p>
    <w:p w:rsidR="00DA6A76" w:rsidRDefault="00F40140" w:rsidP="00C3167A">
      <w:r w:rsidRPr="00F40140">
        <w:rPr>
          <w:noProof/>
          <w:lang w:eastAsia="en-NZ"/>
        </w:rPr>
        <w:drawing>
          <wp:inline distT="0" distB="0" distL="0" distR="0" wp14:anchorId="21CFC413" wp14:editId="3AA1CE0E">
            <wp:extent cx="5866667" cy="2580953"/>
            <wp:effectExtent l="0" t="0" r="1270" b="0"/>
            <wp:docPr id="1378" name="Picture 1378" title="Figure 3: Trends in numbers of GPs and non-GP speciali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66667" cy="2580953"/>
                    </a:xfrm>
                    <a:prstGeom prst="rect">
                      <a:avLst/>
                    </a:prstGeom>
                  </pic:spPr>
                </pic:pic>
              </a:graphicData>
            </a:graphic>
          </wp:inline>
        </w:drawing>
      </w:r>
    </w:p>
    <w:p w:rsidR="00C3167A" w:rsidRPr="00DA6A76" w:rsidRDefault="00C3167A" w:rsidP="00F40140"/>
    <w:p w:rsidR="00DA6A76" w:rsidRPr="00DA6A76" w:rsidRDefault="00DA6A76" w:rsidP="00F40140">
      <w:r w:rsidRPr="00DA6A76">
        <w:t>To help trainee doctors make informed decisions when choosing a specialty, HWNZ is modelling the medical workforce pipeline from graduation through to specialist training. This</w:t>
      </w:r>
      <w:r w:rsidR="00C454CC">
        <w:t xml:space="preserve"> </w:t>
      </w:r>
      <w:r w:rsidRPr="00DA6A76">
        <w:t>is a key aim</w:t>
      </w:r>
      <w:r w:rsidR="00C454CC">
        <w:t xml:space="preserve"> </w:t>
      </w:r>
      <w:r w:rsidRPr="00DA6A76">
        <w:t>of the Medical Workforce Taskforce. See our</w:t>
      </w:r>
      <w:r w:rsidR="00C454CC">
        <w:t xml:space="preserve"> </w:t>
      </w:r>
      <w:r w:rsidRPr="00DA6A76">
        <w:t xml:space="preserve">companion report, </w:t>
      </w:r>
      <w:r w:rsidRPr="00DA6A76">
        <w:rPr>
          <w:i/>
        </w:rPr>
        <w:t>The Role of Health Workforce New Zealand</w:t>
      </w:r>
      <w:r w:rsidRPr="00DA6A76">
        <w:t>, for more information.</w:t>
      </w:r>
    </w:p>
    <w:p w:rsidR="00DA6A76" w:rsidRPr="00DA6A76" w:rsidRDefault="00DA6A76" w:rsidP="00F40140"/>
    <w:p w:rsidR="00DA6A76" w:rsidRPr="00DA6A76" w:rsidRDefault="00DA6A76" w:rsidP="00F40140">
      <w:pPr>
        <w:pStyle w:val="Table"/>
      </w:pPr>
      <w:bookmarkStart w:id="12" w:name="_Toc403834874"/>
      <w:r w:rsidRPr="00DA6A76">
        <w:t>Table 1: Medical workforce statistics</w:t>
      </w:r>
      <w:bookmarkEnd w:id="12"/>
    </w:p>
    <w:tbl>
      <w:tblPr>
        <w:tblW w:w="9356" w:type="dxa"/>
        <w:tblInd w:w="57" w:type="dxa"/>
        <w:tblLayout w:type="fixed"/>
        <w:tblCellMar>
          <w:left w:w="57" w:type="dxa"/>
          <w:right w:w="57" w:type="dxa"/>
        </w:tblCellMar>
        <w:tblLook w:val="01E0" w:firstRow="1" w:lastRow="1" w:firstColumn="1" w:lastColumn="1" w:noHBand="0" w:noVBand="0"/>
      </w:tblPr>
      <w:tblGrid>
        <w:gridCol w:w="1276"/>
        <w:gridCol w:w="992"/>
        <w:gridCol w:w="1824"/>
        <w:gridCol w:w="2004"/>
        <w:gridCol w:w="1644"/>
        <w:gridCol w:w="1616"/>
      </w:tblGrid>
      <w:tr w:rsidR="00DA6A76" w:rsidRPr="00F40140" w:rsidTr="00F40140">
        <w:trPr>
          <w:cantSplit/>
        </w:trPr>
        <w:tc>
          <w:tcPr>
            <w:tcW w:w="9356" w:type="dxa"/>
            <w:gridSpan w:val="6"/>
            <w:tcBorders>
              <w:top w:val="single" w:sz="4" w:space="0" w:color="auto"/>
              <w:left w:val="nil"/>
              <w:bottom w:val="single" w:sz="4" w:space="0" w:color="auto"/>
              <w:right w:val="nil"/>
            </w:tcBorders>
            <w:shd w:val="clear" w:color="auto" w:fill="F2F2F2" w:themeFill="background1" w:themeFillShade="F2"/>
          </w:tcPr>
          <w:p w:rsidR="00DA6A76" w:rsidRPr="00F40140" w:rsidRDefault="00DA6A76" w:rsidP="00F40140">
            <w:pPr>
              <w:pStyle w:val="TableText"/>
              <w:rPr>
                <w:b/>
              </w:rPr>
            </w:pPr>
            <w:r w:rsidRPr="00F40140">
              <w:rPr>
                <w:b/>
              </w:rPr>
              <w:t>Medical workforce*</w:t>
            </w:r>
          </w:p>
        </w:tc>
      </w:tr>
      <w:tr w:rsidR="00F40140" w:rsidRPr="00F40140" w:rsidTr="00F40140">
        <w:trPr>
          <w:cantSplit/>
        </w:trPr>
        <w:tc>
          <w:tcPr>
            <w:tcW w:w="1276" w:type="dxa"/>
            <w:tcBorders>
              <w:top w:val="single" w:sz="4" w:space="0" w:color="auto"/>
              <w:left w:val="nil"/>
              <w:bottom w:val="single" w:sz="4" w:space="0" w:color="auto"/>
            </w:tcBorders>
            <w:shd w:val="clear" w:color="auto" w:fill="auto"/>
          </w:tcPr>
          <w:p w:rsidR="00DA6A76" w:rsidRPr="00F40140" w:rsidRDefault="00DA6A76" w:rsidP="00F40140">
            <w:pPr>
              <w:pStyle w:val="TableText"/>
              <w:rPr>
                <w:b/>
                <w:sz w:val="13"/>
                <w:szCs w:val="13"/>
              </w:rPr>
            </w:pPr>
            <w:r w:rsidRPr="00F40140">
              <w:rPr>
                <w:b/>
              </w:rPr>
              <w:t>Size</w:t>
            </w:r>
            <w:r w:rsidRPr="00F40140">
              <w:rPr>
                <w:vertAlign w:val="superscript"/>
              </w:rPr>
              <w:t>+</w:t>
            </w:r>
          </w:p>
        </w:tc>
        <w:tc>
          <w:tcPr>
            <w:tcW w:w="992" w:type="dxa"/>
            <w:tcBorders>
              <w:top w:val="single" w:sz="4" w:space="0" w:color="auto"/>
              <w:bottom w:val="single" w:sz="4" w:space="0" w:color="auto"/>
            </w:tcBorders>
            <w:shd w:val="clear" w:color="auto" w:fill="auto"/>
          </w:tcPr>
          <w:p w:rsidR="00DA6A76" w:rsidRPr="00F40140" w:rsidRDefault="00DA6A76" w:rsidP="00F40140">
            <w:pPr>
              <w:pStyle w:val="TableText"/>
              <w:jc w:val="center"/>
              <w:rPr>
                <w:b/>
                <w:sz w:val="13"/>
                <w:szCs w:val="13"/>
              </w:rPr>
            </w:pPr>
            <w:r w:rsidRPr="00F40140">
              <w:rPr>
                <w:b/>
              </w:rPr>
              <w:t>Age 50+</w:t>
            </w:r>
            <w:r w:rsidRPr="00F40140">
              <w:rPr>
                <w:vertAlign w:val="superscript"/>
              </w:rPr>
              <w:t>+</w:t>
            </w:r>
          </w:p>
        </w:tc>
        <w:tc>
          <w:tcPr>
            <w:tcW w:w="1824" w:type="dxa"/>
            <w:tcBorders>
              <w:top w:val="single" w:sz="4" w:space="0" w:color="auto"/>
              <w:bottom w:val="single" w:sz="4" w:space="0" w:color="auto"/>
            </w:tcBorders>
            <w:shd w:val="clear" w:color="auto" w:fill="auto"/>
          </w:tcPr>
          <w:p w:rsidR="00DA6A76" w:rsidRPr="00F40140" w:rsidRDefault="00DA6A76" w:rsidP="00F40140">
            <w:pPr>
              <w:pStyle w:val="TableText"/>
              <w:jc w:val="center"/>
              <w:rPr>
                <w:b/>
              </w:rPr>
            </w:pPr>
            <w:r w:rsidRPr="00F40140">
              <w:rPr>
                <w:b/>
              </w:rPr>
              <w:t>Gender split</w:t>
            </w:r>
          </w:p>
        </w:tc>
        <w:tc>
          <w:tcPr>
            <w:tcW w:w="2004" w:type="dxa"/>
            <w:tcBorders>
              <w:top w:val="single" w:sz="4" w:space="0" w:color="auto"/>
              <w:bottom w:val="single" w:sz="4" w:space="0" w:color="auto"/>
            </w:tcBorders>
            <w:shd w:val="clear" w:color="auto" w:fill="auto"/>
          </w:tcPr>
          <w:p w:rsidR="00DA6A76" w:rsidRPr="00F40140" w:rsidRDefault="00DA6A76" w:rsidP="00F40140">
            <w:pPr>
              <w:pStyle w:val="TableText"/>
              <w:jc w:val="center"/>
              <w:rPr>
                <w:b/>
              </w:rPr>
            </w:pPr>
            <w:r w:rsidRPr="00F40140">
              <w:rPr>
                <w:b/>
              </w:rPr>
              <w:t>Ethnicity</w:t>
            </w:r>
          </w:p>
        </w:tc>
        <w:tc>
          <w:tcPr>
            <w:tcW w:w="1644" w:type="dxa"/>
            <w:tcBorders>
              <w:top w:val="single" w:sz="4" w:space="0" w:color="auto"/>
              <w:bottom w:val="single" w:sz="4" w:space="0" w:color="auto"/>
            </w:tcBorders>
            <w:shd w:val="clear" w:color="auto" w:fill="auto"/>
          </w:tcPr>
          <w:p w:rsidR="00DA6A76" w:rsidRPr="00F40140" w:rsidRDefault="00DA6A76" w:rsidP="00F40140">
            <w:pPr>
              <w:pStyle w:val="TableText"/>
              <w:jc w:val="center"/>
              <w:rPr>
                <w:b/>
                <w:sz w:val="10"/>
                <w:szCs w:val="10"/>
              </w:rPr>
            </w:pPr>
            <w:r w:rsidRPr="00F40140">
              <w:rPr>
                <w:b/>
              </w:rPr>
              <w:t>Workplace</w:t>
            </w:r>
            <w:r w:rsidRPr="00F40140">
              <w:t>^</w:t>
            </w:r>
          </w:p>
        </w:tc>
        <w:tc>
          <w:tcPr>
            <w:tcW w:w="1616" w:type="dxa"/>
            <w:tcBorders>
              <w:top w:val="single" w:sz="4" w:space="0" w:color="auto"/>
              <w:bottom w:val="single" w:sz="4" w:space="0" w:color="auto"/>
              <w:right w:val="nil"/>
            </w:tcBorders>
            <w:shd w:val="clear" w:color="auto" w:fill="auto"/>
          </w:tcPr>
          <w:p w:rsidR="00DA6A76" w:rsidRPr="00F40140" w:rsidRDefault="00DA6A76" w:rsidP="00F40140">
            <w:pPr>
              <w:pStyle w:val="TableText"/>
              <w:jc w:val="center"/>
              <w:rPr>
                <w:b/>
              </w:rPr>
            </w:pPr>
            <w:r w:rsidRPr="00F40140">
              <w:rPr>
                <w:b/>
              </w:rPr>
              <w:t>Qualified outside</w:t>
            </w:r>
            <w:r w:rsidR="00F40140">
              <w:rPr>
                <w:b/>
              </w:rPr>
              <w:t xml:space="preserve"> </w:t>
            </w:r>
            <w:r w:rsidRPr="00F40140">
              <w:rPr>
                <w:b/>
              </w:rPr>
              <w:t>New Zealand</w:t>
            </w:r>
          </w:p>
        </w:tc>
      </w:tr>
      <w:tr w:rsidR="00F40140" w:rsidRPr="00DA6A76" w:rsidTr="00F40140">
        <w:trPr>
          <w:cantSplit/>
        </w:trPr>
        <w:tc>
          <w:tcPr>
            <w:tcW w:w="1276" w:type="dxa"/>
            <w:tcBorders>
              <w:top w:val="single" w:sz="4" w:space="0" w:color="auto"/>
              <w:left w:val="nil"/>
              <w:bottom w:val="single" w:sz="4" w:space="0" w:color="auto"/>
            </w:tcBorders>
            <w:shd w:val="clear" w:color="auto" w:fill="auto"/>
          </w:tcPr>
          <w:p w:rsidR="00DA6A76" w:rsidRPr="00DA6A76" w:rsidRDefault="00DA6A76" w:rsidP="00F40140">
            <w:pPr>
              <w:pStyle w:val="TableText"/>
            </w:pPr>
            <w:r w:rsidRPr="00DA6A76">
              <w:t>14,395</w:t>
            </w:r>
            <w:r w:rsidR="00F40140">
              <w:br/>
            </w:r>
            <w:r w:rsidRPr="00DA6A76">
              <w:t>(inc</w:t>
            </w:r>
            <w:r w:rsidR="00F40140">
              <w:t>luding</w:t>
            </w:r>
            <w:r w:rsidRPr="00DA6A76">
              <w:t xml:space="preserve"> 3124</w:t>
            </w:r>
            <w:r w:rsidR="00F40140">
              <w:t> </w:t>
            </w:r>
            <w:r w:rsidRPr="00DA6A76">
              <w:t>GPs)</w:t>
            </w:r>
          </w:p>
        </w:tc>
        <w:tc>
          <w:tcPr>
            <w:tcW w:w="992" w:type="dxa"/>
            <w:tcBorders>
              <w:top w:val="single" w:sz="4" w:space="0" w:color="auto"/>
              <w:bottom w:val="single" w:sz="4" w:space="0" w:color="auto"/>
            </w:tcBorders>
            <w:shd w:val="clear" w:color="auto" w:fill="auto"/>
          </w:tcPr>
          <w:p w:rsidR="00DA6A76" w:rsidRPr="00DA6A76" w:rsidRDefault="00DA6A76" w:rsidP="00F40140">
            <w:pPr>
              <w:pStyle w:val="TableText"/>
              <w:jc w:val="center"/>
            </w:pPr>
            <w:r w:rsidRPr="00DA6A76">
              <w:t>38.9%</w:t>
            </w:r>
          </w:p>
        </w:tc>
        <w:tc>
          <w:tcPr>
            <w:tcW w:w="1824" w:type="dxa"/>
            <w:tcBorders>
              <w:top w:val="single" w:sz="4" w:space="0" w:color="auto"/>
              <w:bottom w:val="single" w:sz="4" w:space="0" w:color="auto"/>
            </w:tcBorders>
            <w:shd w:val="clear" w:color="auto" w:fill="auto"/>
          </w:tcPr>
          <w:p w:rsidR="00F40140" w:rsidRDefault="00DA6A76" w:rsidP="00F40140">
            <w:pPr>
              <w:pStyle w:val="TableText"/>
              <w:tabs>
                <w:tab w:val="right" w:pos="1503"/>
              </w:tabs>
              <w:ind w:left="142"/>
            </w:pPr>
            <w:r w:rsidRPr="00DA6A76">
              <w:t>Female</w:t>
            </w:r>
            <w:r w:rsidR="00F40140">
              <w:tab/>
            </w:r>
            <w:r w:rsidRPr="00DA6A76">
              <w:t>41.4%</w:t>
            </w:r>
          </w:p>
          <w:p w:rsidR="00DA6A76" w:rsidRPr="00DA6A76" w:rsidRDefault="00DA6A76" w:rsidP="00F40140">
            <w:pPr>
              <w:pStyle w:val="TableText"/>
              <w:tabs>
                <w:tab w:val="right" w:pos="1503"/>
              </w:tabs>
              <w:ind w:left="142"/>
            </w:pPr>
            <w:r w:rsidRPr="00DA6A76">
              <w:t>Male</w:t>
            </w:r>
            <w:r w:rsidRPr="00DA6A76">
              <w:tab/>
              <w:t>58.6%</w:t>
            </w:r>
          </w:p>
        </w:tc>
        <w:tc>
          <w:tcPr>
            <w:tcW w:w="2004" w:type="dxa"/>
            <w:tcBorders>
              <w:top w:val="single" w:sz="4" w:space="0" w:color="auto"/>
              <w:bottom w:val="single" w:sz="4" w:space="0" w:color="auto"/>
            </w:tcBorders>
            <w:shd w:val="clear" w:color="auto" w:fill="auto"/>
          </w:tcPr>
          <w:p w:rsidR="00F40140" w:rsidRDefault="00DA6A76" w:rsidP="00F40140">
            <w:pPr>
              <w:pStyle w:val="TableText"/>
              <w:tabs>
                <w:tab w:val="right" w:pos="1663"/>
              </w:tabs>
              <w:ind w:left="142"/>
            </w:pPr>
            <w:r w:rsidRPr="00DA6A76">
              <w:t>European</w:t>
            </w:r>
            <w:r w:rsidR="00F40140">
              <w:tab/>
            </w:r>
            <w:r w:rsidRPr="00DA6A76">
              <w:t>95.3%</w:t>
            </w:r>
          </w:p>
          <w:p w:rsidR="00F40140" w:rsidRDefault="00DA6A76" w:rsidP="00F40140">
            <w:pPr>
              <w:pStyle w:val="TableText"/>
              <w:tabs>
                <w:tab w:val="right" w:pos="1663"/>
              </w:tabs>
              <w:ind w:left="142"/>
            </w:pPr>
            <w:r w:rsidRPr="00DA6A76">
              <w:t>Māori</w:t>
            </w:r>
            <w:r w:rsidR="00F40140">
              <w:tab/>
            </w:r>
            <w:r w:rsidRPr="00DA6A76">
              <w:t>2.9%</w:t>
            </w:r>
          </w:p>
          <w:p w:rsidR="00DA6A76" w:rsidRPr="00DA6A76" w:rsidRDefault="00DA6A76" w:rsidP="00F40140">
            <w:pPr>
              <w:pStyle w:val="TableText"/>
              <w:tabs>
                <w:tab w:val="right" w:pos="1663"/>
              </w:tabs>
              <w:ind w:left="142"/>
            </w:pPr>
            <w:r w:rsidRPr="00DA6A76">
              <w:t>Pacific</w:t>
            </w:r>
            <w:r w:rsidR="00F40140">
              <w:tab/>
            </w:r>
            <w:r w:rsidRPr="00DA6A76">
              <w:t>1.8%</w:t>
            </w:r>
          </w:p>
        </w:tc>
        <w:tc>
          <w:tcPr>
            <w:tcW w:w="1644" w:type="dxa"/>
            <w:tcBorders>
              <w:top w:val="single" w:sz="4" w:space="0" w:color="auto"/>
              <w:bottom w:val="single" w:sz="4" w:space="0" w:color="auto"/>
            </w:tcBorders>
            <w:shd w:val="clear" w:color="auto" w:fill="auto"/>
          </w:tcPr>
          <w:p w:rsidR="00F40140" w:rsidRDefault="00DA6A76" w:rsidP="00F40140">
            <w:pPr>
              <w:pStyle w:val="TableText"/>
              <w:tabs>
                <w:tab w:val="right" w:pos="1503"/>
              </w:tabs>
              <w:ind w:left="142"/>
            </w:pPr>
            <w:r w:rsidRPr="00DA6A76">
              <w:t>Public</w:t>
            </w:r>
            <w:r w:rsidR="00F40140">
              <w:tab/>
            </w:r>
            <w:r w:rsidRPr="00DA6A76">
              <w:t>54.4%</w:t>
            </w:r>
          </w:p>
          <w:p w:rsidR="00F40140" w:rsidRDefault="00DA6A76" w:rsidP="00F40140">
            <w:pPr>
              <w:pStyle w:val="TableText"/>
              <w:tabs>
                <w:tab w:val="right" w:pos="1503"/>
              </w:tabs>
              <w:ind w:left="142"/>
            </w:pPr>
            <w:r w:rsidRPr="00DA6A76">
              <w:t>Private</w:t>
            </w:r>
            <w:r w:rsidR="00F40140">
              <w:tab/>
            </w:r>
            <w:r w:rsidRPr="00DA6A76">
              <w:t>29%</w:t>
            </w:r>
          </w:p>
          <w:p w:rsidR="00DA6A76" w:rsidRPr="00DA6A76" w:rsidRDefault="00DA6A76" w:rsidP="00F40140">
            <w:pPr>
              <w:pStyle w:val="TableText"/>
              <w:tabs>
                <w:tab w:val="right" w:pos="1503"/>
              </w:tabs>
              <w:ind w:left="142"/>
            </w:pPr>
            <w:r w:rsidRPr="00DA6A76">
              <w:t>Other</w:t>
            </w:r>
            <w:r w:rsidR="00F40140">
              <w:tab/>
            </w:r>
            <w:r w:rsidRPr="00DA6A76">
              <w:t>16.6%</w:t>
            </w:r>
          </w:p>
        </w:tc>
        <w:tc>
          <w:tcPr>
            <w:tcW w:w="1616" w:type="dxa"/>
            <w:tcBorders>
              <w:top w:val="single" w:sz="4" w:space="0" w:color="auto"/>
              <w:bottom w:val="single" w:sz="4" w:space="0" w:color="auto"/>
              <w:right w:val="nil"/>
            </w:tcBorders>
            <w:shd w:val="clear" w:color="auto" w:fill="auto"/>
          </w:tcPr>
          <w:p w:rsidR="00DA6A76" w:rsidRPr="00DA6A76" w:rsidRDefault="00DA6A76" w:rsidP="00F40140">
            <w:pPr>
              <w:pStyle w:val="TableText"/>
              <w:jc w:val="center"/>
              <w:rPr>
                <w:sz w:val="13"/>
                <w:szCs w:val="13"/>
              </w:rPr>
            </w:pPr>
            <w:r w:rsidRPr="00DA6A76">
              <w:t>43.4%</w:t>
            </w:r>
            <w:r w:rsidRPr="00F40140">
              <w:rPr>
                <w:vertAlign w:val="superscript"/>
              </w:rPr>
              <w:t>+</w:t>
            </w:r>
          </w:p>
        </w:tc>
      </w:tr>
    </w:tbl>
    <w:p w:rsidR="00DA6A76" w:rsidRPr="00DA6A76" w:rsidRDefault="00DA6A76" w:rsidP="00F40140">
      <w:pPr>
        <w:pStyle w:val="Note"/>
      </w:pPr>
      <w:r w:rsidRPr="00DA6A76">
        <w:t>*</w:t>
      </w:r>
      <w:r w:rsidR="00F40140">
        <w:tab/>
      </w:r>
      <w:r w:rsidRPr="00DA6A76">
        <w:t>Figures from MCNZ 2012 workforce survey, unless otherwise stated.</w:t>
      </w:r>
    </w:p>
    <w:p w:rsidR="00DA6A76" w:rsidRPr="00DA6A76" w:rsidRDefault="00DA6A76" w:rsidP="00F40140">
      <w:pPr>
        <w:pStyle w:val="Note"/>
        <w:spacing w:before="40"/>
      </w:pPr>
      <w:r w:rsidRPr="00DA6A76">
        <w:t>+</w:t>
      </w:r>
      <w:r w:rsidR="00F40140">
        <w:tab/>
      </w:r>
      <w:r w:rsidRPr="00DA6A76">
        <w:t>Annual practising certificates as of mid-2014.</w:t>
      </w:r>
    </w:p>
    <w:p w:rsidR="00DA6A76" w:rsidRPr="00DA6A76" w:rsidRDefault="00DA6A76" w:rsidP="00F40140">
      <w:pPr>
        <w:pStyle w:val="Note"/>
        <w:spacing w:before="40"/>
      </w:pPr>
      <w:r w:rsidRPr="00DA6A76">
        <w:t>^</w:t>
      </w:r>
      <w:r w:rsidR="00F40140">
        <w:tab/>
      </w:r>
      <w:r w:rsidRPr="00DA6A76">
        <w:t>Main place of employment.</w:t>
      </w:r>
    </w:p>
    <w:p w:rsidR="00DA6A76" w:rsidRPr="00DA6A76" w:rsidRDefault="00DA6A76" w:rsidP="00F40140"/>
    <w:p w:rsidR="00DA6A76" w:rsidRPr="00DA6A76" w:rsidRDefault="00DA6A76" w:rsidP="00F40140">
      <w:r w:rsidRPr="00DA6A76">
        <w:t>Appendix 2 contains a graph showing each specialty</w:t>
      </w:r>
      <w:r w:rsidR="00C454CC">
        <w:t>’</w:t>
      </w:r>
      <w:r w:rsidRPr="00DA6A76">
        <w:t>s ratio of postgraduate vocational trainees to specialists – and the average age of these senior doctors – to show which specialties are the most vulnerable to future shortages of senior staff.</w:t>
      </w:r>
    </w:p>
    <w:p w:rsidR="00DA6A76" w:rsidRPr="00DA6A76" w:rsidRDefault="00DA6A76" w:rsidP="00F40140"/>
    <w:p w:rsidR="00DA6A76" w:rsidRPr="00DA6A76" w:rsidRDefault="00DA6A76" w:rsidP="00F40140">
      <w:r w:rsidRPr="00DA6A76">
        <w:t>Analysis so far indicates that graduate doctors who</w:t>
      </w:r>
      <w:r w:rsidR="00C454CC">
        <w:t xml:space="preserve"> </w:t>
      </w:r>
      <w:r w:rsidRPr="00DA6A76">
        <w:t>choose to train in certain specialties, including palliative medicine, rehabilitation and dermatology, are likely to have better job prospects. This</w:t>
      </w:r>
      <w:r w:rsidR="00C454CC">
        <w:t xml:space="preserve"> </w:t>
      </w:r>
      <w:r w:rsidRPr="00DA6A76">
        <w:t>is because the ratios of trainees to specialists are relatively low, and the average age of these senior doctors is 50+ years.</w:t>
      </w:r>
    </w:p>
    <w:p w:rsidR="00DA6A76" w:rsidRPr="00DA6A76" w:rsidRDefault="00DA6A76" w:rsidP="00F40140"/>
    <w:p w:rsidR="00DA6A76" w:rsidRPr="00DA6A76" w:rsidRDefault="00DA6A76" w:rsidP="00F40140">
      <w:r w:rsidRPr="00DA6A76">
        <w:t>Job prospects are also good</w:t>
      </w:r>
      <w:r w:rsidR="00C454CC">
        <w:t xml:space="preserve"> </w:t>
      </w:r>
      <w:r w:rsidRPr="00DA6A76">
        <w:t>for doctors choosing to train as GPs. There is a high demand for GPs and a relatively low ratio of trainees to senior staff.</w:t>
      </w:r>
      <w:r w:rsidR="00C454CC">
        <w:t xml:space="preserve"> </w:t>
      </w:r>
      <w:r w:rsidRPr="00DA6A76">
        <w:t>General practice presents a doctor with the challenge of working with a wide</w:t>
      </w:r>
      <w:r w:rsidR="00C454CC">
        <w:t xml:space="preserve"> </w:t>
      </w:r>
      <w:r w:rsidRPr="00DA6A76">
        <w:t>variety of patients and being the first point of care. The hours tend to be more regular compared with other specialties, and there is greater scope for working part-time.</w:t>
      </w:r>
    </w:p>
    <w:p w:rsidR="00DA6A76" w:rsidRPr="00DA6A76" w:rsidRDefault="00DA6A76" w:rsidP="00F40140"/>
    <w:p w:rsidR="00DA6A76" w:rsidRPr="00DA6A76" w:rsidRDefault="00DA6A76" w:rsidP="00F40140">
      <w:r w:rsidRPr="00DA6A76">
        <w:t>New Zealand continues to employ overseas-trained doctors to address staff shortages. Such doctors accounted for 43.4 percent of the medical workforce as of mid-2014, up from 42.8</w:t>
      </w:r>
      <w:r w:rsidR="00F40140">
        <w:t> </w:t>
      </w:r>
      <w:r w:rsidRPr="00DA6A76">
        <w:t>percent in 2010 and</w:t>
      </w:r>
      <w:r w:rsidR="00F40140">
        <w:t xml:space="preserve"> </w:t>
      </w:r>
      <w:r w:rsidRPr="00DA6A76">
        <w:t>41.2 percent in 2007.</w:t>
      </w:r>
    </w:p>
    <w:p w:rsidR="00DA6A76" w:rsidRPr="00DA6A76" w:rsidRDefault="00DA6A76" w:rsidP="00F40140"/>
    <w:p w:rsidR="00DA6A76" w:rsidRPr="00DA6A76" w:rsidRDefault="00DA6A76" w:rsidP="00F40140">
      <w:r w:rsidRPr="00DA6A76">
        <w:t>The increase in this</w:t>
      </w:r>
      <w:r w:rsidR="00C454CC">
        <w:t xml:space="preserve"> </w:t>
      </w:r>
      <w:r w:rsidRPr="00DA6A76">
        <w:t>figure</w:t>
      </w:r>
      <w:r w:rsidR="00C454CC">
        <w:t xml:space="preserve"> </w:t>
      </w:r>
      <w:r w:rsidRPr="00DA6A76">
        <w:t>is in part due</w:t>
      </w:r>
      <w:r w:rsidR="00C454CC">
        <w:t xml:space="preserve"> </w:t>
      </w:r>
      <w:r w:rsidRPr="00DA6A76">
        <w:t>to more overseas-trained doctors staying longer in New Zealand, particularly those from</w:t>
      </w:r>
      <w:r w:rsidR="00C454CC">
        <w:t xml:space="preserve"> </w:t>
      </w:r>
      <w:r w:rsidRPr="00DA6A76">
        <w:t>South Africa and Asian countries such as India, according to MCNZ analysis.</w:t>
      </w:r>
    </w:p>
    <w:p w:rsidR="00DA6A76" w:rsidRPr="00DA6A76" w:rsidRDefault="00DA6A76" w:rsidP="00F40140"/>
    <w:p w:rsidR="00DA6A76" w:rsidRPr="00DA6A76" w:rsidRDefault="00DA6A76" w:rsidP="00F40140">
      <w:r w:rsidRPr="00DA6A76">
        <w:t>Doctors from North America and the United Kingdom are more likely to stay</w:t>
      </w:r>
      <w:r w:rsidR="00C454CC">
        <w:t xml:space="preserve"> </w:t>
      </w:r>
      <w:r w:rsidRPr="00DA6A76">
        <w:t>for a year</w:t>
      </w:r>
      <w:r w:rsidR="00C454CC">
        <w:t xml:space="preserve"> </w:t>
      </w:r>
      <w:r w:rsidRPr="00DA6A76">
        <w:t>or two, often alternating stints as a specialist locum with time off to travel. Just 35 percent of doctors from the United States and Canada are still in New Zealand one</w:t>
      </w:r>
      <w:r w:rsidR="00C454CC">
        <w:t xml:space="preserve"> </w:t>
      </w:r>
      <w:r w:rsidRPr="00DA6A76">
        <w:t>year</w:t>
      </w:r>
      <w:r w:rsidR="00C454CC">
        <w:t xml:space="preserve"> </w:t>
      </w:r>
      <w:r w:rsidRPr="00DA6A76">
        <w:t>after registration, compared with about</w:t>
      </w:r>
      <w:r w:rsidR="00F40140">
        <w:t xml:space="preserve"> </w:t>
      </w:r>
      <w:r w:rsidRPr="00DA6A76">
        <w:t>70 percent of those from Asia.</w:t>
      </w:r>
    </w:p>
    <w:p w:rsidR="00DA6A76" w:rsidRPr="00DA6A76" w:rsidRDefault="00DA6A76" w:rsidP="00F40140"/>
    <w:p w:rsidR="00DA6A76" w:rsidRPr="00DA6A76" w:rsidRDefault="00DA6A76" w:rsidP="00F40140">
      <w:r w:rsidRPr="00DA6A76">
        <w:t>After</w:t>
      </w:r>
      <w:r w:rsidR="00C454CC">
        <w:t xml:space="preserve"> </w:t>
      </w:r>
      <w:r w:rsidRPr="00DA6A76">
        <w:t>two years, retention rates drop to 20 percent for North American doctors and 63 percent for those from Asian countries, and 10 percent and 45 percent respectively after eight years. For United Kingdom doctors, retention rates are 53 percent after one</w:t>
      </w:r>
      <w:r w:rsidR="00C454CC">
        <w:t xml:space="preserve"> </w:t>
      </w:r>
      <w:r w:rsidRPr="00DA6A76">
        <w:t>year, 30 percent after two years and</w:t>
      </w:r>
      <w:r w:rsidR="00F40140">
        <w:t xml:space="preserve"> </w:t>
      </w:r>
      <w:r w:rsidRPr="00DA6A76">
        <w:t>20 percent after eight years.</w:t>
      </w:r>
    </w:p>
    <w:p w:rsidR="00DA6A76" w:rsidRPr="00DA6A76" w:rsidRDefault="00DA6A76" w:rsidP="00F40140"/>
    <w:p w:rsidR="00DA6A76" w:rsidRPr="00F40140" w:rsidRDefault="00DA6A76" w:rsidP="00F40140">
      <w:r w:rsidRPr="00DA6A76">
        <w:t>Retention rates for all overseas-trained doctors level out</w:t>
      </w:r>
      <w:r w:rsidR="00C454CC">
        <w:t xml:space="preserve"> </w:t>
      </w:r>
      <w:r w:rsidRPr="00DA6A76">
        <w:t>at about 30 percent four</w:t>
      </w:r>
      <w:r w:rsidR="00C454CC">
        <w:t xml:space="preserve"> </w:t>
      </w:r>
      <w:r w:rsidRPr="00DA6A76">
        <w:t>years after registration, with only gradual decreases thereafter – this was a consistent annual trend between</w:t>
      </w:r>
      <w:r w:rsidR="00F40140">
        <w:t xml:space="preserve"> </w:t>
      </w:r>
      <w:r w:rsidRPr="00DA6A76">
        <w:t>2000 and 2012, the period examined by the MCNZ in its report on its 2012 workforce survey.</w:t>
      </w:r>
      <w:r w:rsidR="00F40140">
        <w:rPr>
          <w:rStyle w:val="FootnoteReference"/>
        </w:rPr>
        <w:footnoteReference w:id="9"/>
      </w:r>
    </w:p>
    <w:p w:rsidR="00DA6A76" w:rsidRPr="00DA6A76" w:rsidRDefault="00DA6A76" w:rsidP="00F40140"/>
    <w:p w:rsidR="00DA6A76" w:rsidRPr="00DA6A76" w:rsidRDefault="00DA6A76" w:rsidP="00F40140">
      <w:r w:rsidRPr="00DA6A76">
        <w:t>The New Zealand-trained medical workforce is being boosted by an additional 200</w:t>
      </w:r>
      <w:r w:rsidR="00C454CC">
        <w:t xml:space="preserve"> </w:t>
      </w:r>
      <w:r w:rsidRPr="00DA6A76">
        <w:t>government-funded medical student places, phased in between 2010 and 2016.</w:t>
      </w:r>
    </w:p>
    <w:p w:rsidR="00DA6A76" w:rsidRPr="00DA6A76" w:rsidRDefault="00DA6A76" w:rsidP="00F40140"/>
    <w:p w:rsidR="00DA6A76" w:rsidRPr="00DA6A76" w:rsidRDefault="00DA6A76" w:rsidP="00F40140">
      <w:r w:rsidRPr="00DA6A76">
        <w:t>This</w:t>
      </w:r>
      <w:r w:rsidR="00C454CC">
        <w:t xml:space="preserve"> </w:t>
      </w:r>
      <w:r w:rsidRPr="00DA6A76">
        <w:t>in turn means that more postgraduate year</w:t>
      </w:r>
      <w:r w:rsidR="00C454CC">
        <w:t xml:space="preserve"> </w:t>
      </w:r>
      <w:r w:rsidRPr="00DA6A76">
        <w:t>one</w:t>
      </w:r>
      <w:r w:rsidR="00C454CC">
        <w:t xml:space="preserve"> </w:t>
      </w:r>
      <w:r w:rsidRPr="00DA6A76">
        <w:t>(PGY1) employment positions are required in DHBs. In 2013, for the first time, there were</w:t>
      </w:r>
      <w:r w:rsidR="00C454CC">
        <w:t xml:space="preserve"> </w:t>
      </w:r>
      <w:r w:rsidRPr="00DA6A76">
        <w:t>more applicants than vacancies for such positions as the first graduates of a separate expansion in student numbers joined the workforce. HWNZ and DHBs ensured that all New Zealand Government-funded students who</w:t>
      </w:r>
      <w:r w:rsidR="00C454CC">
        <w:t xml:space="preserve"> </w:t>
      </w:r>
      <w:r w:rsidRPr="00DA6A76">
        <w:t>graduated in 2013 received offers</w:t>
      </w:r>
      <w:r w:rsidR="00C454CC">
        <w:t xml:space="preserve"> </w:t>
      </w:r>
      <w:r w:rsidRPr="00DA6A76">
        <w:t>of employment. The Medical Workforce Taskforce</w:t>
      </w:r>
      <w:r w:rsidR="00C454CC">
        <w:t>’</w:t>
      </w:r>
      <w:r w:rsidRPr="00DA6A76">
        <w:t>s priority is to ensure this will continue to be the case.</w:t>
      </w:r>
    </w:p>
    <w:p w:rsidR="00DA6A76" w:rsidRPr="00DA6A76" w:rsidRDefault="00DA6A76" w:rsidP="00F40140"/>
    <w:p w:rsidR="00DA6A76" w:rsidRPr="00DA6A76" w:rsidRDefault="00DA6A76" w:rsidP="00F40140">
      <w:r w:rsidRPr="00DA6A76">
        <w:t>While</w:t>
      </w:r>
      <w:r w:rsidR="00C454CC">
        <w:t xml:space="preserve"> </w:t>
      </w:r>
      <w:r w:rsidRPr="00DA6A76">
        <w:t>the Taskforce initially focused on the immediate postgraduate period, a whole-of-career perspective has</w:t>
      </w:r>
      <w:r w:rsidR="00C454CC">
        <w:t xml:space="preserve"> </w:t>
      </w:r>
      <w:r w:rsidRPr="00DA6A76">
        <w:t>now been adopted. The most important issue is the impact of a prolonged period of medical labour market shortages on the workloads, wellbeing and productivity of DHB-employed senior doctors.</w:t>
      </w:r>
    </w:p>
    <w:p w:rsidR="00DA6A76" w:rsidRPr="00DA6A76" w:rsidRDefault="00DA6A76" w:rsidP="00F40140"/>
    <w:p w:rsidR="00DA6A76" w:rsidRPr="00DA6A76" w:rsidRDefault="00DA6A76" w:rsidP="00F40140">
      <w:r w:rsidRPr="00DA6A76">
        <w:t xml:space="preserve">Other areas under consideration, some of which are directly related, include the distribution, long- term retention and retirement intentions of doctors trained in New Zealand and overseas. Leadership opportunities in systems improvement and innovation, consistent with the </w:t>
      </w:r>
      <w:r w:rsidRPr="00DA6A76">
        <w:rPr>
          <w:i/>
        </w:rPr>
        <w:t xml:space="preserve">In Good Hands </w:t>
      </w:r>
      <w:r w:rsidRPr="00DA6A76">
        <w:t>report on clinical leadership</w:t>
      </w:r>
      <w:r w:rsidR="00DD3A1E">
        <w:t>,</w:t>
      </w:r>
      <w:r w:rsidR="00DD3A1E">
        <w:rPr>
          <w:rStyle w:val="FootnoteReference"/>
        </w:rPr>
        <w:footnoteReference w:id="10"/>
      </w:r>
      <w:r w:rsidRPr="00DA6A76">
        <w:t xml:space="preserve"> are another focus for the Taskforce.</w:t>
      </w:r>
    </w:p>
    <w:p w:rsidR="00DA6A76" w:rsidRPr="00DA6A76" w:rsidRDefault="00DA6A76" w:rsidP="00F40140"/>
    <w:p w:rsidR="00DA6A76" w:rsidRPr="00DA6A76" w:rsidRDefault="00DA6A76" w:rsidP="00F40140">
      <w:pPr>
        <w:pStyle w:val="Heading2"/>
      </w:pPr>
      <w:bookmarkStart w:id="13" w:name="_Toc403834857"/>
      <w:r w:rsidRPr="00DA6A76">
        <w:t>Dentists</w:t>
      </w:r>
      <w:bookmarkEnd w:id="13"/>
    </w:p>
    <w:p w:rsidR="00DA6A76" w:rsidRPr="00DA6A76" w:rsidRDefault="00DA6A76" w:rsidP="00DD3A1E">
      <w:pPr>
        <w:keepNext/>
      </w:pPr>
      <w:r w:rsidRPr="00DA6A76">
        <w:t>In 2009, there were</w:t>
      </w:r>
      <w:r w:rsidR="00C454CC">
        <w:t xml:space="preserve"> </w:t>
      </w:r>
      <w:r w:rsidRPr="00DA6A76">
        <w:t>1976 dentists with annual practising certificates registered with the Dental</w:t>
      </w:r>
      <w:r w:rsidR="00F40140">
        <w:t xml:space="preserve"> </w:t>
      </w:r>
      <w:r w:rsidRPr="00DA6A76">
        <w:t>Council of New Zealand (DCNZ). This</w:t>
      </w:r>
      <w:r w:rsidR="00C454CC">
        <w:t xml:space="preserve"> </w:t>
      </w:r>
      <w:r w:rsidRPr="00DA6A76">
        <w:t>grew by 112 to 2088 by 31 March 2013; these are the latest figures available. In terms of head count, the ratio of practising dentists to the total population rose</w:t>
      </w:r>
      <w:r w:rsidR="00C454CC">
        <w:t xml:space="preserve"> </w:t>
      </w:r>
      <w:r w:rsidRPr="00DA6A76">
        <w:t>from 45.8 per 100,000 to 46.7 during this period.</w:t>
      </w:r>
    </w:p>
    <w:p w:rsidR="00DA6A76" w:rsidRPr="00DA6A76" w:rsidRDefault="00DA6A76" w:rsidP="00F40140"/>
    <w:p w:rsidR="00DA6A76" w:rsidRPr="00DD3A1E" w:rsidRDefault="00DA6A76" w:rsidP="00F40140">
      <w:r w:rsidRPr="00DA6A76">
        <w:t>In the past few years, the trend has</w:t>
      </w:r>
      <w:r w:rsidR="00C454CC">
        <w:t xml:space="preserve"> </w:t>
      </w:r>
      <w:r w:rsidRPr="00DA6A76">
        <w:t>been for roughly half</w:t>
      </w:r>
      <w:r w:rsidR="00C454CC">
        <w:t xml:space="preserve"> </w:t>
      </w:r>
      <w:r w:rsidRPr="00DA6A76">
        <w:t>of newly registered dentists to be New Zealand-trained. In 2012–13, for example, 48.2 percent of newly registered dentists gained their primary qualification overseas.</w:t>
      </w:r>
      <w:r w:rsidR="00DD3A1E">
        <w:rPr>
          <w:rStyle w:val="FootnoteReference"/>
        </w:rPr>
        <w:footnoteReference w:id="11"/>
      </w:r>
    </w:p>
    <w:p w:rsidR="00DA6A76" w:rsidRPr="00DA6A76" w:rsidRDefault="00DA6A76" w:rsidP="00DD3A1E"/>
    <w:p w:rsidR="00DA6A76" w:rsidRPr="00DD3A1E" w:rsidRDefault="00DA6A76" w:rsidP="00DD3A1E">
      <w:r w:rsidRPr="00DA6A76">
        <w:t>Other figures cited in this section are from the DCNZ</w:t>
      </w:r>
      <w:r w:rsidR="00C454CC">
        <w:t>’</w:t>
      </w:r>
      <w:r w:rsidRPr="00DA6A76">
        <w:t>s 2009 workforce survey, the most recent available. In that survey, 2.8 percent of dentists identified as Māori and 1 percent as Pacific peoples.</w:t>
      </w:r>
      <w:r w:rsidR="00DD3A1E">
        <w:rPr>
          <w:rStyle w:val="FootnoteReference"/>
        </w:rPr>
        <w:footnoteReference w:id="12"/>
      </w:r>
    </w:p>
    <w:p w:rsidR="00DA6A76" w:rsidRPr="00DA6A76" w:rsidRDefault="00DA6A76" w:rsidP="00DD3A1E"/>
    <w:p w:rsidR="00DA6A76" w:rsidRPr="00DD3A1E" w:rsidRDefault="00DA6A76" w:rsidP="00DD3A1E">
      <w:r w:rsidRPr="00DA6A76">
        <w:t>In common with other countries – and other health professions – dentist shortages are most apparent in rural areas. This</w:t>
      </w:r>
      <w:r w:rsidR="00C454CC">
        <w:t xml:space="preserve"> </w:t>
      </w:r>
      <w:r w:rsidRPr="00DA6A76">
        <w:t>is illustrated by the ratio of FTE dentists to patients in each of the 20</w:t>
      </w:r>
      <w:r w:rsidR="00DD3A1E">
        <w:t> </w:t>
      </w:r>
      <w:r w:rsidRPr="00DA6A76">
        <w:t>DHB regions.</w:t>
      </w:r>
      <w:r w:rsidR="00DD3A1E">
        <w:rPr>
          <w:rStyle w:val="FootnoteReference"/>
        </w:rPr>
        <w:footnoteReference w:id="13"/>
      </w:r>
    </w:p>
    <w:p w:rsidR="00DA6A76" w:rsidRPr="00DA6A76" w:rsidRDefault="00DA6A76" w:rsidP="00DD3A1E"/>
    <w:p w:rsidR="00DA6A76" w:rsidRPr="00DA6A76" w:rsidRDefault="00DA6A76" w:rsidP="00DD3A1E">
      <w:r w:rsidRPr="00DA6A76">
        <w:t>Just eight had more than 44 FTE dentists per 100,000 population in 2009. Five had fewer than 30</w:t>
      </w:r>
      <w:r w:rsidR="00DD3A1E">
        <w:t xml:space="preserve"> </w:t>
      </w:r>
      <w:r w:rsidRPr="00DA6A76">
        <w:t>– Lakes, Tairawhiti, Whanganui, West Coast and South Canterbury. International comparisons of developed countries show ratios ranging from 44 to 94 FTE dentists per 100,000 population.</w:t>
      </w:r>
    </w:p>
    <w:p w:rsidR="00DA6A76" w:rsidRPr="00DA6A76" w:rsidRDefault="00DA6A76" w:rsidP="00DD3A1E"/>
    <w:p w:rsidR="00DA6A76" w:rsidRPr="00DA6A76" w:rsidRDefault="00DA6A76" w:rsidP="00DD3A1E">
      <w:r w:rsidRPr="00DA6A76">
        <w:t>For information on other professions that provide dental care, particularly to children and young people, see the Allied</w:t>
      </w:r>
      <w:r w:rsidR="00C454CC">
        <w:t xml:space="preserve"> </w:t>
      </w:r>
      <w:r w:rsidRPr="00DA6A76">
        <w:t>health workers section of this report.</w:t>
      </w:r>
    </w:p>
    <w:p w:rsidR="00DA6A76" w:rsidRPr="00DA6A76" w:rsidRDefault="00DA6A76" w:rsidP="00DD3A1E"/>
    <w:p w:rsidR="00DA6A76" w:rsidRPr="00DA6A76" w:rsidRDefault="00DA6A76" w:rsidP="00DD3A1E">
      <w:pPr>
        <w:pStyle w:val="Heading2"/>
      </w:pPr>
      <w:bookmarkStart w:id="14" w:name="_Toc403834858"/>
      <w:r w:rsidRPr="00DA6A76">
        <w:t>Nurses</w:t>
      </w:r>
      <w:bookmarkEnd w:id="14"/>
    </w:p>
    <w:p w:rsidR="00DA6A76" w:rsidRPr="00DA6A76" w:rsidRDefault="00DA6A76" w:rsidP="00DD3A1E">
      <w:r w:rsidRPr="00DA6A76">
        <w:t>The nursing workforce has</w:t>
      </w:r>
      <w:r w:rsidR="00C454CC">
        <w:t xml:space="preserve"> </w:t>
      </w:r>
      <w:r w:rsidRPr="00DA6A76">
        <w:t>grown steadily over</w:t>
      </w:r>
      <w:r w:rsidR="00C454CC">
        <w:t xml:space="preserve"> </w:t>
      </w:r>
      <w:r w:rsidRPr="00DA6A76">
        <w:t>the past five years. There were</w:t>
      </w:r>
      <w:r w:rsidR="00C454CC">
        <w:t xml:space="preserve"> </w:t>
      </w:r>
      <w:r w:rsidRPr="00DA6A76">
        <w:t>51,387 nurses with annual practising certificates registered with the NCNZ as of 31 March 2014, including:</w:t>
      </w:r>
    </w:p>
    <w:p w:rsidR="00DA6A76" w:rsidRPr="00DA6A76" w:rsidRDefault="00DA6A76" w:rsidP="00DD3A1E">
      <w:pPr>
        <w:pStyle w:val="Bullet"/>
      </w:pPr>
      <w:r w:rsidRPr="00DA6A76">
        <w:t>129 nurse practitioners</w:t>
      </w:r>
    </w:p>
    <w:p w:rsidR="00DA6A76" w:rsidRPr="00DA6A76" w:rsidRDefault="00DA6A76" w:rsidP="00DD3A1E">
      <w:pPr>
        <w:pStyle w:val="Bullet"/>
      </w:pPr>
      <w:r w:rsidRPr="00DA6A76">
        <w:t>48,390 registered nurses</w:t>
      </w:r>
    </w:p>
    <w:p w:rsidR="00DA6A76" w:rsidRPr="00DD3A1E" w:rsidRDefault="00DA6A76" w:rsidP="00DD3A1E">
      <w:pPr>
        <w:pStyle w:val="Bullet"/>
      </w:pPr>
      <w:r w:rsidRPr="00DA6A76">
        <w:t>2868 enrolled nurses.</w:t>
      </w:r>
      <w:r w:rsidR="00DD3A1E">
        <w:rPr>
          <w:rStyle w:val="FootnoteReference"/>
        </w:rPr>
        <w:footnoteReference w:id="14"/>
      </w:r>
    </w:p>
    <w:p w:rsidR="00C3167A" w:rsidRDefault="00C3167A" w:rsidP="00DD3A1E"/>
    <w:p w:rsidR="00DA6A76" w:rsidRPr="00DA6A76" w:rsidRDefault="00DA6A76" w:rsidP="00DD3A1E">
      <w:pPr>
        <w:pStyle w:val="Figure"/>
      </w:pPr>
      <w:bookmarkStart w:id="15" w:name="_Toc403834882"/>
      <w:r w:rsidRPr="00DA6A76">
        <w:t>Figure 4: Hard-to-staff communities for nurses on the 2015</w:t>
      </w:r>
      <w:r w:rsidR="00DD3A1E">
        <w:t xml:space="preserve"> </w:t>
      </w:r>
      <w:r w:rsidRPr="00DA6A76">
        <w:t>Voluntary Bonding Scheme</w:t>
      </w:r>
      <w:bookmarkEnd w:id="15"/>
    </w:p>
    <w:p w:rsidR="00DA6A76" w:rsidRPr="00DA6A76" w:rsidRDefault="00B00A01" w:rsidP="00B00A01">
      <w:r w:rsidRPr="00B00A01">
        <w:rPr>
          <w:noProof/>
          <w:lang w:eastAsia="en-NZ"/>
        </w:rPr>
        <w:drawing>
          <wp:inline distT="0" distB="0" distL="0" distR="0" wp14:anchorId="6687F597" wp14:editId="08E58357">
            <wp:extent cx="4188637" cy="5702531"/>
            <wp:effectExtent l="0" t="0" r="2540" b="0"/>
            <wp:docPr id="1379" name="Picture 1379" title="Figure 4: Hard-to-staff communities for nurses on the 2015 Voluntary Bonding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2279"/>
                    <a:stretch/>
                  </pic:blipFill>
                  <pic:spPr bwMode="auto">
                    <a:xfrm>
                      <a:off x="0" y="0"/>
                      <a:ext cx="4190476" cy="5705035"/>
                    </a:xfrm>
                    <a:prstGeom prst="rect">
                      <a:avLst/>
                    </a:prstGeom>
                    <a:ln>
                      <a:noFill/>
                    </a:ln>
                    <a:extLst>
                      <a:ext uri="{53640926-AAD7-44D8-BBD7-CCE9431645EC}">
                        <a14:shadowObscured xmlns:a14="http://schemas.microsoft.com/office/drawing/2010/main"/>
                      </a:ext>
                    </a:extLst>
                  </pic:spPr>
                </pic:pic>
              </a:graphicData>
            </a:graphic>
          </wp:inline>
        </w:drawing>
      </w:r>
    </w:p>
    <w:p w:rsidR="00B00A01" w:rsidRDefault="00B00A01" w:rsidP="00B00A01"/>
    <w:p w:rsidR="00DA6A76" w:rsidRPr="00DA6A76" w:rsidRDefault="00DA6A76" w:rsidP="00B00A01">
      <w:r w:rsidRPr="00DA6A76">
        <w:t>This</w:t>
      </w:r>
      <w:r w:rsidR="00C454CC">
        <w:t xml:space="preserve"> </w:t>
      </w:r>
      <w:r w:rsidRPr="00DA6A76">
        <w:t>represents an increase of 5422 since 2009, when there were</w:t>
      </w:r>
      <w:r w:rsidR="00C454CC">
        <w:t xml:space="preserve"> </w:t>
      </w:r>
      <w:r w:rsidRPr="00DA6A76">
        <w:t>45,965 practising nurses, and 2860 since 2011 (48,527).</w:t>
      </w:r>
    </w:p>
    <w:p w:rsidR="00DA6A76" w:rsidRPr="00DA6A76" w:rsidRDefault="00DA6A76" w:rsidP="00B00A01"/>
    <w:p w:rsidR="00DA6A76" w:rsidRPr="00DA6A76" w:rsidRDefault="00DA6A76" w:rsidP="00B00A01">
      <w:r w:rsidRPr="00DA6A76">
        <w:t>Figures cited in this section are from</w:t>
      </w:r>
      <w:r w:rsidR="00DD3A1E">
        <w:t xml:space="preserve"> </w:t>
      </w:r>
      <w:r w:rsidRPr="00DA6A76">
        <w:t>the New Zealand Nursing Register as of 31 March 2014, unless otherwise stated.</w:t>
      </w:r>
    </w:p>
    <w:p w:rsidR="00C3167A" w:rsidRDefault="00C3167A" w:rsidP="00B00A01"/>
    <w:p w:rsidR="00DA6A76" w:rsidRPr="00DA6A76" w:rsidRDefault="00DA6A76" w:rsidP="00B00A01">
      <w:r w:rsidRPr="00DA6A76">
        <w:t>The number of practising nurses per 1000 population has</w:t>
      </w:r>
      <w:r w:rsidR="00C454CC">
        <w:t xml:space="preserve"> </w:t>
      </w:r>
      <w:r w:rsidRPr="00DA6A76">
        <w:t>increased from 10.6 in 2009 to 11.4 in 2014. The Auckland region has</w:t>
      </w:r>
      <w:r w:rsidR="00C454CC">
        <w:t xml:space="preserve"> </w:t>
      </w:r>
      <w:r w:rsidRPr="00DA6A76">
        <w:t>the highest</w:t>
      </w:r>
      <w:r w:rsidR="00DD3A1E">
        <w:t xml:space="preserve"> </w:t>
      </w:r>
      <w:r w:rsidRPr="00DA6A76">
        <w:t>number per head of population, while Lakes, Bay of Plenty and Whanganui DHB regions have the lowest. See Appendix 3 for numbers of nurses per</w:t>
      </w:r>
      <w:r w:rsidR="00DD3A1E">
        <w:t xml:space="preserve"> </w:t>
      </w:r>
      <w:r w:rsidRPr="00DA6A76">
        <w:t>100,000 population by DHB and in</w:t>
      </w:r>
      <w:r w:rsidR="00DD3A1E">
        <w:t xml:space="preserve"> </w:t>
      </w:r>
      <w:r w:rsidRPr="00DA6A76">
        <w:t>New Zealand as a whole.</w:t>
      </w:r>
    </w:p>
    <w:p w:rsidR="00DA6A76" w:rsidRPr="00DA6A76" w:rsidRDefault="00DA6A76" w:rsidP="00B00A01"/>
    <w:p w:rsidR="00DA6A76" w:rsidRPr="00DA6A76" w:rsidRDefault="00DA6A76" w:rsidP="00B00A01">
      <w:r w:rsidRPr="00DA6A76">
        <w:t>Nurses currently work</w:t>
      </w:r>
      <w:r w:rsidR="00C454CC">
        <w:t xml:space="preserve"> </w:t>
      </w:r>
      <w:r w:rsidRPr="00DA6A76">
        <w:t>an average</w:t>
      </w:r>
      <w:r w:rsidR="00DD3A1E">
        <w:t xml:space="preserve"> </w:t>
      </w:r>
      <w:r w:rsidRPr="00DA6A76">
        <w:t>of 29.7 hours a week</w:t>
      </w:r>
      <w:r w:rsidR="00C454CC">
        <w:t xml:space="preserve"> </w:t>
      </w:r>
      <w:r w:rsidRPr="00DA6A76">
        <w:t>(just under 0.75</w:t>
      </w:r>
      <w:r w:rsidR="00DD3A1E">
        <w:t xml:space="preserve"> </w:t>
      </w:r>
      <w:r w:rsidRPr="00DA6A76">
        <w:t>FTE based on a 40-hour week), down slightly on 2009</w:t>
      </w:r>
      <w:r w:rsidR="00C454CC">
        <w:t>’</w:t>
      </w:r>
      <w:r w:rsidRPr="00DA6A76">
        <w:t>s average of 30.6 hours.</w:t>
      </w:r>
    </w:p>
    <w:p w:rsidR="00C3167A" w:rsidRDefault="00C3167A" w:rsidP="00B00A01"/>
    <w:p w:rsidR="00DA6A76" w:rsidRPr="00DA6A76" w:rsidRDefault="00DA6A76" w:rsidP="00B00A01">
      <w:r w:rsidRPr="00DA6A76">
        <w:t>The practice area with the highest percentage of nurses is surgical (10%).</w:t>
      </w:r>
      <w:r w:rsidR="00B00A01">
        <w:t xml:space="preserve"> </w:t>
      </w:r>
      <w:r w:rsidRPr="00DA6A76">
        <w:t>The lowest percentages are in youth health (0.3 %) and family planning and sexual health (0.3%).</w:t>
      </w:r>
    </w:p>
    <w:p w:rsidR="00DA6A76" w:rsidRPr="00DA6A76" w:rsidRDefault="00DA6A76" w:rsidP="00B00A01"/>
    <w:p w:rsidR="00DA6A76" w:rsidRPr="00DA6A76" w:rsidRDefault="00DA6A76" w:rsidP="00B00A01">
      <w:r w:rsidRPr="00DA6A76">
        <w:t>The Voluntary Bonding Scheme signals aged care (also known as continuing care), primary care and mental health, including addiction services, as 2015</w:t>
      </w:r>
      <w:r w:rsidR="00C454CC">
        <w:t>’</w:t>
      </w:r>
      <w:r w:rsidRPr="00DA6A76">
        <w:t>s hard-to-staff specialties for nurses. The percentages of nurses currently working in these specialties are:</w:t>
      </w:r>
    </w:p>
    <w:p w:rsidR="00DA6A76" w:rsidRPr="00DA6A76" w:rsidRDefault="00DA6A76" w:rsidP="00B00A01">
      <w:pPr>
        <w:pStyle w:val="Bullet"/>
      </w:pPr>
      <w:r w:rsidRPr="00DA6A76">
        <w:t>8.9 percent in aged care</w:t>
      </w:r>
    </w:p>
    <w:p w:rsidR="00DA6A76" w:rsidRPr="00DA6A76" w:rsidRDefault="00DA6A76" w:rsidP="00B00A01">
      <w:pPr>
        <w:pStyle w:val="Bullet"/>
      </w:pPr>
      <w:r w:rsidRPr="00DA6A76">
        <w:t>4.7 percent in primary care</w:t>
      </w:r>
    </w:p>
    <w:p w:rsidR="00DA6A76" w:rsidRPr="00DA6A76" w:rsidRDefault="00DA6A76" w:rsidP="00B00A01">
      <w:pPr>
        <w:pStyle w:val="Bullet"/>
      </w:pPr>
      <w:r w:rsidRPr="00DA6A76">
        <w:t>7.6 percent in mental health services</w:t>
      </w:r>
    </w:p>
    <w:p w:rsidR="00DA6A76" w:rsidRPr="00DA6A76" w:rsidRDefault="00DA6A76" w:rsidP="00B00A01">
      <w:pPr>
        <w:pStyle w:val="Bullet"/>
      </w:pPr>
      <w:r w:rsidRPr="00DA6A76">
        <w:t>0.4 percent in addiction services.</w:t>
      </w:r>
    </w:p>
    <w:p w:rsidR="00DA6A76" w:rsidRPr="00DA6A76" w:rsidRDefault="00DA6A76" w:rsidP="00B00A01"/>
    <w:p w:rsidR="00DA6A76" w:rsidRPr="00B00A01" w:rsidRDefault="00DA6A76" w:rsidP="00B00A01">
      <w:r w:rsidRPr="00DA6A76">
        <w:t>Almost 1500 New Zealand-trained nurses graduated in 2013/14. In recent years, not all graduates have found employment immediately, but New Zealand will need to train nurses in greater numbers by 2017, when numbers retiring from the workforce will become critical.</w:t>
      </w:r>
      <w:r w:rsidR="00B00A01">
        <w:rPr>
          <w:rStyle w:val="FootnoteReference"/>
        </w:rPr>
        <w:footnoteReference w:id="15"/>
      </w:r>
    </w:p>
    <w:p w:rsidR="00DA6A76" w:rsidRPr="00DA6A76" w:rsidRDefault="00DA6A76" w:rsidP="00B00A01"/>
    <w:p w:rsidR="00DA6A76" w:rsidRPr="00B00A01" w:rsidRDefault="00DA6A76" w:rsidP="00B00A01">
      <w:r w:rsidRPr="00DA6A76">
        <w:t>Nurse Entry to Practice (NETP) training programmes support nursing graduates in their first year</w:t>
      </w:r>
      <w:r w:rsidR="00B00A01">
        <w:t xml:space="preserve"> </w:t>
      </w:r>
      <w:r w:rsidRPr="00DA6A76">
        <w:t>of employment.</w:t>
      </w:r>
      <w:r w:rsidR="00B00A01">
        <w:rPr>
          <w:rStyle w:val="FootnoteReference"/>
        </w:rPr>
        <w:footnoteReference w:id="16"/>
      </w:r>
      <w:r w:rsidRPr="00B00A01">
        <w:t xml:space="preserve"> U</w:t>
      </w:r>
      <w:r w:rsidRPr="00DA6A76">
        <w:t>p to 200</w:t>
      </w:r>
      <w:r w:rsidR="00C454CC">
        <w:t xml:space="preserve"> </w:t>
      </w:r>
      <w:r w:rsidRPr="00DA6A76">
        <w:t>extra NETP places will be funded in 2014/15, of which 40 will be in aged residential care (ARC NETP),</w:t>
      </w:r>
      <w:r w:rsidR="00C454CC">
        <w:t xml:space="preserve"> </w:t>
      </w:r>
      <w:r w:rsidRPr="00DA6A76">
        <w:t>bringing the total number of funded NETP places to 1300. Nurses can enter a NETP programme up to 24 months after graduating. An extra 25</w:t>
      </w:r>
      <w:r w:rsidR="00B00A01">
        <w:t> </w:t>
      </w:r>
      <w:r w:rsidRPr="00DA6A76">
        <w:t>nursing graduate scholarships are also available to work</w:t>
      </w:r>
      <w:r w:rsidR="00C454CC">
        <w:t xml:space="preserve"> </w:t>
      </w:r>
      <w:r w:rsidRPr="00DA6A76">
        <w:t>in GP practices in high-needs communities in 2015, in addition to the</w:t>
      </w:r>
      <w:r w:rsidR="00B00A01">
        <w:t xml:space="preserve"> </w:t>
      </w:r>
      <w:r w:rsidRPr="00DA6A76">
        <w:t>48 scholarships funded in the past year.</w:t>
      </w:r>
      <w:r w:rsidR="00B00A01">
        <w:rPr>
          <w:rStyle w:val="FootnoteReference"/>
        </w:rPr>
        <w:footnoteReference w:id="17"/>
      </w:r>
    </w:p>
    <w:p w:rsidR="00DA6A76" w:rsidRPr="00DA6A76" w:rsidRDefault="00DA6A76" w:rsidP="00B00A01"/>
    <w:p w:rsidR="00DA6A76" w:rsidRPr="00DA6A76" w:rsidRDefault="00DA6A76" w:rsidP="00B00A01">
      <w:r w:rsidRPr="00DA6A76">
        <w:t>Nursing is an ageing profession. This</w:t>
      </w:r>
      <w:r w:rsidR="00C454CC">
        <w:t xml:space="preserve"> </w:t>
      </w:r>
      <w:r w:rsidRPr="00DA6A76">
        <w:t>is a trend common across health workforces in New Zealand and overseas. The average age of nurses is 46.4 years (this is lower in main centres and higher in rural areas)</w:t>
      </w:r>
      <w:r w:rsidR="00B00A01">
        <w:t xml:space="preserve"> </w:t>
      </w:r>
      <w:r w:rsidRPr="00DA6A76">
        <w:t>– up from 45.9 in 2009. In 2014:</w:t>
      </w:r>
    </w:p>
    <w:p w:rsidR="00DA6A76" w:rsidRPr="00DA6A76" w:rsidRDefault="00DA6A76" w:rsidP="00B00A01">
      <w:pPr>
        <w:pStyle w:val="Bullet"/>
      </w:pPr>
      <w:r w:rsidRPr="00DA6A76">
        <w:t>54 percent of nurses have been in practice for 15 or more years</w:t>
      </w:r>
    </w:p>
    <w:p w:rsidR="00DA6A76" w:rsidRPr="00DA6A76" w:rsidRDefault="00DA6A76" w:rsidP="00B00A01">
      <w:pPr>
        <w:pStyle w:val="Bullet"/>
      </w:pPr>
      <w:r w:rsidRPr="00DA6A76">
        <w:t>46 percent are aged over</w:t>
      </w:r>
      <w:r w:rsidR="00C454CC">
        <w:t xml:space="preserve"> </w:t>
      </w:r>
      <w:r w:rsidRPr="00DA6A76">
        <w:t>50 – up from 40 percent in 2009.</w:t>
      </w:r>
    </w:p>
    <w:p w:rsidR="00DA6A76" w:rsidRPr="00DA6A76" w:rsidRDefault="00DA6A76" w:rsidP="00B00A01"/>
    <w:p w:rsidR="00DA6A76" w:rsidRPr="00DA6A76" w:rsidRDefault="00DA6A76" w:rsidP="00B00A01">
      <w:pPr>
        <w:pStyle w:val="Table"/>
      </w:pPr>
      <w:bookmarkStart w:id="16" w:name="_Toc403834875"/>
      <w:r w:rsidRPr="00DA6A76">
        <w:t>Table 2: Nursing workforce statistics</w:t>
      </w:r>
      <w:bookmarkEnd w:id="16"/>
    </w:p>
    <w:tbl>
      <w:tblPr>
        <w:tblW w:w="0" w:type="auto"/>
        <w:tblInd w:w="57" w:type="dxa"/>
        <w:tblLayout w:type="fixed"/>
        <w:tblCellMar>
          <w:left w:w="57" w:type="dxa"/>
          <w:right w:w="57" w:type="dxa"/>
        </w:tblCellMar>
        <w:tblLook w:val="01E0" w:firstRow="1" w:lastRow="1" w:firstColumn="1" w:lastColumn="1" w:noHBand="0" w:noVBand="0"/>
      </w:tblPr>
      <w:tblGrid>
        <w:gridCol w:w="816"/>
        <w:gridCol w:w="1027"/>
        <w:gridCol w:w="1559"/>
        <w:gridCol w:w="1985"/>
        <w:gridCol w:w="2268"/>
        <w:gridCol w:w="1701"/>
      </w:tblGrid>
      <w:tr w:rsidR="00DA6A76" w:rsidRPr="004A286E" w:rsidTr="004A286E">
        <w:trPr>
          <w:cantSplit/>
        </w:trPr>
        <w:tc>
          <w:tcPr>
            <w:tcW w:w="9356" w:type="dxa"/>
            <w:gridSpan w:val="6"/>
            <w:tcBorders>
              <w:top w:val="single" w:sz="4" w:space="0" w:color="auto"/>
              <w:left w:val="nil"/>
              <w:bottom w:val="single" w:sz="4" w:space="0" w:color="auto"/>
              <w:right w:val="nil"/>
            </w:tcBorders>
            <w:shd w:val="clear" w:color="auto" w:fill="F2F2F2" w:themeFill="background1" w:themeFillShade="F2"/>
          </w:tcPr>
          <w:p w:rsidR="00DA6A76" w:rsidRPr="004A286E" w:rsidRDefault="00DA6A76" w:rsidP="004A286E">
            <w:pPr>
              <w:pStyle w:val="TableText"/>
              <w:rPr>
                <w:b/>
                <w:sz w:val="13"/>
                <w:szCs w:val="13"/>
              </w:rPr>
            </w:pPr>
            <w:r w:rsidRPr="004A286E">
              <w:rPr>
                <w:b/>
              </w:rPr>
              <w:t>Nursing workforce*</w:t>
            </w:r>
          </w:p>
        </w:tc>
      </w:tr>
      <w:tr w:rsidR="00DA6A76" w:rsidRPr="004A286E" w:rsidTr="004A286E">
        <w:trPr>
          <w:cantSplit/>
        </w:trPr>
        <w:tc>
          <w:tcPr>
            <w:tcW w:w="816" w:type="dxa"/>
            <w:tcBorders>
              <w:top w:val="single" w:sz="4" w:space="0" w:color="auto"/>
              <w:left w:val="nil"/>
              <w:bottom w:val="single" w:sz="4" w:space="0" w:color="auto"/>
            </w:tcBorders>
            <w:shd w:val="clear" w:color="auto" w:fill="auto"/>
          </w:tcPr>
          <w:p w:rsidR="00DA6A76" w:rsidRPr="004A286E" w:rsidRDefault="00DA6A76" w:rsidP="004A286E">
            <w:pPr>
              <w:pStyle w:val="TableText"/>
              <w:jc w:val="center"/>
              <w:rPr>
                <w:b/>
              </w:rPr>
            </w:pPr>
            <w:r w:rsidRPr="004A286E">
              <w:rPr>
                <w:b/>
              </w:rPr>
              <w:t>Size</w:t>
            </w:r>
          </w:p>
        </w:tc>
        <w:tc>
          <w:tcPr>
            <w:tcW w:w="1027" w:type="dxa"/>
            <w:tcBorders>
              <w:top w:val="single" w:sz="4" w:space="0" w:color="auto"/>
              <w:bottom w:val="single" w:sz="4" w:space="0" w:color="auto"/>
            </w:tcBorders>
            <w:shd w:val="clear" w:color="auto" w:fill="auto"/>
          </w:tcPr>
          <w:p w:rsidR="00DA6A76" w:rsidRPr="004A286E" w:rsidRDefault="00DA6A76" w:rsidP="004A286E">
            <w:pPr>
              <w:pStyle w:val="TableText"/>
              <w:jc w:val="center"/>
              <w:rPr>
                <w:b/>
              </w:rPr>
            </w:pPr>
            <w:r w:rsidRPr="004A286E">
              <w:rPr>
                <w:b/>
              </w:rPr>
              <w:t>Age 50+</w:t>
            </w:r>
          </w:p>
        </w:tc>
        <w:tc>
          <w:tcPr>
            <w:tcW w:w="1559" w:type="dxa"/>
            <w:tcBorders>
              <w:top w:val="single" w:sz="4" w:space="0" w:color="auto"/>
              <w:bottom w:val="single" w:sz="4" w:space="0" w:color="auto"/>
            </w:tcBorders>
            <w:shd w:val="clear" w:color="auto" w:fill="auto"/>
          </w:tcPr>
          <w:p w:rsidR="00DA6A76" w:rsidRPr="004A286E" w:rsidRDefault="00DA6A76" w:rsidP="004A286E">
            <w:pPr>
              <w:pStyle w:val="TableText"/>
              <w:jc w:val="center"/>
              <w:rPr>
                <w:b/>
              </w:rPr>
            </w:pPr>
            <w:r w:rsidRPr="004A286E">
              <w:rPr>
                <w:b/>
              </w:rPr>
              <w:t>Gender split</w:t>
            </w:r>
          </w:p>
        </w:tc>
        <w:tc>
          <w:tcPr>
            <w:tcW w:w="1985" w:type="dxa"/>
            <w:tcBorders>
              <w:top w:val="single" w:sz="4" w:space="0" w:color="auto"/>
              <w:bottom w:val="single" w:sz="4" w:space="0" w:color="auto"/>
            </w:tcBorders>
            <w:shd w:val="clear" w:color="auto" w:fill="auto"/>
          </w:tcPr>
          <w:p w:rsidR="00DA6A76" w:rsidRPr="004A286E" w:rsidRDefault="00DA6A76" w:rsidP="004A286E">
            <w:pPr>
              <w:pStyle w:val="TableText"/>
              <w:jc w:val="center"/>
              <w:rPr>
                <w:b/>
              </w:rPr>
            </w:pPr>
            <w:r w:rsidRPr="004A286E">
              <w:rPr>
                <w:b/>
              </w:rPr>
              <w:t>Ethnicity</w:t>
            </w:r>
          </w:p>
        </w:tc>
        <w:tc>
          <w:tcPr>
            <w:tcW w:w="2268" w:type="dxa"/>
            <w:tcBorders>
              <w:top w:val="single" w:sz="4" w:space="0" w:color="auto"/>
              <w:bottom w:val="single" w:sz="4" w:space="0" w:color="auto"/>
            </w:tcBorders>
            <w:shd w:val="clear" w:color="auto" w:fill="auto"/>
          </w:tcPr>
          <w:p w:rsidR="00DA6A76" w:rsidRPr="004A286E" w:rsidRDefault="00DA6A76" w:rsidP="004A286E">
            <w:pPr>
              <w:pStyle w:val="TableText"/>
              <w:jc w:val="center"/>
              <w:rPr>
                <w:b/>
              </w:rPr>
            </w:pPr>
            <w:r w:rsidRPr="004A286E">
              <w:rPr>
                <w:b/>
              </w:rPr>
              <w:t>Workplace^</w:t>
            </w:r>
          </w:p>
        </w:tc>
        <w:tc>
          <w:tcPr>
            <w:tcW w:w="1701" w:type="dxa"/>
            <w:tcBorders>
              <w:top w:val="single" w:sz="4" w:space="0" w:color="auto"/>
              <w:bottom w:val="single" w:sz="4" w:space="0" w:color="auto"/>
              <w:right w:val="nil"/>
            </w:tcBorders>
            <w:shd w:val="clear" w:color="auto" w:fill="auto"/>
          </w:tcPr>
          <w:p w:rsidR="00DA6A76" w:rsidRPr="004A286E" w:rsidRDefault="00DA6A76" w:rsidP="004A286E">
            <w:pPr>
              <w:pStyle w:val="TableText"/>
              <w:jc w:val="center"/>
              <w:rPr>
                <w:b/>
              </w:rPr>
            </w:pPr>
            <w:r w:rsidRPr="004A286E">
              <w:rPr>
                <w:b/>
              </w:rPr>
              <w:t>Qualified outside</w:t>
            </w:r>
            <w:r w:rsidR="004A286E">
              <w:rPr>
                <w:b/>
              </w:rPr>
              <w:t xml:space="preserve"> </w:t>
            </w:r>
            <w:r w:rsidRPr="004A286E">
              <w:rPr>
                <w:b/>
              </w:rPr>
              <w:t>New Zealand</w:t>
            </w:r>
          </w:p>
        </w:tc>
      </w:tr>
      <w:tr w:rsidR="00DA6A76" w:rsidRPr="00DA6A76" w:rsidTr="004A286E">
        <w:trPr>
          <w:cantSplit/>
        </w:trPr>
        <w:tc>
          <w:tcPr>
            <w:tcW w:w="816" w:type="dxa"/>
            <w:tcBorders>
              <w:top w:val="single" w:sz="4" w:space="0" w:color="auto"/>
              <w:left w:val="nil"/>
              <w:bottom w:val="single" w:sz="4" w:space="0" w:color="auto"/>
            </w:tcBorders>
            <w:shd w:val="clear" w:color="auto" w:fill="auto"/>
          </w:tcPr>
          <w:p w:rsidR="00DA6A76" w:rsidRPr="00DA6A76" w:rsidRDefault="00DA6A76" w:rsidP="004A286E">
            <w:pPr>
              <w:pStyle w:val="TableText"/>
              <w:jc w:val="center"/>
            </w:pPr>
            <w:r w:rsidRPr="00DA6A76">
              <w:t>51,387</w:t>
            </w:r>
          </w:p>
        </w:tc>
        <w:tc>
          <w:tcPr>
            <w:tcW w:w="1027" w:type="dxa"/>
            <w:tcBorders>
              <w:top w:val="single" w:sz="4" w:space="0" w:color="auto"/>
              <w:bottom w:val="single" w:sz="4" w:space="0" w:color="auto"/>
            </w:tcBorders>
            <w:shd w:val="clear" w:color="auto" w:fill="auto"/>
          </w:tcPr>
          <w:p w:rsidR="00DA6A76" w:rsidRPr="00DA6A76" w:rsidRDefault="00DA6A76" w:rsidP="004A286E">
            <w:pPr>
              <w:pStyle w:val="TableText"/>
              <w:jc w:val="center"/>
            </w:pPr>
            <w:r w:rsidRPr="00DA6A76">
              <w:t>46%</w:t>
            </w:r>
          </w:p>
        </w:tc>
        <w:tc>
          <w:tcPr>
            <w:tcW w:w="1559" w:type="dxa"/>
            <w:tcBorders>
              <w:top w:val="single" w:sz="4" w:space="0" w:color="auto"/>
              <w:bottom w:val="single" w:sz="4" w:space="0" w:color="auto"/>
            </w:tcBorders>
            <w:shd w:val="clear" w:color="auto" w:fill="auto"/>
          </w:tcPr>
          <w:p w:rsidR="004A286E" w:rsidRDefault="00DA6A76" w:rsidP="004A286E">
            <w:pPr>
              <w:pStyle w:val="TableText"/>
              <w:tabs>
                <w:tab w:val="right" w:pos="1445"/>
              </w:tabs>
              <w:ind w:left="142"/>
            </w:pPr>
            <w:r w:rsidRPr="00DA6A76">
              <w:t>Female</w:t>
            </w:r>
            <w:r w:rsidR="004A286E">
              <w:tab/>
            </w:r>
            <w:r w:rsidRPr="00DA6A76">
              <w:t>91.7%</w:t>
            </w:r>
          </w:p>
          <w:p w:rsidR="00DA6A76" w:rsidRPr="00DA6A76" w:rsidRDefault="00DA6A76" w:rsidP="004A286E">
            <w:pPr>
              <w:pStyle w:val="TableText"/>
              <w:tabs>
                <w:tab w:val="right" w:pos="1445"/>
              </w:tabs>
              <w:ind w:left="142"/>
            </w:pPr>
            <w:r w:rsidRPr="00DA6A76">
              <w:t>Male</w:t>
            </w:r>
            <w:r w:rsidRPr="00DA6A76">
              <w:tab/>
              <w:t>8.2%</w:t>
            </w:r>
          </w:p>
        </w:tc>
        <w:tc>
          <w:tcPr>
            <w:tcW w:w="1985" w:type="dxa"/>
            <w:tcBorders>
              <w:top w:val="single" w:sz="4" w:space="0" w:color="auto"/>
              <w:bottom w:val="single" w:sz="4" w:space="0" w:color="auto"/>
            </w:tcBorders>
            <w:shd w:val="clear" w:color="auto" w:fill="auto"/>
          </w:tcPr>
          <w:p w:rsidR="004A286E" w:rsidRDefault="00DA6A76" w:rsidP="004A286E">
            <w:pPr>
              <w:pStyle w:val="TableText"/>
              <w:tabs>
                <w:tab w:val="right" w:pos="1644"/>
              </w:tabs>
              <w:ind w:left="142"/>
            </w:pPr>
            <w:r w:rsidRPr="00DA6A76">
              <w:t>European</w:t>
            </w:r>
            <w:r w:rsidR="004A286E">
              <w:tab/>
            </w:r>
            <w:r w:rsidRPr="00DA6A76">
              <w:t>90.7%</w:t>
            </w:r>
          </w:p>
          <w:p w:rsidR="004A286E" w:rsidRDefault="00DA6A76" w:rsidP="004A286E">
            <w:pPr>
              <w:pStyle w:val="TableText"/>
              <w:tabs>
                <w:tab w:val="right" w:pos="1644"/>
              </w:tabs>
              <w:ind w:left="142"/>
            </w:pPr>
            <w:r w:rsidRPr="00DA6A76">
              <w:t>Māori</w:t>
            </w:r>
            <w:r w:rsidR="004A286E">
              <w:tab/>
            </w:r>
            <w:r w:rsidRPr="00DA6A76">
              <w:t>6.6%</w:t>
            </w:r>
          </w:p>
          <w:p w:rsidR="00DA6A76" w:rsidRPr="00DA6A76" w:rsidRDefault="00DA6A76" w:rsidP="004A286E">
            <w:pPr>
              <w:pStyle w:val="TableText"/>
              <w:tabs>
                <w:tab w:val="right" w:pos="1644"/>
              </w:tabs>
              <w:ind w:left="142"/>
            </w:pPr>
            <w:r w:rsidRPr="00DA6A76">
              <w:t>Pacific</w:t>
            </w:r>
            <w:r w:rsidR="004A286E">
              <w:tab/>
            </w:r>
            <w:r w:rsidRPr="00DA6A76">
              <w:t>2.5%</w:t>
            </w:r>
          </w:p>
        </w:tc>
        <w:tc>
          <w:tcPr>
            <w:tcW w:w="2268" w:type="dxa"/>
            <w:tcBorders>
              <w:top w:val="single" w:sz="4" w:space="0" w:color="auto"/>
              <w:bottom w:val="single" w:sz="4" w:space="0" w:color="auto"/>
            </w:tcBorders>
            <w:shd w:val="clear" w:color="auto" w:fill="auto"/>
          </w:tcPr>
          <w:p w:rsidR="004A286E" w:rsidRDefault="00DA6A76" w:rsidP="004A286E">
            <w:pPr>
              <w:pStyle w:val="TableText"/>
              <w:tabs>
                <w:tab w:val="right" w:pos="2012"/>
              </w:tabs>
              <w:ind w:left="142"/>
            </w:pPr>
            <w:r w:rsidRPr="00DA6A76">
              <w:t>DHB employed</w:t>
            </w:r>
            <w:r w:rsidR="004A286E">
              <w:tab/>
            </w:r>
            <w:r w:rsidRPr="00DA6A76">
              <w:t>52%</w:t>
            </w:r>
          </w:p>
          <w:p w:rsidR="004A286E" w:rsidRDefault="00DA6A76" w:rsidP="004A286E">
            <w:pPr>
              <w:pStyle w:val="TableText"/>
              <w:tabs>
                <w:tab w:val="right" w:pos="2012"/>
              </w:tabs>
              <w:ind w:left="142"/>
            </w:pPr>
            <w:r w:rsidRPr="00DA6A76">
              <w:t>Primary health organisation</w:t>
            </w:r>
            <w:r w:rsidR="004A286E">
              <w:tab/>
            </w:r>
            <w:r w:rsidRPr="00DA6A76">
              <w:t>12%</w:t>
            </w:r>
          </w:p>
          <w:p w:rsidR="00DA6A76" w:rsidRPr="00DA6A76" w:rsidRDefault="00DA6A76" w:rsidP="004A286E">
            <w:pPr>
              <w:pStyle w:val="TableText"/>
              <w:tabs>
                <w:tab w:val="right" w:pos="2012"/>
              </w:tabs>
              <w:ind w:left="142"/>
            </w:pPr>
            <w:r w:rsidRPr="00DA6A76">
              <w:t>Other</w:t>
            </w:r>
            <w:r w:rsidR="004A286E">
              <w:tab/>
            </w:r>
            <w:r w:rsidRPr="00DA6A76">
              <w:t>36%</w:t>
            </w:r>
          </w:p>
        </w:tc>
        <w:tc>
          <w:tcPr>
            <w:tcW w:w="1701" w:type="dxa"/>
            <w:tcBorders>
              <w:top w:val="single" w:sz="4" w:space="0" w:color="auto"/>
              <w:bottom w:val="single" w:sz="4" w:space="0" w:color="auto"/>
              <w:right w:val="nil"/>
            </w:tcBorders>
            <w:shd w:val="clear" w:color="auto" w:fill="auto"/>
          </w:tcPr>
          <w:p w:rsidR="00DA6A76" w:rsidRPr="00DA6A76" w:rsidRDefault="00DA6A76" w:rsidP="004A286E">
            <w:pPr>
              <w:pStyle w:val="TableText"/>
              <w:jc w:val="center"/>
            </w:pPr>
            <w:r w:rsidRPr="00DA6A76">
              <w:t>26%</w:t>
            </w:r>
          </w:p>
        </w:tc>
      </w:tr>
    </w:tbl>
    <w:p w:rsidR="00DA6A76" w:rsidRPr="00DA6A76" w:rsidRDefault="00DA6A76" w:rsidP="004A286E">
      <w:pPr>
        <w:pStyle w:val="Note"/>
      </w:pPr>
      <w:r w:rsidRPr="00DA6A76">
        <w:t>*</w:t>
      </w:r>
      <w:r w:rsidR="004A286E">
        <w:tab/>
      </w:r>
      <w:r w:rsidRPr="00DA6A76">
        <w:t>Annual practising certificate data as of 31 March 2014.</w:t>
      </w:r>
    </w:p>
    <w:p w:rsidR="00DA6A76" w:rsidRPr="00DA6A76" w:rsidRDefault="00DA6A76" w:rsidP="004A286E">
      <w:pPr>
        <w:pStyle w:val="Note"/>
      </w:pPr>
      <w:r w:rsidRPr="00DA6A76">
        <w:t>^</w:t>
      </w:r>
      <w:r w:rsidR="004A286E">
        <w:tab/>
      </w:r>
      <w:r w:rsidRPr="00DA6A76">
        <w:t>Main place of employment.</w:t>
      </w:r>
    </w:p>
    <w:p w:rsidR="00DA6A76" w:rsidRPr="00DA6A76" w:rsidRDefault="00DA6A76" w:rsidP="004A286E"/>
    <w:p w:rsidR="00DA6A76" w:rsidRPr="00DA6A76" w:rsidRDefault="00DA6A76" w:rsidP="004A286E">
      <w:r w:rsidRPr="00DA6A76">
        <w:t>West Coast DHB has</w:t>
      </w:r>
      <w:r w:rsidR="00C454CC">
        <w:t xml:space="preserve"> </w:t>
      </w:r>
      <w:r w:rsidRPr="00DA6A76">
        <w:t>on average the oldest nursing workforce, followed by</w:t>
      </w:r>
      <w:r w:rsidR="00C454CC">
        <w:t xml:space="preserve"> </w:t>
      </w:r>
      <w:r w:rsidRPr="00DA6A76">
        <w:t>South Canterbury, Wairarapa, Nelson Marlborough and Hawke</w:t>
      </w:r>
      <w:r w:rsidR="00C454CC">
        <w:t>’</w:t>
      </w:r>
      <w:r w:rsidRPr="00DA6A76">
        <w:t>s Bay.</w:t>
      </w:r>
    </w:p>
    <w:p w:rsidR="00DA6A76" w:rsidRPr="00DA6A76" w:rsidRDefault="00DA6A76" w:rsidP="004A286E"/>
    <w:p w:rsidR="00DA6A76" w:rsidRPr="00DA6A76" w:rsidRDefault="00DA6A76" w:rsidP="004A286E">
      <w:r w:rsidRPr="00DA6A76">
        <w:t>The risk of staff shortages becomes greater as the proportion of experienced nurses approaching retirement increases. This</w:t>
      </w:r>
      <w:r w:rsidR="00C454CC">
        <w:t xml:space="preserve"> </w:t>
      </w:r>
      <w:r w:rsidRPr="00DA6A76">
        <w:t>is a particular issue in specialty areas with the highest average ages, such as palliative care (for which the average age of nurses is 53 years, up from 50 in 2009) and mental health (for which the average age is 51 years).</w:t>
      </w:r>
    </w:p>
    <w:p w:rsidR="00DA6A76" w:rsidRPr="00DA6A76" w:rsidRDefault="00DA6A76" w:rsidP="004A286E"/>
    <w:p w:rsidR="00DA6A76" w:rsidRPr="00DA6A76" w:rsidRDefault="00DA6A76" w:rsidP="0030336F">
      <w:r w:rsidRPr="00DA6A76">
        <w:t>As the age profile suggests, the New Zealand-trained workforce is at present skewed towards experienced nurses. Nurses who</w:t>
      </w:r>
      <w:r w:rsidR="00C454CC">
        <w:t xml:space="preserve"> </w:t>
      </w:r>
      <w:r w:rsidRPr="00DA6A76">
        <w:t>trained overseas are somewhat more evenly distributed with respect to age and level of experience.</w:t>
      </w:r>
    </w:p>
    <w:p w:rsidR="00DA6A76" w:rsidRPr="00DA6A76" w:rsidRDefault="00DA6A76" w:rsidP="0030336F"/>
    <w:p w:rsidR="00DA6A76" w:rsidRPr="00DA6A76" w:rsidRDefault="00DA6A76" w:rsidP="0030336F">
      <w:r w:rsidRPr="00DA6A76">
        <w:t>Overseas-trained nurses make up 26 percent of New Zealand</w:t>
      </w:r>
      <w:r w:rsidR="00C454CC">
        <w:t>’</w:t>
      </w:r>
      <w:r w:rsidRPr="00DA6A76">
        <w:t>s nursing workforce. Their average age is</w:t>
      </w:r>
      <w:r w:rsidR="0030336F">
        <w:t xml:space="preserve"> </w:t>
      </w:r>
      <w:r w:rsidRPr="00DA6A76">
        <w:t>43.1</w:t>
      </w:r>
      <w:r w:rsidR="0030336F">
        <w:t> </w:t>
      </w:r>
      <w:r w:rsidRPr="00DA6A76">
        <w:t>years, compared with 47.6 years for New Zealand-trained nurses. Just over</w:t>
      </w:r>
      <w:r w:rsidR="00C454CC">
        <w:t xml:space="preserve"> </w:t>
      </w:r>
      <w:r w:rsidRPr="00DA6A76">
        <w:t>half</w:t>
      </w:r>
      <w:r w:rsidR="00C454CC">
        <w:t xml:space="preserve"> </w:t>
      </w:r>
      <w:r w:rsidRPr="00DA6A76">
        <w:t>of overseas-trained nurses come from Australia and the United Kingdom. The remainder arrive mainly from Asia.</w:t>
      </w:r>
    </w:p>
    <w:p w:rsidR="00DA6A76" w:rsidRPr="00DA6A76" w:rsidRDefault="00DA6A76" w:rsidP="0030336F"/>
    <w:p w:rsidR="00DA6A76" w:rsidRPr="00DA6A76" w:rsidRDefault="00DA6A76" w:rsidP="0030336F">
      <w:r w:rsidRPr="00DA6A76">
        <w:t>As Figure 5 shows, the majority of registered nurses, both New Zealand- and overseas-trained, have more than 15 years</w:t>
      </w:r>
      <w:r w:rsidR="00C454CC">
        <w:t>’</w:t>
      </w:r>
      <w:r w:rsidRPr="00DA6A76">
        <w:t xml:space="preserve"> experience.</w:t>
      </w:r>
    </w:p>
    <w:p w:rsidR="00DA6A76" w:rsidRPr="00DA6A76" w:rsidRDefault="00DA6A76" w:rsidP="0030336F"/>
    <w:p w:rsidR="00DA6A76" w:rsidRDefault="00DA6A76" w:rsidP="0030336F">
      <w:pPr>
        <w:pStyle w:val="Figure"/>
      </w:pPr>
      <w:bookmarkStart w:id="17" w:name="_Toc403834883"/>
      <w:r w:rsidRPr="00DA6A76">
        <w:t>Figure 5: Distribution of levels of experience for nurses trained overseas and in New</w:t>
      </w:r>
      <w:r w:rsidR="00DD3A1E">
        <w:t> </w:t>
      </w:r>
      <w:r w:rsidRPr="00DA6A76">
        <w:t>Zealand</w:t>
      </w:r>
      <w:bookmarkEnd w:id="17"/>
    </w:p>
    <w:p w:rsidR="0030336F" w:rsidRPr="0030336F" w:rsidRDefault="0030336F" w:rsidP="0030336F">
      <w:r w:rsidRPr="0030336F">
        <w:rPr>
          <w:noProof/>
          <w:lang w:eastAsia="en-NZ"/>
        </w:rPr>
        <w:drawing>
          <wp:inline distT="0" distB="0" distL="0" distR="0" wp14:anchorId="0EA086C4" wp14:editId="3F5EC4A7">
            <wp:extent cx="5940425" cy="2706194"/>
            <wp:effectExtent l="0" t="0" r="3175" b="0"/>
            <wp:docPr id="1380" name="Picture 1380" title="Figure 5: Distribution of levels of experience for nurses trained overseas and in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0425" cy="2706194"/>
                    </a:xfrm>
                    <a:prstGeom prst="rect">
                      <a:avLst/>
                    </a:prstGeom>
                  </pic:spPr>
                </pic:pic>
              </a:graphicData>
            </a:graphic>
          </wp:inline>
        </w:drawing>
      </w:r>
    </w:p>
    <w:p w:rsidR="0030336F" w:rsidRDefault="0030336F" w:rsidP="0030336F"/>
    <w:p w:rsidR="00DA6A76" w:rsidRPr="00DA6A76" w:rsidRDefault="00DA6A76" w:rsidP="0030336F">
      <w:r w:rsidRPr="00DA6A76">
        <w:t>There is a demographic mismatch between the nursing workforce and the general population. The percentage of Asian registered nurses exceeds that of the Asian patient population in 16 of the</w:t>
      </w:r>
      <w:r w:rsidR="0030336F">
        <w:t xml:space="preserve"> </w:t>
      </w:r>
      <w:r w:rsidRPr="00DA6A76">
        <w:t>20 DHBs. In contrast, Māori and Pacific nurses are under-represented compared with the Māori and</w:t>
      </w:r>
      <w:r w:rsidR="0030336F">
        <w:t xml:space="preserve"> </w:t>
      </w:r>
      <w:r w:rsidRPr="00DA6A76">
        <w:t>Pacific patient population across all DHB regions.</w:t>
      </w:r>
    </w:p>
    <w:p w:rsidR="00DA6A76" w:rsidRPr="00DA6A76" w:rsidRDefault="00DA6A76" w:rsidP="0030336F"/>
    <w:p w:rsidR="00DA6A76" w:rsidRPr="00DA6A76" w:rsidRDefault="00DA6A76" w:rsidP="0030336F">
      <w:r w:rsidRPr="00DA6A76">
        <w:t>The percentage of Māori nurses is slowly rising – increasing from 3.6 percent in 2009 to 6.6 percent in</w:t>
      </w:r>
      <w:r w:rsidR="0030336F">
        <w:t xml:space="preserve"> </w:t>
      </w:r>
      <w:r w:rsidRPr="00DA6A76">
        <w:t>2014 – but the percentage of Pacific nurses has</w:t>
      </w:r>
      <w:r w:rsidR="00C454CC">
        <w:t xml:space="preserve"> </w:t>
      </w:r>
      <w:r w:rsidRPr="00DA6A76">
        <w:t>remained static at 2.5 percent since 2009. (The number of Pacific nurses is rising but so is the size of the overall nursing workforce.) Nursing is the second largest occupational group for Pacific peoples in the health and disability workforce, behind care</w:t>
      </w:r>
      <w:r w:rsidR="0030336F">
        <w:t xml:space="preserve"> </w:t>
      </w:r>
      <w:r w:rsidRPr="00DA6A76">
        <w:t>and support workers (see the Non-regulated workers section).</w:t>
      </w:r>
      <w:r w:rsidR="0030336F">
        <w:rPr>
          <w:rStyle w:val="FootnoteReference"/>
        </w:rPr>
        <w:footnoteReference w:id="18"/>
      </w:r>
      <w:r w:rsidR="0030336F">
        <w:t xml:space="preserve"> </w:t>
      </w:r>
      <w:r w:rsidRPr="00DA6A76">
        <w:t>The majority of nurses who</w:t>
      </w:r>
      <w:r w:rsidR="00C454CC">
        <w:t xml:space="preserve"> </w:t>
      </w:r>
      <w:r w:rsidRPr="00DA6A76">
        <w:t>identify as Pacific peoples work</w:t>
      </w:r>
      <w:r w:rsidR="00C454CC">
        <w:t xml:space="preserve"> </w:t>
      </w:r>
      <w:r w:rsidRPr="00DA6A76">
        <w:t>in the greater Auckland area, home to seven in 10 of New Zealand</w:t>
      </w:r>
      <w:r w:rsidR="00C454CC">
        <w:t>’</w:t>
      </w:r>
      <w:r w:rsidRPr="00DA6A76">
        <w:t>s Pacific population.</w:t>
      </w:r>
    </w:p>
    <w:p w:rsidR="00DA6A76" w:rsidRPr="00DA6A76" w:rsidRDefault="00DA6A76" w:rsidP="0030336F"/>
    <w:p w:rsidR="00DA6A76" w:rsidRPr="00DA6A76" w:rsidRDefault="00DA6A76" w:rsidP="0030336F">
      <w:r w:rsidRPr="00DA6A76">
        <w:t>A further issue for the nursing workforce is that when economic conditions improve, the trend has</w:t>
      </w:r>
      <w:r w:rsidR="0030336F">
        <w:t xml:space="preserve"> </w:t>
      </w:r>
      <w:r w:rsidRPr="00DA6A76">
        <w:t>been for nurses to exit the New Zealand workforce. Some leave the profession; others seek</w:t>
      </w:r>
      <w:r w:rsidR="00C454CC">
        <w:t xml:space="preserve"> </w:t>
      </w:r>
      <w:r w:rsidRPr="00DA6A76">
        <w:t>employment in countries such as Australia, where a shortage of nurses is forecast. This</w:t>
      </w:r>
      <w:r w:rsidR="00C454CC">
        <w:t xml:space="preserve"> </w:t>
      </w:r>
      <w:r w:rsidRPr="00DA6A76">
        <w:t>is expected to place further pressure on New Zealand</w:t>
      </w:r>
      <w:r w:rsidR="00C454CC">
        <w:t>’</w:t>
      </w:r>
      <w:r w:rsidRPr="00DA6A76">
        <w:t>s future supply of nurses.</w:t>
      </w:r>
    </w:p>
    <w:p w:rsidR="00DA6A76" w:rsidRPr="00DA6A76" w:rsidRDefault="00DA6A76" w:rsidP="0030336F"/>
    <w:p w:rsidR="00DA6A76" w:rsidRPr="00DA6A76" w:rsidRDefault="00DA6A76" w:rsidP="0030336F">
      <w:r w:rsidRPr="00DA6A76">
        <w:t>A nursing workforce programme is under way, a partnership between HWNZ, the Office of the Chief Nurse and the National Nursing Organisations. See our</w:t>
      </w:r>
      <w:r w:rsidR="00C454CC">
        <w:t xml:space="preserve"> </w:t>
      </w:r>
      <w:r w:rsidRPr="00DA6A76">
        <w:t xml:space="preserve">companion report, </w:t>
      </w:r>
      <w:r w:rsidRPr="00DA6A76">
        <w:rPr>
          <w:i/>
        </w:rPr>
        <w:t>The Role of Health Workforce New Zealand</w:t>
      </w:r>
      <w:r w:rsidRPr="00DA6A76">
        <w:t>, for more information.</w:t>
      </w:r>
    </w:p>
    <w:p w:rsidR="00DA6A76" w:rsidRPr="00DA6A76" w:rsidRDefault="00DA6A76" w:rsidP="0030336F"/>
    <w:p w:rsidR="00DA6A76" w:rsidRPr="00DA6A76" w:rsidRDefault="00DA6A76" w:rsidP="0030336F">
      <w:pPr>
        <w:pStyle w:val="Heading2"/>
      </w:pPr>
      <w:bookmarkStart w:id="18" w:name="_Toc403834859"/>
      <w:r w:rsidRPr="00DA6A76">
        <w:t>Midwives</w:t>
      </w:r>
      <w:bookmarkEnd w:id="18"/>
    </w:p>
    <w:p w:rsidR="00DA6A76" w:rsidRPr="00DA6A76" w:rsidRDefault="00DA6A76" w:rsidP="0030336F">
      <w:r w:rsidRPr="00DA6A76">
        <w:t>The supply of midwives has</w:t>
      </w:r>
      <w:r w:rsidR="00C454CC">
        <w:t xml:space="preserve"> </w:t>
      </w:r>
      <w:r w:rsidRPr="00DA6A76">
        <w:t>improved, but there continue to be workforce shortages, especially in rural areas. Demand for senior midwives is still very strong, with an ongoing reliance on overseas-trained practitioners.</w:t>
      </w:r>
    </w:p>
    <w:p w:rsidR="00DA6A76" w:rsidRPr="00DA6A76" w:rsidRDefault="00DA6A76" w:rsidP="0030336F"/>
    <w:p w:rsidR="00DA6A76" w:rsidRPr="00DA6A76" w:rsidRDefault="00DA6A76" w:rsidP="0030336F">
      <w:r w:rsidRPr="00DA6A76">
        <w:t>As at 31 March 2013, there were</w:t>
      </w:r>
      <w:r w:rsidR="00C454CC">
        <w:t xml:space="preserve"> </w:t>
      </w:r>
      <w:r w:rsidRPr="00DA6A76">
        <w:t>3072 midwives with annual practising certificates on the Midwifery</w:t>
      </w:r>
      <w:r w:rsidR="0030336F">
        <w:t xml:space="preserve"> </w:t>
      </w:r>
      <w:r w:rsidRPr="00DA6A76">
        <w:t>Council of New Zealand</w:t>
      </w:r>
      <w:r w:rsidR="00C454CC">
        <w:t>’</w:t>
      </w:r>
      <w:r w:rsidRPr="00DA6A76">
        <w:t>s register – up from 2823 in 2009. At that date, there were</w:t>
      </w:r>
      <w:r w:rsidR="00C454CC">
        <w:t xml:space="preserve"> </w:t>
      </w:r>
      <w:r w:rsidRPr="00DA6A76">
        <w:t>33.6</w:t>
      </w:r>
      <w:r w:rsidR="0030336F">
        <w:t> </w:t>
      </w:r>
      <w:r w:rsidRPr="00DA6A76">
        <w:t>midwives per</w:t>
      </w:r>
      <w:r w:rsidR="0030336F">
        <w:t xml:space="preserve"> </w:t>
      </w:r>
      <w:r w:rsidRPr="00DA6A76">
        <w:t>10,000 women of childbearing age, up from 2009</w:t>
      </w:r>
      <w:r w:rsidR="00C454CC">
        <w:t>’</w:t>
      </w:r>
      <w:r w:rsidRPr="00DA6A76">
        <w:t>s ratio of 30.9.</w:t>
      </w:r>
    </w:p>
    <w:p w:rsidR="00DA6A76" w:rsidRPr="00DA6A76" w:rsidRDefault="00DA6A76" w:rsidP="0030336F"/>
    <w:p w:rsidR="00DA6A76" w:rsidRPr="00DA6A76" w:rsidRDefault="00DA6A76" w:rsidP="0030336F">
      <w:r w:rsidRPr="00DA6A76">
        <w:t>Fewer babies are being born in New Zealand. Statistics New Zealand figures show 58,717 live births in</w:t>
      </w:r>
      <w:r w:rsidR="0030336F">
        <w:t xml:space="preserve"> </w:t>
      </w:r>
      <w:r w:rsidRPr="00DA6A76">
        <w:t>2013 and 61,568 in 2012, down from annual averages of about 64,100 between 2007</w:t>
      </w:r>
      <w:r w:rsidR="00C454CC">
        <w:t xml:space="preserve"> </w:t>
      </w:r>
      <w:r w:rsidRPr="00DA6A76">
        <w:t>and 2010.</w:t>
      </w:r>
    </w:p>
    <w:p w:rsidR="00DA6A76" w:rsidRPr="00DA6A76" w:rsidRDefault="00DA6A76" w:rsidP="0030336F"/>
    <w:p w:rsidR="00DA6A76" w:rsidRPr="00DA6A76" w:rsidRDefault="00DA6A76" w:rsidP="0030336F">
      <w:pPr>
        <w:pStyle w:val="Table"/>
      </w:pPr>
      <w:bookmarkStart w:id="19" w:name="_Toc403834876"/>
      <w:r w:rsidRPr="00DA6A76">
        <w:t>Table 3: Midwifery workforce statistics</w:t>
      </w:r>
      <w:bookmarkEnd w:id="19"/>
    </w:p>
    <w:tbl>
      <w:tblPr>
        <w:tblW w:w="0" w:type="auto"/>
        <w:tblInd w:w="57" w:type="dxa"/>
        <w:tblLayout w:type="fixed"/>
        <w:tblCellMar>
          <w:left w:w="57" w:type="dxa"/>
          <w:right w:w="57" w:type="dxa"/>
        </w:tblCellMar>
        <w:tblLook w:val="01E0" w:firstRow="1" w:lastRow="1" w:firstColumn="1" w:lastColumn="1" w:noHBand="0" w:noVBand="0"/>
      </w:tblPr>
      <w:tblGrid>
        <w:gridCol w:w="816"/>
        <w:gridCol w:w="1054"/>
        <w:gridCol w:w="1674"/>
        <w:gridCol w:w="1701"/>
        <w:gridCol w:w="2355"/>
        <w:gridCol w:w="1756"/>
      </w:tblGrid>
      <w:tr w:rsidR="00DA6A76" w:rsidRPr="0089061D" w:rsidTr="0089061D">
        <w:trPr>
          <w:cantSplit/>
        </w:trPr>
        <w:tc>
          <w:tcPr>
            <w:tcW w:w="9356" w:type="dxa"/>
            <w:gridSpan w:val="6"/>
            <w:tcBorders>
              <w:top w:val="single" w:sz="4" w:space="0" w:color="auto"/>
              <w:left w:val="nil"/>
              <w:bottom w:val="single" w:sz="4" w:space="0" w:color="auto"/>
              <w:right w:val="nil"/>
            </w:tcBorders>
            <w:shd w:val="clear" w:color="auto" w:fill="F2F2F2" w:themeFill="background1" w:themeFillShade="F2"/>
          </w:tcPr>
          <w:p w:rsidR="00DA6A76" w:rsidRPr="0089061D" w:rsidRDefault="00DA6A76" w:rsidP="0089061D">
            <w:pPr>
              <w:pStyle w:val="TableText"/>
              <w:rPr>
                <w:b/>
              </w:rPr>
            </w:pPr>
            <w:r w:rsidRPr="0089061D">
              <w:rPr>
                <w:b/>
              </w:rPr>
              <w:t>Midwifery workforce*</w:t>
            </w:r>
          </w:p>
        </w:tc>
      </w:tr>
      <w:tr w:rsidR="00DA6A76" w:rsidRPr="0089061D" w:rsidTr="0089061D">
        <w:trPr>
          <w:cantSplit/>
        </w:trPr>
        <w:tc>
          <w:tcPr>
            <w:tcW w:w="816" w:type="dxa"/>
            <w:tcBorders>
              <w:top w:val="single" w:sz="4" w:space="0" w:color="auto"/>
              <w:left w:val="nil"/>
              <w:bottom w:val="single" w:sz="4" w:space="0" w:color="auto"/>
            </w:tcBorders>
            <w:shd w:val="clear" w:color="auto" w:fill="auto"/>
          </w:tcPr>
          <w:p w:rsidR="00DA6A76" w:rsidRPr="0089061D" w:rsidRDefault="00DA6A76" w:rsidP="0089061D">
            <w:pPr>
              <w:pStyle w:val="TableText"/>
              <w:jc w:val="center"/>
              <w:rPr>
                <w:b/>
              </w:rPr>
            </w:pPr>
            <w:r w:rsidRPr="0089061D">
              <w:rPr>
                <w:b/>
              </w:rPr>
              <w:t>Size</w:t>
            </w:r>
          </w:p>
        </w:tc>
        <w:tc>
          <w:tcPr>
            <w:tcW w:w="1054" w:type="dxa"/>
            <w:tcBorders>
              <w:top w:val="single" w:sz="4" w:space="0" w:color="auto"/>
              <w:bottom w:val="single" w:sz="4" w:space="0" w:color="auto"/>
            </w:tcBorders>
            <w:shd w:val="clear" w:color="auto" w:fill="auto"/>
          </w:tcPr>
          <w:p w:rsidR="00DA6A76" w:rsidRPr="0089061D" w:rsidRDefault="00DA6A76" w:rsidP="0089061D">
            <w:pPr>
              <w:pStyle w:val="TableText"/>
              <w:jc w:val="center"/>
              <w:rPr>
                <w:b/>
              </w:rPr>
            </w:pPr>
            <w:r w:rsidRPr="0089061D">
              <w:rPr>
                <w:b/>
              </w:rPr>
              <w:t>Age 50+</w:t>
            </w:r>
          </w:p>
        </w:tc>
        <w:tc>
          <w:tcPr>
            <w:tcW w:w="1674" w:type="dxa"/>
            <w:tcBorders>
              <w:top w:val="single" w:sz="4" w:space="0" w:color="auto"/>
              <w:bottom w:val="single" w:sz="4" w:space="0" w:color="auto"/>
            </w:tcBorders>
            <w:shd w:val="clear" w:color="auto" w:fill="auto"/>
          </w:tcPr>
          <w:p w:rsidR="00DA6A76" w:rsidRPr="0089061D" w:rsidRDefault="00DA6A76" w:rsidP="0089061D">
            <w:pPr>
              <w:pStyle w:val="TableText"/>
              <w:jc w:val="center"/>
              <w:rPr>
                <w:b/>
              </w:rPr>
            </w:pPr>
            <w:r w:rsidRPr="0089061D">
              <w:rPr>
                <w:b/>
              </w:rPr>
              <w:t>Gender split</w:t>
            </w:r>
          </w:p>
        </w:tc>
        <w:tc>
          <w:tcPr>
            <w:tcW w:w="1701" w:type="dxa"/>
            <w:tcBorders>
              <w:top w:val="single" w:sz="4" w:space="0" w:color="auto"/>
              <w:bottom w:val="single" w:sz="4" w:space="0" w:color="auto"/>
            </w:tcBorders>
            <w:shd w:val="clear" w:color="auto" w:fill="auto"/>
          </w:tcPr>
          <w:p w:rsidR="00DA6A76" w:rsidRPr="0089061D" w:rsidRDefault="00DA6A76" w:rsidP="0089061D">
            <w:pPr>
              <w:pStyle w:val="TableText"/>
              <w:jc w:val="center"/>
              <w:rPr>
                <w:b/>
              </w:rPr>
            </w:pPr>
            <w:r w:rsidRPr="0089061D">
              <w:rPr>
                <w:b/>
              </w:rPr>
              <w:t>Ethnicity^</w:t>
            </w:r>
          </w:p>
        </w:tc>
        <w:tc>
          <w:tcPr>
            <w:tcW w:w="2355" w:type="dxa"/>
            <w:tcBorders>
              <w:top w:val="single" w:sz="4" w:space="0" w:color="auto"/>
              <w:bottom w:val="single" w:sz="4" w:space="0" w:color="auto"/>
            </w:tcBorders>
            <w:shd w:val="clear" w:color="auto" w:fill="auto"/>
          </w:tcPr>
          <w:p w:rsidR="00DA6A76" w:rsidRPr="0089061D" w:rsidRDefault="00DA6A76" w:rsidP="0089061D">
            <w:pPr>
              <w:pStyle w:val="TableText"/>
              <w:jc w:val="center"/>
              <w:rPr>
                <w:b/>
              </w:rPr>
            </w:pPr>
            <w:r w:rsidRPr="0089061D">
              <w:rPr>
                <w:b/>
              </w:rPr>
              <w:t>Workplace#</w:t>
            </w:r>
          </w:p>
        </w:tc>
        <w:tc>
          <w:tcPr>
            <w:tcW w:w="1756" w:type="dxa"/>
            <w:tcBorders>
              <w:top w:val="single" w:sz="4" w:space="0" w:color="auto"/>
              <w:bottom w:val="single" w:sz="4" w:space="0" w:color="auto"/>
              <w:right w:val="nil"/>
            </w:tcBorders>
            <w:shd w:val="clear" w:color="auto" w:fill="auto"/>
          </w:tcPr>
          <w:p w:rsidR="00DA6A76" w:rsidRPr="0089061D" w:rsidRDefault="00DA6A76" w:rsidP="0089061D">
            <w:pPr>
              <w:pStyle w:val="TableText"/>
              <w:jc w:val="center"/>
              <w:rPr>
                <w:b/>
              </w:rPr>
            </w:pPr>
            <w:r w:rsidRPr="0089061D">
              <w:rPr>
                <w:b/>
              </w:rPr>
              <w:t>Qualified outside</w:t>
            </w:r>
            <w:r w:rsidR="0089061D">
              <w:rPr>
                <w:b/>
              </w:rPr>
              <w:t xml:space="preserve"> </w:t>
            </w:r>
            <w:r w:rsidRPr="0089061D">
              <w:rPr>
                <w:b/>
              </w:rPr>
              <w:t>New Zealand</w:t>
            </w:r>
          </w:p>
        </w:tc>
      </w:tr>
      <w:tr w:rsidR="00DA6A76" w:rsidRPr="00DA6A76" w:rsidTr="0089061D">
        <w:trPr>
          <w:cantSplit/>
        </w:trPr>
        <w:tc>
          <w:tcPr>
            <w:tcW w:w="816" w:type="dxa"/>
            <w:tcBorders>
              <w:top w:val="single" w:sz="4" w:space="0" w:color="auto"/>
              <w:left w:val="nil"/>
              <w:bottom w:val="single" w:sz="4" w:space="0" w:color="auto"/>
            </w:tcBorders>
            <w:shd w:val="clear" w:color="auto" w:fill="auto"/>
          </w:tcPr>
          <w:p w:rsidR="00DA6A76" w:rsidRPr="00DA6A76" w:rsidRDefault="00DA6A76" w:rsidP="0089061D">
            <w:pPr>
              <w:pStyle w:val="TableText"/>
              <w:jc w:val="center"/>
            </w:pPr>
            <w:r w:rsidRPr="00DA6A76">
              <w:t>3072</w:t>
            </w:r>
          </w:p>
        </w:tc>
        <w:tc>
          <w:tcPr>
            <w:tcW w:w="1054" w:type="dxa"/>
            <w:tcBorders>
              <w:top w:val="single" w:sz="4" w:space="0" w:color="auto"/>
              <w:bottom w:val="single" w:sz="4" w:space="0" w:color="auto"/>
            </w:tcBorders>
            <w:shd w:val="clear" w:color="auto" w:fill="auto"/>
          </w:tcPr>
          <w:p w:rsidR="00DA6A76" w:rsidRPr="00DA6A76" w:rsidRDefault="00DA6A76" w:rsidP="0089061D">
            <w:pPr>
              <w:pStyle w:val="TableText"/>
              <w:jc w:val="center"/>
            </w:pPr>
            <w:r w:rsidRPr="00DA6A76">
              <w:t>42.4%</w:t>
            </w:r>
          </w:p>
        </w:tc>
        <w:tc>
          <w:tcPr>
            <w:tcW w:w="1674" w:type="dxa"/>
            <w:tcBorders>
              <w:top w:val="single" w:sz="4" w:space="0" w:color="auto"/>
              <w:bottom w:val="single" w:sz="4" w:space="0" w:color="auto"/>
            </w:tcBorders>
            <w:shd w:val="clear" w:color="auto" w:fill="auto"/>
          </w:tcPr>
          <w:p w:rsidR="0089061D" w:rsidRDefault="00DA6A76" w:rsidP="0089061D">
            <w:pPr>
              <w:pStyle w:val="TableText"/>
              <w:tabs>
                <w:tab w:val="right" w:pos="1475"/>
              </w:tabs>
              <w:ind w:left="142"/>
            </w:pPr>
            <w:r w:rsidRPr="00DA6A76">
              <w:t>Female</w:t>
            </w:r>
            <w:r w:rsidR="0089061D">
              <w:tab/>
            </w:r>
            <w:r w:rsidRPr="00DA6A76">
              <w:t>99.8%</w:t>
            </w:r>
          </w:p>
          <w:p w:rsidR="00DA6A76" w:rsidRPr="00DA6A76" w:rsidRDefault="00DA6A76" w:rsidP="0089061D">
            <w:pPr>
              <w:pStyle w:val="TableText"/>
              <w:tabs>
                <w:tab w:val="right" w:pos="1475"/>
              </w:tabs>
              <w:ind w:left="142"/>
            </w:pPr>
            <w:r w:rsidRPr="00DA6A76">
              <w:t>Male</w:t>
            </w:r>
            <w:r w:rsidRPr="00DA6A76">
              <w:tab/>
              <w:t>0.2%</w:t>
            </w:r>
          </w:p>
        </w:tc>
        <w:tc>
          <w:tcPr>
            <w:tcW w:w="1701" w:type="dxa"/>
            <w:tcBorders>
              <w:top w:val="single" w:sz="4" w:space="0" w:color="auto"/>
              <w:bottom w:val="single" w:sz="4" w:space="0" w:color="auto"/>
            </w:tcBorders>
            <w:shd w:val="clear" w:color="auto" w:fill="auto"/>
          </w:tcPr>
          <w:p w:rsidR="0089061D" w:rsidRDefault="00DA6A76" w:rsidP="0089061D">
            <w:pPr>
              <w:pStyle w:val="TableText"/>
              <w:tabs>
                <w:tab w:val="right" w:pos="1502"/>
              </w:tabs>
              <w:ind w:left="57"/>
            </w:pPr>
            <w:r w:rsidRPr="00DA6A76">
              <w:t>European</w:t>
            </w:r>
            <w:r w:rsidR="0089061D">
              <w:tab/>
            </w:r>
            <w:r w:rsidRPr="00DA6A76">
              <w:t>88.9%</w:t>
            </w:r>
          </w:p>
          <w:p w:rsidR="00DA6A76" w:rsidRPr="00DA6A76" w:rsidRDefault="00DA6A76" w:rsidP="0089061D">
            <w:pPr>
              <w:pStyle w:val="TableText"/>
              <w:tabs>
                <w:tab w:val="right" w:pos="1502"/>
              </w:tabs>
              <w:ind w:left="57"/>
            </w:pPr>
            <w:r w:rsidRPr="00DA6A76">
              <w:t>Māori</w:t>
            </w:r>
            <w:r w:rsidRPr="00DA6A76">
              <w:tab/>
              <w:t>5.2%</w:t>
            </w:r>
          </w:p>
        </w:tc>
        <w:tc>
          <w:tcPr>
            <w:tcW w:w="2355" w:type="dxa"/>
            <w:tcBorders>
              <w:top w:val="single" w:sz="4" w:space="0" w:color="auto"/>
              <w:bottom w:val="single" w:sz="4" w:space="0" w:color="auto"/>
            </w:tcBorders>
            <w:shd w:val="clear" w:color="auto" w:fill="auto"/>
          </w:tcPr>
          <w:p w:rsidR="0089061D" w:rsidRDefault="00DA6A76" w:rsidP="0089061D">
            <w:pPr>
              <w:pStyle w:val="TableText"/>
              <w:tabs>
                <w:tab w:val="right" w:pos="2211"/>
              </w:tabs>
              <w:ind w:left="57"/>
            </w:pPr>
            <w:r w:rsidRPr="00DA6A76">
              <w:t>DHB employed</w:t>
            </w:r>
            <w:r w:rsidRPr="00DA6A76">
              <w:tab/>
              <w:t>54%</w:t>
            </w:r>
          </w:p>
          <w:p w:rsidR="00DA6A76" w:rsidRPr="00DA6A76" w:rsidRDefault="00DA6A76" w:rsidP="0089061D">
            <w:pPr>
              <w:pStyle w:val="TableText"/>
              <w:tabs>
                <w:tab w:val="right" w:pos="2211"/>
              </w:tabs>
              <w:ind w:left="57"/>
            </w:pPr>
            <w:r w:rsidRPr="00DA6A76">
              <w:t>Self-employed</w:t>
            </w:r>
            <w:r w:rsidR="0089061D">
              <w:t xml:space="preserve"> </w:t>
            </w:r>
            <w:r w:rsidRPr="00DA6A76">
              <w:t>LMC</w:t>
            </w:r>
            <w:r w:rsidR="0089061D">
              <w:tab/>
            </w:r>
            <w:r w:rsidRPr="00DA6A76">
              <w:t>32%</w:t>
            </w:r>
          </w:p>
        </w:tc>
        <w:tc>
          <w:tcPr>
            <w:tcW w:w="1756" w:type="dxa"/>
            <w:tcBorders>
              <w:top w:val="single" w:sz="4" w:space="0" w:color="auto"/>
              <w:bottom w:val="single" w:sz="4" w:space="0" w:color="auto"/>
              <w:right w:val="nil"/>
            </w:tcBorders>
            <w:shd w:val="clear" w:color="auto" w:fill="auto"/>
          </w:tcPr>
          <w:p w:rsidR="00DA6A76" w:rsidRPr="00DA6A76" w:rsidRDefault="00DA6A76" w:rsidP="0089061D">
            <w:pPr>
              <w:pStyle w:val="TableText"/>
              <w:jc w:val="center"/>
            </w:pPr>
            <w:r w:rsidRPr="00DA6A76">
              <w:t>34%</w:t>
            </w:r>
          </w:p>
        </w:tc>
      </w:tr>
    </w:tbl>
    <w:p w:rsidR="00DA6A76" w:rsidRPr="00DA6A76" w:rsidRDefault="00DA6A76" w:rsidP="0089061D">
      <w:pPr>
        <w:pStyle w:val="Note"/>
      </w:pPr>
      <w:r w:rsidRPr="00DA6A76">
        <w:t>*</w:t>
      </w:r>
      <w:r w:rsidR="0089061D">
        <w:tab/>
      </w:r>
      <w:r w:rsidRPr="00DA6A76">
        <w:t>Annual practising certificates, 31 March 2013, and the Midwifery Council</w:t>
      </w:r>
      <w:r w:rsidR="00C454CC">
        <w:t>’</w:t>
      </w:r>
      <w:r w:rsidRPr="00DA6A76">
        <w:t>s September 2012 survey.</w:t>
      </w:r>
    </w:p>
    <w:p w:rsidR="00DA6A76" w:rsidRPr="00DA6A76" w:rsidRDefault="00DA6A76" w:rsidP="0089061D">
      <w:pPr>
        <w:pStyle w:val="Note"/>
      </w:pPr>
      <w:r w:rsidRPr="00DA6A76">
        <w:t>^</w:t>
      </w:r>
      <w:r w:rsidR="0089061D">
        <w:tab/>
      </w:r>
      <w:r w:rsidRPr="00DA6A76">
        <w:t>This figure relates to primary identified ethnicity.</w:t>
      </w:r>
    </w:p>
    <w:p w:rsidR="00DA6A76" w:rsidRPr="00DA6A76" w:rsidRDefault="00DA6A76" w:rsidP="0089061D">
      <w:pPr>
        <w:pStyle w:val="Note"/>
      </w:pPr>
      <w:r w:rsidRPr="00DA6A76">
        <w:t>#</w:t>
      </w:r>
      <w:r w:rsidR="0089061D">
        <w:tab/>
      </w:r>
      <w:r w:rsidRPr="00DA6A76">
        <w:t>Main place of employment.</w:t>
      </w:r>
    </w:p>
    <w:p w:rsidR="00DA6A76" w:rsidRPr="00DA6A76" w:rsidRDefault="00DA6A76" w:rsidP="0089061D"/>
    <w:p w:rsidR="00DA6A76" w:rsidRPr="00DA6A76" w:rsidRDefault="00DA6A76" w:rsidP="0089061D">
      <w:r w:rsidRPr="00DA6A76">
        <w:t>Midwifery is an almost exclusively female profession, with just six men in the workforce as at 31 March</w:t>
      </w:r>
      <w:r w:rsidR="0089061D">
        <w:t xml:space="preserve"> </w:t>
      </w:r>
      <w:r w:rsidRPr="00DA6A76">
        <w:t>2013. Three are self-employed lead maternity carers (LMCs),</w:t>
      </w:r>
      <w:r w:rsidR="0089061D">
        <w:rPr>
          <w:rStyle w:val="FootnoteReference"/>
        </w:rPr>
        <w:footnoteReference w:id="19"/>
      </w:r>
      <w:r w:rsidR="0089061D">
        <w:t xml:space="preserve"> </w:t>
      </w:r>
      <w:r w:rsidRPr="00DA6A76">
        <w:t>and three are hospital employees working shifts in maternity units.</w:t>
      </w:r>
    </w:p>
    <w:p w:rsidR="00DA6A76" w:rsidRPr="00DA6A76" w:rsidRDefault="00DA6A76" w:rsidP="0089061D"/>
    <w:p w:rsidR="00DA6A76" w:rsidRPr="00DA6A76" w:rsidRDefault="00DA6A76" w:rsidP="0089061D">
      <w:r w:rsidRPr="00DA6A76">
        <w:t>Other figures in this section are from the Midwifery Council</w:t>
      </w:r>
      <w:r w:rsidR="00C454CC">
        <w:t>’</w:t>
      </w:r>
      <w:r w:rsidRPr="00DA6A76">
        <w:t>s September 2012 workforce survey – the most recent available – unless otherwise stated.</w:t>
      </w:r>
    </w:p>
    <w:p w:rsidR="00DA6A76" w:rsidRPr="00DA6A76" w:rsidRDefault="00DA6A76" w:rsidP="0089061D"/>
    <w:p w:rsidR="00DA6A76" w:rsidRPr="00DA6A76" w:rsidRDefault="00DA6A76" w:rsidP="0089061D">
      <w:r w:rsidRPr="00DA6A76">
        <w:t>The average age for midwives in 2012 was 46.8 years, down from 47 in 2009 and 47.2 in 2010. Almost six in 10 midwives (58%) had been in practice for more than 15 years, and about four</w:t>
      </w:r>
      <w:r w:rsidR="00C454CC">
        <w:t xml:space="preserve"> </w:t>
      </w:r>
      <w:r w:rsidRPr="00DA6A76">
        <w:t>in 10</w:t>
      </w:r>
      <w:r w:rsidR="0089061D">
        <w:t> </w:t>
      </w:r>
      <w:r w:rsidRPr="00DA6A76">
        <w:t>midwives (42.4%)</w:t>
      </w:r>
      <w:r w:rsidR="00C454CC">
        <w:t xml:space="preserve"> </w:t>
      </w:r>
      <w:r w:rsidRPr="00DA6A76">
        <w:t>were</w:t>
      </w:r>
      <w:r w:rsidR="00C454CC">
        <w:t xml:space="preserve"> </w:t>
      </w:r>
      <w:r w:rsidRPr="00DA6A76">
        <w:t>aged over</w:t>
      </w:r>
      <w:r w:rsidR="00C454CC">
        <w:t xml:space="preserve"> </w:t>
      </w:r>
      <w:r w:rsidRPr="00DA6A76">
        <w:t>50.</w:t>
      </w:r>
    </w:p>
    <w:p w:rsidR="00DA6A76" w:rsidRPr="00DA6A76" w:rsidRDefault="00DA6A76" w:rsidP="0089061D"/>
    <w:p w:rsidR="00DA6A76" w:rsidRPr="00DA6A76" w:rsidRDefault="00DA6A76" w:rsidP="0089061D">
      <w:r w:rsidRPr="00DA6A76">
        <w:t>The age profile for midwives is slowly changing, in part due to an increase in student numbers enrolled in midwifery degrees in New Zealand. The proportions of midwives aged 20–24 and 25–29 have risen since 2010, when 126 new</w:t>
      </w:r>
      <w:r w:rsidR="00C454CC">
        <w:t xml:space="preserve"> </w:t>
      </w:r>
      <w:r w:rsidRPr="00DA6A76">
        <w:t>midwives – the first graduates of the expanded student intake – joined the workforce, compared with the previous annual average of 106. Graduate numbers have risen steadily since then, up to 147 in 2013/14. Midwifery is a profession that traditionally attracts older trainees, but midwifery schools report that the average age of students is falling.</w:t>
      </w:r>
    </w:p>
    <w:p w:rsidR="00DA6A76" w:rsidRPr="00DA6A76" w:rsidRDefault="00DA6A76" w:rsidP="0089061D"/>
    <w:p w:rsidR="00DA6A76" w:rsidRPr="0089061D" w:rsidRDefault="00DA6A76" w:rsidP="0089061D">
      <w:r w:rsidRPr="00DA6A76">
        <w:t>The percentage of midwives identifying Māori as their first ethnicity in 2012 was 5.2 percent, up from</w:t>
      </w:r>
      <w:r w:rsidR="0089061D">
        <w:t xml:space="preserve"> </w:t>
      </w:r>
      <w:r w:rsidRPr="00DA6A76">
        <w:t>4.6 percent in 2009. Māori midwives are in demand, particularly in rural areas, where anecdotal reports suggest workloads are rising due to the increasing expectations of whānau.</w:t>
      </w:r>
      <w:r w:rsidR="0089061D">
        <w:rPr>
          <w:rStyle w:val="FootnoteReference"/>
        </w:rPr>
        <w:footnoteReference w:id="20"/>
      </w:r>
    </w:p>
    <w:p w:rsidR="00DA6A76" w:rsidRPr="00DA6A76" w:rsidRDefault="00DA6A76" w:rsidP="0089061D"/>
    <w:p w:rsidR="00DA6A76" w:rsidRPr="00DA6A76" w:rsidRDefault="00DA6A76" w:rsidP="0089061D">
      <w:r w:rsidRPr="00DA6A76">
        <w:t>About four</w:t>
      </w:r>
      <w:r w:rsidR="00C454CC">
        <w:t xml:space="preserve"> </w:t>
      </w:r>
      <w:r w:rsidRPr="00DA6A76">
        <w:t>in 10 midwives (42%) worked 32 hours a week</w:t>
      </w:r>
      <w:r w:rsidR="00C454CC">
        <w:t xml:space="preserve"> </w:t>
      </w:r>
      <w:r w:rsidRPr="00DA6A76">
        <w:t>or less in 2012 (0.75 FTE based on a 40-hour week)</w:t>
      </w:r>
      <w:r w:rsidR="00C454CC">
        <w:t xml:space="preserve"> </w:t>
      </w:r>
      <w:r w:rsidRPr="00DA6A76">
        <w:t>– a slight rise on 2009</w:t>
      </w:r>
      <w:r w:rsidR="00C454CC">
        <w:t>’</w:t>
      </w:r>
      <w:r w:rsidRPr="00DA6A76">
        <w:t>s figure of 39.8 percent.</w:t>
      </w:r>
      <w:r w:rsidR="0089061D">
        <w:rPr>
          <w:rStyle w:val="FootnoteReference"/>
        </w:rPr>
        <w:footnoteReference w:id="21"/>
      </w:r>
      <w:r w:rsidR="0089061D">
        <w:t xml:space="preserve"> </w:t>
      </w:r>
      <w:r w:rsidRPr="00DA6A76">
        <w:t>That year</w:t>
      </w:r>
      <w:r w:rsidR="00C454CC">
        <w:t xml:space="preserve"> </w:t>
      </w:r>
      <w:r w:rsidRPr="00DA6A76">
        <w:t>LMC midwives cared for an average of</w:t>
      </w:r>
      <w:r w:rsidR="0089061D">
        <w:t xml:space="preserve"> </w:t>
      </w:r>
      <w:r w:rsidRPr="00DA6A76">
        <w:t>42 women a year. The recommended caseload is 40 to 60.</w:t>
      </w:r>
    </w:p>
    <w:p w:rsidR="00DA6A76" w:rsidRPr="00DA6A76" w:rsidRDefault="00DA6A76" w:rsidP="0089061D"/>
    <w:p w:rsidR="00DA6A76" w:rsidRPr="00DA6A76" w:rsidRDefault="00DA6A76" w:rsidP="0089061D">
      <w:r w:rsidRPr="00DA6A76">
        <w:t>Midwives provide the majority of maternity services in rural areas, either as self-employed LMCs – who may travel from the nearest city – or as core</w:t>
      </w:r>
      <w:r w:rsidR="00C454CC">
        <w:t xml:space="preserve"> </w:t>
      </w:r>
      <w:r w:rsidRPr="00DA6A76">
        <w:t>midwives, who</w:t>
      </w:r>
      <w:r w:rsidR="00C454CC">
        <w:t xml:space="preserve"> </w:t>
      </w:r>
      <w:r w:rsidRPr="00DA6A76">
        <w:t>work</w:t>
      </w:r>
      <w:r w:rsidR="00C454CC">
        <w:t xml:space="preserve"> </w:t>
      </w:r>
      <w:r w:rsidRPr="00DA6A76">
        <w:t>shifts in hospitals.</w:t>
      </w:r>
    </w:p>
    <w:p w:rsidR="00DA6A76" w:rsidRPr="00DA6A76" w:rsidRDefault="00DA6A76" w:rsidP="0089061D"/>
    <w:p w:rsidR="00DA6A76" w:rsidRPr="0089061D" w:rsidRDefault="00DA6A76" w:rsidP="0089061D">
      <w:r w:rsidRPr="00DA6A76">
        <w:t>About two-thirds of practising midwives work</w:t>
      </w:r>
      <w:r w:rsidR="00C454CC">
        <w:t xml:space="preserve"> </w:t>
      </w:r>
      <w:r w:rsidRPr="00DA6A76">
        <w:t>in the North Island, where a number of DHBs report staff shortages, according to the Midwifery and Maternity Provider Organisation</w:t>
      </w:r>
      <w:r w:rsidR="00C454CC">
        <w:t>’</w:t>
      </w:r>
      <w:r w:rsidRPr="00DA6A76">
        <w:t>s (MMPO) annual workforce mapping</w:t>
      </w:r>
      <w:r w:rsidR="0089061D">
        <w:t xml:space="preserve"> </w:t>
      </w:r>
      <w:r w:rsidRPr="00DA6A76">
        <w:t>project.</w:t>
      </w:r>
      <w:r w:rsidR="0089061D">
        <w:rPr>
          <w:rStyle w:val="FootnoteReference"/>
        </w:rPr>
        <w:footnoteReference w:id="22"/>
      </w:r>
    </w:p>
    <w:p w:rsidR="00C3167A" w:rsidRDefault="00C3167A" w:rsidP="0089061D"/>
    <w:p w:rsidR="00DA6A76" w:rsidRPr="00DA6A76" w:rsidRDefault="00DA6A76" w:rsidP="0089061D">
      <w:pPr>
        <w:pStyle w:val="Figure"/>
      </w:pPr>
      <w:bookmarkStart w:id="20" w:name="_Toc403834884"/>
      <w:r w:rsidRPr="00DA6A76">
        <w:t>Figure 6: Hard-to-staff communities for midwives on the</w:t>
      </w:r>
      <w:r w:rsidR="00DD3A1E">
        <w:t xml:space="preserve"> </w:t>
      </w:r>
      <w:r w:rsidRPr="00DA6A76">
        <w:t>2015 Voluntary Bonding Scheme</w:t>
      </w:r>
      <w:bookmarkEnd w:id="20"/>
    </w:p>
    <w:p w:rsidR="00DA6A76" w:rsidRPr="00DA6A76" w:rsidRDefault="0089061D" w:rsidP="0089061D">
      <w:r w:rsidRPr="0089061D">
        <w:rPr>
          <w:noProof/>
          <w:lang w:eastAsia="en-NZ"/>
        </w:rPr>
        <w:drawing>
          <wp:inline distT="0" distB="0" distL="0" distR="0" wp14:anchorId="6A7FB87A" wp14:editId="40D5021A">
            <wp:extent cx="4206240" cy="5770764"/>
            <wp:effectExtent l="0" t="0" r="3810" b="1905"/>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2664"/>
                    <a:stretch/>
                  </pic:blipFill>
                  <pic:spPr bwMode="auto">
                    <a:xfrm>
                      <a:off x="0" y="0"/>
                      <a:ext cx="4209524" cy="5775269"/>
                    </a:xfrm>
                    <a:prstGeom prst="rect">
                      <a:avLst/>
                    </a:prstGeom>
                    <a:ln>
                      <a:noFill/>
                    </a:ln>
                    <a:extLst>
                      <a:ext uri="{53640926-AAD7-44D8-BBD7-CCE9431645EC}">
                        <a14:shadowObscured xmlns:a14="http://schemas.microsoft.com/office/drawing/2010/main"/>
                      </a:ext>
                    </a:extLst>
                  </pic:spPr>
                </pic:pic>
              </a:graphicData>
            </a:graphic>
          </wp:inline>
        </w:drawing>
      </w:r>
    </w:p>
    <w:p w:rsidR="0089061D" w:rsidRDefault="0089061D" w:rsidP="0089061D"/>
    <w:p w:rsidR="00DA6A76" w:rsidRPr="00DA6A76" w:rsidRDefault="00DA6A76" w:rsidP="0089061D">
      <w:r w:rsidRPr="00DA6A76">
        <w:t>The South Island</w:t>
      </w:r>
      <w:r w:rsidR="00C454CC">
        <w:t>’</w:t>
      </w:r>
      <w:r w:rsidRPr="00DA6A76">
        <w:t>s workforce is more stable, but rural communities across the country are vulnerable to shortages should a midwife retire or leave the area. It can</w:t>
      </w:r>
      <w:r w:rsidR="00C454CC">
        <w:t xml:space="preserve"> </w:t>
      </w:r>
      <w:r w:rsidRPr="00DA6A76">
        <w:t>take up to two years to recruit a replacement – especially if</w:t>
      </w:r>
      <w:r w:rsidR="00DD3A1E">
        <w:t xml:space="preserve"> </w:t>
      </w:r>
      <w:r w:rsidRPr="00DA6A76">
        <w:t>an experienced midwife with a large caseload departs.</w:t>
      </w:r>
      <w:r w:rsidR="00DD3A1E">
        <w:t xml:space="preserve"> </w:t>
      </w:r>
      <w:r w:rsidRPr="00DA6A76">
        <w:t>The Voluntary Bonding Scheme signals hard-to-staff communities for</w:t>
      </w:r>
      <w:r w:rsidR="00DD3A1E">
        <w:t xml:space="preserve"> </w:t>
      </w:r>
      <w:r w:rsidRPr="00DA6A76">
        <w:t>midwives – see Figure 6.</w:t>
      </w:r>
    </w:p>
    <w:p w:rsidR="00C3167A" w:rsidRDefault="00C3167A" w:rsidP="0089061D"/>
    <w:p w:rsidR="00DA6A76" w:rsidRPr="00DA6A76" w:rsidRDefault="00DA6A76" w:rsidP="0089061D">
      <w:r w:rsidRPr="00DA6A76">
        <w:t>The MMPO</w:t>
      </w:r>
      <w:r w:rsidR="00C454CC">
        <w:t>’</w:t>
      </w:r>
      <w:r w:rsidRPr="00DA6A76">
        <w:t>s mapping project found the number of hospital midwives dropped by 99 in the two years between</w:t>
      </w:r>
      <w:r w:rsidR="00DD3A1E">
        <w:t xml:space="preserve"> </w:t>
      </w:r>
      <w:r w:rsidRPr="00DA6A76">
        <w:t>2011 and 2013, down from 1444 to 1345. This</w:t>
      </w:r>
      <w:r w:rsidR="00C454CC">
        <w:t xml:space="preserve"> </w:t>
      </w:r>
      <w:r w:rsidRPr="00DA6A76">
        <w:t>was in part due to some midwives in rural areas choosing to become self- employed LMCs.</w:t>
      </w:r>
    </w:p>
    <w:p w:rsidR="00DA6A76" w:rsidRPr="00DA6A76" w:rsidRDefault="00DA6A76" w:rsidP="0089061D"/>
    <w:p w:rsidR="00DA6A76" w:rsidRPr="00DA6A76" w:rsidRDefault="00DA6A76" w:rsidP="0089061D">
      <w:r w:rsidRPr="00DA6A76">
        <w:t>Overseas-trained midwives made up</w:t>
      </w:r>
      <w:r w:rsidR="00DD3A1E">
        <w:t xml:space="preserve"> </w:t>
      </w:r>
      <w:r w:rsidRPr="00DA6A76">
        <w:t>34 percent of the midwifery workforce in 2012 (down from 36.6</w:t>
      </w:r>
      <w:r w:rsidR="0089061D">
        <w:t> </w:t>
      </w:r>
      <w:r w:rsidRPr="00DA6A76">
        <w:t>percent in</w:t>
      </w:r>
      <w:r w:rsidR="00DD3A1E">
        <w:t xml:space="preserve"> </w:t>
      </w:r>
      <w:r w:rsidRPr="00DA6A76">
        <w:t>2009). The majority were</w:t>
      </w:r>
      <w:r w:rsidR="00C454CC">
        <w:t xml:space="preserve"> </w:t>
      </w:r>
      <w:r w:rsidRPr="00DA6A76">
        <w:t>from the UK,</w:t>
      </w:r>
      <w:r w:rsidR="00DD3A1E">
        <w:t xml:space="preserve"> </w:t>
      </w:r>
      <w:r w:rsidRPr="00DA6A76">
        <w:t>followed by Australia.</w:t>
      </w:r>
    </w:p>
    <w:p w:rsidR="00C3167A" w:rsidRDefault="00C3167A" w:rsidP="0089061D"/>
    <w:p w:rsidR="00DA6A76" w:rsidRPr="00DA6A76" w:rsidRDefault="00DA6A76" w:rsidP="0089061D">
      <w:r w:rsidRPr="00DA6A76">
        <w:t>New Zealand graduates tend to stay</w:t>
      </w:r>
      <w:r w:rsidR="00C454CC">
        <w:t xml:space="preserve"> </w:t>
      </w:r>
      <w:r w:rsidRPr="00DA6A76">
        <w:t>in the workforce longer; a number of overseas-trained midwives</w:t>
      </w:r>
      <w:r w:rsidR="00DD3A1E">
        <w:t xml:space="preserve"> </w:t>
      </w:r>
      <w:r w:rsidRPr="00DA6A76">
        <w:t>come to New Zealand for international experience or a working holiday.</w:t>
      </w:r>
    </w:p>
    <w:p w:rsidR="00DA6A76" w:rsidRPr="00DA6A76" w:rsidRDefault="00DA6A76" w:rsidP="0089061D"/>
    <w:p w:rsidR="00DA6A76" w:rsidRPr="00DA6A76" w:rsidRDefault="00DA6A76" w:rsidP="0089061D">
      <w:pPr>
        <w:pStyle w:val="Heading2"/>
      </w:pPr>
      <w:bookmarkStart w:id="21" w:name="_Toc403834860"/>
      <w:r w:rsidRPr="00DA6A76">
        <w:t>Allied health workers</w:t>
      </w:r>
      <w:bookmarkEnd w:id="21"/>
    </w:p>
    <w:p w:rsidR="00DA6A76" w:rsidRPr="00DA6A76" w:rsidRDefault="00DA6A76" w:rsidP="0089061D">
      <w:r w:rsidRPr="00DA6A76">
        <w:t>There are more than 40 professions in the allied health, science and technical workforce,</w:t>
      </w:r>
      <w:r w:rsidR="0089061D">
        <w:rPr>
          <w:rStyle w:val="FootnoteReference"/>
        </w:rPr>
        <w:footnoteReference w:id="23"/>
      </w:r>
      <w:r w:rsidR="0089061D">
        <w:t xml:space="preserve"> </w:t>
      </w:r>
      <w:r w:rsidRPr="00DA6A76">
        <w:t>which includes those who</w:t>
      </w:r>
      <w:r w:rsidR="00C454CC">
        <w:t xml:space="preserve"> </w:t>
      </w:r>
      <w:r w:rsidRPr="00DA6A76">
        <w:t>provide technical and scientific expertise to support the diagnosis, monitoring, management and treatment of health conditions.</w:t>
      </w:r>
    </w:p>
    <w:p w:rsidR="00DA6A76" w:rsidRPr="00DA6A76" w:rsidRDefault="00DA6A76" w:rsidP="0089061D"/>
    <w:p w:rsidR="00DA6A76" w:rsidRPr="00DA6A76" w:rsidRDefault="00DA6A76" w:rsidP="0089061D">
      <w:r w:rsidRPr="00DA6A76">
        <w:t>This</w:t>
      </w:r>
      <w:r w:rsidR="00C454CC">
        <w:t xml:space="preserve"> </w:t>
      </w:r>
      <w:r w:rsidRPr="00DA6A76">
        <w:t>workforce is becoming critical for addressing health targets, especially the diagnosis of chronic and non-communicable conditions such as cancer and heart disease.</w:t>
      </w:r>
    </w:p>
    <w:p w:rsidR="00DA6A76" w:rsidRPr="00DA6A76" w:rsidRDefault="00DA6A76" w:rsidP="0089061D"/>
    <w:p w:rsidR="00DA6A76" w:rsidRPr="00DA6A76" w:rsidRDefault="00DA6A76" w:rsidP="0089061D">
      <w:r w:rsidRPr="00DA6A76">
        <w:t>About 20 allied health professions are regulated under the HPCA Act 2003. A list of these professions can</w:t>
      </w:r>
      <w:r w:rsidR="00C454CC">
        <w:t xml:space="preserve"> </w:t>
      </w:r>
      <w:r w:rsidRPr="00DA6A76">
        <w:t>be found in Appendix 4.</w:t>
      </w:r>
    </w:p>
    <w:p w:rsidR="00DA6A76" w:rsidRPr="00DA6A76" w:rsidRDefault="00DA6A76" w:rsidP="0089061D"/>
    <w:p w:rsidR="00DA6A76" w:rsidRPr="00DA6A76" w:rsidRDefault="00DA6A76" w:rsidP="0089061D">
      <w:pPr>
        <w:pStyle w:val="Table"/>
      </w:pPr>
      <w:bookmarkStart w:id="22" w:name="_Toc403834877"/>
      <w:r w:rsidRPr="00DA6A76">
        <w:t>Table 4: Allied health workforce statistics</w:t>
      </w:r>
      <w:bookmarkEnd w:id="22"/>
    </w:p>
    <w:tbl>
      <w:tblPr>
        <w:tblW w:w="0" w:type="auto"/>
        <w:tblInd w:w="57" w:type="dxa"/>
        <w:tblLayout w:type="fixed"/>
        <w:tblCellMar>
          <w:left w:w="57" w:type="dxa"/>
          <w:right w:w="57" w:type="dxa"/>
        </w:tblCellMar>
        <w:tblLook w:val="01E0" w:firstRow="1" w:lastRow="1" w:firstColumn="1" w:lastColumn="1" w:noHBand="0" w:noVBand="0"/>
      </w:tblPr>
      <w:tblGrid>
        <w:gridCol w:w="829"/>
        <w:gridCol w:w="3054"/>
        <w:gridCol w:w="1322"/>
        <w:gridCol w:w="1146"/>
      </w:tblGrid>
      <w:tr w:rsidR="0089061D" w:rsidRPr="0089061D" w:rsidTr="0089061D">
        <w:trPr>
          <w:cantSplit/>
        </w:trPr>
        <w:tc>
          <w:tcPr>
            <w:tcW w:w="6351" w:type="dxa"/>
            <w:gridSpan w:val="4"/>
            <w:tcBorders>
              <w:top w:val="single" w:sz="4" w:space="0" w:color="auto"/>
              <w:left w:val="nil"/>
              <w:bottom w:val="single" w:sz="4" w:space="0" w:color="auto"/>
              <w:right w:val="nil"/>
            </w:tcBorders>
            <w:shd w:val="clear" w:color="auto" w:fill="F2F2F2" w:themeFill="background1" w:themeFillShade="F2"/>
          </w:tcPr>
          <w:p w:rsidR="0089061D" w:rsidRPr="0089061D" w:rsidRDefault="0089061D" w:rsidP="0089061D">
            <w:pPr>
              <w:pStyle w:val="TableText"/>
              <w:rPr>
                <w:b/>
              </w:rPr>
            </w:pPr>
            <w:r>
              <w:rPr>
                <w:b/>
              </w:rPr>
              <w:t>Allied health workforce</w:t>
            </w:r>
          </w:p>
        </w:tc>
      </w:tr>
      <w:tr w:rsidR="0089061D" w:rsidRPr="00DA6A76" w:rsidTr="0089061D">
        <w:trPr>
          <w:cantSplit/>
        </w:trPr>
        <w:tc>
          <w:tcPr>
            <w:tcW w:w="6351" w:type="dxa"/>
            <w:gridSpan w:val="4"/>
            <w:tcBorders>
              <w:top w:val="single" w:sz="4" w:space="0" w:color="auto"/>
              <w:left w:val="nil"/>
              <w:bottom w:val="nil"/>
              <w:right w:val="nil"/>
            </w:tcBorders>
          </w:tcPr>
          <w:p w:rsidR="0089061D" w:rsidRPr="00DA6A76" w:rsidRDefault="0089061D" w:rsidP="0089061D">
            <w:pPr>
              <w:pStyle w:val="TableText"/>
            </w:pPr>
            <w:r w:rsidRPr="00DA6A76">
              <w:t>23,966* in professions with annual practising certificates, for example:</w:t>
            </w:r>
          </w:p>
        </w:tc>
      </w:tr>
      <w:tr w:rsidR="00DA6A76" w:rsidRPr="00DA6A76" w:rsidTr="0089061D">
        <w:trPr>
          <w:cantSplit/>
        </w:trPr>
        <w:tc>
          <w:tcPr>
            <w:tcW w:w="829" w:type="dxa"/>
            <w:tcBorders>
              <w:top w:val="nil"/>
              <w:left w:val="nil"/>
              <w:bottom w:val="nil"/>
              <w:right w:val="nil"/>
            </w:tcBorders>
          </w:tcPr>
          <w:p w:rsidR="00DA6A76" w:rsidRPr="00DA6A76" w:rsidRDefault="00DA6A76" w:rsidP="007E11C3">
            <w:pPr>
              <w:pStyle w:val="TableText"/>
              <w:tabs>
                <w:tab w:val="decimal" w:pos="510"/>
              </w:tabs>
            </w:pPr>
            <w:r w:rsidRPr="00DA6A76">
              <w:t>555</w:t>
            </w:r>
          </w:p>
        </w:tc>
        <w:tc>
          <w:tcPr>
            <w:tcW w:w="3054" w:type="dxa"/>
            <w:tcBorders>
              <w:top w:val="nil"/>
              <w:left w:val="nil"/>
              <w:bottom w:val="nil"/>
              <w:right w:val="nil"/>
            </w:tcBorders>
          </w:tcPr>
          <w:p w:rsidR="00DA6A76" w:rsidRPr="00DA6A76" w:rsidRDefault="00DA6A76" w:rsidP="0089061D">
            <w:pPr>
              <w:pStyle w:val="TableText"/>
            </w:pPr>
            <w:r w:rsidRPr="00DA6A76">
              <w:t>dietitians</w:t>
            </w:r>
          </w:p>
        </w:tc>
        <w:tc>
          <w:tcPr>
            <w:tcW w:w="2468" w:type="dxa"/>
            <w:gridSpan w:val="2"/>
            <w:tcBorders>
              <w:top w:val="nil"/>
              <w:left w:val="nil"/>
              <w:bottom w:val="nil"/>
              <w:right w:val="nil"/>
            </w:tcBorders>
          </w:tcPr>
          <w:p w:rsidR="00DA6A76" w:rsidRPr="00DA6A76" w:rsidRDefault="00DA6A76" w:rsidP="0024000F">
            <w:pPr>
              <w:pStyle w:val="TableText"/>
              <w:jc w:val="right"/>
            </w:pPr>
            <w:r w:rsidRPr="00DA6A76">
              <w:t>(527 in March 2009)</w:t>
            </w:r>
          </w:p>
        </w:tc>
      </w:tr>
      <w:tr w:rsidR="00DA6A76" w:rsidRPr="00DA6A76" w:rsidTr="0089061D">
        <w:trPr>
          <w:cantSplit/>
        </w:trPr>
        <w:tc>
          <w:tcPr>
            <w:tcW w:w="829" w:type="dxa"/>
            <w:tcBorders>
              <w:top w:val="nil"/>
              <w:left w:val="nil"/>
              <w:bottom w:val="nil"/>
              <w:right w:val="nil"/>
            </w:tcBorders>
          </w:tcPr>
          <w:p w:rsidR="00DA6A76" w:rsidRPr="00DA6A76" w:rsidRDefault="00DA6A76" w:rsidP="007E11C3">
            <w:pPr>
              <w:pStyle w:val="TableText"/>
              <w:tabs>
                <w:tab w:val="decimal" w:pos="510"/>
              </w:tabs>
            </w:pPr>
            <w:r w:rsidRPr="00DA6A76">
              <w:t>607</w:t>
            </w:r>
          </w:p>
        </w:tc>
        <w:tc>
          <w:tcPr>
            <w:tcW w:w="3054" w:type="dxa"/>
            <w:tcBorders>
              <w:top w:val="nil"/>
              <w:left w:val="nil"/>
              <w:bottom w:val="nil"/>
              <w:right w:val="nil"/>
            </w:tcBorders>
          </w:tcPr>
          <w:p w:rsidR="00DA6A76" w:rsidRPr="00DA6A76" w:rsidRDefault="00DA6A76" w:rsidP="0089061D">
            <w:pPr>
              <w:pStyle w:val="TableText"/>
            </w:pPr>
            <w:r w:rsidRPr="00DA6A76">
              <w:t>dental hygienists</w:t>
            </w:r>
          </w:p>
        </w:tc>
        <w:tc>
          <w:tcPr>
            <w:tcW w:w="2468" w:type="dxa"/>
            <w:gridSpan w:val="2"/>
            <w:tcBorders>
              <w:top w:val="nil"/>
              <w:left w:val="nil"/>
              <w:bottom w:val="nil"/>
              <w:right w:val="nil"/>
            </w:tcBorders>
          </w:tcPr>
          <w:p w:rsidR="00DA6A76" w:rsidRPr="00DA6A76" w:rsidRDefault="00DA6A76" w:rsidP="0024000F">
            <w:pPr>
              <w:pStyle w:val="TableText"/>
              <w:jc w:val="right"/>
            </w:pPr>
            <w:r w:rsidRPr="00DA6A76">
              <w:t>(403)</w:t>
            </w:r>
          </w:p>
        </w:tc>
      </w:tr>
      <w:tr w:rsidR="00DA6A76" w:rsidRPr="00DA6A76" w:rsidTr="0089061D">
        <w:trPr>
          <w:cantSplit/>
        </w:trPr>
        <w:tc>
          <w:tcPr>
            <w:tcW w:w="829" w:type="dxa"/>
            <w:tcBorders>
              <w:top w:val="nil"/>
              <w:left w:val="nil"/>
              <w:bottom w:val="nil"/>
              <w:right w:val="nil"/>
            </w:tcBorders>
          </w:tcPr>
          <w:p w:rsidR="00DA6A76" w:rsidRPr="00DA6A76" w:rsidRDefault="00DA6A76" w:rsidP="007E11C3">
            <w:pPr>
              <w:pStyle w:val="TableText"/>
              <w:tabs>
                <w:tab w:val="decimal" w:pos="510"/>
              </w:tabs>
            </w:pPr>
            <w:r w:rsidRPr="00DA6A76">
              <w:t>791</w:t>
            </w:r>
          </w:p>
        </w:tc>
        <w:tc>
          <w:tcPr>
            <w:tcW w:w="3054" w:type="dxa"/>
            <w:tcBorders>
              <w:top w:val="nil"/>
              <w:left w:val="nil"/>
              <w:bottom w:val="nil"/>
              <w:right w:val="nil"/>
            </w:tcBorders>
          </w:tcPr>
          <w:p w:rsidR="00DA6A76" w:rsidRPr="00DA6A76" w:rsidRDefault="00DA6A76" w:rsidP="0089061D">
            <w:pPr>
              <w:pStyle w:val="TableText"/>
            </w:pPr>
            <w:r w:rsidRPr="00DA6A76">
              <w:t>dental therapists</w:t>
            </w:r>
          </w:p>
        </w:tc>
        <w:tc>
          <w:tcPr>
            <w:tcW w:w="2468" w:type="dxa"/>
            <w:gridSpan w:val="2"/>
            <w:tcBorders>
              <w:top w:val="nil"/>
              <w:left w:val="nil"/>
              <w:bottom w:val="nil"/>
              <w:right w:val="nil"/>
            </w:tcBorders>
          </w:tcPr>
          <w:p w:rsidR="00DA6A76" w:rsidRPr="00DA6A76" w:rsidRDefault="00DA6A76" w:rsidP="0024000F">
            <w:pPr>
              <w:pStyle w:val="TableText"/>
              <w:jc w:val="right"/>
            </w:pPr>
            <w:r w:rsidRPr="00DA6A76">
              <w:t>(670)</w:t>
            </w:r>
          </w:p>
        </w:tc>
      </w:tr>
      <w:tr w:rsidR="00DA6A76" w:rsidRPr="00DA6A76" w:rsidTr="0089061D">
        <w:trPr>
          <w:cantSplit/>
        </w:trPr>
        <w:tc>
          <w:tcPr>
            <w:tcW w:w="829" w:type="dxa"/>
            <w:tcBorders>
              <w:top w:val="nil"/>
              <w:left w:val="nil"/>
              <w:bottom w:val="nil"/>
              <w:right w:val="nil"/>
            </w:tcBorders>
          </w:tcPr>
          <w:p w:rsidR="00DA6A76" w:rsidRPr="00DA6A76" w:rsidRDefault="00DA6A76" w:rsidP="007E11C3">
            <w:pPr>
              <w:pStyle w:val="TableText"/>
              <w:tabs>
                <w:tab w:val="decimal" w:pos="510"/>
              </w:tabs>
            </w:pPr>
            <w:r w:rsidRPr="00DA6A76">
              <w:t>1706</w:t>
            </w:r>
          </w:p>
        </w:tc>
        <w:tc>
          <w:tcPr>
            <w:tcW w:w="3054" w:type="dxa"/>
            <w:tcBorders>
              <w:top w:val="nil"/>
              <w:left w:val="nil"/>
              <w:bottom w:val="nil"/>
              <w:right w:val="nil"/>
            </w:tcBorders>
          </w:tcPr>
          <w:p w:rsidR="00DA6A76" w:rsidRPr="00DA6A76" w:rsidRDefault="00DA6A76" w:rsidP="0089061D">
            <w:pPr>
              <w:pStyle w:val="TableText"/>
            </w:pPr>
            <w:r w:rsidRPr="00DA6A76">
              <w:t>medical laboratory scientists</w:t>
            </w:r>
          </w:p>
        </w:tc>
        <w:tc>
          <w:tcPr>
            <w:tcW w:w="2468" w:type="dxa"/>
            <w:gridSpan w:val="2"/>
            <w:tcBorders>
              <w:top w:val="nil"/>
              <w:left w:val="nil"/>
              <w:bottom w:val="nil"/>
              <w:right w:val="nil"/>
            </w:tcBorders>
          </w:tcPr>
          <w:p w:rsidR="00DA6A76" w:rsidRPr="00DA6A76" w:rsidRDefault="00DA6A76" w:rsidP="0024000F">
            <w:pPr>
              <w:pStyle w:val="TableText"/>
              <w:jc w:val="right"/>
            </w:pPr>
            <w:r w:rsidRPr="00DA6A76">
              <w:t>(1621)</w:t>
            </w:r>
          </w:p>
        </w:tc>
      </w:tr>
      <w:tr w:rsidR="00DA6A76" w:rsidRPr="00DA6A76" w:rsidTr="0089061D">
        <w:trPr>
          <w:cantSplit/>
        </w:trPr>
        <w:tc>
          <w:tcPr>
            <w:tcW w:w="829" w:type="dxa"/>
            <w:tcBorders>
              <w:top w:val="nil"/>
              <w:left w:val="nil"/>
              <w:bottom w:val="nil"/>
              <w:right w:val="nil"/>
            </w:tcBorders>
          </w:tcPr>
          <w:p w:rsidR="00DA6A76" w:rsidRPr="00DA6A76" w:rsidRDefault="00DA6A76" w:rsidP="007E11C3">
            <w:pPr>
              <w:pStyle w:val="TableText"/>
              <w:tabs>
                <w:tab w:val="decimal" w:pos="510"/>
              </w:tabs>
            </w:pPr>
            <w:r w:rsidRPr="00DA6A76">
              <w:t>169</w:t>
            </w:r>
          </w:p>
        </w:tc>
        <w:tc>
          <w:tcPr>
            <w:tcW w:w="4376" w:type="dxa"/>
            <w:gridSpan w:val="2"/>
            <w:tcBorders>
              <w:top w:val="nil"/>
              <w:left w:val="nil"/>
              <w:bottom w:val="nil"/>
              <w:right w:val="nil"/>
            </w:tcBorders>
          </w:tcPr>
          <w:p w:rsidR="00DA6A76" w:rsidRPr="00DA6A76" w:rsidRDefault="00DA6A76" w:rsidP="0089061D">
            <w:pPr>
              <w:pStyle w:val="TableText"/>
            </w:pPr>
            <w:r w:rsidRPr="00DA6A76">
              <w:t>magnetic resonance imaging (MRI) technicians</w:t>
            </w:r>
          </w:p>
        </w:tc>
        <w:tc>
          <w:tcPr>
            <w:tcW w:w="1146" w:type="dxa"/>
            <w:tcBorders>
              <w:top w:val="nil"/>
              <w:left w:val="nil"/>
              <w:bottom w:val="nil"/>
              <w:right w:val="nil"/>
            </w:tcBorders>
          </w:tcPr>
          <w:p w:rsidR="00DA6A76" w:rsidRPr="00DA6A76" w:rsidRDefault="00DA6A76" w:rsidP="0024000F">
            <w:pPr>
              <w:pStyle w:val="TableText"/>
              <w:jc w:val="right"/>
            </w:pPr>
            <w:r w:rsidRPr="00DA6A76">
              <w:t>(77)</w:t>
            </w:r>
          </w:p>
        </w:tc>
      </w:tr>
      <w:tr w:rsidR="00DA6A76" w:rsidRPr="00DA6A76" w:rsidTr="0089061D">
        <w:trPr>
          <w:cantSplit/>
        </w:trPr>
        <w:tc>
          <w:tcPr>
            <w:tcW w:w="829" w:type="dxa"/>
            <w:tcBorders>
              <w:top w:val="nil"/>
              <w:left w:val="nil"/>
              <w:bottom w:val="nil"/>
              <w:right w:val="nil"/>
            </w:tcBorders>
          </w:tcPr>
          <w:p w:rsidR="00DA6A76" w:rsidRPr="00DA6A76" w:rsidRDefault="00DA6A76" w:rsidP="007E11C3">
            <w:pPr>
              <w:pStyle w:val="TableText"/>
              <w:tabs>
                <w:tab w:val="decimal" w:pos="510"/>
              </w:tabs>
            </w:pPr>
            <w:r w:rsidRPr="00DA6A76">
              <w:t>2296</w:t>
            </w:r>
          </w:p>
        </w:tc>
        <w:tc>
          <w:tcPr>
            <w:tcW w:w="4376" w:type="dxa"/>
            <w:gridSpan w:val="2"/>
            <w:tcBorders>
              <w:top w:val="nil"/>
              <w:left w:val="nil"/>
              <w:bottom w:val="nil"/>
              <w:right w:val="nil"/>
            </w:tcBorders>
          </w:tcPr>
          <w:p w:rsidR="00DA6A76" w:rsidRPr="00DA6A76" w:rsidRDefault="00DA6A76" w:rsidP="0089061D">
            <w:pPr>
              <w:pStyle w:val="TableText"/>
            </w:pPr>
            <w:r w:rsidRPr="00DA6A76">
              <w:t>occupational therapists</w:t>
            </w:r>
          </w:p>
        </w:tc>
        <w:tc>
          <w:tcPr>
            <w:tcW w:w="1146" w:type="dxa"/>
            <w:tcBorders>
              <w:top w:val="nil"/>
              <w:left w:val="nil"/>
              <w:bottom w:val="nil"/>
              <w:right w:val="nil"/>
            </w:tcBorders>
          </w:tcPr>
          <w:p w:rsidR="00DA6A76" w:rsidRPr="00DA6A76" w:rsidRDefault="00DA6A76" w:rsidP="0024000F">
            <w:pPr>
              <w:pStyle w:val="TableText"/>
              <w:jc w:val="right"/>
            </w:pPr>
            <w:r w:rsidRPr="00DA6A76">
              <w:t>(2095)</w:t>
            </w:r>
          </w:p>
        </w:tc>
      </w:tr>
      <w:tr w:rsidR="00DA6A76" w:rsidRPr="00DA6A76" w:rsidTr="0089061D">
        <w:trPr>
          <w:cantSplit/>
        </w:trPr>
        <w:tc>
          <w:tcPr>
            <w:tcW w:w="829" w:type="dxa"/>
            <w:tcBorders>
              <w:top w:val="nil"/>
              <w:left w:val="nil"/>
              <w:bottom w:val="nil"/>
              <w:right w:val="nil"/>
            </w:tcBorders>
          </w:tcPr>
          <w:p w:rsidR="00DA6A76" w:rsidRPr="00DA6A76" w:rsidRDefault="00DA6A76" w:rsidP="007E11C3">
            <w:pPr>
              <w:pStyle w:val="TableText"/>
              <w:tabs>
                <w:tab w:val="decimal" w:pos="510"/>
              </w:tabs>
            </w:pPr>
            <w:r w:rsidRPr="00DA6A76">
              <w:t>661</w:t>
            </w:r>
          </w:p>
        </w:tc>
        <w:tc>
          <w:tcPr>
            <w:tcW w:w="4376" w:type="dxa"/>
            <w:gridSpan w:val="2"/>
            <w:tcBorders>
              <w:top w:val="nil"/>
              <w:left w:val="nil"/>
              <w:bottom w:val="nil"/>
              <w:right w:val="nil"/>
            </w:tcBorders>
          </w:tcPr>
          <w:p w:rsidR="00DA6A76" w:rsidRPr="00DA6A76" w:rsidRDefault="00DA6A76" w:rsidP="0089061D">
            <w:pPr>
              <w:pStyle w:val="TableText"/>
            </w:pPr>
            <w:r w:rsidRPr="00DA6A76">
              <w:t>optometrists</w:t>
            </w:r>
          </w:p>
        </w:tc>
        <w:tc>
          <w:tcPr>
            <w:tcW w:w="1146" w:type="dxa"/>
            <w:tcBorders>
              <w:top w:val="nil"/>
              <w:left w:val="nil"/>
              <w:bottom w:val="nil"/>
              <w:right w:val="nil"/>
            </w:tcBorders>
          </w:tcPr>
          <w:p w:rsidR="00DA6A76" w:rsidRPr="00DA6A76" w:rsidRDefault="00DA6A76" w:rsidP="0024000F">
            <w:pPr>
              <w:pStyle w:val="TableText"/>
              <w:jc w:val="right"/>
            </w:pPr>
            <w:r w:rsidRPr="00DA6A76">
              <w:t>(675)</w:t>
            </w:r>
          </w:p>
        </w:tc>
      </w:tr>
      <w:tr w:rsidR="00DA6A76" w:rsidRPr="00DA6A76" w:rsidTr="0089061D">
        <w:trPr>
          <w:cantSplit/>
        </w:trPr>
        <w:tc>
          <w:tcPr>
            <w:tcW w:w="829" w:type="dxa"/>
            <w:tcBorders>
              <w:top w:val="nil"/>
              <w:left w:val="nil"/>
              <w:bottom w:val="nil"/>
              <w:right w:val="nil"/>
            </w:tcBorders>
          </w:tcPr>
          <w:p w:rsidR="00DA6A76" w:rsidRPr="00DA6A76" w:rsidRDefault="00DA6A76" w:rsidP="007E11C3">
            <w:pPr>
              <w:pStyle w:val="TableText"/>
              <w:tabs>
                <w:tab w:val="decimal" w:pos="510"/>
              </w:tabs>
            </w:pPr>
            <w:r w:rsidRPr="00DA6A76">
              <w:t>3351</w:t>
            </w:r>
          </w:p>
        </w:tc>
        <w:tc>
          <w:tcPr>
            <w:tcW w:w="4376" w:type="dxa"/>
            <w:gridSpan w:val="2"/>
            <w:tcBorders>
              <w:top w:val="nil"/>
              <w:left w:val="nil"/>
              <w:bottom w:val="nil"/>
              <w:right w:val="nil"/>
            </w:tcBorders>
          </w:tcPr>
          <w:p w:rsidR="00DA6A76" w:rsidRPr="00DA6A76" w:rsidRDefault="00DA6A76" w:rsidP="0089061D">
            <w:pPr>
              <w:pStyle w:val="TableText"/>
            </w:pPr>
            <w:r w:rsidRPr="00DA6A76">
              <w:t>pharmacists</w:t>
            </w:r>
          </w:p>
        </w:tc>
        <w:tc>
          <w:tcPr>
            <w:tcW w:w="1146" w:type="dxa"/>
            <w:tcBorders>
              <w:top w:val="nil"/>
              <w:left w:val="nil"/>
              <w:bottom w:val="nil"/>
              <w:right w:val="nil"/>
            </w:tcBorders>
          </w:tcPr>
          <w:p w:rsidR="00DA6A76" w:rsidRPr="00DA6A76" w:rsidRDefault="00DA6A76" w:rsidP="0024000F">
            <w:pPr>
              <w:pStyle w:val="TableText"/>
              <w:jc w:val="right"/>
            </w:pPr>
            <w:r w:rsidRPr="00DA6A76">
              <w:t>(3076)</w:t>
            </w:r>
          </w:p>
        </w:tc>
      </w:tr>
      <w:tr w:rsidR="00DA6A76" w:rsidRPr="00DA6A76" w:rsidTr="0089061D">
        <w:trPr>
          <w:cantSplit/>
        </w:trPr>
        <w:tc>
          <w:tcPr>
            <w:tcW w:w="829" w:type="dxa"/>
            <w:tcBorders>
              <w:top w:val="nil"/>
              <w:left w:val="nil"/>
              <w:bottom w:val="nil"/>
              <w:right w:val="nil"/>
            </w:tcBorders>
          </w:tcPr>
          <w:p w:rsidR="00DA6A76" w:rsidRPr="00DA6A76" w:rsidRDefault="00DA6A76" w:rsidP="007E11C3">
            <w:pPr>
              <w:pStyle w:val="TableText"/>
              <w:tabs>
                <w:tab w:val="decimal" w:pos="510"/>
              </w:tabs>
            </w:pPr>
            <w:r w:rsidRPr="00DA6A76">
              <w:t>4265</w:t>
            </w:r>
          </w:p>
        </w:tc>
        <w:tc>
          <w:tcPr>
            <w:tcW w:w="4376" w:type="dxa"/>
            <w:gridSpan w:val="2"/>
            <w:tcBorders>
              <w:top w:val="nil"/>
              <w:left w:val="nil"/>
              <w:bottom w:val="nil"/>
              <w:right w:val="nil"/>
            </w:tcBorders>
          </w:tcPr>
          <w:p w:rsidR="00DA6A76" w:rsidRPr="00DA6A76" w:rsidRDefault="00DA6A76" w:rsidP="0089061D">
            <w:pPr>
              <w:pStyle w:val="TableText"/>
            </w:pPr>
            <w:r w:rsidRPr="00DA6A76">
              <w:t>physiotherapists</w:t>
            </w:r>
          </w:p>
        </w:tc>
        <w:tc>
          <w:tcPr>
            <w:tcW w:w="1146" w:type="dxa"/>
            <w:tcBorders>
              <w:top w:val="nil"/>
              <w:left w:val="nil"/>
              <w:bottom w:val="nil"/>
              <w:right w:val="nil"/>
            </w:tcBorders>
          </w:tcPr>
          <w:p w:rsidR="00DA6A76" w:rsidRPr="00DA6A76" w:rsidRDefault="00DA6A76" w:rsidP="0024000F">
            <w:pPr>
              <w:pStyle w:val="TableText"/>
              <w:jc w:val="right"/>
            </w:pPr>
            <w:r w:rsidRPr="00DA6A76">
              <w:t>(4016)</w:t>
            </w:r>
          </w:p>
        </w:tc>
      </w:tr>
      <w:tr w:rsidR="00DA6A76" w:rsidRPr="00DA6A76" w:rsidTr="007E11C3">
        <w:trPr>
          <w:cantSplit/>
        </w:trPr>
        <w:tc>
          <w:tcPr>
            <w:tcW w:w="829" w:type="dxa"/>
            <w:tcBorders>
              <w:top w:val="nil"/>
              <w:left w:val="nil"/>
              <w:right w:val="nil"/>
            </w:tcBorders>
          </w:tcPr>
          <w:p w:rsidR="00DA6A76" w:rsidRPr="00DA6A76" w:rsidRDefault="00DA6A76" w:rsidP="007E11C3">
            <w:pPr>
              <w:pStyle w:val="TableText"/>
              <w:tabs>
                <w:tab w:val="decimal" w:pos="510"/>
              </w:tabs>
            </w:pPr>
            <w:r w:rsidRPr="00DA6A76">
              <w:t>538</w:t>
            </w:r>
          </w:p>
        </w:tc>
        <w:tc>
          <w:tcPr>
            <w:tcW w:w="4376" w:type="dxa"/>
            <w:gridSpan w:val="2"/>
            <w:tcBorders>
              <w:top w:val="nil"/>
              <w:left w:val="nil"/>
              <w:right w:val="nil"/>
            </w:tcBorders>
          </w:tcPr>
          <w:p w:rsidR="00DA6A76" w:rsidRPr="00DA6A76" w:rsidRDefault="00DA6A76" w:rsidP="0089061D">
            <w:pPr>
              <w:pStyle w:val="TableText"/>
            </w:pPr>
            <w:r w:rsidRPr="00DA6A76">
              <w:t>psychotherapists</w:t>
            </w:r>
          </w:p>
        </w:tc>
        <w:tc>
          <w:tcPr>
            <w:tcW w:w="1146" w:type="dxa"/>
            <w:tcBorders>
              <w:top w:val="nil"/>
              <w:left w:val="nil"/>
              <w:right w:val="nil"/>
            </w:tcBorders>
          </w:tcPr>
          <w:p w:rsidR="00DA6A76" w:rsidRPr="00DA6A76" w:rsidRDefault="00DA6A76" w:rsidP="0024000F">
            <w:pPr>
              <w:pStyle w:val="TableText"/>
              <w:jc w:val="right"/>
            </w:pPr>
            <w:r w:rsidRPr="00DA6A76">
              <w:t>(502)</w:t>
            </w:r>
          </w:p>
        </w:tc>
      </w:tr>
      <w:tr w:rsidR="00DA6A76" w:rsidRPr="00DA6A76" w:rsidTr="007E11C3">
        <w:trPr>
          <w:cantSplit/>
        </w:trPr>
        <w:tc>
          <w:tcPr>
            <w:tcW w:w="829" w:type="dxa"/>
            <w:tcBorders>
              <w:top w:val="nil"/>
              <w:left w:val="nil"/>
              <w:bottom w:val="single" w:sz="4" w:space="0" w:color="auto"/>
              <w:right w:val="nil"/>
            </w:tcBorders>
          </w:tcPr>
          <w:p w:rsidR="00DA6A76" w:rsidRPr="00DA6A76" w:rsidRDefault="00DA6A76" w:rsidP="007E11C3">
            <w:pPr>
              <w:pStyle w:val="TableText"/>
              <w:tabs>
                <w:tab w:val="decimal" w:pos="510"/>
              </w:tabs>
            </w:pPr>
            <w:r w:rsidRPr="00DA6A76">
              <w:t>348</w:t>
            </w:r>
          </w:p>
        </w:tc>
        <w:tc>
          <w:tcPr>
            <w:tcW w:w="4376" w:type="dxa"/>
            <w:gridSpan w:val="2"/>
            <w:tcBorders>
              <w:top w:val="nil"/>
              <w:left w:val="nil"/>
              <w:bottom w:val="single" w:sz="4" w:space="0" w:color="auto"/>
              <w:right w:val="nil"/>
            </w:tcBorders>
          </w:tcPr>
          <w:p w:rsidR="00DA6A76" w:rsidRPr="00DA6A76" w:rsidRDefault="00DA6A76" w:rsidP="0089061D">
            <w:pPr>
              <w:pStyle w:val="TableText"/>
            </w:pPr>
            <w:r w:rsidRPr="00DA6A76">
              <w:t>radiation therapists</w:t>
            </w:r>
          </w:p>
        </w:tc>
        <w:tc>
          <w:tcPr>
            <w:tcW w:w="1146" w:type="dxa"/>
            <w:tcBorders>
              <w:top w:val="nil"/>
              <w:left w:val="nil"/>
              <w:bottom w:val="single" w:sz="4" w:space="0" w:color="auto"/>
              <w:right w:val="nil"/>
            </w:tcBorders>
          </w:tcPr>
          <w:p w:rsidR="00DA6A76" w:rsidRPr="00DA6A76" w:rsidRDefault="00DA6A76" w:rsidP="0024000F">
            <w:pPr>
              <w:pStyle w:val="TableText"/>
              <w:jc w:val="right"/>
            </w:pPr>
            <w:r w:rsidRPr="00DA6A76">
              <w:t>(281)</w:t>
            </w:r>
          </w:p>
        </w:tc>
      </w:tr>
    </w:tbl>
    <w:p w:rsidR="00DA6A76" w:rsidRPr="00DA6A76" w:rsidRDefault="00DA6A76" w:rsidP="0024000F">
      <w:pPr>
        <w:pStyle w:val="Note"/>
      </w:pPr>
      <w:r w:rsidRPr="00DA6A76">
        <w:rPr>
          <w:szCs w:val="18"/>
        </w:rPr>
        <w:t>*</w:t>
      </w:r>
      <w:r w:rsidR="0024000F">
        <w:rPr>
          <w:szCs w:val="18"/>
        </w:rPr>
        <w:tab/>
      </w:r>
      <w:r w:rsidRPr="00DA6A76">
        <w:t>Annual practising certificates as of 31 March 2013 (the most recent information available), unless otherwise stated</w:t>
      </w:r>
      <w:r w:rsidR="0024000F">
        <w:t>.</w:t>
      </w:r>
    </w:p>
    <w:p w:rsidR="00DA6A76" w:rsidRPr="00DA6A76" w:rsidRDefault="00DA6A76" w:rsidP="0024000F"/>
    <w:p w:rsidR="00DA6A76" w:rsidRPr="00DA6A76" w:rsidRDefault="00DA6A76" w:rsidP="007E11C3">
      <w:r w:rsidRPr="00DA6A76">
        <w:t>Workforce data tends to be scarce, particularly for the professions not regulated under the HPCA Act. (Self-regulation does not imply a lack of professional standards in comparison to professions regulated by this legislation.)</w:t>
      </w:r>
    </w:p>
    <w:p w:rsidR="00DA6A76" w:rsidRPr="00DA6A76" w:rsidRDefault="00DA6A76" w:rsidP="007E11C3"/>
    <w:p w:rsidR="00DA6A76" w:rsidRPr="00DA6A76" w:rsidRDefault="00DA6A76" w:rsidP="007E11C3">
      <w:r w:rsidRPr="00DA6A76">
        <w:t>Many occupational groups in the allied health workforce are small, numbering in the tens or hundreds, and work autonomously or behind the scenes. This may contribute to a perception among allied health workers that their roles do not feature strongly when service delivery plans are developed.</w:t>
      </w:r>
    </w:p>
    <w:p w:rsidR="00DA6A76" w:rsidRPr="00DA6A76" w:rsidRDefault="00DA6A76" w:rsidP="007E11C3"/>
    <w:p w:rsidR="00DA6A76" w:rsidRPr="00DA6A76" w:rsidRDefault="00DA6A76" w:rsidP="007E11C3">
      <w:r w:rsidRPr="00DA6A76">
        <w:t>These professions can</w:t>
      </w:r>
      <w:r w:rsidR="00C454CC">
        <w:t xml:space="preserve"> </w:t>
      </w:r>
      <w:r w:rsidRPr="00DA6A76">
        <w:t>quickly become vulnerable because of their small size and extended periods of training. Risk factors include:</w:t>
      </w:r>
    </w:p>
    <w:p w:rsidR="00DA6A76" w:rsidRPr="00DA6A76" w:rsidRDefault="00DA6A76" w:rsidP="007E11C3">
      <w:pPr>
        <w:pStyle w:val="Bullet"/>
      </w:pPr>
      <w:r w:rsidRPr="00DA6A76">
        <w:t>staff leaving the workforce</w:t>
      </w:r>
    </w:p>
    <w:p w:rsidR="00DA6A76" w:rsidRPr="00DA6A76" w:rsidRDefault="00DA6A76" w:rsidP="007E11C3">
      <w:pPr>
        <w:pStyle w:val="Bullet"/>
      </w:pPr>
      <w:r w:rsidRPr="00DA6A76">
        <w:t>a lack of training courses or positions</w:t>
      </w:r>
    </w:p>
    <w:p w:rsidR="00DA6A76" w:rsidRPr="00DA6A76" w:rsidRDefault="00DA6A76" w:rsidP="007E11C3">
      <w:pPr>
        <w:pStyle w:val="Bullet"/>
      </w:pPr>
      <w:r w:rsidRPr="00DA6A76">
        <w:t>technological advances, which may require additional training.</w:t>
      </w:r>
    </w:p>
    <w:p w:rsidR="00DA6A76" w:rsidRPr="00DA6A76" w:rsidRDefault="00DA6A76" w:rsidP="007E11C3"/>
    <w:p w:rsidR="00DA6A76" w:rsidRPr="00DA6A76" w:rsidRDefault="00DA6A76" w:rsidP="007E11C3">
      <w:pPr>
        <w:keepLines/>
      </w:pPr>
      <w:r w:rsidRPr="00DA6A76">
        <w:t>For example, there are about 20 perfusionists in New Zealand. During operations such as open-heart surgery, a perfusionist uses a machine that takes over from the heart and lungs to pump oxygenated blood through the body. If just one leaves the workforce, there will be a disproportionate impact on the delivery of health services.</w:t>
      </w:r>
    </w:p>
    <w:p w:rsidR="00DA6A76" w:rsidRPr="00DA6A76" w:rsidRDefault="00DA6A76" w:rsidP="007E11C3"/>
    <w:p w:rsidR="00DA6A76" w:rsidRPr="00DA6A76" w:rsidRDefault="00DA6A76" w:rsidP="007E11C3">
      <w:r w:rsidRPr="00DA6A76">
        <w:t>A number of allied health professions appear on Immigration New Zealand</w:t>
      </w:r>
      <w:r w:rsidR="00C454CC">
        <w:t>’</w:t>
      </w:r>
      <w:r w:rsidRPr="00DA6A76">
        <w:t>s long-term skill shortage list. Because there are too few home-grown professionals to fill vacancies in these professions at present, the percentage of overseas-trained practitioners tends to be high.</w:t>
      </w:r>
    </w:p>
    <w:p w:rsidR="00DA6A76" w:rsidRPr="00DA6A76" w:rsidRDefault="00DA6A76" w:rsidP="007E11C3"/>
    <w:p w:rsidR="00DA6A76" w:rsidRPr="00DA6A76" w:rsidRDefault="00DA6A76" w:rsidP="007E11C3">
      <w:r w:rsidRPr="00DA6A76">
        <w:t>To address some critical shortages, sonographers, medical physicists and radiation therapists are included in 2015</w:t>
      </w:r>
      <w:r w:rsidR="00C454CC">
        <w:t>’</w:t>
      </w:r>
      <w:r w:rsidRPr="00DA6A76">
        <w:t>s Voluntary Bonding Scheme (VBS). To be eligible for the VBS</w:t>
      </w:r>
      <w:r w:rsidR="00C454CC">
        <w:t>’</w:t>
      </w:r>
      <w:r w:rsidRPr="00DA6A76">
        <w:t>s annual incentive payments, allied health applicants must work</w:t>
      </w:r>
      <w:r w:rsidR="00C454CC">
        <w:t xml:space="preserve"> </w:t>
      </w:r>
      <w:r w:rsidRPr="00DA6A76">
        <w:t xml:space="preserve">in New Zealand for three to five years. See </w:t>
      </w:r>
      <w:hyperlink r:id="rId25">
        <w:r w:rsidRPr="007E11C3">
          <w:rPr>
            <w:rStyle w:val="Hyperlink"/>
          </w:rPr>
          <w:t xml:space="preserve">www.health.govt.nz </w:t>
        </w:r>
      </w:hyperlink>
      <w:r w:rsidRPr="007E11C3">
        <w:rPr>
          <w:rStyle w:val="Hyperlink"/>
        </w:rPr>
        <w:t>f</w:t>
      </w:r>
      <w:r w:rsidRPr="00DA6A76">
        <w:rPr>
          <w:color w:val="000000"/>
        </w:rPr>
        <w:t>or more details.</w:t>
      </w:r>
    </w:p>
    <w:p w:rsidR="00DA6A76" w:rsidRPr="00DA6A76" w:rsidRDefault="00DA6A76" w:rsidP="007E11C3"/>
    <w:p w:rsidR="00DA6A76" w:rsidRPr="00DA6A76" w:rsidRDefault="00DA6A76" w:rsidP="007E11C3">
      <w:r w:rsidRPr="00DA6A76">
        <w:t>Rapid scientific and technical advances mean new</w:t>
      </w:r>
      <w:r w:rsidR="00C454CC">
        <w:t xml:space="preserve"> </w:t>
      </w:r>
      <w:r w:rsidRPr="00DA6A76">
        <w:t>allied health careers are likely to arise in coming years, or existing roles will be transformed. Providing viable education and training programmes is likely to become a challenge.</w:t>
      </w:r>
    </w:p>
    <w:p w:rsidR="00DA6A76" w:rsidRPr="00DA6A76" w:rsidRDefault="00DA6A76" w:rsidP="007E11C3"/>
    <w:p w:rsidR="00DA6A76" w:rsidRPr="00DA6A76" w:rsidRDefault="00DA6A76" w:rsidP="007E11C3">
      <w:r w:rsidRPr="00DA6A76">
        <w:t>HWNZ is developing an allied health taskforce and work</w:t>
      </w:r>
      <w:r w:rsidR="00C454CC">
        <w:t xml:space="preserve"> </w:t>
      </w:r>
      <w:r w:rsidRPr="00DA6A76">
        <w:t>programme, alongside work</w:t>
      </w:r>
      <w:r w:rsidR="00C454CC">
        <w:t xml:space="preserve"> </w:t>
      </w:r>
      <w:r w:rsidRPr="00DA6A76">
        <w:t>already under way to streamline training. See our</w:t>
      </w:r>
      <w:r w:rsidR="00C454CC">
        <w:t xml:space="preserve"> </w:t>
      </w:r>
      <w:r w:rsidRPr="00DA6A76">
        <w:t xml:space="preserve">companion report, </w:t>
      </w:r>
      <w:r w:rsidRPr="00DA6A76">
        <w:rPr>
          <w:i/>
        </w:rPr>
        <w:t>The Role of Health Workforce New Zealand</w:t>
      </w:r>
      <w:r w:rsidRPr="00DA6A76">
        <w:t>, for more information on the new</w:t>
      </w:r>
      <w:r w:rsidR="00C454CC">
        <w:t xml:space="preserve"> </w:t>
      </w:r>
      <w:r w:rsidRPr="00DA6A76">
        <w:t>multi-disciplinary framework for a number of allied health qualifications.</w:t>
      </w:r>
    </w:p>
    <w:p w:rsidR="00DA6A76" w:rsidRPr="00DA6A76" w:rsidRDefault="00DA6A76" w:rsidP="007E11C3"/>
    <w:p w:rsidR="00DA6A76" w:rsidRPr="00DA6A76" w:rsidRDefault="00DA6A76" w:rsidP="007E11C3">
      <w:r w:rsidRPr="00DA6A76">
        <w:t>A particular challenge facing this workforce is that school students are typically unaware of the wide range of health careers. The majority think only of medicine or nursing, or of well-known allied health professions such as physiotherapy or dental hygiene.</w:t>
      </w:r>
    </w:p>
    <w:p w:rsidR="00DA6A76" w:rsidRPr="00DA6A76" w:rsidRDefault="00DA6A76" w:rsidP="007E11C3"/>
    <w:p w:rsidR="00DA6A76" w:rsidRPr="007E11C3" w:rsidRDefault="00DA6A76" w:rsidP="007E11C3">
      <w:r w:rsidRPr="00DA6A76">
        <w:t>More Māori and Pacific dental therapists working with children in deprived areas – in which proportions of Māori and Pacific peoples are typically higher – may help to address the inequalities in oral health and access to services identified in the 2009 New Zealand Oral Health Survey.</w:t>
      </w:r>
      <w:r w:rsidR="007E11C3">
        <w:rPr>
          <w:rStyle w:val="FootnoteReference"/>
        </w:rPr>
        <w:footnoteReference w:id="24"/>
      </w:r>
    </w:p>
    <w:p w:rsidR="007E11C3" w:rsidRDefault="007E11C3" w:rsidP="007E11C3"/>
    <w:p w:rsidR="00DA6A76" w:rsidRPr="00DA6A76" w:rsidRDefault="00DA6A76" w:rsidP="007E11C3">
      <w:r w:rsidRPr="00DA6A76">
        <w:t>For information on dentists, see the Medical workforce section.</w:t>
      </w:r>
    </w:p>
    <w:p w:rsidR="00DA6A76" w:rsidRPr="00DA6A76" w:rsidRDefault="00DA6A76" w:rsidP="007E11C3"/>
    <w:p w:rsidR="00DA6A76" w:rsidRPr="00DA6A76" w:rsidRDefault="00DA6A76" w:rsidP="007E11C3">
      <w:pPr>
        <w:pStyle w:val="Heading2"/>
      </w:pPr>
      <w:bookmarkStart w:id="23" w:name="_Toc403834861"/>
      <w:r w:rsidRPr="00DA6A76">
        <w:t>Non-regulated workers (kaiāwhina)</w:t>
      </w:r>
      <w:bookmarkEnd w:id="23"/>
    </w:p>
    <w:p w:rsidR="00DA6A76" w:rsidRPr="00DA6A76" w:rsidRDefault="00DA6A76" w:rsidP="007E11C3">
      <w:r w:rsidRPr="00DA6A76">
        <w:t>The wide</w:t>
      </w:r>
      <w:r w:rsidR="00C454CC">
        <w:t xml:space="preserve"> </w:t>
      </w:r>
      <w:r w:rsidRPr="00DA6A76">
        <w:t>and varied non-regulated workforce is so named because the professions it comprises are</w:t>
      </w:r>
      <w:r w:rsidR="00C454CC">
        <w:t xml:space="preserve"> </w:t>
      </w:r>
      <w:r w:rsidRPr="00DA6A76">
        <w:t>not regulated under the HPCA Act. (It should be noted that this does not imply a lack of professional standards.) The term covers professions ranging from corporate and administrative positions to carers and support workers. In this report, non-regulated allied health, science and technical professions are discussed in the Allied</w:t>
      </w:r>
      <w:r w:rsidR="00C454CC">
        <w:t xml:space="preserve"> </w:t>
      </w:r>
      <w:r w:rsidRPr="00DA6A76">
        <w:t>health workers section.</w:t>
      </w:r>
    </w:p>
    <w:p w:rsidR="00DA6A76" w:rsidRPr="00DA6A76" w:rsidRDefault="00DA6A76" w:rsidP="007E11C3"/>
    <w:p w:rsidR="00DA6A76" w:rsidRPr="00DA6A76" w:rsidRDefault="00DA6A76" w:rsidP="007E11C3">
      <w:r w:rsidRPr="00DA6A76">
        <w:t>Opportunities in the non-regulated workforce are expected to rise as the population grows and ages and as care moves closer to home. Models of care increasingly focus on carers and support workers, to make more efficient use of the clinical workforce. Under such models, for example, health care assistants might undertake tasks and activities that free up doctors and nurses to concentrate on treating patients.</w:t>
      </w:r>
    </w:p>
    <w:p w:rsidR="00DA6A76" w:rsidRPr="00DA6A76" w:rsidRDefault="00DA6A76" w:rsidP="007E11C3"/>
    <w:p w:rsidR="00DA6A76" w:rsidRPr="00DA6A76" w:rsidRDefault="00DA6A76" w:rsidP="00557E67">
      <w:pPr>
        <w:keepNext/>
      </w:pPr>
      <w:r w:rsidRPr="00DA6A76">
        <w:t>Workforce data is scarce, in part because no registration requirements apply and also because of the range of employers in the private and public health sectors. District health boards employ non- regulated workers, but so too do private companies and non-governmental organisations.</w:t>
      </w:r>
    </w:p>
    <w:p w:rsidR="00DA6A76" w:rsidRPr="00DA6A76" w:rsidRDefault="00DA6A76" w:rsidP="007E11C3"/>
    <w:p w:rsidR="00DA6A76" w:rsidRPr="00DA6A76" w:rsidRDefault="00DA6A76" w:rsidP="007E11C3">
      <w:r w:rsidRPr="00DA6A76">
        <w:t>However, new</w:t>
      </w:r>
      <w:r w:rsidR="00C454CC">
        <w:t xml:space="preserve"> </w:t>
      </w:r>
      <w:r w:rsidRPr="00DA6A76">
        <w:t>research for Careerforce, the organisation responsible for the education and training of carers and community support workers, has</w:t>
      </w:r>
      <w:r w:rsidR="00C454CC">
        <w:t xml:space="preserve"> </w:t>
      </w:r>
      <w:r w:rsidRPr="00DA6A76">
        <w:t>cast light on the make-up of the non-regulated workforce.</w:t>
      </w:r>
      <w:r w:rsidR="007E11C3">
        <w:rPr>
          <w:rStyle w:val="FootnoteReference"/>
        </w:rPr>
        <w:footnoteReference w:id="25"/>
      </w:r>
      <w:r w:rsidR="007E11C3">
        <w:t xml:space="preserve"> </w:t>
      </w:r>
      <w:r w:rsidRPr="00DA6A76">
        <w:t>Careerforce and HWNZ term these workers kaiāwhina (a list of the health and disability roles covered by this term can</w:t>
      </w:r>
      <w:r w:rsidR="00C454CC">
        <w:t xml:space="preserve"> </w:t>
      </w:r>
      <w:r w:rsidRPr="00DA6A76">
        <w:t>be found in Appendix 5).</w:t>
      </w:r>
    </w:p>
    <w:p w:rsidR="00DA6A76" w:rsidRPr="00DA6A76" w:rsidRDefault="00DA6A76" w:rsidP="007E11C3"/>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18"/>
        <w:gridCol w:w="3119"/>
        <w:gridCol w:w="3119"/>
      </w:tblGrid>
      <w:tr w:rsidR="007E11C3" w:rsidRPr="007E11C3" w:rsidTr="006F5D3D">
        <w:trPr>
          <w:cantSplit/>
        </w:trPr>
        <w:tc>
          <w:tcPr>
            <w:tcW w:w="9356" w:type="dxa"/>
            <w:gridSpan w:val="3"/>
            <w:tcBorders>
              <w:top w:val="single" w:sz="4" w:space="0" w:color="auto"/>
              <w:bottom w:val="single" w:sz="4" w:space="0" w:color="auto"/>
            </w:tcBorders>
            <w:shd w:val="clear" w:color="auto" w:fill="F2F2F2" w:themeFill="background1" w:themeFillShade="F2"/>
          </w:tcPr>
          <w:p w:rsidR="007E11C3" w:rsidRPr="007E11C3" w:rsidRDefault="007E11C3" w:rsidP="007E11C3">
            <w:pPr>
              <w:pStyle w:val="TableText"/>
              <w:rPr>
                <w:b/>
              </w:rPr>
            </w:pPr>
            <w:r w:rsidRPr="007E11C3">
              <w:rPr>
                <w:b/>
              </w:rPr>
              <w:t>Examples of kaiāwhina roles:</w:t>
            </w:r>
          </w:p>
        </w:tc>
      </w:tr>
      <w:tr w:rsidR="00DA6A76" w:rsidRPr="00DA6A76" w:rsidTr="007E11C3">
        <w:trPr>
          <w:cantSplit/>
        </w:trPr>
        <w:tc>
          <w:tcPr>
            <w:tcW w:w="3118" w:type="dxa"/>
            <w:tcBorders>
              <w:top w:val="single" w:sz="4" w:space="0" w:color="auto"/>
            </w:tcBorders>
            <w:shd w:val="clear" w:color="auto" w:fill="auto"/>
          </w:tcPr>
          <w:p w:rsidR="00DA6A76" w:rsidRPr="00DA6A76" w:rsidRDefault="007E11C3" w:rsidP="007E11C3">
            <w:pPr>
              <w:pStyle w:val="TableBullet"/>
              <w:spacing w:before="60"/>
            </w:pPr>
            <w:r>
              <w:t>D</w:t>
            </w:r>
            <w:r w:rsidR="00DA6A76" w:rsidRPr="00DA6A76">
              <w:t>isability support workers</w:t>
            </w:r>
          </w:p>
        </w:tc>
        <w:tc>
          <w:tcPr>
            <w:tcW w:w="3119" w:type="dxa"/>
            <w:tcBorders>
              <w:top w:val="single" w:sz="4" w:space="0" w:color="auto"/>
            </w:tcBorders>
            <w:shd w:val="clear" w:color="auto" w:fill="auto"/>
          </w:tcPr>
          <w:p w:rsidR="00DA6A76" w:rsidRPr="00DA6A76" w:rsidRDefault="007E11C3" w:rsidP="007E11C3">
            <w:pPr>
              <w:pStyle w:val="TableBullet"/>
              <w:spacing w:before="60"/>
            </w:pPr>
            <w:r>
              <w:t>P</w:t>
            </w:r>
            <w:r w:rsidR="00DA6A76" w:rsidRPr="00DA6A76">
              <w:t>ersonal care assistants</w:t>
            </w:r>
          </w:p>
        </w:tc>
        <w:tc>
          <w:tcPr>
            <w:tcW w:w="3119" w:type="dxa"/>
            <w:tcBorders>
              <w:top w:val="single" w:sz="4" w:space="0" w:color="auto"/>
            </w:tcBorders>
            <w:shd w:val="clear" w:color="auto" w:fill="auto"/>
          </w:tcPr>
          <w:p w:rsidR="00DA6A76" w:rsidRPr="00DA6A76" w:rsidRDefault="007E11C3" w:rsidP="007E11C3">
            <w:pPr>
              <w:pStyle w:val="TableBullet"/>
              <w:spacing w:before="60"/>
            </w:pPr>
            <w:r>
              <w:t>A</w:t>
            </w:r>
            <w:r w:rsidR="00DA6A76" w:rsidRPr="00DA6A76">
              <w:t>ged carers</w:t>
            </w:r>
          </w:p>
        </w:tc>
      </w:tr>
      <w:tr w:rsidR="00DA6A76" w:rsidRPr="00DA6A76" w:rsidTr="007E11C3">
        <w:trPr>
          <w:cantSplit/>
        </w:trPr>
        <w:tc>
          <w:tcPr>
            <w:tcW w:w="3118" w:type="dxa"/>
            <w:shd w:val="clear" w:color="auto" w:fill="auto"/>
          </w:tcPr>
          <w:p w:rsidR="00DA6A76" w:rsidRPr="00DA6A76" w:rsidRDefault="007E11C3" w:rsidP="007E11C3">
            <w:pPr>
              <w:pStyle w:val="TableBullet"/>
              <w:spacing w:before="60"/>
            </w:pPr>
            <w:r>
              <w:t>M</w:t>
            </w:r>
            <w:r w:rsidR="00DA6A76" w:rsidRPr="00DA6A76">
              <w:t>ental health workers</w:t>
            </w:r>
          </w:p>
        </w:tc>
        <w:tc>
          <w:tcPr>
            <w:tcW w:w="3119" w:type="dxa"/>
            <w:shd w:val="clear" w:color="auto" w:fill="auto"/>
          </w:tcPr>
          <w:p w:rsidR="00DA6A76" w:rsidRPr="00DA6A76" w:rsidRDefault="007E11C3" w:rsidP="007E11C3">
            <w:pPr>
              <w:pStyle w:val="TableBullet"/>
              <w:spacing w:before="60"/>
            </w:pPr>
            <w:r>
              <w:t>N</w:t>
            </w:r>
            <w:r w:rsidR="00DA6A76" w:rsidRPr="00DA6A76">
              <w:t>utritionists</w:t>
            </w:r>
          </w:p>
        </w:tc>
        <w:tc>
          <w:tcPr>
            <w:tcW w:w="3119" w:type="dxa"/>
            <w:shd w:val="clear" w:color="auto" w:fill="auto"/>
          </w:tcPr>
          <w:p w:rsidR="00DA6A76" w:rsidRPr="00DA6A76" w:rsidRDefault="007E11C3" w:rsidP="007E11C3">
            <w:pPr>
              <w:pStyle w:val="TableBullet"/>
              <w:spacing w:before="60"/>
            </w:pPr>
            <w:r>
              <w:t>A</w:t>
            </w:r>
            <w:r w:rsidR="00DA6A76" w:rsidRPr="00DA6A76">
              <w:t>udiologists</w:t>
            </w:r>
          </w:p>
        </w:tc>
      </w:tr>
      <w:tr w:rsidR="00DA6A76" w:rsidRPr="00DA6A76" w:rsidTr="007E11C3">
        <w:trPr>
          <w:cantSplit/>
        </w:trPr>
        <w:tc>
          <w:tcPr>
            <w:tcW w:w="3118" w:type="dxa"/>
            <w:shd w:val="clear" w:color="auto" w:fill="auto"/>
          </w:tcPr>
          <w:p w:rsidR="00DA6A76" w:rsidRPr="00DA6A76" w:rsidRDefault="007E11C3" w:rsidP="007E11C3">
            <w:pPr>
              <w:pStyle w:val="TableBullet"/>
              <w:spacing w:before="60"/>
            </w:pPr>
            <w:r>
              <w:t>Y</w:t>
            </w:r>
            <w:r w:rsidR="00DA6A76" w:rsidRPr="00DA6A76">
              <w:t>outh workers</w:t>
            </w:r>
          </w:p>
        </w:tc>
        <w:tc>
          <w:tcPr>
            <w:tcW w:w="3119" w:type="dxa"/>
            <w:shd w:val="clear" w:color="auto" w:fill="auto"/>
          </w:tcPr>
          <w:p w:rsidR="00DA6A76" w:rsidRPr="00DA6A76" w:rsidRDefault="007E11C3" w:rsidP="007E11C3">
            <w:pPr>
              <w:pStyle w:val="TableBullet"/>
              <w:spacing w:before="60"/>
            </w:pPr>
            <w:r>
              <w:t>R</w:t>
            </w:r>
            <w:r w:rsidR="00DA6A76" w:rsidRPr="00DA6A76">
              <w:t>ehabilitation assistants</w:t>
            </w:r>
          </w:p>
        </w:tc>
        <w:tc>
          <w:tcPr>
            <w:tcW w:w="3119" w:type="dxa"/>
            <w:shd w:val="clear" w:color="auto" w:fill="auto"/>
          </w:tcPr>
          <w:p w:rsidR="00DA6A76" w:rsidRPr="00DA6A76" w:rsidRDefault="00DA6A76" w:rsidP="007E11C3">
            <w:pPr>
              <w:pStyle w:val="TableBullet"/>
              <w:spacing w:before="60"/>
            </w:pPr>
            <w:r w:rsidRPr="00DA6A76">
              <w:t>Whānau Ora workers</w:t>
            </w:r>
          </w:p>
        </w:tc>
      </w:tr>
    </w:tbl>
    <w:p w:rsidR="00DA6A76" w:rsidRPr="00DA6A76" w:rsidRDefault="00DA6A76" w:rsidP="007448FB"/>
    <w:p w:rsidR="00DA6A76" w:rsidRPr="00DA6A76" w:rsidRDefault="00DA6A76" w:rsidP="007448FB">
      <w:r w:rsidRPr="00DA6A76">
        <w:t>Careerforce</w:t>
      </w:r>
      <w:r w:rsidR="00C454CC">
        <w:t>’</w:t>
      </w:r>
      <w:r w:rsidRPr="00DA6A76">
        <w:t>s analysis of 2013 Census data identified 62,910 kaiāwhina – an increase of 13.5</w:t>
      </w:r>
      <w:r w:rsidR="007448FB">
        <w:t> </w:t>
      </w:r>
      <w:r w:rsidRPr="00DA6A76">
        <w:t>percent, or 7520 people, since the 2006 Census. This</w:t>
      </w:r>
      <w:r w:rsidR="00C454CC">
        <w:t xml:space="preserve"> </w:t>
      </w:r>
      <w:r w:rsidRPr="00DA6A76">
        <w:t>figure represents 3.3 percent of the total New Zealand workforce.</w:t>
      </w:r>
    </w:p>
    <w:p w:rsidR="00DA6A76" w:rsidRPr="00DA6A76" w:rsidRDefault="00DA6A76" w:rsidP="007448FB"/>
    <w:p w:rsidR="00DA6A76" w:rsidRPr="00DA6A76" w:rsidRDefault="00DA6A76" w:rsidP="007448FB">
      <w:r w:rsidRPr="00DA6A76">
        <w:t>The demographic profile of kaiāwhina is older and female-dominated, with greater ethnic diversity and lower income and qualifications on average than the total New Zealand workforce (shown in brackets):</w:t>
      </w:r>
    </w:p>
    <w:p w:rsidR="00DA6A76" w:rsidRPr="00DA6A76" w:rsidRDefault="00DA6A76" w:rsidP="007448FB">
      <w:pPr>
        <w:pStyle w:val="Bullet"/>
      </w:pPr>
      <w:r w:rsidRPr="00DA6A76">
        <w:t>61 percent of kaiāwhina were</w:t>
      </w:r>
      <w:r w:rsidR="00C454CC">
        <w:t xml:space="preserve"> </w:t>
      </w:r>
      <w:r w:rsidRPr="00DA6A76">
        <w:t>aged 45 or older (47%)</w:t>
      </w:r>
    </w:p>
    <w:p w:rsidR="00DA6A76" w:rsidRPr="00DA6A76" w:rsidRDefault="00DA6A76" w:rsidP="007448FB">
      <w:pPr>
        <w:pStyle w:val="Bullet"/>
      </w:pPr>
      <w:r w:rsidRPr="00DA6A76">
        <w:t>84 percent were</w:t>
      </w:r>
      <w:r w:rsidR="00C454CC">
        <w:t xml:space="preserve"> </w:t>
      </w:r>
      <w:r w:rsidRPr="00DA6A76">
        <w:t>female (48%), but there was growth in male employment between 2006 and 2013</w:t>
      </w:r>
    </w:p>
    <w:p w:rsidR="00DA6A76" w:rsidRPr="007448FB" w:rsidRDefault="00DA6A76" w:rsidP="007448FB">
      <w:pPr>
        <w:pStyle w:val="Bullet"/>
      </w:pPr>
      <w:r w:rsidRPr="00DA6A76">
        <w:t>15 percent were</w:t>
      </w:r>
      <w:r w:rsidR="00C454CC">
        <w:t xml:space="preserve"> </w:t>
      </w:r>
      <w:r w:rsidRPr="00DA6A76">
        <w:t>Māori, 8 percent were</w:t>
      </w:r>
      <w:r w:rsidR="00C454CC">
        <w:t xml:space="preserve"> </w:t>
      </w:r>
      <w:r w:rsidRPr="00DA6A76">
        <w:t>Pacific peoples and 13 percent were</w:t>
      </w:r>
      <w:r w:rsidR="00C454CC">
        <w:t xml:space="preserve"> </w:t>
      </w:r>
      <w:r w:rsidRPr="00DA6A76">
        <w:t>Asian (11%, 5% and 11%</w:t>
      </w:r>
      <w:r w:rsidR="007448FB">
        <w:t xml:space="preserve"> </w:t>
      </w:r>
      <w:r w:rsidRPr="00DA6A76">
        <w:t>respectively)</w:t>
      </w:r>
      <w:r w:rsidR="007448FB">
        <w:rPr>
          <w:rStyle w:val="FootnoteReference"/>
        </w:rPr>
        <w:footnoteReference w:id="26"/>
      </w:r>
    </w:p>
    <w:p w:rsidR="00DA6A76" w:rsidRPr="00DA6A76" w:rsidRDefault="00DA6A76" w:rsidP="007448FB">
      <w:pPr>
        <w:pStyle w:val="Bullet"/>
      </w:pPr>
      <w:r w:rsidRPr="00DA6A76">
        <w:t>31 percent were</w:t>
      </w:r>
      <w:r w:rsidR="00C454CC">
        <w:t xml:space="preserve"> </w:t>
      </w:r>
      <w:r w:rsidRPr="00DA6A76">
        <w:t>born overseas (28%), particularly carers and support workers</w:t>
      </w:r>
    </w:p>
    <w:p w:rsidR="00DA6A76" w:rsidRPr="00DA6A76" w:rsidRDefault="00DA6A76" w:rsidP="007448FB">
      <w:pPr>
        <w:pStyle w:val="Bullet"/>
      </w:pPr>
      <w:r w:rsidRPr="00DA6A76">
        <w:t>56 percent earnt $30,000 or less a year</w:t>
      </w:r>
      <w:r w:rsidR="00C454CC">
        <w:t xml:space="preserve"> </w:t>
      </w:r>
      <w:r w:rsidRPr="00DA6A76">
        <w:t>(32%)</w:t>
      </w:r>
    </w:p>
    <w:p w:rsidR="00DA6A76" w:rsidRPr="00DA6A76" w:rsidRDefault="00DA6A76" w:rsidP="007448FB">
      <w:pPr>
        <w:pStyle w:val="Bullet"/>
      </w:pPr>
      <w:r w:rsidRPr="00DA6A76">
        <w:t>37 percent worked less than 30 hours a week</w:t>
      </w:r>
      <w:r w:rsidR="00C454CC">
        <w:t xml:space="preserve"> </w:t>
      </w:r>
      <w:r w:rsidRPr="00DA6A76">
        <w:t>(22%).</w:t>
      </w:r>
    </w:p>
    <w:p w:rsidR="00DA6A76" w:rsidRPr="00DA6A76" w:rsidRDefault="00DA6A76" w:rsidP="007448FB"/>
    <w:p w:rsidR="00DA6A76" w:rsidRPr="00DA6A76" w:rsidRDefault="00DA6A76" w:rsidP="007448FB">
      <w:r w:rsidRPr="00DA6A76">
        <w:t>Carers account for two-thirds of kaiāwhina, particularly personal care assistants (47%) and aged or disabled carers (9%). Numbers of both have risen significantly since 2006.</w:t>
      </w:r>
    </w:p>
    <w:p w:rsidR="00DA6A76" w:rsidRPr="00DA6A76" w:rsidRDefault="00DA6A76" w:rsidP="007448FB"/>
    <w:p w:rsidR="00DA6A76" w:rsidRPr="00DA6A76" w:rsidRDefault="00DA6A76" w:rsidP="007448FB">
      <w:r w:rsidRPr="00DA6A76">
        <w:t>The remainder of kaiāwhina is split between support workers (eg, community workers and family support officers) and occupations such as welfare workers and traditional Māori health practitioners. About 4 percent are in technical occupations and can</w:t>
      </w:r>
      <w:r w:rsidR="00C454CC">
        <w:t xml:space="preserve"> </w:t>
      </w:r>
      <w:r w:rsidRPr="00DA6A76">
        <w:t>also be considered part of the allied health workforce.</w:t>
      </w:r>
    </w:p>
    <w:p w:rsidR="00DA6A76" w:rsidRPr="00DA6A76" w:rsidRDefault="00DA6A76" w:rsidP="007448FB"/>
    <w:p w:rsidR="00DA6A76" w:rsidRPr="00DA6A76" w:rsidRDefault="00DA6A76" w:rsidP="007448FB">
      <w:r w:rsidRPr="00DA6A76">
        <w:t>About one-third of kaiāwhina workers are employed by residential care providers, the largest employer group.</w:t>
      </w:r>
    </w:p>
    <w:p w:rsidR="00DA6A76" w:rsidRPr="00DA6A76" w:rsidRDefault="00DA6A76" w:rsidP="007448FB"/>
    <w:p w:rsidR="00DA6A76" w:rsidRPr="00DA6A76" w:rsidRDefault="00DA6A76" w:rsidP="00557E67">
      <w:pPr>
        <w:keepNext/>
      </w:pPr>
      <w:r w:rsidRPr="00DA6A76">
        <w:t>Carers and support workers are thought to make up the majority of the Pacific health and disability workforce.</w:t>
      </w:r>
      <w:r w:rsidR="007448FB">
        <w:rPr>
          <w:rStyle w:val="FootnoteReference"/>
        </w:rPr>
        <w:footnoteReference w:id="27"/>
      </w:r>
      <w:r w:rsidR="007448FB">
        <w:t xml:space="preserve"> </w:t>
      </w:r>
      <w:r w:rsidRPr="00DA6A76">
        <w:t>More than 4200 Pacific peoples work</w:t>
      </w:r>
      <w:r w:rsidR="00C454CC">
        <w:t xml:space="preserve"> </w:t>
      </w:r>
      <w:r w:rsidRPr="00DA6A76">
        <w:t>in these roles, compared with almost 1300 Pacific nurses,</w:t>
      </w:r>
      <w:r w:rsidR="007448FB">
        <w:rPr>
          <w:rStyle w:val="FootnoteReference"/>
        </w:rPr>
        <w:footnoteReference w:id="28"/>
      </w:r>
      <w:r w:rsidR="007448FB">
        <w:t xml:space="preserve"> </w:t>
      </w:r>
      <w:r w:rsidRPr="00DA6A76">
        <w:t>the next largest occupational group of Pacific health workers by a considerable margin.</w:t>
      </w:r>
    </w:p>
    <w:p w:rsidR="00DA6A76" w:rsidRPr="00DA6A76" w:rsidRDefault="00DA6A76" w:rsidP="007448FB"/>
    <w:p w:rsidR="00DA6A76" w:rsidRPr="00DA6A76" w:rsidRDefault="00DA6A76" w:rsidP="007448FB">
      <w:pPr>
        <w:keepNext/>
      </w:pPr>
      <w:r w:rsidRPr="00DA6A76">
        <w:t>A similar trend applies to the Māori workforce. There are almost 7500</w:t>
      </w:r>
      <w:r w:rsidR="00C454CC">
        <w:t xml:space="preserve"> </w:t>
      </w:r>
      <w:r w:rsidRPr="00DA6A76">
        <w:t>Māori care and support workers, compared with about 3400 nurses, 410 doctors and 140 midwives.</w:t>
      </w:r>
    </w:p>
    <w:p w:rsidR="00DA6A76" w:rsidRPr="00DA6A76" w:rsidRDefault="00DA6A76" w:rsidP="007448FB"/>
    <w:p w:rsidR="00DA6A76" w:rsidRPr="00DA6A76" w:rsidRDefault="00DA6A76" w:rsidP="007448FB">
      <w:r w:rsidRPr="00DA6A76">
        <w:t>HWNZ is developing a kaiāwhina taskforce and work</w:t>
      </w:r>
      <w:r w:rsidR="00C454CC">
        <w:t xml:space="preserve"> </w:t>
      </w:r>
      <w:r w:rsidRPr="00DA6A76">
        <w:t>programme with Careerforce, using the same approach that has</w:t>
      </w:r>
      <w:r w:rsidR="00C454CC">
        <w:t xml:space="preserve"> </w:t>
      </w:r>
      <w:r w:rsidRPr="00DA6A76">
        <w:t>been applied to other workforce groups. See our</w:t>
      </w:r>
      <w:r w:rsidR="00C454CC">
        <w:t xml:space="preserve"> </w:t>
      </w:r>
      <w:r w:rsidRPr="00DA6A76">
        <w:t xml:space="preserve">companion report, </w:t>
      </w:r>
      <w:r w:rsidRPr="00DA6A76">
        <w:rPr>
          <w:i/>
        </w:rPr>
        <w:t>The Role of Health Workforce New Zealand</w:t>
      </w:r>
      <w:r w:rsidRPr="00DA6A76">
        <w:t>, for more information.</w:t>
      </w:r>
    </w:p>
    <w:p w:rsidR="00DA6A76" w:rsidRPr="00DA6A76" w:rsidRDefault="00DA6A76" w:rsidP="007448FB"/>
    <w:p w:rsidR="007448FB" w:rsidRDefault="007448FB" w:rsidP="007448FB">
      <w:r>
        <w:br w:type="page"/>
      </w:r>
    </w:p>
    <w:p w:rsidR="00DA6A76" w:rsidRPr="00DA6A76" w:rsidRDefault="00DA6A76" w:rsidP="007448FB">
      <w:pPr>
        <w:pStyle w:val="Heading1"/>
      </w:pPr>
      <w:bookmarkStart w:id="24" w:name="_Toc403834862"/>
      <w:r w:rsidRPr="00DA6A76">
        <w:t>Future prospects for joining the workforce</w:t>
      </w:r>
      <w:bookmarkEnd w:id="24"/>
    </w:p>
    <w:p w:rsidR="00DA6A76" w:rsidRPr="00DA6A76" w:rsidRDefault="00DA6A76" w:rsidP="007448FB">
      <w:r w:rsidRPr="00DA6A76">
        <w:t>Health Workforce New Zealand</w:t>
      </w:r>
      <w:r w:rsidR="00C454CC">
        <w:t>’</w:t>
      </w:r>
      <w:r w:rsidRPr="00DA6A76">
        <w:t>s main aim</w:t>
      </w:r>
      <w:r w:rsidR="00C454CC">
        <w:t xml:space="preserve"> </w:t>
      </w:r>
      <w:r w:rsidRPr="00DA6A76">
        <w:t>is to ensure the long-term sustainability of the health and disability workforce.</w:t>
      </w:r>
    </w:p>
    <w:p w:rsidR="00DA6A76" w:rsidRPr="00DA6A76" w:rsidRDefault="00DA6A76" w:rsidP="007448FB"/>
    <w:p w:rsidR="00DA6A76" w:rsidRPr="00DA6A76" w:rsidRDefault="00DA6A76" w:rsidP="007448FB">
      <w:r w:rsidRPr="00DA6A76">
        <w:t>The projections in this section assess job prospects for particular areas within the workforce in the next five years, to provide information to those interested in joining the workforce, or those currently working in the health sector and thinking about future opportunities. The intention is to indicate overall trends rather than provide exact forecasts.</w:t>
      </w:r>
    </w:p>
    <w:p w:rsidR="00DA6A76" w:rsidRPr="00DA6A76" w:rsidRDefault="00DA6A76" w:rsidP="007448FB"/>
    <w:p w:rsidR="00DA6A76" w:rsidRPr="00DA6A76" w:rsidRDefault="00DA6A76" w:rsidP="007448FB">
      <w:r w:rsidRPr="00DA6A76">
        <w:t>These projections are based on data and workforce intelligence from a range of sources. Note that workforce trends are affected by a complex range of events, some of which are very difficult to predict. Sometimes job prospects can</w:t>
      </w:r>
      <w:r w:rsidR="00C454CC">
        <w:t xml:space="preserve"> </w:t>
      </w:r>
      <w:r w:rsidRPr="00DA6A76">
        <w:t>change within a short period of time.</w:t>
      </w:r>
    </w:p>
    <w:p w:rsidR="00DA6A76" w:rsidRPr="00DA6A76" w:rsidRDefault="00DA6A76" w:rsidP="007448FB"/>
    <w:p w:rsidR="00DA6A76" w:rsidRPr="00DA6A76" w:rsidRDefault="00DA6A76" w:rsidP="007448FB">
      <w:r w:rsidRPr="00DA6A76">
        <w:t xml:space="preserve">For information on training requirements and pay rates for a number of health careers, see the </w:t>
      </w:r>
      <w:hyperlink r:id="rId26">
        <w:r w:rsidRPr="00DA6A76">
          <w:t xml:space="preserve">Occupation Outlook 2014 </w:t>
        </w:r>
      </w:hyperlink>
      <w:r w:rsidRPr="00DA6A76">
        <w:t>report or app on the Ministry of Business, Innovation and Employment</w:t>
      </w:r>
      <w:r w:rsidR="00C454CC">
        <w:t>’</w:t>
      </w:r>
      <w:r w:rsidRPr="00DA6A76">
        <w:t>s website.</w:t>
      </w:r>
    </w:p>
    <w:p w:rsidR="00DA6A76" w:rsidRPr="00DA6A76" w:rsidRDefault="00DA6A76" w:rsidP="007448FB"/>
    <w:p w:rsidR="0054475E" w:rsidRDefault="00DA6A76" w:rsidP="0054475E">
      <w:pPr>
        <w:pStyle w:val="Heading2"/>
      </w:pPr>
      <w:bookmarkStart w:id="25" w:name="_Toc403834863"/>
      <w:r w:rsidRPr="00DA6A76">
        <w:t>Medical workforce</w:t>
      </w:r>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4785"/>
        <w:gridCol w:w="4786"/>
      </w:tblGrid>
      <w:tr w:rsidR="0054475E" w:rsidTr="009B180D">
        <w:trPr>
          <w:cantSplit/>
        </w:trPr>
        <w:tc>
          <w:tcPr>
            <w:tcW w:w="4785" w:type="dxa"/>
            <w:tcBorders>
              <w:right w:val="single" w:sz="4" w:space="0" w:color="auto"/>
            </w:tcBorders>
          </w:tcPr>
          <w:p w:rsidR="0054475E" w:rsidRPr="00DA6A76" w:rsidRDefault="0054475E" w:rsidP="0054475E">
            <w:r w:rsidRPr="00DA6A76">
              <w:t>Prospects are particularly good</w:t>
            </w:r>
            <w:r>
              <w:t xml:space="preserve"> </w:t>
            </w:r>
            <w:r w:rsidRPr="00DA6A76">
              <w:t>for GPs, especially in rural areas, and for other specialties, including:</w:t>
            </w:r>
          </w:p>
          <w:p w:rsidR="0054475E" w:rsidRPr="00DA6A76" w:rsidRDefault="0054475E" w:rsidP="0054475E">
            <w:pPr>
              <w:pStyle w:val="Bullet"/>
            </w:pPr>
            <w:r w:rsidRPr="00DA6A76">
              <w:t>dermatology</w:t>
            </w:r>
          </w:p>
          <w:p w:rsidR="0054475E" w:rsidRPr="00DA6A76" w:rsidRDefault="009B180D" w:rsidP="0054475E">
            <w:pPr>
              <w:pStyle w:val="Bullet"/>
            </w:pPr>
            <w:r w:rsidRPr="00DA6A76">
              <w:rPr>
                <w:rFonts w:asciiTheme="minorHAnsi" w:eastAsiaTheme="minorHAnsi" w:hAnsiTheme="minorHAnsi" w:cstheme="minorBidi"/>
                <w:noProof/>
                <w:szCs w:val="22"/>
                <w:lang w:eastAsia="en-NZ"/>
              </w:rPr>
              <w:drawing>
                <wp:anchor distT="0" distB="0" distL="114300" distR="0" simplePos="0" relativeHeight="251792384" behindDoc="1" locked="0" layoutInCell="1" allowOverlap="1" wp14:anchorId="3B435548" wp14:editId="212B7A95">
                  <wp:simplePos x="0" y="0"/>
                  <wp:positionH relativeFrom="page">
                    <wp:posOffset>1931035</wp:posOffset>
                  </wp:positionH>
                  <wp:positionV relativeFrom="paragraph">
                    <wp:posOffset>444500</wp:posOffset>
                  </wp:positionV>
                  <wp:extent cx="917575" cy="1356995"/>
                  <wp:effectExtent l="0" t="0" r="0" b="0"/>
                  <wp:wrapSquare wrapText="left"/>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7575" cy="1356995"/>
                          </a:xfrm>
                          <a:prstGeom prst="rect">
                            <a:avLst/>
                          </a:prstGeom>
                          <a:noFill/>
                        </pic:spPr>
                      </pic:pic>
                    </a:graphicData>
                  </a:graphic>
                  <wp14:sizeRelH relativeFrom="page">
                    <wp14:pctWidth>0</wp14:pctWidth>
                  </wp14:sizeRelH>
                  <wp14:sizeRelV relativeFrom="page">
                    <wp14:pctHeight>0</wp14:pctHeight>
                  </wp14:sizeRelV>
                </wp:anchor>
              </w:drawing>
            </w:r>
            <w:r w:rsidR="0054475E" w:rsidRPr="00DA6A76">
              <w:t>general surgery</w:t>
            </w:r>
          </w:p>
          <w:p w:rsidR="0054475E" w:rsidRPr="00DA6A76" w:rsidRDefault="0054475E" w:rsidP="0054475E">
            <w:pPr>
              <w:pStyle w:val="Bullet"/>
            </w:pPr>
            <w:r w:rsidRPr="00DA6A76">
              <w:t>internal medicine</w:t>
            </w:r>
          </w:p>
          <w:p w:rsidR="0054475E" w:rsidRPr="00DA6A76" w:rsidRDefault="0054475E" w:rsidP="0054475E">
            <w:pPr>
              <w:pStyle w:val="Bullet"/>
            </w:pPr>
            <w:r w:rsidRPr="00DA6A76">
              <w:t>paediatric surgery</w:t>
            </w:r>
          </w:p>
          <w:p w:rsidR="0054475E" w:rsidRPr="00DA6A76" w:rsidRDefault="0054475E" w:rsidP="0054475E">
            <w:pPr>
              <w:pStyle w:val="Bullet"/>
            </w:pPr>
            <w:r w:rsidRPr="00DA6A76">
              <w:t>palliative care</w:t>
            </w:r>
          </w:p>
          <w:p w:rsidR="0054475E" w:rsidRPr="00DA6A76" w:rsidRDefault="0054475E" w:rsidP="0054475E">
            <w:pPr>
              <w:pStyle w:val="Bullet"/>
            </w:pPr>
            <w:r w:rsidRPr="00DA6A76">
              <w:t>pathology</w:t>
            </w:r>
          </w:p>
          <w:p w:rsidR="0054475E" w:rsidRPr="00DA6A76" w:rsidRDefault="0054475E" w:rsidP="0054475E">
            <w:pPr>
              <w:pStyle w:val="Bullet"/>
            </w:pPr>
            <w:r w:rsidRPr="00DA6A76">
              <w:t>psychiatry</w:t>
            </w:r>
          </w:p>
          <w:p w:rsidR="0054475E" w:rsidRDefault="0054475E" w:rsidP="0054475E">
            <w:pPr>
              <w:pStyle w:val="Bullet"/>
            </w:pPr>
            <w:r w:rsidRPr="00DA6A76">
              <w:t>rural hospital medicine.</w:t>
            </w:r>
          </w:p>
        </w:tc>
        <w:tc>
          <w:tcPr>
            <w:tcW w:w="4786" w:type="dxa"/>
            <w:tcBorders>
              <w:left w:val="single" w:sz="4" w:space="0" w:color="auto"/>
            </w:tcBorders>
          </w:tcPr>
          <w:p w:rsidR="0054475E" w:rsidRPr="00DA6A76" w:rsidRDefault="0054475E" w:rsidP="0054475E">
            <w:r w:rsidRPr="00DA6A76">
              <w:t>Prospects may be limited for specialties including:</w:t>
            </w:r>
          </w:p>
          <w:p w:rsidR="0054475E" w:rsidRPr="00DA6A76" w:rsidRDefault="0054475E" w:rsidP="0054475E">
            <w:pPr>
              <w:pStyle w:val="Bullet"/>
            </w:pPr>
            <w:r w:rsidRPr="00DA6A76">
              <w:t>urgent care</w:t>
            </w:r>
          </w:p>
          <w:p w:rsidR="0054475E" w:rsidRPr="00DA6A76" w:rsidRDefault="0054475E" w:rsidP="0054475E">
            <w:pPr>
              <w:pStyle w:val="Bullet"/>
            </w:pPr>
            <w:r w:rsidRPr="00DA6A76">
              <w:t>emergency medicine</w:t>
            </w:r>
          </w:p>
          <w:p w:rsidR="0054475E" w:rsidRPr="00DA6A76" w:rsidRDefault="0054475E" w:rsidP="0054475E">
            <w:pPr>
              <w:pStyle w:val="Bullet"/>
            </w:pPr>
            <w:r w:rsidRPr="00DA6A76">
              <w:t>paediatrics.</w:t>
            </w:r>
          </w:p>
          <w:p w:rsidR="0054475E" w:rsidRPr="00DA6A76" w:rsidRDefault="0054475E" w:rsidP="0054475E"/>
          <w:p w:rsidR="0054475E" w:rsidRPr="009B180D" w:rsidRDefault="009B180D" w:rsidP="009B180D">
            <w:pPr>
              <w:ind w:right="-142"/>
              <w:rPr>
                <w:spacing w:val="-2"/>
              </w:rPr>
            </w:pPr>
            <w:r w:rsidRPr="009B180D">
              <w:rPr>
                <w:rFonts w:asciiTheme="minorHAnsi" w:eastAsiaTheme="minorHAnsi" w:hAnsiTheme="minorHAnsi" w:cstheme="minorBidi"/>
                <w:noProof/>
                <w:spacing w:val="-2"/>
                <w:szCs w:val="22"/>
                <w:lang w:eastAsia="en-NZ"/>
              </w:rPr>
              <w:drawing>
                <wp:anchor distT="0" distB="0" distL="114300" distR="0" simplePos="0" relativeHeight="251794432" behindDoc="1" locked="0" layoutInCell="1" allowOverlap="1" wp14:anchorId="228D49BC" wp14:editId="215278B5">
                  <wp:simplePos x="0" y="0"/>
                  <wp:positionH relativeFrom="page">
                    <wp:posOffset>2118360</wp:posOffset>
                  </wp:positionH>
                  <wp:positionV relativeFrom="paragraph">
                    <wp:posOffset>-989965</wp:posOffset>
                  </wp:positionV>
                  <wp:extent cx="917575" cy="1356995"/>
                  <wp:effectExtent l="0" t="0" r="0" b="0"/>
                  <wp:wrapSquare wrapText="left"/>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7575" cy="1356995"/>
                          </a:xfrm>
                          <a:prstGeom prst="rect">
                            <a:avLst/>
                          </a:prstGeom>
                          <a:noFill/>
                        </pic:spPr>
                      </pic:pic>
                    </a:graphicData>
                  </a:graphic>
                  <wp14:sizeRelH relativeFrom="page">
                    <wp14:pctWidth>0</wp14:pctWidth>
                  </wp14:sizeRelH>
                  <wp14:sizeRelV relativeFrom="page">
                    <wp14:pctHeight>0</wp14:pctHeight>
                  </wp14:sizeRelV>
                </wp:anchor>
              </w:drawing>
            </w:r>
            <w:r w:rsidR="0054475E" w:rsidRPr="009B180D">
              <w:rPr>
                <w:spacing w:val="-2"/>
              </w:rPr>
              <w:t>The specialties with poorer job prospects are those that currently have high ratios of postgraduate trainee doctors to senior staff. If this trend continues within a given specialty, there will be greater competition for future senior vacancies. See Appendix 2 for a graph showing ratios of trainees to senior doctors for all specialties, including GPs.</w:t>
            </w:r>
          </w:p>
        </w:tc>
      </w:tr>
    </w:tbl>
    <w:p w:rsidR="0054475E" w:rsidRDefault="0054475E" w:rsidP="0054475E"/>
    <w:p w:rsidR="009B180D" w:rsidRDefault="009B180D" w:rsidP="009B180D">
      <w:r>
        <w:br w:type="page"/>
      </w:r>
    </w:p>
    <w:p w:rsidR="00DA6A76" w:rsidRDefault="009B180D" w:rsidP="0054475E">
      <w:pPr>
        <w:pStyle w:val="Heading2"/>
      </w:pPr>
      <w:bookmarkStart w:id="26" w:name="_Toc403834864"/>
      <w:r w:rsidRPr="00DA6A76">
        <w:rPr>
          <w:rFonts w:asciiTheme="minorHAnsi" w:eastAsiaTheme="minorHAnsi" w:hAnsiTheme="minorHAnsi" w:cstheme="minorBidi"/>
          <w:noProof/>
          <w:szCs w:val="22"/>
          <w:lang w:eastAsia="en-NZ"/>
        </w:rPr>
        <w:drawing>
          <wp:anchor distT="0" distB="0" distL="114300" distR="0" simplePos="0" relativeHeight="251800576" behindDoc="1" locked="0" layoutInCell="1" allowOverlap="1" wp14:anchorId="048E1CEC" wp14:editId="5AF83BC9">
            <wp:simplePos x="0" y="0"/>
            <wp:positionH relativeFrom="page">
              <wp:posOffset>5932805</wp:posOffset>
            </wp:positionH>
            <wp:positionV relativeFrom="paragraph">
              <wp:posOffset>208280</wp:posOffset>
            </wp:positionV>
            <wp:extent cx="917575" cy="1356995"/>
            <wp:effectExtent l="0" t="0" r="0" b="0"/>
            <wp:wrapSquare wrapText="left"/>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7575" cy="1356995"/>
                    </a:xfrm>
                    <a:prstGeom prst="rect">
                      <a:avLst/>
                    </a:prstGeom>
                    <a:noFill/>
                  </pic:spPr>
                </pic:pic>
              </a:graphicData>
            </a:graphic>
            <wp14:sizeRelH relativeFrom="page">
              <wp14:pctWidth>0</wp14:pctWidth>
            </wp14:sizeRelH>
            <wp14:sizeRelV relativeFrom="page">
              <wp14:pctHeight>0</wp14:pctHeight>
            </wp14:sizeRelV>
          </wp:anchor>
        </w:drawing>
      </w:r>
      <w:r w:rsidR="00DA6A76" w:rsidRPr="00DA6A76">
        <w:t>Nursing</w:t>
      </w:r>
      <w:bookmarkEnd w:id="26"/>
    </w:p>
    <w:p w:rsidR="009B180D" w:rsidRPr="00DA6A76" w:rsidRDefault="009B180D" w:rsidP="009B180D">
      <w:r w:rsidRPr="00DA6A76">
        <w:t>Prospects are particularly good</w:t>
      </w:r>
      <w:r>
        <w:t xml:space="preserve"> </w:t>
      </w:r>
      <w:r w:rsidRPr="00DA6A76">
        <w:t xml:space="preserve">for </w:t>
      </w:r>
      <w:r>
        <w:t xml:space="preserve">advanced practice om areas </w:t>
      </w:r>
      <w:r w:rsidRPr="00DA6A76">
        <w:t>including:</w:t>
      </w:r>
    </w:p>
    <w:p w:rsidR="009B180D" w:rsidRPr="00DA6A76" w:rsidRDefault="009B180D" w:rsidP="009B180D">
      <w:pPr>
        <w:pStyle w:val="Bullet"/>
      </w:pPr>
      <w:r>
        <w:t>cancer care</w:t>
      </w:r>
    </w:p>
    <w:p w:rsidR="009B180D" w:rsidRPr="00DA6A76" w:rsidRDefault="009B180D" w:rsidP="009B180D">
      <w:pPr>
        <w:pStyle w:val="Bullet"/>
      </w:pPr>
      <w:r>
        <w:t>long-term condition management</w:t>
      </w:r>
    </w:p>
    <w:p w:rsidR="009B180D" w:rsidRPr="00DA6A76" w:rsidRDefault="009B180D" w:rsidP="009B180D">
      <w:pPr>
        <w:pStyle w:val="Bullet"/>
      </w:pPr>
      <w:r>
        <w:t>endoscopy</w:t>
      </w:r>
    </w:p>
    <w:p w:rsidR="009B180D" w:rsidRDefault="009B180D" w:rsidP="009B180D">
      <w:pPr>
        <w:pStyle w:val="Bullet"/>
      </w:pPr>
      <w:r>
        <w:t>aged care</w:t>
      </w:r>
      <w:r w:rsidRPr="00DA6A76">
        <w:t>.</w:t>
      </w:r>
    </w:p>
    <w:p w:rsidR="009B180D" w:rsidRDefault="009B180D" w:rsidP="009B180D"/>
    <w:p w:rsidR="009B180D" w:rsidRPr="009B180D" w:rsidRDefault="009B180D" w:rsidP="009B180D">
      <w:pPr>
        <w:ind w:right="-142"/>
        <w:rPr>
          <w:spacing w:val="-2"/>
        </w:rPr>
      </w:pPr>
      <w:r w:rsidRPr="00DA6A76">
        <w:t>In recent years, not all nursing graduates have found employment immediately, but workforce planning indicates New Zealand will need to train more nurses by 2017, when retirement among the ageing workforce becomes a critical factor.</w:t>
      </w:r>
    </w:p>
    <w:p w:rsidR="009B180D" w:rsidRDefault="009B180D" w:rsidP="009B180D"/>
    <w:p w:rsidR="00DA6A76" w:rsidRPr="00DA6A76" w:rsidRDefault="009B180D" w:rsidP="009B180D">
      <w:pPr>
        <w:pStyle w:val="Heading2"/>
        <w:spacing w:before="600"/>
      </w:pPr>
      <w:bookmarkStart w:id="27" w:name="_Toc403834865"/>
      <w:r w:rsidRPr="00DA6A76">
        <w:rPr>
          <w:rFonts w:asciiTheme="minorHAnsi" w:eastAsiaTheme="minorHAnsi" w:hAnsiTheme="minorHAnsi" w:cstheme="minorBidi"/>
          <w:noProof/>
          <w:szCs w:val="22"/>
          <w:lang w:eastAsia="en-NZ"/>
        </w:rPr>
        <w:drawing>
          <wp:anchor distT="0" distB="0" distL="114300" distR="0" simplePos="0" relativeHeight="251699200" behindDoc="1" locked="0" layoutInCell="1" allowOverlap="1" wp14:anchorId="4F43D561" wp14:editId="785DC5CC">
            <wp:simplePos x="0" y="0"/>
            <wp:positionH relativeFrom="page">
              <wp:posOffset>5934075</wp:posOffset>
            </wp:positionH>
            <wp:positionV relativeFrom="paragraph">
              <wp:posOffset>121920</wp:posOffset>
            </wp:positionV>
            <wp:extent cx="917575" cy="1356995"/>
            <wp:effectExtent l="0" t="0" r="0" b="0"/>
            <wp:wrapSquare wrapText="left"/>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7575" cy="1356995"/>
                    </a:xfrm>
                    <a:prstGeom prst="rect">
                      <a:avLst/>
                    </a:prstGeom>
                    <a:noFill/>
                  </pic:spPr>
                </pic:pic>
              </a:graphicData>
            </a:graphic>
            <wp14:sizeRelH relativeFrom="page">
              <wp14:pctWidth>0</wp14:pctWidth>
            </wp14:sizeRelH>
            <wp14:sizeRelV relativeFrom="page">
              <wp14:pctHeight>0</wp14:pctHeight>
            </wp14:sizeRelV>
          </wp:anchor>
        </w:drawing>
      </w:r>
      <w:r w:rsidR="00DA6A76" w:rsidRPr="00DA6A76">
        <w:t>Midwifery</w:t>
      </w:r>
      <w:bookmarkEnd w:id="27"/>
    </w:p>
    <w:p w:rsidR="00DA6A76" w:rsidRPr="00DA6A76" w:rsidRDefault="00DA6A76" w:rsidP="009B180D">
      <w:r w:rsidRPr="00DA6A76">
        <w:t>Opportunities are available particularly in rural areas.</w:t>
      </w:r>
    </w:p>
    <w:p w:rsidR="00DA6A76" w:rsidRPr="00DA6A76" w:rsidRDefault="00DA6A76" w:rsidP="009B180D"/>
    <w:p w:rsidR="009B180D" w:rsidRDefault="00DA6A76" w:rsidP="009B180D">
      <w:pPr>
        <w:pStyle w:val="Heading2"/>
        <w:spacing w:before="600"/>
      </w:pPr>
      <w:bookmarkStart w:id="28" w:name="_Toc403834866"/>
      <w:r w:rsidRPr="00DA6A76">
        <w:t>Allied health</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3828"/>
        <w:gridCol w:w="3544"/>
        <w:gridCol w:w="2199"/>
      </w:tblGrid>
      <w:tr w:rsidR="009B180D" w:rsidRPr="009B180D" w:rsidTr="009B180D">
        <w:trPr>
          <w:cantSplit/>
        </w:trPr>
        <w:tc>
          <w:tcPr>
            <w:tcW w:w="3828" w:type="dxa"/>
            <w:tcBorders>
              <w:right w:val="single" w:sz="4" w:space="0" w:color="auto"/>
            </w:tcBorders>
          </w:tcPr>
          <w:p w:rsidR="009B180D" w:rsidRPr="00DA6A76" w:rsidRDefault="009B180D" w:rsidP="006F5D3D">
            <w:r w:rsidRPr="00DA6A76">
              <w:t>Prospects are good</w:t>
            </w:r>
            <w:r>
              <w:t xml:space="preserve"> </w:t>
            </w:r>
            <w:r w:rsidRPr="00DA6A76">
              <w:t xml:space="preserve">for </w:t>
            </w:r>
            <w:r>
              <w:t>professions</w:t>
            </w:r>
            <w:r w:rsidRPr="00DA6A76">
              <w:t xml:space="preserve"> including:</w:t>
            </w:r>
          </w:p>
          <w:p w:rsidR="009B180D" w:rsidRPr="00DA6A76" w:rsidRDefault="009B180D" w:rsidP="006F5D3D">
            <w:pPr>
              <w:pStyle w:val="Bullet"/>
            </w:pPr>
            <w:r>
              <w:t>sonographer</w:t>
            </w:r>
          </w:p>
          <w:p w:rsidR="009B180D" w:rsidRPr="00DA6A76" w:rsidRDefault="009B180D" w:rsidP="006F5D3D">
            <w:pPr>
              <w:pStyle w:val="Bullet"/>
            </w:pPr>
            <w:r w:rsidRPr="00DA6A76">
              <w:rPr>
                <w:rFonts w:asciiTheme="minorHAnsi" w:eastAsiaTheme="minorHAnsi" w:hAnsiTheme="minorHAnsi" w:cstheme="minorBidi"/>
                <w:noProof/>
                <w:szCs w:val="22"/>
                <w:lang w:eastAsia="en-NZ"/>
              </w:rPr>
              <w:drawing>
                <wp:anchor distT="0" distB="0" distL="71755" distR="0" simplePos="0" relativeHeight="251804672" behindDoc="1" locked="0" layoutInCell="1" allowOverlap="1" wp14:anchorId="6E2EA158" wp14:editId="0DF08E14">
                  <wp:simplePos x="0" y="0"/>
                  <wp:positionH relativeFrom="page">
                    <wp:posOffset>1476375</wp:posOffset>
                  </wp:positionH>
                  <wp:positionV relativeFrom="paragraph">
                    <wp:posOffset>227965</wp:posOffset>
                  </wp:positionV>
                  <wp:extent cx="918000" cy="1357200"/>
                  <wp:effectExtent l="0" t="0" r="0" b="0"/>
                  <wp:wrapSquare wrapText="left"/>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8000" cy="1357200"/>
                          </a:xfrm>
                          <a:prstGeom prst="rect">
                            <a:avLst/>
                          </a:prstGeom>
                          <a:noFill/>
                        </pic:spPr>
                      </pic:pic>
                    </a:graphicData>
                  </a:graphic>
                  <wp14:sizeRelH relativeFrom="page">
                    <wp14:pctWidth>0</wp14:pctWidth>
                  </wp14:sizeRelH>
                  <wp14:sizeRelV relativeFrom="page">
                    <wp14:pctHeight>0</wp14:pctHeight>
                  </wp14:sizeRelV>
                </wp:anchor>
              </w:drawing>
            </w:r>
            <w:r>
              <w:t>dental hygienists</w:t>
            </w:r>
          </w:p>
          <w:p w:rsidR="009B180D" w:rsidRPr="00DA6A76" w:rsidRDefault="009B180D" w:rsidP="006F5D3D">
            <w:pPr>
              <w:pStyle w:val="Bullet"/>
            </w:pPr>
            <w:r>
              <w:t>dental therapists</w:t>
            </w:r>
          </w:p>
          <w:p w:rsidR="009B180D" w:rsidRPr="00DA6A76" w:rsidRDefault="009B180D" w:rsidP="006F5D3D">
            <w:pPr>
              <w:pStyle w:val="Bullet"/>
            </w:pPr>
            <w:r>
              <w:t>MRI technicians</w:t>
            </w:r>
          </w:p>
          <w:p w:rsidR="009B180D" w:rsidRDefault="009B180D" w:rsidP="009B180D">
            <w:pPr>
              <w:pStyle w:val="Bullet"/>
            </w:pPr>
            <w:r>
              <w:t>medical physicists</w:t>
            </w:r>
            <w:r w:rsidRPr="00DA6A76">
              <w:t>.</w:t>
            </w:r>
          </w:p>
        </w:tc>
        <w:tc>
          <w:tcPr>
            <w:tcW w:w="3544" w:type="dxa"/>
            <w:tcBorders>
              <w:left w:val="single" w:sz="4" w:space="0" w:color="auto"/>
            </w:tcBorders>
          </w:tcPr>
          <w:p w:rsidR="009B180D" w:rsidRPr="00DA6A76" w:rsidRDefault="009B180D" w:rsidP="009B180D">
            <w:r w:rsidRPr="00DA6A76">
              <w:t>Prospects are stable for professions including:</w:t>
            </w:r>
          </w:p>
          <w:p w:rsidR="009B180D" w:rsidRPr="00DA6A76" w:rsidRDefault="009B180D" w:rsidP="009B180D">
            <w:pPr>
              <w:pStyle w:val="Bullet"/>
            </w:pPr>
            <w:r w:rsidRPr="00DA6A76">
              <w:rPr>
                <w:rFonts w:asciiTheme="minorHAnsi" w:eastAsiaTheme="minorHAnsi" w:hAnsiTheme="minorHAnsi" w:cstheme="minorBidi"/>
                <w:noProof/>
                <w:szCs w:val="22"/>
                <w:lang w:eastAsia="en-NZ"/>
              </w:rPr>
              <w:drawing>
                <wp:anchor distT="0" distB="0" distL="114300" distR="0" simplePos="0" relativeHeight="251806720" behindDoc="1" locked="0" layoutInCell="1" allowOverlap="1" wp14:anchorId="401962F5" wp14:editId="28F63350">
                  <wp:simplePos x="0" y="0"/>
                  <wp:positionH relativeFrom="page">
                    <wp:posOffset>1282700</wp:posOffset>
                  </wp:positionH>
                  <wp:positionV relativeFrom="paragraph">
                    <wp:posOffset>478790</wp:posOffset>
                  </wp:positionV>
                  <wp:extent cx="917575" cy="1335405"/>
                  <wp:effectExtent l="0" t="0" r="0" b="0"/>
                  <wp:wrapSquare wrapText="left"/>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7575" cy="1335405"/>
                          </a:xfrm>
                          <a:prstGeom prst="rect">
                            <a:avLst/>
                          </a:prstGeom>
                          <a:noFill/>
                        </pic:spPr>
                      </pic:pic>
                    </a:graphicData>
                  </a:graphic>
                  <wp14:sizeRelH relativeFrom="page">
                    <wp14:pctWidth>0</wp14:pctWidth>
                  </wp14:sizeRelH>
                  <wp14:sizeRelV relativeFrom="page">
                    <wp14:pctHeight>0</wp14:pctHeight>
                  </wp14:sizeRelV>
                </wp:anchor>
              </w:drawing>
            </w:r>
            <w:r>
              <w:t>m</w:t>
            </w:r>
            <w:r w:rsidRPr="00DA6A76">
              <w:t>edical laboratory scientists</w:t>
            </w:r>
          </w:p>
          <w:p w:rsidR="009B180D" w:rsidRPr="00DA6A76" w:rsidRDefault="009B180D" w:rsidP="009B180D">
            <w:pPr>
              <w:pStyle w:val="Bullet"/>
            </w:pPr>
            <w:r w:rsidRPr="00DA6A76">
              <w:t>occupational therapists</w:t>
            </w:r>
          </w:p>
          <w:p w:rsidR="009B180D" w:rsidRPr="009B180D" w:rsidRDefault="009B180D" w:rsidP="009B180D">
            <w:pPr>
              <w:pStyle w:val="Bullet"/>
            </w:pPr>
            <w:r w:rsidRPr="00DA6A76">
              <w:t>pharmacists.</w:t>
            </w:r>
          </w:p>
        </w:tc>
        <w:tc>
          <w:tcPr>
            <w:tcW w:w="2199" w:type="dxa"/>
            <w:tcBorders>
              <w:left w:val="single" w:sz="4" w:space="0" w:color="auto"/>
            </w:tcBorders>
          </w:tcPr>
          <w:p w:rsidR="009B180D" w:rsidRPr="009B180D" w:rsidRDefault="009B180D" w:rsidP="009B180D">
            <w:r w:rsidRPr="00DA6A76">
              <w:rPr>
                <w:rFonts w:asciiTheme="minorHAnsi" w:eastAsiaTheme="minorHAnsi" w:hAnsiTheme="minorHAnsi" w:cstheme="minorBidi"/>
                <w:noProof/>
                <w:szCs w:val="22"/>
                <w:lang w:eastAsia="en-NZ"/>
              </w:rPr>
              <w:drawing>
                <wp:anchor distT="0" distB="0" distL="114300" distR="0" simplePos="0" relativeHeight="251702272" behindDoc="1" locked="0" layoutInCell="1" allowOverlap="1" wp14:anchorId="15B8F950" wp14:editId="7441417C">
                  <wp:simplePos x="0" y="0"/>
                  <wp:positionH relativeFrom="page">
                    <wp:posOffset>475615</wp:posOffset>
                  </wp:positionH>
                  <wp:positionV relativeFrom="paragraph">
                    <wp:posOffset>796925</wp:posOffset>
                  </wp:positionV>
                  <wp:extent cx="917575" cy="1356995"/>
                  <wp:effectExtent l="0" t="0" r="0" b="0"/>
                  <wp:wrapSquare wrapText="left"/>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7575" cy="1356995"/>
                          </a:xfrm>
                          <a:prstGeom prst="rect">
                            <a:avLst/>
                          </a:prstGeom>
                          <a:noFill/>
                        </pic:spPr>
                      </pic:pic>
                    </a:graphicData>
                  </a:graphic>
                  <wp14:sizeRelH relativeFrom="page">
                    <wp14:pctWidth>0</wp14:pctWidth>
                  </wp14:sizeRelH>
                  <wp14:sizeRelV relativeFrom="page">
                    <wp14:pctHeight>0</wp14:pctHeight>
                  </wp14:sizeRelV>
                </wp:anchor>
              </w:drawing>
            </w:r>
            <w:r w:rsidRPr="00DA6A76">
              <w:t xml:space="preserve">Prospects may be limited for </w:t>
            </w:r>
            <w:r>
              <w:t>dietitians.</w:t>
            </w:r>
          </w:p>
        </w:tc>
      </w:tr>
    </w:tbl>
    <w:p w:rsidR="009B180D" w:rsidRPr="009B180D" w:rsidRDefault="009B180D" w:rsidP="009B180D"/>
    <w:p w:rsidR="009B180D" w:rsidRDefault="009B180D" w:rsidP="009B180D">
      <w:pPr>
        <w:pStyle w:val="Heading2"/>
        <w:spacing w:before="600"/>
      </w:pPr>
      <w:bookmarkStart w:id="29" w:name="_Toc403834867"/>
      <w:r w:rsidRPr="00DA6A76">
        <w:rPr>
          <w:rFonts w:asciiTheme="minorHAnsi" w:eastAsiaTheme="minorHAnsi" w:hAnsiTheme="minorHAnsi" w:cstheme="minorBidi"/>
          <w:noProof/>
          <w:szCs w:val="22"/>
          <w:lang w:eastAsia="en-NZ"/>
        </w:rPr>
        <w:drawing>
          <wp:anchor distT="0" distB="0" distL="114300" distR="0" simplePos="0" relativeHeight="251703296" behindDoc="1" locked="0" layoutInCell="1" allowOverlap="1" wp14:anchorId="063D7E93" wp14:editId="002D8920">
            <wp:simplePos x="0" y="0"/>
            <wp:positionH relativeFrom="page">
              <wp:posOffset>5876290</wp:posOffset>
            </wp:positionH>
            <wp:positionV relativeFrom="paragraph">
              <wp:posOffset>220345</wp:posOffset>
            </wp:positionV>
            <wp:extent cx="917575" cy="1356995"/>
            <wp:effectExtent l="0" t="0" r="0" b="0"/>
            <wp:wrapSquare wrapText="left"/>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7575" cy="1356995"/>
                    </a:xfrm>
                    <a:prstGeom prst="rect">
                      <a:avLst/>
                    </a:prstGeom>
                    <a:noFill/>
                  </pic:spPr>
                </pic:pic>
              </a:graphicData>
            </a:graphic>
            <wp14:sizeRelH relativeFrom="page">
              <wp14:pctWidth>0</wp14:pctWidth>
            </wp14:sizeRelH>
            <wp14:sizeRelV relativeFrom="page">
              <wp14:pctHeight>0</wp14:pctHeight>
            </wp14:sizeRelV>
          </wp:anchor>
        </w:drawing>
      </w:r>
      <w:r w:rsidR="00DA6A76" w:rsidRPr="00DA6A76">
        <w:t>Non-regulated workforce</w:t>
      </w:r>
      <w:bookmarkEnd w:id="29"/>
    </w:p>
    <w:p w:rsidR="00DA6A76" w:rsidRDefault="009B180D" w:rsidP="009B180D">
      <w:r>
        <w:t>D</w:t>
      </w:r>
      <w:r w:rsidR="00DA6A76" w:rsidRPr="00DA6A76">
        <w:t>emand for carers and support workers will only continue to rise as the population ages and the trend for care to move out</w:t>
      </w:r>
      <w:r w:rsidR="00C454CC">
        <w:t xml:space="preserve"> </w:t>
      </w:r>
      <w:r w:rsidR="00DA6A76" w:rsidRPr="00DA6A76">
        <w:t>of hospitals and closer to people</w:t>
      </w:r>
      <w:r w:rsidR="00C454CC">
        <w:t>’</w:t>
      </w:r>
      <w:r w:rsidR="00DA6A76" w:rsidRPr="00DA6A76">
        <w:t>s homes continues. For a list of non-regulated health professions, see Appendix</w:t>
      </w:r>
      <w:r>
        <w:t> </w:t>
      </w:r>
      <w:r w:rsidR="00DA6A76" w:rsidRPr="00DA6A76">
        <w:t>5.</w:t>
      </w:r>
    </w:p>
    <w:p w:rsidR="009B180D" w:rsidRPr="00DA6A76" w:rsidRDefault="009B180D" w:rsidP="009B180D"/>
    <w:p w:rsidR="009B180D" w:rsidRDefault="009B180D" w:rsidP="009B180D">
      <w:r>
        <w:br w:type="page"/>
      </w:r>
    </w:p>
    <w:p w:rsidR="0014328E" w:rsidRDefault="0014328E" w:rsidP="0014328E">
      <w:pPr>
        <w:pStyle w:val="Heading1"/>
      </w:pPr>
      <w:bookmarkStart w:id="30" w:name="_Toc403834868"/>
      <w:r>
        <w:t>Appendices</w:t>
      </w:r>
      <w:bookmarkEnd w:id="30"/>
    </w:p>
    <w:p w:rsidR="00DA6A76" w:rsidRPr="00DA6A76" w:rsidRDefault="00DA6A76" w:rsidP="009B180D">
      <w:pPr>
        <w:pStyle w:val="Heading2"/>
      </w:pPr>
      <w:bookmarkStart w:id="31" w:name="_Toc403834869"/>
      <w:r w:rsidRPr="00DA6A76">
        <w:t>Appendix 1:</w:t>
      </w:r>
      <w:r w:rsidR="009B180D">
        <w:t xml:space="preserve"> </w:t>
      </w:r>
      <w:r w:rsidRPr="00DA6A76">
        <w:t>Numbers of medical specialists per</w:t>
      </w:r>
      <w:r w:rsidR="009B180D">
        <w:t xml:space="preserve"> </w:t>
      </w:r>
      <w:r w:rsidRPr="00DA6A76">
        <w:t>100,000 population</w:t>
      </w:r>
      <w:bookmarkEnd w:id="31"/>
    </w:p>
    <w:p w:rsidR="00DA6A76" w:rsidRPr="00DA6A76" w:rsidRDefault="00DA6A76" w:rsidP="005272AB">
      <w:r w:rsidRPr="00DA6A76">
        <w:t>The following list is based on the number of annual practising certificates issued by the MCNZ as of mid-2014. These numbers indicate a head count, rather than numbers of FTEs.</w:t>
      </w:r>
    </w:p>
    <w:p w:rsidR="00DA6A76" w:rsidRPr="00DA6A76" w:rsidRDefault="00DA6A76" w:rsidP="005272AB"/>
    <w:p w:rsidR="00DA6A76" w:rsidRDefault="00DA6A76" w:rsidP="005272AB">
      <w:r w:rsidRPr="00DA6A76">
        <w:t>A figure of 0 per 100,000 does not mean New Zealand lacks these specialists – rather, it indicates that numbers are too small to meaningfully record.</w:t>
      </w:r>
    </w:p>
    <w:p w:rsidR="001E2522" w:rsidRDefault="001E2522" w:rsidP="005272AB"/>
    <w:p w:rsidR="009F56AC" w:rsidRDefault="009F56AC">
      <w:pPr>
        <w:spacing w:line="240" w:lineRule="auto"/>
      </w:pPr>
      <w:r>
        <w:br w:type="page"/>
      </w: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183"/>
        <w:gridCol w:w="1024"/>
        <w:gridCol w:w="1025"/>
        <w:gridCol w:w="1025"/>
        <w:gridCol w:w="1024"/>
        <w:gridCol w:w="1025"/>
        <w:gridCol w:w="1025"/>
        <w:gridCol w:w="1025"/>
      </w:tblGrid>
      <w:tr w:rsidR="001E2522" w:rsidRPr="001E2522" w:rsidTr="001E2522">
        <w:trPr>
          <w:cantSplit/>
          <w:tblHeader/>
        </w:trPr>
        <w:tc>
          <w:tcPr>
            <w:tcW w:w="2183"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rPr>
                <w:rFonts w:cs="Arial"/>
                <w:b/>
              </w:rPr>
            </w:pPr>
          </w:p>
        </w:tc>
        <w:tc>
          <w:tcPr>
            <w:tcW w:w="1024"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Northland</w:t>
            </w:r>
          </w:p>
        </w:tc>
        <w:tc>
          <w:tcPr>
            <w:tcW w:w="1025"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Waitemata</w:t>
            </w:r>
          </w:p>
        </w:tc>
        <w:tc>
          <w:tcPr>
            <w:tcW w:w="1025"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Auckland</w:t>
            </w:r>
          </w:p>
        </w:tc>
        <w:tc>
          <w:tcPr>
            <w:tcW w:w="1024"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Counties</w:t>
            </w:r>
            <w:r w:rsidR="001E2522">
              <w:rPr>
                <w:rFonts w:cs="Arial"/>
                <w:b/>
                <w:szCs w:val="18"/>
              </w:rPr>
              <w:t xml:space="preserve"> </w:t>
            </w:r>
            <w:r w:rsidRPr="001E2522">
              <w:rPr>
                <w:rFonts w:cs="Arial"/>
                <w:b/>
                <w:szCs w:val="18"/>
              </w:rPr>
              <w:t>Manukau</w:t>
            </w:r>
          </w:p>
        </w:tc>
        <w:tc>
          <w:tcPr>
            <w:tcW w:w="1025"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Waikato</w:t>
            </w:r>
          </w:p>
        </w:tc>
        <w:tc>
          <w:tcPr>
            <w:tcW w:w="1025"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Lakes</w:t>
            </w:r>
          </w:p>
        </w:tc>
        <w:tc>
          <w:tcPr>
            <w:tcW w:w="1025"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Bay of Plenty</w:t>
            </w:r>
          </w:p>
        </w:tc>
      </w:tr>
      <w:tr w:rsidR="00DA6A76" w:rsidRPr="00DA6A76" w:rsidTr="001E2522">
        <w:trPr>
          <w:cantSplit/>
        </w:trPr>
        <w:tc>
          <w:tcPr>
            <w:tcW w:w="2183" w:type="dxa"/>
            <w:tcBorders>
              <w:top w:val="single" w:sz="4" w:space="0" w:color="auto"/>
              <w:bottom w:val="nil"/>
            </w:tcBorders>
            <w:shd w:val="clear" w:color="auto" w:fill="auto"/>
          </w:tcPr>
          <w:p w:rsidR="00DA6A76" w:rsidRPr="00DA6A76" w:rsidRDefault="00DA6A76" w:rsidP="001E2522">
            <w:pPr>
              <w:pStyle w:val="TableText"/>
            </w:pPr>
            <w:r w:rsidRPr="00DA6A76">
              <w:t>Anaesthesia</w:t>
            </w:r>
          </w:p>
        </w:tc>
        <w:tc>
          <w:tcPr>
            <w:tcW w:w="1024" w:type="dxa"/>
            <w:tcBorders>
              <w:top w:val="single" w:sz="4" w:space="0" w:color="auto"/>
              <w:bottom w:val="nil"/>
            </w:tcBorders>
            <w:shd w:val="clear" w:color="auto" w:fill="auto"/>
          </w:tcPr>
          <w:p w:rsidR="00DA6A76" w:rsidRPr="00DA6A76" w:rsidRDefault="00DA6A76" w:rsidP="001E2522">
            <w:pPr>
              <w:pStyle w:val="TableText"/>
              <w:tabs>
                <w:tab w:val="decimal" w:pos="535"/>
              </w:tabs>
            </w:pPr>
            <w:r w:rsidRPr="00DA6A76">
              <w:t>12</w:t>
            </w:r>
          </w:p>
        </w:tc>
        <w:tc>
          <w:tcPr>
            <w:tcW w:w="1025" w:type="dxa"/>
            <w:tcBorders>
              <w:top w:val="single" w:sz="4" w:space="0" w:color="auto"/>
              <w:bottom w:val="nil"/>
            </w:tcBorders>
            <w:shd w:val="clear" w:color="auto" w:fill="auto"/>
          </w:tcPr>
          <w:p w:rsidR="00DA6A76" w:rsidRPr="00DA6A76" w:rsidRDefault="00DA6A76" w:rsidP="001E2522">
            <w:pPr>
              <w:pStyle w:val="TableText"/>
              <w:tabs>
                <w:tab w:val="decimal" w:pos="535"/>
              </w:tabs>
            </w:pPr>
            <w:r w:rsidRPr="00DA6A76">
              <w:t>7</w:t>
            </w:r>
          </w:p>
        </w:tc>
        <w:tc>
          <w:tcPr>
            <w:tcW w:w="1025" w:type="dxa"/>
            <w:tcBorders>
              <w:top w:val="single" w:sz="4" w:space="0" w:color="auto"/>
              <w:bottom w:val="nil"/>
            </w:tcBorders>
            <w:shd w:val="clear" w:color="auto" w:fill="auto"/>
          </w:tcPr>
          <w:p w:rsidR="00DA6A76" w:rsidRPr="00DA6A76" w:rsidRDefault="00DA6A76" w:rsidP="001E2522">
            <w:pPr>
              <w:pStyle w:val="TableText"/>
              <w:tabs>
                <w:tab w:val="decimal" w:pos="535"/>
              </w:tabs>
            </w:pPr>
            <w:r w:rsidRPr="00DA6A76">
              <w:t>43</w:t>
            </w:r>
          </w:p>
        </w:tc>
        <w:tc>
          <w:tcPr>
            <w:tcW w:w="1024" w:type="dxa"/>
            <w:tcBorders>
              <w:top w:val="single" w:sz="4" w:space="0" w:color="auto"/>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single" w:sz="4" w:space="0" w:color="auto"/>
              <w:bottom w:val="nil"/>
            </w:tcBorders>
            <w:shd w:val="clear" w:color="auto" w:fill="auto"/>
          </w:tcPr>
          <w:p w:rsidR="00DA6A76" w:rsidRPr="00DA6A76" w:rsidRDefault="00DA6A76" w:rsidP="001E2522">
            <w:pPr>
              <w:pStyle w:val="TableText"/>
              <w:tabs>
                <w:tab w:val="decimal" w:pos="535"/>
              </w:tabs>
            </w:pPr>
            <w:r w:rsidRPr="00DA6A76">
              <w:t>15</w:t>
            </w:r>
          </w:p>
        </w:tc>
        <w:tc>
          <w:tcPr>
            <w:tcW w:w="1025" w:type="dxa"/>
            <w:tcBorders>
              <w:top w:val="single" w:sz="4" w:space="0" w:color="auto"/>
              <w:bottom w:val="nil"/>
            </w:tcBorders>
            <w:shd w:val="clear" w:color="auto" w:fill="auto"/>
          </w:tcPr>
          <w:p w:rsidR="00DA6A76" w:rsidRPr="00DA6A76" w:rsidRDefault="00DA6A76" w:rsidP="001E2522">
            <w:pPr>
              <w:pStyle w:val="TableText"/>
              <w:tabs>
                <w:tab w:val="decimal" w:pos="535"/>
              </w:tabs>
            </w:pPr>
            <w:r w:rsidRPr="00DA6A76">
              <w:t>16</w:t>
            </w:r>
          </w:p>
        </w:tc>
        <w:tc>
          <w:tcPr>
            <w:tcW w:w="1025" w:type="dxa"/>
            <w:tcBorders>
              <w:top w:val="single" w:sz="4" w:space="0" w:color="auto"/>
              <w:bottom w:val="nil"/>
            </w:tcBorders>
            <w:shd w:val="clear" w:color="auto" w:fill="auto"/>
          </w:tcPr>
          <w:p w:rsidR="00DA6A76" w:rsidRPr="00DA6A76" w:rsidRDefault="00DA6A76" w:rsidP="001E2522">
            <w:pPr>
              <w:pStyle w:val="TableText"/>
              <w:tabs>
                <w:tab w:val="decimal" w:pos="535"/>
              </w:tabs>
            </w:pPr>
            <w:r w:rsidRPr="00DA6A76">
              <w:t>11</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Cardiothoracic surgery</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Clinical genetics</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Dermatology</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4</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Diagnostic and interventional radiology</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6</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27</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6</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5</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7</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Emergency medicine</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7</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13</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4</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4</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3</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Family planning and reproductive health</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General practice</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71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43</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125</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37</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62</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67</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67</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General surgery</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6</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15</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7</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6</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5</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Intensive care medicine</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5</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Internal medicine</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9</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8</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60</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19</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15</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12</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Medical administration</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Musculoskeletal medicine</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Neurosurgery</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Obstetrics and gynaecology</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5</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18</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4</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5</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5</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Occupational medicine</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Ophthalmology</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9</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Oral and maxillofacial surgery</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Orthopaedic surgery</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6</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16</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5</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8</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8</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Otolaryngology/</w:t>
            </w:r>
            <w:r w:rsidR="005272AB">
              <w:br/>
              <w:t>h</w:t>
            </w:r>
            <w:r w:rsidRPr="00DA6A76">
              <w:t>ead and neck surgery</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6</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4</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Paediatric surgery</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Paediatrics</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7</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3</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28</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5</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8</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7</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Pain medicine</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2</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Palliative medicine</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Pathology</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18</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5</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Plastic and reconstructive surgery</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5</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Psychiatry</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9</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6</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29</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4</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4</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7</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Public health medicine</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10</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Radiation oncology</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Rehabilitation medicine</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Rural hospital medicine</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10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Sexual health medicine</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Sports medicine</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r>
      <w:tr w:rsidR="00DA6A76" w:rsidRPr="00DA6A76" w:rsidTr="001E2522">
        <w:trPr>
          <w:cantSplit/>
        </w:trPr>
        <w:tc>
          <w:tcPr>
            <w:tcW w:w="2183" w:type="dxa"/>
            <w:tcBorders>
              <w:top w:val="nil"/>
              <w:bottom w:val="nil"/>
            </w:tcBorders>
            <w:shd w:val="clear" w:color="auto" w:fill="F2F2F2" w:themeFill="background1" w:themeFillShade="F2"/>
          </w:tcPr>
          <w:p w:rsidR="00DA6A76" w:rsidRPr="00DA6A76" w:rsidRDefault="00DA6A76" w:rsidP="001E2522">
            <w:pPr>
              <w:pStyle w:val="TableText"/>
            </w:pPr>
            <w:r w:rsidRPr="00DA6A76">
              <w:t>Urgent care</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5</w:t>
            </w:r>
          </w:p>
        </w:tc>
        <w:tc>
          <w:tcPr>
            <w:tcW w:w="1024"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3</w:t>
            </w:r>
          </w:p>
        </w:tc>
        <w:tc>
          <w:tcPr>
            <w:tcW w:w="1025" w:type="dxa"/>
            <w:tcBorders>
              <w:top w:val="nil"/>
              <w:bottom w:val="nil"/>
            </w:tcBorders>
            <w:shd w:val="clear" w:color="auto" w:fill="F2F2F2" w:themeFill="background1" w:themeFillShade="F2"/>
          </w:tcPr>
          <w:p w:rsidR="00DA6A76" w:rsidRPr="00DA6A76" w:rsidRDefault="00DA6A76" w:rsidP="001E2522">
            <w:pPr>
              <w:pStyle w:val="TableText"/>
              <w:tabs>
                <w:tab w:val="decimal" w:pos="535"/>
              </w:tabs>
            </w:pPr>
            <w:r w:rsidRPr="00DA6A76">
              <w:t>3</w:t>
            </w:r>
          </w:p>
        </w:tc>
      </w:tr>
      <w:tr w:rsidR="00DA6A76" w:rsidRPr="00DA6A76" w:rsidTr="001E2522">
        <w:trPr>
          <w:cantSplit/>
        </w:trPr>
        <w:tc>
          <w:tcPr>
            <w:tcW w:w="2183" w:type="dxa"/>
            <w:tcBorders>
              <w:top w:val="nil"/>
              <w:bottom w:val="nil"/>
            </w:tcBorders>
            <w:shd w:val="clear" w:color="auto" w:fill="auto"/>
          </w:tcPr>
          <w:p w:rsidR="00DA6A76" w:rsidRPr="00DA6A76" w:rsidRDefault="00DA6A76" w:rsidP="001E2522">
            <w:pPr>
              <w:pStyle w:val="TableText"/>
            </w:pPr>
            <w:r w:rsidRPr="00DA6A76">
              <w:t>Urology</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3</w:t>
            </w:r>
          </w:p>
        </w:tc>
        <w:tc>
          <w:tcPr>
            <w:tcW w:w="1024" w:type="dxa"/>
            <w:tcBorders>
              <w:top w:val="nil"/>
              <w:bottom w:val="nil"/>
            </w:tcBorders>
            <w:shd w:val="clear" w:color="auto" w:fill="auto"/>
          </w:tcPr>
          <w:p w:rsidR="00DA6A76" w:rsidRPr="00DA6A76" w:rsidRDefault="00DA6A76" w:rsidP="001E2522">
            <w:pPr>
              <w:pStyle w:val="TableText"/>
              <w:tabs>
                <w:tab w:val="decimal" w:pos="535"/>
              </w:tabs>
            </w:pPr>
            <w:r w:rsidRPr="00DA6A76">
              <w:t>0</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2</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1</w:t>
            </w:r>
          </w:p>
        </w:tc>
        <w:tc>
          <w:tcPr>
            <w:tcW w:w="1025" w:type="dxa"/>
            <w:tcBorders>
              <w:top w:val="nil"/>
              <w:bottom w:val="nil"/>
            </w:tcBorders>
            <w:shd w:val="clear" w:color="auto" w:fill="auto"/>
          </w:tcPr>
          <w:p w:rsidR="00DA6A76" w:rsidRPr="00DA6A76" w:rsidRDefault="00DA6A76" w:rsidP="001E2522">
            <w:pPr>
              <w:pStyle w:val="TableText"/>
              <w:tabs>
                <w:tab w:val="decimal" w:pos="535"/>
              </w:tabs>
            </w:pPr>
            <w:r w:rsidRPr="00DA6A76">
              <w:t>2</w:t>
            </w:r>
          </w:p>
        </w:tc>
      </w:tr>
      <w:tr w:rsidR="00DA6A76" w:rsidRPr="00DA6A76" w:rsidTr="001E2522">
        <w:trPr>
          <w:cantSplit/>
        </w:trPr>
        <w:tc>
          <w:tcPr>
            <w:tcW w:w="2183" w:type="dxa"/>
            <w:tcBorders>
              <w:top w:val="nil"/>
              <w:bottom w:val="single" w:sz="4" w:space="0" w:color="auto"/>
            </w:tcBorders>
            <w:shd w:val="clear" w:color="auto" w:fill="F2F2F2" w:themeFill="background1" w:themeFillShade="F2"/>
          </w:tcPr>
          <w:p w:rsidR="00DA6A76" w:rsidRPr="00DA6A76" w:rsidRDefault="00DA6A76" w:rsidP="001E2522">
            <w:pPr>
              <w:pStyle w:val="TableText"/>
            </w:pPr>
            <w:r w:rsidRPr="00DA6A76">
              <w:t>Vascular surgery</w:t>
            </w:r>
          </w:p>
        </w:tc>
        <w:tc>
          <w:tcPr>
            <w:tcW w:w="1024" w:type="dxa"/>
            <w:tcBorders>
              <w:top w:val="nil"/>
              <w:bottom w:val="single" w:sz="4" w:space="0" w:color="auto"/>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single" w:sz="4" w:space="0" w:color="auto"/>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single" w:sz="4" w:space="0" w:color="auto"/>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4" w:type="dxa"/>
            <w:tcBorders>
              <w:top w:val="nil"/>
              <w:bottom w:val="single" w:sz="4" w:space="0" w:color="auto"/>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single" w:sz="4" w:space="0" w:color="auto"/>
            </w:tcBorders>
            <w:shd w:val="clear" w:color="auto" w:fill="F2F2F2" w:themeFill="background1" w:themeFillShade="F2"/>
          </w:tcPr>
          <w:p w:rsidR="00DA6A76" w:rsidRPr="00DA6A76" w:rsidRDefault="00DA6A76" w:rsidP="001E2522">
            <w:pPr>
              <w:pStyle w:val="TableText"/>
              <w:tabs>
                <w:tab w:val="decimal" w:pos="535"/>
              </w:tabs>
            </w:pPr>
            <w:r w:rsidRPr="00DA6A76">
              <w:t>1</w:t>
            </w:r>
          </w:p>
        </w:tc>
        <w:tc>
          <w:tcPr>
            <w:tcW w:w="1025" w:type="dxa"/>
            <w:tcBorders>
              <w:top w:val="nil"/>
              <w:bottom w:val="single" w:sz="4" w:space="0" w:color="auto"/>
            </w:tcBorders>
            <w:shd w:val="clear" w:color="auto" w:fill="F2F2F2" w:themeFill="background1" w:themeFillShade="F2"/>
          </w:tcPr>
          <w:p w:rsidR="00DA6A76" w:rsidRPr="00DA6A76" w:rsidRDefault="00DA6A76" w:rsidP="001E2522">
            <w:pPr>
              <w:pStyle w:val="TableText"/>
              <w:tabs>
                <w:tab w:val="decimal" w:pos="535"/>
              </w:tabs>
            </w:pPr>
            <w:r w:rsidRPr="00DA6A76">
              <w:t>0</w:t>
            </w:r>
          </w:p>
        </w:tc>
        <w:tc>
          <w:tcPr>
            <w:tcW w:w="1025" w:type="dxa"/>
            <w:tcBorders>
              <w:top w:val="nil"/>
              <w:bottom w:val="single" w:sz="4" w:space="0" w:color="auto"/>
            </w:tcBorders>
            <w:shd w:val="clear" w:color="auto" w:fill="F2F2F2" w:themeFill="background1" w:themeFillShade="F2"/>
          </w:tcPr>
          <w:p w:rsidR="00DA6A76" w:rsidRPr="00DA6A76" w:rsidRDefault="00DA6A76" w:rsidP="001E2522">
            <w:pPr>
              <w:pStyle w:val="TableText"/>
              <w:tabs>
                <w:tab w:val="decimal" w:pos="535"/>
              </w:tabs>
            </w:pPr>
            <w:r w:rsidRPr="00DA6A76">
              <w:t>0</w:t>
            </w:r>
          </w:p>
        </w:tc>
      </w:tr>
    </w:tbl>
    <w:p w:rsidR="00DA6A76" w:rsidRPr="001E2522" w:rsidRDefault="00DA6A76" w:rsidP="001E2522"/>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154"/>
        <w:gridCol w:w="1028"/>
        <w:gridCol w:w="1029"/>
        <w:gridCol w:w="1029"/>
        <w:gridCol w:w="1139"/>
        <w:gridCol w:w="1134"/>
        <w:gridCol w:w="992"/>
        <w:gridCol w:w="851"/>
      </w:tblGrid>
      <w:tr w:rsidR="001E2522" w:rsidRPr="001E2522" w:rsidTr="009F56AC">
        <w:trPr>
          <w:cantSplit/>
          <w:tblHeader/>
        </w:trPr>
        <w:tc>
          <w:tcPr>
            <w:tcW w:w="2154" w:type="dxa"/>
            <w:tcBorders>
              <w:top w:val="single" w:sz="4" w:space="0" w:color="auto"/>
              <w:bottom w:val="single" w:sz="4" w:space="0" w:color="auto"/>
            </w:tcBorders>
            <w:shd w:val="clear" w:color="auto" w:fill="F2F2F2" w:themeFill="background1" w:themeFillShade="F2"/>
          </w:tcPr>
          <w:p w:rsidR="00DA6A76" w:rsidRPr="001E2522" w:rsidRDefault="00DA6A76" w:rsidP="009F56AC">
            <w:pPr>
              <w:pStyle w:val="TableText"/>
              <w:keepNext/>
              <w:rPr>
                <w:rFonts w:cs="Arial"/>
                <w:b/>
                <w:szCs w:val="18"/>
              </w:rPr>
            </w:pPr>
          </w:p>
        </w:tc>
        <w:tc>
          <w:tcPr>
            <w:tcW w:w="1028"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Tairawhiti</w:t>
            </w:r>
          </w:p>
        </w:tc>
        <w:tc>
          <w:tcPr>
            <w:tcW w:w="1029"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Hawke</w:t>
            </w:r>
            <w:r w:rsidR="00C454CC" w:rsidRPr="001E2522">
              <w:rPr>
                <w:rFonts w:cs="Arial"/>
                <w:b/>
                <w:szCs w:val="18"/>
              </w:rPr>
              <w:t>’</w:t>
            </w:r>
            <w:r w:rsidRPr="001E2522">
              <w:rPr>
                <w:rFonts w:cs="Arial"/>
                <w:b/>
                <w:szCs w:val="18"/>
              </w:rPr>
              <w:t>s Bay</w:t>
            </w:r>
          </w:p>
        </w:tc>
        <w:tc>
          <w:tcPr>
            <w:tcW w:w="1029"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Taranaki</w:t>
            </w:r>
          </w:p>
        </w:tc>
        <w:tc>
          <w:tcPr>
            <w:tcW w:w="1139"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MidCentral</w:t>
            </w:r>
          </w:p>
        </w:tc>
        <w:tc>
          <w:tcPr>
            <w:tcW w:w="1134"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Whanganui</w:t>
            </w:r>
          </w:p>
        </w:tc>
        <w:tc>
          <w:tcPr>
            <w:tcW w:w="992"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Capital &amp; Coast</w:t>
            </w:r>
          </w:p>
        </w:tc>
        <w:tc>
          <w:tcPr>
            <w:tcW w:w="851" w:type="dxa"/>
            <w:tcBorders>
              <w:top w:val="single" w:sz="4" w:space="0" w:color="auto"/>
              <w:bottom w:val="single" w:sz="4" w:space="0" w:color="auto"/>
            </w:tcBorders>
            <w:shd w:val="clear" w:color="auto" w:fill="F2F2F2" w:themeFill="background1" w:themeFillShade="F2"/>
          </w:tcPr>
          <w:p w:rsidR="00DA6A76" w:rsidRPr="001E2522" w:rsidRDefault="00DA6A76" w:rsidP="001E2522">
            <w:pPr>
              <w:pStyle w:val="TableText"/>
              <w:jc w:val="center"/>
              <w:rPr>
                <w:rFonts w:cs="Arial"/>
                <w:b/>
                <w:szCs w:val="18"/>
              </w:rPr>
            </w:pPr>
            <w:r w:rsidRPr="001E2522">
              <w:rPr>
                <w:rFonts w:cs="Arial"/>
                <w:b/>
                <w:szCs w:val="18"/>
              </w:rPr>
              <w:t>Hutt</w:t>
            </w:r>
          </w:p>
        </w:tc>
      </w:tr>
      <w:tr w:rsidR="001E2522" w:rsidRPr="001E2522" w:rsidTr="009F56AC">
        <w:trPr>
          <w:cantSplit/>
        </w:trPr>
        <w:tc>
          <w:tcPr>
            <w:tcW w:w="2154" w:type="dxa"/>
            <w:tcBorders>
              <w:top w:val="single" w:sz="4" w:space="0" w:color="auto"/>
              <w:bottom w:val="nil"/>
            </w:tcBorders>
            <w:shd w:val="clear" w:color="auto" w:fill="auto"/>
          </w:tcPr>
          <w:p w:rsidR="00DA6A76" w:rsidRPr="001E2522" w:rsidRDefault="00DA6A76" w:rsidP="009F56AC">
            <w:pPr>
              <w:pStyle w:val="TableText"/>
              <w:keepNext/>
              <w:rPr>
                <w:rFonts w:cs="Arial"/>
                <w:szCs w:val="18"/>
              </w:rPr>
            </w:pPr>
            <w:r w:rsidRPr="001E2522">
              <w:rPr>
                <w:rFonts w:cs="Arial"/>
                <w:szCs w:val="18"/>
              </w:rPr>
              <w:t>Anaesthesia</w:t>
            </w:r>
          </w:p>
        </w:tc>
        <w:tc>
          <w:tcPr>
            <w:tcW w:w="1028" w:type="dxa"/>
            <w:tcBorders>
              <w:top w:val="single" w:sz="4" w:space="0" w:color="auto"/>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9</w:t>
            </w:r>
          </w:p>
        </w:tc>
        <w:tc>
          <w:tcPr>
            <w:tcW w:w="1029" w:type="dxa"/>
            <w:tcBorders>
              <w:top w:val="single" w:sz="4" w:space="0" w:color="auto"/>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13</w:t>
            </w:r>
          </w:p>
        </w:tc>
        <w:tc>
          <w:tcPr>
            <w:tcW w:w="1029" w:type="dxa"/>
            <w:tcBorders>
              <w:top w:val="single" w:sz="4" w:space="0" w:color="auto"/>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14</w:t>
            </w:r>
          </w:p>
        </w:tc>
        <w:tc>
          <w:tcPr>
            <w:tcW w:w="1139" w:type="dxa"/>
            <w:tcBorders>
              <w:top w:val="single" w:sz="4" w:space="0" w:color="auto"/>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13</w:t>
            </w:r>
          </w:p>
        </w:tc>
        <w:tc>
          <w:tcPr>
            <w:tcW w:w="1134" w:type="dxa"/>
            <w:tcBorders>
              <w:top w:val="single" w:sz="4" w:space="0" w:color="auto"/>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14</w:t>
            </w:r>
          </w:p>
        </w:tc>
        <w:tc>
          <w:tcPr>
            <w:tcW w:w="992" w:type="dxa"/>
            <w:tcBorders>
              <w:top w:val="single" w:sz="4" w:space="0" w:color="auto"/>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21</w:t>
            </w:r>
          </w:p>
        </w:tc>
        <w:tc>
          <w:tcPr>
            <w:tcW w:w="851" w:type="dxa"/>
            <w:tcBorders>
              <w:top w:val="single" w:sz="4" w:space="0" w:color="auto"/>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8</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Cardiothoracic surgery</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Clinical genetics</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Dermatology</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Diagnostic and interventional radiology</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8</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3</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6</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2</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10</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4</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Emergency medicine</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3</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3</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3</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3</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5</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3</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Family planning and reproductive health</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General practice</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75</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67</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63</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49</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61</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81</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55</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General surgery</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13</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4</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5</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4</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8</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6</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3</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Intensive care medicine</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3</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3</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Internal medicine</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6</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13</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9</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21</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10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29</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14</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Medical administration</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Musculoskeletal medicine</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1</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2</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Neurosurgery</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Obstetrics and gynaecology</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6</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4</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4</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5</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3</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5</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3</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Occupational medicine</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2</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5</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Ophthalmology</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3</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3</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2</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5</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Oral and maxillofacial surgery</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Orthopaedic surgery</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4</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5</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6</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4</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6</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7</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5</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9F56AC">
            <w:pPr>
              <w:pStyle w:val="TableText"/>
              <w:rPr>
                <w:rFonts w:cs="Arial"/>
                <w:szCs w:val="18"/>
              </w:rPr>
            </w:pPr>
            <w:r w:rsidRPr="001E2522">
              <w:rPr>
                <w:rFonts w:cs="Arial"/>
                <w:szCs w:val="18"/>
              </w:rPr>
              <w:t>Otolaryngology/</w:t>
            </w:r>
            <w:r w:rsidR="009F56AC">
              <w:rPr>
                <w:rFonts w:cs="Arial"/>
                <w:szCs w:val="18"/>
              </w:rPr>
              <w:br/>
            </w:r>
            <w:r w:rsidRPr="001E2522">
              <w:rPr>
                <w:rFonts w:cs="Arial"/>
                <w:szCs w:val="18"/>
              </w:rPr>
              <w:t>Head and neck surgery</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4</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3</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2</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2</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3</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2</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Paediatric surgery</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Paediatrics</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11</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6</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6</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4</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3</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6</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5</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Pain medicine</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Palliative medicine</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Pathology</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3</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5</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7</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Plastic and reconstructive surgery</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6</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Psychiatry</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6</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10</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6</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10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18</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12</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Public health medicine</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2</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2</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9</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8</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Radiation oncology</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3</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Rehabilitation medicine</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Rural hospital medicine</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1</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Sexual health medicine</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Sports medicine</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1</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Urgent care</w:t>
            </w:r>
          </w:p>
        </w:tc>
        <w:tc>
          <w:tcPr>
            <w:tcW w:w="1028"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11</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1029"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3</w:t>
            </w:r>
          </w:p>
        </w:tc>
        <w:tc>
          <w:tcPr>
            <w:tcW w:w="1139"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3</w:t>
            </w:r>
          </w:p>
        </w:tc>
        <w:tc>
          <w:tcPr>
            <w:tcW w:w="992"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r>
      <w:tr w:rsidR="001E2522" w:rsidRPr="001E2522" w:rsidTr="009F56AC">
        <w:trPr>
          <w:cantSplit/>
        </w:trPr>
        <w:tc>
          <w:tcPr>
            <w:tcW w:w="215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Urology</w:t>
            </w:r>
          </w:p>
        </w:tc>
        <w:tc>
          <w:tcPr>
            <w:tcW w:w="1028"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1029"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1139"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2</w:t>
            </w:r>
          </w:p>
        </w:tc>
        <w:tc>
          <w:tcPr>
            <w:tcW w:w="1134" w:type="dxa"/>
            <w:tcBorders>
              <w:top w:val="nil"/>
              <w:bottom w:val="nil"/>
            </w:tcBorders>
            <w:shd w:val="clear" w:color="auto" w:fill="auto"/>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2</w:t>
            </w:r>
          </w:p>
        </w:tc>
        <w:tc>
          <w:tcPr>
            <w:tcW w:w="851" w:type="dxa"/>
            <w:tcBorders>
              <w:top w:val="nil"/>
              <w:bottom w:val="nil"/>
            </w:tcBorders>
            <w:shd w:val="clear" w:color="auto" w:fill="auto"/>
          </w:tcPr>
          <w:p w:rsidR="00DA6A76" w:rsidRPr="001E2522" w:rsidRDefault="00DA6A76" w:rsidP="001E2522">
            <w:pPr>
              <w:pStyle w:val="TableText"/>
              <w:tabs>
                <w:tab w:val="decimal" w:pos="538"/>
              </w:tabs>
              <w:rPr>
                <w:rFonts w:cs="Arial"/>
                <w:szCs w:val="18"/>
              </w:rPr>
            </w:pPr>
            <w:r w:rsidRPr="001E2522">
              <w:rPr>
                <w:rFonts w:cs="Arial"/>
                <w:szCs w:val="18"/>
              </w:rPr>
              <w:t>0</w:t>
            </w:r>
          </w:p>
        </w:tc>
      </w:tr>
      <w:tr w:rsidR="001E2522" w:rsidRPr="001E2522" w:rsidTr="009F56AC">
        <w:trPr>
          <w:cantSplit/>
        </w:trPr>
        <w:tc>
          <w:tcPr>
            <w:tcW w:w="2154" w:type="dxa"/>
            <w:tcBorders>
              <w:top w:val="nil"/>
              <w:bottom w:val="single" w:sz="4" w:space="0" w:color="auto"/>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Vascular surgery</w:t>
            </w:r>
          </w:p>
        </w:tc>
        <w:tc>
          <w:tcPr>
            <w:tcW w:w="1028" w:type="dxa"/>
            <w:tcBorders>
              <w:top w:val="nil"/>
              <w:bottom w:val="single" w:sz="4" w:space="0" w:color="auto"/>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single" w:sz="4" w:space="0" w:color="auto"/>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029" w:type="dxa"/>
            <w:tcBorders>
              <w:top w:val="nil"/>
              <w:bottom w:val="single" w:sz="4" w:space="0" w:color="auto"/>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c>
          <w:tcPr>
            <w:tcW w:w="1139" w:type="dxa"/>
            <w:tcBorders>
              <w:top w:val="nil"/>
              <w:bottom w:val="single" w:sz="4" w:space="0" w:color="auto"/>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1134" w:type="dxa"/>
            <w:tcBorders>
              <w:top w:val="nil"/>
              <w:bottom w:val="single" w:sz="4" w:space="0" w:color="auto"/>
            </w:tcBorders>
            <w:shd w:val="clear" w:color="auto" w:fill="F2F2F2" w:themeFill="background1" w:themeFillShade="F2"/>
          </w:tcPr>
          <w:p w:rsidR="00DA6A76" w:rsidRPr="001E2522" w:rsidRDefault="00DA6A76" w:rsidP="001E2522">
            <w:pPr>
              <w:pStyle w:val="TableText"/>
              <w:tabs>
                <w:tab w:val="decimal" w:pos="657"/>
              </w:tabs>
              <w:rPr>
                <w:rFonts w:cs="Arial"/>
                <w:szCs w:val="18"/>
              </w:rPr>
            </w:pPr>
            <w:r w:rsidRPr="001E2522">
              <w:rPr>
                <w:rFonts w:cs="Arial"/>
                <w:szCs w:val="18"/>
              </w:rPr>
              <w:t>0</w:t>
            </w:r>
          </w:p>
        </w:tc>
        <w:tc>
          <w:tcPr>
            <w:tcW w:w="992" w:type="dxa"/>
            <w:tcBorders>
              <w:top w:val="nil"/>
              <w:bottom w:val="single" w:sz="4" w:space="0" w:color="auto"/>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1</w:t>
            </w:r>
          </w:p>
        </w:tc>
        <w:tc>
          <w:tcPr>
            <w:tcW w:w="851" w:type="dxa"/>
            <w:tcBorders>
              <w:top w:val="nil"/>
              <w:bottom w:val="single" w:sz="4" w:space="0" w:color="auto"/>
            </w:tcBorders>
            <w:shd w:val="clear" w:color="auto" w:fill="F2F2F2" w:themeFill="background1" w:themeFillShade="F2"/>
          </w:tcPr>
          <w:p w:rsidR="00DA6A76" w:rsidRPr="001E2522" w:rsidRDefault="00DA6A76" w:rsidP="001E2522">
            <w:pPr>
              <w:pStyle w:val="TableText"/>
              <w:tabs>
                <w:tab w:val="decimal" w:pos="538"/>
              </w:tabs>
              <w:rPr>
                <w:rFonts w:cs="Arial"/>
                <w:szCs w:val="18"/>
              </w:rPr>
            </w:pPr>
            <w:r w:rsidRPr="001E2522">
              <w:rPr>
                <w:rFonts w:cs="Arial"/>
                <w:szCs w:val="18"/>
              </w:rPr>
              <w:t>0</w:t>
            </w:r>
          </w:p>
        </w:tc>
      </w:tr>
    </w:tbl>
    <w:p w:rsidR="00DA6A76" w:rsidRPr="001E2522" w:rsidRDefault="00DA6A76" w:rsidP="001E2522"/>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144"/>
        <w:gridCol w:w="1030"/>
        <w:gridCol w:w="1221"/>
        <w:gridCol w:w="839"/>
        <w:gridCol w:w="1145"/>
        <w:gridCol w:w="1134"/>
        <w:gridCol w:w="992"/>
        <w:gridCol w:w="851"/>
      </w:tblGrid>
      <w:tr w:rsidR="001E2522" w:rsidRPr="001E2522" w:rsidTr="001936BF">
        <w:trPr>
          <w:cantSplit/>
          <w:tblHeader/>
        </w:trPr>
        <w:tc>
          <w:tcPr>
            <w:tcW w:w="2144" w:type="dxa"/>
            <w:tcBorders>
              <w:top w:val="single" w:sz="4" w:space="0" w:color="auto"/>
              <w:bottom w:val="single" w:sz="4" w:space="0" w:color="auto"/>
            </w:tcBorders>
            <w:shd w:val="clear" w:color="auto" w:fill="F2F2F2" w:themeFill="background1" w:themeFillShade="F2"/>
          </w:tcPr>
          <w:p w:rsidR="00DA6A76" w:rsidRPr="001E2522" w:rsidRDefault="00DA6A76" w:rsidP="009F56AC">
            <w:pPr>
              <w:pStyle w:val="TableText"/>
              <w:keepNext/>
              <w:rPr>
                <w:rFonts w:cs="Arial"/>
                <w:b/>
                <w:szCs w:val="18"/>
              </w:rPr>
            </w:pPr>
          </w:p>
        </w:tc>
        <w:tc>
          <w:tcPr>
            <w:tcW w:w="1030" w:type="dxa"/>
            <w:tcBorders>
              <w:top w:val="single" w:sz="4" w:space="0" w:color="auto"/>
              <w:bottom w:val="single" w:sz="4" w:space="0" w:color="auto"/>
            </w:tcBorders>
            <w:shd w:val="clear" w:color="auto" w:fill="F2F2F2" w:themeFill="background1" w:themeFillShade="F2"/>
          </w:tcPr>
          <w:p w:rsidR="00DA6A76" w:rsidRPr="001E2522" w:rsidRDefault="00DA6A76" w:rsidP="009F56AC">
            <w:pPr>
              <w:pStyle w:val="TableText"/>
              <w:keepNext/>
              <w:jc w:val="center"/>
              <w:rPr>
                <w:rFonts w:cs="Arial"/>
                <w:b/>
                <w:szCs w:val="18"/>
              </w:rPr>
            </w:pPr>
            <w:r w:rsidRPr="001E2522">
              <w:rPr>
                <w:rFonts w:cs="Arial"/>
                <w:b/>
                <w:szCs w:val="18"/>
              </w:rPr>
              <w:t>Wairarapa</w:t>
            </w:r>
          </w:p>
        </w:tc>
        <w:tc>
          <w:tcPr>
            <w:tcW w:w="1221" w:type="dxa"/>
            <w:tcBorders>
              <w:top w:val="single" w:sz="4" w:space="0" w:color="auto"/>
              <w:bottom w:val="single" w:sz="4" w:space="0" w:color="auto"/>
            </w:tcBorders>
            <w:shd w:val="clear" w:color="auto" w:fill="F2F2F2" w:themeFill="background1" w:themeFillShade="F2"/>
          </w:tcPr>
          <w:p w:rsidR="00DA6A76" w:rsidRPr="001E2522" w:rsidRDefault="00DA6A76" w:rsidP="009F56AC">
            <w:pPr>
              <w:pStyle w:val="TableText"/>
              <w:keepNext/>
              <w:jc w:val="center"/>
              <w:rPr>
                <w:rFonts w:cs="Arial"/>
                <w:b/>
                <w:szCs w:val="18"/>
              </w:rPr>
            </w:pPr>
            <w:r w:rsidRPr="001E2522">
              <w:rPr>
                <w:rFonts w:cs="Arial"/>
                <w:b/>
                <w:szCs w:val="18"/>
              </w:rPr>
              <w:t>Nelson</w:t>
            </w:r>
            <w:r w:rsidR="001E2522">
              <w:rPr>
                <w:rFonts w:cs="Arial"/>
                <w:b/>
                <w:szCs w:val="18"/>
              </w:rPr>
              <w:t xml:space="preserve"> </w:t>
            </w:r>
            <w:r w:rsidRPr="001E2522">
              <w:rPr>
                <w:rFonts w:cs="Arial"/>
                <w:b/>
                <w:szCs w:val="18"/>
              </w:rPr>
              <w:t>Marlborough</w:t>
            </w:r>
          </w:p>
        </w:tc>
        <w:tc>
          <w:tcPr>
            <w:tcW w:w="839" w:type="dxa"/>
            <w:tcBorders>
              <w:top w:val="single" w:sz="4" w:space="0" w:color="auto"/>
              <w:bottom w:val="single" w:sz="4" w:space="0" w:color="auto"/>
            </w:tcBorders>
            <w:shd w:val="clear" w:color="auto" w:fill="F2F2F2" w:themeFill="background1" w:themeFillShade="F2"/>
          </w:tcPr>
          <w:p w:rsidR="00DA6A76" w:rsidRPr="001E2522" w:rsidRDefault="00DA6A76" w:rsidP="009F56AC">
            <w:pPr>
              <w:pStyle w:val="TableText"/>
              <w:keepNext/>
              <w:jc w:val="center"/>
              <w:rPr>
                <w:rFonts w:cs="Arial"/>
                <w:b/>
                <w:szCs w:val="18"/>
              </w:rPr>
            </w:pPr>
            <w:r w:rsidRPr="001E2522">
              <w:rPr>
                <w:rFonts w:cs="Arial"/>
                <w:b/>
                <w:szCs w:val="18"/>
              </w:rPr>
              <w:t>West</w:t>
            </w:r>
            <w:r w:rsidR="001E2522">
              <w:rPr>
                <w:rFonts w:cs="Arial"/>
                <w:b/>
                <w:szCs w:val="18"/>
              </w:rPr>
              <w:t xml:space="preserve"> </w:t>
            </w:r>
            <w:r w:rsidRPr="001E2522">
              <w:rPr>
                <w:rFonts w:cs="Arial"/>
                <w:b/>
                <w:szCs w:val="18"/>
              </w:rPr>
              <w:t>Coast</w:t>
            </w:r>
          </w:p>
        </w:tc>
        <w:tc>
          <w:tcPr>
            <w:tcW w:w="1145" w:type="dxa"/>
            <w:tcBorders>
              <w:top w:val="single" w:sz="4" w:space="0" w:color="auto"/>
              <w:bottom w:val="single" w:sz="4" w:space="0" w:color="auto"/>
            </w:tcBorders>
            <w:shd w:val="clear" w:color="auto" w:fill="F2F2F2" w:themeFill="background1" w:themeFillShade="F2"/>
          </w:tcPr>
          <w:p w:rsidR="00DA6A76" w:rsidRPr="001E2522" w:rsidRDefault="00DA6A76" w:rsidP="009F56AC">
            <w:pPr>
              <w:pStyle w:val="TableText"/>
              <w:keepNext/>
              <w:jc w:val="center"/>
              <w:rPr>
                <w:rFonts w:cs="Arial"/>
                <w:b/>
                <w:szCs w:val="18"/>
              </w:rPr>
            </w:pPr>
            <w:r w:rsidRPr="001E2522">
              <w:rPr>
                <w:rFonts w:cs="Arial"/>
                <w:b/>
                <w:szCs w:val="18"/>
              </w:rPr>
              <w:t>Canterbury</w:t>
            </w:r>
          </w:p>
        </w:tc>
        <w:tc>
          <w:tcPr>
            <w:tcW w:w="1134" w:type="dxa"/>
            <w:tcBorders>
              <w:top w:val="single" w:sz="4" w:space="0" w:color="auto"/>
              <w:bottom w:val="single" w:sz="4" w:space="0" w:color="auto"/>
            </w:tcBorders>
            <w:shd w:val="clear" w:color="auto" w:fill="F2F2F2" w:themeFill="background1" w:themeFillShade="F2"/>
          </w:tcPr>
          <w:p w:rsidR="00DA6A76" w:rsidRPr="001E2522" w:rsidRDefault="00DA6A76" w:rsidP="009F56AC">
            <w:pPr>
              <w:pStyle w:val="TableText"/>
              <w:keepNext/>
              <w:jc w:val="center"/>
              <w:rPr>
                <w:rFonts w:cs="Arial"/>
                <w:b/>
                <w:szCs w:val="18"/>
              </w:rPr>
            </w:pPr>
            <w:r w:rsidRPr="001E2522">
              <w:rPr>
                <w:rFonts w:cs="Arial"/>
                <w:b/>
                <w:szCs w:val="18"/>
              </w:rPr>
              <w:t>South</w:t>
            </w:r>
            <w:r w:rsidR="001E2522">
              <w:rPr>
                <w:rFonts w:cs="Arial"/>
                <w:b/>
                <w:szCs w:val="18"/>
              </w:rPr>
              <w:t xml:space="preserve"> </w:t>
            </w:r>
            <w:r w:rsidRPr="001E2522">
              <w:rPr>
                <w:rFonts w:cs="Arial"/>
                <w:b/>
                <w:szCs w:val="18"/>
              </w:rPr>
              <w:t>Canterbury</w:t>
            </w:r>
          </w:p>
        </w:tc>
        <w:tc>
          <w:tcPr>
            <w:tcW w:w="992" w:type="dxa"/>
            <w:tcBorders>
              <w:top w:val="single" w:sz="4" w:space="0" w:color="auto"/>
              <w:bottom w:val="single" w:sz="4" w:space="0" w:color="auto"/>
            </w:tcBorders>
            <w:shd w:val="clear" w:color="auto" w:fill="F2F2F2" w:themeFill="background1" w:themeFillShade="F2"/>
          </w:tcPr>
          <w:p w:rsidR="00DA6A76" w:rsidRPr="001E2522" w:rsidRDefault="00DA6A76" w:rsidP="009F56AC">
            <w:pPr>
              <w:pStyle w:val="TableText"/>
              <w:keepNext/>
              <w:jc w:val="center"/>
              <w:rPr>
                <w:rFonts w:cs="Arial"/>
                <w:b/>
                <w:szCs w:val="18"/>
              </w:rPr>
            </w:pPr>
            <w:r w:rsidRPr="001E2522">
              <w:rPr>
                <w:rFonts w:cs="Arial"/>
                <w:b/>
                <w:szCs w:val="18"/>
              </w:rPr>
              <w:t>Southern</w:t>
            </w:r>
          </w:p>
        </w:tc>
        <w:tc>
          <w:tcPr>
            <w:tcW w:w="851" w:type="dxa"/>
            <w:tcBorders>
              <w:top w:val="single" w:sz="4" w:space="0" w:color="auto"/>
              <w:bottom w:val="single" w:sz="4" w:space="0" w:color="auto"/>
            </w:tcBorders>
            <w:shd w:val="clear" w:color="auto" w:fill="F2F2F2" w:themeFill="background1" w:themeFillShade="F2"/>
          </w:tcPr>
          <w:p w:rsidR="00DA6A76" w:rsidRPr="001E2522" w:rsidRDefault="00DA6A76" w:rsidP="009F56AC">
            <w:pPr>
              <w:pStyle w:val="TableText"/>
              <w:keepNext/>
              <w:jc w:val="center"/>
              <w:rPr>
                <w:rFonts w:cs="Arial"/>
                <w:b/>
                <w:szCs w:val="18"/>
              </w:rPr>
            </w:pPr>
            <w:r w:rsidRPr="001E2522">
              <w:rPr>
                <w:rFonts w:cs="Arial"/>
                <w:b/>
                <w:szCs w:val="18"/>
              </w:rPr>
              <w:t>New</w:t>
            </w:r>
            <w:r w:rsidR="001E2522">
              <w:rPr>
                <w:rFonts w:cs="Arial"/>
                <w:b/>
                <w:szCs w:val="18"/>
              </w:rPr>
              <w:t xml:space="preserve"> </w:t>
            </w:r>
            <w:r w:rsidRPr="001E2522">
              <w:rPr>
                <w:rFonts w:cs="Arial"/>
                <w:b/>
                <w:szCs w:val="18"/>
              </w:rPr>
              <w:t>Zealand</w:t>
            </w:r>
          </w:p>
        </w:tc>
      </w:tr>
      <w:tr w:rsidR="001E2522" w:rsidRPr="001E2522" w:rsidTr="003A3A6E">
        <w:trPr>
          <w:cantSplit/>
        </w:trPr>
        <w:tc>
          <w:tcPr>
            <w:tcW w:w="2144" w:type="dxa"/>
            <w:tcBorders>
              <w:top w:val="single" w:sz="4" w:space="0" w:color="auto"/>
              <w:bottom w:val="nil"/>
            </w:tcBorders>
            <w:shd w:val="clear" w:color="auto" w:fill="auto"/>
          </w:tcPr>
          <w:p w:rsidR="00DA6A76" w:rsidRPr="001E2522" w:rsidRDefault="00DA6A76" w:rsidP="001E2522">
            <w:pPr>
              <w:pStyle w:val="TableText"/>
              <w:rPr>
                <w:rFonts w:cs="Arial"/>
                <w:szCs w:val="18"/>
              </w:rPr>
            </w:pPr>
            <w:r w:rsidRPr="001E2522">
              <w:rPr>
                <w:rFonts w:cs="Arial"/>
                <w:szCs w:val="18"/>
              </w:rPr>
              <w:t>Anaesthesia</w:t>
            </w:r>
          </w:p>
        </w:tc>
        <w:tc>
          <w:tcPr>
            <w:tcW w:w="1030" w:type="dxa"/>
            <w:tcBorders>
              <w:top w:val="single" w:sz="4" w:space="0" w:color="auto"/>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5</w:t>
            </w:r>
          </w:p>
        </w:tc>
        <w:tc>
          <w:tcPr>
            <w:tcW w:w="1221" w:type="dxa"/>
            <w:tcBorders>
              <w:top w:val="single" w:sz="4" w:space="0" w:color="auto"/>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14</w:t>
            </w:r>
          </w:p>
        </w:tc>
        <w:tc>
          <w:tcPr>
            <w:tcW w:w="839" w:type="dxa"/>
            <w:tcBorders>
              <w:top w:val="single" w:sz="4" w:space="0" w:color="auto"/>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6</w:t>
            </w:r>
          </w:p>
        </w:tc>
        <w:tc>
          <w:tcPr>
            <w:tcW w:w="1145" w:type="dxa"/>
            <w:tcBorders>
              <w:top w:val="single" w:sz="4" w:space="0" w:color="auto"/>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15</w:t>
            </w:r>
          </w:p>
        </w:tc>
        <w:tc>
          <w:tcPr>
            <w:tcW w:w="1134" w:type="dxa"/>
            <w:tcBorders>
              <w:top w:val="single" w:sz="4" w:space="0" w:color="auto"/>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14</w:t>
            </w:r>
          </w:p>
        </w:tc>
        <w:tc>
          <w:tcPr>
            <w:tcW w:w="992" w:type="dxa"/>
            <w:tcBorders>
              <w:top w:val="single" w:sz="4" w:space="0" w:color="auto"/>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12</w:t>
            </w:r>
          </w:p>
        </w:tc>
        <w:tc>
          <w:tcPr>
            <w:tcW w:w="851" w:type="dxa"/>
            <w:tcBorders>
              <w:top w:val="single" w:sz="4" w:space="0" w:color="auto"/>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15</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Cardiothoracic surgery</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Clinical genetics</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Dermatology</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2</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3</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2</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Diagnostic and interventional radiology</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2</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8</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10</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2</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6</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9</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Emergency medicine</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5</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5</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4</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5</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6</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4</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Family planning and reproductive health</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General practice</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61</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88</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51</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75</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46</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78</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69</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General surgery</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7</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8</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9</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5</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11</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5</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6</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Intensive care medicine</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1</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Internal medicine</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12</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15</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12</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23</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14</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20</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20</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Medical administration</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Musculoskeletal medicine</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Neurosurgery</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Obstetrics and gynaecology</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2</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6</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9</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6</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7</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5</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6</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Occupational medicine</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2</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Ophthalmology</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4</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3</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2</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3</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3</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Oral and maxillofacial surgery</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1</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Orthopaedic surgery</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6</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3</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5</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12</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6</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6</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3A3A6E">
            <w:pPr>
              <w:pStyle w:val="TableText"/>
              <w:rPr>
                <w:rFonts w:cs="Arial"/>
                <w:szCs w:val="18"/>
              </w:rPr>
            </w:pPr>
            <w:r w:rsidRPr="001E2522">
              <w:rPr>
                <w:rFonts w:cs="Arial"/>
                <w:szCs w:val="18"/>
              </w:rPr>
              <w:t>Otolaryngology/</w:t>
            </w:r>
            <w:r w:rsidR="003A3A6E">
              <w:rPr>
                <w:rFonts w:cs="Arial"/>
                <w:szCs w:val="18"/>
              </w:rPr>
              <w:br/>
            </w:r>
            <w:r w:rsidRPr="001E2522">
              <w:rPr>
                <w:rFonts w:cs="Arial"/>
                <w:szCs w:val="18"/>
              </w:rPr>
              <w:t>Head and neck surgery</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3</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2</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4</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2</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2</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Paediatric surgery</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Paediatrics</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2</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6</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6</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2</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5</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7</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Pain medicine</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2</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Palliative medicine</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Pathology</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3</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7</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2</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5</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5</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Plastic and reconstructive surgery</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2</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Psychiatry</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7</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8</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12</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14</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5</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15</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12</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Public health medicine</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1</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3</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7</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4</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Radiation oncology</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2</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Rehabilitation medicine</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1</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Rural hospital medicine</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4</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12</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2</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5</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2</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Sexual health medicine</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Sports medicine</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w:t>
            </w:r>
          </w:p>
        </w:tc>
      </w:tr>
      <w:tr w:rsidR="001E2522" w:rsidRPr="001E2522" w:rsidTr="003A3A6E">
        <w:trPr>
          <w:cantSplit/>
        </w:trPr>
        <w:tc>
          <w:tcPr>
            <w:tcW w:w="2144" w:type="dxa"/>
            <w:tcBorders>
              <w:top w:val="nil"/>
              <w:bottom w:val="nil"/>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Urgent care</w:t>
            </w:r>
          </w:p>
        </w:tc>
        <w:tc>
          <w:tcPr>
            <w:tcW w:w="1030"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2</w:t>
            </w:r>
          </w:p>
        </w:tc>
        <w:tc>
          <w:tcPr>
            <w:tcW w:w="1221" w:type="dxa"/>
            <w:tcBorders>
              <w:top w:val="nil"/>
              <w:bottom w:val="nil"/>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0</w:t>
            </w:r>
          </w:p>
        </w:tc>
        <w:tc>
          <w:tcPr>
            <w:tcW w:w="839"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nil"/>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2</w:t>
            </w:r>
          </w:p>
        </w:tc>
      </w:tr>
      <w:tr w:rsidR="001E2522" w:rsidRPr="001E2522" w:rsidTr="003A3A6E">
        <w:trPr>
          <w:cantSplit/>
        </w:trPr>
        <w:tc>
          <w:tcPr>
            <w:tcW w:w="2144" w:type="dxa"/>
            <w:tcBorders>
              <w:top w:val="nil"/>
              <w:bottom w:val="nil"/>
            </w:tcBorders>
            <w:shd w:val="clear" w:color="auto" w:fill="auto"/>
          </w:tcPr>
          <w:p w:rsidR="00DA6A76" w:rsidRPr="001E2522" w:rsidRDefault="00DA6A76" w:rsidP="001E2522">
            <w:pPr>
              <w:pStyle w:val="TableText"/>
              <w:rPr>
                <w:rFonts w:cs="Arial"/>
                <w:szCs w:val="18"/>
              </w:rPr>
            </w:pPr>
            <w:r w:rsidRPr="001E2522">
              <w:rPr>
                <w:rFonts w:cs="Arial"/>
                <w:szCs w:val="18"/>
              </w:rPr>
              <w:t>Urology</w:t>
            </w:r>
          </w:p>
        </w:tc>
        <w:tc>
          <w:tcPr>
            <w:tcW w:w="1030"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nil"/>
            </w:tcBorders>
            <w:shd w:val="clear" w:color="auto" w:fill="auto"/>
          </w:tcPr>
          <w:p w:rsidR="00DA6A76" w:rsidRPr="001E2522" w:rsidRDefault="00DA6A76" w:rsidP="003A3A6E">
            <w:pPr>
              <w:pStyle w:val="TableText"/>
              <w:tabs>
                <w:tab w:val="decimal" w:pos="597"/>
              </w:tabs>
              <w:rPr>
                <w:rFonts w:cs="Arial"/>
                <w:szCs w:val="18"/>
              </w:rPr>
            </w:pPr>
            <w:r w:rsidRPr="001E2522">
              <w:rPr>
                <w:rFonts w:cs="Arial"/>
                <w:szCs w:val="18"/>
              </w:rPr>
              <w:t>2</w:t>
            </w:r>
          </w:p>
        </w:tc>
        <w:tc>
          <w:tcPr>
            <w:tcW w:w="839"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2</w:t>
            </w:r>
          </w:p>
        </w:tc>
        <w:tc>
          <w:tcPr>
            <w:tcW w:w="1134" w:type="dxa"/>
            <w:tcBorders>
              <w:top w:val="nil"/>
              <w:bottom w:val="nil"/>
            </w:tcBorders>
            <w:shd w:val="clear" w:color="auto" w:fill="auto"/>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w:t>
            </w:r>
          </w:p>
        </w:tc>
        <w:tc>
          <w:tcPr>
            <w:tcW w:w="851" w:type="dxa"/>
            <w:tcBorders>
              <w:top w:val="nil"/>
              <w:bottom w:val="nil"/>
            </w:tcBorders>
            <w:shd w:val="clear" w:color="auto" w:fill="auto"/>
          </w:tcPr>
          <w:p w:rsidR="00DA6A76" w:rsidRPr="001E2522" w:rsidRDefault="00DA6A76" w:rsidP="006F5D3D">
            <w:pPr>
              <w:pStyle w:val="TableText"/>
              <w:tabs>
                <w:tab w:val="decimal" w:pos="493"/>
              </w:tabs>
              <w:rPr>
                <w:rFonts w:cs="Arial"/>
                <w:szCs w:val="18"/>
              </w:rPr>
            </w:pPr>
            <w:r w:rsidRPr="001E2522">
              <w:rPr>
                <w:rFonts w:cs="Arial"/>
                <w:szCs w:val="18"/>
              </w:rPr>
              <w:t>1</w:t>
            </w:r>
          </w:p>
        </w:tc>
      </w:tr>
      <w:tr w:rsidR="001E2522" w:rsidRPr="001E2522" w:rsidTr="003A3A6E">
        <w:trPr>
          <w:cantSplit/>
        </w:trPr>
        <w:tc>
          <w:tcPr>
            <w:tcW w:w="2144" w:type="dxa"/>
            <w:tcBorders>
              <w:top w:val="nil"/>
              <w:bottom w:val="single" w:sz="4" w:space="0" w:color="auto"/>
            </w:tcBorders>
            <w:shd w:val="clear" w:color="auto" w:fill="F2F2F2" w:themeFill="background1" w:themeFillShade="F2"/>
          </w:tcPr>
          <w:p w:rsidR="00DA6A76" w:rsidRPr="001E2522" w:rsidRDefault="00DA6A76" w:rsidP="001E2522">
            <w:pPr>
              <w:pStyle w:val="TableText"/>
              <w:rPr>
                <w:rFonts w:cs="Arial"/>
                <w:szCs w:val="18"/>
              </w:rPr>
            </w:pPr>
            <w:r w:rsidRPr="001E2522">
              <w:rPr>
                <w:rFonts w:cs="Arial"/>
                <w:szCs w:val="18"/>
              </w:rPr>
              <w:t>Vascular surgery</w:t>
            </w:r>
          </w:p>
        </w:tc>
        <w:tc>
          <w:tcPr>
            <w:tcW w:w="1030" w:type="dxa"/>
            <w:tcBorders>
              <w:top w:val="nil"/>
              <w:bottom w:val="single" w:sz="4" w:space="0" w:color="auto"/>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221" w:type="dxa"/>
            <w:tcBorders>
              <w:top w:val="nil"/>
              <w:bottom w:val="single" w:sz="4" w:space="0" w:color="auto"/>
            </w:tcBorders>
            <w:shd w:val="clear" w:color="auto" w:fill="F2F2F2" w:themeFill="background1" w:themeFillShade="F2"/>
          </w:tcPr>
          <w:p w:rsidR="00DA6A76" w:rsidRPr="001E2522" w:rsidRDefault="00DA6A76" w:rsidP="003A3A6E">
            <w:pPr>
              <w:pStyle w:val="TableText"/>
              <w:tabs>
                <w:tab w:val="decimal" w:pos="597"/>
              </w:tabs>
              <w:rPr>
                <w:rFonts w:cs="Arial"/>
                <w:szCs w:val="18"/>
              </w:rPr>
            </w:pPr>
            <w:r w:rsidRPr="001E2522">
              <w:rPr>
                <w:rFonts w:cs="Arial"/>
                <w:szCs w:val="18"/>
              </w:rPr>
              <w:t>1</w:t>
            </w:r>
          </w:p>
        </w:tc>
        <w:tc>
          <w:tcPr>
            <w:tcW w:w="839" w:type="dxa"/>
            <w:tcBorders>
              <w:top w:val="nil"/>
              <w:bottom w:val="single" w:sz="4" w:space="0" w:color="auto"/>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1145" w:type="dxa"/>
            <w:tcBorders>
              <w:top w:val="nil"/>
              <w:bottom w:val="single" w:sz="4" w:space="0" w:color="auto"/>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1</w:t>
            </w:r>
          </w:p>
        </w:tc>
        <w:tc>
          <w:tcPr>
            <w:tcW w:w="1134" w:type="dxa"/>
            <w:tcBorders>
              <w:top w:val="nil"/>
              <w:bottom w:val="single" w:sz="4" w:space="0" w:color="auto"/>
            </w:tcBorders>
            <w:shd w:val="clear" w:color="auto" w:fill="F2F2F2" w:themeFill="background1" w:themeFillShade="F2"/>
          </w:tcPr>
          <w:p w:rsidR="00DA6A76" w:rsidRPr="001E2522" w:rsidRDefault="00DA6A76" w:rsidP="003A3A6E">
            <w:pPr>
              <w:pStyle w:val="TableText"/>
              <w:tabs>
                <w:tab w:val="decimal" w:pos="663"/>
              </w:tabs>
              <w:rPr>
                <w:rFonts w:cs="Arial"/>
                <w:szCs w:val="18"/>
              </w:rPr>
            </w:pPr>
            <w:r w:rsidRPr="001E2522">
              <w:rPr>
                <w:rFonts w:cs="Arial"/>
                <w:szCs w:val="18"/>
              </w:rPr>
              <w:t>0</w:t>
            </w:r>
          </w:p>
        </w:tc>
        <w:tc>
          <w:tcPr>
            <w:tcW w:w="992" w:type="dxa"/>
            <w:tcBorders>
              <w:top w:val="nil"/>
              <w:bottom w:val="single" w:sz="4" w:space="0" w:color="auto"/>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c>
          <w:tcPr>
            <w:tcW w:w="851" w:type="dxa"/>
            <w:tcBorders>
              <w:top w:val="nil"/>
              <w:bottom w:val="single" w:sz="4" w:space="0" w:color="auto"/>
            </w:tcBorders>
            <w:shd w:val="clear" w:color="auto" w:fill="F2F2F2" w:themeFill="background1" w:themeFillShade="F2"/>
          </w:tcPr>
          <w:p w:rsidR="00DA6A76" w:rsidRPr="001E2522" w:rsidRDefault="00DA6A76" w:rsidP="006F5D3D">
            <w:pPr>
              <w:pStyle w:val="TableText"/>
              <w:tabs>
                <w:tab w:val="decimal" w:pos="493"/>
              </w:tabs>
              <w:rPr>
                <w:rFonts w:cs="Arial"/>
                <w:szCs w:val="18"/>
              </w:rPr>
            </w:pPr>
            <w:r w:rsidRPr="001E2522">
              <w:rPr>
                <w:rFonts w:cs="Arial"/>
                <w:szCs w:val="18"/>
              </w:rPr>
              <w:t>0</w:t>
            </w:r>
          </w:p>
        </w:tc>
      </w:tr>
    </w:tbl>
    <w:p w:rsidR="005272AB" w:rsidRDefault="005272AB" w:rsidP="003A3A6E"/>
    <w:p w:rsidR="005272AB" w:rsidRDefault="005272AB" w:rsidP="005272AB">
      <w:r>
        <w:br w:type="page"/>
      </w:r>
    </w:p>
    <w:p w:rsidR="00DA6A76" w:rsidRPr="00DA6A76" w:rsidRDefault="005272AB" w:rsidP="005272AB">
      <w:pPr>
        <w:pStyle w:val="Heading2"/>
        <w:spacing w:before="0"/>
      </w:pPr>
      <w:bookmarkStart w:id="32" w:name="_Toc403834870"/>
      <w:r>
        <w:t xml:space="preserve">Appendix 2: </w:t>
      </w:r>
      <w:r w:rsidR="00DA6A76" w:rsidRPr="00DA6A76">
        <w:t>Ratios of trainee doctors to specialists</w:t>
      </w:r>
      <w:bookmarkEnd w:id="32"/>
    </w:p>
    <w:p w:rsidR="00DA6A76" w:rsidRPr="00DA6A76" w:rsidRDefault="00DA6A76" w:rsidP="005272AB">
      <w:r w:rsidRPr="00DA6A76">
        <w:t>Specialties with ratios closest to zero</w:t>
      </w:r>
      <w:r w:rsidR="00C454CC">
        <w:t xml:space="preserve"> </w:t>
      </w:r>
      <w:r w:rsidRPr="00DA6A76">
        <w:t>– and/or in which SMOs have an average age of 50+ years – are the most vulnerable to future shortages of senior staff,</w:t>
      </w:r>
      <w:r w:rsidR="00C454CC">
        <w:t xml:space="preserve"> </w:t>
      </w:r>
      <w:r w:rsidRPr="00DA6A76">
        <w:t>and therefore represent the best job prospects.</w:t>
      </w:r>
    </w:p>
    <w:p w:rsidR="00DA6A76" w:rsidRPr="00DA6A76" w:rsidRDefault="00DA6A76" w:rsidP="005272AB"/>
    <w:p w:rsidR="00DA6A76" w:rsidRPr="00DA6A76" w:rsidRDefault="00DA6A76" w:rsidP="005272AB">
      <w:pPr>
        <w:pStyle w:val="Figure"/>
      </w:pPr>
      <w:bookmarkStart w:id="33" w:name="_Toc403834885"/>
      <w:r w:rsidRPr="00DA6A76">
        <w:t>Figure A1: Ratios of trainee doctors to specialists</w:t>
      </w:r>
      <w:bookmarkEnd w:id="33"/>
    </w:p>
    <w:p w:rsidR="00DA6A76" w:rsidRPr="00DA6A76" w:rsidRDefault="005272AB" w:rsidP="005272AB">
      <w:r w:rsidRPr="005272AB">
        <w:rPr>
          <w:noProof/>
          <w:lang w:eastAsia="en-NZ"/>
        </w:rPr>
        <w:drawing>
          <wp:inline distT="0" distB="0" distL="0" distR="0" wp14:anchorId="3C531CFB" wp14:editId="5B8B8E57">
            <wp:extent cx="5940425" cy="4476897"/>
            <wp:effectExtent l="0" t="0" r="3175" b="0"/>
            <wp:docPr id="1386" name="Picture 1386" title="Figure A1: Ratios of trainee doctors to speci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0425" cy="4476897"/>
                    </a:xfrm>
                    <a:prstGeom prst="rect">
                      <a:avLst/>
                    </a:prstGeom>
                  </pic:spPr>
                </pic:pic>
              </a:graphicData>
            </a:graphic>
          </wp:inline>
        </w:drawing>
      </w:r>
    </w:p>
    <w:p w:rsidR="00DA6A76" w:rsidRPr="00DA6A76" w:rsidRDefault="00DA6A76" w:rsidP="005272AB">
      <w:pPr>
        <w:pStyle w:val="Note"/>
      </w:pPr>
      <w:r w:rsidRPr="00DA6A76">
        <w:t>1</w:t>
      </w:r>
      <w:r w:rsidR="00DD3A1E">
        <w:tab/>
      </w:r>
      <w:r w:rsidRPr="00DA6A76">
        <w:t>Number and average age of SMOs by vocational registration provided by MCNZ, March 2014.</w:t>
      </w:r>
    </w:p>
    <w:p w:rsidR="00DA6A76" w:rsidRPr="00DA6A76" w:rsidRDefault="00DA6A76" w:rsidP="005272AB">
      <w:pPr>
        <w:pStyle w:val="Note"/>
      </w:pPr>
      <w:r w:rsidRPr="00DA6A76">
        <w:t>2</w:t>
      </w:r>
      <w:r w:rsidR="00DD3A1E">
        <w:tab/>
      </w:r>
      <w:r w:rsidRPr="00DA6A76">
        <w:t>Number of trainees in medical administration (0, with 22 SMOs) and musculoskeletal medicine (0, because there is no current training programme, with 22 SMOs) provided by representative colleges, December 2013.</w:t>
      </w:r>
    </w:p>
    <w:p w:rsidR="00DA6A76" w:rsidRPr="00DA6A76" w:rsidRDefault="00DA6A76" w:rsidP="005272AB">
      <w:pPr>
        <w:pStyle w:val="Note"/>
      </w:pPr>
      <w:r w:rsidRPr="00DA6A76">
        <w:t>3</w:t>
      </w:r>
      <w:r w:rsidR="00DD3A1E">
        <w:tab/>
      </w:r>
      <w:r w:rsidRPr="00DA6A76">
        <w:t>Number of trainees in general practice, urgent care, occupational medicine, pain medicine, public health medicine and sports medicine provided by representative colleges, December 2013–May 2014. Note: The high number of urgent care trainees is intended to redress a shortfall in SMOs. The Royal</w:t>
      </w:r>
      <w:r w:rsidR="00C454CC">
        <w:t xml:space="preserve"> </w:t>
      </w:r>
      <w:r w:rsidRPr="00DA6A76">
        <w:t>New Zealand College of Urgent Care plans to scale back trainee numbers in future.</w:t>
      </w:r>
    </w:p>
    <w:p w:rsidR="00DA6A76" w:rsidRPr="00DA6A76" w:rsidRDefault="00DA6A76" w:rsidP="005272AB">
      <w:pPr>
        <w:pStyle w:val="Note"/>
      </w:pPr>
      <w:r w:rsidRPr="00DA6A76">
        <w:t>4</w:t>
      </w:r>
      <w:r w:rsidR="00DD3A1E">
        <w:tab/>
      </w:r>
      <w:r w:rsidRPr="00DA6A76">
        <w:t>Number of trainees in family planning calculated by number undertaking Clinical Diploma in Sexual and</w:t>
      </w:r>
      <w:r w:rsidR="00DD3A1E">
        <w:t xml:space="preserve"> </w:t>
      </w:r>
      <w:r w:rsidRPr="00DA6A76">
        <w:t>Reproductive Health, May 2014.</w:t>
      </w:r>
    </w:p>
    <w:p w:rsidR="00DA6A76" w:rsidRDefault="00DA6A76" w:rsidP="005272AB">
      <w:pPr>
        <w:pStyle w:val="Note"/>
      </w:pPr>
      <w:r w:rsidRPr="00DA6A76">
        <w:t>5</w:t>
      </w:r>
      <w:r w:rsidR="00DD3A1E">
        <w:tab/>
      </w:r>
      <w:r w:rsidRPr="00DA6A76">
        <w:t>Number of trainees in all other specialties provided by DHBs (Resident Medical Officer Workforce Collection Profile), December 2013.</w:t>
      </w:r>
    </w:p>
    <w:p w:rsidR="00DD3A1E" w:rsidRPr="00DD3A1E" w:rsidRDefault="00DD3A1E" w:rsidP="005272AB"/>
    <w:p w:rsidR="005272AB" w:rsidRDefault="005272AB" w:rsidP="005272AB">
      <w:r>
        <w:br w:type="page"/>
      </w:r>
    </w:p>
    <w:p w:rsidR="00DA6A76" w:rsidRPr="00DA6A76" w:rsidRDefault="005272AB" w:rsidP="005272AB">
      <w:pPr>
        <w:pStyle w:val="Heading2"/>
        <w:spacing w:before="0"/>
      </w:pPr>
      <w:bookmarkStart w:id="34" w:name="_Toc403834871"/>
      <w:r>
        <w:t xml:space="preserve">Appendix 3: </w:t>
      </w:r>
      <w:r w:rsidR="00DA6A76" w:rsidRPr="00DA6A76">
        <w:t>Numbers of nurses per 100,000 population</w:t>
      </w:r>
      <w:bookmarkEnd w:id="34"/>
    </w:p>
    <w:p w:rsidR="00DA6A76" w:rsidRPr="00DA6A76" w:rsidRDefault="00DA6A76" w:rsidP="005272AB">
      <w:r w:rsidRPr="00DA6A76">
        <w:t>This</w:t>
      </w:r>
      <w:r w:rsidR="00C454CC">
        <w:t xml:space="preserve"> </w:t>
      </w:r>
      <w:r w:rsidRPr="00DA6A76">
        <w:t>table is based on the number of annual practising certificates issued by the Nursing Council as of</w:t>
      </w:r>
      <w:r w:rsidR="005272AB">
        <w:t xml:space="preserve"> </w:t>
      </w:r>
      <w:r w:rsidRPr="00DA6A76">
        <w:t>30 June 2014. These numbers indicate a head count, rather than numbers of FTEs.</w:t>
      </w:r>
    </w:p>
    <w:p w:rsidR="00DA6A76" w:rsidRPr="00DA6A76" w:rsidRDefault="00DA6A76" w:rsidP="005272AB"/>
    <w:p w:rsidR="00DA6A76" w:rsidRPr="00DA6A76" w:rsidRDefault="00DA6A76" w:rsidP="005272AB">
      <w:pPr>
        <w:pStyle w:val="Table"/>
      </w:pPr>
      <w:bookmarkStart w:id="35" w:name="_Toc403834878"/>
      <w:r w:rsidRPr="00DA6A76">
        <w:t>Table A1: Number of nurses</w:t>
      </w:r>
      <w:bookmarkEnd w:id="35"/>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061"/>
        <w:gridCol w:w="2098"/>
        <w:gridCol w:w="2098"/>
        <w:gridCol w:w="2099"/>
      </w:tblGrid>
      <w:tr w:rsidR="00DA6A76" w:rsidRPr="00C76A1E" w:rsidTr="00C76A1E">
        <w:trPr>
          <w:cantSplit/>
          <w:tblHeader/>
        </w:trPr>
        <w:tc>
          <w:tcPr>
            <w:tcW w:w="3061" w:type="dxa"/>
            <w:tcBorders>
              <w:top w:val="single" w:sz="4" w:space="0" w:color="auto"/>
              <w:bottom w:val="single" w:sz="4" w:space="0" w:color="auto"/>
            </w:tcBorders>
            <w:shd w:val="clear" w:color="auto" w:fill="F2F2F2" w:themeFill="background1" w:themeFillShade="F2"/>
          </w:tcPr>
          <w:p w:rsidR="00DA6A76" w:rsidRPr="00C76A1E" w:rsidRDefault="00DA6A76" w:rsidP="00C76A1E">
            <w:pPr>
              <w:pStyle w:val="TableText"/>
              <w:rPr>
                <w:b/>
              </w:rPr>
            </w:pPr>
            <w:r w:rsidRPr="00C76A1E">
              <w:rPr>
                <w:b/>
              </w:rPr>
              <w:t>DHB</w:t>
            </w:r>
          </w:p>
        </w:tc>
        <w:tc>
          <w:tcPr>
            <w:tcW w:w="2098" w:type="dxa"/>
            <w:tcBorders>
              <w:top w:val="single" w:sz="4" w:space="0" w:color="auto"/>
              <w:bottom w:val="single" w:sz="4" w:space="0" w:color="auto"/>
            </w:tcBorders>
            <w:shd w:val="clear" w:color="auto" w:fill="F2F2F2" w:themeFill="background1" w:themeFillShade="F2"/>
          </w:tcPr>
          <w:p w:rsidR="00DA6A76" w:rsidRPr="00C76A1E" w:rsidRDefault="00DA6A76" w:rsidP="00C76A1E">
            <w:pPr>
              <w:pStyle w:val="TableText"/>
              <w:jc w:val="center"/>
              <w:rPr>
                <w:b/>
              </w:rPr>
            </w:pPr>
            <w:r w:rsidRPr="00C76A1E">
              <w:rPr>
                <w:b/>
              </w:rPr>
              <w:t>Enrolled nurses</w:t>
            </w:r>
          </w:p>
        </w:tc>
        <w:tc>
          <w:tcPr>
            <w:tcW w:w="2098" w:type="dxa"/>
            <w:tcBorders>
              <w:top w:val="single" w:sz="4" w:space="0" w:color="auto"/>
              <w:bottom w:val="single" w:sz="4" w:space="0" w:color="auto"/>
            </w:tcBorders>
            <w:shd w:val="clear" w:color="auto" w:fill="F2F2F2" w:themeFill="background1" w:themeFillShade="F2"/>
          </w:tcPr>
          <w:p w:rsidR="00DA6A76" w:rsidRPr="00C76A1E" w:rsidRDefault="00DA6A76" w:rsidP="00C76A1E">
            <w:pPr>
              <w:pStyle w:val="TableText"/>
              <w:jc w:val="center"/>
              <w:rPr>
                <w:b/>
              </w:rPr>
            </w:pPr>
            <w:r w:rsidRPr="00C76A1E">
              <w:rPr>
                <w:b/>
              </w:rPr>
              <w:t>Nurse practitioners</w:t>
            </w:r>
          </w:p>
        </w:tc>
        <w:tc>
          <w:tcPr>
            <w:tcW w:w="2099" w:type="dxa"/>
            <w:tcBorders>
              <w:top w:val="single" w:sz="4" w:space="0" w:color="auto"/>
              <w:bottom w:val="single" w:sz="4" w:space="0" w:color="auto"/>
            </w:tcBorders>
            <w:shd w:val="clear" w:color="auto" w:fill="F2F2F2" w:themeFill="background1" w:themeFillShade="F2"/>
          </w:tcPr>
          <w:p w:rsidR="00DA6A76" w:rsidRPr="00C76A1E" w:rsidRDefault="00DA6A76" w:rsidP="00C76A1E">
            <w:pPr>
              <w:pStyle w:val="TableText"/>
              <w:jc w:val="center"/>
              <w:rPr>
                <w:b/>
              </w:rPr>
            </w:pPr>
            <w:r w:rsidRPr="00C76A1E">
              <w:rPr>
                <w:b/>
              </w:rPr>
              <w:t>Registered nurses</w:t>
            </w:r>
          </w:p>
        </w:tc>
      </w:tr>
      <w:tr w:rsidR="00DA6A76" w:rsidRPr="00DA6A76" w:rsidTr="00C76A1E">
        <w:trPr>
          <w:cantSplit/>
        </w:trPr>
        <w:tc>
          <w:tcPr>
            <w:tcW w:w="3061" w:type="dxa"/>
            <w:tcBorders>
              <w:top w:val="single" w:sz="4" w:space="0" w:color="auto"/>
              <w:bottom w:val="nil"/>
            </w:tcBorders>
            <w:shd w:val="clear" w:color="auto" w:fill="auto"/>
          </w:tcPr>
          <w:p w:rsidR="00DA6A76" w:rsidRPr="00DA6A76" w:rsidRDefault="00DA6A76" w:rsidP="00C76A1E">
            <w:pPr>
              <w:pStyle w:val="TableText"/>
            </w:pPr>
            <w:r w:rsidRPr="00DA6A76">
              <w:t>Northland</w:t>
            </w:r>
          </w:p>
        </w:tc>
        <w:tc>
          <w:tcPr>
            <w:tcW w:w="2098" w:type="dxa"/>
            <w:tcBorders>
              <w:top w:val="single" w:sz="4" w:space="0" w:color="auto"/>
              <w:bottom w:val="nil"/>
            </w:tcBorders>
            <w:shd w:val="clear" w:color="auto" w:fill="auto"/>
          </w:tcPr>
          <w:p w:rsidR="00DA6A76" w:rsidRPr="00DA6A76" w:rsidRDefault="00DA6A76" w:rsidP="00C76A1E">
            <w:pPr>
              <w:pStyle w:val="TableText"/>
              <w:tabs>
                <w:tab w:val="decimal" w:pos="1071"/>
              </w:tabs>
            </w:pPr>
            <w:r w:rsidRPr="00DA6A76">
              <w:t>79</w:t>
            </w:r>
          </w:p>
        </w:tc>
        <w:tc>
          <w:tcPr>
            <w:tcW w:w="2098" w:type="dxa"/>
            <w:tcBorders>
              <w:top w:val="single" w:sz="4" w:space="0" w:color="auto"/>
              <w:bottom w:val="nil"/>
            </w:tcBorders>
            <w:shd w:val="clear" w:color="auto" w:fill="auto"/>
          </w:tcPr>
          <w:p w:rsidR="00DA6A76" w:rsidRPr="00DA6A76" w:rsidRDefault="00DA6A76" w:rsidP="00C76A1E">
            <w:pPr>
              <w:pStyle w:val="TableText"/>
              <w:jc w:val="center"/>
            </w:pPr>
            <w:r w:rsidRPr="00DA6A76">
              <w:t>4</w:t>
            </w:r>
          </w:p>
        </w:tc>
        <w:tc>
          <w:tcPr>
            <w:tcW w:w="2099" w:type="dxa"/>
            <w:tcBorders>
              <w:top w:val="single" w:sz="4" w:space="0" w:color="auto"/>
              <w:bottom w:val="nil"/>
            </w:tcBorders>
            <w:shd w:val="clear" w:color="auto" w:fill="auto"/>
          </w:tcPr>
          <w:p w:rsidR="00DA6A76" w:rsidRPr="00DA6A76" w:rsidRDefault="00DA6A76" w:rsidP="00C76A1E">
            <w:pPr>
              <w:pStyle w:val="TableText"/>
              <w:tabs>
                <w:tab w:val="decimal" w:pos="1191"/>
              </w:tabs>
            </w:pPr>
            <w:r w:rsidRPr="00DA6A76">
              <w:t>1032</w:t>
            </w:r>
          </w:p>
        </w:tc>
      </w:tr>
      <w:tr w:rsidR="00DA6A76" w:rsidRPr="00DA6A76" w:rsidTr="00C76A1E">
        <w:trPr>
          <w:cantSplit/>
        </w:trPr>
        <w:tc>
          <w:tcPr>
            <w:tcW w:w="3061" w:type="dxa"/>
            <w:tcBorders>
              <w:top w:val="nil"/>
              <w:bottom w:val="nil"/>
            </w:tcBorders>
            <w:shd w:val="clear" w:color="auto" w:fill="F2F2F2" w:themeFill="background1" w:themeFillShade="F2"/>
          </w:tcPr>
          <w:p w:rsidR="00DA6A76" w:rsidRPr="00DA6A76" w:rsidRDefault="00DA6A76" w:rsidP="00C76A1E">
            <w:pPr>
              <w:pStyle w:val="TableText"/>
            </w:pPr>
            <w:r w:rsidRPr="00DA6A76">
              <w:t>Waitemata</w:t>
            </w:r>
          </w:p>
        </w:tc>
        <w:tc>
          <w:tcPr>
            <w:tcW w:w="2098" w:type="dxa"/>
            <w:tcBorders>
              <w:top w:val="nil"/>
              <w:bottom w:val="nil"/>
            </w:tcBorders>
            <w:shd w:val="clear" w:color="auto" w:fill="F2F2F2" w:themeFill="background1" w:themeFillShade="F2"/>
          </w:tcPr>
          <w:p w:rsidR="00DA6A76" w:rsidRPr="00DA6A76" w:rsidRDefault="00DA6A76" w:rsidP="00C76A1E">
            <w:pPr>
              <w:pStyle w:val="TableText"/>
              <w:tabs>
                <w:tab w:val="decimal" w:pos="1071"/>
              </w:tabs>
            </w:pPr>
            <w:r w:rsidRPr="00DA6A76">
              <w:t>27</w:t>
            </w:r>
          </w:p>
        </w:tc>
        <w:tc>
          <w:tcPr>
            <w:tcW w:w="2098" w:type="dxa"/>
            <w:tcBorders>
              <w:top w:val="nil"/>
              <w:bottom w:val="nil"/>
            </w:tcBorders>
            <w:shd w:val="clear" w:color="auto" w:fill="F2F2F2" w:themeFill="background1" w:themeFillShade="F2"/>
          </w:tcPr>
          <w:p w:rsidR="00DA6A76" w:rsidRPr="00DA6A76" w:rsidRDefault="00DA6A76" w:rsidP="00C76A1E">
            <w:pPr>
              <w:pStyle w:val="TableText"/>
              <w:jc w:val="center"/>
            </w:pPr>
            <w:r w:rsidRPr="00DA6A76">
              <w:t>2</w:t>
            </w:r>
          </w:p>
        </w:tc>
        <w:tc>
          <w:tcPr>
            <w:tcW w:w="2099" w:type="dxa"/>
            <w:tcBorders>
              <w:top w:val="nil"/>
              <w:bottom w:val="nil"/>
            </w:tcBorders>
            <w:shd w:val="clear" w:color="auto" w:fill="F2F2F2" w:themeFill="background1" w:themeFillShade="F2"/>
          </w:tcPr>
          <w:p w:rsidR="00DA6A76" w:rsidRPr="00DA6A76" w:rsidRDefault="00DA6A76" w:rsidP="00C76A1E">
            <w:pPr>
              <w:pStyle w:val="TableText"/>
              <w:tabs>
                <w:tab w:val="decimal" w:pos="1191"/>
              </w:tabs>
            </w:pPr>
            <w:r w:rsidRPr="00DA6A76">
              <w:t>569</w:t>
            </w:r>
          </w:p>
        </w:tc>
      </w:tr>
      <w:tr w:rsidR="00DA6A76" w:rsidRPr="00DA6A76" w:rsidTr="00C76A1E">
        <w:trPr>
          <w:cantSplit/>
        </w:trPr>
        <w:tc>
          <w:tcPr>
            <w:tcW w:w="3061" w:type="dxa"/>
            <w:tcBorders>
              <w:top w:val="nil"/>
              <w:bottom w:val="nil"/>
            </w:tcBorders>
            <w:shd w:val="clear" w:color="auto" w:fill="auto"/>
          </w:tcPr>
          <w:p w:rsidR="00DA6A76" w:rsidRPr="00DA6A76" w:rsidRDefault="00DA6A76" w:rsidP="00C76A1E">
            <w:pPr>
              <w:pStyle w:val="TableText"/>
            </w:pPr>
            <w:r w:rsidRPr="00DA6A76">
              <w:t>Auckland</w:t>
            </w:r>
          </w:p>
        </w:tc>
        <w:tc>
          <w:tcPr>
            <w:tcW w:w="2098" w:type="dxa"/>
            <w:tcBorders>
              <w:top w:val="nil"/>
              <w:bottom w:val="nil"/>
            </w:tcBorders>
            <w:shd w:val="clear" w:color="auto" w:fill="auto"/>
          </w:tcPr>
          <w:p w:rsidR="00DA6A76" w:rsidRPr="00DA6A76" w:rsidRDefault="00DA6A76" w:rsidP="00C76A1E">
            <w:pPr>
              <w:pStyle w:val="TableText"/>
              <w:tabs>
                <w:tab w:val="decimal" w:pos="1071"/>
              </w:tabs>
            </w:pPr>
            <w:r w:rsidRPr="00DA6A76">
              <w:t>43</w:t>
            </w:r>
          </w:p>
        </w:tc>
        <w:tc>
          <w:tcPr>
            <w:tcW w:w="2098" w:type="dxa"/>
            <w:tcBorders>
              <w:top w:val="nil"/>
              <w:bottom w:val="nil"/>
            </w:tcBorders>
            <w:shd w:val="clear" w:color="auto" w:fill="auto"/>
          </w:tcPr>
          <w:p w:rsidR="00DA6A76" w:rsidRPr="00DA6A76" w:rsidRDefault="00DA6A76" w:rsidP="00C76A1E">
            <w:pPr>
              <w:pStyle w:val="TableText"/>
              <w:jc w:val="center"/>
            </w:pPr>
            <w:r w:rsidRPr="00DA6A76">
              <w:t>4</w:t>
            </w:r>
          </w:p>
        </w:tc>
        <w:tc>
          <w:tcPr>
            <w:tcW w:w="2099" w:type="dxa"/>
            <w:tcBorders>
              <w:top w:val="nil"/>
              <w:bottom w:val="nil"/>
            </w:tcBorders>
            <w:shd w:val="clear" w:color="auto" w:fill="auto"/>
          </w:tcPr>
          <w:p w:rsidR="00DA6A76" w:rsidRPr="00DA6A76" w:rsidRDefault="00DA6A76" w:rsidP="00C76A1E">
            <w:pPr>
              <w:pStyle w:val="TableText"/>
              <w:tabs>
                <w:tab w:val="decimal" w:pos="1191"/>
              </w:tabs>
            </w:pPr>
            <w:r w:rsidRPr="00DA6A76">
              <w:t>1453</w:t>
            </w:r>
          </w:p>
        </w:tc>
      </w:tr>
      <w:tr w:rsidR="00DA6A76" w:rsidRPr="00DA6A76" w:rsidTr="00C76A1E">
        <w:trPr>
          <w:cantSplit/>
        </w:trPr>
        <w:tc>
          <w:tcPr>
            <w:tcW w:w="3061" w:type="dxa"/>
            <w:tcBorders>
              <w:top w:val="nil"/>
              <w:bottom w:val="nil"/>
            </w:tcBorders>
            <w:shd w:val="clear" w:color="auto" w:fill="F2F2F2" w:themeFill="background1" w:themeFillShade="F2"/>
          </w:tcPr>
          <w:p w:rsidR="00DA6A76" w:rsidRPr="00DA6A76" w:rsidRDefault="00DA6A76" w:rsidP="00C76A1E">
            <w:pPr>
              <w:pStyle w:val="TableText"/>
            </w:pPr>
            <w:r w:rsidRPr="00DA6A76">
              <w:t>Counties Manukau</w:t>
            </w:r>
          </w:p>
        </w:tc>
        <w:tc>
          <w:tcPr>
            <w:tcW w:w="2098" w:type="dxa"/>
            <w:tcBorders>
              <w:top w:val="nil"/>
              <w:bottom w:val="nil"/>
            </w:tcBorders>
            <w:shd w:val="clear" w:color="auto" w:fill="F2F2F2" w:themeFill="background1" w:themeFillShade="F2"/>
          </w:tcPr>
          <w:p w:rsidR="00DA6A76" w:rsidRPr="00DA6A76" w:rsidRDefault="00DA6A76" w:rsidP="00C76A1E">
            <w:pPr>
              <w:pStyle w:val="TableText"/>
              <w:tabs>
                <w:tab w:val="decimal" w:pos="1071"/>
              </w:tabs>
            </w:pPr>
            <w:r w:rsidRPr="00DA6A76">
              <w:t>27</w:t>
            </w:r>
          </w:p>
        </w:tc>
        <w:tc>
          <w:tcPr>
            <w:tcW w:w="2098" w:type="dxa"/>
            <w:tcBorders>
              <w:top w:val="nil"/>
              <w:bottom w:val="nil"/>
            </w:tcBorders>
            <w:shd w:val="clear" w:color="auto" w:fill="F2F2F2" w:themeFill="background1" w:themeFillShade="F2"/>
          </w:tcPr>
          <w:p w:rsidR="00DA6A76" w:rsidRPr="00DA6A76" w:rsidRDefault="00DA6A76" w:rsidP="00C76A1E">
            <w:pPr>
              <w:pStyle w:val="TableText"/>
              <w:jc w:val="center"/>
            </w:pPr>
            <w:r w:rsidRPr="00DA6A76">
              <w:t>1</w:t>
            </w:r>
          </w:p>
        </w:tc>
        <w:tc>
          <w:tcPr>
            <w:tcW w:w="2099" w:type="dxa"/>
            <w:tcBorders>
              <w:top w:val="nil"/>
              <w:bottom w:val="nil"/>
            </w:tcBorders>
            <w:shd w:val="clear" w:color="auto" w:fill="F2F2F2" w:themeFill="background1" w:themeFillShade="F2"/>
          </w:tcPr>
          <w:p w:rsidR="00DA6A76" w:rsidRPr="00DA6A76" w:rsidRDefault="00DA6A76" w:rsidP="00C76A1E">
            <w:pPr>
              <w:pStyle w:val="TableText"/>
              <w:tabs>
                <w:tab w:val="decimal" w:pos="1191"/>
              </w:tabs>
            </w:pPr>
            <w:r w:rsidRPr="00DA6A76">
              <w:t>571</w:t>
            </w:r>
          </w:p>
        </w:tc>
      </w:tr>
      <w:tr w:rsidR="00DA6A76" w:rsidRPr="00DA6A76" w:rsidTr="00C76A1E">
        <w:trPr>
          <w:cantSplit/>
        </w:trPr>
        <w:tc>
          <w:tcPr>
            <w:tcW w:w="3061" w:type="dxa"/>
            <w:tcBorders>
              <w:top w:val="nil"/>
              <w:bottom w:val="nil"/>
            </w:tcBorders>
            <w:shd w:val="clear" w:color="auto" w:fill="auto"/>
          </w:tcPr>
          <w:p w:rsidR="00DA6A76" w:rsidRPr="00DA6A76" w:rsidRDefault="00DA6A76" w:rsidP="00C76A1E">
            <w:pPr>
              <w:pStyle w:val="TableText"/>
            </w:pPr>
            <w:r w:rsidRPr="00DA6A76">
              <w:t>Waikato</w:t>
            </w:r>
          </w:p>
        </w:tc>
        <w:tc>
          <w:tcPr>
            <w:tcW w:w="2098" w:type="dxa"/>
            <w:tcBorders>
              <w:top w:val="nil"/>
              <w:bottom w:val="nil"/>
            </w:tcBorders>
            <w:shd w:val="clear" w:color="auto" w:fill="auto"/>
          </w:tcPr>
          <w:p w:rsidR="00DA6A76" w:rsidRPr="00DA6A76" w:rsidRDefault="00DA6A76" w:rsidP="00C76A1E">
            <w:pPr>
              <w:pStyle w:val="TableText"/>
              <w:tabs>
                <w:tab w:val="decimal" w:pos="1071"/>
              </w:tabs>
            </w:pPr>
            <w:r w:rsidRPr="00DA6A76">
              <w:t>55</w:t>
            </w:r>
          </w:p>
        </w:tc>
        <w:tc>
          <w:tcPr>
            <w:tcW w:w="2098" w:type="dxa"/>
            <w:tcBorders>
              <w:top w:val="nil"/>
              <w:bottom w:val="nil"/>
            </w:tcBorders>
            <w:shd w:val="clear" w:color="auto" w:fill="auto"/>
          </w:tcPr>
          <w:p w:rsidR="00DA6A76" w:rsidRPr="00DA6A76" w:rsidRDefault="00DA6A76" w:rsidP="00C76A1E">
            <w:pPr>
              <w:pStyle w:val="TableText"/>
              <w:jc w:val="center"/>
            </w:pPr>
            <w:r w:rsidRPr="00DA6A76">
              <w:t>4</w:t>
            </w:r>
          </w:p>
        </w:tc>
        <w:tc>
          <w:tcPr>
            <w:tcW w:w="2099" w:type="dxa"/>
            <w:tcBorders>
              <w:top w:val="nil"/>
              <w:bottom w:val="nil"/>
            </w:tcBorders>
            <w:shd w:val="clear" w:color="auto" w:fill="auto"/>
          </w:tcPr>
          <w:p w:rsidR="00DA6A76" w:rsidRPr="00DA6A76" w:rsidRDefault="00DA6A76" w:rsidP="00C76A1E">
            <w:pPr>
              <w:pStyle w:val="TableText"/>
              <w:tabs>
                <w:tab w:val="decimal" w:pos="1191"/>
              </w:tabs>
            </w:pPr>
            <w:r w:rsidRPr="00DA6A76">
              <w:t>1021</w:t>
            </w:r>
          </w:p>
        </w:tc>
      </w:tr>
      <w:tr w:rsidR="00DA6A76" w:rsidRPr="00DA6A76" w:rsidTr="00C76A1E">
        <w:trPr>
          <w:cantSplit/>
        </w:trPr>
        <w:tc>
          <w:tcPr>
            <w:tcW w:w="3061" w:type="dxa"/>
            <w:tcBorders>
              <w:top w:val="nil"/>
              <w:bottom w:val="nil"/>
            </w:tcBorders>
            <w:shd w:val="clear" w:color="auto" w:fill="F2F2F2" w:themeFill="background1" w:themeFillShade="F2"/>
          </w:tcPr>
          <w:p w:rsidR="00DA6A76" w:rsidRPr="00DA6A76" w:rsidRDefault="00DA6A76" w:rsidP="00C76A1E">
            <w:pPr>
              <w:pStyle w:val="TableText"/>
            </w:pPr>
            <w:r w:rsidRPr="00DA6A76">
              <w:t>Lakes</w:t>
            </w:r>
          </w:p>
        </w:tc>
        <w:tc>
          <w:tcPr>
            <w:tcW w:w="2098" w:type="dxa"/>
            <w:tcBorders>
              <w:top w:val="nil"/>
              <w:bottom w:val="nil"/>
            </w:tcBorders>
            <w:shd w:val="clear" w:color="auto" w:fill="F2F2F2" w:themeFill="background1" w:themeFillShade="F2"/>
          </w:tcPr>
          <w:p w:rsidR="00DA6A76" w:rsidRPr="00DA6A76" w:rsidRDefault="00DA6A76" w:rsidP="00C76A1E">
            <w:pPr>
              <w:pStyle w:val="TableText"/>
              <w:tabs>
                <w:tab w:val="decimal" w:pos="1071"/>
              </w:tabs>
            </w:pPr>
            <w:r w:rsidRPr="00DA6A76">
              <w:t>56</w:t>
            </w:r>
          </w:p>
        </w:tc>
        <w:tc>
          <w:tcPr>
            <w:tcW w:w="2098" w:type="dxa"/>
            <w:tcBorders>
              <w:top w:val="nil"/>
              <w:bottom w:val="nil"/>
            </w:tcBorders>
            <w:shd w:val="clear" w:color="auto" w:fill="F2F2F2" w:themeFill="background1" w:themeFillShade="F2"/>
          </w:tcPr>
          <w:p w:rsidR="00DA6A76" w:rsidRPr="00DA6A76" w:rsidRDefault="00DA6A76" w:rsidP="00C76A1E">
            <w:pPr>
              <w:pStyle w:val="TableText"/>
              <w:jc w:val="center"/>
            </w:pPr>
            <w:r w:rsidRPr="00DA6A76">
              <w:t>2</w:t>
            </w:r>
          </w:p>
        </w:tc>
        <w:tc>
          <w:tcPr>
            <w:tcW w:w="2099" w:type="dxa"/>
            <w:tcBorders>
              <w:top w:val="nil"/>
              <w:bottom w:val="nil"/>
            </w:tcBorders>
            <w:shd w:val="clear" w:color="auto" w:fill="F2F2F2" w:themeFill="background1" w:themeFillShade="F2"/>
          </w:tcPr>
          <w:p w:rsidR="00DA6A76" w:rsidRPr="00DA6A76" w:rsidRDefault="00DA6A76" w:rsidP="00C76A1E">
            <w:pPr>
              <w:pStyle w:val="TableText"/>
              <w:tabs>
                <w:tab w:val="decimal" w:pos="1191"/>
              </w:tabs>
            </w:pPr>
            <w:r w:rsidRPr="00DA6A76">
              <w:t>918</w:t>
            </w:r>
          </w:p>
        </w:tc>
      </w:tr>
      <w:tr w:rsidR="00DA6A76" w:rsidRPr="00DA6A76" w:rsidTr="00C76A1E">
        <w:trPr>
          <w:cantSplit/>
        </w:trPr>
        <w:tc>
          <w:tcPr>
            <w:tcW w:w="3061" w:type="dxa"/>
            <w:tcBorders>
              <w:top w:val="nil"/>
              <w:bottom w:val="nil"/>
            </w:tcBorders>
            <w:shd w:val="clear" w:color="auto" w:fill="auto"/>
          </w:tcPr>
          <w:p w:rsidR="00DA6A76" w:rsidRPr="00DA6A76" w:rsidRDefault="00DA6A76" w:rsidP="00C76A1E">
            <w:pPr>
              <w:pStyle w:val="TableText"/>
            </w:pPr>
            <w:r w:rsidRPr="00DA6A76">
              <w:t>Bay of Plenty</w:t>
            </w:r>
          </w:p>
        </w:tc>
        <w:tc>
          <w:tcPr>
            <w:tcW w:w="2098" w:type="dxa"/>
            <w:tcBorders>
              <w:top w:val="nil"/>
              <w:bottom w:val="nil"/>
            </w:tcBorders>
            <w:shd w:val="clear" w:color="auto" w:fill="auto"/>
          </w:tcPr>
          <w:p w:rsidR="00DA6A76" w:rsidRPr="00DA6A76" w:rsidRDefault="00DA6A76" w:rsidP="00C76A1E">
            <w:pPr>
              <w:pStyle w:val="TableText"/>
              <w:tabs>
                <w:tab w:val="decimal" w:pos="1071"/>
              </w:tabs>
            </w:pPr>
            <w:r w:rsidRPr="00DA6A76">
              <w:t>58</w:t>
            </w:r>
          </w:p>
        </w:tc>
        <w:tc>
          <w:tcPr>
            <w:tcW w:w="2098" w:type="dxa"/>
            <w:tcBorders>
              <w:top w:val="nil"/>
              <w:bottom w:val="nil"/>
            </w:tcBorders>
            <w:shd w:val="clear" w:color="auto" w:fill="auto"/>
          </w:tcPr>
          <w:p w:rsidR="00DA6A76" w:rsidRPr="00DA6A76" w:rsidRDefault="00DA6A76" w:rsidP="00C76A1E">
            <w:pPr>
              <w:pStyle w:val="TableText"/>
              <w:jc w:val="center"/>
            </w:pPr>
            <w:r w:rsidRPr="00DA6A76">
              <w:t>4</w:t>
            </w:r>
          </w:p>
        </w:tc>
        <w:tc>
          <w:tcPr>
            <w:tcW w:w="2099" w:type="dxa"/>
            <w:tcBorders>
              <w:top w:val="nil"/>
              <w:bottom w:val="nil"/>
            </w:tcBorders>
            <w:shd w:val="clear" w:color="auto" w:fill="auto"/>
          </w:tcPr>
          <w:p w:rsidR="00DA6A76" w:rsidRPr="00DA6A76" w:rsidRDefault="00DA6A76" w:rsidP="00C76A1E">
            <w:pPr>
              <w:pStyle w:val="TableText"/>
              <w:tabs>
                <w:tab w:val="decimal" w:pos="1191"/>
              </w:tabs>
            </w:pPr>
            <w:r w:rsidRPr="00DA6A76">
              <w:t>1007</w:t>
            </w:r>
          </w:p>
        </w:tc>
      </w:tr>
      <w:tr w:rsidR="00DA6A76" w:rsidRPr="00DA6A76" w:rsidTr="00C76A1E">
        <w:trPr>
          <w:cantSplit/>
        </w:trPr>
        <w:tc>
          <w:tcPr>
            <w:tcW w:w="3061" w:type="dxa"/>
            <w:tcBorders>
              <w:top w:val="nil"/>
              <w:bottom w:val="nil"/>
            </w:tcBorders>
            <w:shd w:val="clear" w:color="auto" w:fill="F2F2F2" w:themeFill="background1" w:themeFillShade="F2"/>
          </w:tcPr>
          <w:p w:rsidR="00DA6A76" w:rsidRPr="00DA6A76" w:rsidRDefault="00DA6A76" w:rsidP="00C76A1E">
            <w:pPr>
              <w:pStyle w:val="TableText"/>
            </w:pPr>
            <w:r w:rsidRPr="00DA6A76">
              <w:t>Tairawhiti</w:t>
            </w:r>
          </w:p>
        </w:tc>
        <w:tc>
          <w:tcPr>
            <w:tcW w:w="2098" w:type="dxa"/>
            <w:tcBorders>
              <w:top w:val="nil"/>
              <w:bottom w:val="nil"/>
            </w:tcBorders>
            <w:shd w:val="clear" w:color="auto" w:fill="F2F2F2" w:themeFill="background1" w:themeFillShade="F2"/>
          </w:tcPr>
          <w:p w:rsidR="00DA6A76" w:rsidRPr="00DA6A76" w:rsidRDefault="00DA6A76" w:rsidP="00C76A1E">
            <w:pPr>
              <w:pStyle w:val="TableText"/>
              <w:tabs>
                <w:tab w:val="decimal" w:pos="1071"/>
              </w:tabs>
            </w:pPr>
            <w:r w:rsidRPr="00DA6A76">
              <w:t>71</w:t>
            </w:r>
          </w:p>
        </w:tc>
        <w:tc>
          <w:tcPr>
            <w:tcW w:w="2098" w:type="dxa"/>
            <w:tcBorders>
              <w:top w:val="nil"/>
              <w:bottom w:val="nil"/>
            </w:tcBorders>
            <w:shd w:val="clear" w:color="auto" w:fill="F2F2F2" w:themeFill="background1" w:themeFillShade="F2"/>
          </w:tcPr>
          <w:p w:rsidR="00DA6A76" w:rsidRPr="00DA6A76" w:rsidRDefault="00DA6A76" w:rsidP="00C76A1E">
            <w:pPr>
              <w:pStyle w:val="TableText"/>
              <w:jc w:val="center"/>
            </w:pPr>
            <w:r w:rsidRPr="00DA6A76">
              <w:t>0</w:t>
            </w:r>
          </w:p>
        </w:tc>
        <w:tc>
          <w:tcPr>
            <w:tcW w:w="2099" w:type="dxa"/>
            <w:tcBorders>
              <w:top w:val="nil"/>
              <w:bottom w:val="nil"/>
            </w:tcBorders>
            <w:shd w:val="clear" w:color="auto" w:fill="F2F2F2" w:themeFill="background1" w:themeFillShade="F2"/>
          </w:tcPr>
          <w:p w:rsidR="00DA6A76" w:rsidRPr="00DA6A76" w:rsidRDefault="00DA6A76" w:rsidP="00C76A1E">
            <w:pPr>
              <w:pStyle w:val="TableText"/>
              <w:tabs>
                <w:tab w:val="decimal" w:pos="1191"/>
              </w:tabs>
            </w:pPr>
            <w:r w:rsidRPr="00DA6A76">
              <w:t>1048</w:t>
            </w:r>
          </w:p>
        </w:tc>
      </w:tr>
      <w:tr w:rsidR="00DA6A76" w:rsidRPr="00DA6A76" w:rsidTr="00C76A1E">
        <w:trPr>
          <w:cantSplit/>
        </w:trPr>
        <w:tc>
          <w:tcPr>
            <w:tcW w:w="3061" w:type="dxa"/>
            <w:tcBorders>
              <w:top w:val="nil"/>
              <w:bottom w:val="nil"/>
            </w:tcBorders>
            <w:shd w:val="clear" w:color="auto" w:fill="auto"/>
          </w:tcPr>
          <w:p w:rsidR="00DA6A76" w:rsidRPr="00DA6A76" w:rsidRDefault="00DA6A76" w:rsidP="00C76A1E">
            <w:pPr>
              <w:pStyle w:val="TableText"/>
            </w:pPr>
            <w:r w:rsidRPr="00DA6A76">
              <w:t>Hawke</w:t>
            </w:r>
            <w:r w:rsidR="00C454CC">
              <w:t>’</w:t>
            </w:r>
            <w:r w:rsidRPr="00DA6A76">
              <w:t>s Bay</w:t>
            </w:r>
          </w:p>
        </w:tc>
        <w:tc>
          <w:tcPr>
            <w:tcW w:w="2098" w:type="dxa"/>
            <w:tcBorders>
              <w:top w:val="nil"/>
              <w:bottom w:val="nil"/>
            </w:tcBorders>
            <w:shd w:val="clear" w:color="auto" w:fill="auto"/>
          </w:tcPr>
          <w:p w:rsidR="00DA6A76" w:rsidRPr="00DA6A76" w:rsidRDefault="00DA6A76" w:rsidP="00C76A1E">
            <w:pPr>
              <w:pStyle w:val="TableText"/>
              <w:tabs>
                <w:tab w:val="decimal" w:pos="1071"/>
              </w:tabs>
            </w:pPr>
            <w:r w:rsidRPr="00DA6A76">
              <w:t>63</w:t>
            </w:r>
          </w:p>
        </w:tc>
        <w:tc>
          <w:tcPr>
            <w:tcW w:w="2098" w:type="dxa"/>
            <w:tcBorders>
              <w:top w:val="nil"/>
              <w:bottom w:val="nil"/>
            </w:tcBorders>
            <w:shd w:val="clear" w:color="auto" w:fill="auto"/>
          </w:tcPr>
          <w:p w:rsidR="00DA6A76" w:rsidRPr="00DA6A76" w:rsidRDefault="00DA6A76" w:rsidP="00C76A1E">
            <w:pPr>
              <w:pStyle w:val="TableText"/>
              <w:jc w:val="center"/>
            </w:pPr>
            <w:r w:rsidRPr="00DA6A76">
              <w:t>6</w:t>
            </w:r>
          </w:p>
        </w:tc>
        <w:tc>
          <w:tcPr>
            <w:tcW w:w="2099" w:type="dxa"/>
            <w:tcBorders>
              <w:top w:val="nil"/>
              <w:bottom w:val="nil"/>
            </w:tcBorders>
            <w:shd w:val="clear" w:color="auto" w:fill="auto"/>
          </w:tcPr>
          <w:p w:rsidR="00DA6A76" w:rsidRPr="00DA6A76" w:rsidRDefault="00DA6A76" w:rsidP="00C76A1E">
            <w:pPr>
              <w:pStyle w:val="TableText"/>
              <w:tabs>
                <w:tab w:val="decimal" w:pos="1191"/>
              </w:tabs>
            </w:pPr>
            <w:r w:rsidRPr="00DA6A76">
              <w:t>1051</w:t>
            </w:r>
          </w:p>
        </w:tc>
      </w:tr>
      <w:tr w:rsidR="00DA6A76" w:rsidRPr="00DA6A76" w:rsidTr="00C76A1E">
        <w:trPr>
          <w:cantSplit/>
        </w:trPr>
        <w:tc>
          <w:tcPr>
            <w:tcW w:w="3061" w:type="dxa"/>
            <w:tcBorders>
              <w:top w:val="nil"/>
              <w:bottom w:val="nil"/>
            </w:tcBorders>
            <w:shd w:val="clear" w:color="auto" w:fill="F2F2F2" w:themeFill="background1" w:themeFillShade="F2"/>
          </w:tcPr>
          <w:p w:rsidR="00DA6A76" w:rsidRPr="00DA6A76" w:rsidRDefault="00DA6A76" w:rsidP="00C76A1E">
            <w:pPr>
              <w:pStyle w:val="TableText"/>
            </w:pPr>
            <w:r w:rsidRPr="00DA6A76">
              <w:t>Taranaki</w:t>
            </w:r>
          </w:p>
        </w:tc>
        <w:tc>
          <w:tcPr>
            <w:tcW w:w="2098" w:type="dxa"/>
            <w:tcBorders>
              <w:top w:val="nil"/>
              <w:bottom w:val="nil"/>
            </w:tcBorders>
            <w:shd w:val="clear" w:color="auto" w:fill="F2F2F2" w:themeFill="background1" w:themeFillShade="F2"/>
          </w:tcPr>
          <w:p w:rsidR="00DA6A76" w:rsidRPr="00DA6A76" w:rsidRDefault="00DA6A76" w:rsidP="00C76A1E">
            <w:pPr>
              <w:pStyle w:val="TableText"/>
              <w:tabs>
                <w:tab w:val="decimal" w:pos="1071"/>
              </w:tabs>
            </w:pPr>
            <w:r w:rsidRPr="00DA6A76">
              <w:t>78</w:t>
            </w:r>
          </w:p>
        </w:tc>
        <w:tc>
          <w:tcPr>
            <w:tcW w:w="2098" w:type="dxa"/>
            <w:tcBorders>
              <w:top w:val="nil"/>
              <w:bottom w:val="nil"/>
            </w:tcBorders>
            <w:shd w:val="clear" w:color="auto" w:fill="F2F2F2" w:themeFill="background1" w:themeFillShade="F2"/>
          </w:tcPr>
          <w:p w:rsidR="00DA6A76" w:rsidRPr="00DA6A76" w:rsidRDefault="00DA6A76" w:rsidP="00C76A1E">
            <w:pPr>
              <w:pStyle w:val="TableText"/>
              <w:jc w:val="center"/>
            </w:pPr>
            <w:r w:rsidRPr="00DA6A76">
              <w:t>5</w:t>
            </w:r>
          </w:p>
        </w:tc>
        <w:tc>
          <w:tcPr>
            <w:tcW w:w="2099" w:type="dxa"/>
            <w:tcBorders>
              <w:top w:val="nil"/>
              <w:bottom w:val="nil"/>
            </w:tcBorders>
            <w:shd w:val="clear" w:color="auto" w:fill="F2F2F2" w:themeFill="background1" w:themeFillShade="F2"/>
          </w:tcPr>
          <w:p w:rsidR="00DA6A76" w:rsidRPr="00DA6A76" w:rsidRDefault="00DA6A76" w:rsidP="00C76A1E">
            <w:pPr>
              <w:pStyle w:val="TableText"/>
              <w:tabs>
                <w:tab w:val="decimal" w:pos="1191"/>
              </w:tabs>
            </w:pPr>
            <w:r w:rsidRPr="00DA6A76">
              <w:t>1029</w:t>
            </w:r>
          </w:p>
        </w:tc>
      </w:tr>
      <w:tr w:rsidR="00DA6A76" w:rsidRPr="00DA6A76" w:rsidTr="00C76A1E">
        <w:trPr>
          <w:cantSplit/>
        </w:trPr>
        <w:tc>
          <w:tcPr>
            <w:tcW w:w="3061" w:type="dxa"/>
            <w:tcBorders>
              <w:top w:val="nil"/>
              <w:bottom w:val="nil"/>
            </w:tcBorders>
            <w:shd w:val="clear" w:color="auto" w:fill="auto"/>
          </w:tcPr>
          <w:p w:rsidR="00DA6A76" w:rsidRPr="00DA6A76" w:rsidRDefault="00DA6A76" w:rsidP="00C76A1E">
            <w:pPr>
              <w:pStyle w:val="TableText"/>
            </w:pPr>
            <w:r w:rsidRPr="00DA6A76">
              <w:t>MidCentral</w:t>
            </w:r>
          </w:p>
        </w:tc>
        <w:tc>
          <w:tcPr>
            <w:tcW w:w="2098" w:type="dxa"/>
            <w:tcBorders>
              <w:top w:val="nil"/>
              <w:bottom w:val="nil"/>
            </w:tcBorders>
            <w:shd w:val="clear" w:color="auto" w:fill="auto"/>
          </w:tcPr>
          <w:p w:rsidR="00DA6A76" w:rsidRPr="00DA6A76" w:rsidRDefault="00DA6A76" w:rsidP="00C76A1E">
            <w:pPr>
              <w:pStyle w:val="TableText"/>
              <w:tabs>
                <w:tab w:val="decimal" w:pos="1071"/>
              </w:tabs>
            </w:pPr>
            <w:r w:rsidRPr="00DA6A76">
              <w:t>75</w:t>
            </w:r>
          </w:p>
        </w:tc>
        <w:tc>
          <w:tcPr>
            <w:tcW w:w="2098" w:type="dxa"/>
            <w:tcBorders>
              <w:top w:val="nil"/>
              <w:bottom w:val="nil"/>
            </w:tcBorders>
            <w:shd w:val="clear" w:color="auto" w:fill="auto"/>
          </w:tcPr>
          <w:p w:rsidR="00DA6A76" w:rsidRPr="00DA6A76" w:rsidRDefault="00DA6A76" w:rsidP="00C76A1E">
            <w:pPr>
              <w:pStyle w:val="TableText"/>
              <w:jc w:val="center"/>
            </w:pPr>
            <w:r w:rsidRPr="00DA6A76">
              <w:t>8</w:t>
            </w:r>
          </w:p>
        </w:tc>
        <w:tc>
          <w:tcPr>
            <w:tcW w:w="2099" w:type="dxa"/>
            <w:tcBorders>
              <w:top w:val="nil"/>
              <w:bottom w:val="nil"/>
            </w:tcBorders>
            <w:shd w:val="clear" w:color="auto" w:fill="auto"/>
          </w:tcPr>
          <w:p w:rsidR="00DA6A76" w:rsidRPr="00DA6A76" w:rsidRDefault="00DA6A76" w:rsidP="00C76A1E">
            <w:pPr>
              <w:pStyle w:val="TableText"/>
              <w:tabs>
                <w:tab w:val="decimal" w:pos="1191"/>
              </w:tabs>
            </w:pPr>
            <w:r w:rsidRPr="00DA6A76">
              <w:t>1027</w:t>
            </w:r>
          </w:p>
        </w:tc>
      </w:tr>
      <w:tr w:rsidR="00DA6A76" w:rsidRPr="00DA6A76" w:rsidTr="00C76A1E">
        <w:trPr>
          <w:cantSplit/>
        </w:trPr>
        <w:tc>
          <w:tcPr>
            <w:tcW w:w="3061" w:type="dxa"/>
            <w:tcBorders>
              <w:top w:val="nil"/>
              <w:bottom w:val="nil"/>
            </w:tcBorders>
            <w:shd w:val="clear" w:color="auto" w:fill="F2F2F2" w:themeFill="background1" w:themeFillShade="F2"/>
          </w:tcPr>
          <w:p w:rsidR="00DA6A76" w:rsidRPr="00DA6A76" w:rsidRDefault="00DA6A76" w:rsidP="00C76A1E">
            <w:pPr>
              <w:pStyle w:val="TableText"/>
            </w:pPr>
            <w:r w:rsidRPr="00DA6A76">
              <w:t>Whanganui</w:t>
            </w:r>
          </w:p>
        </w:tc>
        <w:tc>
          <w:tcPr>
            <w:tcW w:w="2098" w:type="dxa"/>
            <w:tcBorders>
              <w:top w:val="nil"/>
              <w:bottom w:val="nil"/>
            </w:tcBorders>
            <w:shd w:val="clear" w:color="auto" w:fill="F2F2F2" w:themeFill="background1" w:themeFillShade="F2"/>
          </w:tcPr>
          <w:p w:rsidR="00DA6A76" w:rsidRPr="00DA6A76" w:rsidRDefault="00DA6A76" w:rsidP="00C76A1E">
            <w:pPr>
              <w:pStyle w:val="TableText"/>
              <w:tabs>
                <w:tab w:val="decimal" w:pos="1071"/>
              </w:tabs>
            </w:pPr>
            <w:r w:rsidRPr="00DA6A76">
              <w:t>68</w:t>
            </w:r>
          </w:p>
        </w:tc>
        <w:tc>
          <w:tcPr>
            <w:tcW w:w="2098" w:type="dxa"/>
            <w:tcBorders>
              <w:top w:val="nil"/>
              <w:bottom w:val="nil"/>
            </w:tcBorders>
            <w:shd w:val="clear" w:color="auto" w:fill="F2F2F2" w:themeFill="background1" w:themeFillShade="F2"/>
          </w:tcPr>
          <w:p w:rsidR="00DA6A76" w:rsidRPr="00DA6A76" w:rsidRDefault="00DA6A76" w:rsidP="00C76A1E">
            <w:pPr>
              <w:pStyle w:val="TableText"/>
              <w:jc w:val="center"/>
            </w:pPr>
            <w:r w:rsidRPr="00DA6A76">
              <w:t>0</w:t>
            </w:r>
          </w:p>
        </w:tc>
        <w:tc>
          <w:tcPr>
            <w:tcW w:w="2099" w:type="dxa"/>
            <w:tcBorders>
              <w:top w:val="nil"/>
              <w:bottom w:val="nil"/>
            </w:tcBorders>
            <w:shd w:val="clear" w:color="auto" w:fill="F2F2F2" w:themeFill="background1" w:themeFillShade="F2"/>
          </w:tcPr>
          <w:p w:rsidR="00DA6A76" w:rsidRPr="00DA6A76" w:rsidRDefault="00DA6A76" w:rsidP="00C76A1E">
            <w:pPr>
              <w:pStyle w:val="TableText"/>
              <w:tabs>
                <w:tab w:val="decimal" w:pos="1191"/>
              </w:tabs>
            </w:pPr>
            <w:r w:rsidRPr="00DA6A76">
              <w:t>963</w:t>
            </w:r>
          </w:p>
        </w:tc>
      </w:tr>
      <w:tr w:rsidR="00DA6A76" w:rsidRPr="00DA6A76" w:rsidTr="00C76A1E">
        <w:trPr>
          <w:cantSplit/>
        </w:trPr>
        <w:tc>
          <w:tcPr>
            <w:tcW w:w="3061" w:type="dxa"/>
            <w:tcBorders>
              <w:top w:val="nil"/>
              <w:bottom w:val="nil"/>
            </w:tcBorders>
            <w:shd w:val="clear" w:color="auto" w:fill="auto"/>
          </w:tcPr>
          <w:p w:rsidR="00DA6A76" w:rsidRPr="00DA6A76" w:rsidRDefault="00DA6A76" w:rsidP="00C76A1E">
            <w:pPr>
              <w:pStyle w:val="TableText"/>
            </w:pPr>
            <w:r w:rsidRPr="00DA6A76">
              <w:t>Capital &amp; Coast</w:t>
            </w:r>
          </w:p>
        </w:tc>
        <w:tc>
          <w:tcPr>
            <w:tcW w:w="2098" w:type="dxa"/>
            <w:tcBorders>
              <w:top w:val="nil"/>
              <w:bottom w:val="nil"/>
            </w:tcBorders>
            <w:shd w:val="clear" w:color="auto" w:fill="auto"/>
          </w:tcPr>
          <w:p w:rsidR="00DA6A76" w:rsidRPr="00DA6A76" w:rsidRDefault="00DA6A76" w:rsidP="00C76A1E">
            <w:pPr>
              <w:pStyle w:val="TableText"/>
              <w:tabs>
                <w:tab w:val="decimal" w:pos="1071"/>
              </w:tabs>
            </w:pPr>
            <w:r w:rsidRPr="00DA6A76">
              <w:t>30</w:t>
            </w:r>
          </w:p>
        </w:tc>
        <w:tc>
          <w:tcPr>
            <w:tcW w:w="2098" w:type="dxa"/>
            <w:tcBorders>
              <w:top w:val="nil"/>
              <w:bottom w:val="nil"/>
            </w:tcBorders>
            <w:shd w:val="clear" w:color="auto" w:fill="auto"/>
          </w:tcPr>
          <w:p w:rsidR="00DA6A76" w:rsidRPr="00DA6A76" w:rsidRDefault="00DA6A76" w:rsidP="00C76A1E">
            <w:pPr>
              <w:pStyle w:val="TableText"/>
              <w:jc w:val="center"/>
            </w:pPr>
            <w:r w:rsidRPr="00DA6A76">
              <w:t>1</w:t>
            </w:r>
          </w:p>
        </w:tc>
        <w:tc>
          <w:tcPr>
            <w:tcW w:w="2099" w:type="dxa"/>
            <w:tcBorders>
              <w:top w:val="nil"/>
              <w:bottom w:val="nil"/>
            </w:tcBorders>
            <w:shd w:val="clear" w:color="auto" w:fill="auto"/>
          </w:tcPr>
          <w:p w:rsidR="00DA6A76" w:rsidRPr="00DA6A76" w:rsidRDefault="00DA6A76" w:rsidP="00C76A1E">
            <w:pPr>
              <w:pStyle w:val="TableText"/>
              <w:tabs>
                <w:tab w:val="decimal" w:pos="1191"/>
              </w:tabs>
            </w:pPr>
            <w:r w:rsidRPr="00DA6A76">
              <w:t>1159</w:t>
            </w:r>
          </w:p>
        </w:tc>
      </w:tr>
      <w:tr w:rsidR="00DA6A76" w:rsidRPr="00DA6A76" w:rsidTr="00C76A1E">
        <w:trPr>
          <w:cantSplit/>
        </w:trPr>
        <w:tc>
          <w:tcPr>
            <w:tcW w:w="3061" w:type="dxa"/>
            <w:tcBorders>
              <w:top w:val="nil"/>
              <w:bottom w:val="nil"/>
            </w:tcBorders>
            <w:shd w:val="clear" w:color="auto" w:fill="F2F2F2" w:themeFill="background1" w:themeFillShade="F2"/>
          </w:tcPr>
          <w:p w:rsidR="00DA6A76" w:rsidRPr="00DA6A76" w:rsidRDefault="00DA6A76" w:rsidP="00C76A1E">
            <w:pPr>
              <w:pStyle w:val="TableText"/>
            </w:pPr>
            <w:r w:rsidRPr="00DA6A76">
              <w:t>Hutt Valley</w:t>
            </w:r>
          </w:p>
        </w:tc>
        <w:tc>
          <w:tcPr>
            <w:tcW w:w="2098" w:type="dxa"/>
            <w:tcBorders>
              <w:top w:val="nil"/>
              <w:bottom w:val="nil"/>
            </w:tcBorders>
            <w:shd w:val="clear" w:color="auto" w:fill="F2F2F2" w:themeFill="background1" w:themeFillShade="F2"/>
          </w:tcPr>
          <w:p w:rsidR="00DA6A76" w:rsidRPr="00DA6A76" w:rsidRDefault="00DA6A76" w:rsidP="00C76A1E">
            <w:pPr>
              <w:pStyle w:val="TableText"/>
              <w:tabs>
                <w:tab w:val="decimal" w:pos="1071"/>
              </w:tabs>
            </w:pPr>
            <w:r w:rsidRPr="00DA6A76">
              <w:t>37</w:t>
            </w:r>
          </w:p>
        </w:tc>
        <w:tc>
          <w:tcPr>
            <w:tcW w:w="2098" w:type="dxa"/>
            <w:tcBorders>
              <w:top w:val="nil"/>
              <w:bottom w:val="nil"/>
            </w:tcBorders>
            <w:shd w:val="clear" w:color="auto" w:fill="F2F2F2" w:themeFill="background1" w:themeFillShade="F2"/>
          </w:tcPr>
          <w:p w:rsidR="00DA6A76" w:rsidRPr="00DA6A76" w:rsidRDefault="00DA6A76" w:rsidP="00C76A1E">
            <w:pPr>
              <w:pStyle w:val="TableText"/>
              <w:jc w:val="center"/>
            </w:pPr>
            <w:r w:rsidRPr="00DA6A76">
              <w:t>3</w:t>
            </w:r>
          </w:p>
        </w:tc>
        <w:tc>
          <w:tcPr>
            <w:tcW w:w="2099" w:type="dxa"/>
            <w:tcBorders>
              <w:top w:val="nil"/>
              <w:bottom w:val="nil"/>
            </w:tcBorders>
            <w:shd w:val="clear" w:color="auto" w:fill="F2F2F2" w:themeFill="background1" w:themeFillShade="F2"/>
          </w:tcPr>
          <w:p w:rsidR="00DA6A76" w:rsidRPr="00DA6A76" w:rsidRDefault="00DA6A76" w:rsidP="00C76A1E">
            <w:pPr>
              <w:pStyle w:val="TableText"/>
              <w:tabs>
                <w:tab w:val="decimal" w:pos="1191"/>
              </w:tabs>
            </w:pPr>
            <w:r w:rsidRPr="00DA6A76">
              <w:t>801</w:t>
            </w:r>
          </w:p>
        </w:tc>
      </w:tr>
      <w:tr w:rsidR="00DA6A76" w:rsidRPr="00DA6A76" w:rsidTr="00C76A1E">
        <w:trPr>
          <w:cantSplit/>
        </w:trPr>
        <w:tc>
          <w:tcPr>
            <w:tcW w:w="3061" w:type="dxa"/>
            <w:tcBorders>
              <w:top w:val="nil"/>
              <w:bottom w:val="nil"/>
            </w:tcBorders>
            <w:shd w:val="clear" w:color="auto" w:fill="auto"/>
          </w:tcPr>
          <w:p w:rsidR="00DA6A76" w:rsidRPr="00DA6A76" w:rsidRDefault="00DA6A76" w:rsidP="00C76A1E">
            <w:pPr>
              <w:pStyle w:val="TableText"/>
            </w:pPr>
            <w:r w:rsidRPr="00DA6A76">
              <w:t>Wairarapa</w:t>
            </w:r>
          </w:p>
        </w:tc>
        <w:tc>
          <w:tcPr>
            <w:tcW w:w="2098" w:type="dxa"/>
            <w:tcBorders>
              <w:top w:val="nil"/>
              <w:bottom w:val="nil"/>
            </w:tcBorders>
            <w:shd w:val="clear" w:color="auto" w:fill="auto"/>
          </w:tcPr>
          <w:p w:rsidR="00DA6A76" w:rsidRPr="00DA6A76" w:rsidRDefault="00DA6A76" w:rsidP="00C76A1E">
            <w:pPr>
              <w:pStyle w:val="TableText"/>
              <w:tabs>
                <w:tab w:val="decimal" w:pos="1071"/>
              </w:tabs>
            </w:pPr>
            <w:r w:rsidRPr="00DA6A76">
              <w:t>108</w:t>
            </w:r>
          </w:p>
        </w:tc>
        <w:tc>
          <w:tcPr>
            <w:tcW w:w="2098" w:type="dxa"/>
            <w:tcBorders>
              <w:top w:val="nil"/>
              <w:bottom w:val="nil"/>
            </w:tcBorders>
            <w:shd w:val="clear" w:color="auto" w:fill="auto"/>
          </w:tcPr>
          <w:p w:rsidR="00DA6A76" w:rsidRPr="00DA6A76" w:rsidRDefault="00DA6A76" w:rsidP="00C76A1E">
            <w:pPr>
              <w:pStyle w:val="TableText"/>
              <w:jc w:val="center"/>
            </w:pPr>
            <w:r w:rsidRPr="00DA6A76">
              <w:t>2</w:t>
            </w:r>
          </w:p>
        </w:tc>
        <w:tc>
          <w:tcPr>
            <w:tcW w:w="2099" w:type="dxa"/>
            <w:tcBorders>
              <w:top w:val="nil"/>
              <w:bottom w:val="nil"/>
            </w:tcBorders>
            <w:shd w:val="clear" w:color="auto" w:fill="auto"/>
          </w:tcPr>
          <w:p w:rsidR="00DA6A76" w:rsidRPr="00DA6A76" w:rsidRDefault="00DA6A76" w:rsidP="00C76A1E">
            <w:pPr>
              <w:pStyle w:val="TableText"/>
              <w:tabs>
                <w:tab w:val="decimal" w:pos="1191"/>
              </w:tabs>
            </w:pPr>
            <w:r w:rsidRPr="00DA6A76">
              <w:t>981</w:t>
            </w:r>
          </w:p>
        </w:tc>
      </w:tr>
      <w:tr w:rsidR="00DA6A76" w:rsidRPr="00DA6A76" w:rsidTr="00C76A1E">
        <w:trPr>
          <w:cantSplit/>
        </w:trPr>
        <w:tc>
          <w:tcPr>
            <w:tcW w:w="3061" w:type="dxa"/>
            <w:tcBorders>
              <w:top w:val="nil"/>
              <w:bottom w:val="nil"/>
            </w:tcBorders>
            <w:shd w:val="clear" w:color="auto" w:fill="F2F2F2" w:themeFill="background1" w:themeFillShade="F2"/>
          </w:tcPr>
          <w:p w:rsidR="00DA6A76" w:rsidRPr="00DA6A76" w:rsidRDefault="00DA6A76" w:rsidP="00C76A1E">
            <w:pPr>
              <w:pStyle w:val="TableText"/>
            </w:pPr>
            <w:r w:rsidRPr="00DA6A76">
              <w:t>Nelson Marlborough</w:t>
            </w:r>
          </w:p>
        </w:tc>
        <w:tc>
          <w:tcPr>
            <w:tcW w:w="2098" w:type="dxa"/>
            <w:tcBorders>
              <w:top w:val="nil"/>
              <w:bottom w:val="nil"/>
            </w:tcBorders>
            <w:shd w:val="clear" w:color="auto" w:fill="F2F2F2" w:themeFill="background1" w:themeFillShade="F2"/>
          </w:tcPr>
          <w:p w:rsidR="00DA6A76" w:rsidRPr="00DA6A76" w:rsidRDefault="00DA6A76" w:rsidP="00C76A1E">
            <w:pPr>
              <w:pStyle w:val="TableText"/>
              <w:tabs>
                <w:tab w:val="decimal" w:pos="1071"/>
              </w:tabs>
            </w:pPr>
            <w:r w:rsidRPr="00DA6A76">
              <w:t>60</w:t>
            </w:r>
          </w:p>
        </w:tc>
        <w:tc>
          <w:tcPr>
            <w:tcW w:w="2098" w:type="dxa"/>
            <w:tcBorders>
              <w:top w:val="nil"/>
              <w:bottom w:val="nil"/>
            </w:tcBorders>
            <w:shd w:val="clear" w:color="auto" w:fill="F2F2F2" w:themeFill="background1" w:themeFillShade="F2"/>
          </w:tcPr>
          <w:p w:rsidR="00DA6A76" w:rsidRPr="00DA6A76" w:rsidRDefault="00DA6A76" w:rsidP="00C76A1E">
            <w:pPr>
              <w:pStyle w:val="TableText"/>
              <w:jc w:val="center"/>
            </w:pPr>
            <w:r w:rsidRPr="00DA6A76">
              <w:t>1</w:t>
            </w:r>
          </w:p>
        </w:tc>
        <w:tc>
          <w:tcPr>
            <w:tcW w:w="2099" w:type="dxa"/>
            <w:tcBorders>
              <w:top w:val="nil"/>
              <w:bottom w:val="nil"/>
            </w:tcBorders>
            <w:shd w:val="clear" w:color="auto" w:fill="F2F2F2" w:themeFill="background1" w:themeFillShade="F2"/>
          </w:tcPr>
          <w:p w:rsidR="00DA6A76" w:rsidRPr="00DA6A76" w:rsidRDefault="00DA6A76" w:rsidP="00C76A1E">
            <w:pPr>
              <w:pStyle w:val="TableText"/>
              <w:tabs>
                <w:tab w:val="decimal" w:pos="1191"/>
              </w:tabs>
            </w:pPr>
            <w:r w:rsidRPr="00DA6A76">
              <w:t>999</w:t>
            </w:r>
          </w:p>
        </w:tc>
      </w:tr>
      <w:tr w:rsidR="00DA6A76" w:rsidRPr="00DA6A76" w:rsidTr="00C76A1E">
        <w:trPr>
          <w:cantSplit/>
        </w:trPr>
        <w:tc>
          <w:tcPr>
            <w:tcW w:w="3061" w:type="dxa"/>
            <w:tcBorders>
              <w:top w:val="nil"/>
              <w:bottom w:val="nil"/>
            </w:tcBorders>
            <w:shd w:val="clear" w:color="auto" w:fill="auto"/>
          </w:tcPr>
          <w:p w:rsidR="00DA6A76" w:rsidRPr="00DA6A76" w:rsidRDefault="00DA6A76" w:rsidP="00C76A1E">
            <w:pPr>
              <w:pStyle w:val="TableText"/>
            </w:pPr>
            <w:r w:rsidRPr="00DA6A76">
              <w:t>West Coast</w:t>
            </w:r>
          </w:p>
        </w:tc>
        <w:tc>
          <w:tcPr>
            <w:tcW w:w="2098" w:type="dxa"/>
            <w:tcBorders>
              <w:top w:val="nil"/>
              <w:bottom w:val="nil"/>
            </w:tcBorders>
            <w:shd w:val="clear" w:color="auto" w:fill="auto"/>
          </w:tcPr>
          <w:p w:rsidR="00DA6A76" w:rsidRPr="00DA6A76" w:rsidRDefault="00DA6A76" w:rsidP="00C76A1E">
            <w:pPr>
              <w:pStyle w:val="TableText"/>
              <w:tabs>
                <w:tab w:val="decimal" w:pos="1071"/>
              </w:tabs>
            </w:pPr>
            <w:r w:rsidRPr="00DA6A76">
              <w:t>232</w:t>
            </w:r>
          </w:p>
        </w:tc>
        <w:tc>
          <w:tcPr>
            <w:tcW w:w="2098" w:type="dxa"/>
            <w:tcBorders>
              <w:top w:val="nil"/>
              <w:bottom w:val="nil"/>
            </w:tcBorders>
            <w:shd w:val="clear" w:color="auto" w:fill="auto"/>
          </w:tcPr>
          <w:p w:rsidR="00DA6A76" w:rsidRPr="00DA6A76" w:rsidRDefault="00DA6A76" w:rsidP="00C76A1E">
            <w:pPr>
              <w:pStyle w:val="TableText"/>
              <w:jc w:val="center"/>
            </w:pPr>
            <w:r w:rsidRPr="00DA6A76">
              <w:t>3</w:t>
            </w:r>
          </w:p>
        </w:tc>
        <w:tc>
          <w:tcPr>
            <w:tcW w:w="2099" w:type="dxa"/>
            <w:tcBorders>
              <w:top w:val="nil"/>
              <w:bottom w:val="nil"/>
            </w:tcBorders>
            <w:shd w:val="clear" w:color="auto" w:fill="auto"/>
          </w:tcPr>
          <w:p w:rsidR="00DA6A76" w:rsidRPr="00DA6A76" w:rsidRDefault="00DA6A76" w:rsidP="00C76A1E">
            <w:pPr>
              <w:pStyle w:val="TableText"/>
              <w:tabs>
                <w:tab w:val="decimal" w:pos="1191"/>
              </w:tabs>
            </w:pPr>
            <w:r w:rsidRPr="00DA6A76">
              <w:t>1049</w:t>
            </w:r>
          </w:p>
        </w:tc>
      </w:tr>
      <w:tr w:rsidR="00DA6A76" w:rsidRPr="00DA6A76" w:rsidTr="00C76A1E">
        <w:trPr>
          <w:cantSplit/>
        </w:trPr>
        <w:tc>
          <w:tcPr>
            <w:tcW w:w="3061" w:type="dxa"/>
            <w:tcBorders>
              <w:top w:val="nil"/>
              <w:bottom w:val="nil"/>
            </w:tcBorders>
            <w:shd w:val="clear" w:color="auto" w:fill="F2F2F2" w:themeFill="background1" w:themeFillShade="F2"/>
          </w:tcPr>
          <w:p w:rsidR="00DA6A76" w:rsidRPr="00DA6A76" w:rsidRDefault="00DA6A76" w:rsidP="00C76A1E">
            <w:pPr>
              <w:pStyle w:val="TableText"/>
            </w:pPr>
            <w:r w:rsidRPr="00DA6A76">
              <w:t>Canterbury</w:t>
            </w:r>
          </w:p>
        </w:tc>
        <w:tc>
          <w:tcPr>
            <w:tcW w:w="2098" w:type="dxa"/>
            <w:tcBorders>
              <w:top w:val="nil"/>
              <w:bottom w:val="nil"/>
            </w:tcBorders>
            <w:shd w:val="clear" w:color="auto" w:fill="F2F2F2" w:themeFill="background1" w:themeFillShade="F2"/>
          </w:tcPr>
          <w:p w:rsidR="00DA6A76" w:rsidRPr="00DA6A76" w:rsidRDefault="00DA6A76" w:rsidP="00C76A1E">
            <w:pPr>
              <w:pStyle w:val="TableText"/>
              <w:tabs>
                <w:tab w:val="decimal" w:pos="1071"/>
              </w:tabs>
            </w:pPr>
            <w:r w:rsidRPr="00DA6A76">
              <w:t>99</w:t>
            </w:r>
          </w:p>
        </w:tc>
        <w:tc>
          <w:tcPr>
            <w:tcW w:w="2098" w:type="dxa"/>
            <w:tcBorders>
              <w:top w:val="nil"/>
              <w:bottom w:val="nil"/>
            </w:tcBorders>
            <w:shd w:val="clear" w:color="auto" w:fill="F2F2F2" w:themeFill="background1" w:themeFillShade="F2"/>
          </w:tcPr>
          <w:p w:rsidR="00DA6A76" w:rsidRPr="00DA6A76" w:rsidRDefault="00DA6A76" w:rsidP="00C76A1E">
            <w:pPr>
              <w:pStyle w:val="TableText"/>
              <w:jc w:val="center"/>
            </w:pPr>
            <w:r w:rsidRPr="00DA6A76">
              <w:t>1</w:t>
            </w:r>
          </w:p>
        </w:tc>
        <w:tc>
          <w:tcPr>
            <w:tcW w:w="2099" w:type="dxa"/>
            <w:tcBorders>
              <w:top w:val="nil"/>
              <w:bottom w:val="nil"/>
            </w:tcBorders>
            <w:shd w:val="clear" w:color="auto" w:fill="F2F2F2" w:themeFill="background1" w:themeFillShade="F2"/>
          </w:tcPr>
          <w:p w:rsidR="00DA6A76" w:rsidRPr="00DA6A76" w:rsidRDefault="00DA6A76" w:rsidP="00C76A1E">
            <w:pPr>
              <w:pStyle w:val="TableText"/>
              <w:tabs>
                <w:tab w:val="decimal" w:pos="1191"/>
              </w:tabs>
            </w:pPr>
            <w:r w:rsidRPr="00DA6A76">
              <w:t>1106</w:t>
            </w:r>
          </w:p>
        </w:tc>
      </w:tr>
      <w:tr w:rsidR="00DA6A76" w:rsidRPr="00DA6A76" w:rsidTr="00C76A1E">
        <w:trPr>
          <w:cantSplit/>
        </w:trPr>
        <w:tc>
          <w:tcPr>
            <w:tcW w:w="3061" w:type="dxa"/>
            <w:tcBorders>
              <w:top w:val="nil"/>
              <w:bottom w:val="nil"/>
            </w:tcBorders>
            <w:shd w:val="clear" w:color="auto" w:fill="auto"/>
          </w:tcPr>
          <w:p w:rsidR="00DA6A76" w:rsidRPr="00DA6A76" w:rsidRDefault="00DA6A76" w:rsidP="00C76A1E">
            <w:pPr>
              <w:pStyle w:val="TableText"/>
            </w:pPr>
            <w:r w:rsidRPr="00DA6A76">
              <w:t>South Canterbury</w:t>
            </w:r>
          </w:p>
        </w:tc>
        <w:tc>
          <w:tcPr>
            <w:tcW w:w="2098" w:type="dxa"/>
            <w:tcBorders>
              <w:top w:val="nil"/>
              <w:bottom w:val="nil"/>
            </w:tcBorders>
            <w:shd w:val="clear" w:color="auto" w:fill="auto"/>
          </w:tcPr>
          <w:p w:rsidR="00DA6A76" w:rsidRPr="00DA6A76" w:rsidRDefault="00DA6A76" w:rsidP="00C76A1E">
            <w:pPr>
              <w:pStyle w:val="TableText"/>
              <w:tabs>
                <w:tab w:val="decimal" w:pos="1071"/>
              </w:tabs>
            </w:pPr>
            <w:r w:rsidRPr="00DA6A76">
              <w:t>119</w:t>
            </w:r>
          </w:p>
        </w:tc>
        <w:tc>
          <w:tcPr>
            <w:tcW w:w="2098" w:type="dxa"/>
            <w:tcBorders>
              <w:top w:val="nil"/>
              <w:bottom w:val="nil"/>
            </w:tcBorders>
            <w:shd w:val="clear" w:color="auto" w:fill="auto"/>
          </w:tcPr>
          <w:p w:rsidR="00DA6A76" w:rsidRPr="00DA6A76" w:rsidRDefault="00DA6A76" w:rsidP="00C76A1E">
            <w:pPr>
              <w:pStyle w:val="TableText"/>
              <w:jc w:val="center"/>
            </w:pPr>
            <w:r w:rsidRPr="00DA6A76">
              <w:t>5</w:t>
            </w:r>
          </w:p>
        </w:tc>
        <w:tc>
          <w:tcPr>
            <w:tcW w:w="2099" w:type="dxa"/>
            <w:tcBorders>
              <w:top w:val="nil"/>
              <w:bottom w:val="nil"/>
            </w:tcBorders>
            <w:shd w:val="clear" w:color="auto" w:fill="auto"/>
          </w:tcPr>
          <w:p w:rsidR="00DA6A76" w:rsidRPr="00DA6A76" w:rsidRDefault="00DA6A76" w:rsidP="00C76A1E">
            <w:pPr>
              <w:pStyle w:val="TableText"/>
              <w:tabs>
                <w:tab w:val="decimal" w:pos="1191"/>
              </w:tabs>
            </w:pPr>
            <w:r w:rsidRPr="00DA6A76">
              <w:t>995</w:t>
            </w:r>
          </w:p>
        </w:tc>
      </w:tr>
      <w:tr w:rsidR="00DA6A76" w:rsidRPr="00DA6A76" w:rsidTr="00C76A1E">
        <w:trPr>
          <w:cantSplit/>
        </w:trPr>
        <w:tc>
          <w:tcPr>
            <w:tcW w:w="3061" w:type="dxa"/>
            <w:tcBorders>
              <w:top w:val="nil"/>
              <w:bottom w:val="nil"/>
            </w:tcBorders>
            <w:shd w:val="clear" w:color="auto" w:fill="F2F2F2" w:themeFill="background1" w:themeFillShade="F2"/>
          </w:tcPr>
          <w:p w:rsidR="00DA6A76" w:rsidRPr="00DA6A76" w:rsidRDefault="00DA6A76" w:rsidP="00C76A1E">
            <w:pPr>
              <w:pStyle w:val="TableText"/>
            </w:pPr>
            <w:r w:rsidRPr="00DA6A76">
              <w:t>Southern</w:t>
            </w:r>
          </w:p>
        </w:tc>
        <w:tc>
          <w:tcPr>
            <w:tcW w:w="2098" w:type="dxa"/>
            <w:tcBorders>
              <w:top w:val="nil"/>
              <w:bottom w:val="nil"/>
            </w:tcBorders>
            <w:shd w:val="clear" w:color="auto" w:fill="F2F2F2" w:themeFill="background1" w:themeFillShade="F2"/>
          </w:tcPr>
          <w:p w:rsidR="00DA6A76" w:rsidRPr="00DA6A76" w:rsidRDefault="00DA6A76" w:rsidP="00C76A1E">
            <w:pPr>
              <w:pStyle w:val="TableText"/>
              <w:tabs>
                <w:tab w:val="decimal" w:pos="1071"/>
              </w:tabs>
            </w:pPr>
            <w:r w:rsidRPr="00DA6A76">
              <w:t>113</w:t>
            </w:r>
          </w:p>
        </w:tc>
        <w:tc>
          <w:tcPr>
            <w:tcW w:w="2098" w:type="dxa"/>
            <w:tcBorders>
              <w:top w:val="nil"/>
              <w:bottom w:val="nil"/>
            </w:tcBorders>
            <w:shd w:val="clear" w:color="auto" w:fill="F2F2F2" w:themeFill="background1" w:themeFillShade="F2"/>
          </w:tcPr>
          <w:p w:rsidR="00DA6A76" w:rsidRPr="00DA6A76" w:rsidRDefault="00DA6A76" w:rsidP="00C76A1E">
            <w:pPr>
              <w:pStyle w:val="TableText"/>
              <w:jc w:val="center"/>
            </w:pPr>
            <w:r w:rsidRPr="00DA6A76">
              <w:t>4</w:t>
            </w:r>
          </w:p>
        </w:tc>
        <w:tc>
          <w:tcPr>
            <w:tcW w:w="2099" w:type="dxa"/>
            <w:tcBorders>
              <w:top w:val="nil"/>
              <w:bottom w:val="nil"/>
            </w:tcBorders>
            <w:shd w:val="clear" w:color="auto" w:fill="F2F2F2" w:themeFill="background1" w:themeFillShade="F2"/>
          </w:tcPr>
          <w:p w:rsidR="00DA6A76" w:rsidRPr="00DA6A76" w:rsidRDefault="00DA6A76" w:rsidP="00C76A1E">
            <w:pPr>
              <w:pStyle w:val="TableText"/>
              <w:tabs>
                <w:tab w:val="decimal" w:pos="1191"/>
              </w:tabs>
            </w:pPr>
            <w:r w:rsidRPr="00DA6A76">
              <w:t>1001</w:t>
            </w:r>
          </w:p>
        </w:tc>
      </w:tr>
      <w:tr w:rsidR="00DA6A76" w:rsidRPr="00DA6A76" w:rsidTr="00C76A1E">
        <w:trPr>
          <w:cantSplit/>
        </w:trPr>
        <w:tc>
          <w:tcPr>
            <w:tcW w:w="3061" w:type="dxa"/>
            <w:tcBorders>
              <w:top w:val="nil"/>
            </w:tcBorders>
            <w:shd w:val="clear" w:color="auto" w:fill="auto"/>
          </w:tcPr>
          <w:p w:rsidR="00DA6A76" w:rsidRPr="00DA6A76" w:rsidRDefault="00DA6A76" w:rsidP="00C76A1E">
            <w:pPr>
              <w:pStyle w:val="TableText"/>
            </w:pPr>
            <w:r w:rsidRPr="00DA6A76">
              <w:t>Average across all DHB regions</w:t>
            </w:r>
          </w:p>
        </w:tc>
        <w:tc>
          <w:tcPr>
            <w:tcW w:w="2098" w:type="dxa"/>
            <w:tcBorders>
              <w:top w:val="nil"/>
            </w:tcBorders>
            <w:shd w:val="clear" w:color="auto" w:fill="auto"/>
          </w:tcPr>
          <w:p w:rsidR="00DA6A76" w:rsidRPr="00DA6A76" w:rsidRDefault="00DA6A76" w:rsidP="00C76A1E">
            <w:pPr>
              <w:pStyle w:val="TableText"/>
              <w:tabs>
                <w:tab w:val="decimal" w:pos="1071"/>
              </w:tabs>
            </w:pPr>
            <w:r w:rsidRPr="00DA6A76">
              <w:t>64</w:t>
            </w:r>
          </w:p>
        </w:tc>
        <w:tc>
          <w:tcPr>
            <w:tcW w:w="2098" w:type="dxa"/>
            <w:tcBorders>
              <w:top w:val="nil"/>
            </w:tcBorders>
            <w:shd w:val="clear" w:color="auto" w:fill="auto"/>
          </w:tcPr>
          <w:p w:rsidR="00DA6A76" w:rsidRPr="00DA6A76" w:rsidRDefault="00DA6A76" w:rsidP="00C76A1E">
            <w:pPr>
              <w:pStyle w:val="TableText"/>
              <w:jc w:val="center"/>
            </w:pPr>
            <w:r w:rsidRPr="00DA6A76">
              <w:t>3</w:t>
            </w:r>
          </w:p>
        </w:tc>
        <w:tc>
          <w:tcPr>
            <w:tcW w:w="2099" w:type="dxa"/>
            <w:tcBorders>
              <w:top w:val="nil"/>
            </w:tcBorders>
            <w:shd w:val="clear" w:color="auto" w:fill="auto"/>
          </w:tcPr>
          <w:p w:rsidR="00DA6A76" w:rsidRPr="00DA6A76" w:rsidRDefault="00DA6A76" w:rsidP="00C76A1E">
            <w:pPr>
              <w:pStyle w:val="TableText"/>
              <w:tabs>
                <w:tab w:val="decimal" w:pos="1191"/>
              </w:tabs>
            </w:pPr>
            <w:r w:rsidRPr="00DA6A76">
              <w:t>1073</w:t>
            </w:r>
          </w:p>
        </w:tc>
      </w:tr>
    </w:tbl>
    <w:p w:rsidR="005272AB" w:rsidRDefault="005272AB" w:rsidP="00C76A1E"/>
    <w:p w:rsidR="005272AB" w:rsidRDefault="005272AB" w:rsidP="005272AB">
      <w:r>
        <w:br w:type="page"/>
      </w:r>
    </w:p>
    <w:p w:rsidR="00DA6A76" w:rsidRPr="00DA6A76" w:rsidRDefault="005272AB" w:rsidP="005272AB">
      <w:pPr>
        <w:pStyle w:val="Heading2"/>
        <w:spacing w:before="0"/>
      </w:pPr>
      <w:bookmarkStart w:id="36" w:name="_Toc403834872"/>
      <w:r>
        <w:t xml:space="preserve">Appendix 4: </w:t>
      </w:r>
      <w:r w:rsidR="00DA6A76" w:rsidRPr="00DA6A76">
        <w:t>List of allied health professions</w:t>
      </w:r>
      <w:bookmarkEnd w:id="36"/>
    </w:p>
    <w:p w:rsidR="00DA6A76" w:rsidRPr="00DA6A76" w:rsidRDefault="00DA6A76" w:rsidP="005272AB">
      <w:r w:rsidRPr="00DA6A76">
        <w:t>Below is a list of most of the professions generally regarded as allied health (including science and technical) professions. Some are regulated under the HPCA Act.</w:t>
      </w:r>
    </w:p>
    <w:p w:rsidR="00DA6A76" w:rsidRDefault="00DA6A76" w:rsidP="00326EC8"/>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CellMar>
          <w:left w:w="170" w:type="dxa"/>
          <w:right w:w="170" w:type="dxa"/>
        </w:tblCellMar>
        <w:tblLook w:val="04A0" w:firstRow="1" w:lastRow="0" w:firstColumn="1" w:lastColumn="0" w:noHBand="0" w:noVBand="1"/>
      </w:tblPr>
      <w:tblGrid>
        <w:gridCol w:w="4785"/>
        <w:gridCol w:w="4786"/>
      </w:tblGrid>
      <w:tr w:rsidR="00326EC8" w:rsidTr="00326EC8">
        <w:trPr>
          <w:cantSplit/>
        </w:trPr>
        <w:tc>
          <w:tcPr>
            <w:tcW w:w="4785" w:type="dxa"/>
          </w:tcPr>
          <w:p w:rsidR="00326EC8" w:rsidRPr="00FE4DFD" w:rsidRDefault="00326EC8" w:rsidP="00326EC8">
            <w:pPr>
              <w:spacing w:before="60"/>
              <w:rPr>
                <w:sz w:val="20"/>
              </w:rPr>
            </w:pPr>
            <w:r w:rsidRPr="00FE4DFD">
              <w:rPr>
                <w:sz w:val="20"/>
              </w:rPr>
              <w:t>Anaesthetic technicians</w:t>
            </w:r>
          </w:p>
          <w:p w:rsidR="00326EC8" w:rsidRPr="00FE4DFD" w:rsidRDefault="00326EC8" w:rsidP="00326EC8">
            <w:pPr>
              <w:spacing w:before="60"/>
              <w:rPr>
                <w:sz w:val="20"/>
              </w:rPr>
            </w:pPr>
            <w:r w:rsidRPr="00FE4DFD">
              <w:rPr>
                <w:sz w:val="20"/>
              </w:rPr>
              <w:t>Audiologists</w:t>
            </w:r>
          </w:p>
          <w:p w:rsidR="00326EC8" w:rsidRPr="00FE4DFD" w:rsidRDefault="00326EC8" w:rsidP="00326EC8">
            <w:pPr>
              <w:spacing w:before="60"/>
              <w:rPr>
                <w:sz w:val="20"/>
              </w:rPr>
            </w:pPr>
            <w:r w:rsidRPr="00FE4DFD">
              <w:rPr>
                <w:sz w:val="20"/>
              </w:rPr>
              <w:t>Biomedical engineers and electronic technicians</w:t>
            </w:r>
          </w:p>
          <w:p w:rsidR="00326EC8" w:rsidRPr="00FE4DFD" w:rsidRDefault="00326EC8" w:rsidP="00326EC8">
            <w:pPr>
              <w:spacing w:before="60"/>
              <w:rPr>
                <w:sz w:val="20"/>
              </w:rPr>
            </w:pPr>
            <w:r w:rsidRPr="00FE4DFD">
              <w:rPr>
                <w:sz w:val="20"/>
              </w:rPr>
              <w:t>Cardiac sonographers</w:t>
            </w:r>
          </w:p>
          <w:p w:rsidR="00326EC8" w:rsidRPr="00FE4DFD" w:rsidRDefault="00326EC8" w:rsidP="00326EC8">
            <w:pPr>
              <w:spacing w:before="60"/>
              <w:rPr>
                <w:sz w:val="20"/>
              </w:rPr>
            </w:pPr>
            <w:r w:rsidRPr="00FE4DFD">
              <w:rPr>
                <w:sz w:val="20"/>
              </w:rPr>
              <w:t>Chiropractors</w:t>
            </w:r>
          </w:p>
          <w:p w:rsidR="00326EC8" w:rsidRPr="00FE4DFD" w:rsidRDefault="00326EC8" w:rsidP="00326EC8">
            <w:pPr>
              <w:spacing w:before="60"/>
              <w:rPr>
                <w:sz w:val="20"/>
              </w:rPr>
            </w:pPr>
            <w:r w:rsidRPr="00FE4DFD">
              <w:rPr>
                <w:sz w:val="20"/>
              </w:rPr>
              <w:t>Clinical dental technicians</w:t>
            </w:r>
          </w:p>
          <w:p w:rsidR="00326EC8" w:rsidRPr="00FE4DFD" w:rsidRDefault="00326EC8" w:rsidP="00326EC8">
            <w:pPr>
              <w:spacing w:before="60"/>
              <w:rPr>
                <w:sz w:val="20"/>
              </w:rPr>
            </w:pPr>
            <w:r w:rsidRPr="00FE4DFD">
              <w:rPr>
                <w:sz w:val="20"/>
              </w:rPr>
              <w:t>Clinical perfusionists</w:t>
            </w:r>
          </w:p>
          <w:p w:rsidR="00326EC8" w:rsidRPr="00FE4DFD" w:rsidRDefault="00326EC8" w:rsidP="00326EC8">
            <w:pPr>
              <w:spacing w:before="60"/>
              <w:rPr>
                <w:sz w:val="20"/>
              </w:rPr>
            </w:pPr>
            <w:r w:rsidRPr="00FE4DFD">
              <w:rPr>
                <w:sz w:val="20"/>
              </w:rPr>
              <w:t>Clinical physiologists – dialysis (renal dialysis technicians)</w:t>
            </w:r>
          </w:p>
          <w:p w:rsidR="00326EC8" w:rsidRPr="00FE4DFD" w:rsidRDefault="00326EC8" w:rsidP="00326EC8">
            <w:pPr>
              <w:spacing w:before="60"/>
              <w:rPr>
                <w:sz w:val="20"/>
              </w:rPr>
            </w:pPr>
            <w:r w:rsidRPr="00FE4DFD">
              <w:rPr>
                <w:sz w:val="20"/>
              </w:rPr>
              <w:t>Clinical physiologists – respiratory</w:t>
            </w:r>
          </w:p>
          <w:p w:rsidR="00FE4DFD" w:rsidRDefault="00326EC8" w:rsidP="00326EC8">
            <w:pPr>
              <w:spacing w:before="60"/>
              <w:rPr>
                <w:sz w:val="20"/>
              </w:rPr>
            </w:pPr>
            <w:r w:rsidRPr="00FE4DFD">
              <w:rPr>
                <w:sz w:val="20"/>
              </w:rPr>
              <w:t>Clinical physiologists and technicians – cardiac</w:t>
            </w:r>
          </w:p>
          <w:p w:rsidR="00FE4DFD" w:rsidRDefault="00326EC8" w:rsidP="00326EC8">
            <w:pPr>
              <w:spacing w:before="60"/>
              <w:rPr>
                <w:sz w:val="20"/>
              </w:rPr>
            </w:pPr>
            <w:r w:rsidRPr="00FE4DFD">
              <w:rPr>
                <w:sz w:val="20"/>
              </w:rPr>
              <w:t>Clinical physiologists and technicians – sleep</w:t>
            </w:r>
          </w:p>
          <w:p w:rsidR="00326EC8" w:rsidRPr="00FE4DFD" w:rsidRDefault="00326EC8" w:rsidP="00326EC8">
            <w:pPr>
              <w:spacing w:before="60"/>
              <w:rPr>
                <w:sz w:val="20"/>
              </w:rPr>
            </w:pPr>
            <w:r w:rsidRPr="00FE4DFD">
              <w:rPr>
                <w:sz w:val="20"/>
              </w:rPr>
              <w:t>Clinical psychologists</w:t>
            </w:r>
          </w:p>
          <w:p w:rsidR="00326EC8" w:rsidRPr="00FE4DFD" w:rsidRDefault="00326EC8" w:rsidP="00326EC8">
            <w:pPr>
              <w:spacing w:before="60"/>
              <w:rPr>
                <w:sz w:val="20"/>
              </w:rPr>
            </w:pPr>
            <w:r w:rsidRPr="00FE4DFD">
              <w:rPr>
                <w:sz w:val="20"/>
              </w:rPr>
              <w:t>Community health workers – public health</w:t>
            </w:r>
          </w:p>
          <w:p w:rsidR="00326EC8" w:rsidRPr="00FE4DFD" w:rsidRDefault="00326EC8" w:rsidP="00326EC8">
            <w:pPr>
              <w:spacing w:before="60"/>
              <w:rPr>
                <w:sz w:val="20"/>
              </w:rPr>
            </w:pPr>
            <w:r w:rsidRPr="00FE4DFD">
              <w:rPr>
                <w:sz w:val="20"/>
              </w:rPr>
              <w:t>Counsellors</w:t>
            </w:r>
          </w:p>
          <w:p w:rsidR="00326EC8" w:rsidRPr="00FE4DFD" w:rsidRDefault="00326EC8" w:rsidP="00326EC8">
            <w:pPr>
              <w:spacing w:before="60"/>
              <w:rPr>
                <w:sz w:val="20"/>
              </w:rPr>
            </w:pPr>
            <w:r w:rsidRPr="00FE4DFD">
              <w:rPr>
                <w:sz w:val="20"/>
              </w:rPr>
              <w:t>Cytogeneticists</w:t>
            </w:r>
          </w:p>
          <w:p w:rsidR="00326EC8" w:rsidRPr="00FE4DFD" w:rsidRDefault="00326EC8" w:rsidP="00326EC8">
            <w:pPr>
              <w:spacing w:before="60"/>
              <w:rPr>
                <w:sz w:val="20"/>
              </w:rPr>
            </w:pPr>
            <w:r w:rsidRPr="00FE4DFD">
              <w:rPr>
                <w:sz w:val="20"/>
              </w:rPr>
              <w:t>Dental assistants</w:t>
            </w:r>
          </w:p>
          <w:p w:rsidR="00326EC8" w:rsidRPr="00FE4DFD" w:rsidRDefault="00326EC8" w:rsidP="00326EC8">
            <w:pPr>
              <w:spacing w:before="60"/>
              <w:rPr>
                <w:sz w:val="20"/>
              </w:rPr>
            </w:pPr>
            <w:r w:rsidRPr="00FE4DFD">
              <w:rPr>
                <w:sz w:val="20"/>
              </w:rPr>
              <w:t>Dental hygienists</w:t>
            </w:r>
          </w:p>
          <w:p w:rsidR="00326EC8" w:rsidRPr="00FE4DFD" w:rsidRDefault="00326EC8" w:rsidP="00326EC8">
            <w:pPr>
              <w:spacing w:before="60"/>
              <w:rPr>
                <w:sz w:val="20"/>
              </w:rPr>
            </w:pPr>
            <w:r w:rsidRPr="00FE4DFD">
              <w:rPr>
                <w:sz w:val="20"/>
              </w:rPr>
              <w:t>Dental technicians</w:t>
            </w:r>
          </w:p>
          <w:p w:rsidR="00326EC8" w:rsidRPr="00FE4DFD" w:rsidRDefault="00326EC8" w:rsidP="00326EC8">
            <w:pPr>
              <w:spacing w:before="60"/>
              <w:rPr>
                <w:sz w:val="20"/>
              </w:rPr>
            </w:pPr>
            <w:r w:rsidRPr="00FE4DFD">
              <w:rPr>
                <w:sz w:val="20"/>
              </w:rPr>
              <w:t>Dental therapists</w:t>
            </w:r>
          </w:p>
          <w:p w:rsidR="00326EC8" w:rsidRPr="00FE4DFD" w:rsidRDefault="00326EC8" w:rsidP="00326EC8">
            <w:pPr>
              <w:spacing w:before="60"/>
              <w:rPr>
                <w:sz w:val="20"/>
              </w:rPr>
            </w:pPr>
            <w:r w:rsidRPr="00FE4DFD">
              <w:rPr>
                <w:sz w:val="20"/>
              </w:rPr>
              <w:t>Dietitians</w:t>
            </w:r>
          </w:p>
          <w:p w:rsidR="00326EC8" w:rsidRPr="00FE4DFD" w:rsidRDefault="00326EC8" w:rsidP="00326EC8">
            <w:pPr>
              <w:spacing w:before="60"/>
              <w:rPr>
                <w:sz w:val="20"/>
              </w:rPr>
            </w:pPr>
            <w:r w:rsidRPr="00FE4DFD">
              <w:rPr>
                <w:sz w:val="20"/>
              </w:rPr>
              <w:t>Dispensing opticians</w:t>
            </w:r>
          </w:p>
          <w:p w:rsidR="00326EC8" w:rsidRPr="00FE4DFD" w:rsidRDefault="00326EC8" w:rsidP="00326EC8">
            <w:pPr>
              <w:spacing w:before="60"/>
              <w:rPr>
                <w:sz w:val="20"/>
              </w:rPr>
            </w:pPr>
            <w:r w:rsidRPr="00FE4DFD">
              <w:rPr>
                <w:sz w:val="20"/>
              </w:rPr>
              <w:t>Diversional therapists</w:t>
            </w:r>
          </w:p>
          <w:p w:rsidR="00326EC8" w:rsidRPr="00FE4DFD" w:rsidRDefault="00326EC8" w:rsidP="00326EC8">
            <w:pPr>
              <w:spacing w:before="60"/>
              <w:rPr>
                <w:sz w:val="20"/>
              </w:rPr>
            </w:pPr>
            <w:r w:rsidRPr="00FE4DFD">
              <w:rPr>
                <w:sz w:val="20"/>
              </w:rPr>
              <w:t>Drug and addiction practitioners</w:t>
            </w:r>
          </w:p>
          <w:p w:rsidR="00326EC8" w:rsidRPr="00FE4DFD" w:rsidRDefault="00326EC8" w:rsidP="00326EC8">
            <w:pPr>
              <w:spacing w:before="60"/>
              <w:rPr>
                <w:sz w:val="20"/>
              </w:rPr>
            </w:pPr>
            <w:r w:rsidRPr="00FE4DFD">
              <w:rPr>
                <w:sz w:val="20"/>
              </w:rPr>
              <w:t>Exercise physiologists</w:t>
            </w:r>
          </w:p>
          <w:p w:rsidR="00326EC8" w:rsidRPr="00FE4DFD" w:rsidRDefault="00326EC8" w:rsidP="00326EC8">
            <w:pPr>
              <w:spacing w:before="60"/>
              <w:rPr>
                <w:sz w:val="20"/>
              </w:rPr>
            </w:pPr>
            <w:r w:rsidRPr="00FE4DFD">
              <w:rPr>
                <w:sz w:val="20"/>
              </w:rPr>
              <w:t>Gastroenterology scientists and technicians</w:t>
            </w:r>
          </w:p>
          <w:p w:rsidR="00326EC8" w:rsidRPr="00FE4DFD" w:rsidRDefault="00326EC8" w:rsidP="00326EC8">
            <w:pPr>
              <w:spacing w:before="60"/>
              <w:rPr>
                <w:sz w:val="20"/>
              </w:rPr>
            </w:pPr>
            <w:r w:rsidRPr="00FE4DFD">
              <w:rPr>
                <w:sz w:val="20"/>
              </w:rPr>
              <w:t>Genetic associates</w:t>
            </w:r>
          </w:p>
          <w:p w:rsidR="00326EC8" w:rsidRPr="00FE4DFD" w:rsidRDefault="00326EC8" w:rsidP="00326EC8">
            <w:pPr>
              <w:spacing w:before="60"/>
              <w:rPr>
                <w:sz w:val="20"/>
              </w:rPr>
            </w:pPr>
            <w:r w:rsidRPr="00FE4DFD">
              <w:rPr>
                <w:sz w:val="20"/>
              </w:rPr>
              <w:t>Hospital play specialists</w:t>
            </w:r>
          </w:p>
          <w:p w:rsidR="00326EC8" w:rsidRPr="00FE4DFD" w:rsidRDefault="00326EC8" w:rsidP="00326EC8">
            <w:pPr>
              <w:spacing w:before="60"/>
              <w:rPr>
                <w:sz w:val="20"/>
              </w:rPr>
            </w:pPr>
            <w:r w:rsidRPr="00FE4DFD">
              <w:rPr>
                <w:sz w:val="20"/>
              </w:rPr>
              <w:t>Magnetic resonance imaging technologists</w:t>
            </w:r>
          </w:p>
          <w:p w:rsidR="00326EC8" w:rsidRPr="00FE4DFD" w:rsidRDefault="00326EC8" w:rsidP="00326EC8">
            <w:pPr>
              <w:spacing w:before="60"/>
              <w:rPr>
                <w:sz w:val="20"/>
              </w:rPr>
            </w:pPr>
            <w:r w:rsidRPr="00FE4DFD">
              <w:rPr>
                <w:sz w:val="20"/>
              </w:rPr>
              <w:t>Massage therapists</w:t>
            </w:r>
          </w:p>
        </w:tc>
        <w:tc>
          <w:tcPr>
            <w:tcW w:w="4786" w:type="dxa"/>
          </w:tcPr>
          <w:p w:rsidR="00326EC8" w:rsidRPr="00FE4DFD" w:rsidRDefault="00326EC8" w:rsidP="00326EC8">
            <w:pPr>
              <w:spacing w:before="60"/>
              <w:rPr>
                <w:sz w:val="20"/>
              </w:rPr>
            </w:pPr>
            <w:r w:rsidRPr="00FE4DFD">
              <w:rPr>
                <w:sz w:val="20"/>
              </w:rPr>
              <w:t>Medical imaging (or radiation) technologists</w:t>
            </w:r>
          </w:p>
          <w:p w:rsidR="00326EC8" w:rsidRPr="00FE4DFD" w:rsidRDefault="00326EC8" w:rsidP="00326EC8">
            <w:pPr>
              <w:spacing w:before="60"/>
              <w:rPr>
                <w:sz w:val="20"/>
              </w:rPr>
            </w:pPr>
            <w:r w:rsidRPr="00FE4DFD">
              <w:rPr>
                <w:sz w:val="20"/>
              </w:rPr>
              <w:t>Medical laboratory scientists</w:t>
            </w:r>
          </w:p>
          <w:p w:rsidR="00326EC8" w:rsidRPr="00FE4DFD" w:rsidRDefault="00326EC8" w:rsidP="00326EC8">
            <w:pPr>
              <w:spacing w:before="60"/>
              <w:rPr>
                <w:sz w:val="20"/>
              </w:rPr>
            </w:pPr>
            <w:r w:rsidRPr="00FE4DFD">
              <w:rPr>
                <w:sz w:val="20"/>
              </w:rPr>
              <w:t>Medical laboratory technicians</w:t>
            </w:r>
          </w:p>
          <w:p w:rsidR="00326EC8" w:rsidRPr="00FE4DFD" w:rsidRDefault="00326EC8" w:rsidP="00326EC8">
            <w:pPr>
              <w:spacing w:before="60"/>
              <w:rPr>
                <w:sz w:val="20"/>
              </w:rPr>
            </w:pPr>
            <w:r w:rsidRPr="00FE4DFD">
              <w:rPr>
                <w:sz w:val="20"/>
              </w:rPr>
              <w:t>Medical photographers</w:t>
            </w:r>
          </w:p>
          <w:p w:rsidR="00326EC8" w:rsidRPr="00FE4DFD" w:rsidRDefault="00326EC8" w:rsidP="00326EC8">
            <w:pPr>
              <w:spacing w:before="60"/>
              <w:rPr>
                <w:sz w:val="20"/>
              </w:rPr>
            </w:pPr>
            <w:r w:rsidRPr="00FE4DFD">
              <w:rPr>
                <w:sz w:val="20"/>
              </w:rPr>
              <w:t>Medical physicists</w:t>
            </w:r>
          </w:p>
          <w:p w:rsidR="00326EC8" w:rsidRPr="00FE4DFD" w:rsidRDefault="00326EC8" w:rsidP="00326EC8">
            <w:pPr>
              <w:spacing w:before="60"/>
              <w:rPr>
                <w:sz w:val="20"/>
              </w:rPr>
            </w:pPr>
            <w:r w:rsidRPr="00FE4DFD">
              <w:rPr>
                <w:sz w:val="20"/>
              </w:rPr>
              <w:t>Music therapists</w:t>
            </w:r>
          </w:p>
          <w:p w:rsidR="00326EC8" w:rsidRPr="00FE4DFD" w:rsidRDefault="00326EC8" w:rsidP="00326EC8">
            <w:pPr>
              <w:spacing w:before="60"/>
              <w:rPr>
                <w:sz w:val="20"/>
              </w:rPr>
            </w:pPr>
            <w:r w:rsidRPr="00FE4DFD">
              <w:rPr>
                <w:sz w:val="20"/>
              </w:rPr>
              <w:t>Neurophysiology scientists</w:t>
            </w:r>
          </w:p>
          <w:p w:rsidR="00326EC8" w:rsidRPr="00FE4DFD" w:rsidRDefault="00326EC8" w:rsidP="00326EC8">
            <w:pPr>
              <w:spacing w:before="60"/>
              <w:rPr>
                <w:sz w:val="20"/>
              </w:rPr>
            </w:pPr>
            <w:r w:rsidRPr="00FE4DFD">
              <w:rPr>
                <w:sz w:val="20"/>
              </w:rPr>
              <w:t>Neurophysiology technicians</w:t>
            </w:r>
          </w:p>
          <w:p w:rsidR="00326EC8" w:rsidRPr="00FE4DFD" w:rsidRDefault="00326EC8" w:rsidP="00326EC8">
            <w:pPr>
              <w:spacing w:before="60"/>
              <w:rPr>
                <w:sz w:val="20"/>
              </w:rPr>
            </w:pPr>
            <w:r w:rsidRPr="00FE4DFD">
              <w:rPr>
                <w:sz w:val="20"/>
              </w:rPr>
              <w:t>Nuclear medicine technologists</w:t>
            </w:r>
          </w:p>
          <w:p w:rsidR="00326EC8" w:rsidRPr="00FE4DFD" w:rsidRDefault="00326EC8" w:rsidP="00326EC8">
            <w:pPr>
              <w:spacing w:before="60"/>
              <w:rPr>
                <w:sz w:val="20"/>
              </w:rPr>
            </w:pPr>
            <w:r w:rsidRPr="00FE4DFD">
              <w:rPr>
                <w:sz w:val="20"/>
              </w:rPr>
              <w:t>Occupational therapists</w:t>
            </w:r>
          </w:p>
          <w:p w:rsidR="00326EC8" w:rsidRPr="00FE4DFD" w:rsidRDefault="00326EC8" w:rsidP="00326EC8">
            <w:pPr>
              <w:spacing w:before="60"/>
              <w:rPr>
                <w:sz w:val="20"/>
              </w:rPr>
            </w:pPr>
            <w:r w:rsidRPr="00FE4DFD">
              <w:rPr>
                <w:sz w:val="20"/>
              </w:rPr>
              <w:t>Optometrists</w:t>
            </w:r>
          </w:p>
          <w:p w:rsidR="00326EC8" w:rsidRPr="00FE4DFD" w:rsidRDefault="00326EC8" w:rsidP="00326EC8">
            <w:pPr>
              <w:spacing w:before="60"/>
              <w:rPr>
                <w:sz w:val="20"/>
              </w:rPr>
            </w:pPr>
            <w:r w:rsidRPr="00FE4DFD">
              <w:rPr>
                <w:sz w:val="20"/>
              </w:rPr>
              <w:t>Orthoptists</w:t>
            </w:r>
          </w:p>
          <w:p w:rsidR="00326EC8" w:rsidRPr="00FE4DFD" w:rsidRDefault="00326EC8" w:rsidP="00326EC8">
            <w:pPr>
              <w:spacing w:before="60"/>
              <w:rPr>
                <w:sz w:val="20"/>
              </w:rPr>
            </w:pPr>
            <w:r w:rsidRPr="00FE4DFD">
              <w:rPr>
                <w:sz w:val="20"/>
              </w:rPr>
              <w:t>Orthotists and prosthestists</w:t>
            </w:r>
          </w:p>
          <w:p w:rsidR="00326EC8" w:rsidRPr="00FE4DFD" w:rsidRDefault="00326EC8" w:rsidP="00326EC8">
            <w:pPr>
              <w:spacing w:before="60"/>
              <w:rPr>
                <w:sz w:val="20"/>
              </w:rPr>
            </w:pPr>
            <w:r w:rsidRPr="00FE4DFD">
              <w:rPr>
                <w:sz w:val="20"/>
              </w:rPr>
              <w:t>Osteopaths</w:t>
            </w:r>
          </w:p>
          <w:p w:rsidR="00326EC8" w:rsidRPr="00FE4DFD" w:rsidRDefault="00326EC8" w:rsidP="00326EC8">
            <w:pPr>
              <w:spacing w:before="60"/>
              <w:rPr>
                <w:sz w:val="20"/>
              </w:rPr>
            </w:pPr>
            <w:r w:rsidRPr="00FE4DFD">
              <w:rPr>
                <w:sz w:val="20"/>
              </w:rPr>
              <w:t>Paramedics</w:t>
            </w:r>
          </w:p>
          <w:p w:rsidR="00326EC8" w:rsidRPr="00FE4DFD" w:rsidRDefault="00326EC8" w:rsidP="00326EC8">
            <w:pPr>
              <w:spacing w:before="60"/>
              <w:rPr>
                <w:sz w:val="20"/>
              </w:rPr>
            </w:pPr>
            <w:r w:rsidRPr="00FE4DFD">
              <w:rPr>
                <w:sz w:val="20"/>
              </w:rPr>
              <w:t>Pharmacists</w:t>
            </w:r>
          </w:p>
          <w:p w:rsidR="00326EC8" w:rsidRPr="00FE4DFD" w:rsidRDefault="00326EC8" w:rsidP="00326EC8">
            <w:pPr>
              <w:spacing w:before="60"/>
              <w:rPr>
                <w:sz w:val="20"/>
              </w:rPr>
            </w:pPr>
            <w:r w:rsidRPr="00FE4DFD">
              <w:rPr>
                <w:sz w:val="20"/>
              </w:rPr>
              <w:t>Pharmacy technicians</w:t>
            </w:r>
          </w:p>
          <w:p w:rsidR="00326EC8" w:rsidRPr="00FE4DFD" w:rsidRDefault="00326EC8" w:rsidP="00326EC8">
            <w:pPr>
              <w:spacing w:before="60"/>
              <w:rPr>
                <w:sz w:val="20"/>
              </w:rPr>
            </w:pPr>
            <w:r w:rsidRPr="00FE4DFD">
              <w:rPr>
                <w:sz w:val="20"/>
              </w:rPr>
              <w:t>Physiotherapists</w:t>
            </w:r>
          </w:p>
          <w:p w:rsidR="00326EC8" w:rsidRPr="00FE4DFD" w:rsidRDefault="00326EC8" w:rsidP="00326EC8">
            <w:pPr>
              <w:spacing w:before="60"/>
              <w:rPr>
                <w:sz w:val="20"/>
              </w:rPr>
            </w:pPr>
            <w:r w:rsidRPr="00FE4DFD">
              <w:rPr>
                <w:sz w:val="20"/>
              </w:rPr>
              <w:t>Podiatrists</w:t>
            </w:r>
          </w:p>
          <w:p w:rsidR="00326EC8" w:rsidRPr="00FE4DFD" w:rsidRDefault="00326EC8" w:rsidP="00326EC8">
            <w:pPr>
              <w:spacing w:before="60"/>
              <w:rPr>
                <w:sz w:val="20"/>
              </w:rPr>
            </w:pPr>
            <w:r w:rsidRPr="00FE4DFD">
              <w:rPr>
                <w:sz w:val="20"/>
              </w:rPr>
              <w:t>Psychologists</w:t>
            </w:r>
          </w:p>
          <w:p w:rsidR="00326EC8" w:rsidRPr="00FE4DFD" w:rsidRDefault="00326EC8" w:rsidP="00326EC8">
            <w:pPr>
              <w:spacing w:before="60"/>
              <w:rPr>
                <w:sz w:val="20"/>
              </w:rPr>
            </w:pPr>
            <w:r w:rsidRPr="00FE4DFD">
              <w:rPr>
                <w:sz w:val="20"/>
              </w:rPr>
              <w:t>Psychotherapists</w:t>
            </w:r>
          </w:p>
          <w:p w:rsidR="00326EC8" w:rsidRPr="00FE4DFD" w:rsidRDefault="00326EC8" w:rsidP="00326EC8">
            <w:pPr>
              <w:spacing w:before="60"/>
              <w:rPr>
                <w:sz w:val="20"/>
              </w:rPr>
            </w:pPr>
            <w:r w:rsidRPr="00FE4DFD">
              <w:rPr>
                <w:sz w:val="20"/>
              </w:rPr>
              <w:t>Radiation therapists</w:t>
            </w:r>
          </w:p>
          <w:p w:rsidR="00326EC8" w:rsidRPr="00FE4DFD" w:rsidRDefault="00326EC8" w:rsidP="00326EC8">
            <w:pPr>
              <w:spacing w:before="60"/>
              <w:rPr>
                <w:sz w:val="20"/>
              </w:rPr>
            </w:pPr>
            <w:r w:rsidRPr="00FE4DFD">
              <w:rPr>
                <w:sz w:val="20"/>
              </w:rPr>
              <w:t>Social workers</w:t>
            </w:r>
            <w:r w:rsidRPr="00FE4DFD">
              <w:rPr>
                <w:rStyle w:val="FootnoteReference"/>
                <w:rFonts w:ascii="Times New Roman" w:hAnsi="Times New Roman"/>
                <w:sz w:val="20"/>
              </w:rPr>
              <w:footnoteReference w:id="29"/>
            </w:r>
          </w:p>
          <w:p w:rsidR="00326EC8" w:rsidRPr="00FE4DFD" w:rsidRDefault="00326EC8" w:rsidP="00326EC8">
            <w:pPr>
              <w:spacing w:before="60"/>
              <w:rPr>
                <w:sz w:val="20"/>
              </w:rPr>
            </w:pPr>
            <w:r w:rsidRPr="00FE4DFD">
              <w:rPr>
                <w:sz w:val="20"/>
              </w:rPr>
              <w:t>Sonographers</w:t>
            </w:r>
          </w:p>
          <w:p w:rsidR="00326EC8" w:rsidRPr="00FE4DFD" w:rsidRDefault="00326EC8" w:rsidP="00326EC8">
            <w:pPr>
              <w:spacing w:before="60"/>
              <w:rPr>
                <w:sz w:val="20"/>
              </w:rPr>
            </w:pPr>
            <w:r w:rsidRPr="00FE4DFD">
              <w:rPr>
                <w:sz w:val="20"/>
              </w:rPr>
              <w:t>Speech and language therapists</w:t>
            </w:r>
          </w:p>
          <w:p w:rsidR="00326EC8" w:rsidRPr="00FE4DFD" w:rsidRDefault="00326EC8" w:rsidP="00326EC8">
            <w:pPr>
              <w:spacing w:before="60"/>
              <w:rPr>
                <w:sz w:val="20"/>
              </w:rPr>
            </w:pPr>
            <w:r w:rsidRPr="00FE4DFD">
              <w:rPr>
                <w:sz w:val="20"/>
              </w:rPr>
              <w:t>Sterile service technicians</w:t>
            </w:r>
          </w:p>
          <w:p w:rsidR="00326EC8" w:rsidRPr="00FE4DFD" w:rsidRDefault="00326EC8" w:rsidP="00326EC8">
            <w:pPr>
              <w:spacing w:before="60"/>
              <w:rPr>
                <w:sz w:val="20"/>
              </w:rPr>
            </w:pPr>
            <w:r w:rsidRPr="00FE4DFD">
              <w:rPr>
                <w:sz w:val="20"/>
              </w:rPr>
              <w:t>Traditional Chinese medicine practitioners</w:t>
            </w:r>
          </w:p>
          <w:p w:rsidR="00326EC8" w:rsidRPr="00FE4DFD" w:rsidRDefault="00326EC8" w:rsidP="00326EC8">
            <w:pPr>
              <w:spacing w:before="60"/>
              <w:rPr>
                <w:sz w:val="20"/>
              </w:rPr>
            </w:pPr>
            <w:r w:rsidRPr="00FE4DFD">
              <w:rPr>
                <w:sz w:val="20"/>
              </w:rPr>
              <w:t>Vision and hearing technicians</w:t>
            </w:r>
          </w:p>
          <w:p w:rsidR="00326EC8" w:rsidRPr="00FE4DFD" w:rsidRDefault="00326EC8" w:rsidP="00326EC8">
            <w:pPr>
              <w:spacing w:before="60"/>
              <w:rPr>
                <w:sz w:val="20"/>
              </w:rPr>
            </w:pPr>
            <w:r w:rsidRPr="00FE4DFD">
              <w:rPr>
                <w:sz w:val="20"/>
              </w:rPr>
              <w:t>Visiting neurodevelopmental therapists</w:t>
            </w:r>
          </w:p>
        </w:tc>
      </w:tr>
    </w:tbl>
    <w:p w:rsidR="00DA6A76" w:rsidRPr="00DA6A76" w:rsidRDefault="00DA6A76" w:rsidP="00326EC8"/>
    <w:p w:rsidR="005272AB" w:rsidRDefault="005272AB" w:rsidP="005272AB">
      <w:r>
        <w:br w:type="page"/>
      </w:r>
    </w:p>
    <w:p w:rsidR="00DA6A76" w:rsidRPr="00DA6A76" w:rsidRDefault="005272AB" w:rsidP="005272AB">
      <w:pPr>
        <w:pStyle w:val="Heading2"/>
        <w:spacing w:before="0"/>
      </w:pPr>
      <w:bookmarkStart w:id="37" w:name="_Toc403834873"/>
      <w:r>
        <w:t xml:space="preserve">Appendix 5: </w:t>
      </w:r>
      <w:r w:rsidR="00DA6A76" w:rsidRPr="00DA6A76">
        <w:t>List of non-regulated/kaiāwhina roles</w:t>
      </w:r>
      <w:bookmarkEnd w:id="37"/>
    </w:p>
    <w:p w:rsidR="00DA6A76" w:rsidRPr="00DA6A76" w:rsidRDefault="00DA6A76" w:rsidP="005272AB">
      <w:r w:rsidRPr="00DA6A76">
        <w:t>This</w:t>
      </w:r>
      <w:r w:rsidR="00C454CC">
        <w:t xml:space="preserve"> </w:t>
      </w:r>
      <w:r w:rsidRPr="00DA6A76">
        <w:t>list is the non-regulated professions regarded as part of the kaiāwhina workforce. The technical professions listed below are discussed in the Allied</w:t>
      </w:r>
      <w:r w:rsidR="00C454CC">
        <w:t xml:space="preserve"> </w:t>
      </w:r>
      <w:r w:rsidRPr="00DA6A76">
        <w:t>Health Workers section of this report.</w:t>
      </w:r>
    </w:p>
    <w:p w:rsidR="00DA6A76" w:rsidRPr="00DA6A76" w:rsidRDefault="00DA6A76" w:rsidP="005272AB"/>
    <w:p w:rsidR="00DA6A76" w:rsidRPr="00DA6A76" w:rsidRDefault="00DA6A76" w:rsidP="005272AB">
      <w:r w:rsidRPr="00DA6A76">
        <w:t>Job titles are based on the Australian and New Zealand Standard Classification of Occupations 2006, also known as ANZSCO codes, used in the Census.</w:t>
      </w:r>
    </w:p>
    <w:p w:rsidR="00DA6A76" w:rsidRPr="00DA6A76" w:rsidRDefault="00DA6A76" w:rsidP="005272AB"/>
    <w:p w:rsidR="00DA6A76" w:rsidRDefault="00DA6A76" w:rsidP="005272AB">
      <w:pPr>
        <w:pStyle w:val="Heading3"/>
      </w:pPr>
      <w:r w:rsidRPr="00DA6A76">
        <w:t>Non-regulated professional, support and carer roles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CellMar>
          <w:left w:w="170" w:type="dxa"/>
          <w:right w:w="170" w:type="dxa"/>
        </w:tblCellMar>
        <w:tblLook w:val="04A0" w:firstRow="1" w:lastRow="0" w:firstColumn="1" w:lastColumn="0" w:noHBand="0" w:noVBand="1"/>
      </w:tblPr>
      <w:tblGrid>
        <w:gridCol w:w="4785"/>
        <w:gridCol w:w="4786"/>
      </w:tblGrid>
      <w:tr w:rsidR="00FE4DFD" w:rsidRPr="00FE4DFD" w:rsidTr="00426280">
        <w:trPr>
          <w:cantSplit/>
        </w:trPr>
        <w:tc>
          <w:tcPr>
            <w:tcW w:w="4785" w:type="dxa"/>
          </w:tcPr>
          <w:p w:rsidR="00FE4DFD" w:rsidRPr="00FE4DFD" w:rsidRDefault="00FE4DFD" w:rsidP="00FE4DFD">
            <w:pPr>
              <w:spacing w:before="60"/>
              <w:rPr>
                <w:sz w:val="20"/>
              </w:rPr>
            </w:pPr>
            <w:r w:rsidRPr="00FE4DFD">
              <w:rPr>
                <w:sz w:val="20"/>
              </w:rPr>
              <w:t>Aged or disabled carers</w:t>
            </w:r>
          </w:p>
          <w:p w:rsidR="00FE4DFD" w:rsidRPr="00FE4DFD" w:rsidRDefault="00FE4DFD" w:rsidP="00FE4DFD">
            <w:pPr>
              <w:spacing w:before="60"/>
              <w:rPr>
                <w:sz w:val="20"/>
              </w:rPr>
            </w:pPr>
            <w:r w:rsidRPr="00FE4DFD">
              <w:rPr>
                <w:sz w:val="20"/>
              </w:rPr>
              <w:t>Child or youth residential care assistants</w:t>
            </w:r>
          </w:p>
          <w:p w:rsidR="00FE4DFD" w:rsidRPr="00FE4DFD" w:rsidRDefault="00FE4DFD" w:rsidP="00FE4DFD">
            <w:pPr>
              <w:spacing w:before="60"/>
              <w:rPr>
                <w:sz w:val="20"/>
              </w:rPr>
            </w:pPr>
            <w:r w:rsidRPr="00FE4DFD">
              <w:rPr>
                <w:sz w:val="20"/>
              </w:rPr>
              <w:t>Community workers</w:t>
            </w:r>
          </w:p>
          <w:p w:rsidR="00FE4DFD" w:rsidRPr="00FE4DFD" w:rsidRDefault="00FE4DFD" w:rsidP="00FE4DFD">
            <w:pPr>
              <w:spacing w:before="60"/>
              <w:rPr>
                <w:sz w:val="20"/>
              </w:rPr>
            </w:pPr>
            <w:r w:rsidRPr="00FE4DFD">
              <w:rPr>
                <w:sz w:val="20"/>
              </w:rPr>
              <w:t>Counsellors</w:t>
            </w:r>
          </w:p>
          <w:p w:rsidR="00FE4DFD" w:rsidRPr="00FE4DFD" w:rsidRDefault="00FE4DFD" w:rsidP="00FE4DFD">
            <w:pPr>
              <w:spacing w:before="60"/>
              <w:rPr>
                <w:sz w:val="20"/>
              </w:rPr>
            </w:pPr>
            <w:r w:rsidRPr="00FE4DFD">
              <w:rPr>
                <w:sz w:val="20"/>
              </w:rPr>
              <w:t>Disabilities services officers</w:t>
            </w:r>
          </w:p>
          <w:p w:rsidR="00FE4DFD" w:rsidRPr="00FE4DFD" w:rsidRDefault="00FE4DFD" w:rsidP="00FE4DFD">
            <w:pPr>
              <w:spacing w:before="60"/>
              <w:rPr>
                <w:sz w:val="20"/>
              </w:rPr>
            </w:pPr>
            <w:r w:rsidRPr="00FE4DFD">
              <w:rPr>
                <w:sz w:val="20"/>
              </w:rPr>
              <w:t>Diversional therapists</w:t>
            </w:r>
          </w:p>
          <w:p w:rsidR="00FE4DFD" w:rsidRDefault="00FE4DFD" w:rsidP="00FE4DFD">
            <w:pPr>
              <w:spacing w:before="60"/>
              <w:rPr>
                <w:sz w:val="20"/>
              </w:rPr>
            </w:pPr>
            <w:r w:rsidRPr="00FE4DFD">
              <w:rPr>
                <w:sz w:val="20"/>
              </w:rPr>
              <w:t>Drug and alcohol counsellors</w:t>
            </w:r>
          </w:p>
          <w:p w:rsidR="00FE4DFD" w:rsidRDefault="00FE4DFD" w:rsidP="00FE4DFD">
            <w:pPr>
              <w:spacing w:before="60"/>
              <w:rPr>
                <w:sz w:val="20"/>
              </w:rPr>
            </w:pPr>
            <w:r w:rsidRPr="00FE4DFD">
              <w:rPr>
                <w:sz w:val="20"/>
              </w:rPr>
              <w:t>Family and marriage counsellors</w:t>
            </w:r>
          </w:p>
          <w:p w:rsidR="00FE4DFD" w:rsidRPr="00FE4DFD" w:rsidRDefault="00FE4DFD" w:rsidP="00FE4DFD">
            <w:pPr>
              <w:spacing w:before="60"/>
              <w:rPr>
                <w:sz w:val="20"/>
              </w:rPr>
            </w:pPr>
            <w:r w:rsidRPr="00FE4DFD">
              <w:rPr>
                <w:sz w:val="20"/>
              </w:rPr>
              <w:t>Family support workers</w:t>
            </w:r>
          </w:p>
          <w:p w:rsidR="00FE4DFD" w:rsidRPr="00FE4DFD" w:rsidRDefault="00FE4DFD" w:rsidP="00FE4DFD">
            <w:pPr>
              <w:spacing w:before="60"/>
              <w:rPr>
                <w:sz w:val="20"/>
              </w:rPr>
            </w:pPr>
            <w:r w:rsidRPr="00FE4DFD">
              <w:rPr>
                <w:sz w:val="20"/>
              </w:rPr>
              <w:t>Health diagnostic and promotion professionals</w:t>
            </w:r>
          </w:p>
          <w:p w:rsidR="00FE4DFD" w:rsidRPr="00FE4DFD" w:rsidRDefault="00FE4DFD" w:rsidP="00FE4DFD">
            <w:pPr>
              <w:spacing w:before="60"/>
              <w:rPr>
                <w:sz w:val="20"/>
              </w:rPr>
            </w:pPr>
            <w:r w:rsidRPr="00FE4DFD">
              <w:rPr>
                <w:sz w:val="20"/>
              </w:rPr>
              <w:t>Health promotion officers</w:t>
            </w:r>
          </w:p>
        </w:tc>
        <w:tc>
          <w:tcPr>
            <w:tcW w:w="4786" w:type="dxa"/>
          </w:tcPr>
          <w:p w:rsidR="00FE4DFD" w:rsidRPr="00FE4DFD" w:rsidRDefault="00FE4DFD" w:rsidP="00FE4DFD">
            <w:pPr>
              <w:spacing w:before="60"/>
              <w:rPr>
                <w:sz w:val="20"/>
              </w:rPr>
            </w:pPr>
            <w:r w:rsidRPr="00FE4DFD">
              <w:rPr>
                <w:sz w:val="20"/>
              </w:rPr>
              <w:t>Hospital orderlies</w:t>
            </w:r>
          </w:p>
          <w:p w:rsidR="00FE4DFD" w:rsidRDefault="00FE4DFD" w:rsidP="00FE4DFD">
            <w:pPr>
              <w:spacing w:before="60"/>
              <w:rPr>
                <w:sz w:val="20"/>
              </w:rPr>
            </w:pPr>
            <w:r w:rsidRPr="00FE4DFD">
              <w:rPr>
                <w:sz w:val="20"/>
              </w:rPr>
              <w:t>Kai</w:t>
            </w:r>
            <w:r>
              <w:rPr>
                <w:sz w:val="20"/>
              </w:rPr>
              <w:t>ā</w:t>
            </w:r>
            <w:r w:rsidRPr="00FE4DFD">
              <w:rPr>
                <w:sz w:val="20"/>
              </w:rPr>
              <w:t>whina hauora (Māori health assistants)</w:t>
            </w:r>
          </w:p>
          <w:p w:rsidR="00FE4DFD" w:rsidRPr="00FE4DFD" w:rsidRDefault="00FE4DFD" w:rsidP="00FE4DFD">
            <w:pPr>
              <w:spacing w:before="60"/>
              <w:rPr>
                <w:sz w:val="20"/>
              </w:rPr>
            </w:pPr>
            <w:r w:rsidRPr="00FE4DFD">
              <w:rPr>
                <w:sz w:val="20"/>
              </w:rPr>
              <w:t>Nursing support workers</w:t>
            </w:r>
          </w:p>
          <w:p w:rsidR="00FE4DFD" w:rsidRDefault="00FE4DFD" w:rsidP="00FE4DFD">
            <w:pPr>
              <w:spacing w:before="60"/>
              <w:rPr>
                <w:sz w:val="20"/>
              </w:rPr>
            </w:pPr>
            <w:r w:rsidRPr="00FE4DFD">
              <w:rPr>
                <w:sz w:val="20"/>
              </w:rPr>
              <w:t>Personal care assistants</w:t>
            </w:r>
          </w:p>
          <w:p w:rsidR="00FE4DFD" w:rsidRDefault="00FE4DFD" w:rsidP="00FE4DFD">
            <w:pPr>
              <w:spacing w:before="60"/>
              <w:rPr>
                <w:sz w:val="20"/>
              </w:rPr>
            </w:pPr>
            <w:r w:rsidRPr="00FE4DFD">
              <w:rPr>
                <w:sz w:val="20"/>
              </w:rPr>
              <w:t>Rehabilitation counsellors</w:t>
            </w:r>
          </w:p>
          <w:p w:rsidR="00FE4DFD" w:rsidRDefault="00FE4DFD" w:rsidP="00FE4DFD">
            <w:pPr>
              <w:spacing w:before="60"/>
              <w:rPr>
                <w:sz w:val="20"/>
              </w:rPr>
            </w:pPr>
            <w:r w:rsidRPr="00FE4DFD">
              <w:rPr>
                <w:sz w:val="20"/>
              </w:rPr>
              <w:t>Residential care officers</w:t>
            </w:r>
          </w:p>
          <w:p w:rsidR="00FE4DFD" w:rsidRPr="00FE4DFD" w:rsidRDefault="00FE4DFD" w:rsidP="00FE4DFD">
            <w:pPr>
              <w:spacing w:before="60"/>
              <w:rPr>
                <w:sz w:val="20"/>
              </w:rPr>
            </w:pPr>
            <w:r w:rsidRPr="00FE4DFD">
              <w:rPr>
                <w:sz w:val="20"/>
              </w:rPr>
              <w:t>Social workers</w:t>
            </w:r>
          </w:p>
          <w:p w:rsidR="00FE4DFD" w:rsidRPr="00FE4DFD" w:rsidRDefault="00FE4DFD" w:rsidP="00FE4DFD">
            <w:pPr>
              <w:spacing w:before="60"/>
              <w:rPr>
                <w:sz w:val="20"/>
              </w:rPr>
            </w:pPr>
            <w:r w:rsidRPr="00FE4DFD">
              <w:rPr>
                <w:sz w:val="20"/>
              </w:rPr>
              <w:t>Therapy aides</w:t>
            </w:r>
          </w:p>
          <w:p w:rsidR="00FE4DFD" w:rsidRPr="00FE4DFD" w:rsidRDefault="00FE4DFD" w:rsidP="00FE4DFD">
            <w:pPr>
              <w:spacing w:before="60"/>
              <w:rPr>
                <w:sz w:val="20"/>
              </w:rPr>
            </w:pPr>
            <w:r w:rsidRPr="00FE4DFD">
              <w:rPr>
                <w:sz w:val="20"/>
              </w:rPr>
              <w:t>Traditional Māori health practitioners</w:t>
            </w:r>
          </w:p>
          <w:p w:rsidR="00FE4DFD" w:rsidRPr="00FE4DFD" w:rsidRDefault="00FE4DFD" w:rsidP="00FE4DFD">
            <w:pPr>
              <w:spacing w:before="60"/>
              <w:rPr>
                <w:sz w:val="20"/>
              </w:rPr>
            </w:pPr>
            <w:r w:rsidRPr="00FE4DFD">
              <w:rPr>
                <w:sz w:val="20"/>
              </w:rPr>
              <w:t>Welfare workers</w:t>
            </w:r>
          </w:p>
          <w:p w:rsidR="00FE4DFD" w:rsidRPr="00FE4DFD" w:rsidRDefault="00FE4DFD" w:rsidP="00FE4DFD">
            <w:pPr>
              <w:spacing w:before="60"/>
              <w:rPr>
                <w:sz w:val="20"/>
              </w:rPr>
            </w:pPr>
            <w:r>
              <w:rPr>
                <w:sz w:val="20"/>
              </w:rPr>
              <w:t>Youth workers</w:t>
            </w:r>
          </w:p>
        </w:tc>
      </w:tr>
    </w:tbl>
    <w:p w:rsidR="00FE4DFD" w:rsidRDefault="00FE4DFD" w:rsidP="00FE4DFD"/>
    <w:p w:rsidR="00DA6A76" w:rsidRDefault="00DA6A76" w:rsidP="005272AB">
      <w:pPr>
        <w:pStyle w:val="Heading3"/>
      </w:pPr>
      <w:r w:rsidRPr="00DA6A76">
        <w:t>Non-regulated technical roles</w:t>
      </w:r>
    </w:p>
    <w:p w:rsidR="00FE4DFD" w:rsidRDefault="00DA6A76" w:rsidP="00FE4DFD">
      <w:pPr>
        <w:spacing w:before="60"/>
        <w:rPr>
          <w:sz w:val="20"/>
        </w:rPr>
      </w:pPr>
      <w:r w:rsidRPr="00FE4DFD">
        <w:rPr>
          <w:sz w:val="20"/>
        </w:rPr>
        <w:t>Audiologists</w:t>
      </w:r>
    </w:p>
    <w:p w:rsidR="00FE4DFD" w:rsidRDefault="00DA6A76" w:rsidP="00FE4DFD">
      <w:pPr>
        <w:spacing w:before="60"/>
        <w:rPr>
          <w:sz w:val="20"/>
        </w:rPr>
      </w:pPr>
      <w:r w:rsidRPr="00FE4DFD">
        <w:rPr>
          <w:sz w:val="20"/>
        </w:rPr>
        <w:t>Cardiac technicians</w:t>
      </w:r>
    </w:p>
    <w:p w:rsidR="00DA6A76" w:rsidRPr="00FE4DFD" w:rsidRDefault="00DA6A76" w:rsidP="00FE4DFD">
      <w:pPr>
        <w:spacing w:before="60"/>
        <w:rPr>
          <w:sz w:val="20"/>
        </w:rPr>
      </w:pPr>
      <w:r w:rsidRPr="00FE4DFD">
        <w:rPr>
          <w:sz w:val="20"/>
        </w:rPr>
        <w:t>Dental technicians</w:t>
      </w:r>
    </w:p>
    <w:p w:rsidR="00DA6A76" w:rsidRPr="00FE4DFD" w:rsidRDefault="00DA6A76" w:rsidP="00FE4DFD">
      <w:pPr>
        <w:spacing w:before="60"/>
        <w:rPr>
          <w:sz w:val="20"/>
        </w:rPr>
      </w:pPr>
      <w:r w:rsidRPr="00FE4DFD">
        <w:rPr>
          <w:sz w:val="20"/>
        </w:rPr>
        <w:t>Medical technicians</w:t>
      </w:r>
    </w:p>
    <w:p w:rsidR="00FE4DFD" w:rsidRDefault="00DA6A76" w:rsidP="00FE4DFD">
      <w:pPr>
        <w:spacing w:before="60"/>
        <w:rPr>
          <w:sz w:val="20"/>
        </w:rPr>
      </w:pPr>
      <w:r w:rsidRPr="00FE4DFD">
        <w:rPr>
          <w:sz w:val="20"/>
        </w:rPr>
        <w:t>Operating theatre technicians</w:t>
      </w:r>
    </w:p>
    <w:p w:rsidR="00FE4DFD" w:rsidRDefault="00DA6A76" w:rsidP="00FE4DFD">
      <w:pPr>
        <w:spacing w:before="60"/>
        <w:rPr>
          <w:sz w:val="20"/>
        </w:rPr>
      </w:pPr>
      <w:r w:rsidRPr="00FE4DFD">
        <w:rPr>
          <w:sz w:val="20"/>
        </w:rPr>
        <w:t>Orthotists or prosthetists</w:t>
      </w:r>
    </w:p>
    <w:p w:rsidR="00DA6A76" w:rsidRPr="00FE4DFD" w:rsidRDefault="00DA6A76" w:rsidP="00FE4DFD">
      <w:pPr>
        <w:spacing w:before="60"/>
        <w:rPr>
          <w:sz w:val="20"/>
        </w:rPr>
      </w:pPr>
      <w:r w:rsidRPr="00FE4DFD">
        <w:rPr>
          <w:sz w:val="20"/>
        </w:rPr>
        <w:t>Phlebotomists</w:t>
      </w:r>
    </w:p>
    <w:p w:rsidR="00863117" w:rsidRPr="00FE4DFD" w:rsidRDefault="00863117" w:rsidP="00FE4DFD">
      <w:pPr>
        <w:spacing w:before="60"/>
        <w:rPr>
          <w:sz w:val="20"/>
        </w:rPr>
      </w:pPr>
    </w:p>
    <w:sectPr w:rsidR="00863117" w:rsidRPr="00FE4DFD" w:rsidSect="009D5125">
      <w:headerReference w:type="default" r:id="rId33"/>
      <w:footerReference w:type="default" r:id="rId34"/>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C51" w:rsidRDefault="00AB4C51">
      <w:pPr>
        <w:spacing w:line="240" w:lineRule="auto"/>
      </w:pPr>
      <w:r>
        <w:separator/>
      </w:r>
    </w:p>
  </w:endnote>
  <w:endnote w:type="continuationSeparator" w:id="0">
    <w:p w:rsidR="00AB4C51" w:rsidRDefault="00AB4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undrySans-Normal">
    <w:altName w:val="FoundrySans-Normal"/>
    <w:panose1 w:val="00000000000000000000"/>
    <w:charset w:val="00"/>
    <w:family w:val="swiss"/>
    <w:notTrueType/>
    <w:pitch w:val="default"/>
    <w:sig w:usb0="00000003" w:usb1="00000000" w:usb2="00000000" w:usb3="00000000" w:csb0="00000001"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80" w:rsidRPr="003648EF" w:rsidRDefault="00426280"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80" w:rsidRDefault="00426280"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80" w:rsidRDefault="004262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80" w:rsidRPr="00275D08" w:rsidRDefault="0042628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E67D1">
      <w:rPr>
        <w:rStyle w:val="PageNumber"/>
        <w:noProof/>
      </w:rPr>
      <w:t>iv</w:t>
    </w:r>
    <w:r w:rsidRPr="00FC46E7">
      <w:rPr>
        <w:rStyle w:val="PageNumber"/>
      </w:rPr>
      <w:fldChar w:fldCharType="end"/>
    </w:r>
    <w:r>
      <w:tab/>
      <w:t>Health of the Health Workforce 2013 to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80" w:rsidRDefault="00426280" w:rsidP="00533B90">
    <w:pPr>
      <w:pStyle w:val="RectoFooter"/>
    </w:pPr>
    <w:r>
      <w:tab/>
      <w:t>Health of the Health Workforce 2013 to 2014</w:t>
    </w:r>
    <w:r>
      <w:tab/>
    </w:r>
    <w:r>
      <w:rPr>
        <w:rStyle w:val="PageNumber"/>
      </w:rPr>
      <w:fldChar w:fldCharType="begin"/>
    </w:r>
    <w:r>
      <w:rPr>
        <w:rStyle w:val="PageNumber"/>
      </w:rPr>
      <w:instrText xml:space="preserve"> PAGE </w:instrText>
    </w:r>
    <w:r>
      <w:rPr>
        <w:rStyle w:val="PageNumber"/>
      </w:rPr>
      <w:fldChar w:fldCharType="separate"/>
    </w:r>
    <w:r w:rsidR="00DE67D1">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80" w:rsidRDefault="00426280" w:rsidP="00533B90">
    <w:pPr>
      <w:pStyle w:val="RectoFooter"/>
    </w:pPr>
    <w:r>
      <w:tab/>
      <w:t>Health of the Health Workforce 2013 to 2014</w:t>
    </w:r>
    <w:r>
      <w:tab/>
    </w:r>
    <w:r>
      <w:rPr>
        <w:rStyle w:val="PageNumber"/>
      </w:rPr>
      <w:fldChar w:fldCharType="begin"/>
    </w:r>
    <w:r>
      <w:rPr>
        <w:rStyle w:val="PageNumber"/>
      </w:rPr>
      <w:instrText xml:space="preserve"> PAGE </w:instrText>
    </w:r>
    <w:r>
      <w:rPr>
        <w:rStyle w:val="PageNumber"/>
      </w:rPr>
      <w:fldChar w:fldCharType="separate"/>
    </w:r>
    <w:r w:rsidR="00DE67D1">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C51" w:rsidRPr="00E460B6" w:rsidRDefault="00AB4C51" w:rsidP="007B4D3E"/>
  </w:footnote>
  <w:footnote w:type="continuationSeparator" w:id="0">
    <w:p w:rsidR="00AB4C51" w:rsidRDefault="00AB4C51">
      <w:pPr>
        <w:spacing w:line="240" w:lineRule="auto"/>
      </w:pPr>
      <w:r>
        <w:continuationSeparator/>
      </w:r>
    </w:p>
  </w:footnote>
  <w:footnote w:id="1">
    <w:p w:rsidR="00426280" w:rsidRPr="00DA6A76" w:rsidRDefault="00426280" w:rsidP="00C3167A">
      <w:pPr>
        <w:pStyle w:val="FootnoteText"/>
      </w:pPr>
      <w:r>
        <w:rPr>
          <w:rStyle w:val="FootnoteReference"/>
        </w:rPr>
        <w:footnoteRef/>
      </w:r>
      <w:r>
        <w:tab/>
      </w:r>
      <w:r w:rsidRPr="00DA6A76">
        <w:t xml:space="preserve">These figures are DHB clinical staffing numbers and are available at </w:t>
      </w:r>
      <w:hyperlink r:id="rId1">
        <w:r w:rsidRPr="00DA6A76">
          <w:t>www.health.govt.nz</w:t>
        </w:r>
      </w:hyperlink>
    </w:p>
    <w:p w:rsidR="00426280" w:rsidRDefault="00426280" w:rsidP="00C3167A">
      <w:pPr>
        <w:pStyle w:val="FootnoteText"/>
        <w:ind w:firstLine="0"/>
      </w:pPr>
      <w:r w:rsidRPr="00DA6A76">
        <w:t>The Employed FTE methodology is based on contracted hours, in which one FTE is a person working 40 hours a week or more.</w:t>
      </w:r>
    </w:p>
  </w:footnote>
  <w:footnote w:id="2">
    <w:p w:rsidR="00426280" w:rsidRDefault="00426280" w:rsidP="00C3167A">
      <w:pPr>
        <w:pStyle w:val="FootnoteText"/>
      </w:pPr>
      <w:r>
        <w:rPr>
          <w:rStyle w:val="FootnoteReference"/>
        </w:rPr>
        <w:footnoteRef/>
      </w:r>
      <w:r>
        <w:tab/>
      </w:r>
      <w:r w:rsidRPr="00DA6A76">
        <w:t>Annual practising certificates to legally work</w:t>
      </w:r>
      <w:r>
        <w:t xml:space="preserve"> </w:t>
      </w:r>
      <w:r w:rsidRPr="00DA6A76">
        <w:t>in New Zealand as of mid-2014 and mid-2009.</w:t>
      </w:r>
    </w:p>
  </w:footnote>
  <w:footnote w:id="3">
    <w:p w:rsidR="00426280" w:rsidRDefault="00426280" w:rsidP="00C3167A">
      <w:pPr>
        <w:pStyle w:val="FootnoteText"/>
      </w:pPr>
      <w:r>
        <w:rPr>
          <w:rStyle w:val="FootnoteReference"/>
        </w:rPr>
        <w:footnoteRef/>
      </w:r>
      <w:r>
        <w:tab/>
      </w:r>
      <w:r w:rsidRPr="00DA6A76">
        <w:t xml:space="preserve">OECD. 2013. </w:t>
      </w:r>
      <w:r w:rsidRPr="00C3167A">
        <w:rPr>
          <w:i/>
        </w:rPr>
        <w:t>Health at a Glance 2013: OECD indicators</w:t>
      </w:r>
      <w:r w:rsidRPr="00DA6A76">
        <w:t>. OECD Publishing, p 67.</w:t>
      </w:r>
    </w:p>
  </w:footnote>
  <w:footnote w:id="4">
    <w:p w:rsidR="00426280" w:rsidRDefault="00426280">
      <w:pPr>
        <w:pStyle w:val="FootnoteText"/>
      </w:pPr>
      <w:r>
        <w:rPr>
          <w:rStyle w:val="FootnoteReference"/>
        </w:rPr>
        <w:footnoteRef/>
      </w:r>
      <w:r>
        <w:tab/>
      </w:r>
      <w:r w:rsidRPr="00DA6A76">
        <w:t>Medical graduates typically in their first or second year</w:t>
      </w:r>
      <w:r>
        <w:t xml:space="preserve"> </w:t>
      </w:r>
      <w:r w:rsidRPr="00DA6A76">
        <w:t>of work</w:t>
      </w:r>
      <w:r>
        <w:t xml:space="preserve"> </w:t>
      </w:r>
      <w:r w:rsidRPr="00DA6A76">
        <w:t>in a hospital.</w:t>
      </w:r>
    </w:p>
  </w:footnote>
  <w:footnote w:id="5">
    <w:p w:rsidR="00426280" w:rsidRDefault="00426280" w:rsidP="00C3167A">
      <w:pPr>
        <w:pStyle w:val="FootnoteText"/>
      </w:pPr>
      <w:r>
        <w:rPr>
          <w:rStyle w:val="FootnoteReference"/>
        </w:rPr>
        <w:footnoteRef/>
      </w:r>
      <w:r>
        <w:tab/>
      </w:r>
      <w:r w:rsidRPr="00DA6A76">
        <w:t>Hospital positions for doctors in at least their third postgraduate year.</w:t>
      </w:r>
    </w:p>
  </w:footnote>
  <w:footnote w:id="6">
    <w:p w:rsidR="00426280" w:rsidRDefault="00426280" w:rsidP="00C3167A">
      <w:pPr>
        <w:pStyle w:val="FootnoteText"/>
      </w:pPr>
      <w:r>
        <w:rPr>
          <w:rStyle w:val="FootnoteReference"/>
        </w:rPr>
        <w:footnoteRef/>
      </w:r>
      <w:r>
        <w:tab/>
      </w:r>
      <w:r w:rsidRPr="00DA6A76">
        <w:t xml:space="preserve">Pacific Perspectives. 2013. </w:t>
      </w:r>
      <w:r w:rsidRPr="00DA6A76">
        <w:rPr>
          <w:i/>
        </w:rPr>
        <w:t>Pacific Workforce Service Forecast, for HWNZ</w:t>
      </w:r>
      <w:r w:rsidRPr="00DA6A76">
        <w:t>. Wellington: Pacific Perspectives.</w:t>
      </w:r>
    </w:p>
  </w:footnote>
  <w:footnote w:id="7">
    <w:p w:rsidR="00426280" w:rsidRDefault="00426280" w:rsidP="00C3167A">
      <w:pPr>
        <w:pStyle w:val="FootnoteText"/>
      </w:pPr>
      <w:r>
        <w:rPr>
          <w:rStyle w:val="FootnoteReference"/>
        </w:rPr>
        <w:footnoteRef/>
      </w:r>
      <w:r>
        <w:tab/>
      </w:r>
      <w:r w:rsidRPr="00DA6A76">
        <w:t>MCNZ registration by specialty for annual practising certificates as of mid-2014.</w:t>
      </w:r>
    </w:p>
  </w:footnote>
  <w:footnote w:id="8">
    <w:p w:rsidR="00426280" w:rsidRDefault="00426280" w:rsidP="00C3167A">
      <w:pPr>
        <w:pStyle w:val="FootnoteText"/>
      </w:pPr>
      <w:r>
        <w:rPr>
          <w:rStyle w:val="FootnoteReference"/>
        </w:rPr>
        <w:footnoteRef/>
      </w:r>
      <w:r>
        <w:tab/>
      </w:r>
      <w:r w:rsidRPr="00DA6A76">
        <w:t>Annual practising certificates as of late</w:t>
      </w:r>
      <w:r>
        <w:t xml:space="preserve"> </w:t>
      </w:r>
      <w:r w:rsidRPr="00DA6A76">
        <w:t>March/early April each year, with the exception of 16 May 2014.</w:t>
      </w:r>
    </w:p>
  </w:footnote>
  <w:footnote w:id="9">
    <w:p w:rsidR="00426280" w:rsidRDefault="00426280" w:rsidP="00DD3A1E">
      <w:pPr>
        <w:pStyle w:val="FootnoteText"/>
      </w:pPr>
      <w:r>
        <w:rPr>
          <w:rStyle w:val="FootnoteReference"/>
        </w:rPr>
        <w:footnoteRef/>
      </w:r>
      <w:r>
        <w:tab/>
      </w:r>
      <w:r w:rsidRPr="00DA6A76">
        <w:t xml:space="preserve">MCNZ. 2013. </w:t>
      </w:r>
      <w:r w:rsidRPr="00DA6A76">
        <w:rPr>
          <w:i/>
        </w:rPr>
        <w:t>The New Zealand Medical Workforce in 2012</w:t>
      </w:r>
      <w:r w:rsidRPr="00DA6A76">
        <w:t>. Wellington: Medical Council of New Zealand.</w:t>
      </w:r>
    </w:p>
  </w:footnote>
  <w:footnote w:id="10">
    <w:p w:rsidR="00426280" w:rsidRDefault="00426280">
      <w:pPr>
        <w:pStyle w:val="FootnoteText"/>
      </w:pPr>
      <w:r>
        <w:rPr>
          <w:rStyle w:val="FootnoteReference"/>
        </w:rPr>
        <w:footnoteRef/>
      </w:r>
      <w:r>
        <w:tab/>
      </w:r>
      <w:r w:rsidRPr="00DD3A1E">
        <w:rPr>
          <w:rStyle w:val="FootnoteTextChar"/>
        </w:rPr>
        <w:t xml:space="preserve">Ministerial Task Group on Clinical Leadership. 2009. </w:t>
      </w:r>
      <w:r w:rsidRPr="00DD3A1E">
        <w:rPr>
          <w:rStyle w:val="FootnoteTextChar"/>
          <w:i/>
        </w:rPr>
        <w:t>In Good Hands: Transforming Clinical Governance in New</w:t>
      </w:r>
      <w:r>
        <w:rPr>
          <w:rStyle w:val="FootnoteTextChar"/>
          <w:i/>
        </w:rPr>
        <w:t> </w:t>
      </w:r>
      <w:r w:rsidRPr="00DD3A1E">
        <w:rPr>
          <w:rStyle w:val="FootnoteTextChar"/>
          <w:i/>
        </w:rPr>
        <w:t>Zealand</w:t>
      </w:r>
      <w:r w:rsidRPr="00DD3A1E">
        <w:rPr>
          <w:rStyle w:val="FootnoteTextChar"/>
        </w:rPr>
        <w:t>.</w:t>
      </w:r>
      <w:r>
        <w:rPr>
          <w:rStyle w:val="FootnoteTextChar"/>
        </w:rPr>
        <w:t xml:space="preserve"> </w:t>
      </w:r>
      <w:r w:rsidRPr="00DD3A1E">
        <w:rPr>
          <w:rStyle w:val="FootnoteTextChar"/>
        </w:rPr>
        <w:t>Wellington.</w:t>
      </w:r>
    </w:p>
  </w:footnote>
  <w:footnote w:id="11">
    <w:p w:rsidR="00426280" w:rsidRDefault="00426280" w:rsidP="00DD3A1E">
      <w:pPr>
        <w:pStyle w:val="FootnoteText"/>
      </w:pPr>
      <w:r>
        <w:rPr>
          <w:rStyle w:val="FootnoteReference"/>
        </w:rPr>
        <w:footnoteRef/>
      </w:r>
      <w:r>
        <w:tab/>
      </w:r>
      <w:r w:rsidRPr="00DA6A76">
        <w:t xml:space="preserve">DCNZ. </w:t>
      </w:r>
      <w:r w:rsidRPr="00DA6A76">
        <w:rPr>
          <w:i/>
        </w:rPr>
        <w:t>Annual Report 2013</w:t>
      </w:r>
      <w:r w:rsidRPr="00DA6A76">
        <w:t>. Wellington: Dental Council of New Zealand.</w:t>
      </w:r>
    </w:p>
  </w:footnote>
  <w:footnote w:id="12">
    <w:p w:rsidR="00426280" w:rsidRDefault="00426280" w:rsidP="00DD3A1E">
      <w:pPr>
        <w:pStyle w:val="FootnoteText"/>
      </w:pPr>
      <w:r>
        <w:rPr>
          <w:rStyle w:val="FootnoteReference"/>
        </w:rPr>
        <w:footnoteRef/>
      </w:r>
      <w:r>
        <w:tab/>
      </w:r>
      <w:r w:rsidRPr="00DA6A76">
        <w:t>Primary and secondary ethnicity combined.</w:t>
      </w:r>
    </w:p>
  </w:footnote>
  <w:footnote w:id="13">
    <w:p w:rsidR="00426280" w:rsidRDefault="00426280" w:rsidP="00DD3A1E">
      <w:pPr>
        <w:pStyle w:val="FootnoteText"/>
      </w:pPr>
      <w:r>
        <w:rPr>
          <w:rStyle w:val="FootnoteReference"/>
        </w:rPr>
        <w:footnoteRef/>
      </w:r>
      <w:r>
        <w:tab/>
      </w:r>
      <w:r w:rsidRPr="00DA6A76">
        <w:t xml:space="preserve">DCNZ. </w:t>
      </w:r>
      <w:r w:rsidRPr="00DA6A76">
        <w:rPr>
          <w:i/>
        </w:rPr>
        <w:t>Workforce Analysis 2009</w:t>
      </w:r>
      <w:r w:rsidRPr="00DA6A76">
        <w:t>. Wellington: Dental Council of New Zealand.</w:t>
      </w:r>
    </w:p>
  </w:footnote>
  <w:footnote w:id="14">
    <w:p w:rsidR="00426280" w:rsidRDefault="00426280" w:rsidP="00DD3A1E">
      <w:pPr>
        <w:pStyle w:val="FootnoteText"/>
      </w:pPr>
      <w:r>
        <w:rPr>
          <w:rStyle w:val="FootnoteReference"/>
        </w:rPr>
        <w:footnoteRef/>
      </w:r>
      <w:r>
        <w:tab/>
      </w:r>
      <w:r w:rsidRPr="00DA6A76">
        <w:t>The role of enrolled nurse was reintroduced in 2010, having been phased out</w:t>
      </w:r>
      <w:r>
        <w:t xml:space="preserve"> </w:t>
      </w:r>
      <w:r w:rsidRPr="00DA6A76">
        <w:t>in the early 1990s.</w:t>
      </w:r>
    </w:p>
  </w:footnote>
  <w:footnote w:id="15">
    <w:p w:rsidR="00426280" w:rsidRDefault="00426280" w:rsidP="0030336F">
      <w:pPr>
        <w:pStyle w:val="FootnoteText"/>
      </w:pPr>
      <w:r>
        <w:rPr>
          <w:rStyle w:val="FootnoteReference"/>
        </w:rPr>
        <w:footnoteRef/>
      </w:r>
      <w:r>
        <w:tab/>
      </w:r>
      <w:r w:rsidRPr="00DA6A76">
        <w:t>HWNZ forecasting and a 2013 workforce report by the NCNZ reached this conclusion.</w:t>
      </w:r>
    </w:p>
  </w:footnote>
  <w:footnote w:id="16">
    <w:p w:rsidR="00426280" w:rsidRDefault="00426280" w:rsidP="0030336F">
      <w:pPr>
        <w:pStyle w:val="FootnoteText"/>
      </w:pPr>
      <w:r>
        <w:rPr>
          <w:rStyle w:val="FootnoteReference"/>
        </w:rPr>
        <w:footnoteRef/>
      </w:r>
      <w:r>
        <w:tab/>
      </w:r>
      <w:r w:rsidRPr="00DA6A76">
        <w:t>New Zealand-trained citizens and permanent residents are eligible for Nurse Entry to Practice (NETP) places.</w:t>
      </w:r>
    </w:p>
  </w:footnote>
  <w:footnote w:id="17">
    <w:p w:rsidR="00426280" w:rsidRPr="0030336F" w:rsidRDefault="00426280" w:rsidP="0030336F">
      <w:pPr>
        <w:pStyle w:val="FootnoteText"/>
      </w:pPr>
      <w:r>
        <w:rPr>
          <w:rStyle w:val="FootnoteReference"/>
        </w:rPr>
        <w:footnoteRef/>
      </w:r>
      <w:r>
        <w:tab/>
      </w:r>
      <w:r w:rsidRPr="00DA6A76">
        <w:t>These scholarships are funded through the Ministry</w:t>
      </w:r>
      <w:r>
        <w:t>’</w:t>
      </w:r>
      <w:r w:rsidRPr="00DA6A76">
        <w:t>s Very Low Cost Access scheme.</w:t>
      </w:r>
    </w:p>
  </w:footnote>
  <w:footnote w:id="18">
    <w:p w:rsidR="00426280" w:rsidRDefault="00426280" w:rsidP="0030336F">
      <w:pPr>
        <w:pStyle w:val="FootnoteText"/>
      </w:pPr>
      <w:r>
        <w:rPr>
          <w:rStyle w:val="FootnoteReference"/>
        </w:rPr>
        <w:footnoteRef/>
      </w:r>
      <w:r>
        <w:tab/>
      </w:r>
      <w:r w:rsidRPr="00DA6A76">
        <w:t xml:space="preserve">Pacific Perspectives. 2013. </w:t>
      </w:r>
      <w:r w:rsidRPr="00DA6A76">
        <w:rPr>
          <w:i/>
        </w:rPr>
        <w:t>Pacific Workforce Service Forecast for HWNZ</w:t>
      </w:r>
      <w:r w:rsidRPr="00DA6A76">
        <w:t>. Wellington: Pacific Perspectives.</w:t>
      </w:r>
    </w:p>
  </w:footnote>
  <w:footnote w:id="19">
    <w:p w:rsidR="00426280" w:rsidRDefault="00426280" w:rsidP="0089061D">
      <w:pPr>
        <w:pStyle w:val="FootnoteText"/>
      </w:pPr>
      <w:r>
        <w:rPr>
          <w:rStyle w:val="FootnoteReference"/>
        </w:rPr>
        <w:footnoteRef/>
      </w:r>
      <w:r>
        <w:tab/>
      </w:r>
      <w:r w:rsidRPr="00DA6A76">
        <w:t>Lead</w:t>
      </w:r>
      <w:r>
        <w:t xml:space="preserve"> </w:t>
      </w:r>
      <w:r w:rsidRPr="00DA6A76">
        <w:t>maternity carers provide maternity care and support throughout pregnancy, labour and the first weeks of a baby</w:t>
      </w:r>
      <w:r>
        <w:t>’</w:t>
      </w:r>
      <w:r w:rsidRPr="00DA6A76">
        <w:t>s life.</w:t>
      </w:r>
      <w:r>
        <w:t xml:space="preserve"> </w:t>
      </w:r>
      <w:r w:rsidRPr="00DA6A76">
        <w:t>Most are midwives, but GPs with obstetrics training may also carry out</w:t>
      </w:r>
      <w:r>
        <w:t xml:space="preserve"> </w:t>
      </w:r>
      <w:r w:rsidRPr="00DA6A76">
        <w:t>this role.</w:t>
      </w:r>
    </w:p>
  </w:footnote>
  <w:footnote w:id="20">
    <w:p w:rsidR="00426280" w:rsidRDefault="00426280" w:rsidP="0089061D">
      <w:pPr>
        <w:pStyle w:val="FootnoteText"/>
      </w:pPr>
      <w:r>
        <w:rPr>
          <w:rStyle w:val="FootnoteReference"/>
        </w:rPr>
        <w:footnoteRef/>
      </w:r>
      <w:r>
        <w:tab/>
      </w:r>
      <w:r w:rsidRPr="00DA6A76">
        <w:t xml:space="preserve">Kyle and Aileone. 2013. </w:t>
      </w:r>
      <w:r w:rsidRPr="00DA6A76">
        <w:rPr>
          <w:i/>
        </w:rPr>
        <w:t>Mapping the Rural Midwifery Workforce in New Zealand</w:t>
      </w:r>
      <w:r w:rsidRPr="00DA6A76">
        <w:t>. Christchurch: Midwifery and Maternity</w:t>
      </w:r>
      <w:r>
        <w:t xml:space="preserve"> </w:t>
      </w:r>
      <w:r w:rsidRPr="00DA6A76">
        <w:t>Provider Organisation.</w:t>
      </w:r>
    </w:p>
  </w:footnote>
  <w:footnote w:id="21">
    <w:p w:rsidR="00426280" w:rsidRDefault="00426280" w:rsidP="0089061D">
      <w:pPr>
        <w:pStyle w:val="FootnoteText"/>
      </w:pPr>
      <w:r>
        <w:rPr>
          <w:rStyle w:val="FootnoteReference"/>
        </w:rPr>
        <w:footnoteRef/>
      </w:r>
      <w:r>
        <w:tab/>
      </w:r>
      <w:r w:rsidRPr="00DA6A76">
        <w:t xml:space="preserve">Midwifery Council of New Zealand. 2010. </w:t>
      </w:r>
      <w:r w:rsidRPr="00DA6A76">
        <w:rPr>
          <w:i/>
        </w:rPr>
        <w:t>Midwifery Workforce Report 2009</w:t>
      </w:r>
      <w:r w:rsidRPr="00DA6A76">
        <w:t>. Wellington: Midwifery Council of New Zealand.</w:t>
      </w:r>
    </w:p>
  </w:footnote>
  <w:footnote w:id="22">
    <w:p w:rsidR="00426280" w:rsidRDefault="00426280" w:rsidP="0089061D">
      <w:pPr>
        <w:pStyle w:val="FootnoteText"/>
      </w:pPr>
      <w:r>
        <w:rPr>
          <w:rStyle w:val="FootnoteReference"/>
        </w:rPr>
        <w:footnoteRef/>
      </w:r>
      <w:r>
        <w:tab/>
      </w:r>
      <w:r w:rsidRPr="00DA6A76">
        <w:t xml:space="preserve">Kyle and Aileone. 2013. </w:t>
      </w:r>
      <w:r w:rsidRPr="00DA6A76">
        <w:rPr>
          <w:i/>
        </w:rPr>
        <w:t>Mapping the Rural Midwifery Workforce in New Zealand</w:t>
      </w:r>
      <w:r w:rsidRPr="00DA6A76">
        <w:t>. Christchurch: Midwifery and Maternity</w:t>
      </w:r>
      <w:r>
        <w:t xml:space="preserve"> </w:t>
      </w:r>
      <w:r w:rsidRPr="00DA6A76">
        <w:t>Provider Organisation.</w:t>
      </w:r>
    </w:p>
  </w:footnote>
  <w:footnote w:id="23">
    <w:p w:rsidR="00426280" w:rsidRDefault="00426280" w:rsidP="007E11C3">
      <w:pPr>
        <w:pStyle w:val="FootnoteText"/>
      </w:pPr>
      <w:r>
        <w:rPr>
          <w:rStyle w:val="FootnoteReference"/>
        </w:rPr>
        <w:footnoteRef/>
      </w:r>
      <w:r>
        <w:tab/>
      </w:r>
      <w:r w:rsidRPr="00DA6A76">
        <w:t>See Appendix 4 for a list of professions included under the allied health umbrella. This</w:t>
      </w:r>
      <w:r>
        <w:t xml:space="preserve"> </w:t>
      </w:r>
      <w:r w:rsidRPr="00DA6A76">
        <w:t>is not intended to be an exhaustive list</w:t>
      </w:r>
      <w:r>
        <w:t xml:space="preserve"> </w:t>
      </w:r>
      <w:r w:rsidRPr="00DA6A76">
        <w:t>– there is a lack of agreement about which professions should be included.</w:t>
      </w:r>
    </w:p>
  </w:footnote>
  <w:footnote w:id="24">
    <w:p w:rsidR="00426280" w:rsidRDefault="00426280" w:rsidP="007E11C3">
      <w:pPr>
        <w:pStyle w:val="FootnoteText"/>
      </w:pPr>
      <w:r>
        <w:rPr>
          <w:rStyle w:val="FootnoteReference"/>
        </w:rPr>
        <w:footnoteRef/>
      </w:r>
      <w:r>
        <w:tab/>
      </w:r>
      <w:r w:rsidRPr="00DA6A76">
        <w:t xml:space="preserve">Ministry of Health. 2009. </w:t>
      </w:r>
      <w:r w:rsidRPr="00DA6A76">
        <w:rPr>
          <w:i/>
        </w:rPr>
        <w:t>Our Oral Health</w:t>
      </w:r>
      <w:r w:rsidRPr="00DA6A76">
        <w:t>. Wellington: Ministry of Health.</w:t>
      </w:r>
    </w:p>
  </w:footnote>
  <w:footnote w:id="25">
    <w:p w:rsidR="00426280" w:rsidRDefault="00426280" w:rsidP="007448FB">
      <w:pPr>
        <w:pStyle w:val="FootnoteText"/>
      </w:pPr>
      <w:r>
        <w:rPr>
          <w:rStyle w:val="FootnoteReference"/>
        </w:rPr>
        <w:footnoteRef/>
      </w:r>
      <w:r>
        <w:tab/>
      </w:r>
      <w:r w:rsidRPr="00DA6A76">
        <w:t xml:space="preserve">BERL Economics. 2014. </w:t>
      </w:r>
      <w:r w:rsidRPr="007448FB">
        <w:rPr>
          <w:i/>
        </w:rPr>
        <w:t>Health and Disability Kaiāwhina Worker Workforce 2013 Profile for Careerforce</w:t>
      </w:r>
      <w:r w:rsidRPr="00DA6A76">
        <w:t>. Wellington: Business and Economic Research Ltd.</w:t>
      </w:r>
    </w:p>
  </w:footnote>
  <w:footnote w:id="26">
    <w:p w:rsidR="00426280" w:rsidRDefault="00426280" w:rsidP="007448FB">
      <w:pPr>
        <w:pStyle w:val="FootnoteText"/>
      </w:pPr>
      <w:r>
        <w:rPr>
          <w:rStyle w:val="FootnoteReference"/>
        </w:rPr>
        <w:footnoteRef/>
      </w:r>
      <w:r>
        <w:tab/>
      </w:r>
      <w:r w:rsidRPr="00DA6A76">
        <w:t>Note that Census respondents are able</w:t>
      </w:r>
      <w:r>
        <w:t xml:space="preserve"> </w:t>
      </w:r>
      <w:r w:rsidRPr="00DA6A76">
        <w:t>to choose more than one</w:t>
      </w:r>
      <w:r>
        <w:t xml:space="preserve"> </w:t>
      </w:r>
      <w:r w:rsidRPr="00DA6A76">
        <w:t>ethnicity.</w:t>
      </w:r>
    </w:p>
  </w:footnote>
  <w:footnote w:id="27">
    <w:p w:rsidR="00426280" w:rsidRDefault="00426280" w:rsidP="007448FB">
      <w:pPr>
        <w:pStyle w:val="FootnoteText"/>
      </w:pPr>
      <w:r>
        <w:rPr>
          <w:rStyle w:val="FootnoteReference"/>
        </w:rPr>
        <w:footnoteRef/>
      </w:r>
      <w:r>
        <w:tab/>
      </w:r>
      <w:r w:rsidRPr="00DA6A76">
        <w:t xml:space="preserve">Pacific Perspectives. 2013. </w:t>
      </w:r>
      <w:r w:rsidRPr="00DA6A76">
        <w:rPr>
          <w:i/>
        </w:rPr>
        <w:t>Pacific Workforce Service Forecast for HWNZ</w:t>
      </w:r>
      <w:r w:rsidRPr="00DA6A76">
        <w:t>. Wellington: Pacific Perspectives.</w:t>
      </w:r>
    </w:p>
  </w:footnote>
  <w:footnote w:id="28">
    <w:p w:rsidR="00426280" w:rsidRDefault="00426280" w:rsidP="007448FB">
      <w:pPr>
        <w:pStyle w:val="FootnoteText"/>
      </w:pPr>
      <w:r>
        <w:rPr>
          <w:rStyle w:val="FootnoteReference"/>
        </w:rPr>
        <w:footnoteRef/>
      </w:r>
      <w:r>
        <w:tab/>
      </w:r>
      <w:r w:rsidRPr="00DA6A76">
        <w:t>Nursing Council registration data as of 31 March 2014.</w:t>
      </w:r>
    </w:p>
  </w:footnote>
  <w:footnote w:id="29">
    <w:p w:rsidR="00426280" w:rsidRDefault="00426280" w:rsidP="00326EC8">
      <w:pPr>
        <w:pStyle w:val="FootnoteText"/>
      </w:pPr>
      <w:r>
        <w:rPr>
          <w:rStyle w:val="FootnoteReference"/>
        </w:rPr>
        <w:footnoteRef/>
      </w:r>
      <w:r>
        <w:tab/>
      </w:r>
      <w:r w:rsidRPr="00DA6A76">
        <w:t>Social</w:t>
      </w:r>
      <w:r>
        <w:t xml:space="preserve"> </w:t>
      </w:r>
      <w:r w:rsidRPr="00DA6A76">
        <w:t>workers are voluntarily regulated under the Social</w:t>
      </w:r>
      <w:r>
        <w:t xml:space="preserve"> </w:t>
      </w:r>
      <w:r w:rsidRPr="00DA6A76">
        <w:t>Workers Registration Act 2003, administered by the Ministry of</w:t>
      </w:r>
      <w:r>
        <w:t xml:space="preserve"> </w:t>
      </w:r>
      <w:r w:rsidRPr="00DA6A76">
        <w:t>Social</w:t>
      </w:r>
      <w:r>
        <w:t xml:space="preserve"> </w:t>
      </w:r>
      <w:r w:rsidRPr="00DA6A76">
        <w:t>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80" w:rsidRDefault="00426280" w:rsidP="00D25FFE">
    <w:pPr>
      <w:pStyle w:val="Header"/>
      <w:ind w:left="-1559"/>
    </w:pPr>
    <w:r>
      <w:rPr>
        <w:noProof/>
        <w:lang w:eastAsia="en-NZ"/>
      </w:rPr>
      <w:drawing>
        <wp:inline distT="0" distB="0" distL="0" distR="0" wp14:anchorId="60CBA421" wp14:editId="7F647494">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80" w:rsidRDefault="00426280"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80" w:rsidRDefault="00426280"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80" w:rsidRDefault="00426280"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1"/>
  </w:num>
  <w:num w:numId="2">
    <w:abstractNumId w:val="9"/>
  </w:num>
  <w:num w:numId="3">
    <w:abstractNumId w:val="5"/>
  </w:num>
  <w:num w:numId="4">
    <w:abstractNumId w:val="6"/>
  </w:num>
  <w:num w:numId="5">
    <w:abstractNumId w:val="1"/>
  </w:num>
  <w:num w:numId="6">
    <w:abstractNumId w:val="8"/>
  </w:num>
  <w:num w:numId="7">
    <w:abstractNumId w:val="3"/>
  </w:num>
  <w:num w:numId="8">
    <w:abstractNumId w:val="10"/>
  </w:num>
  <w:num w:numId="9">
    <w:abstractNumId w:val="2"/>
  </w:num>
  <w:num w:numId="10">
    <w:abstractNumId w:val="4"/>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328E"/>
    <w:rsid w:val="001460E0"/>
    <w:rsid w:val="00147F71"/>
    <w:rsid w:val="00150A6E"/>
    <w:rsid w:val="0016468A"/>
    <w:rsid w:val="001936BF"/>
    <w:rsid w:val="001A5CF5"/>
    <w:rsid w:val="001B39D2"/>
    <w:rsid w:val="001B733A"/>
    <w:rsid w:val="001C4326"/>
    <w:rsid w:val="001D3541"/>
    <w:rsid w:val="001E2522"/>
    <w:rsid w:val="00201A01"/>
    <w:rsid w:val="002104D3"/>
    <w:rsid w:val="00213A33"/>
    <w:rsid w:val="0021763B"/>
    <w:rsid w:val="0024000F"/>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30336F"/>
    <w:rsid w:val="0030382F"/>
    <w:rsid w:val="0030408D"/>
    <w:rsid w:val="003060E4"/>
    <w:rsid w:val="003160E7"/>
    <w:rsid w:val="0031739E"/>
    <w:rsid w:val="00326EC8"/>
    <w:rsid w:val="003325AB"/>
    <w:rsid w:val="0033412B"/>
    <w:rsid w:val="00343365"/>
    <w:rsid w:val="0035223C"/>
    <w:rsid w:val="00353501"/>
    <w:rsid w:val="003606F8"/>
    <w:rsid w:val="003648EF"/>
    <w:rsid w:val="003673E6"/>
    <w:rsid w:val="00377264"/>
    <w:rsid w:val="003A26A5"/>
    <w:rsid w:val="003A3761"/>
    <w:rsid w:val="003A3A6E"/>
    <w:rsid w:val="003A5FEA"/>
    <w:rsid w:val="003A6481"/>
    <w:rsid w:val="003B1D10"/>
    <w:rsid w:val="003C76D4"/>
    <w:rsid w:val="003E7C46"/>
    <w:rsid w:val="003F52A7"/>
    <w:rsid w:val="0040240C"/>
    <w:rsid w:val="00413021"/>
    <w:rsid w:val="00426280"/>
    <w:rsid w:val="00440BE0"/>
    <w:rsid w:val="00442C1C"/>
    <w:rsid w:val="0044584B"/>
    <w:rsid w:val="00447CB7"/>
    <w:rsid w:val="00460826"/>
    <w:rsid w:val="00460EA7"/>
    <w:rsid w:val="0046195B"/>
    <w:rsid w:val="0046596D"/>
    <w:rsid w:val="00487C04"/>
    <w:rsid w:val="004907E1"/>
    <w:rsid w:val="004A035B"/>
    <w:rsid w:val="004A286E"/>
    <w:rsid w:val="004A38D7"/>
    <w:rsid w:val="004A5F99"/>
    <w:rsid w:val="004A778C"/>
    <w:rsid w:val="004C2E6A"/>
    <w:rsid w:val="004D2A2D"/>
    <w:rsid w:val="004D6689"/>
    <w:rsid w:val="004E1D1D"/>
    <w:rsid w:val="004E7AC8"/>
    <w:rsid w:val="004F0C94"/>
    <w:rsid w:val="00500A6E"/>
    <w:rsid w:val="005019AE"/>
    <w:rsid w:val="00503749"/>
    <w:rsid w:val="00504CF4"/>
    <w:rsid w:val="0050635B"/>
    <w:rsid w:val="005272AB"/>
    <w:rsid w:val="0053199F"/>
    <w:rsid w:val="00533B90"/>
    <w:rsid w:val="005410F8"/>
    <w:rsid w:val="0054475E"/>
    <w:rsid w:val="005448EC"/>
    <w:rsid w:val="00545963"/>
    <w:rsid w:val="00550256"/>
    <w:rsid w:val="00553958"/>
    <w:rsid w:val="0055763D"/>
    <w:rsid w:val="00557E67"/>
    <w:rsid w:val="005621F2"/>
    <w:rsid w:val="00567B58"/>
    <w:rsid w:val="005763E0"/>
    <w:rsid w:val="005A27CA"/>
    <w:rsid w:val="005A43BD"/>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78EB"/>
    <w:rsid w:val="006D1660"/>
    <w:rsid w:val="006F1B67"/>
    <w:rsid w:val="006F5D3D"/>
    <w:rsid w:val="0070091D"/>
    <w:rsid w:val="00702854"/>
    <w:rsid w:val="0071741C"/>
    <w:rsid w:val="00742B90"/>
    <w:rsid w:val="0074434D"/>
    <w:rsid w:val="007448FB"/>
    <w:rsid w:val="00771B1E"/>
    <w:rsid w:val="00773C95"/>
    <w:rsid w:val="0078171E"/>
    <w:rsid w:val="00795B34"/>
    <w:rsid w:val="007B1770"/>
    <w:rsid w:val="007B4D3E"/>
    <w:rsid w:val="007B7C70"/>
    <w:rsid w:val="007D2151"/>
    <w:rsid w:val="007D42CC"/>
    <w:rsid w:val="007D5DE4"/>
    <w:rsid w:val="007E11C3"/>
    <w:rsid w:val="007E1341"/>
    <w:rsid w:val="007E1B41"/>
    <w:rsid w:val="007E30B9"/>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061D"/>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B180D"/>
    <w:rsid w:val="009C151C"/>
    <w:rsid w:val="009D5125"/>
    <w:rsid w:val="009D60B8"/>
    <w:rsid w:val="009D7D4B"/>
    <w:rsid w:val="009E36ED"/>
    <w:rsid w:val="009E6B77"/>
    <w:rsid w:val="009F460A"/>
    <w:rsid w:val="009F56AC"/>
    <w:rsid w:val="00A043FB"/>
    <w:rsid w:val="00A0729C"/>
    <w:rsid w:val="00A07779"/>
    <w:rsid w:val="00A20B2E"/>
    <w:rsid w:val="00A3068F"/>
    <w:rsid w:val="00A3145B"/>
    <w:rsid w:val="00A339D0"/>
    <w:rsid w:val="00A41002"/>
    <w:rsid w:val="00A4201A"/>
    <w:rsid w:val="00A553CE"/>
    <w:rsid w:val="00A5677A"/>
    <w:rsid w:val="00A6490D"/>
    <w:rsid w:val="00A76439"/>
    <w:rsid w:val="00A80363"/>
    <w:rsid w:val="00A9169D"/>
    <w:rsid w:val="00AB4C51"/>
    <w:rsid w:val="00AC101C"/>
    <w:rsid w:val="00AD4CF1"/>
    <w:rsid w:val="00AD5988"/>
    <w:rsid w:val="00AD6851"/>
    <w:rsid w:val="00AF7800"/>
    <w:rsid w:val="00B00A01"/>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3167A"/>
    <w:rsid w:val="00C454CC"/>
    <w:rsid w:val="00C45AA2"/>
    <w:rsid w:val="00C60524"/>
    <w:rsid w:val="00C66296"/>
    <w:rsid w:val="00C76A1E"/>
    <w:rsid w:val="00C77282"/>
    <w:rsid w:val="00C84DE5"/>
    <w:rsid w:val="00C86248"/>
    <w:rsid w:val="00CA4C33"/>
    <w:rsid w:val="00CA6F4A"/>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91CF7"/>
    <w:rsid w:val="00DA6A76"/>
    <w:rsid w:val="00DB39CF"/>
    <w:rsid w:val="00DD3A1E"/>
    <w:rsid w:val="00DD447A"/>
    <w:rsid w:val="00DE3B20"/>
    <w:rsid w:val="00DE67D1"/>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D0142"/>
    <w:rsid w:val="00EE4ADE"/>
    <w:rsid w:val="00EE5CB7"/>
    <w:rsid w:val="00F024FE"/>
    <w:rsid w:val="00F05AD4"/>
    <w:rsid w:val="00F40140"/>
    <w:rsid w:val="00F67496"/>
    <w:rsid w:val="00F801BA"/>
    <w:rsid w:val="00F946C9"/>
    <w:rsid w:val="00FA74EE"/>
    <w:rsid w:val="00FC46E7"/>
    <w:rsid w:val="00FC5D25"/>
    <w:rsid w:val="00FD0D7E"/>
    <w:rsid w:val="00FE4DFD"/>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66BAB1B-B92C-4ED2-9866-4855E683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DA6A76"/>
    <w:pPr>
      <w:pBdr>
        <w:top w:val="single" w:sz="48" w:space="16" w:color="auto"/>
      </w:pBdr>
      <w:spacing w:after="360"/>
      <w:outlineLvl w:val="0"/>
    </w:pPr>
    <w:rPr>
      <w:b/>
      <w:sz w:val="56"/>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A76439"/>
    <w:pPr>
      <w:pBdr>
        <w:bottom w:val="single" w:sz="4" w:space="6" w:color="auto"/>
      </w:pBdr>
      <w:spacing w:before="80"/>
      <w:ind w:left="284"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7E13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341"/>
    <w:rPr>
      <w:rFonts w:ascii="Tahoma" w:hAnsi="Tahoma" w:cs="Tahoma"/>
      <w:sz w:val="16"/>
      <w:szCs w:val="16"/>
      <w:lang w:eastAsia="en-GB"/>
    </w:rPr>
  </w:style>
  <w:style w:type="character" w:customStyle="1" w:styleId="NoteChar">
    <w:name w:val="Note Char"/>
    <w:link w:val="Note"/>
    <w:rsid w:val="00A76439"/>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paragraph" w:customStyle="1" w:styleId="ColorfulList-Accent11">
    <w:name w:val="Colorful List - Accent 11"/>
    <w:basedOn w:val="Normal"/>
    <w:uiPriority w:val="34"/>
    <w:qFormat/>
    <w:rsid w:val="0086388B"/>
    <w:pPr>
      <w:spacing w:line="240" w:lineRule="auto"/>
      <w:ind w:left="720"/>
      <w:contextualSpacing/>
    </w:pPr>
    <w:rPr>
      <w:rFonts w:ascii="Arial" w:eastAsia="Calibri" w:hAnsi="Arial"/>
      <w:sz w:val="20"/>
      <w:szCs w:val="22"/>
      <w:lang w:eastAsia="en-US"/>
    </w:rPr>
  </w:style>
  <w:style w:type="character" w:styleId="CommentReference">
    <w:name w:val="annotation reference"/>
    <w:uiPriority w:val="99"/>
    <w:semiHidden/>
    <w:unhideWhenUsed/>
    <w:rsid w:val="0086388B"/>
    <w:rPr>
      <w:sz w:val="18"/>
      <w:szCs w:val="18"/>
    </w:rPr>
  </w:style>
  <w:style w:type="paragraph" w:styleId="CommentText">
    <w:name w:val="annotation text"/>
    <w:basedOn w:val="Normal"/>
    <w:link w:val="CommentTextChar"/>
    <w:uiPriority w:val="99"/>
    <w:semiHidden/>
    <w:unhideWhenUsed/>
    <w:rsid w:val="0086388B"/>
    <w:pPr>
      <w:spacing w:line="240" w:lineRule="auto"/>
    </w:pPr>
    <w:rPr>
      <w:rFonts w:ascii="Arial" w:eastAsia="Calibri" w:hAnsi="Arial"/>
      <w:sz w:val="24"/>
      <w:szCs w:val="24"/>
      <w:lang w:val="x-none" w:eastAsia="x-none"/>
    </w:rPr>
  </w:style>
  <w:style w:type="character" w:customStyle="1" w:styleId="CommentTextChar">
    <w:name w:val="Comment Text Char"/>
    <w:link w:val="CommentText"/>
    <w:uiPriority w:val="99"/>
    <w:semiHidden/>
    <w:rsid w:val="0086388B"/>
    <w:rPr>
      <w:rFonts w:ascii="Arial" w:eastAsia="Calibri" w:hAnsi="Arial"/>
      <w:sz w:val="24"/>
      <w:szCs w:val="24"/>
      <w:lang w:val="x-none" w:eastAsia="x-none"/>
    </w:rPr>
  </w:style>
  <w:style w:type="paragraph" w:styleId="CommentSubject">
    <w:name w:val="annotation subject"/>
    <w:basedOn w:val="CommentText"/>
    <w:next w:val="CommentText"/>
    <w:link w:val="CommentSubjectChar"/>
    <w:uiPriority w:val="99"/>
    <w:semiHidden/>
    <w:unhideWhenUsed/>
    <w:rsid w:val="0086388B"/>
    <w:rPr>
      <w:b/>
      <w:bCs/>
    </w:rPr>
  </w:style>
  <w:style w:type="character" w:customStyle="1" w:styleId="CommentSubjectChar">
    <w:name w:val="Comment Subject Char"/>
    <w:link w:val="CommentSubject"/>
    <w:uiPriority w:val="99"/>
    <w:semiHidden/>
    <w:rsid w:val="0086388B"/>
    <w:rPr>
      <w:rFonts w:ascii="Arial" w:eastAsia="Calibri" w:hAnsi="Arial"/>
      <w:b/>
      <w:bCs/>
      <w:sz w:val="24"/>
      <w:szCs w:val="24"/>
      <w:lang w:val="x-none" w:eastAsia="x-none"/>
    </w:rPr>
  </w:style>
  <w:style w:type="paragraph" w:styleId="ListParagraph">
    <w:name w:val="List Paragraph"/>
    <w:basedOn w:val="Normal"/>
    <w:uiPriority w:val="34"/>
    <w:qFormat/>
    <w:rsid w:val="0086388B"/>
    <w:pPr>
      <w:spacing w:line="240" w:lineRule="auto"/>
      <w:ind w:left="720"/>
      <w:contextualSpacing/>
    </w:pPr>
    <w:rPr>
      <w:rFonts w:ascii="Arial" w:eastAsia="Calibri" w:hAnsi="Arial"/>
      <w:sz w:val="20"/>
      <w:szCs w:val="22"/>
      <w:lang w:eastAsia="en-US"/>
    </w:rPr>
  </w:style>
  <w:style w:type="paragraph" w:styleId="NormalWeb">
    <w:name w:val="Normal (Web)"/>
    <w:basedOn w:val="Normal"/>
    <w:uiPriority w:val="99"/>
    <w:unhideWhenUsed/>
    <w:rsid w:val="0086388B"/>
    <w:pPr>
      <w:spacing w:before="100" w:beforeAutospacing="1" w:after="100" w:afterAutospacing="1" w:line="240" w:lineRule="auto"/>
    </w:pPr>
    <w:rPr>
      <w:rFonts w:ascii="Times New Roman" w:hAnsi="Times New Roman"/>
      <w:sz w:val="24"/>
      <w:szCs w:val="24"/>
      <w:lang w:eastAsia="en-NZ"/>
    </w:rPr>
  </w:style>
  <w:style w:type="character" w:customStyle="1" w:styleId="Heading1Char">
    <w:name w:val="Heading 1 Char"/>
    <w:link w:val="Heading1"/>
    <w:uiPriority w:val="9"/>
    <w:rsid w:val="00DA6A76"/>
    <w:rPr>
      <w:rFonts w:ascii="Georgia" w:hAnsi="Georgia"/>
      <w:b/>
      <w:sz w:val="56"/>
      <w:lang w:eastAsia="en-GB"/>
    </w:rPr>
  </w:style>
  <w:style w:type="paragraph" w:customStyle="1" w:styleId="Pa37">
    <w:name w:val="Pa37"/>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9">
    <w:name w:val="A19"/>
    <w:uiPriority w:val="99"/>
    <w:rsid w:val="0086388B"/>
    <w:rPr>
      <w:rFonts w:cs="FoundrySans-Normal"/>
      <w:color w:val="000000"/>
      <w:sz w:val="8"/>
      <w:szCs w:val="8"/>
    </w:rPr>
  </w:style>
  <w:style w:type="paragraph" w:customStyle="1" w:styleId="Pa38">
    <w:name w:val="Pa38"/>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
    <w:name w:val="A1"/>
    <w:uiPriority w:val="99"/>
    <w:rsid w:val="0086388B"/>
    <w:rPr>
      <w:rFonts w:cs="FoundrySans-Normal"/>
      <w:color w:val="000000"/>
      <w:sz w:val="16"/>
      <w:szCs w:val="16"/>
    </w:rPr>
  </w:style>
  <w:style w:type="character" w:customStyle="1" w:styleId="A18">
    <w:name w:val="A18"/>
    <w:uiPriority w:val="99"/>
    <w:rsid w:val="0086388B"/>
    <w:rPr>
      <w:rFonts w:cs="FoundrySans-Normal"/>
      <w:color w:val="000000"/>
      <w:sz w:val="9"/>
      <w:szCs w:val="9"/>
    </w:rPr>
  </w:style>
  <w:style w:type="paragraph" w:styleId="Revision">
    <w:name w:val="Revision"/>
    <w:hidden/>
    <w:uiPriority w:val="99"/>
    <w:semiHidden/>
    <w:rsid w:val="0086388B"/>
    <w:rPr>
      <w:rFonts w:ascii="Calibri" w:eastAsia="Calibri" w:hAnsi="Calibri"/>
      <w:sz w:val="22"/>
      <w:szCs w:val="22"/>
      <w:lang w:val="en-US" w:eastAsia="en-US"/>
    </w:rPr>
  </w:style>
  <w:style w:type="paragraph" w:styleId="NoSpacing">
    <w:name w:val="No Spacing"/>
    <w:uiPriority w:val="1"/>
    <w:qFormat/>
    <w:rsid w:val="0086388B"/>
    <w:pPr>
      <w:widowControl w:val="0"/>
    </w:pPr>
    <w:rPr>
      <w:rFonts w:ascii="Calibri" w:eastAsia="Calibri" w:hAnsi="Calibri"/>
      <w:sz w:val="22"/>
      <w:szCs w:val="22"/>
      <w:lang w:val="en-US" w:eastAsia="en-US"/>
    </w:rPr>
  </w:style>
  <w:style w:type="paragraph" w:styleId="ListBullet">
    <w:name w:val="List Bullet"/>
    <w:basedOn w:val="Normal"/>
    <w:uiPriority w:val="99"/>
    <w:unhideWhenUsed/>
    <w:rsid w:val="0086388B"/>
    <w:pPr>
      <w:numPr>
        <w:numId w:val="12"/>
      </w:numPr>
      <w:spacing w:line="240" w:lineRule="auto"/>
      <w:contextualSpacing/>
    </w:pPr>
    <w:rPr>
      <w:rFonts w:ascii="Arial" w:eastAsia="Calibri" w:hAnsi="Arial"/>
      <w:sz w:val="20"/>
      <w:szCs w:val="22"/>
      <w:lang w:eastAsia="en-US"/>
    </w:rPr>
  </w:style>
  <w:style w:type="paragraph" w:styleId="Caption">
    <w:name w:val="caption"/>
    <w:basedOn w:val="Normal"/>
    <w:next w:val="Normal"/>
    <w:uiPriority w:val="35"/>
    <w:unhideWhenUsed/>
    <w:qFormat/>
    <w:rsid w:val="0086388B"/>
    <w:pPr>
      <w:spacing w:line="240" w:lineRule="auto"/>
      <w:ind w:left="794" w:hanging="794"/>
    </w:pPr>
    <w:rPr>
      <w:rFonts w:ascii="Arial" w:eastAsia="Calibri" w:hAnsi="Arial"/>
      <w:b/>
      <w:bCs/>
      <w:sz w:val="20"/>
      <w:lang w:eastAsia="en-US"/>
    </w:rPr>
  </w:style>
  <w:style w:type="character" w:styleId="FollowedHyperlink">
    <w:name w:val="FollowedHyperlink"/>
    <w:uiPriority w:val="99"/>
    <w:semiHidden/>
    <w:unhideWhenUsed/>
    <w:rsid w:val="0086388B"/>
    <w:rPr>
      <w:color w:val="800080"/>
      <w:u w:val="single"/>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A4">
    <w:name w:val="A4"/>
    <w:uiPriority w:val="99"/>
    <w:rsid w:val="00DE67D1"/>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ealth.govt.nz/" TargetMode="External"/><Relationship Id="rId26" Type="http://schemas.openxmlformats.org/officeDocument/2006/relationships/hyperlink" Target="http://www.dol.govt.nz/publications/lmr/occupational-outlook/"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health.govt.nz/"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8255-B00F-4E38-8D5B-7FFA4B5E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33</Pages>
  <Words>7384</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Health of the Health Workforce 2013 to 2014</vt:lpstr>
    </vt:vector>
  </TitlesOfParts>
  <Company>Microsoft</Company>
  <LinksUpToDate>false</LinksUpToDate>
  <CharactersWithSpaces>49381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 the Health Workforce 2013 to 2014</dc:title>
  <dc:creator>Health Workforce New Zealand</dc:creator>
  <cp:lastModifiedBy>Logan Smith</cp:lastModifiedBy>
  <cp:revision>4</cp:revision>
  <cp:lastPrinted>2013-05-22T23:47:00Z</cp:lastPrinted>
  <dcterms:created xsi:type="dcterms:W3CDTF">2014-12-18T00:53:00Z</dcterms:created>
  <dcterms:modified xsi:type="dcterms:W3CDTF">2015-08-20T21:05:00Z</dcterms:modified>
</cp:coreProperties>
</file>